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CBF" w:rsidRPr="00B17ED4" w:rsidRDefault="001317CB" w:rsidP="000505DB">
      <w:pPr>
        <w:adjustRightInd w:val="0"/>
        <w:snapToGrid w:val="0"/>
        <w:spacing w:after="0" w:line="360" w:lineRule="auto"/>
        <w:jc w:val="both"/>
        <w:rPr>
          <w:rFonts w:ascii="Book Antiqua" w:eastAsia="宋体" w:hAnsi="Book Antiqua" w:cs="Book Antiqua"/>
          <w:b/>
          <w:bCs/>
          <w:i/>
          <w:sz w:val="24"/>
          <w:szCs w:val="24"/>
          <w:lang w:val="en-US"/>
        </w:rPr>
      </w:pPr>
      <w:r w:rsidRPr="00B17ED4">
        <w:rPr>
          <w:rFonts w:ascii="Book Antiqua" w:eastAsia="宋体" w:hAnsi="Book Antiqua" w:cs="Book Antiqua"/>
          <w:b/>
          <w:sz w:val="24"/>
          <w:szCs w:val="24"/>
          <w:lang w:val="en-US"/>
        </w:rPr>
        <w:t xml:space="preserve">Name of Journal: </w:t>
      </w:r>
      <w:r w:rsidRPr="00B17ED4">
        <w:rPr>
          <w:rFonts w:ascii="Book Antiqua" w:eastAsia="宋体" w:hAnsi="Book Antiqua" w:cs="Book Antiqua"/>
          <w:i/>
          <w:sz w:val="24"/>
          <w:szCs w:val="24"/>
        </w:rPr>
        <w:t>World Journal of Gastroenterology</w:t>
      </w:r>
    </w:p>
    <w:p w:rsidR="00820CBF" w:rsidRPr="00B17ED4" w:rsidRDefault="001317CB" w:rsidP="000505DB">
      <w:pPr>
        <w:adjustRightInd w:val="0"/>
        <w:snapToGrid w:val="0"/>
        <w:spacing w:after="0" w:line="360" w:lineRule="auto"/>
        <w:jc w:val="both"/>
        <w:rPr>
          <w:rFonts w:ascii="Book Antiqua" w:eastAsia="宋体" w:hAnsi="Book Antiqua" w:cs="Book Antiqua"/>
          <w:b/>
          <w:sz w:val="24"/>
          <w:szCs w:val="24"/>
          <w:lang w:val="en-US" w:eastAsia="zh-CN"/>
        </w:rPr>
      </w:pPr>
      <w:r w:rsidRPr="00B17ED4">
        <w:rPr>
          <w:rFonts w:ascii="Book Antiqua" w:eastAsia="宋体" w:hAnsi="Book Antiqua" w:cs="Book Antiqua"/>
          <w:b/>
          <w:sz w:val="24"/>
          <w:szCs w:val="24"/>
          <w:lang w:val="en-US"/>
        </w:rPr>
        <w:t xml:space="preserve">Manuscript NO: </w:t>
      </w:r>
      <w:r w:rsidRPr="00B17ED4">
        <w:rPr>
          <w:rFonts w:ascii="Book Antiqua" w:eastAsia="宋体" w:hAnsi="Book Antiqua" w:cs="Book Antiqua"/>
          <w:sz w:val="24"/>
          <w:szCs w:val="24"/>
          <w:lang w:val="en-US"/>
        </w:rPr>
        <w:t>5</w:t>
      </w:r>
      <w:r w:rsidRPr="00B17ED4">
        <w:rPr>
          <w:rFonts w:ascii="Book Antiqua" w:eastAsia="宋体" w:hAnsi="Book Antiqua" w:cs="Book Antiqua"/>
          <w:sz w:val="24"/>
          <w:szCs w:val="24"/>
          <w:lang w:val="en-US" w:eastAsia="zh-CN"/>
        </w:rPr>
        <w:t>1812</w:t>
      </w:r>
    </w:p>
    <w:p w:rsidR="00820CBF" w:rsidRPr="00B17ED4" w:rsidRDefault="001317CB" w:rsidP="000505DB">
      <w:pPr>
        <w:adjustRightInd w:val="0"/>
        <w:snapToGrid w:val="0"/>
        <w:spacing w:after="0" w:line="360" w:lineRule="auto"/>
        <w:jc w:val="both"/>
        <w:rPr>
          <w:rFonts w:ascii="Book Antiqua" w:eastAsia="宋体" w:hAnsi="Book Antiqua" w:cs="Book Antiqua"/>
          <w:b/>
          <w:bCs/>
          <w:i/>
          <w:sz w:val="24"/>
          <w:szCs w:val="24"/>
          <w:lang w:val="en-US"/>
        </w:rPr>
      </w:pPr>
      <w:r w:rsidRPr="00B17ED4">
        <w:rPr>
          <w:rFonts w:ascii="Book Antiqua" w:eastAsia="宋体" w:hAnsi="Book Antiqua" w:cs="Book Antiqua"/>
          <w:b/>
          <w:sz w:val="24"/>
          <w:szCs w:val="24"/>
          <w:shd w:val="clear" w:color="auto" w:fill="FFFFFF"/>
        </w:rPr>
        <w:t>Manuscript Type</w:t>
      </w:r>
      <w:r w:rsidRPr="00B17ED4">
        <w:rPr>
          <w:rFonts w:ascii="Book Antiqua" w:eastAsia="宋体" w:hAnsi="Book Antiqua" w:cs="Book Antiqua"/>
          <w:b/>
          <w:sz w:val="24"/>
          <w:szCs w:val="24"/>
        </w:rPr>
        <w:t>:</w:t>
      </w:r>
      <w:r w:rsidRPr="00B17ED4">
        <w:rPr>
          <w:rFonts w:ascii="Book Antiqua" w:eastAsia="宋体" w:hAnsi="Book Antiqua" w:cs="Book Antiqua"/>
          <w:b/>
          <w:bCs/>
          <w:i/>
          <w:sz w:val="24"/>
          <w:szCs w:val="24"/>
          <w:lang w:val="en-US"/>
        </w:rPr>
        <w:t xml:space="preserve"> </w:t>
      </w:r>
      <w:r w:rsidRPr="00B17ED4">
        <w:rPr>
          <w:rFonts w:ascii="Book Antiqua" w:eastAsia="宋体" w:hAnsi="Book Antiqua" w:cs="Book Antiqua"/>
          <w:sz w:val="24"/>
          <w:szCs w:val="24"/>
        </w:rPr>
        <w:t>ORIGINAL ARTICLE</w:t>
      </w:r>
    </w:p>
    <w:p w:rsidR="00820CBF" w:rsidRPr="00B17ED4" w:rsidRDefault="00820CBF" w:rsidP="000505DB">
      <w:pPr>
        <w:snapToGrid w:val="0"/>
        <w:spacing w:after="0" w:line="360" w:lineRule="auto"/>
        <w:jc w:val="both"/>
        <w:rPr>
          <w:rFonts w:ascii="Book Antiqua" w:hAnsi="Book Antiqua" w:cs="Book Antiqua"/>
          <w:b/>
          <w:sz w:val="24"/>
          <w:szCs w:val="24"/>
          <w:lang w:val="en-US"/>
        </w:rPr>
      </w:pP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b/>
          <w:i/>
          <w:sz w:val="24"/>
          <w:szCs w:val="24"/>
        </w:rPr>
        <w:t>Retrospective Study</w:t>
      </w:r>
    </w:p>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US"/>
        </w:rPr>
        <w:t xml:space="preserve">Iron metabolism imbalance at the time of listing increases overall and infectious mortality after </w:t>
      </w:r>
      <w:r w:rsidRPr="00B17ED4">
        <w:rPr>
          <w:rFonts w:ascii="Book Antiqua" w:hAnsi="Book Antiqua" w:cs="Book Antiqua"/>
          <w:b/>
          <w:bCs/>
          <w:sz w:val="24"/>
          <w:szCs w:val="24"/>
          <w:lang w:val="en-GB"/>
        </w:rPr>
        <w:t>liver transplantation</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Cs/>
          <w:sz w:val="24"/>
          <w:szCs w:val="24"/>
        </w:rPr>
        <w:t>Fallet</w:t>
      </w:r>
      <w:r w:rsidRPr="00B17ED4">
        <w:rPr>
          <w:rFonts w:ascii="Book Antiqua" w:eastAsia="宋体" w:hAnsi="Book Antiqua" w:cs="Book Antiqua"/>
          <w:bCs/>
          <w:sz w:val="24"/>
          <w:szCs w:val="24"/>
          <w:lang w:val="en-US" w:eastAsia="zh-CN"/>
        </w:rPr>
        <w:t xml:space="preserve"> E</w:t>
      </w:r>
      <w:r w:rsidRPr="00B17ED4">
        <w:rPr>
          <w:rFonts w:ascii="Book Antiqua" w:hAnsi="Book Antiqua" w:cs="Book Antiqua"/>
          <w:sz w:val="24"/>
          <w:szCs w:val="24"/>
          <w:lang w:val="en-US" w:eastAsia="zh-CN"/>
        </w:rPr>
        <w:t xml:space="preserve"> </w:t>
      </w:r>
      <w:r w:rsidRPr="00B17ED4">
        <w:rPr>
          <w:rFonts w:ascii="Book Antiqua" w:hAnsi="Book Antiqua" w:cs="Book Antiqua"/>
          <w:i/>
          <w:sz w:val="24"/>
          <w:szCs w:val="24"/>
          <w:lang w:val="en-US" w:eastAsia="zh-CN"/>
        </w:rPr>
        <w:t>et al</w:t>
      </w:r>
      <w:r w:rsidRPr="00B17ED4">
        <w:rPr>
          <w:rFonts w:ascii="Book Antiqua" w:hAnsi="Book Antiqua" w:cs="Book Antiqua"/>
          <w:sz w:val="24"/>
          <w:szCs w:val="24"/>
          <w:lang w:val="en-US" w:eastAsia="zh-CN"/>
        </w:rPr>
        <w:t xml:space="preserve">. </w:t>
      </w:r>
      <w:r w:rsidRPr="00B17ED4">
        <w:rPr>
          <w:rFonts w:ascii="Book Antiqua" w:hAnsi="Book Antiqua" w:cs="Book Antiqua"/>
          <w:sz w:val="24"/>
          <w:szCs w:val="24"/>
          <w:lang w:val="en-GB"/>
        </w:rPr>
        <w:t>Iron metabolism and OLT</w:t>
      </w:r>
    </w:p>
    <w:p w:rsidR="00820CBF" w:rsidRPr="00B17ED4" w:rsidRDefault="00820CBF" w:rsidP="000505DB">
      <w:pPr>
        <w:snapToGrid w:val="0"/>
        <w:spacing w:after="0" w:line="360" w:lineRule="auto"/>
        <w:jc w:val="both"/>
        <w:rPr>
          <w:rFonts w:ascii="Book Antiqua" w:eastAsia="宋体" w:hAnsi="Book Antiqua" w:cs="Book Antiqua"/>
          <w:bCs/>
          <w:sz w:val="24"/>
          <w:szCs w:val="24"/>
          <w:lang w:val="en-US" w:eastAsia="zh-CN"/>
        </w:rPr>
      </w:pPr>
    </w:p>
    <w:p w:rsidR="00820CBF" w:rsidRPr="00B17ED4" w:rsidRDefault="001317CB" w:rsidP="000505DB">
      <w:pPr>
        <w:snapToGrid w:val="0"/>
        <w:spacing w:after="0" w:line="360" w:lineRule="auto"/>
        <w:jc w:val="both"/>
        <w:rPr>
          <w:rFonts w:ascii="Book Antiqua" w:hAnsi="Book Antiqua" w:cs="Book Antiqua"/>
          <w:bCs/>
          <w:sz w:val="24"/>
          <w:szCs w:val="24"/>
        </w:rPr>
      </w:pPr>
      <w:r w:rsidRPr="00B17ED4">
        <w:rPr>
          <w:rFonts w:ascii="Book Antiqua" w:hAnsi="Book Antiqua" w:cs="Book Antiqua"/>
          <w:bCs/>
          <w:sz w:val="24"/>
          <w:szCs w:val="24"/>
        </w:rPr>
        <w:t>Elodie Fallet, Michel</w:t>
      </w:r>
      <w:r w:rsidR="000505DB" w:rsidRPr="00B17ED4">
        <w:rPr>
          <w:rFonts w:ascii="Book Antiqua" w:hAnsi="Book Antiqua" w:cs="Book Antiqua"/>
          <w:bCs/>
          <w:sz w:val="24"/>
          <w:szCs w:val="24"/>
        </w:rPr>
        <w:t xml:space="preserve"> </w:t>
      </w:r>
      <w:r w:rsidRPr="00B17ED4">
        <w:rPr>
          <w:rFonts w:ascii="Book Antiqua" w:hAnsi="Book Antiqua" w:cs="Book Antiqua"/>
          <w:bCs/>
          <w:sz w:val="24"/>
          <w:szCs w:val="24"/>
        </w:rPr>
        <w:t>Rayar, Amandine Landrieux,</w:t>
      </w:r>
      <w:r w:rsidR="000505DB" w:rsidRPr="00B17ED4">
        <w:rPr>
          <w:rFonts w:ascii="Book Antiqua" w:hAnsi="Book Antiqua" w:cs="Book Antiqua"/>
          <w:bCs/>
          <w:sz w:val="24"/>
          <w:szCs w:val="24"/>
        </w:rPr>
        <w:t xml:space="preserve"> </w:t>
      </w:r>
      <w:r w:rsidRPr="00B17ED4">
        <w:rPr>
          <w:rFonts w:ascii="Book Antiqua" w:hAnsi="Book Antiqua" w:cs="Book Antiqua"/>
          <w:bCs/>
          <w:sz w:val="24"/>
          <w:szCs w:val="24"/>
        </w:rPr>
        <w:t>Christophe Camus, Pauline</w:t>
      </w:r>
      <w:r w:rsidR="000505DB" w:rsidRPr="00B17ED4">
        <w:rPr>
          <w:rFonts w:ascii="Book Antiqua" w:hAnsi="Book Antiqua" w:cs="Book Antiqua"/>
          <w:bCs/>
          <w:sz w:val="24"/>
          <w:szCs w:val="24"/>
        </w:rPr>
        <w:t xml:space="preserve"> </w:t>
      </w:r>
      <w:r w:rsidRPr="00B17ED4">
        <w:rPr>
          <w:rFonts w:ascii="Book Antiqua" w:hAnsi="Book Antiqua" w:cs="Book Antiqua"/>
          <w:bCs/>
          <w:sz w:val="24"/>
          <w:szCs w:val="24"/>
        </w:rPr>
        <w:t>Houssel-Debry, Caroline Jezequel, Ludivine Legros, Thomas Uguen, Martine Ropert-Bouchet, Karim Boudjema, Dominique Guyader, Edouard Bardou-Jacquet</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Elodie Fallet</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Amandine Landrieux</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Pauline Houssel-Debry</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Caroline Jezequel</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Ludivine Legros</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Thomas Uguen</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Dominique Guyader</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Edouard Bardou-Jacquet</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bCs/>
          <w:sz w:val="24"/>
          <w:szCs w:val="24"/>
          <w:lang w:val="en-US" w:eastAsia="zh-CN"/>
        </w:rPr>
        <w:t xml:space="preserve"> </w:t>
      </w:r>
      <w:r w:rsidR="0063795B" w:rsidRPr="00B17ED4">
        <w:rPr>
          <w:rFonts w:ascii="Book Antiqua" w:eastAsia="Times New Roman" w:hAnsi="Book Antiqua" w:cs="Book Antiqua"/>
          <w:sz w:val="24"/>
          <w:szCs w:val="24"/>
          <w:lang w:eastAsia="fr-FR"/>
        </w:rPr>
        <w:t>Service des Maladies du Foie,</w:t>
      </w:r>
      <w:r w:rsidR="00682D40">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B17ED4"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Michel Rayar</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Pauline Houssel-Debry</w:t>
      </w:r>
      <w:r w:rsidRPr="00B17ED4">
        <w:rPr>
          <w:rFonts w:ascii="Book Antiqua" w:eastAsia="宋体" w:hAnsi="Book Antiqua" w:cs="Book Antiqua"/>
          <w:b/>
          <w:sz w:val="24"/>
          <w:szCs w:val="24"/>
          <w:lang w:val="en-US" w:eastAsia="zh-CN"/>
        </w:rPr>
        <w:t xml:space="preserve">, </w:t>
      </w:r>
      <w:r w:rsidRPr="00B17ED4">
        <w:rPr>
          <w:rFonts w:ascii="Book Antiqua" w:hAnsi="Book Antiqua" w:cs="Book Antiqua"/>
          <w:b/>
          <w:sz w:val="24"/>
          <w:szCs w:val="24"/>
        </w:rPr>
        <w:t>Karim Boudjema</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hint="eastAsia"/>
          <w:bCs/>
          <w:sz w:val="24"/>
          <w:szCs w:val="24"/>
          <w:lang w:val="en-US" w:eastAsia="zh-CN"/>
        </w:rPr>
        <w:t xml:space="preserve"> </w:t>
      </w:r>
      <w:r w:rsidR="0063795B" w:rsidRPr="00B17ED4">
        <w:rPr>
          <w:rFonts w:ascii="Book Antiqua" w:eastAsia="Times New Roman" w:hAnsi="Book Antiqua" w:cs="Book Antiqua"/>
          <w:sz w:val="24"/>
          <w:szCs w:val="24"/>
          <w:lang w:eastAsia="fr-FR"/>
        </w:rPr>
        <w:t>Service de Chirurgie Hepatobilaire,</w:t>
      </w:r>
      <w:r w:rsidR="0063795B">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B17ED4"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Christophe Camus</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hint="eastAsia"/>
          <w:b/>
          <w:sz w:val="24"/>
          <w:szCs w:val="24"/>
          <w:lang w:val="en-US" w:eastAsia="zh-CN"/>
        </w:rPr>
        <w:t xml:space="preserve"> </w:t>
      </w:r>
      <w:r w:rsidR="0063795B" w:rsidRPr="00B17ED4">
        <w:rPr>
          <w:rFonts w:ascii="Book Antiqua" w:eastAsia="Times New Roman" w:hAnsi="Book Antiqua" w:cs="Book Antiqua"/>
          <w:sz w:val="24"/>
          <w:szCs w:val="24"/>
          <w:lang w:eastAsia="fr-FR"/>
        </w:rPr>
        <w:t>Service de Réanimation médicale,</w:t>
      </w:r>
      <w:r w:rsidR="0063795B">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B17ED4"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Times New Roman" w:hAnsi="Book Antiqua" w:cs="Book Antiqua"/>
          <w:sz w:val="24"/>
          <w:szCs w:val="24"/>
          <w:lang w:eastAsia="fr-FR"/>
        </w:rPr>
      </w:pPr>
      <w:r w:rsidRPr="00B17ED4">
        <w:rPr>
          <w:rFonts w:ascii="Book Antiqua" w:hAnsi="Book Antiqua" w:cs="Book Antiqua"/>
          <w:b/>
          <w:sz w:val="24"/>
          <w:szCs w:val="24"/>
        </w:rPr>
        <w:t>Martine Ropert-Bouchet</w:t>
      </w:r>
      <w:r w:rsidRPr="00B17ED4">
        <w:rPr>
          <w:rFonts w:ascii="Book Antiqua" w:eastAsia="宋体" w:hAnsi="Book Antiqua" w:cs="Book Antiqua"/>
          <w:b/>
          <w:sz w:val="24"/>
          <w:szCs w:val="24"/>
          <w:lang w:val="en-US" w:eastAsia="zh-CN"/>
        </w:rPr>
        <w:t>,</w:t>
      </w:r>
      <w:r w:rsidRPr="00B17ED4">
        <w:rPr>
          <w:rFonts w:ascii="Book Antiqua" w:eastAsia="宋体" w:hAnsi="Book Antiqua" w:cs="Book Antiqua" w:hint="eastAsia"/>
          <w:b/>
          <w:sz w:val="24"/>
          <w:szCs w:val="24"/>
          <w:lang w:val="en-US" w:eastAsia="zh-CN"/>
        </w:rPr>
        <w:t xml:space="preserve"> </w:t>
      </w:r>
      <w:r w:rsidR="00BE548A" w:rsidRPr="00B17ED4">
        <w:rPr>
          <w:rFonts w:ascii="Book Antiqua" w:eastAsia="Times New Roman" w:hAnsi="Book Antiqua" w:cs="Book Antiqua"/>
          <w:sz w:val="24"/>
          <w:szCs w:val="24"/>
          <w:lang w:eastAsia="fr-FR"/>
        </w:rPr>
        <w:t>Laboratoire de biochimie,</w:t>
      </w:r>
      <w:r w:rsidR="00682D40">
        <w:rPr>
          <w:rFonts w:ascii="Book Antiqua" w:eastAsia="Times New Roman" w:hAnsi="Book Antiqua" w:cs="Book Antiqua"/>
          <w:sz w:val="24"/>
          <w:szCs w:val="24"/>
          <w:lang w:eastAsia="fr-FR"/>
        </w:rPr>
        <w:t xml:space="preserve"> </w:t>
      </w:r>
      <w:r w:rsidRPr="00B17ED4">
        <w:rPr>
          <w:rFonts w:ascii="Book Antiqua" w:eastAsia="Times New Roman" w:hAnsi="Book Antiqua" w:cs="Book Antiqua"/>
          <w:sz w:val="24"/>
          <w:szCs w:val="24"/>
          <w:lang w:eastAsia="fr-FR"/>
        </w:rPr>
        <w:t xml:space="preserve">CHU Rennes, </w:t>
      </w:r>
      <w:r w:rsidR="002119DC" w:rsidRPr="00B17ED4">
        <w:rPr>
          <w:rFonts w:ascii="Book Antiqua" w:eastAsia="Times New Roman" w:hAnsi="Book Antiqua" w:cs="Book Antiqua"/>
          <w:sz w:val="24"/>
          <w:szCs w:val="24"/>
          <w:lang w:eastAsia="fr-FR"/>
        </w:rPr>
        <w:t>University Rennes</w:t>
      </w:r>
      <w:r w:rsidRPr="00B17ED4">
        <w:rPr>
          <w:rFonts w:ascii="Book Antiqua" w:eastAsia="Times New Roman" w:hAnsi="Book Antiqua" w:cs="Book Antiqua"/>
          <w:sz w:val="24"/>
          <w:szCs w:val="24"/>
          <w:lang w:eastAsia="fr-FR"/>
        </w:rPr>
        <w:t>,</w:t>
      </w:r>
      <w:r w:rsidR="0091614C">
        <w:rPr>
          <w:rFonts w:ascii="Book Antiqua" w:eastAsia="Times New Roman" w:hAnsi="Book Antiqua" w:cs="Book Antiqua"/>
          <w:sz w:val="24"/>
          <w:szCs w:val="24"/>
          <w:lang w:eastAsia="fr-FR"/>
        </w:rPr>
        <w:t xml:space="preserve"> Rennes </w:t>
      </w:r>
      <w:r w:rsidR="0091614C" w:rsidRPr="0091614C">
        <w:rPr>
          <w:rFonts w:ascii="Book Antiqua" w:eastAsia="Times New Roman" w:hAnsi="Book Antiqua" w:cs="Book Antiqua"/>
          <w:sz w:val="24"/>
          <w:szCs w:val="24"/>
          <w:lang w:eastAsia="fr-FR"/>
        </w:rPr>
        <w:t>35033</w:t>
      </w:r>
      <w:r w:rsidRPr="00B17ED4">
        <w:rPr>
          <w:rFonts w:ascii="Book Antiqua" w:eastAsia="Times New Roman" w:hAnsi="Book Antiqua" w:cs="Book Antiqua"/>
          <w:sz w:val="24"/>
          <w:szCs w:val="24"/>
          <w:lang w:eastAsia="fr-FR"/>
        </w:rPr>
        <w:t>, France</w:t>
      </w:r>
    </w:p>
    <w:p w:rsidR="00820CBF" w:rsidRPr="00E83FA1" w:rsidRDefault="00820CBF" w:rsidP="000505DB">
      <w:pPr>
        <w:snapToGrid w:val="0"/>
        <w:spacing w:after="0" w:line="360" w:lineRule="auto"/>
        <w:jc w:val="both"/>
        <w:rPr>
          <w:rFonts w:ascii="Book Antiqua" w:hAnsi="Book Antiqua" w:cs="Book Antiqua"/>
          <w:b/>
          <w:sz w:val="24"/>
          <w:szCs w:val="24"/>
        </w:rPr>
      </w:pPr>
    </w:p>
    <w:p w:rsidR="00820CBF" w:rsidRPr="00B17ED4" w:rsidRDefault="001317CB" w:rsidP="000505DB">
      <w:pPr>
        <w:snapToGrid w:val="0"/>
        <w:spacing w:after="0" w:line="360" w:lineRule="auto"/>
        <w:jc w:val="both"/>
        <w:rPr>
          <w:rFonts w:ascii="Book Antiqua" w:eastAsia="宋体" w:hAnsi="Book Antiqua" w:cs="Book Antiqua"/>
          <w:b/>
          <w:sz w:val="24"/>
          <w:szCs w:val="24"/>
          <w:lang w:val="en-US" w:eastAsia="zh-CN"/>
        </w:rPr>
      </w:pPr>
      <w:r w:rsidRPr="00B17ED4">
        <w:rPr>
          <w:rFonts w:ascii="Book Antiqua" w:hAnsi="Book Antiqua" w:cs="Times New Roman"/>
          <w:b/>
          <w:sz w:val="24"/>
          <w:szCs w:val="24"/>
        </w:rPr>
        <w:t>Author contributions</w:t>
      </w:r>
      <w:r w:rsidRPr="00B17ED4">
        <w:rPr>
          <w:rFonts w:ascii="Book Antiqua" w:hAnsi="Book Antiqua" w:cs="Times New Roman"/>
          <w:sz w:val="24"/>
          <w:szCs w:val="24"/>
        </w:rPr>
        <w:t>:</w:t>
      </w:r>
      <w:r w:rsidRPr="00B17ED4">
        <w:rPr>
          <w:rFonts w:ascii="Book Antiqua" w:eastAsia="宋体" w:hAnsi="Book Antiqua" w:cs="Times New Roman" w:hint="eastAsia"/>
          <w:sz w:val="24"/>
          <w:szCs w:val="24"/>
          <w:lang w:val="en-US" w:eastAsia="zh-CN"/>
        </w:rPr>
        <w:t xml:space="preserve"> </w:t>
      </w:r>
      <w:r w:rsidR="00E3008B" w:rsidRPr="00B17ED4">
        <w:rPr>
          <w:rFonts w:ascii="Book Antiqua" w:hAnsi="Book Antiqua" w:cs="Book Antiqua"/>
          <w:sz w:val="24"/>
          <w:szCs w:val="24"/>
        </w:rPr>
        <w:t>Bardou-Jacquet</w:t>
      </w:r>
      <w:r w:rsidR="00E3008B" w:rsidRPr="00B17ED4">
        <w:rPr>
          <w:rFonts w:ascii="Book Antiqua" w:eastAsia="宋体" w:hAnsi="Book Antiqua" w:cs="Book Antiqua" w:hint="eastAsia"/>
          <w:sz w:val="24"/>
          <w:szCs w:val="24"/>
          <w:lang w:val="en-US" w:eastAsia="zh-CN"/>
        </w:rPr>
        <w:t xml:space="preserve"> E</w:t>
      </w:r>
      <w:r w:rsidR="00E3008B" w:rsidRPr="00B17ED4">
        <w:rPr>
          <w:rFonts w:ascii="Book Antiqua" w:hAnsi="Book Antiqua" w:cs="Book Antiqua"/>
          <w:sz w:val="24"/>
          <w:szCs w:val="24"/>
          <w:lang w:val="en-GB"/>
        </w:rPr>
        <w:t xml:space="preserve"> contributed to s</w:t>
      </w:r>
      <w:r w:rsidRPr="00B17ED4">
        <w:rPr>
          <w:rFonts w:ascii="Book Antiqua" w:hAnsi="Book Antiqua" w:cs="Book Antiqua"/>
          <w:sz w:val="24"/>
          <w:szCs w:val="24"/>
          <w:lang w:val="en-GB"/>
        </w:rPr>
        <w:t>tudy design and supervision</w:t>
      </w:r>
      <w:r w:rsidR="00E3008B" w:rsidRPr="00B17ED4">
        <w:rPr>
          <w:rFonts w:ascii="Book Antiqua" w:hAnsi="Book Antiqua" w:cs="Book Antiqua"/>
          <w:sz w:val="24"/>
          <w:szCs w:val="24"/>
          <w:lang w:val="en-GB"/>
        </w:rPr>
        <w:t xml:space="preserve">; </w:t>
      </w:r>
      <w:r w:rsidR="00E3008B" w:rsidRPr="00B17ED4">
        <w:rPr>
          <w:rFonts w:ascii="Book Antiqua" w:hAnsi="Book Antiqua" w:cs="Book Antiqua"/>
          <w:sz w:val="24"/>
          <w:szCs w:val="24"/>
        </w:rPr>
        <w:t>Fallet</w:t>
      </w:r>
      <w:r w:rsidR="00E3008B" w:rsidRPr="00B17ED4">
        <w:rPr>
          <w:rFonts w:ascii="Book Antiqua" w:eastAsia="宋体" w:hAnsi="Book Antiqua" w:cs="Book Antiqua" w:hint="eastAsia"/>
          <w:sz w:val="24"/>
          <w:szCs w:val="24"/>
          <w:lang w:val="en-US" w:eastAsia="zh-CN"/>
        </w:rPr>
        <w:t xml:space="preserve"> E</w:t>
      </w:r>
      <w:r w:rsidR="002842A5" w:rsidRPr="00B17ED4">
        <w:rPr>
          <w:rFonts w:ascii="Book Antiqua" w:hAnsi="Book Antiqua" w:cs="Book Antiqua"/>
          <w:sz w:val="24"/>
          <w:szCs w:val="24"/>
          <w:lang w:val="en-GB"/>
        </w:rPr>
        <w:t xml:space="preserve"> and </w:t>
      </w:r>
      <w:r w:rsidR="00E3008B" w:rsidRPr="00B17ED4">
        <w:rPr>
          <w:rFonts w:ascii="Book Antiqua" w:hAnsi="Book Antiqua" w:cs="Book Antiqua"/>
          <w:sz w:val="24"/>
          <w:szCs w:val="24"/>
        </w:rPr>
        <w:t>Bardou-Jacquet</w:t>
      </w:r>
      <w:r w:rsidR="00E3008B" w:rsidRPr="00B17ED4">
        <w:rPr>
          <w:rFonts w:ascii="Book Antiqua" w:eastAsia="宋体" w:hAnsi="Book Antiqua" w:cs="Book Antiqua" w:hint="eastAsia"/>
          <w:sz w:val="24"/>
          <w:szCs w:val="24"/>
          <w:lang w:val="en-US" w:eastAsia="zh-CN"/>
        </w:rPr>
        <w:t xml:space="preserve"> E</w:t>
      </w:r>
      <w:r w:rsidR="00E3008B"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lang w:val="en-GB"/>
        </w:rPr>
        <w:t>drafted the m</w:t>
      </w:r>
      <w:r w:rsidRPr="00B17ED4">
        <w:rPr>
          <w:rFonts w:ascii="Book Antiqua" w:hAnsi="Book Antiqua" w:cs="Book Antiqua"/>
          <w:sz w:val="24"/>
          <w:szCs w:val="24"/>
          <w:lang w:val="en-GB"/>
        </w:rPr>
        <w:t>anuscript</w:t>
      </w:r>
      <w:r w:rsidR="002842A5"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rPr>
        <w:t>Fallet</w:t>
      </w:r>
      <w:r w:rsidR="002842A5" w:rsidRPr="00B17ED4">
        <w:rPr>
          <w:rFonts w:ascii="Book Antiqua" w:eastAsia="宋体" w:hAnsi="Book Antiqua" w:cs="Book Antiqua" w:hint="eastAsia"/>
          <w:sz w:val="24"/>
          <w:szCs w:val="24"/>
          <w:lang w:val="en-US" w:eastAsia="zh-CN"/>
        </w:rPr>
        <w:t xml:space="preserve"> E</w:t>
      </w:r>
      <w:r w:rsidR="002842A5" w:rsidRPr="00B17ED4">
        <w:rPr>
          <w:rFonts w:ascii="Book Antiqua" w:hAnsi="Book Antiqua" w:cs="Book Antiqua"/>
          <w:sz w:val="24"/>
          <w:szCs w:val="24"/>
          <w:lang w:val="en-GB"/>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Uguen</w:t>
      </w:r>
      <w:r w:rsidR="002842A5" w:rsidRPr="00B17ED4">
        <w:rPr>
          <w:rFonts w:ascii="Book Antiqua" w:eastAsia="宋体" w:hAnsi="Book Antiqua" w:cs="Book Antiqua" w:hint="eastAsia"/>
          <w:sz w:val="24"/>
          <w:szCs w:val="24"/>
          <w:lang w:val="en-US" w:eastAsia="zh-CN"/>
        </w:rPr>
        <w:t xml:space="preserve"> T</w:t>
      </w:r>
      <w:r w:rsidR="002842A5" w:rsidRPr="00B17ED4">
        <w:rPr>
          <w:rFonts w:ascii="Book Antiqua" w:hAnsi="Book Antiqua" w:cs="Book Antiqua"/>
          <w:sz w:val="24"/>
          <w:szCs w:val="24"/>
          <w:lang w:val="en-GB"/>
        </w:rPr>
        <w:t xml:space="preserve"> and </w:t>
      </w:r>
      <w:r w:rsidR="002842A5" w:rsidRPr="00B17ED4">
        <w:rPr>
          <w:rFonts w:ascii="Book Antiqua" w:hAnsi="Book Antiqua" w:cs="Book Antiqua"/>
          <w:sz w:val="24"/>
          <w:szCs w:val="24"/>
        </w:rPr>
        <w:t>Rayar</w:t>
      </w:r>
      <w:r w:rsidR="002842A5" w:rsidRPr="00B17ED4">
        <w:rPr>
          <w:rFonts w:ascii="Book Antiqua" w:eastAsia="宋体" w:hAnsi="Book Antiqua" w:cs="Book Antiqua" w:hint="eastAsia"/>
          <w:sz w:val="24"/>
          <w:szCs w:val="24"/>
          <w:lang w:val="en-US" w:eastAsia="zh-CN"/>
        </w:rPr>
        <w:t xml:space="preserve"> M</w:t>
      </w:r>
      <w:r w:rsidR="002842A5" w:rsidRPr="00B17ED4">
        <w:rPr>
          <w:rFonts w:ascii="Book Antiqua" w:hAnsi="Book Antiqua" w:cs="Book Antiqua"/>
          <w:sz w:val="24"/>
          <w:szCs w:val="24"/>
          <w:lang w:val="en-GB"/>
        </w:rPr>
        <w:t xml:space="preserve"> gathered the </w:t>
      </w:r>
      <w:r w:rsidRPr="00B17ED4">
        <w:rPr>
          <w:rFonts w:ascii="Book Antiqua" w:hAnsi="Book Antiqua" w:cs="Book Antiqua"/>
          <w:sz w:val="24"/>
          <w:szCs w:val="24"/>
          <w:lang w:val="en-GB"/>
        </w:rPr>
        <w:t>Data</w:t>
      </w:r>
      <w:r w:rsidR="002842A5"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rPr>
        <w:t>Bardou-Jacquet</w:t>
      </w:r>
      <w:r w:rsidR="002842A5" w:rsidRPr="00B17ED4">
        <w:rPr>
          <w:rFonts w:ascii="Book Antiqua" w:eastAsia="宋体" w:hAnsi="Book Antiqua" w:cs="Book Antiqua" w:hint="eastAsia"/>
          <w:sz w:val="24"/>
          <w:szCs w:val="24"/>
          <w:lang w:val="en-US" w:eastAsia="zh-CN"/>
        </w:rPr>
        <w:t xml:space="preserve"> E</w:t>
      </w:r>
      <w:r w:rsidR="002842A5" w:rsidRPr="00B17ED4">
        <w:rPr>
          <w:rFonts w:ascii="Book Antiqua" w:eastAsia="宋体" w:hAnsi="Book Antiqua" w:cs="Book Antiqua"/>
          <w:sz w:val="24"/>
          <w:szCs w:val="24"/>
          <w:lang w:val="en-US" w:eastAsia="zh-CN"/>
        </w:rPr>
        <w:t xml:space="preserve"> and </w:t>
      </w:r>
      <w:r w:rsidR="002842A5" w:rsidRPr="00B17ED4">
        <w:rPr>
          <w:rFonts w:ascii="Book Antiqua" w:hAnsi="Book Antiqua" w:cs="Book Antiqua"/>
          <w:sz w:val="24"/>
          <w:szCs w:val="24"/>
        </w:rPr>
        <w:t>Rayar</w:t>
      </w:r>
      <w:r w:rsidR="002842A5" w:rsidRPr="00B17ED4">
        <w:rPr>
          <w:rFonts w:ascii="Book Antiqua" w:eastAsia="宋体" w:hAnsi="Book Antiqua" w:cs="Book Antiqua" w:hint="eastAsia"/>
          <w:sz w:val="24"/>
          <w:szCs w:val="24"/>
          <w:lang w:val="en-US" w:eastAsia="zh-CN"/>
        </w:rPr>
        <w:t xml:space="preserve"> M</w:t>
      </w:r>
      <w:r w:rsidR="002842A5" w:rsidRPr="00B17ED4">
        <w:rPr>
          <w:rFonts w:ascii="Book Antiqua" w:hAnsi="Book Antiqua" w:cs="Book Antiqua"/>
          <w:sz w:val="24"/>
          <w:szCs w:val="24"/>
          <w:lang w:val="en-GB"/>
        </w:rPr>
        <w:t xml:space="preserve"> performed s</w:t>
      </w:r>
      <w:r w:rsidRPr="00B17ED4">
        <w:rPr>
          <w:rFonts w:ascii="Book Antiqua" w:hAnsi="Book Antiqua" w:cs="Book Antiqua"/>
          <w:sz w:val="24"/>
          <w:szCs w:val="24"/>
          <w:lang w:val="en-GB"/>
        </w:rPr>
        <w:t xml:space="preserve">tatistical </w:t>
      </w:r>
      <w:r w:rsidR="002842A5" w:rsidRPr="00B17ED4">
        <w:rPr>
          <w:rFonts w:ascii="Book Antiqua" w:hAnsi="Book Antiqua" w:cs="Book Antiqua"/>
          <w:sz w:val="24"/>
          <w:szCs w:val="24"/>
          <w:lang w:val="en-GB"/>
        </w:rPr>
        <w:t>a</w:t>
      </w:r>
      <w:r w:rsidRPr="00B17ED4">
        <w:rPr>
          <w:rFonts w:ascii="Book Antiqua" w:hAnsi="Book Antiqua" w:cs="Book Antiqua"/>
          <w:sz w:val="24"/>
          <w:szCs w:val="24"/>
          <w:lang w:val="en-GB"/>
        </w:rPr>
        <w:t>nalysis</w:t>
      </w:r>
      <w:r w:rsidR="002842A5"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002842A5" w:rsidRPr="00B17ED4">
        <w:rPr>
          <w:rFonts w:ascii="Book Antiqua" w:hAnsi="Book Antiqua" w:cs="Book Antiqua"/>
          <w:sz w:val="24"/>
          <w:szCs w:val="24"/>
        </w:rPr>
        <w:lastRenderedPageBreak/>
        <w:t>Landrieux</w:t>
      </w:r>
      <w:r w:rsidR="002842A5" w:rsidRPr="00B17ED4">
        <w:rPr>
          <w:rFonts w:ascii="Book Antiqua" w:eastAsia="宋体" w:hAnsi="Book Antiqua" w:cs="Book Antiqua" w:hint="eastAsia"/>
          <w:sz w:val="24"/>
          <w:szCs w:val="24"/>
          <w:lang w:val="en-US" w:eastAsia="zh-CN"/>
        </w:rPr>
        <w:t xml:space="preserve"> A</w:t>
      </w:r>
      <w:r w:rsidR="002842A5" w:rsidRPr="00B17ED4">
        <w:rPr>
          <w:rFonts w:ascii="Book Antiqua" w:hAnsi="Book Antiqua" w:cs="Book Antiqua"/>
          <w:sz w:val="24"/>
          <w:szCs w:val="24"/>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Camus</w:t>
      </w:r>
      <w:r w:rsidR="002842A5" w:rsidRPr="00B17ED4">
        <w:rPr>
          <w:rFonts w:ascii="Book Antiqua" w:eastAsia="宋体" w:hAnsi="Book Antiqua" w:cs="Book Antiqua" w:hint="eastAsia"/>
          <w:sz w:val="24"/>
          <w:szCs w:val="24"/>
          <w:lang w:val="en-US" w:eastAsia="zh-CN"/>
        </w:rPr>
        <w:t xml:space="preserve"> C</w:t>
      </w:r>
      <w:r w:rsidR="002842A5" w:rsidRPr="00B17ED4">
        <w:rPr>
          <w:rFonts w:ascii="Book Antiqua" w:hAnsi="Book Antiqua" w:cs="Book Antiqua"/>
          <w:sz w:val="24"/>
          <w:szCs w:val="24"/>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Houssel-Debry</w:t>
      </w:r>
      <w:r w:rsidR="002842A5" w:rsidRPr="00B17ED4">
        <w:rPr>
          <w:rFonts w:ascii="Book Antiqua" w:eastAsia="宋体" w:hAnsi="Book Antiqua" w:cs="Book Antiqua" w:hint="eastAsia"/>
          <w:sz w:val="24"/>
          <w:szCs w:val="24"/>
          <w:lang w:val="en-US" w:eastAsia="zh-CN"/>
        </w:rPr>
        <w:t xml:space="preserve"> P</w:t>
      </w:r>
      <w:r w:rsidR="002842A5" w:rsidRPr="00B17ED4">
        <w:rPr>
          <w:rFonts w:ascii="Book Antiqua" w:hAnsi="Book Antiqua" w:cs="Book Antiqua"/>
          <w:sz w:val="24"/>
          <w:szCs w:val="24"/>
        </w:rPr>
        <w:t>,</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Jezequel</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C and Legros</w:t>
      </w:r>
      <w:r w:rsidR="002842A5" w:rsidRPr="00B17ED4">
        <w:rPr>
          <w:rFonts w:ascii="Book Antiqua" w:eastAsia="宋体" w:hAnsi="Book Antiqua" w:cs="Book Antiqua" w:hint="eastAsia"/>
          <w:sz w:val="24"/>
          <w:szCs w:val="24"/>
          <w:lang w:val="en-US" w:eastAsia="zh-CN"/>
        </w:rPr>
        <w:t xml:space="preserve"> </w:t>
      </w:r>
      <w:r w:rsidR="002842A5" w:rsidRPr="00B17ED4">
        <w:rPr>
          <w:rFonts w:ascii="Book Antiqua" w:hAnsi="Book Antiqua" w:cs="Book Antiqua"/>
          <w:sz w:val="24"/>
          <w:szCs w:val="24"/>
        </w:rPr>
        <w:t>L</w:t>
      </w:r>
      <w:r w:rsidR="002842A5" w:rsidRPr="00B17ED4">
        <w:rPr>
          <w:rFonts w:ascii="Book Antiqua" w:hAnsi="Book Antiqua" w:cs="Book Antiqua"/>
          <w:sz w:val="24"/>
          <w:szCs w:val="24"/>
          <w:lang w:val="en-GB"/>
        </w:rPr>
        <w:t xml:space="preserve"> m</w:t>
      </w:r>
      <w:r w:rsidRPr="00B17ED4">
        <w:rPr>
          <w:rFonts w:ascii="Book Antiqua" w:hAnsi="Book Antiqua" w:cs="Book Antiqua"/>
          <w:sz w:val="24"/>
          <w:szCs w:val="24"/>
          <w:lang w:val="en-GB"/>
        </w:rPr>
        <w:t>anage</w:t>
      </w:r>
      <w:r w:rsidR="002842A5" w:rsidRPr="00B17ED4">
        <w:rPr>
          <w:rFonts w:ascii="Book Antiqua" w:hAnsi="Book Antiqua" w:cs="Book Antiqua"/>
          <w:sz w:val="24"/>
          <w:szCs w:val="24"/>
          <w:lang w:val="en-GB"/>
        </w:rPr>
        <w:t xml:space="preserve">d the </w:t>
      </w:r>
      <w:r w:rsidRPr="00B17ED4">
        <w:rPr>
          <w:rFonts w:ascii="Book Antiqua" w:hAnsi="Book Antiqua" w:cs="Book Antiqua"/>
          <w:sz w:val="24"/>
          <w:szCs w:val="24"/>
          <w:lang w:val="en-GB"/>
        </w:rPr>
        <w:t>patients</w:t>
      </w:r>
      <w:r w:rsidR="002842A5" w:rsidRPr="00B17ED4">
        <w:rPr>
          <w:rFonts w:ascii="Book Antiqua" w:hAnsi="Book Antiqua" w:cs="Book Antiqua"/>
          <w:sz w:val="24"/>
          <w:szCs w:val="24"/>
          <w:lang w:val="en-GB"/>
        </w:rPr>
        <w:t>; all authors c</w:t>
      </w:r>
      <w:r w:rsidRPr="00B17ED4">
        <w:rPr>
          <w:rFonts w:ascii="Book Antiqua" w:hAnsi="Book Antiqua" w:cs="Book Antiqua"/>
          <w:sz w:val="24"/>
          <w:szCs w:val="24"/>
          <w:lang w:val="en-GB"/>
        </w:rPr>
        <w:t>ritical</w:t>
      </w:r>
      <w:r w:rsidR="002842A5" w:rsidRPr="00B17ED4">
        <w:rPr>
          <w:rFonts w:ascii="Book Antiqua" w:hAnsi="Book Antiqua" w:cs="Book Antiqua"/>
          <w:sz w:val="24"/>
          <w:szCs w:val="24"/>
          <w:lang w:val="en-GB"/>
        </w:rPr>
        <w:t>ly</w:t>
      </w:r>
      <w:r w:rsidRPr="00B17ED4">
        <w:rPr>
          <w:rFonts w:ascii="Book Antiqua" w:hAnsi="Book Antiqua" w:cs="Book Antiqua"/>
          <w:sz w:val="24"/>
          <w:szCs w:val="24"/>
          <w:lang w:val="en-GB"/>
        </w:rPr>
        <w:t xml:space="preserve"> revis</w:t>
      </w:r>
      <w:r w:rsidR="002842A5" w:rsidRPr="00B17ED4">
        <w:rPr>
          <w:rFonts w:ascii="Book Antiqua" w:hAnsi="Book Antiqua" w:cs="Book Antiqua"/>
          <w:sz w:val="24"/>
          <w:szCs w:val="24"/>
          <w:lang w:val="en-GB"/>
        </w:rPr>
        <w:t>ed the manuscript</w:t>
      </w:r>
      <w:r w:rsidRPr="00B17ED4">
        <w:rPr>
          <w:rFonts w:ascii="Book Antiqua" w:hAnsi="Book Antiqua" w:cs="Book Antiqua"/>
          <w:sz w:val="24"/>
          <w:szCs w:val="24"/>
          <w:lang w:val="en-GB"/>
        </w:rPr>
        <w:t>.</w:t>
      </w:r>
    </w:p>
    <w:p w:rsidR="00820CBF" w:rsidRPr="00B17ED4" w:rsidRDefault="00820CBF" w:rsidP="000505DB">
      <w:pPr>
        <w:snapToGrid w:val="0"/>
        <w:spacing w:after="0" w:line="360" w:lineRule="auto"/>
        <w:jc w:val="both"/>
        <w:rPr>
          <w:rFonts w:ascii="Book Antiqua" w:hAnsi="Book Antiqua" w:cs="Times New Roman"/>
          <w:b/>
          <w:sz w:val="24"/>
          <w:szCs w:val="24"/>
        </w:rPr>
      </w:pPr>
    </w:p>
    <w:p w:rsidR="00820CBF" w:rsidRPr="003D1A51"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Times New Roman"/>
          <w:b/>
          <w:sz w:val="24"/>
          <w:szCs w:val="24"/>
        </w:rPr>
        <w:t>Corresponding author:</w:t>
      </w:r>
      <w:r w:rsidRPr="00B17ED4">
        <w:rPr>
          <w:rFonts w:ascii="Book Antiqua" w:hAnsi="Book Antiqua" w:cs="Book Antiqua"/>
          <w:b/>
          <w:sz w:val="24"/>
          <w:szCs w:val="24"/>
          <w:lang w:val="en-GB"/>
        </w:rPr>
        <w:t xml:space="preserve"> </w:t>
      </w:r>
      <w:r w:rsidR="00805B7A" w:rsidRPr="00B17ED4">
        <w:rPr>
          <w:rFonts w:ascii="Book Antiqua" w:hAnsi="Book Antiqua" w:cs="Book Antiqua"/>
          <w:b/>
          <w:sz w:val="24"/>
          <w:szCs w:val="24"/>
        </w:rPr>
        <w:t>Edouard Bardou-Jacquet</w:t>
      </w:r>
      <w:r w:rsidRPr="00B17ED4">
        <w:rPr>
          <w:rFonts w:ascii="Book Antiqua" w:hAnsi="Book Antiqua" w:cs="Book Antiqua"/>
          <w:b/>
          <w:sz w:val="24"/>
          <w:szCs w:val="24"/>
          <w:lang w:val="en-GB"/>
        </w:rPr>
        <w:t xml:space="preserve">, MD, PhD, Professor of Medicine, </w:t>
      </w:r>
      <w:r w:rsidR="00E83FA1" w:rsidRPr="00B17ED4">
        <w:rPr>
          <w:rFonts w:ascii="Book Antiqua" w:eastAsia="Times New Roman" w:hAnsi="Book Antiqua" w:cs="Book Antiqua"/>
          <w:sz w:val="24"/>
          <w:szCs w:val="24"/>
          <w:lang w:eastAsia="fr-FR"/>
        </w:rPr>
        <w:t xml:space="preserve">Service des Maladies du Foie, </w:t>
      </w:r>
      <w:r w:rsidRPr="00B17ED4">
        <w:rPr>
          <w:rFonts w:ascii="Book Antiqua" w:hAnsi="Book Antiqua" w:cs="Book Antiqua"/>
          <w:sz w:val="24"/>
          <w:szCs w:val="24"/>
          <w:lang w:val="en-GB"/>
        </w:rPr>
        <w:t xml:space="preserve">CHU Rennes, </w:t>
      </w:r>
      <w:r w:rsidR="00805B7A" w:rsidRPr="00B17ED4">
        <w:rPr>
          <w:rFonts w:ascii="Book Antiqua" w:eastAsia="Times New Roman" w:hAnsi="Book Antiqua" w:cs="Book Antiqua"/>
          <w:sz w:val="24"/>
          <w:szCs w:val="24"/>
          <w:lang w:eastAsia="fr-FR"/>
        </w:rPr>
        <w:t>University Rennes,</w:t>
      </w:r>
      <w:r w:rsidR="00805B7A" w:rsidRPr="00B17ED4">
        <w:rPr>
          <w:rFonts w:ascii="Book Antiqua" w:hAnsi="Book Antiqua" w:cs="Book Antiqua"/>
          <w:sz w:val="24"/>
          <w:szCs w:val="24"/>
          <w:lang w:val="en-GB"/>
        </w:rPr>
        <w:t xml:space="preserve"> </w:t>
      </w:r>
      <w:r w:rsidR="007243EC" w:rsidRPr="00747DC1">
        <w:rPr>
          <w:rFonts w:ascii="Book Antiqua" w:eastAsia="Times New Roman" w:hAnsi="Book Antiqua" w:cs="Book Antiqua"/>
          <w:sz w:val="24"/>
          <w:szCs w:val="24"/>
          <w:lang w:eastAsia="fr-FR"/>
        </w:rPr>
        <w:t>CIC1414,</w:t>
      </w:r>
      <w:r w:rsidR="007243EC">
        <w:rPr>
          <w:rFonts w:ascii="Book Antiqua" w:eastAsia="Times New Roman" w:hAnsi="Book Antiqua" w:cs="Book Antiqua"/>
          <w:sz w:val="24"/>
          <w:szCs w:val="24"/>
          <w:lang w:eastAsia="fr-FR"/>
        </w:rPr>
        <w:t xml:space="preserve"> </w:t>
      </w:r>
      <w:r w:rsidRPr="00B17ED4">
        <w:rPr>
          <w:rFonts w:ascii="Book Antiqua" w:hAnsi="Book Antiqua" w:cs="Book Antiqua"/>
          <w:sz w:val="24"/>
          <w:szCs w:val="24"/>
          <w:lang w:val="en-GB"/>
        </w:rPr>
        <w:t>Rennes</w:t>
      </w:r>
      <w:r w:rsidR="0091614C">
        <w:rPr>
          <w:rFonts w:ascii="Book Antiqua" w:eastAsia="宋体" w:hAnsi="Book Antiqua" w:cs="Book Antiqua"/>
          <w:sz w:val="24"/>
          <w:szCs w:val="24"/>
          <w:lang w:val="en-GB" w:eastAsia="zh-CN"/>
        </w:rPr>
        <w:t xml:space="preserve"> </w:t>
      </w:r>
      <w:r w:rsidR="0091614C" w:rsidRPr="0091614C">
        <w:rPr>
          <w:rFonts w:ascii="Book Antiqua" w:eastAsia="Times New Roman" w:hAnsi="Book Antiqua" w:cs="Book Antiqua"/>
          <w:sz w:val="24"/>
          <w:szCs w:val="24"/>
          <w:lang w:eastAsia="fr-FR"/>
        </w:rPr>
        <w:t>35033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France. </w:t>
      </w:r>
      <w:hyperlink r:id="rId8" w:history="1">
        <w:r w:rsidR="00805B7A" w:rsidRPr="003D1A51">
          <w:rPr>
            <w:rStyle w:val="af0"/>
            <w:rFonts w:ascii="Book Antiqua" w:hAnsi="Book Antiqua" w:cs="Book Antiqua"/>
            <w:color w:val="auto"/>
            <w:sz w:val="24"/>
            <w:szCs w:val="24"/>
            <w:u w:val="none"/>
          </w:rPr>
          <w:t>e</w:t>
        </w:r>
        <w:r w:rsidRPr="003D1A51">
          <w:rPr>
            <w:rStyle w:val="af0"/>
            <w:rFonts w:ascii="Book Antiqua" w:hAnsi="Book Antiqua" w:cs="Book Antiqua"/>
            <w:color w:val="auto"/>
            <w:sz w:val="24"/>
            <w:szCs w:val="24"/>
            <w:u w:val="none"/>
          </w:rPr>
          <w:t>douard.bardou-jacquet@chu-rennes.fr</w:t>
        </w:r>
      </w:hyperlink>
      <w:r w:rsidR="00805B7A" w:rsidRPr="003D1A51">
        <w:rPr>
          <w:rStyle w:val="af0"/>
          <w:rFonts w:ascii="Book Antiqua" w:hAnsi="Book Antiqua" w:cs="Book Antiqua"/>
          <w:color w:val="auto"/>
          <w:sz w:val="24"/>
          <w:szCs w:val="24"/>
          <w:u w:val="none"/>
        </w:rPr>
        <w:t xml:space="preserve"> </w:t>
      </w:r>
    </w:p>
    <w:p w:rsidR="00820CBF" w:rsidRPr="003D1A51" w:rsidRDefault="00820CBF" w:rsidP="000505DB">
      <w:pPr>
        <w:snapToGrid w:val="0"/>
        <w:spacing w:after="0" w:line="360" w:lineRule="auto"/>
        <w:jc w:val="both"/>
        <w:rPr>
          <w:rFonts w:ascii="Book Antiqua" w:hAnsi="Book Antiqua" w:cs="Book Antiqua"/>
          <w:sz w:val="24"/>
          <w:szCs w:val="24"/>
        </w:rPr>
      </w:pP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 xml:space="preserve">Received: </w:t>
      </w:r>
      <w:r w:rsidR="00805B7A" w:rsidRPr="00B17ED4">
        <w:rPr>
          <w:rFonts w:ascii="Book Antiqua" w:eastAsia="宋体" w:hAnsi="Book Antiqua" w:cs="Times New Roman"/>
          <w:sz w:val="24"/>
          <w:szCs w:val="24"/>
          <w:lang w:val="en-US"/>
        </w:rPr>
        <w:t>December 30, 2019</w:t>
      </w: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Revised:</w:t>
      </w:r>
      <w:r w:rsidRPr="00B17ED4">
        <w:rPr>
          <w:rFonts w:ascii="Book Antiqua" w:eastAsia="宋体" w:hAnsi="Book Antiqua" w:cs="Times New Roman"/>
          <w:sz w:val="24"/>
          <w:szCs w:val="24"/>
          <w:lang w:val="en-US"/>
        </w:rPr>
        <w:t xml:space="preserve"> </w:t>
      </w:r>
      <w:r w:rsidRPr="00B17ED4">
        <w:rPr>
          <w:rFonts w:ascii="Book Antiqua" w:eastAsia="宋体" w:hAnsi="Book Antiqua" w:cs="Times New Roman"/>
          <w:bCs/>
          <w:kern w:val="2"/>
          <w:sz w:val="24"/>
          <w:szCs w:val="24"/>
          <w:lang w:val="en-US"/>
        </w:rPr>
        <w:t xml:space="preserve">March </w:t>
      </w:r>
      <w:r w:rsidRPr="00B17ED4">
        <w:rPr>
          <w:rFonts w:ascii="Book Antiqua" w:eastAsia="宋体" w:hAnsi="Book Antiqua" w:cs="Times New Roman" w:hint="eastAsia"/>
          <w:bCs/>
          <w:kern w:val="2"/>
          <w:sz w:val="24"/>
          <w:szCs w:val="24"/>
          <w:lang w:val="en-US" w:eastAsia="zh-CN"/>
        </w:rPr>
        <w:t>30</w:t>
      </w:r>
      <w:r w:rsidRPr="00B17ED4">
        <w:rPr>
          <w:rFonts w:ascii="Book Antiqua" w:eastAsia="宋体" w:hAnsi="Book Antiqua" w:cs="Times New Roman"/>
          <w:bCs/>
          <w:kern w:val="2"/>
          <w:sz w:val="24"/>
          <w:szCs w:val="24"/>
          <w:lang w:val="en-US"/>
        </w:rPr>
        <w:t>, 2020</w:t>
      </w:r>
    </w:p>
    <w:p w:rsidR="00820CBF" w:rsidRPr="00B17ED4" w:rsidRDefault="001317CB" w:rsidP="000505DB">
      <w:pPr>
        <w:adjustRightInd w:val="0"/>
        <w:snapToGrid w:val="0"/>
        <w:spacing w:after="0" w:line="360" w:lineRule="auto"/>
        <w:jc w:val="both"/>
        <w:rPr>
          <w:rFonts w:ascii="Book Antiqua" w:eastAsia="宋体" w:hAnsi="Book Antiqua" w:cs="Times New Roman"/>
          <w:sz w:val="24"/>
          <w:szCs w:val="24"/>
        </w:rPr>
      </w:pPr>
      <w:r w:rsidRPr="00B17ED4">
        <w:rPr>
          <w:rFonts w:ascii="Book Antiqua" w:eastAsia="宋体" w:hAnsi="Book Antiqua" w:cs="Times New Roman"/>
          <w:b/>
          <w:sz w:val="24"/>
          <w:szCs w:val="24"/>
          <w:lang w:val="en-US"/>
        </w:rPr>
        <w:t>Accepted:</w:t>
      </w:r>
      <w:bookmarkStart w:id="0" w:name="OLE_LINK52"/>
      <w:bookmarkStart w:id="1" w:name="OLE_LINK53"/>
      <w:r w:rsidR="003D1A51" w:rsidRPr="003D1A51">
        <w:t xml:space="preserve"> </w:t>
      </w:r>
      <w:r w:rsidR="003D1A51" w:rsidRPr="003D1A51">
        <w:rPr>
          <w:rFonts w:ascii="Book Antiqua" w:eastAsia="宋体" w:hAnsi="Book Antiqua" w:cs="Times New Roman"/>
          <w:bCs/>
          <w:sz w:val="24"/>
          <w:szCs w:val="24"/>
          <w:lang w:val="en-US"/>
        </w:rPr>
        <w:t>April 17, 2020</w:t>
      </w:r>
      <w:r w:rsidRPr="003D1A51">
        <w:rPr>
          <w:rFonts w:ascii="Book Antiqua" w:eastAsia="宋体" w:hAnsi="Book Antiqua" w:cs="Times New Roman"/>
          <w:bCs/>
          <w:kern w:val="2"/>
          <w:sz w:val="24"/>
          <w:szCs w:val="24"/>
          <w:lang w:val="en-US"/>
        </w:rPr>
        <w:t xml:space="preserve"> </w:t>
      </w:r>
      <w:bookmarkEnd w:id="0"/>
      <w:bookmarkEnd w:id="1"/>
    </w:p>
    <w:p w:rsidR="00820CBF" w:rsidRPr="00B17ED4" w:rsidRDefault="001317CB" w:rsidP="000505DB">
      <w:pPr>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Published online:</w:t>
      </w:r>
    </w:p>
    <w:p w:rsidR="00820CBF" w:rsidRPr="00B17ED4" w:rsidRDefault="00820CBF" w:rsidP="000505DB">
      <w:pPr>
        <w:snapToGrid w:val="0"/>
        <w:spacing w:after="0" w:line="360" w:lineRule="auto"/>
        <w:jc w:val="both"/>
        <w:rPr>
          <w:rFonts w:ascii="Book Antiqua" w:hAnsi="Book Antiqua" w:cs="Book Antiqua"/>
          <w:bCs/>
          <w:sz w:val="24"/>
          <w:szCs w:val="24"/>
          <w:lang w:val="en-GB"/>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Times New Roman"/>
          <w:b/>
          <w:sz w:val="24"/>
          <w:szCs w:val="24"/>
        </w:rPr>
        <w:lastRenderedPageBreak/>
        <w:t>Abstract</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lang w:val="en-US"/>
        </w:rPr>
        <w:t>BACKGROUND</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Liver transplantation (LT) is the best treatment for patients with liver cancer or end stage cirrhosis, but it is still associated with a significant mortality. Therefore identifying factors associated with mortality could help improve patient management. The impact of iron metabolism, which could be a relevant therapeutic target, yield discrepant results in this setting. Previous studies suggest that increased serum ferritin is associated with higher mortality. Surprisingly iron deficiency which is a well described risk factor in critically ill patients has not been considered. </w:t>
      </w:r>
    </w:p>
    <w:p w:rsidR="00D611FC" w:rsidRPr="00B17ED4" w:rsidRDefault="00D611FC"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AIM</w:t>
      </w: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caps/>
          <w:sz w:val="24"/>
          <w:szCs w:val="24"/>
          <w:lang w:val="en-GB"/>
        </w:rPr>
        <w:t>t</w:t>
      </w:r>
      <w:r w:rsidRPr="00B17ED4">
        <w:rPr>
          <w:rFonts w:ascii="Book Antiqua" w:hAnsi="Book Antiqua" w:cs="Book Antiqua"/>
          <w:sz w:val="24"/>
          <w:szCs w:val="24"/>
          <w:lang w:val="en-GB"/>
        </w:rPr>
        <w:t>o assess the impact of pre-transplant iron metabolism parameters on post-transplant survival.</w:t>
      </w:r>
    </w:p>
    <w:p w:rsidR="00D611FC" w:rsidRPr="00B17ED4" w:rsidRDefault="00D611FC"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METHODS</w:t>
      </w: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sz w:val="24"/>
          <w:szCs w:val="24"/>
          <w:lang w:val="en-GB"/>
        </w:rPr>
        <w:t xml:space="preserve">From 2001 to 2011, 553 patients who underwent LT with iron metabolism parameters available at LT evaluation were included. Data were prospectively recorded at the time of evaluation and at the time of LT regarding donor and recipient. </w:t>
      </w:r>
      <w:r w:rsidR="004E2873" w:rsidRPr="004E2873">
        <w:rPr>
          <w:rFonts w:ascii="Book Antiqua" w:hAnsi="Book Antiqua" w:cs="Book Antiqua"/>
          <w:caps/>
          <w:sz w:val="24"/>
          <w:szCs w:val="24"/>
          <w:lang w:val="en-GB"/>
        </w:rPr>
        <w:t>s</w:t>
      </w:r>
      <w:r w:rsidR="004E2873" w:rsidRPr="00B17ED4">
        <w:rPr>
          <w:rFonts w:ascii="Book Antiqua" w:hAnsi="Book Antiqua" w:cs="Book Antiqua"/>
          <w:sz w:val="24"/>
          <w:szCs w:val="24"/>
          <w:lang w:val="en-GB"/>
        </w:rPr>
        <w:t>erum ferritin</w:t>
      </w:r>
      <w:r w:rsidRPr="00B17ED4">
        <w:rPr>
          <w:rFonts w:ascii="Book Antiqua" w:hAnsi="Book Antiqua" w:cs="Book Antiqua"/>
          <w:b/>
          <w:sz w:val="24"/>
          <w:szCs w:val="24"/>
          <w:lang w:val="en-GB"/>
        </w:rPr>
        <w:t xml:space="preserve"> </w:t>
      </w:r>
      <w:r w:rsidRPr="00B17ED4">
        <w:rPr>
          <w:rFonts w:ascii="Book Antiqua" w:hAnsi="Book Antiqua" w:cs="Book Antiqua"/>
          <w:sz w:val="24"/>
          <w:szCs w:val="24"/>
          <w:lang w:val="en-GB"/>
        </w:rPr>
        <w:t xml:space="preserve">(SF) and </w:t>
      </w:r>
      <w:r w:rsidR="004E2873" w:rsidRPr="00B17ED4">
        <w:rPr>
          <w:rFonts w:ascii="Book Antiqua" w:hAnsi="Book Antiqua" w:cs="Book Antiqua"/>
          <w:sz w:val="24"/>
          <w:szCs w:val="24"/>
          <w:lang w:val="en-GB"/>
        </w:rPr>
        <w:t>transferrin saturation</w:t>
      </w:r>
      <w:r w:rsidRPr="00B17ED4">
        <w:rPr>
          <w:rFonts w:ascii="Book Antiqua" w:hAnsi="Book Antiqua" w:cs="Book Antiqua"/>
          <w:sz w:val="24"/>
          <w:szCs w:val="24"/>
          <w:lang w:val="en-GB"/>
        </w:rPr>
        <w:t xml:space="preserve"> (TS) were studied as continuous and categorical variable. Cox regression analysis was used to determine mortality risks factors. Follow-up data were obtained from the local and national database regarding causes of death.</w:t>
      </w:r>
    </w:p>
    <w:p w:rsidR="00B17ED4" w:rsidRPr="00B17ED4" w:rsidRDefault="00B17ED4"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RESULTS</w:t>
      </w:r>
    </w:p>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sz w:val="24"/>
          <w:szCs w:val="24"/>
          <w:lang w:val="en-GB"/>
        </w:rPr>
        <w:t>At the end of a 95</w:t>
      </w:r>
      <w:r w:rsidR="00C7242C" w:rsidRPr="00C7242C">
        <w:rPr>
          <w:rFonts w:ascii="Book Antiqua" w:eastAsiaTheme="minorEastAsia" w:hAnsi="Book Antiqua" w:cs="Book Antiqua"/>
          <w:sz w:val="24"/>
          <w:szCs w:val="24"/>
          <w:lang w:val="en-GB" w:eastAsia="zh-CN"/>
        </w:rPr>
        <w:t>-</w:t>
      </w:r>
      <w:r w:rsidRPr="00B17ED4">
        <w:rPr>
          <w:rFonts w:ascii="Book Antiqua" w:eastAsia="宋体" w:hAnsi="Book Antiqua" w:cs="Book Antiqua" w:hint="eastAsia"/>
          <w:sz w:val="24"/>
          <w:szCs w:val="24"/>
          <w:lang w:val="en-GB" w:eastAsia="zh-CN"/>
        </w:rPr>
        <w:t>mo</w:t>
      </w:r>
      <w:r w:rsidRPr="00B17ED4">
        <w:rPr>
          <w:rFonts w:ascii="Book Antiqua" w:hAnsi="Book Antiqua" w:cs="Book Antiqua"/>
          <w:sz w:val="24"/>
          <w:szCs w:val="24"/>
          <w:lang w:val="en-GB"/>
        </w:rPr>
        <w:t xml:space="preserve"> median follow-up, 196 patients were dead, 38 of them because of infections. In multivariate analysis, overall mortality was significantly associated with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1.73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(1.14;</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2.63)], SF</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1.62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2.35)], hepatocellular carcinoma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1.58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2.26)], estimated glomerular filtration rate (CKD EPI </w:t>
      </w:r>
      <w:r w:rsidR="004E2873" w:rsidRPr="00FE5281">
        <w:rPr>
          <w:rFonts w:ascii="Book Antiqua" w:hAnsi="Book Antiqua" w:cs="Book Antiqua"/>
          <w:caps/>
          <w:sz w:val="24"/>
          <w:szCs w:val="24"/>
          <w:lang w:val="en-GB"/>
        </w:rPr>
        <w:t>c</w:t>
      </w:r>
      <w:r w:rsidRPr="00B17ED4">
        <w:rPr>
          <w:rFonts w:ascii="Book Antiqua" w:hAnsi="Book Antiqua" w:cs="Book Antiqua"/>
          <w:sz w:val="24"/>
          <w:szCs w:val="24"/>
          <w:lang w:val="en-GB"/>
        </w:rPr>
        <w:t>ystatin C)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 and packed red blood cell transfusion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1.08)]. Kaplan Meier curves show that patients with low SF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or high SF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400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µg/L) have lower survival rates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than patients with </w:t>
      </w:r>
      <w:r w:rsidRPr="00B17ED4">
        <w:rPr>
          <w:rFonts w:ascii="Book Antiqua" w:hAnsi="Book Antiqua" w:cs="Book Antiqua"/>
          <w:sz w:val="24"/>
          <w:szCs w:val="24"/>
          <w:lang w:val="en-GB"/>
        </w:rPr>
        <w:lastRenderedPageBreak/>
        <w:t>normal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w:t>
      </w:r>
      <w:r w:rsidR="00EA6605">
        <w:rPr>
          <w:rFonts w:ascii="Book Antiqua" w:eastAsia="Times New Roman" w:hAnsi="Book Antiqua" w:cs="Book Antiqua"/>
          <w:sz w:val="24"/>
          <w:szCs w:val="24"/>
          <w:lang w:val="en-GB" w:eastAsia="fr-FR"/>
        </w:rPr>
        <w:t>.</w:t>
      </w:r>
      <w:r w:rsidRPr="00B17ED4">
        <w:rPr>
          <w:rFonts w:ascii="Book Antiqua" w:eastAsia="Times New Roman" w:hAnsi="Book Antiqua" w:cs="Book Antiqua"/>
          <w:sz w:val="24"/>
          <w:szCs w:val="24"/>
          <w:lang w:val="en-GB" w:eastAsia="fr-FR"/>
        </w:rPr>
        <w:t xml:space="preserve">008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w:t>
      </w:r>
      <w:r w:rsidR="00EA6605">
        <w:rPr>
          <w:rFonts w:ascii="Book Antiqua" w:eastAsia="Times New Roman" w:hAnsi="Book Antiqua" w:cs="Book Antiqua"/>
          <w:sz w:val="24"/>
          <w:szCs w:val="24"/>
          <w:lang w:val="en-GB" w:eastAsia="fr-FR"/>
        </w:rPr>
        <w:t>.</w:t>
      </w:r>
      <w:r w:rsidRPr="00B17ED4">
        <w:rPr>
          <w:rFonts w:ascii="Book Antiqua" w:eastAsia="Times New Roman" w:hAnsi="Book Antiqua" w:cs="Book Antiqua"/>
          <w:sz w:val="24"/>
          <w:szCs w:val="24"/>
          <w:lang w:val="en-GB" w:eastAsia="fr-FR"/>
        </w:rPr>
        <w:t>016 respectively)</w:t>
      </w:r>
      <w:r w:rsidRPr="00B17ED4">
        <w:rPr>
          <w:rFonts w:ascii="Book Antiqua" w:hAnsi="Book Antiqua" w:cs="Book Antiqua"/>
          <w:sz w:val="24"/>
          <w:szCs w:val="24"/>
          <w:lang w:val="en-GB"/>
        </w:rPr>
        <w:t xml:space="preserve">. Patients with TS higher than 75% had higher mortality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(91.4% ± 1.4</w:t>
      </w:r>
      <w:r w:rsidR="004E2873"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hAnsi="Book Antiqua" w:cs="Book Antiqua"/>
          <w:i/>
          <w:iCs/>
          <w:sz w:val="24"/>
          <w:szCs w:val="24"/>
          <w:lang w:val="en-GB"/>
        </w:rPr>
        <w:t>vs</w:t>
      </w:r>
      <w:r w:rsidRPr="00B17ED4">
        <w:rPr>
          <w:rFonts w:ascii="Book Antiqua" w:hAnsi="Book Antiqua" w:cs="Book Antiqua"/>
          <w:sz w:val="24"/>
          <w:szCs w:val="24"/>
          <w:lang w:val="en-GB"/>
        </w:rPr>
        <w:t xml:space="preserve"> 84.6% ± 3.1</w:t>
      </w:r>
      <w:r w:rsidR="004E2873"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0.039).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75% was significantly associated with infection related death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 xml:space="preserve">HR: </w:t>
      </w:r>
      <w:r w:rsidRPr="00B17ED4">
        <w:rPr>
          <w:rFonts w:ascii="Book Antiqua" w:eastAsia="Times New Roman" w:hAnsi="Book Antiqua" w:cs="Book Antiqua"/>
          <w:sz w:val="24"/>
          <w:szCs w:val="24"/>
          <w:lang w:val="en-GB" w:eastAsia="fr-FR"/>
        </w:rPr>
        <w:t xml:space="preserve">3.06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1.13; 8.23)]</w:t>
      </w:r>
      <w:r w:rsidRPr="00B17ED4">
        <w:rPr>
          <w:rFonts w:ascii="Book Antiqua" w:hAnsi="Book Antiqua" w:cs="Book Antiqua"/>
          <w:sz w:val="24"/>
          <w:szCs w:val="24"/>
          <w:lang w:val="en-GB"/>
        </w:rPr>
        <w:t>. </w:t>
      </w:r>
    </w:p>
    <w:p w:rsidR="004E2873" w:rsidRDefault="004E2873"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sz w:val="24"/>
          <w:szCs w:val="24"/>
        </w:rPr>
        <w:t>CONCLUSION</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Our results show that iron metabolism imbalance (either deficiency or overload) is associated with post-transplant overall and infectious mortality. Impact of iron supplementation or depletion should be assessed in prospective study.</w:t>
      </w:r>
    </w:p>
    <w:p w:rsidR="00820CBF" w:rsidRPr="00B17ED4" w:rsidRDefault="00820CBF" w:rsidP="000505DB">
      <w:pPr>
        <w:snapToGrid w:val="0"/>
        <w:spacing w:after="0" w:line="360" w:lineRule="auto"/>
        <w:jc w:val="both"/>
        <w:rPr>
          <w:rFonts w:ascii="Book Antiqua" w:hAnsi="Book Antiqua" w:cs="Book Antiqua"/>
          <w:sz w:val="24"/>
          <w:szCs w:val="24"/>
          <w:lang w:val="en-US"/>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Times New Roman"/>
          <w:b/>
          <w:sz w:val="24"/>
          <w:szCs w:val="24"/>
        </w:rPr>
        <w:t>Key words</w:t>
      </w:r>
      <w:r w:rsidRPr="00B17ED4">
        <w:rPr>
          <w:rFonts w:ascii="Book Antiqua" w:hAnsi="Book Antiqua" w:cs="Times New Roman"/>
          <w:sz w:val="24"/>
          <w:szCs w:val="24"/>
        </w:rPr>
        <w:t>:</w:t>
      </w:r>
      <w:r w:rsidRPr="00B17ED4">
        <w:rPr>
          <w:rFonts w:ascii="Book Antiqua" w:hAnsi="Book Antiqua" w:cs="Book Antiqua"/>
          <w:sz w:val="24"/>
          <w:szCs w:val="24"/>
          <w:lang w:val="en-GB"/>
        </w:rPr>
        <w:t xml:space="preserve"> Iron deficiency</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Overload</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Cirrhosis</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Infection</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Death</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Ferritin</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Transferrin saturation</w:t>
      </w:r>
    </w:p>
    <w:p w:rsidR="00820CBF" w:rsidRPr="00B17ED4" w:rsidRDefault="00820CBF" w:rsidP="000505DB">
      <w:pPr>
        <w:snapToGrid w:val="0"/>
        <w:spacing w:after="0" w:line="360" w:lineRule="auto"/>
        <w:jc w:val="both"/>
        <w:rPr>
          <w:rFonts w:ascii="Book Antiqua" w:hAnsi="Book Antiqua" w:cs="Times New Roman"/>
          <w:b/>
          <w:sz w:val="24"/>
          <w:szCs w:val="24"/>
        </w:rPr>
      </w:pPr>
    </w:p>
    <w:p w:rsidR="00820CBF" w:rsidRPr="00B17ED4" w:rsidRDefault="001317CB" w:rsidP="000505DB">
      <w:pPr>
        <w:snapToGrid w:val="0"/>
        <w:spacing w:after="0" w:line="360" w:lineRule="auto"/>
        <w:jc w:val="both"/>
        <w:rPr>
          <w:rFonts w:ascii="Book Antiqua" w:eastAsia="宋体" w:hAnsi="Book Antiqua" w:cs="Book Antiqua"/>
          <w:bCs/>
          <w:sz w:val="24"/>
          <w:szCs w:val="24"/>
          <w:lang w:val="en-US" w:eastAsia="zh-CN"/>
        </w:rPr>
      </w:pPr>
      <w:proofErr w:type="spellStart"/>
      <w:r w:rsidRPr="00B17ED4">
        <w:rPr>
          <w:rFonts w:ascii="Book Antiqua" w:hAnsi="Book Antiqua" w:cs="Book Antiqua"/>
          <w:sz w:val="24"/>
          <w:szCs w:val="24"/>
          <w:lang w:val="en-GB"/>
        </w:rPr>
        <w:t>Fallet</w:t>
      </w:r>
      <w:proofErr w:type="spellEnd"/>
      <w:r w:rsidRPr="00B17ED4">
        <w:rPr>
          <w:rFonts w:ascii="Book Antiqua" w:hAnsi="Book Antiqua" w:cs="Book Antiqua"/>
          <w:sz w:val="24"/>
          <w:szCs w:val="24"/>
          <w:lang w:val="en-GB"/>
        </w:rPr>
        <w:t xml:space="preserve"> E, </w:t>
      </w:r>
      <w:proofErr w:type="spellStart"/>
      <w:r w:rsidRPr="00B17ED4">
        <w:rPr>
          <w:rFonts w:ascii="Book Antiqua" w:hAnsi="Book Antiqua" w:cs="Book Antiqua"/>
          <w:sz w:val="24"/>
          <w:szCs w:val="24"/>
          <w:lang w:val="en-GB"/>
        </w:rPr>
        <w:t>Rayar</w:t>
      </w:r>
      <w:proofErr w:type="spellEnd"/>
      <w:r w:rsidRPr="00B17ED4">
        <w:rPr>
          <w:rFonts w:ascii="Book Antiqua" w:hAnsi="Book Antiqua" w:cs="Book Antiqua"/>
          <w:sz w:val="24"/>
          <w:szCs w:val="24"/>
          <w:lang w:val="en-GB"/>
        </w:rPr>
        <w:t xml:space="preserve"> M</w:t>
      </w:r>
      <w:r w:rsidRPr="00B17ED4">
        <w:rPr>
          <w:rFonts w:ascii="Book Antiqua" w:hAnsi="Book Antiqua" w:cs="Book Antiqua"/>
          <w:bCs/>
          <w:sz w:val="24"/>
          <w:szCs w:val="24"/>
          <w:lang w:val="en-GB"/>
        </w:rPr>
        <w:t xml:space="preserve">, </w:t>
      </w:r>
      <w:proofErr w:type="spellStart"/>
      <w:r w:rsidRPr="00B17ED4">
        <w:rPr>
          <w:rFonts w:ascii="Book Antiqua" w:hAnsi="Book Antiqua" w:cs="Book Antiqua"/>
          <w:bCs/>
          <w:sz w:val="24"/>
          <w:szCs w:val="24"/>
          <w:lang w:val="en-GB"/>
        </w:rPr>
        <w:t>Landrieux</w:t>
      </w:r>
      <w:proofErr w:type="spellEnd"/>
      <w:r w:rsidRPr="00B17ED4">
        <w:rPr>
          <w:rFonts w:ascii="Book Antiqua" w:hAnsi="Book Antiqua" w:cs="Book Antiqua"/>
          <w:bCs/>
          <w:sz w:val="24"/>
          <w:szCs w:val="24"/>
          <w:lang w:val="en-GB"/>
        </w:rPr>
        <w:t xml:space="preserve"> A, Camus C, </w:t>
      </w:r>
      <w:proofErr w:type="spellStart"/>
      <w:r w:rsidRPr="00B17ED4">
        <w:rPr>
          <w:rFonts w:ascii="Book Antiqua" w:hAnsi="Book Antiqua" w:cs="Book Antiqua"/>
          <w:bCs/>
          <w:sz w:val="24"/>
          <w:szCs w:val="24"/>
          <w:lang w:val="en-GB"/>
        </w:rPr>
        <w:t>Houssel</w:t>
      </w:r>
      <w:proofErr w:type="spellEnd"/>
      <w:r w:rsidRPr="00B17ED4">
        <w:rPr>
          <w:rFonts w:ascii="Book Antiqua" w:hAnsi="Book Antiqua" w:cs="Book Antiqua"/>
          <w:bCs/>
          <w:sz w:val="24"/>
          <w:szCs w:val="24"/>
          <w:lang w:val="en-GB"/>
        </w:rPr>
        <w:t xml:space="preserve">-Debry P, </w:t>
      </w:r>
      <w:proofErr w:type="spellStart"/>
      <w:r w:rsidRPr="00B17ED4">
        <w:rPr>
          <w:rFonts w:ascii="Book Antiqua" w:hAnsi="Book Antiqua" w:cs="Book Antiqua"/>
          <w:bCs/>
          <w:sz w:val="24"/>
          <w:szCs w:val="24"/>
          <w:lang w:val="en-GB"/>
        </w:rPr>
        <w:t>Jezequel</w:t>
      </w:r>
      <w:proofErr w:type="spellEnd"/>
      <w:r w:rsidRPr="00B17ED4">
        <w:rPr>
          <w:rFonts w:ascii="Book Antiqua" w:hAnsi="Book Antiqua" w:cs="Book Antiqua"/>
          <w:bCs/>
          <w:sz w:val="24"/>
          <w:szCs w:val="24"/>
          <w:lang w:val="en-GB"/>
        </w:rPr>
        <w:t xml:space="preserve"> C, </w:t>
      </w:r>
      <w:proofErr w:type="spellStart"/>
      <w:r w:rsidRPr="00B17ED4">
        <w:rPr>
          <w:rFonts w:ascii="Book Antiqua" w:hAnsi="Book Antiqua" w:cs="Book Antiqua"/>
          <w:bCs/>
          <w:sz w:val="24"/>
          <w:szCs w:val="24"/>
          <w:lang w:val="en-GB"/>
        </w:rPr>
        <w:t>Legros</w:t>
      </w:r>
      <w:proofErr w:type="spellEnd"/>
      <w:r w:rsidRPr="00B17ED4">
        <w:rPr>
          <w:rFonts w:ascii="Book Antiqua" w:hAnsi="Book Antiqua" w:cs="Book Antiqua"/>
          <w:bCs/>
          <w:sz w:val="24"/>
          <w:szCs w:val="24"/>
          <w:lang w:val="en-GB"/>
        </w:rPr>
        <w:t xml:space="preserve"> L, </w:t>
      </w:r>
      <w:proofErr w:type="spellStart"/>
      <w:r w:rsidRPr="00B17ED4">
        <w:rPr>
          <w:rFonts w:ascii="Book Antiqua" w:hAnsi="Book Antiqua" w:cs="Book Antiqua"/>
          <w:bCs/>
          <w:sz w:val="24"/>
          <w:szCs w:val="24"/>
          <w:lang w:val="en-GB"/>
        </w:rPr>
        <w:t>Uguen</w:t>
      </w:r>
      <w:proofErr w:type="spellEnd"/>
      <w:r w:rsidRPr="00B17ED4">
        <w:rPr>
          <w:rFonts w:ascii="Book Antiqua" w:hAnsi="Book Antiqua" w:cs="Book Antiqua"/>
          <w:bCs/>
          <w:sz w:val="24"/>
          <w:szCs w:val="24"/>
          <w:lang w:val="en-GB"/>
        </w:rPr>
        <w:t xml:space="preserve"> T, </w:t>
      </w:r>
      <w:proofErr w:type="spellStart"/>
      <w:r w:rsidRPr="00B17ED4">
        <w:rPr>
          <w:rFonts w:ascii="Book Antiqua" w:hAnsi="Book Antiqua" w:cs="Book Antiqua"/>
          <w:bCs/>
          <w:sz w:val="24"/>
          <w:szCs w:val="24"/>
          <w:lang w:val="en-GB"/>
        </w:rPr>
        <w:t>Ropert-Bouchet</w:t>
      </w:r>
      <w:proofErr w:type="spellEnd"/>
      <w:r w:rsidRPr="00B17ED4">
        <w:rPr>
          <w:rFonts w:ascii="Book Antiqua" w:hAnsi="Book Antiqua" w:cs="Book Antiqua"/>
          <w:bCs/>
          <w:sz w:val="24"/>
          <w:szCs w:val="24"/>
          <w:lang w:val="en-GB"/>
        </w:rPr>
        <w:t xml:space="preserve"> M, </w:t>
      </w:r>
      <w:proofErr w:type="spellStart"/>
      <w:r w:rsidRPr="00B17ED4">
        <w:rPr>
          <w:rFonts w:ascii="Book Antiqua" w:hAnsi="Book Antiqua" w:cs="Book Antiqua"/>
          <w:bCs/>
          <w:sz w:val="24"/>
          <w:szCs w:val="24"/>
          <w:lang w:val="en-GB"/>
        </w:rPr>
        <w:t>Boudjema</w:t>
      </w:r>
      <w:proofErr w:type="spellEnd"/>
      <w:r w:rsidRPr="00B17ED4">
        <w:rPr>
          <w:rFonts w:ascii="Book Antiqua" w:hAnsi="Book Antiqua" w:cs="Book Antiqua"/>
          <w:bCs/>
          <w:sz w:val="24"/>
          <w:szCs w:val="24"/>
          <w:lang w:val="en-GB"/>
        </w:rPr>
        <w:t xml:space="preserve"> K, </w:t>
      </w:r>
      <w:proofErr w:type="spellStart"/>
      <w:r w:rsidRPr="00B17ED4">
        <w:rPr>
          <w:rFonts w:ascii="Book Antiqua" w:hAnsi="Book Antiqua" w:cs="Book Antiqua"/>
          <w:bCs/>
          <w:sz w:val="24"/>
          <w:szCs w:val="24"/>
          <w:lang w:val="en-GB"/>
        </w:rPr>
        <w:t>Guyader</w:t>
      </w:r>
      <w:proofErr w:type="spellEnd"/>
      <w:r w:rsidRPr="00B17ED4">
        <w:rPr>
          <w:rFonts w:ascii="Book Antiqua" w:hAnsi="Book Antiqua" w:cs="Book Antiqua"/>
          <w:bCs/>
          <w:sz w:val="24"/>
          <w:szCs w:val="24"/>
          <w:lang w:val="en-GB"/>
        </w:rPr>
        <w:t xml:space="preserve"> D, </w:t>
      </w:r>
      <w:proofErr w:type="spellStart"/>
      <w:r w:rsidRPr="00B17ED4">
        <w:rPr>
          <w:rFonts w:ascii="Book Antiqua" w:hAnsi="Book Antiqua" w:cs="Book Antiqua"/>
          <w:bCs/>
          <w:sz w:val="24"/>
          <w:szCs w:val="24"/>
          <w:lang w:val="en-GB"/>
        </w:rPr>
        <w:t>Bardou-Jacquet</w:t>
      </w:r>
      <w:proofErr w:type="spellEnd"/>
      <w:r w:rsidRPr="00B17ED4">
        <w:rPr>
          <w:rFonts w:ascii="Book Antiqua" w:hAnsi="Book Antiqua" w:cs="Book Antiqua"/>
          <w:bCs/>
          <w:sz w:val="24"/>
          <w:szCs w:val="24"/>
          <w:lang w:val="en-GB"/>
        </w:rPr>
        <w:t xml:space="preserve"> E. Iron metabolism imbalance at the time of listing increases overall and infectious mortality after liver transplantation.</w:t>
      </w:r>
      <w:r w:rsidRPr="00B17ED4">
        <w:rPr>
          <w:rFonts w:ascii="Book Antiqua" w:eastAsia="宋体" w:hAnsi="Book Antiqua" w:cs="Book Antiqua" w:hint="eastAsia"/>
          <w:bCs/>
          <w:sz w:val="24"/>
          <w:szCs w:val="24"/>
          <w:lang w:val="en-US" w:eastAsia="zh-CN"/>
        </w:rPr>
        <w:t xml:space="preserve"> </w:t>
      </w:r>
      <w:r w:rsidRPr="00B17ED4">
        <w:rPr>
          <w:rFonts w:ascii="Book Antiqua" w:eastAsia="宋体" w:hAnsi="Book Antiqua" w:cs="Times New Roman"/>
          <w:i/>
          <w:sz w:val="24"/>
          <w:szCs w:val="24"/>
        </w:rPr>
        <w:t>World J Gastroenterol</w:t>
      </w:r>
      <w:r w:rsidRPr="00B17ED4">
        <w:rPr>
          <w:rFonts w:ascii="Book Antiqua" w:eastAsia="宋体" w:hAnsi="Book Antiqua" w:cs="Times New Roman" w:hint="eastAsia"/>
          <w:i/>
          <w:sz w:val="24"/>
          <w:szCs w:val="24"/>
          <w:lang w:val="en-US" w:eastAsia="zh-CN"/>
        </w:rPr>
        <w:t xml:space="preserve"> </w:t>
      </w:r>
      <w:r w:rsidRPr="00B17ED4">
        <w:rPr>
          <w:rFonts w:ascii="Book Antiqua" w:eastAsia="宋体" w:hAnsi="Book Antiqua" w:cs="Times New Roman"/>
          <w:sz w:val="24"/>
          <w:szCs w:val="24"/>
        </w:rPr>
        <w:t>2020; In press</w:t>
      </w:r>
    </w:p>
    <w:p w:rsidR="00820CBF" w:rsidRPr="00B17ED4" w:rsidRDefault="00820CBF" w:rsidP="000505DB">
      <w:pPr>
        <w:snapToGrid w:val="0"/>
        <w:spacing w:after="0" w:line="360" w:lineRule="auto"/>
        <w:jc w:val="both"/>
        <w:rPr>
          <w:rFonts w:ascii="Book Antiqua" w:hAnsi="Book Antiqua" w:cs="Book Antiqua"/>
          <w:bCs/>
          <w:sz w:val="24"/>
          <w:szCs w:val="24"/>
          <w:lang w:val="en-GB"/>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b/>
          <w:sz w:val="24"/>
          <w:szCs w:val="24"/>
        </w:rPr>
        <w:t>Core tip</w:t>
      </w:r>
      <w:r w:rsidRPr="00B17ED4">
        <w:rPr>
          <w:rFonts w:ascii="Book Antiqua" w:hAnsi="Book Antiqua" w:cs="Times New Roman"/>
          <w:sz w:val="24"/>
          <w:szCs w:val="24"/>
        </w:rPr>
        <w:t>:</w:t>
      </w:r>
      <w:r w:rsidRPr="00B17ED4">
        <w:rPr>
          <w:rFonts w:ascii="Book Antiqua" w:eastAsia="宋体" w:hAnsi="Book Antiqua" w:cs="Times New Roman" w:hint="eastAsia"/>
          <w:sz w:val="24"/>
          <w:szCs w:val="24"/>
          <w:lang w:val="en-US" w:eastAsia="zh-CN"/>
        </w:rPr>
        <w:t xml:space="preserve"> </w:t>
      </w:r>
      <w:r w:rsidRPr="00B17ED4">
        <w:rPr>
          <w:rFonts w:ascii="Book Antiqua" w:hAnsi="Book Antiqua" w:cs="Book Antiqua"/>
          <w:sz w:val="24"/>
          <w:szCs w:val="24"/>
          <w:lang w:val="en-GB"/>
        </w:rPr>
        <w:t>Iron is an essential element for many biological functions. Its deficiency or overload is associated with poor outcomes in many settings. Few data are available in patients undergoing liver transplantation, and more specifically on infection related deaths. Our study is the first to describe in a large number of patients, the impact or iron metabolism imbalance on mortality after liver transplantation. Our results show that both iron deficiency and overload are significantly associated with increased mortality. Further we show that transferrin saturation higher than 75% is associated with mortality.</w:t>
      </w: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Default="001317CB" w:rsidP="000505DB">
      <w:pPr>
        <w:snapToGrid w:val="0"/>
        <w:spacing w:after="0" w:line="360" w:lineRule="auto"/>
        <w:jc w:val="both"/>
        <w:rPr>
          <w:rFonts w:ascii="Book Antiqua" w:hAnsi="Book Antiqua" w:cs="Book Antiqua"/>
          <w:b/>
          <w:sz w:val="24"/>
          <w:szCs w:val="24"/>
          <w:u w:val="single"/>
          <w:lang w:val="en-GB"/>
        </w:rPr>
      </w:pPr>
      <w:r w:rsidRPr="00763BCC">
        <w:rPr>
          <w:rFonts w:ascii="Book Antiqua" w:hAnsi="Book Antiqua" w:cs="Book Antiqua"/>
          <w:b/>
          <w:sz w:val="24"/>
          <w:szCs w:val="24"/>
          <w:u w:val="single"/>
          <w:lang w:val="en-GB"/>
        </w:rPr>
        <w:lastRenderedPageBreak/>
        <w:t>INTRODUCTION</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Liver transplantation (LT) is the most effective treatment for patients with end-stage liver disease. However, it is still associated with significant mortality thus promoting the search for associated factors whose optimization could improve survival. Since 2002 in France, liver graft allocation is based on the Model of End-Stage Liver Disease (MELD), which is an objective score improving 3-mo mortality prediction compared to the Child-Turcotte-Pugh score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{"citationID":"a8lubeq4ns","properties":{"formattedCitation":"\\super [1\\uc0\\u8211{}3]\\nosupersub{}","plainCitation":"[1–3]","noteIndex":0},"citationItems":[{"id":"bNgLsD3p/tkQZmqF6","uris":["http://zotero.org/users/3421399/items/QITKQFJQ"],"uri":["http://zotero.org/users/3421399/items/QITKQFJQ"],"itemData":{"id":229,"type":"article-journal","title":"Pretransplant model to predict posttransplant survival in liver transplant patients","container-title":"Annals of surgery","page":"315","volume":"236","issue":"3","source":"Google Scholar","author":[{"family":"Ghobrial","given":"Rafik M."},{"family":"Gornbein","given":"Jeffery"},{"family":"Steadman","given":"Randy"},{"family":"Danino","given":"Natale"},{"family":"Markmann","given":"James F."},{"family":"Holt","given":"Curtis"},{"family":"Anselmo","given":"Dean"},{"family":"Amersi","given":"Farin"},{"family":"Chen","given":"Pauline"},{"family":"Farmer","given":"Douglas G."},{"literal":"others"}],"issued":{"date-parts":[["2002"]]}},"label":"page"},{"id":"bNgLsD3p/gafPBzhm","uris":["http://zotero.org/users/3421399/items/CDC3SDDK"],"uri":["http://zotero.org/users/3421399/items/CDC3SDDK"],"itemData":{"id":208,"type":"article-journal","title":"A model to predict survival in patients with end-stage liver disease","container-title":"Hepatology","page":"464-470","volume":"33","issue":"2","source":"CrossRef","DOI":"10.1053/jhep.2001.22172","ISSN":"02709139","language":"en","author":[{"family":"Kamath","given":"P"}],"issued":{"date-parts":[["2001",2]]}},"label":"page"},{"id":"bNgLsD3p/4vMWVqMa","uris":["http://zotero.org/users/3421399/items/J2F8US4J"],"uri":["http://zotero.org/users/3421399/items/J2F8US4J"],"itemData":{"id":262,"type":"article-journal","title":"Model for end-stage liver disease (MELD) and allocation of donor livers","container-title":"Gastroenterology","page":"91-96","volume":"124","issue":"1","source":"CrossRef","DOI":"10.1053/gast.2003.50016","ISSN":"00165085","language":"en","author":[{"family":"Wiesner","given":"Russell"},{"family":"Edwards","given":"Erick"},{"family":"Freeman","given":"Richard"},{"family":"Harper","given":"Ann"},{"family":"Kim","given":"Ray"},{"family":"Kamath","given":"Patrick"},{"family":"Kremers","given":"Walter"},{"family":"Lake","given":"John"},{"family":"Howard","given":"Todd"},{"family":"Merion","given":"Robert M."},{"family":"Wolfe","given":"Robert A."},{"family":"Krom","given":"Ruud"}],"issued":{"date-parts":[["2003",1]]}},"label":"page"}],"schema":"https://github.com/citation-style-language/schema/raw/master/csl-citation.json"}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w:t>
      </w:r>
      <w:r w:rsidR="00763BCC">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Other factors of mortality in addition to MELD have been studied to better manage patients waiting for LT like serum sodium</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{"citationID":"a2hft8ouv5d","properties":{"formattedCitation":"\\super [4\\uc0\\u8211{}7]\\nosupersub{}","plainCitation":"[4–7]","noteIndex":0},"citationItems":[{"id":"bNgLsD3p/B3nPYcF2","uris":["http://zotero.org/users/3421399/items/JCMQ9599"],"uri":["http://zotero.org/users/3421399/items/JCMQ9599"],"itemData":{"id":238,"type":"article-journal","title":"Serum sodium predicts mortality in patients listed for liver transplantation","container-title":"Hepatology","page":"32-39","volume":"41","issue":"1","source":"CrossRef","DOI":"10.1002/hep.20517","ISSN":"0270-9139, 1527-3350","language":"en","author":[{"family":"Biggins","given":"Scott W."},{"family":"Rodriguez","given":"Harry J."},{"family":"Bacchetti","given":"Peter"},{"family":"Bass","given":"Nathan M."},{"family":"Roberts","given":"John P."},{"family":"Terrault","given":"Norah A."}],"issued":{"date-parts":[["2005",1]]}},"label":"page"},{"id":"bNgLsD3p/XOvcc4Z4","uris":["http://zotero.org/users/3421399/items/XKJW5YQ2"],"uri":["http://zotero.org/users/3421399/items/XKJW5YQ2"],"itemData":{"id":382,"type":"article-journal","title":"Addition of serum sodium into the MELD score predicts waiting list mortality better than MELD alone","container-title":"Liver Transplantation","page":"336-343","volume":"11","issue":"3","source":"CrossRef","DOI":"10.1002/lt.20329","ISSN":"1527-6465, 1527-6473","language":"en","author":[{"family":"Ruf","given":"Andres E."},{"family":"Kremers","given":"Walter K."},{"family":"Chavez","given":"Lila L."},{"family":"Descalzi","given":"Valeria I."},{"family":"Podesta","given":"Luis G."},{"family":"Villamil","given":"Federico G."}],"issued":{"date-parts":[["2005",3]]}},"label":"page"},{"id":"bNgLsD3p/d5EqxDG2","uris":["http://zotero.org/users/3421399/items/4P72M5Z2"],"uri":["http://zotero.org/users/3421399/items/4P72M5Z2"],"itemData":{"id":384,"type":"article-journal","title":"An integrated MELD model including serum sodium and age improves the prediction of early mortality in patients with cirrhosis","container-title":"Liver Transplantation","page":"1174-1180","volume":"13","issue":"8","source":"CrossRef","DOI":"10.1002/lt.21197","ISSN":"15276465, 15276473","language":"en","author":[{"family":"Luca","given":"Angelo"},{"family":"Angermayr","given":"Berhard"},{"family":"Bertolini","given":"Guido"},{"family":"Koenig","given":"Franz"},{"family":"Vizzini","given":"Giovanni"},{"family":"Ploner","given":"Martin"},{"family":"Peck-Radosavljevic","given":"Markus"},{"family":"Gridelli","given":"Bruno"},{"family":"Bosch","given":"Jaime"}],"issued":{"date-parts":[["2007",8]]}},"label":"page"},{"id":"bNgLsD3p/QQIdynjA","uris":["http://zotero.org/users/3421399/items/29NWI3GG"],"uri":["http://zotero.org/users/3421399/items/29NWI3GG"],"itemData":{"id":241,"type":"article-journal","title":"Hyponatremia and mortality among patients on the liver-transplant waiting list","container-title":"New England Journal of Medicine","page":"1018–1026","volume":"359","issue":"10","source":"Google Scholar","author":[{"family":"Kim","given":"W. Ray"},{"family":"Biggins","given":"Scott W."},{"family":"Kremers","given":"Walter K."},{"family":"Wiesner","given":"Russell H."},{"family":"Kamath","given":"Patrick S."},{"family":"Benson","given":"Joanne T."},{"family":"Edwards","given":"Erick"},{"family":"Therneau","given":"Terry M."}],"issued":{"date-parts":[["2008"]]}},"label":"page"}],"schema":"https://github.com/citation-style-language/schema/raw/master/csl-citation.json"}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rPr>
        <w:t>[4</w:t>
      </w:r>
      <w:r w:rsidR="00763BCC">
        <w:rPr>
          <w:rFonts w:ascii="Book Antiqua" w:hAnsi="Book Antiqua" w:cs="Book Antiqua"/>
          <w:sz w:val="24"/>
          <w:szCs w:val="24"/>
          <w:vertAlign w:val="superscript"/>
        </w:rPr>
        <w:t>-</w:t>
      </w:r>
      <w:r w:rsidRPr="00B17ED4">
        <w:rPr>
          <w:rFonts w:ascii="Book Antiqua" w:hAnsi="Book Antiqua" w:cs="Book Antiqua"/>
          <w:sz w:val="24"/>
          <w:szCs w:val="24"/>
          <w:vertAlign w:val="superscript"/>
        </w:rPr>
        <w:t>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renal function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{"citationID":"iX5trGSU","properties":{"formattedCitation":"\\super [8]\\nosupersub{}","plainCitation":"[8]","noteIndex":0},"citationItems":[{"id":"bNgLsD3p/AHXFCofW","uris":["http://zotero.org/users/3421399/items/69RU3Z3T"],"uri":["http://zotero.org/users/3421399/items/69RU3Z3T"],"itemData":{"id":332,"type":"article-journal","title":"Pretransplant renal function according to CKD-EPI cystatin C equation is a prognostic factor of death after liver transplantation","container-title":"Liver International","page":"547-554","volume":"36","issue":"4","source":"CrossRef","DOI":"10.1111/liv.12989","ISSN":"14783223","language":"en","author":[{"family":"Uguen","given":"Thomas"},{"family":"Jezequel","given":"Caroline"},{"family":"Ropert","given":"Martine"},{"family":"Houssel-Debry","given":"Pauline"},{"family":"Latournerie","given":"Marianne"},{"family":"Lainé","given":"Fabrice"},{"family":"Deugnier","given":"Yves"},{"family":"Vigneau","given":"Cécile"},{"family":"Boudjema","given":"Karim"},{"family":"Guyader","given":"Dominique"},{"family":"Bardou-Jacquet","given":"Edouard"}],"issued":{"date-parts":[["2016",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rPr>
        <w:t>[8]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sarcopenia</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{"citationID":"jJ46pn3D","properties":{"formattedCitation":"\\super [9]\\nosupersub{}","plainCitation":"[9]","noteIndex":0},"citationItems":[{"id":"bNgLsD3p/mutJ7wXX","uris":["http://zotero.org/users/3421399/items/XBDAXVKS"],"uri":["http://zotero.org/users/3421399/items/XBDAXVKS"],"itemData":{"id":469,"type":"article-journal","title":"Prognostic value of muscle atrophy in cirrhosis using psoas muscle thickness on computed tomography","container-title":"Journal of Hepatology","page":"1151-1157","volume":"60","issue":"6","source":"PubMed","abstract":"BACKGROUND &amp; AIMS: Waiting-list mortality in patients with cirrhosis and a relatively low MELD score is a matter of concern. The aim of this study was to determine whether a marker of muscle waste could improve prognostication.\nMETHODS: A pre-MELD cohort (waiting time-based allocation; n=186) and a MELD-era cohort (n=376) were examined. At evaluation, transversal psoas muscle thickness (TPMT) was measured on a computed tomography (CT) image at the level of the umbilicus. In the pre-MELD cohort, TPMT/height (mm/m) and the MELD score were entered in univariate and multivariate models to predict mortality after registration. Applicability of pre-MELD findings was tested in the MELD-era.\nRESULTS: In the pre-MELD cohort, the MELD score and TPMT/height were significantly associated with mortality. The discrimination of a score combining MELD and TPMT/height (MELD-psoas) was 0.84 (95% CI, 0.62-0.95). In the MELD-era, TPTM/height was significantly associated with mortality, independent of the MELD and MELD-Na scores. There was a 15% increase in mortality risk per unit decrease in TPMT/height. The discrimination of MELD-psoas score (0.82; 95% CI, 0.64-0.93) was superior to that of the MELD score and similar to that of the MELD-Na score. In patients with refractory ascites, mortality was significantly higher when TPMT/height was &lt;16.8 mm/m (42% vs. 9%, p=0.02).\nCONCLUSIONS: TPMP/height on CT at the level of the umbilicus, an objective marker of muscle waste, may be predictive of mortality in cirrhotic patients, independent of the MELD and MELD-Na scores. It may help to better assess the prognosis of patients with refractory ascites.","DOI":"10.1016/j.jhep.2014.02.026","ISSN":"1600-0641","note":"PMID: 24607622","journalAbbreviation":"J. Hepatol.","language":"eng","author":[{"family":"Durand","given":"François"},{"family":"Buyse","given":"Sophie"},{"family":"Francoz","given":"Claire"},{"family":"Laouénan","given":"Cédric"},{"family":"Bruno","given":"Onorina"},{"family":"Belghiti","given":"Jacques"},{"family":"Moreau","given":"Richard"},{"family":"Vilgrain","given":"Valérie"},{"family":"Valla","given":"Dominique"}],"issued":{"date-parts":[["2014",6]]}}}],"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[9]</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ferritin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{"citationID":"a17g02mdoqc","properties":{"formattedCitation":"\\super [10,11]\\nosupersub{}","plainCitation":"[10,11]","noteIndex":0},"citationItems":[{"id":"bNgLsD3p/7oPPssVh","uris":["http://zotero.org/users/3421399/items/WD3EM2XF"],"uri":["http://zotero.org/users/3421399/items/WD3EM2XF"],"itemData":{"id":193,"type":"article-journal","title":"Serum ferritin concentration predicts mortality in patients awaiting liver transplantation","container-title":"Hepatology","page":"1683-1691","volume":"51","issue":"5","source":"CrossRef","DOI":"10.1002/hep.23537","ISSN":"02709139","language":"en","author":[{"family":"Walker","given":"Nicole M."},{"family":"Stuart","given":"Katherine A."},{"family":"Ryan","given":"Rebecca J."},{"family":"Desai","given":"Shireena"},{"family":"Saab","given":"Sammy"},{"family":"Nicol","given":"Jennifer A."},{"family":"Fletcher","given":"Linda M."},{"family":"G. Crawford","given":"Darrell H."}],"issued":{"date-parts":[["2010",5]]}},"label":"page"},{"id":"bNgLsD3p/HkRR6Dqf","uris":["http://zotero.org/users/3421399/items/KKECPMPR"],"uri":["http://zotero.org/users/3421399/items/KKECPMPR"],"itemData":{"id":194,"type":"article-journal","title":"Serum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[10,11]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Serum ferritin (SF) concentration is a reproducible and routinely available biochemical marker. </w:t>
      </w:r>
      <w:r w:rsidRPr="00B17ED4">
        <w:rPr>
          <w:rFonts w:ascii="Book Antiqua" w:eastAsia="Times New Roman" w:hAnsi="Book Antiqua" w:cs="Book Antiqua"/>
          <w:sz w:val="24"/>
          <w:szCs w:val="24"/>
          <w:lang w:val="en-GB" w:eastAsia="fr-FR"/>
        </w:rPr>
        <w:t xml:space="preserve">It is the major intracellular iron storage protein and although it </w:t>
      </w:r>
      <w:r w:rsidRPr="00B17ED4">
        <w:rPr>
          <w:rFonts w:ascii="Book Antiqua" w:hAnsi="Book Antiqua" w:cs="Book Antiqua"/>
          <w:sz w:val="24"/>
          <w:szCs w:val="24"/>
          <w:lang w:val="en-GB"/>
        </w:rPr>
        <w:t>correlates with body iron stores, serum level is also influenced by inflammation and cell lysis. Therefore SF increases in patients with elevated body iron stores or in many liver diseases as chronic hepatitis C, alcohol-related liver disease and non-alcoholic steatohepatitis</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{"citationID":"bqVAZau1","properties":{"formattedCitation":"\\super [12]\\nosupersub{}","plainCitation":"[12]","noteIndex":0},"citationItems":[{"id":"bNgLsD3p/wqWfLL5c","uris":["http://zotero.org/users/3421399/items/KTMVVBIS"],"uri":["http://zotero.org/users/3421399/items/KTMVVBIS"],"itemData":{"id":218,"type":"article-journal","title":"Serum ferritin and transferrin saturation in patients with chronic alcoholic and non-alcoholic liver diseases","container-title":"Journal of internal medicine","page":"315–322","volume":"236","issue":"3","source":"Google Scholar","author":[{"family":"Bell","given":"H."},{"family":"Skinningsrud","given":"A."},{"family":"Raknerud","given":"N."},{"family":"Try","given":"K."}],"issued":{"date-parts":[["1994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[12]</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or in extra-hepatic causes like systemic inflammatory states,</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systemic immune-mediated diseases (rheumatoid arthritis, adult Still’s disease)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{"citationID":"a1en5prlgk2","properties":{"formattedCitation":"\\super [13,14]\\nosupersub{}","plainCitation":"[13,14]","noteIndex":0},"citationItems":[{"id":"bNgLsD3p/blMSJc8R","uris":["http://zotero.org/users/3421399/items/AQHWWR6X"],"uri":["http://zotero.org/users/3421399/items/AQHWWR6X"],"itemData":{"id":222,"type":"article-journal","title":"Ferritin in autoimmune diseases","container-title":"Autoimmunity reviews","page":"457–463","volume":"6","issue":"7","source":"Google Scholar","author":[{"family":"Zandman-Goddard","given":"Gisele"},{"family":"Shoenfeld","given":"Yehuda"}],"issued":{"date-parts":[["2007"]]}},"label":"page"},{"id":"bNgLsD3p/M3dSuzzW","uris":["http://zotero.org/users/3421399/items/JHZQTQ6Y"],"uri":["http://zotero.org/users/3421399/items/JHZQTQ6Y"],"itemData":{"id":388,"type":"article-journal","title":"Clinical features and prognosis in adult-onset still's disease: a study of 104 cases","container-title":"Clinical Rheumatology","page":"1015-1019","volume":"29","issue":"9","source":"CrossRef","DOI":"10.1007/s10067-010-1516-1","ISSN":"0770-3198, 1434-9949","shortTitle":"Clinical features and prognosis in adult-onset still's disease","language":"en","author":[{"family":"Kong","given":"Xiao-dan"},{"family":"Xu","given":"Dong"},{"family":"Zhang","given":"Wen"},{"family":"Zhao","given":"Yan"},{"family":"Zeng","given":"Xiaofeng"},{"family":"Zhang","given":"Fengchun"}],"issued":{"date-parts":[["2010",9]]}},"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[13,14]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metabolic syndrome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{"citationID":"qxf5Zn8E","properties":{"formattedCitation":"\\super [15]\\nosupersub{}","plainCitation":"[15]","noteIndex":0},"citationItems":[{"id":"bNgLsD3p/fh7z3BHP","uris":["http://zotero.org/users/3421399/items/SVT7IPF3"],"uri":["http://zotero.org/users/3421399/items/SVT7IPF3"],"itemData":{"id":212,"type":"article-journal","title":"Ferritin levels and risk of metabolic syndrome: meta-analysis of observational studies","container-title":"BMC Public Health","page":"483","volume":"14","issue":"1","source":"Google Scholar","shortTitle":"Ferritin levels and risk of metabolic syndrome","author":[{"family":"Abril-Ulloa","given":"Victoria"},{"family":"Flores-Mateo","given":"Gemma"},{"family":"Solà-Alberich","given":"Rosa"},{"family":"Manuel-y-Keenoy","given":"Begoña"},{"family":"Arija","given":"Victoria"}],"issued":{"date-parts":[["2014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[15]</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in case of chronic kidney failure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{"citationID":"a2lfmvi68e5","properties":{"formattedCitation":"\\super [16,17]\\nosupersub{}","plainCitation":"[16,17]","noteIndex":0},"citationItems":[{"id":"bNgLsD3p/FeNR5Gm0","uris":["http://zotero.org/users/3421399/items/V32TPXMK"],"uri":["http://zotero.org/users/3421399/items/V32TPXMK"],"itemData":{"id":392,"type":"article-journal","title":"Serum ferritin predicts prognosis in hemodialysis patients: the Nishinomiya study","container-title":"Clinical and Experimental Nephrology","page":"349-355","volume":"14","issue":"4","source":"CrossRef","DOI":"10.1007/s10157-010-0288-x","ISSN":"1342-1751, 1437-7799","shortTitle":"Serum ferritin predicts prognosis in hemodialysis patients","language":"en","author":[{"family":"Hasuike","given":"Yukiko"},{"family":"Nonoguchi","given":"Hiroshi"},{"family":"Tokuyama","given":"Masanori"},{"family":"Ohue","given":"Mai"},{"family":"Nagai","given":"Takanori"},{"family":"Yahiro","given":"Mana"},{"family":"Nanami","given":"Masayoshi"},{"family":"Otaki","given":"Yoshinaga"},{"family":"Nakanishi","given":"Takeshi"}],"issued":{"date-parts":[["2010",8]]}},"label":"page"},{"id":"bNgLsD3p/SVc4RyCt","uris":["http://zotero.org/users/3421399/items/MK9MJ73X"],"uri":["http://zotero.org/users/3421399/items/MK9MJ73X"],"itemData":{"id":205,"type":"article-journal","title":"The Fascinating but Deceptive Ferritin: To Measure It or Not to Measure It in Chronic Kidney Disease?","container-title":"Clinical Journal of the American Society of Nephrology","page":"S9-S18","volume":"1","issue":"Supplement 1","source":"CrossRef","DOI":"10.2215/CJN.01390406","ISSN":"1555-9041, 1555-905X","shortTitle":"The Fascinating but Deceptive Ferritin","language":"en","author":[{"family":"Kalantar-Zadeh","given":"K."}],"issued":{"date-parts":[["2006",9,1]]}},"label":"page"}],"schema":"https://github.com/citation-style-language/schema/raw/master/csl-citation.json"}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[16,17]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or </w:t>
      </w:r>
      <w:proofErr w:type="spellStart"/>
      <w:r w:rsidRPr="00B17ED4">
        <w:rPr>
          <w:rFonts w:ascii="Book Antiqua" w:hAnsi="Book Antiqua" w:cs="Book Antiqua"/>
          <w:sz w:val="24"/>
          <w:szCs w:val="24"/>
          <w:lang w:val="en-GB"/>
        </w:rPr>
        <w:t>hematological</w:t>
      </w:r>
      <w:proofErr w:type="spellEnd"/>
      <w:r w:rsidRPr="00B17ED4">
        <w:rPr>
          <w:rFonts w:ascii="Book Antiqua" w:hAnsi="Book Antiqua" w:cs="Book Antiqua"/>
          <w:sz w:val="24"/>
          <w:szCs w:val="24"/>
          <w:lang w:val="en-GB"/>
        </w:rPr>
        <w:t xml:space="preserve"> disease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{"citationID":"a2crh137fko","properties":{"formattedCitation":"\\super [18,19]\\nosupersub{}","plainCitation":"[18,19]","noteIndex":0},"citationItems":[{"id":"bNgLsD3p/y74jioT1","uris":["http://zotero.org/users/3421399/items/J47Y59PH"],"uri":["http://zotero.org/users/3421399/items/J47Y59PH"],"itemData":{"id":390,"type":"article-journal","title":"Impact of pre-transplant serum ferritin on outcomes of patients with myelodysplastic syndromes or secondary acute myeloid leukaemia receiving reduced intensity conditioning allogeneic haematopoietic stem cell transplantation","container-title":"Leukemia Research","page":"723-727","volume":"34","issue":"6","source":"CrossRef","DOI":"10.1016/j.leukres.2009.10.028","ISSN":"01452126","language":"en","author":[{"family":"Lim","given":"Z.Y."},{"family":"Fiaccadori","given":"V."},{"family":"Gandhi","given":"S."},{"family":"Hayden","given":"J."},{"family":"Kenyon","given":"M."},{"family":"Ireland","given":"R."},{"family":"Marsh","given":"J."},{"family":"Ho","given":"A.Y.L."},{"family":"Mufti","given":"G.J."},{"family":"Pagliuca","given":"A."}],"issued":{"date-parts":[["2010",6]]}},"label":"page"},{"id":"bNgLsD3p/drraSTyi","uris":["http://zotero.org/users/3421399/items/8FW3LUKL"],"uri":["http://zotero.org/users/3421399/items/8FW3LUKL"],"itemData":{"id":386,"type":"article-journal","title":"High ferritin levels are associated with hepatosplenic candidiasis in hematopoietic stem cell transplant candidates","container-title":"International Journal of Infectious Diseases","page":"e104-e107","volume":"14","source":"CrossRef","DOI":"10.1016/j.ijid.2009.11.028","ISSN":"12019712","language":"en","author":[{"family":"Tunçcan","given":"Özlem Güzel"},{"family":"Yegin","given":"Zeynep Arzu"},{"family":"Özkurt","given":"Zübeyde Nur"},{"family":"Erbaş","given":"Gonca"},{"family":"Akı","given":"Şahika Zeynep"},{"family":"Şenol","given":"Esin"},{"family":"Yağcı","given":"Münci"},{"family":"Sucak","given":"Gülsan"}],"issued":{"date-parts":[["2010",9]]}},"label":"page"}],"schema":"https://github.com/citation-style-language/schema/raw/master/csl-citation.json"}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[18,19]</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The relevance of the iron burden in LT was first raised by studies suggesting that patients who undergo LT for cirrhosis related to hereditary hemochromatosis have higher morbidity and mortality</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{"citationID":"a2kd9f0nf84","properties":{"formattedCitation":"\\super [20,21]\\nosupersub{}","plainCitation":"[20,21]","noteIndex":0},"citationItems":[{"id":"bNgLsD3p/GPKgK516","uris":["http://zotero.org/users/3421399/items/PD7J4ZM9"],"uri":["http://zotero.org/users/3421399/items/PD7J4ZM9"],"itemData":{"id":228,"type":"article-journal","title":"Patient and graft survival after liver transplantation for hereditary hemochromatosis: Implications for pathogenesis","container-title":"Hepatology","page":"1655-1662","volume":"39","issue":"6","source":"CrossRef","DOI":"10.1002/hep.20242","ISSN":"0270-9139, 1527-3350","shortTitle":"Patient and graft survival after liver transplantation for hereditary hemochromatosis","language":"en","author":[{"family":"Crawford","given":"Darrell H.G."},{"family":"Fletcher","given":"Linda M."},{"family":"Hubscher","given":"Stefan G."},{"family":"Stuart","given":"Katherine A."},{"family":"Gane","given":"Edward"},{"family":"Angus","given":"Peter W."},{"family":"Jeffrey","given":"Gary P."},{"family":"McCaughan","given":"Geoffrey W."},{"family":"Kerlin","given":"Paul"},{"family":"Powell","given":"Lawrie W."},{"family":"Elias","given":"Elwyn E."}],"issued":{"date-parts":[["2004",6]]}},"label":"page"},{"id":"bNgLsD3p/QYeoo8Xn","uris":["http://zotero.org/users/3421399/items/BJNE6N26"],"uri":["http://zotero.org/users/3421399/items/BJNE6N26"],"itemData":{"id":198,"type":"article-journal","title":"Survival After Liver Transplantation in Patients With Hepatic Iron Overload: The National Hemochromatosis Transplant Registry","container-title":"Gastroenterology","page":"494-503","volume":"129","issue":"2","source":"CrossRef","DOI":"10.1053/j.gastro.2005.05.004","ISSN":"00165085","shortTitle":"Survival After Liver Transplantation in Patients With Hepatic Iron Overload","language":"en","author":[{"family":"Kowdley","given":"Kris V."},{"family":"Brandhagen","given":"David J."},{"family":"Gish","given":"Robert G."},{"family":"Bass","given":"Nathan M."},{"family":"Weinstein","given":"Jeffrey"},{"family":"Schilsky","given":"Michael L."},{"family":"Fontana","given":"Robert J."},{"family":"McCashland","given":"Timothy"},{"family":"Cotler","given":"Scott J."},{"family":"Bacon","given":"Bruce R."},{"family":"Keeffe","given":"Emmet B."},{"family":"Gordon","given":"Fredric"},{"family":"Polissar","given":"Nayak"}],"issued":{"date-parts":[["2005",8]]}},"label":"page"}],"schema":"https://github.com/citation-style-language/schema/raw/master/csl-citation.json"}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[20,21]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mainly due to an increased risk of infections and recurrence of hepatocellular carcinoma</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{"citationID":"9PTnUwjh","properties":{"formattedCitation":"\\super [22]\\nosupersub{}","plainCitation":"[22]","noteIndex":0},"citationItems":[{"id":"bNgLsD3p/r524Ep40","uris":["http://zotero.org/users/3421399/items/8AIDNWCM"],"uri":["http://zotero.org/users/3421399/items/8AIDNWCM"],"itemData":{"id":196,"type":"article-journal","title":"Outcome of liver transplantation in hereditary hemochromatosis","container-title":"Transplant International","page":"717-724","volume":"22","issue":"7","source":"CrossRef","DOI":"10.1111/j.1432-2277.2009.00863.x","ISSN":"09340874, 14322277","language":"en","author":[{"family":"Dar","given":"Faisal S"},{"family":"Faraj","given":"Walid"},{"family":"Zaman","given":"Muhammad B"},{"family":"Bartlett","given":"Adam"},{"family":"Bomford","given":"Adrian"},{"family":"O’Sullivan","given":"Adrian"},{"family":"O’Grady","given":"John"},{"family":"Heneghan","given":"Michael"},{"family":"Rela","given":"Mohamed"},{"family":"Heaton","given":"Nigel D"}],"issued":{"date-parts":[["2009",7]]}}}],"schema":"https://github.com/citation-style-language/schema/raw/master/csl-citation.json"}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[22]</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Results of studies investigating SF as a risk factor in LT are discordant. Increased SF was associated with an increased risk of death in patients on waiting list and following LT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{"citationID":"aegbusju1e","properties":{"formattedCitation":"\\super [10,11]\\nosupersub{}","plainCitation":"[10,11]","noteIndex":0},"citationItems":[{"id":"bNgLsD3p/7oPPssVh","uris":["http://zotero.org/users/3421399/items/WD3EM2XF"],"uri":["http://zotero.org/users/3421399/items/WD3EM2XF"],"itemData":{"id":193,"type":"article-journal","title":"Serum ferritin concentration predicts mortality in patients awaiting liver transplantation","container-title":"Hepatology","page":"1683-1691","volume":"51","issue":"5","source":"CrossRef","DOI":"10.1002/hep.23537","ISSN":"02709139","language":"en","author":[{"family":"Walker","given":"Nicole M."},{"family":"Stuart","given":"Katherine A."},{"family":"Ryan","given":"Rebecca J."},{"family":"Desai","given":"Shireena"},{"family":"Saab","given":"Sammy"},{"family":"Nicol","given":"Jennifer A."},{"family":"Fletcher","given":"Linda M."},{"family":"G. Crawford","given":"Darrell H."}],"issued":{"date-parts":[["2010",5]]}},"label":"page"},{"id":"bNgLsD3p/HkRR6Dqf","uris":["http://zotero.org/users/3421399/items/KKECPMPR"],"uri":["http://zotero.org/users/3421399/items/KKECPMPR"],"itemData":{"id":194,"type":"article-journal","title":"Serum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[10,11]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w:t>
      </w:r>
    </w:p>
    <w:p w:rsidR="00820CBF" w:rsidRPr="00B17ED4" w:rsidRDefault="001317CB" w:rsidP="00763BCC">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In contrast, Al-</w:t>
      </w:r>
      <w:proofErr w:type="spellStart"/>
      <w:r w:rsidRPr="00B17ED4">
        <w:rPr>
          <w:rFonts w:ascii="Book Antiqua" w:hAnsi="Book Antiqua" w:cs="Book Antiqua"/>
          <w:sz w:val="24"/>
          <w:szCs w:val="24"/>
          <w:lang w:val="en-GB"/>
        </w:rPr>
        <w:t>Freah</w:t>
      </w:r>
      <w:proofErr w:type="spellEnd"/>
      <w:r w:rsidRPr="00B17ED4">
        <w:rPr>
          <w:rFonts w:ascii="Book Antiqua" w:hAnsi="Book Antiqua" w:cs="Book Antiqua"/>
          <w:sz w:val="24"/>
          <w:szCs w:val="24"/>
          <w:lang w:val="en-GB"/>
        </w:rPr>
        <w:t xml:space="preserve"> </w:t>
      </w:r>
      <w:r w:rsidRPr="00B17ED4">
        <w:rPr>
          <w:rFonts w:ascii="Book Antiqua" w:hAnsi="Book Antiqua" w:cs="Book Antiqua"/>
          <w:i/>
          <w:sz w:val="24"/>
          <w:szCs w:val="24"/>
          <w:lang w:val="en-GB"/>
        </w:rPr>
        <w:t>et al</w:t>
      </w:r>
      <w:r w:rsidRPr="00B17ED4">
        <w:rPr>
          <w:rFonts w:ascii="Book Antiqua" w:hAnsi="Book Antiqua" w:cs="Book Antiqua"/>
          <w:i/>
          <w:sz w:val="24"/>
          <w:szCs w:val="24"/>
          <w:lang w:val="en-GB"/>
        </w:rPr>
        <w:fldChar w:fldCharType="begin"/>
      </w:r>
      <w:r w:rsidRPr="00B17ED4">
        <w:rPr>
          <w:rFonts w:ascii="Book Antiqua" w:hAnsi="Book Antiqua" w:cs="Book Antiqua"/>
          <w:i/>
          <w:sz w:val="24"/>
          <w:szCs w:val="24"/>
          <w:lang w:val="en-GB"/>
        </w:rPr>
        <w:instrText xml:space="preserve"> ADDIN ZOTERO_ITEM CSL_CITATION {"citationID":"24qJ6CqG","properties":{"formattedCitation":"\\super [23]\\nosupersub{}","plainCitation":"[23]","noteIndex":0},"citationItems":[{"id":"bNgLsD3p/PFFqVsQv","uris":["http://zotero.org/users/3421399/items/E82RQPA2"],"uri":["http://zotero.org/users/3421399/items/E82RQPA2"],"itemData":{"id":195,"type":"article-journal","title":"The association of pretransplant ferritin level with waiting list and post-transplant survival. Does ferritin actually predict outcome?","container-title":"Transplant International","page":"1070-1079","volume":"26","issue":"11","source":"CrossRef","DOI":"10.1111/tri.12164","ISSN":"09340874","language":"en","author":[{"family":"Al-Freah","given":"Mohammad A. B."},{"family":"Kriese","given":"Stephen"},{"family":"Foxton","given":"Matthew R."},{"family":"Quaglia","given":"Alberto"},{"family":"Bomford","given":"Adrian"},{"family":"Heaton","given":"Nigel D."},{"family":"O'Grady","given":"John G."},{"family":"Agarwal","given":"Kosh"},{"family":"Wendon","given":"Julia A."},{"family":"Heneghan","given":"Michael A."}],"issued":{"date-parts":[["2013",11]]}}}],"schema":"https://github.com/citation-style-language/schema/raw/master/csl-citation.json"} </w:instrText>
      </w:r>
      <w:r w:rsidRPr="00B17ED4">
        <w:rPr>
          <w:rFonts w:ascii="Book Antiqua" w:hAnsi="Book Antiqua" w:cs="Book Antiqua"/>
          <w:i/>
          <w:sz w:val="24"/>
          <w:szCs w:val="24"/>
          <w:lang w:val="en-GB"/>
        </w:rPr>
        <w:fldChar w:fldCharType="separate"/>
      </w:r>
      <w:r w:rsidRPr="00B17ED4">
        <w:rPr>
          <w:rFonts w:ascii="Book Antiqua" w:hAnsi="Book Antiqua" w:cs="Book Antiqua"/>
          <w:sz w:val="24"/>
          <w:szCs w:val="24"/>
          <w:vertAlign w:val="superscript"/>
          <w:lang w:val="en-GB"/>
        </w:rPr>
        <w:t>[23]</w:t>
      </w:r>
      <w:r w:rsidRPr="00B17ED4">
        <w:rPr>
          <w:rFonts w:ascii="Book Antiqua" w:hAnsi="Book Antiqua" w:cs="Book Antiqua"/>
          <w:i/>
          <w:sz w:val="24"/>
          <w:szCs w:val="24"/>
          <w:lang w:val="en-GB"/>
        </w:rPr>
        <w:fldChar w:fldCharType="end"/>
      </w:r>
      <w:r w:rsidRPr="00B17ED4">
        <w:rPr>
          <w:rFonts w:ascii="Book Antiqua" w:hAnsi="Book Antiqua" w:cs="Book Antiqua"/>
          <w:sz w:val="24"/>
          <w:szCs w:val="24"/>
          <w:lang w:val="en-GB"/>
        </w:rPr>
        <w:t xml:space="preserve"> using different cut-off values and without considering serum transferrin saturation (TS), showed the lack of influence of SF on wait-list or post-transplant survival, but a significant negative impact of hepatic iron overload on 12 </w:t>
      </w:r>
      <w:proofErr w:type="spellStart"/>
      <w:r w:rsidRPr="00B17ED4">
        <w:rPr>
          <w:rFonts w:ascii="Book Antiqua" w:hAnsi="Book Antiqua" w:cs="Book Antiqua"/>
          <w:sz w:val="24"/>
          <w:szCs w:val="24"/>
          <w:lang w:val="en-GB"/>
        </w:rPr>
        <w:t>mo</w:t>
      </w:r>
      <w:proofErr w:type="spellEnd"/>
      <w:r w:rsidRPr="00B17ED4">
        <w:rPr>
          <w:rFonts w:ascii="Book Antiqua" w:hAnsi="Book Antiqua" w:cs="Book Antiqua"/>
          <w:sz w:val="24"/>
          <w:szCs w:val="24"/>
          <w:lang w:val="en-GB"/>
        </w:rPr>
        <w:t xml:space="preserve">' survival. Conversely in a retrospective study addressing iron metabolism and liver iron content, Stuart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{"citationID":"bBY4WBNc","properties":{"formattedCitation":"\\super [24]\\nosupersub{}","plainCitation":"[24]","noteIndex":0},"citationItems":[{"id":"bNgLsD3p/SUSLJ9gZ","uris":["http://zotero.org/users/3421399/items/65WBPZK3"],"uri":["http://zotero.org/users/3421399/items/65WBPZK3"],"itemData":{"id":239,"type":"article-journal","title":"Increased hepatic iron and cirrhosis: No evidence for an adverse effect on patient outcome following liver transplantation","container-title":"Hepatology","page":"1200-1207","volume":"32","issue":"6","source":"CrossRef","DOI":"10.1053/jhep.2000.20348","ISSN":"02709139","shortTitle":"Increased hepatic iron and cirrhosis","language":"en","author":[{"family":"Stuart","given":"K"},{"family":"Fletcher","given":"L"},{"family":"Clouston","given":"A"},{"family":"Lynch","given":"S"},{"family":"Purdie","given":"D"},{"family":"Kerlin","given":"P"},{"family":"Crawford","given":"D"}],"issued":{"date-parts":[["2000",12]]}}}],"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showed that increased hepatic iron concentration </w:t>
      </w:r>
      <w:r w:rsidRPr="00B17ED4">
        <w:rPr>
          <w:rFonts w:ascii="Book Antiqua" w:hAnsi="Book Antiqua" w:cs="Book Antiqua"/>
          <w:sz w:val="24"/>
          <w:szCs w:val="24"/>
          <w:lang w:val="en-GB"/>
        </w:rPr>
        <w:lastRenderedPageBreak/>
        <w:t>was a marker of the severity of the liver disease but was not associated with lower survival after LT.</w:t>
      </w:r>
    </w:p>
    <w:p w:rsidR="00820CBF" w:rsidRPr="00B17ED4" w:rsidRDefault="001317CB" w:rsidP="009A6542">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Further, high SF and TS were found to be risk factors of mortality in other contexts than LT. H</w:t>
      </w:r>
      <w:r w:rsidRPr="00B17ED4">
        <w:rPr>
          <w:rFonts w:ascii="Book Antiqua" w:eastAsia="Lato-Regular" w:hAnsi="Book Antiqua" w:cs="Book Antiqua"/>
          <w:sz w:val="24"/>
          <w:szCs w:val="24"/>
          <w:lang w:val="en-GB"/>
        </w:rPr>
        <w:t>igh SF and TS are associated with increased mortality in</w:t>
      </w:r>
      <w:r w:rsidR="00D43DF0">
        <w:rPr>
          <w:rFonts w:ascii="Book Antiqua" w:eastAsia="Lato-Regular" w:hAnsi="Book Antiqua" w:cs="Book Antiqua"/>
          <w:sz w:val="24"/>
          <w:szCs w:val="24"/>
          <w:lang w:val="en-GB"/>
        </w:rPr>
        <w:t xml:space="preserve"> acute-on-chronic liver failure</w:t>
      </w:r>
      <w:r w:rsidRPr="00B17ED4">
        <w:rPr>
          <w:rFonts w:ascii="Book Antiqua" w:eastAsia="Lato-Regular" w:hAnsi="Book Antiqua" w:cs="Book Antiqua"/>
          <w:sz w:val="24"/>
          <w:szCs w:val="24"/>
          <w:lang w:val="en-GB"/>
        </w:rPr>
        <w:fldChar w:fldCharType="begin"/>
      </w:r>
      <w:r w:rsidRPr="00B17ED4">
        <w:rPr>
          <w:rFonts w:ascii="Book Antiqua" w:eastAsia="Lato-Regular" w:hAnsi="Book Antiqua" w:cs="Book Antiqua"/>
          <w:sz w:val="24"/>
          <w:szCs w:val="24"/>
          <w:lang w:val="en-GB"/>
        </w:rPr>
        <w:instrText xml:space="preserve"> ADDIN ZOTERO_ITEM CSL_CITATION {"citationID":"l0XDArs9","properties":{"formattedCitation":"\\super [25]\\nosupersub{}","plainCitation":"[25]","noteIndex":0},"citationItems":[{"id":"bNgLsD3p/Pox7L9FQ","uris":["http://zotero.org/users/3421399/items/VIVEN7UI"],"uri":["http://zotero.org/users/3421399/items/VIVEN7UI"],"itemData":{"id":373,"type":"article-journal","title":"Low serum transferrin correlates with acute-on-chronic organ failure and indicates short-term mortality in decompensated cirrhosis","container-title":"Liver International","page":"232-241","volume":"37","issue":"2","source":"CrossRef","DOI":"10.1111/liv.13211","ISSN":"14783223","language":"en","author":[{"family":"Bruns","given":"Tony"},{"family":"Nuraldeen","given":"Renwar"},{"family":"Mai","given":"Martina"},{"family":"Stengel","given":"Sven"},{"family":"Zimmermann","given":"Henning W."},{"family":"Yagmur","given":"Eray"},{"family":"Trautwein","given":"Christian"},{"family":"Stallmach","given":"Andreas"},{"family":"Strnad","given":"Pavel"}],"issued":{"date-parts":[["2017",2]]}}}],"schema":"https://github.com/citation-style-language/schema/raw/master/csl-citation.json"} </w:instrText>
      </w:r>
      <w:r w:rsidRPr="00B17ED4">
        <w:rPr>
          <w:rFonts w:ascii="Book Antiqua" w:eastAsia="Lato-Regular" w:hAnsi="Book Antiqua" w:cs="Book Antiqua"/>
          <w:sz w:val="24"/>
          <w:szCs w:val="24"/>
          <w:lang w:val="en-GB"/>
        </w:rPr>
        <w:fldChar w:fldCharType="separate"/>
      </w:r>
      <w:r w:rsidRPr="00B17ED4">
        <w:rPr>
          <w:rFonts w:ascii="Book Antiqua" w:hAnsi="Book Antiqua" w:cs="Book Antiqua"/>
          <w:sz w:val="24"/>
          <w:szCs w:val="24"/>
          <w:vertAlign w:val="superscript"/>
          <w:lang w:val="en-GB"/>
        </w:rPr>
        <w:t>[25]</w:t>
      </w:r>
      <w:r w:rsidRPr="00B17ED4">
        <w:rPr>
          <w:rFonts w:ascii="Book Antiqua" w:eastAsia="Lato-Regular" w:hAnsi="Book Antiqua" w:cs="Book Antiqua"/>
          <w:sz w:val="24"/>
          <w:szCs w:val="24"/>
          <w:lang w:val="en-GB"/>
        </w:rPr>
        <w:fldChar w:fldCharType="end"/>
      </w:r>
      <w:r w:rsidRPr="00B17ED4">
        <w:rPr>
          <w:rFonts w:ascii="Book Antiqua" w:eastAsia="Lato-Regular" w:hAnsi="Book Antiqua" w:cs="Book Antiqua"/>
          <w:sz w:val="24"/>
          <w:szCs w:val="24"/>
          <w:lang w:val="en-GB"/>
        </w:rPr>
        <w:t xml:space="preserve"> and allogeneic hematopoietic stem cell transplantation</w:t>
      </w:r>
      <w:r w:rsidRPr="00B17ED4">
        <w:rPr>
          <w:rFonts w:ascii="Book Antiqua" w:eastAsia="Lato-Regular" w:hAnsi="Book Antiqua" w:cs="Book Antiqua"/>
          <w:sz w:val="24"/>
          <w:szCs w:val="24"/>
          <w:lang w:val="en-GB"/>
        </w:rPr>
        <w:fldChar w:fldCharType="begin"/>
      </w:r>
      <w:r w:rsidRPr="00B17ED4">
        <w:rPr>
          <w:rFonts w:ascii="Book Antiqua" w:eastAsia="Lato-Regular" w:hAnsi="Book Antiqua" w:cs="Book Antiqua"/>
          <w:sz w:val="24"/>
          <w:szCs w:val="24"/>
          <w:lang w:val="en-GB"/>
        </w:rPr>
        <w:instrText xml:space="preserve"> ADDIN ZOTERO_ITEM CSL_CITATION {"citationID":"pgbr2fIU","properties":{"formattedCitation":"\\super [26]\\nosupersub{}","plainCitation":"[26]","noteIndex":0},"citationItems":[{"id":"bNgLsD3p/BsH2Izu5","uris":["http://zotero.org/users/3421399/items/H48TNU96"],"uri":["http://zotero.org/users/3421399/items/H48TNU96"],"itemData":{"id":436,"type":"article-journal","title":"Iron overload in hematologic malignancies and outcome of allogeneic hematopoietic stem cell transplantation","container-title":"Haematologica","page":"364-366","volume":"95","issue":"3","source":"CrossRef","DOI":"10.3324/haematol.2009.017244","ISSN":"0390-6078, 1592-8721","language":"en","author":[{"family":"Koreth","given":"J."},{"family":"Antin","given":"J. H."}],"issued":{"date-parts":[["2010",3,1]]}}}],"schema":"https://github.com/citation-style-language/schema/raw/master/csl-citation.json"} </w:instrText>
      </w:r>
      <w:r w:rsidRPr="00B17ED4">
        <w:rPr>
          <w:rFonts w:ascii="Book Antiqua" w:eastAsia="Lato-Regular" w:hAnsi="Book Antiqua" w:cs="Book Antiqua"/>
          <w:sz w:val="24"/>
          <w:szCs w:val="24"/>
          <w:lang w:val="en-GB"/>
        </w:rPr>
        <w:fldChar w:fldCharType="separate"/>
      </w:r>
      <w:r w:rsidRPr="00B17ED4">
        <w:rPr>
          <w:rFonts w:ascii="Book Antiqua" w:hAnsi="Book Antiqua" w:cs="Book Antiqua"/>
          <w:sz w:val="24"/>
          <w:szCs w:val="24"/>
          <w:vertAlign w:val="superscript"/>
          <w:lang w:val="en-GB"/>
        </w:rPr>
        <w:t>[26]</w:t>
      </w:r>
      <w:r w:rsidRPr="00B17ED4">
        <w:rPr>
          <w:rFonts w:ascii="Book Antiqua" w:eastAsia="Lato-Regular" w:hAnsi="Book Antiqua" w:cs="Book Antiqua"/>
          <w:sz w:val="24"/>
          <w:szCs w:val="24"/>
          <w:lang w:val="en-GB"/>
        </w:rPr>
        <w:fldChar w:fldCharType="end"/>
      </w:r>
      <w:r w:rsidRPr="00B17ED4">
        <w:rPr>
          <w:rFonts w:ascii="Book Antiqua" w:eastAsia="Lato-Regular" w:hAnsi="Book Antiqua" w:cs="Book Antiqua"/>
          <w:sz w:val="24"/>
          <w:szCs w:val="24"/>
          <w:lang w:val="en-GB"/>
        </w:rPr>
        <w:t>. Similarly in the setting of intensive care, s</w:t>
      </w:r>
      <w:r w:rsidRPr="00B17ED4">
        <w:rPr>
          <w:rFonts w:ascii="Book Antiqua" w:hAnsi="Book Antiqua" w:cs="Book Antiqua"/>
          <w:sz w:val="24"/>
          <w:szCs w:val="24"/>
          <w:lang w:val="en-GB"/>
        </w:rPr>
        <w:t>erum iron parameters at admission were correlated with short and long term mortality</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{"citationID":"pn8sxXhH","properties":{"formattedCitation":"\\super [27]\\nosupersub{}","plainCitation":"[27]","noteIndex":0},"citationItems":[{"id":"bNgLsD3p/82tNEkg1","uris":["http://zotero.org/users/3421399/items/FFN9RBAH"],"uri":["http://zotero.org/users/3421399/items/FFN9RBAH"],"itemData":{"id":327,"type":"article-journal","title":"Iron Parameters Determine the Prognosis of Critically Ill Patients","container-title":"Critical Care Medicine","page":"1049-1058","volume":"44","issue":"6","source":"PubMed","abstract":"OBJECTIVE: Because iron is both an essential and toxic micronutrient influencing the development of microbial infections, we evaluated the usefulness of iron parameters as outcome predictors in ICU patients.\nDESIGN: Prospective clinical single-center non-interventional study.\nSETTING: General internal medicine ICU; German University hospital.\nPATIENTS: One hundred and twelve septic and 43 nonseptic ICU patients, 156 healthy blood donors.\nMEASUREMENTS AND MAIN RESULTS: Serum iron parameters at admission were correlated with short and long term mortality in ICU subjects. Both hepcidin and ferritin concentrations were significantly elevated in ICU patients compared with blood donors and were the highest in septic patients. On the contrary, serum iron and transferrin levels were decreased in ICU subjects with lowest values among septic patients. Hepcidin values correlated with ferritin levels, and serum iron correlated strongly with transferrin saturation. A moderate correlation of hepcidin, ferritin, and transferrin with inflammatory parameters was noted. Both short- and long-term survivors displayed higher ferritin/transferrin levels and lower transferrin saturation. In Kaplan-Meier analyses, low iron levels (cutoff 10.5 μmol/mL), low transferrin saturation (cutoff 55%), and high serum transferrin concentrations (cutoff 1.6 g/L) were associated with short- and long-term survival. In the subgroup of septic ICU subjects, low iron levels and transferrin saturation went along with a nonlethal outcome.\nCONCLUSIONS: Our findings demonstrate that parameters of iron metabolism, particularly transferrin saturation, that reflect serum iron availability, are strong outcome predictors in ICU patients. These data suggest that a failure of iron homeostasis with increased iron availability in serum occurs in lethally ill ICU patients and should trigger prospective clinical trials evaluating the usefulness of iron-chelating therapy in critical illness and sepsis.","DOI":"10.1097/CCM.0000000000001607","ISSN":"1530-0293","note":"PMID: 26934143","journalAbbreviation":"Crit. Care Med.","language":"eng","author":[{"family":"Tacke","given":"Frank"},{"family":"Nuraldeen","given":"Renwar"},{"family":"Koch","given":"Alexander"},{"family":"Strathmann","given":"Klaus"},{"family":"Hutschenreuter","given":"Gabriele"},{"family":"Trautwein","given":"Christian"},{"family":"Strnad","given":"Pavel"}],"issued":{"date-parts":[["2016",6]]}}}],"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From a biochemical point of view, elevated TS is associated with the appearance of non-transferrin bound iron (NTBI) and labile plasma iron (LPI), which are toxic forms of iron which induce reactive oxygen radicals promoting oxidative stress, leading to cellular damage</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{"citationID":"a1ue3a38gal","properties":{"formattedCitation":"\\super [28\\uc0\\u8211{}30]\\nosupersub{}","plainCitation":"[28–30]","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label":"page"},{"id":"bNgLsD3p/CIYmrVLO","uris":["http://zotero.org/users/3421399/items/K888Z62Q"],"uri":["http://zotero.org/users/3421399/items/K888Z62Q"],"itemData":{"id":397,"type":"article-journal","title":"The complex interplay of iron metabolism, reactive oxygen species, and reactive nitrogen species: Insights into the potential of various iron therapies to induce oxidative and nitrosative stress","container-title":"Free Radical Biology and Medicine","page":"1174-1194","volume":"65","source":"ScienceDirect","abstract":"Production of minute concentrations of superoxide (O2−) and nitrogen monoxide (nitric oxide, NO) plays important roles in several aspects of cellular signaling and metabolic regulation. However, in an inflammatory environment, the concentrations of these radicals can drastically increase and the antioxidant defenses may become overwhelmed. Thus, biological damage may occur owing to redox imbalance—a condition called oxidative and/or nitrosative stress. A complex interplay exists between iron metabolism, O2−, hydrogen peroxide (H2O2), and NO. Iron is involved in both the formation and the scavenging of these species. Iron deficiency (anemia) (ID(A)) is associated with oxidative stress, but its role in the induction of nitrosative stress is largely unclear. Moreover, oral as well as intravenous (iv) iron preparations used for the treatment of ID(A) may also induce oxidative and/or nitrosative stress. Oral administration of ferrous salts may lead to high transferrin saturation levels and, thus, formation of non-transferrin-bound iron, a potentially toxic form of iron with a propensity to induce oxidative stress. One of the factors that determine the likelihood of oxidative and nitrosative stress induced upon administration of an iv iron complex is the amount of labile (or weakly-bound) iron present in the complex. Stable dextran-based iron complexes used for iv therapy, although they contain only negligible amounts of labile iron, can induce oxidative and/or nitrosative stress through so far unknown mechanisms. In this review, after summarizing the main features of iron metabolism and its complex interplay with O2−, H2O2, NO, and other more reactive compounds derived from these species, the potential of various iron therapies to induce oxidative and nitrosative stress is discussed and possible underlying mechanisms are proposed. Understanding the mechanisms, by which various iron formulations may induce oxidative and nitrosative stress, will help us develop better tolerated and more efficient therapies for various dysfunctions of iron metabolism.","DOI":"10.1016/j.freeradbiomed.2013.09.001","ISSN":"0891-5849","shortTitle":"The complex interplay of iron metabolism, reactive oxygen species, and reactive nitrogen species","journalAbbreviation":"Free Radical Biology and Medicine","author":[{"family":"Koskenkorva-Frank","given":"Taija S."},{"family":"Weiss","given":"Günter"},{"family":"Koppenol","given":"Willem H."},{"family":"Burckhardt","given":"Susanna"}],"issued":{"date-parts":[["2013",12,1]]}},"label":"page"},{"id":"bNgLsD3p/tuctF6rA","uris":["http://zotero.org/users/3421399/items/HX6ZGSA9"],"uri":["http://zotero.org/users/3421399/items/HX6ZGSA9"],"itemData":{"id":261,"type":"article-journal","title":"Non-transferrin bound iron: A key role in iron overload and iron toxicity","container-title":"Biochimica et Biophysica Acta (BBA) - General Subjects","page":"403-410","volume":"1820","issue":"3","source":"CrossRef","DOI":"10.1016/j.bbagen.2011.07.014","ISSN":"03044165","shortTitle":"Non-transferrin bound iron","language":"en","author":[{"family":"Brissot","given":"Pierre"},{"family":"Ropert","given":"Martine"},{"family":"Le Lan","given":"Caroline"},{"family":"Loréal","given":"Olivier"}],"issued":{"date-parts":[["2012",3]]}},"label":"page"}],"schema":"https://github.com/citation-style-language/schema/raw/master/csl-citation.json"}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w:t>
      </w:r>
      <w:r w:rsidR="00C7242C">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30]</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Depending on the underlying disease and the assay, NTBI can be detected starting from TS level of 50</w:t>
      </w:r>
      <w:r w:rsidR="00C7242C"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to 75%, on the other hand, LPI is always present if TS is higher than 75%</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{"citationID":"PRDwvSyT","properties":{"formattedCitation":"\\super [28,31]\\nosupersub{}","plainCitation":"[28,31]","noteIndex":0},"citationItems":[{"id":"bNgLsD3p/lA9bmxjw","uris":["http://zotero.org/users/3421399/items/8SVAMW2Q"],"uri":["http://zotero.org/users/3421399/items/8SVAMW2Q"],"itemData":{"id":477,"type":"article-journal","title":"Second international round robin for the quantification of serum non-transferrin-bound iron and labile plasma iron in patients with iron-overload disorders","container-title":"Haematologica","page":"38-45","volume":"101","issue":"1","source":"PubMed","abstract":"Non-transferrin-bound iron and its labile (redox active) plasma iron component are thought to be potentially toxic forms of iron originally identified in the serum of patients with iron overload. We compared ten worldwide leading assays (6 for non-transferrin-bound iron and 4 for labile plasma iron) as part of an international inter-laboratory study. Serum samples from 60 patients with four different iron-overload disorders in various treatment phases were coded and sent in duplicate for analysis to five different laboratories worldwide. Some laboratories provided multiple assays. Overall, highest assay levels were observed for patients with untreated hereditary hemochromatosis and β-thalassemia intermedia, patients with transfusion-dependent myelodysplastic syndromes and patients with transfusion-dependent and chelated β-thalassemia major. Absolute levels differed considerably between assays and were lower for labile plasma iron than for non-transferrin-bound iron. Four assays also reported negative values. Assays were reproducible with high between-sample and low within-sample variation. Assays correlated and correlations were highest within the group of non-transferrin-bound iron assays and within that of labile plasma iron assays. Increased transferrin saturation, but not ferritin, was a good indicator of the presence of forms of circulating non-transferrin-bound iron. The possibility of using non-transferrin-bound iron and labile plasma iron measures as clinical indicators of overt iron overload and/or of treatment efficacy would largely depend on the rigorous validation and standardization of assays.","DOI":"10.3324/haematol.2015.133983","ISSN":"1592-8721","note":"PMID: 26385212\nPMCID: PMC4697890","journalAbbreviation":"Haematologica","language":"eng","author":[{"family":"Swart","given":"Louise","non-dropping-particle":"de"},{"family":"Hendriks","given":"Jan C. M."},{"family":"Vorm","given":"Lisa N.","non-dropping-particle":"van der"},{"family":"Cabantchik","given":"Z. Ioav"},{"family":"Evans","given":"Patricia J."},{"family":"Hod","given":"Eldad A."},{"family":"Brittenham","given":"Gary M."},{"family":"Furman","given":"Yael"},{"family":"Wojczyk","given":"Boguslaw"},{"family":"Janssen","given":"Mirian C. H."},{"family":"Porter","given":"John B."},{"family":"Mattijssen","given":"Vera E. J. M."},{"family":"Biemond","given":"Bart J."},{"family":"MacKenzie","given":"Marius A."},{"family":"Origa","given":"Raffaella"},{"family":"Galanello","given":"Renzo"},{"family":"Hider","given":"Robert C."},{"family":"Swinkels","given":"Dorine W."}],"issued":{"date-parts":[["2016",1]]}},"label":"page"},{"id":"bNgLsD3p/JR2aW8RX","uris":["http://zotero.org/users/3421399/items/IG96VSMN"],"uri":["http://zotero.org/users/3421399/items/IG96VSMN"],"itemData":{"id":403,"type":"article-journal","title":"Redox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[28,31]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NTBI</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 xml:space="preserve">Imbalance of iron metabolism also fosters </w:t>
      </w:r>
      <w:proofErr w:type="spellStart"/>
      <w:r w:rsidRPr="00B17ED4">
        <w:rPr>
          <w:rFonts w:ascii="Book Antiqua" w:hAnsi="Book Antiqua" w:cs="Book Antiqua"/>
          <w:sz w:val="24"/>
          <w:szCs w:val="24"/>
          <w:lang w:val="en-GB"/>
        </w:rPr>
        <w:t>siderophilic</w:t>
      </w:r>
      <w:proofErr w:type="spellEnd"/>
      <w:r w:rsidRPr="00B17ED4">
        <w:rPr>
          <w:rFonts w:ascii="Book Antiqua" w:hAnsi="Book Antiqua" w:cs="Book Antiqua"/>
          <w:sz w:val="24"/>
          <w:szCs w:val="24"/>
          <w:lang w:val="en-GB"/>
        </w:rPr>
        <w:t xml:space="preserve"> bacterial infection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{"citationID":"a2m85giolb","properties":{"formattedCitation":"\\super [32,33]\\nosupersub{}","plainCitation":"[32,33]","noteIndex":0},"citationItems":[{"id":"bNgLsD3p/Bd5V3Zf3","uris":["http://zotero.org/users/3421399/items/7NJKX3G3"],"uri":["http://zotero.org/users/3421399/items/7NJKX3G3"],"itemData":{"id":256,"type":"article-journal","title":"Iron- and Hepcidin-Independent Downregulation of the Iron Exporter Ferroportin in Macrophages during Salmonella Infection","container-title":"Frontiers in Immunology","volume":"8","source":"CrossRef","URL":"http://journal.frontiersin.org/article/10.3389/fimmu.2017.00498/full","DOI":"10.3389/fimmu.2017.00498","ISSN":"1664-3224","author":[{"family":"Willemetz","given":"Alexandra"},{"family":"Beatty","given":"Sean"},{"family":"Richer","given":"Etienne"},{"family":"Rubio","given":"Aude"},{"family":"Auriac","given":"Anne"},{"family":"Milkereit","given":"Ruth J."},{"family":"Thibaudeau","given":"Olivier"},{"family":"Vaulont","given":"Sophie"},{"family":"Malo","given":"Danielle"},{"family":"Canonne-Hergaux","given":"François"}],"issued":{"date-parts":[["2017",5,1]]},"accessed":{"date-parts":[["2017",8,4]]}},"label":"page"},{"id":"bNgLsD3p/mE24R9KA","uris":["http://zotero.org/users/3421399/items/28GEIQUA"],"uri":["http://zotero.org/users/3421399/items/28GEIQUA"],"itemData":{"id":395,"type":"article-journal","title":"Systemic Iron Homeostasis","container-title":"Physiological Reviews","page":"1721-1741","volume":"93","issue":"4","source":"CrossRef","DOI":"10.1152/physrev.00008.2013","ISSN":"0031-9333, 1522-1210","language":"en","author":[{"family":"Ganz","given":"Tomas"}],"issued":{"date-parts":[["2013",10]]}},"label":"page"}],"schema":"https://github.com/citation-style-language/schema/raw/master/csl-citation.json"}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[32,33]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including pneumonia</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{"citationID":"aFRTHesM","properties":{"formattedCitation":"\\super [34]\\nosupersub{}","plainCitation":"[34]","noteIndex":0},"citationItems":[{"id":"bNgLsD3p/IDOaeRmf","uris":["http://zotero.org/users/3421399/items/6NWWFNS5"],"uri":["http://zotero.org/users/3421399/items/6NWWFNS5"],"itemData":{"id":255,"type":"article-journal","title":"Hepcidin-mediated iron sequestration protects against bacterial dissemination during pneumonia","container-title":"JCI Insight","volume":"2","issue":"6","source":"CrossRef","URL":"https://insight.jci.org/articles/view/92002","DOI":"10.1172/jci.insight.92002","ISSN":"2379-3708","language":"en","author":[{"family":"Michels","given":"Kathryn R."},{"family":"Zhang","given":"Zhimin"},{"family":"Bettina","given":"Alexandra M."},{"family":"Cagnina","given":"R. Elaine"},{"family":"Stefanova","given":"Debora"},{"family":"Burdick","given":"Marie D."},{"family":"Vaulont","given":"Sophie"},{"family":"Nemeth","given":"Elizabeta"},{"family":"Ganz","given":"Tomas"},{"family":"Mehrad","given":"Borna"}],"issued":{"date-parts":[["2017",3,23]]},"accessed":{"date-parts":[["2017",8,4]]}}}],"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with involvement of NTBI</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{"citationID":"Z0tX19zO","properties":{"formattedCitation":"\\super [35]\\nosupersub{}","plainCitation":"[35]","noteIndex":0},"citationItems":[{"id":"bNgLsD3p/gMFBIR7d","uris":["http://zotero.org/users/3421399/items/7JPEDITG"],"uri":["http://zotero.org/users/3421399/items/7JPEDITG"],"itemData":{"id":263,"type":"article-journal","title":"Endogenous hepcidin and its agonist mediate resistance to selected infections by clearing non–transferrin-bound iron","container-title":"Blood","page":"245-257","volume":"130","issue":"3","source":"CrossRef","DOI":"10.1182/blood-2017-03-772715","ISSN":"0006-4971, 1528-0020","language":"en","author":[{"family":"Stefanova","given":"Deborah"},{"family":"Raychev","given":"Antoan"},{"family":"Arezes","given":"Joao"},{"family":"Ruchala","given":"Piotr"},{"family":"Gabayan","given":"Victoria"},{"family":"Skurnik","given":"Mikael"},{"family":"Dillon","given":"Barbara J."},{"family":"Horwitz","given":"Marcus A."},{"family":"Ganz","given":"Tomas"},{"family":"Bulut","given":"Yonca"},{"family":"Nemeth","given":"Elizabeta"}],"issued":{"date-parts":[["2017",7,20]]}}}],"schema":"https://github.com/citation-style-language/schema/raw/master/csl-citation.json"}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[35]</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r w:rsidR="00C47E43">
        <w:rPr>
          <w:rFonts w:ascii="Book Antiqua" w:hAnsi="Book Antiqua" w:cs="Book Antiqua"/>
          <w:sz w:val="24"/>
          <w:szCs w:val="24"/>
          <w:lang w:val="en-GB"/>
        </w:rPr>
        <w:t xml:space="preserve"> </w:t>
      </w:r>
    </w:p>
    <w:p w:rsidR="00820CBF" w:rsidRPr="00B17ED4" w:rsidRDefault="001317CB" w:rsidP="007A2A8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These discrepant results and the multiple factors influencing or influenced by iron metabolism suggest that more data are required to assess the relevance of iron metabolism imbalance in the management of patients with cirrhosis listed for LT. The aim of our study was to evaluate in a large retrospective cohort of liver transplanted patients the impact of pre-transplant iron metabolism imbalance on post-transplant survival.</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2B63E6" w:rsidRPr="002B63E6" w:rsidRDefault="002B63E6" w:rsidP="002B63E6">
      <w:pPr>
        <w:snapToGrid w:val="0"/>
        <w:spacing w:after="0" w:line="360" w:lineRule="auto"/>
        <w:jc w:val="both"/>
        <w:rPr>
          <w:rFonts w:ascii="Book Antiqua" w:hAnsi="Book Antiqua" w:cs="Book Antiqua"/>
          <w:b/>
          <w:caps/>
          <w:sz w:val="24"/>
          <w:szCs w:val="24"/>
          <w:u w:val="single"/>
          <w:lang w:val="en-US"/>
        </w:rPr>
      </w:pPr>
      <w:bookmarkStart w:id="2" w:name="OLE_LINK238"/>
      <w:bookmarkStart w:id="3" w:name="OLE_LINK239"/>
      <w:bookmarkStart w:id="4" w:name="OLE_LINK899"/>
      <w:bookmarkStart w:id="5" w:name="OLE_LINK478"/>
      <w:bookmarkStart w:id="6" w:name="OLE_LINK481"/>
      <w:bookmarkStart w:id="7" w:name="OLE_LINK483"/>
      <w:bookmarkStart w:id="8" w:name="OLE_LINK674"/>
      <w:r w:rsidRPr="002B63E6">
        <w:rPr>
          <w:rFonts w:ascii="Book Antiqua" w:hAnsi="Book Antiqua" w:cs="Book Antiqua"/>
          <w:b/>
          <w:caps/>
          <w:sz w:val="24"/>
          <w:szCs w:val="24"/>
          <w:u w:val="single"/>
          <w:lang w:val="en-US"/>
        </w:rPr>
        <w:t>Materials and methods</w:t>
      </w:r>
      <w:bookmarkEnd w:id="2"/>
      <w:bookmarkEnd w:id="3"/>
      <w:bookmarkEnd w:id="4"/>
    </w:p>
    <w:bookmarkEnd w:id="5"/>
    <w:bookmarkEnd w:id="6"/>
    <w:bookmarkEnd w:id="7"/>
    <w:bookmarkEnd w:id="8"/>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Patients</w:t>
      </w:r>
    </w:p>
    <w:p w:rsidR="00820CBF" w:rsidRPr="00B17ED4" w:rsidRDefault="001317CB" w:rsidP="000505DB">
      <w:pPr>
        <w:snapToGrid w:val="0"/>
        <w:spacing w:after="0" w:line="360" w:lineRule="auto"/>
        <w:jc w:val="both"/>
        <w:rPr>
          <w:rFonts w:ascii="Book Antiqua" w:hAnsi="Book Antiqua" w:cs="Book Antiqua"/>
          <w:i/>
          <w:sz w:val="24"/>
          <w:szCs w:val="24"/>
          <w:lang w:val="en-GB"/>
        </w:rPr>
      </w:pPr>
      <w:r w:rsidRPr="00B17ED4">
        <w:rPr>
          <w:rFonts w:ascii="Book Antiqua" w:hAnsi="Book Antiqua" w:cs="Book Antiqua"/>
          <w:sz w:val="24"/>
          <w:szCs w:val="24"/>
          <w:lang w:val="en-GB"/>
        </w:rPr>
        <w:t>All patients who underwent LT between January 2001 and December 2011 in our centre and with iron metabolism parameters available at the time of LT listing evaluation were included. Patients with previous history of LT, emergency LT or multiple-organ transplantation were excluded.</w:t>
      </w:r>
    </w:p>
    <w:p w:rsidR="00820CBF" w:rsidRPr="00B17ED4" w:rsidRDefault="001317CB" w:rsidP="006D165C">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Following data were prospectively recorded at the time of evaluation: age, sex, body mass index (BMI) of donor and recipient, cause of cirrhosis, presence of hepatocellular carcinoma, Child-Pugh score, serum sodium, serum iron, </w:t>
      </w:r>
      <w:r w:rsidR="009A6542" w:rsidRPr="00B17ED4">
        <w:rPr>
          <w:rFonts w:ascii="Book Antiqua" w:hAnsi="Book Antiqua" w:cs="Book Antiqua"/>
          <w:sz w:val="24"/>
          <w:szCs w:val="24"/>
          <w:lang w:val="en-GB"/>
        </w:rPr>
        <w:t>TS</w:t>
      </w:r>
      <w:r w:rsidRPr="00B17ED4">
        <w:rPr>
          <w:rFonts w:ascii="Book Antiqua" w:hAnsi="Book Antiqua" w:cs="Book Antiqua"/>
          <w:sz w:val="24"/>
          <w:szCs w:val="24"/>
          <w:lang w:val="en-GB"/>
        </w:rPr>
        <w:t xml:space="preserve">, serum ferritin, </w:t>
      </w:r>
      <w:r w:rsidR="00FE5281" w:rsidRPr="00B17ED4">
        <w:rPr>
          <w:rFonts w:ascii="Book Antiqua" w:hAnsi="Book Antiqua" w:cs="Book Antiqua"/>
          <w:sz w:val="24"/>
          <w:szCs w:val="24"/>
          <w:lang w:val="en-GB"/>
        </w:rPr>
        <w:t>c</w:t>
      </w:r>
      <w:r w:rsidRPr="00B17ED4">
        <w:rPr>
          <w:rFonts w:ascii="Book Antiqua" w:hAnsi="Book Antiqua" w:cs="Book Antiqua"/>
          <w:sz w:val="24"/>
          <w:szCs w:val="24"/>
          <w:lang w:val="en-GB"/>
        </w:rPr>
        <w:t xml:space="preserve">ystatin C, warm and cold ischemia times, perioperative transfusion (red </w:t>
      </w:r>
      <w:r w:rsidRPr="00B17ED4">
        <w:rPr>
          <w:rFonts w:ascii="Book Antiqua" w:hAnsi="Book Antiqua" w:cs="Book Antiqua"/>
          <w:sz w:val="24"/>
          <w:szCs w:val="24"/>
          <w:lang w:val="en-GB"/>
        </w:rPr>
        <w:lastRenderedPageBreak/>
        <w:t xml:space="preserve">blood cell units, </w:t>
      </w:r>
      <w:r w:rsidRPr="00B17ED4">
        <w:rPr>
          <w:rFonts w:ascii="Book Antiqua" w:eastAsia="Times New Roman" w:hAnsi="Book Antiqua" w:cs="Book Antiqua"/>
          <w:sz w:val="24"/>
          <w:szCs w:val="24"/>
          <w:lang w:val="en-GB" w:eastAsia="fr-FR"/>
        </w:rPr>
        <w:t xml:space="preserve">platelets, </w:t>
      </w:r>
      <w:r w:rsidRPr="00B17ED4">
        <w:rPr>
          <w:rFonts w:ascii="Book Antiqua" w:hAnsi="Book Antiqua" w:cs="Book Antiqua"/>
          <w:sz w:val="24"/>
          <w:szCs w:val="24"/>
          <w:lang w:val="en-GB"/>
        </w:rPr>
        <w:t>fresh frozen plasma units), duration of surgery, intensive care unit (ICU) and regular unit length of stay. MELD score was available for all patients after March 2007 and retrospectively calculated for others when INR was available.</w:t>
      </w:r>
    </w:p>
    <w:p w:rsidR="00820CBF" w:rsidRPr="00B17ED4" w:rsidRDefault="00820CBF" w:rsidP="000505DB">
      <w:pPr>
        <w:snapToGrid w:val="0"/>
        <w:spacing w:after="0" w:line="360" w:lineRule="auto"/>
        <w:jc w:val="both"/>
        <w:rPr>
          <w:rFonts w:ascii="Book Antiqua" w:hAnsi="Book Antiqua" w:cs="Book Antiqua"/>
          <w:b/>
          <w:bCs/>
          <w:i/>
          <w:sz w:val="24"/>
          <w:szCs w:val="24"/>
          <w:lang w:val="en-GB"/>
        </w:rPr>
      </w:pPr>
    </w:p>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Iron metabolism parameters</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Iron metabolism parameters (serum iron, SF</w:t>
      </w:r>
      <w:r w:rsidRPr="00B17ED4">
        <w:rPr>
          <w:rFonts w:ascii="Book Antiqua" w:hAnsi="Book Antiqua" w:cs="Book Antiqua"/>
          <w:b/>
          <w:sz w:val="24"/>
          <w:szCs w:val="24"/>
          <w:lang w:val="en-GB"/>
        </w:rPr>
        <w:t>,</w:t>
      </w:r>
      <w:r w:rsidRPr="00B17ED4">
        <w:rPr>
          <w:rFonts w:ascii="Book Antiqua" w:hAnsi="Book Antiqua" w:cs="Book Antiqua"/>
          <w:sz w:val="24"/>
          <w:szCs w:val="24"/>
          <w:lang w:val="en-GB"/>
        </w:rPr>
        <w:t xml:space="preserve"> transferrin, TS) were routinely measured during pre-transplant evaluation. Serum ferritin was determined using chemiluminescence immunoassay from 2001 to 2009 (ACS 180 Bayer), then turbidimetric assay (Olympus AU 800) from 2009 to the end of the study, internal control and calibration proved consistent measurement and comparability of value between assay.</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 xml:space="preserve">Transplantation procedure and postoperative care </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All patients had orthotopic liver transplantation with inferior vena cava preservation. The graft was harvested from a brain death donor in all cases. No organs from executed prisoners were used. After the procedure, patients were transferred to the ICU</w:t>
      </w:r>
      <w:r w:rsidR="006E394E">
        <w:rPr>
          <w:rFonts w:ascii="Book Antiqua" w:hAnsi="Book Antiqua" w:cs="Book Antiqua"/>
          <w:sz w:val="24"/>
          <w:szCs w:val="24"/>
          <w:lang w:val="en-GB"/>
        </w:rPr>
        <w:t xml:space="preserve"> </w:t>
      </w:r>
      <w:r w:rsidRPr="00B17ED4">
        <w:rPr>
          <w:rFonts w:ascii="Book Antiqua" w:hAnsi="Book Antiqua" w:cs="Book Antiqua"/>
          <w:sz w:val="24"/>
          <w:szCs w:val="24"/>
          <w:lang w:val="en-GB"/>
        </w:rPr>
        <w:t xml:space="preserve">until graft function was satisfactory. Routine immunosuppression consisting on low-dose </w:t>
      </w:r>
      <w:r w:rsidR="00400E2A" w:rsidRPr="00B17ED4">
        <w:rPr>
          <w:rFonts w:ascii="Book Antiqua" w:hAnsi="Book Antiqua" w:cs="Book Antiqua"/>
          <w:sz w:val="24"/>
          <w:szCs w:val="24"/>
          <w:lang w:val="en-GB"/>
        </w:rPr>
        <w:t>t</w:t>
      </w:r>
      <w:r w:rsidRPr="00B17ED4">
        <w:rPr>
          <w:rFonts w:ascii="Book Antiqua" w:hAnsi="Book Antiqua" w:cs="Book Antiqua"/>
          <w:sz w:val="24"/>
          <w:szCs w:val="24"/>
          <w:lang w:val="en-GB"/>
        </w:rPr>
        <w:t xml:space="preserve">acrolimus (TAC), </w:t>
      </w:r>
      <w:proofErr w:type="spellStart"/>
      <w:r w:rsidRPr="00B17ED4">
        <w:rPr>
          <w:rFonts w:ascii="Book Antiqua" w:hAnsi="Book Antiqua" w:cs="Book Antiqua"/>
          <w:sz w:val="24"/>
          <w:szCs w:val="24"/>
          <w:lang w:val="en-GB"/>
        </w:rPr>
        <w:t>mycophenolatemofetil</w:t>
      </w:r>
      <w:proofErr w:type="spellEnd"/>
      <w:r w:rsidRPr="00B17ED4">
        <w:rPr>
          <w:rFonts w:ascii="Book Antiqua" w:hAnsi="Book Antiqua" w:cs="Book Antiqua"/>
          <w:sz w:val="24"/>
          <w:szCs w:val="24"/>
          <w:lang w:val="en-GB"/>
        </w:rPr>
        <w:t xml:space="preserve"> and a short course of corticosteroids was initiated. TAC dosage was initiated at 0</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1 mg/kg daily or at 0</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06 mg/kg daily in case of concomitant administration of fluconazole and then adapted according to TAC blood through concentration with a target value between 6 and 10 ng/</w:t>
      </w:r>
      <w:proofErr w:type="spellStart"/>
      <w:r w:rsidRPr="00B17ED4">
        <w:rPr>
          <w:rFonts w:ascii="Book Antiqua" w:hAnsi="Book Antiqua" w:cs="Book Antiqua"/>
          <w:sz w:val="24"/>
          <w:szCs w:val="24"/>
          <w:lang w:val="en-GB"/>
        </w:rPr>
        <w:t>m</w:t>
      </w:r>
      <w:r w:rsidRPr="000A78AF">
        <w:rPr>
          <w:rFonts w:ascii="Book Antiqua" w:hAnsi="Book Antiqua" w:cs="Book Antiqua"/>
          <w:caps/>
          <w:sz w:val="24"/>
          <w:szCs w:val="24"/>
          <w:lang w:val="en-GB"/>
        </w:rPr>
        <w:t>l</w:t>
      </w:r>
      <w:r w:rsidRPr="00B17ED4">
        <w:rPr>
          <w:rFonts w:ascii="Book Antiqua" w:hAnsi="Book Antiqua" w:cs="Book Antiqua"/>
          <w:sz w:val="24"/>
          <w:szCs w:val="24"/>
          <w:lang w:val="en-GB"/>
        </w:rPr>
        <w:t>.</w:t>
      </w:r>
      <w:proofErr w:type="spellEnd"/>
      <w:r w:rsidRPr="00B17ED4">
        <w:rPr>
          <w:rFonts w:ascii="Book Antiqua" w:hAnsi="Book Antiqua" w:cs="Book Antiqua"/>
          <w:sz w:val="24"/>
          <w:szCs w:val="24"/>
          <w:lang w:val="en-GB"/>
        </w:rPr>
        <w:t xml:space="preserve"> No significant modification regarding the surgical procedure or the postoperative medical care was observed during the study period.</w:t>
      </w: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eastAsia="Lato-Regular" w:hAnsi="Book Antiqua" w:cs="Book Antiqua"/>
          <w:b/>
          <w:bCs/>
          <w:i/>
          <w:sz w:val="24"/>
          <w:szCs w:val="24"/>
          <w:lang w:val="en-GB"/>
        </w:rPr>
      </w:pPr>
      <w:r w:rsidRPr="00B17ED4">
        <w:rPr>
          <w:rFonts w:ascii="Book Antiqua" w:eastAsia="Lato-Regular" w:hAnsi="Book Antiqua" w:cs="Book Antiqua"/>
          <w:b/>
          <w:bCs/>
          <w:i/>
          <w:sz w:val="24"/>
          <w:szCs w:val="24"/>
          <w:lang w:val="en-GB"/>
        </w:rPr>
        <w:t>Patient's follow-up</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Follow-up data were obtained from the local database and the National Biomedicine Agency database in March 2017. The following complications are prospectively recorded during the follow-up: anastomotic complications (arterial, venous, biliary), cardiovascular event, renal failure (dialysis), graft rejection.</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lastRenderedPageBreak/>
        <w:t xml:space="preserve">Patients lost to follow up were considered to be dead. Causes of death were prospectively recorded and categorized as: cancer (including recurrence of hepatocellular carcinoma), infection related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any causes of bacterial, viral (excluding chronic hepatitis) or fungal infection identified as the main cause leading to death</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recurrence of the initial liver disease, graft failure, cardiovascular event, other causes, and undetermined.</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This study protocol conformed to the declaration of Helsinki and was approved by the Rennes University Ethics Committee. According to French law, the corresponding database was declared to the “</w:t>
      </w:r>
      <w:r w:rsidRPr="006E394E">
        <w:rPr>
          <w:rFonts w:ascii="Book Antiqua" w:hAnsi="Book Antiqua" w:cs="Book Antiqua"/>
          <w:caps/>
          <w:sz w:val="24"/>
          <w:szCs w:val="24"/>
          <w:lang w:val="en-GB"/>
        </w:rPr>
        <w:t>n</w:t>
      </w:r>
      <w:r w:rsidRPr="00B17ED4">
        <w:rPr>
          <w:rFonts w:ascii="Book Antiqua" w:hAnsi="Book Antiqua" w:cs="Book Antiqua"/>
          <w:sz w:val="24"/>
          <w:szCs w:val="24"/>
          <w:lang w:val="en-GB"/>
        </w:rPr>
        <w:t xml:space="preserve">ational </w:t>
      </w:r>
      <w:r w:rsidRPr="006E394E">
        <w:rPr>
          <w:rFonts w:ascii="Book Antiqua" w:hAnsi="Book Antiqua" w:cs="Book Antiqua"/>
          <w:caps/>
          <w:sz w:val="24"/>
          <w:szCs w:val="24"/>
          <w:lang w:val="en-GB"/>
        </w:rPr>
        <w:t>c</w:t>
      </w:r>
      <w:r w:rsidRPr="00B17ED4">
        <w:rPr>
          <w:rFonts w:ascii="Book Antiqua" w:hAnsi="Book Antiqua" w:cs="Book Antiqua"/>
          <w:sz w:val="24"/>
          <w:szCs w:val="24"/>
          <w:lang w:val="en-GB"/>
        </w:rPr>
        <w:t>ommittee of Informatics and Freedom” (CNIL, n°96-025).</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sz w:val="24"/>
          <w:szCs w:val="24"/>
          <w:lang w:val="en-GB" w:eastAsia="fr-FR"/>
        </w:rPr>
      </w:pPr>
      <w:r w:rsidRPr="00B17ED4">
        <w:rPr>
          <w:rFonts w:ascii="Book Antiqua" w:hAnsi="Book Antiqua" w:cs="Book Antiqua"/>
          <w:b/>
          <w:i/>
          <w:sz w:val="24"/>
          <w:szCs w:val="24"/>
          <w:lang w:val="en-GB"/>
        </w:rPr>
        <w:t>Statistical analysis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Quantitative variables are described as median [quartiles] and qualitative variables are presented as number and percentage (%).</w:t>
      </w:r>
    </w:p>
    <w:p w:rsidR="00820CBF" w:rsidRPr="00B17ED4" w:rsidRDefault="001317CB" w:rsidP="006E394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As SF distribution was skewed and exhibited nonlinearity (according to martingale residuals) in the Cox regression model, it was studied as a categorical variable using </w:t>
      </w:r>
      <w:proofErr w:type="spellStart"/>
      <w:r w:rsidRPr="00B17ED4">
        <w:rPr>
          <w:rFonts w:ascii="Book Antiqua" w:hAnsi="Book Antiqua" w:cs="Book Antiqua"/>
          <w:sz w:val="24"/>
          <w:szCs w:val="24"/>
          <w:lang w:val="en-GB"/>
        </w:rPr>
        <w:t>tertiles</w:t>
      </w:r>
      <w:proofErr w:type="spellEnd"/>
      <w:r w:rsidRPr="00B17ED4">
        <w:rPr>
          <w:rFonts w:ascii="Book Antiqua" w:hAnsi="Book Antiqua" w:cs="Book Antiqua"/>
          <w:sz w:val="24"/>
          <w:szCs w:val="24"/>
          <w:lang w:val="en-GB"/>
        </w:rPr>
        <w:t xml:space="preserve"> (lower than 100 µg/L - between 100 and 400 µg/L - higher than 400 µg/L). TS was studied as a categorical variable with a cut-off value of 75% as at this level NTBI and LPI are always present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{"citationID":"c0IUwQGy","properties":{"formattedCitation":"\\super [28]\\nosupersub{}","plainCitation":"[28]","noteIndex":0},"citationItems":[{"id":"bNgLsD3p/JR2aW8RX","uris":["http://zotero.org/users/3421399/items/IG96VSMN"],"uri":["http://zotero.org/users/3421399/items/IG96VSMN"],"itemData":{"id":403,"type":"article-journal","title":"Redox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Clinically relevant variables and variables associated with mortality in univariate analysis (Cox regression) with a </w:t>
      </w:r>
      <w:r w:rsidRPr="00B17ED4">
        <w:rPr>
          <w:rFonts w:ascii="Book Antiqua" w:hAnsi="Book Antiqua" w:cs="Book Antiqua"/>
          <w:i/>
          <w:sz w:val="24"/>
          <w:szCs w:val="24"/>
          <w:lang w:val="en-GB"/>
        </w:rPr>
        <w:t>P</w:t>
      </w:r>
      <w:r w:rsidRPr="00B17ED4">
        <w:rPr>
          <w:rFonts w:ascii="Book Antiqua" w:hAnsi="Book Antiqua" w:cs="Book Antiqua"/>
          <w:sz w:val="24"/>
          <w:szCs w:val="24"/>
          <w:lang w:val="en-GB"/>
        </w:rPr>
        <w:t xml:space="preserve"> value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0.2 were included in the multivariate analysis. Multivariate Cox regression analysis was performed with backward stepwise selection of variable according to likelihood ratio.</w:t>
      </w:r>
    </w:p>
    <w:p w:rsidR="006E394E" w:rsidRDefault="001317CB" w:rsidP="006E394E">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Survival curves were established using the Kaplan-Meier method and compared </w:t>
      </w:r>
      <w:r w:rsidR="006E394E">
        <w:rPr>
          <w:rFonts w:ascii="Book Antiqua" w:hAnsi="Book Antiqua" w:cs="Book Antiqua"/>
          <w:sz w:val="24"/>
          <w:szCs w:val="24"/>
          <w:lang w:val="en-GB"/>
        </w:rPr>
        <w:t>using the Log-rank test.</w:t>
      </w:r>
    </w:p>
    <w:p w:rsidR="00820CBF" w:rsidRPr="00B17ED4" w:rsidRDefault="001317CB" w:rsidP="006E394E">
      <w:pPr>
        <w:autoSpaceDE w:val="0"/>
        <w:autoSpaceDN w:val="0"/>
        <w:adjustRightInd w:val="0"/>
        <w:snapToGrid w:val="0"/>
        <w:spacing w:after="0" w:line="360" w:lineRule="auto"/>
        <w:ind w:firstLineChars="100" w:firstLine="240"/>
        <w:jc w:val="both"/>
        <w:rPr>
          <w:rFonts w:ascii="Book Antiqua" w:eastAsia="Times New Roman" w:hAnsi="Book Antiqua" w:cs="Book Antiqua"/>
          <w:b/>
          <w:sz w:val="24"/>
          <w:szCs w:val="24"/>
          <w:lang w:val="en-GB" w:eastAsia="fr-FR"/>
        </w:rPr>
      </w:pPr>
      <w:r w:rsidRPr="00B17ED4">
        <w:rPr>
          <w:rFonts w:ascii="Book Antiqua" w:hAnsi="Book Antiqua" w:cs="Book Antiqua"/>
          <w:sz w:val="24"/>
          <w:szCs w:val="24"/>
          <w:lang w:val="en-US"/>
        </w:rPr>
        <w:t xml:space="preserve">Data were analyzed using version 22.0 of SPSS (SPSS Inc., Chicago, </w:t>
      </w:r>
      <w:r w:rsidR="005A1AAC">
        <w:rPr>
          <w:rFonts w:ascii="Book Antiqua" w:hAnsi="Book Antiqua" w:cs="Book Antiqua"/>
          <w:sz w:val="24"/>
          <w:szCs w:val="24"/>
          <w:lang w:val="en-US"/>
        </w:rPr>
        <w:t xml:space="preserve">IL, </w:t>
      </w:r>
      <w:r w:rsidRPr="00B17ED4">
        <w:rPr>
          <w:rFonts w:ascii="Book Antiqua" w:hAnsi="Book Antiqua" w:cs="Book Antiqua"/>
          <w:sz w:val="24"/>
          <w:szCs w:val="24"/>
          <w:lang w:val="en-US"/>
        </w:rPr>
        <w:t xml:space="preserve">United States). </w:t>
      </w:r>
      <w:r w:rsidRPr="00B17ED4">
        <w:rPr>
          <w:rFonts w:ascii="Book Antiqua" w:hAnsi="Book Antiqua" w:cs="Book Antiqua"/>
          <w:i/>
          <w:iCs/>
          <w:sz w:val="24"/>
          <w:szCs w:val="24"/>
          <w:lang w:val="en-US"/>
        </w:rPr>
        <w:t>P</w:t>
      </w:r>
      <w:r w:rsidRPr="00B17ED4">
        <w:rPr>
          <w:rFonts w:ascii="Book Antiqua" w:hAnsi="Book Antiqua" w:cs="Book Antiqua"/>
          <w:sz w:val="24"/>
          <w:szCs w:val="24"/>
          <w:lang w:val="en-US"/>
        </w:rPr>
        <w:t xml:space="preserve"> &lt; 0.05 was considered significant with a two-tailed test. </w:t>
      </w:r>
    </w:p>
    <w:p w:rsidR="00820CBF" w:rsidRPr="00B17ED4" w:rsidRDefault="00820CBF" w:rsidP="000505DB">
      <w:pPr>
        <w:snapToGrid w:val="0"/>
        <w:spacing w:after="0" w:line="360" w:lineRule="auto"/>
        <w:jc w:val="both"/>
        <w:rPr>
          <w:rFonts w:ascii="Book Antiqua" w:hAnsi="Book Antiqua" w:cs="Book Antiqua"/>
          <w:b/>
          <w:sz w:val="24"/>
          <w:szCs w:val="24"/>
          <w:lang w:val="en-GB"/>
        </w:rPr>
      </w:pPr>
    </w:p>
    <w:p w:rsidR="00820CBF" w:rsidRPr="00BE5064" w:rsidRDefault="001317CB" w:rsidP="000505DB">
      <w:pPr>
        <w:snapToGrid w:val="0"/>
        <w:spacing w:after="0" w:line="360" w:lineRule="auto"/>
        <w:jc w:val="both"/>
        <w:rPr>
          <w:rFonts w:ascii="Book Antiqua" w:hAnsi="Book Antiqua" w:cs="Book Antiqua"/>
          <w:b/>
          <w:sz w:val="24"/>
          <w:szCs w:val="24"/>
          <w:u w:val="single"/>
          <w:lang w:val="en-GB"/>
        </w:rPr>
      </w:pPr>
      <w:r w:rsidRPr="00BE5064">
        <w:rPr>
          <w:rFonts w:ascii="Book Antiqua" w:hAnsi="Book Antiqua" w:cs="Book Antiqua"/>
          <w:b/>
          <w:sz w:val="24"/>
          <w:szCs w:val="24"/>
          <w:u w:val="single"/>
          <w:lang w:val="en-GB"/>
        </w:rPr>
        <w:t>RESULTS</w:t>
      </w:r>
    </w:p>
    <w:p w:rsidR="00820CBF" w:rsidRPr="00B17ED4" w:rsidRDefault="001317CB" w:rsidP="000505DB">
      <w:pPr>
        <w:snapToGrid w:val="0"/>
        <w:spacing w:after="0" w:line="360" w:lineRule="auto"/>
        <w:jc w:val="both"/>
        <w:rPr>
          <w:rFonts w:ascii="Book Antiqua" w:hAnsi="Book Antiqua" w:cs="Book Antiqua"/>
          <w:b/>
          <w:bCs/>
          <w:i/>
          <w:sz w:val="24"/>
          <w:szCs w:val="24"/>
          <w:lang w:val="en-GB"/>
        </w:rPr>
      </w:pPr>
      <w:r w:rsidRPr="00B17ED4">
        <w:rPr>
          <w:rFonts w:ascii="Book Antiqua" w:hAnsi="Book Antiqua" w:cs="Book Antiqua"/>
          <w:b/>
          <w:bCs/>
          <w:i/>
          <w:sz w:val="24"/>
          <w:szCs w:val="24"/>
          <w:lang w:val="en-GB"/>
        </w:rPr>
        <w:t>Patient characteristics</w:t>
      </w:r>
      <w:r w:rsidR="00C47E43">
        <w:rPr>
          <w:rFonts w:ascii="Book Antiqua" w:hAnsi="Book Antiqua" w:cs="Book Antiqua"/>
          <w:b/>
          <w:bCs/>
          <w:i/>
          <w:sz w:val="24"/>
          <w:szCs w:val="24"/>
          <w:lang w:val="en-GB"/>
        </w:rPr>
        <w:t xml:space="preserve"> </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lastRenderedPageBreak/>
        <w:t xml:space="preserve">A total of 553 patients underwent LT during the study period with iron metabolism parameters available at the time of evaluation. Their clinical and biochemical characteristics are described in Table 1. </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The median age at evaluation for LT was 55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49-60.5</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years. They were preferentially men (74.9%) with alcohol-related liver disease (61.5%). The median SF was 241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75.5-593.5</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µg/L, 168 patients had SF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 µg/L and 200 had SF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400 µg/L. The median TS was 43.6%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25.1</w:t>
      </w:r>
      <w:r w:rsidR="00273AD4" w:rsidRPr="00B17ED4">
        <w:rPr>
          <w:rFonts w:ascii="Book Antiqua" w:hAnsi="Book Antiqua" w:cs="Book Antiqua"/>
          <w:sz w:val="24"/>
          <w:szCs w:val="24"/>
          <w:lang w:val="en-GB"/>
        </w:rPr>
        <w:t>%</w:t>
      </w:r>
      <w:r w:rsidRPr="00B17ED4">
        <w:rPr>
          <w:rFonts w:ascii="Book Antiqua" w:hAnsi="Book Antiqua" w:cs="Book Antiqua"/>
          <w:sz w:val="24"/>
          <w:szCs w:val="24"/>
          <w:lang w:val="en-GB"/>
        </w:rPr>
        <w:t>-74.5</w:t>
      </w:r>
      <w:r w:rsidR="00273AD4"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with 24.6% of patients having a TS higher than 75%. MELD was available in 407 (73.6%) patients and median MELD was 15.1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10.6-20.7</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Median time between listing and LT was 4</w:t>
      </w:r>
      <w:r w:rsidR="00D43DF0">
        <w:rPr>
          <w:rFonts w:ascii="Book Antiqua" w:hAnsi="Book Antiqua" w:cs="Book Antiqua"/>
          <w:sz w:val="24"/>
          <w:szCs w:val="24"/>
          <w:lang w:val="en-GB"/>
        </w:rPr>
        <w:t xml:space="preserve"> (</w:t>
      </w:r>
      <w:r w:rsidRPr="00B17ED4">
        <w:rPr>
          <w:rFonts w:ascii="Book Antiqua" w:hAnsi="Book Antiqua" w:cs="Book Antiqua"/>
          <w:sz w:val="24"/>
          <w:szCs w:val="24"/>
          <w:lang w:val="en-GB"/>
        </w:rPr>
        <w:t>2-9</w:t>
      </w:r>
      <w:r w:rsidR="00D43DF0">
        <w:rPr>
          <w:rFonts w:ascii="Book Antiqua" w:hAnsi="Book Antiqua" w:cs="Book Antiqua"/>
          <w:sz w:val="24"/>
          <w:szCs w:val="24"/>
          <w:lang w:val="en-GB"/>
        </w:rPr>
        <w:t>)</w:t>
      </w:r>
      <w:r w:rsidRPr="00B17ED4">
        <w:rPr>
          <w:rFonts w:ascii="Book Antiqua" w:hAnsi="Book Antiqua" w:cs="Book Antiqua"/>
          <w:sz w:val="24"/>
          <w:szCs w:val="24"/>
          <w:lang w:val="en-GB"/>
        </w:rPr>
        <w:t xml:space="preserve"> mo.</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Median follow-up time after LT was 95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55-126</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mo. At the end of the follow-up period, 5 patients were lost to follow up, and 196 patients died, 38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(6.9%) of died from infection. Of them 13 died of septicaemia, 12 of pulmonary bacterial infection, 5 of peritonitis, 3 of </w:t>
      </w:r>
      <w:proofErr w:type="spellStart"/>
      <w:r w:rsidRPr="00B17ED4">
        <w:rPr>
          <w:rFonts w:ascii="Book Antiqua" w:hAnsi="Book Antiqua" w:cs="Book Antiqua"/>
          <w:sz w:val="24"/>
          <w:szCs w:val="24"/>
          <w:lang w:val="en-GB"/>
        </w:rPr>
        <w:t>angiocholitis</w:t>
      </w:r>
      <w:proofErr w:type="spellEnd"/>
      <w:r w:rsidRPr="00B17ED4">
        <w:rPr>
          <w:rFonts w:ascii="Book Antiqua" w:hAnsi="Book Antiqua" w:cs="Book Antiqua"/>
          <w:sz w:val="24"/>
          <w:szCs w:val="24"/>
          <w:lang w:val="en-GB"/>
        </w:rPr>
        <w:t>, 3 of severe viral infection and 2 of fungal infection. Patient outcomes and causes of death are summarized in Table 2.</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b/>
          <w:i/>
          <w:sz w:val="24"/>
          <w:szCs w:val="24"/>
          <w:lang w:val="en-GB"/>
        </w:rPr>
      </w:pPr>
      <w:r w:rsidRPr="00B17ED4">
        <w:rPr>
          <w:rFonts w:ascii="Book Antiqua" w:hAnsi="Book Antiqua" w:cs="Book Antiqua"/>
          <w:b/>
          <w:i/>
          <w:sz w:val="24"/>
          <w:szCs w:val="24"/>
          <w:lang w:val="en-GB"/>
        </w:rPr>
        <w:t>Overall mortality</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In univariate analysis, variable associated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&lt;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0.2) with overall mortality were: </w:t>
      </w:r>
      <w:r w:rsidRPr="00B17ED4">
        <w:rPr>
          <w:rFonts w:ascii="Book Antiqua" w:hAnsi="Book Antiqua" w:cs="Book Antiqua"/>
          <w:sz w:val="24"/>
          <w:szCs w:val="24"/>
          <w:lang w:val="en-GB"/>
        </w:rPr>
        <w:t>fresh frozen plasma transfusion units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0.001), packed red blood cell transfusion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0.001), estimated </w:t>
      </w:r>
      <w:r w:rsidRPr="00B17ED4">
        <w:rPr>
          <w:rFonts w:ascii="Book Antiqua" w:eastAsia="Times New Roman" w:hAnsi="Book Antiqua" w:cs="Book Antiqua"/>
          <w:sz w:val="24"/>
          <w:szCs w:val="24"/>
          <w:lang w:val="en-GB" w:eastAsia="fr-FR"/>
        </w:rPr>
        <w:t>glomerular filtration rate through the CKD Epi Cystatin C equation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0.01), </w:t>
      </w:r>
      <w:r w:rsidRPr="00B17ED4">
        <w:rPr>
          <w:rFonts w:ascii="Book Antiqua" w:hAnsi="Book Antiqua" w:cs="Book Antiqua"/>
          <w:sz w:val="24"/>
          <w:szCs w:val="24"/>
          <w:lang w:val="en-GB"/>
        </w:rPr>
        <w:t>duration of surgery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0.07), cirrhosis </w:t>
      </w:r>
      <w:proofErr w:type="spellStart"/>
      <w:r w:rsidRPr="00B17ED4">
        <w:rPr>
          <w:rFonts w:ascii="Book Antiqua" w:hAnsi="Book Antiqua" w:cs="Book Antiqua"/>
          <w:sz w:val="24"/>
          <w:szCs w:val="24"/>
          <w:lang w:val="en-GB"/>
        </w:rPr>
        <w:t>etiology</w:t>
      </w:r>
      <w:proofErr w:type="spellEnd"/>
      <w:r w:rsidRPr="00B17ED4">
        <w:rPr>
          <w:rFonts w:ascii="Book Antiqua" w:hAnsi="Book Antiqua" w:cs="Book Antiqua"/>
          <w:sz w:val="24"/>
          <w:szCs w:val="24"/>
          <w:lang w:val="en-GB"/>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0.07),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0.08), TS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0.08), </w:t>
      </w:r>
      <w:r w:rsidRPr="00B17ED4">
        <w:rPr>
          <w:rFonts w:ascii="Book Antiqua" w:eastAsia="Times New Roman" w:hAnsi="Book Antiqua" w:cs="Book Antiqua"/>
          <w:sz w:val="24"/>
          <w:szCs w:val="24"/>
          <w:lang w:val="en-GB" w:eastAsia="fr-FR"/>
        </w:rPr>
        <w:t>ascites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0.04), albumin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0.10) and Cystatin C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0.11).</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 xml:space="preserve">Results from the multivariate analysis are reported in Table 3. In multivariate analysis, TS higher than 75% was significantly associated with mortality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HR: </w:t>
      </w:r>
      <w:r w:rsidRPr="00B17ED4">
        <w:rPr>
          <w:rFonts w:ascii="Book Antiqua" w:hAnsi="Book Antiqua" w:cs="Book Antiqua"/>
          <w:sz w:val="24"/>
          <w:szCs w:val="24"/>
          <w:lang w:val="en-GB"/>
        </w:rPr>
        <w:t>1.73</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1.14; 2.63)]</w:t>
      </w:r>
      <w:r w:rsidRPr="00B17ED4">
        <w:rPr>
          <w:rFonts w:ascii="Book Antiqua" w:eastAsia="Times New Roman" w:hAnsi="Book Antiqua" w:cs="Book Antiqua"/>
          <w:sz w:val="24"/>
          <w:szCs w:val="24"/>
          <w:lang w:val="en-GB" w:eastAsia="fr-FR"/>
        </w:rPr>
        <w:t xml:space="preserve">. Low SF was significantly associated with mortality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HR: </w:t>
      </w:r>
      <w:r w:rsidRPr="00B17ED4">
        <w:rPr>
          <w:rFonts w:ascii="Book Antiqua" w:hAnsi="Book Antiqua" w:cs="Book Antiqua"/>
          <w:sz w:val="24"/>
          <w:szCs w:val="24"/>
          <w:lang w:val="en-GB"/>
        </w:rPr>
        <w:t>1.62</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1.12; 2.35)] whereas high SF was not significant</w:t>
      </w:r>
      <w:r w:rsidRPr="00B17ED4">
        <w:rPr>
          <w:rFonts w:ascii="Book Antiqua" w:eastAsia="Times New Roman" w:hAnsi="Book Antiqua" w:cs="Book Antiqua"/>
          <w:sz w:val="24"/>
          <w:szCs w:val="24"/>
          <w:lang w:val="en-GB" w:eastAsia="fr-FR"/>
        </w:rPr>
        <w:t>.</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Because one could consider that abnormal SF or TS may only be markers of advanced liver disease, we performed an analysis entering the MELD score in the final model. MELD was not significantly associated with mortality [HR: 1.00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(0.96; 1.03),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0.87], this did not change significance of SF or TS, nor significantly changed their Hazard Ratio.</w:t>
      </w:r>
    </w:p>
    <w:p w:rsidR="00820CBF" w:rsidRPr="00B17ED4" w:rsidRDefault="00820CBF"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bCs/>
          <w:i/>
          <w:sz w:val="24"/>
          <w:szCs w:val="24"/>
          <w:lang w:val="en-GB" w:eastAsia="fr-FR"/>
        </w:rPr>
      </w:pPr>
      <w:r w:rsidRPr="00B17ED4">
        <w:rPr>
          <w:rFonts w:ascii="Book Antiqua" w:eastAsia="Times New Roman" w:hAnsi="Book Antiqua" w:cs="Book Antiqua"/>
          <w:b/>
          <w:bCs/>
          <w:i/>
          <w:sz w:val="24"/>
          <w:szCs w:val="24"/>
          <w:lang w:val="en-GB" w:eastAsia="fr-FR"/>
        </w:rPr>
        <w:lastRenderedPageBreak/>
        <w:t>Overall survival and serum ferritin</w:t>
      </w: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Kaplan Meier survival analysis was performed to explore the relationship between serum ferritin and overall survival. Kaplan Meier survival curves suggest that patients with low SF and high SF have a lower survival than patients with SF within the normal range (Figure 1). This difference was not statistically significant between the three groups over the whole study period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0.07). But short-term survival analysis restricted to 6, 12 and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of follow-up showed a significant difference between the three groups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0.016 at 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0.026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0.032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patients with ferritin &lt;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100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µg/L and patients with ferritin &gt; 400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µg/L had lower survival than patients with ferritin 100-400</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µg/L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0,008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0,016 respectively).</w:t>
      </w:r>
    </w:p>
    <w:p w:rsidR="00820CBF" w:rsidRPr="00B17ED4" w:rsidRDefault="00820CBF"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US" w:eastAsia="fr-FR"/>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bCs/>
          <w:i/>
          <w:sz w:val="24"/>
          <w:szCs w:val="24"/>
          <w:lang w:val="en-GB" w:eastAsia="fr-FR"/>
        </w:rPr>
      </w:pPr>
      <w:r w:rsidRPr="00B17ED4">
        <w:rPr>
          <w:rFonts w:ascii="Book Antiqua" w:eastAsia="Times New Roman" w:hAnsi="Book Antiqua" w:cs="Book Antiqua"/>
          <w:b/>
          <w:bCs/>
          <w:i/>
          <w:sz w:val="24"/>
          <w:szCs w:val="24"/>
          <w:lang w:val="en-GB" w:eastAsia="fr-FR"/>
        </w:rPr>
        <w:t xml:space="preserve">Overall survival and </w:t>
      </w:r>
      <w:r w:rsidR="009A6542" w:rsidRPr="009A6542">
        <w:rPr>
          <w:rFonts w:ascii="Book Antiqua" w:eastAsia="Times New Roman" w:hAnsi="Book Antiqua" w:cs="Book Antiqua"/>
          <w:b/>
          <w:bCs/>
          <w:i/>
          <w:sz w:val="24"/>
          <w:szCs w:val="24"/>
          <w:lang w:val="en-GB" w:eastAsia="fr-FR"/>
        </w:rPr>
        <w:t>TS</w:t>
      </w: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Kaplan Meier survival curves show that overall survival was similar between the two groups of TS (lower or higher than 75%)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0.08) (Figure 2). However short term survival analysis restricted to 6 and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of follow-up showed a significant difference with an increased mortality in patients with TS higher than 75% (92.6% ± 1.3 </w:t>
      </w:r>
      <w:r w:rsidRPr="00B17ED4">
        <w:rPr>
          <w:rFonts w:ascii="Book Antiqua" w:eastAsia="Times New Roman" w:hAnsi="Book Antiqua" w:cs="Book Antiqua"/>
          <w:i/>
          <w:iCs/>
          <w:sz w:val="24"/>
          <w:szCs w:val="24"/>
          <w:lang w:val="en-GB" w:eastAsia="fr-FR"/>
        </w:rPr>
        <w:t>vs</w:t>
      </w:r>
      <w:r w:rsidRPr="00B17ED4">
        <w:rPr>
          <w:rFonts w:ascii="Book Antiqua" w:eastAsia="Times New Roman" w:hAnsi="Book Antiqua" w:cs="Book Antiqua"/>
          <w:sz w:val="24"/>
          <w:szCs w:val="24"/>
          <w:lang w:val="en-GB" w:eastAsia="fr-FR"/>
        </w:rPr>
        <w:t xml:space="preserve"> 86.0% ±</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3.0,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 xml:space="preserve">0.012 at 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and 91.4% ± 1.4</w:t>
      </w:r>
      <w:r w:rsidR="003A45B0"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vs</w:t>
      </w:r>
      <w:r w:rsidRPr="00B17ED4">
        <w:rPr>
          <w:rFonts w:ascii="Book Antiqua" w:eastAsia="Times New Roman" w:hAnsi="Book Antiqua" w:cs="Book Antiqua"/>
          <w:sz w:val="24"/>
          <w:szCs w:val="24"/>
          <w:lang w:val="en-GB" w:eastAsia="fr-FR"/>
        </w:rPr>
        <w:t xml:space="preserve"> 84.6% ± 3.1</w:t>
      </w:r>
      <w:r w:rsidR="003A45B0"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 xml:space="preserve">0.039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suggesting an impact of TS on the early phase after LT. </w:t>
      </w:r>
    </w:p>
    <w:p w:rsidR="00820CBF" w:rsidRPr="00B17ED4" w:rsidRDefault="00820CBF"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b/>
          <w:bCs/>
          <w:i/>
          <w:sz w:val="24"/>
          <w:szCs w:val="24"/>
          <w:lang w:val="en-GB" w:eastAsia="fr-FR"/>
        </w:rPr>
      </w:pPr>
      <w:r w:rsidRPr="00B17ED4">
        <w:rPr>
          <w:rFonts w:ascii="Book Antiqua" w:eastAsia="Times New Roman" w:hAnsi="Book Antiqua" w:cs="Book Antiqua"/>
          <w:b/>
          <w:bCs/>
          <w:i/>
          <w:sz w:val="24"/>
          <w:szCs w:val="24"/>
          <w:lang w:val="en-GB" w:eastAsia="fr-FR"/>
        </w:rPr>
        <w:t>Factors associated with infection related deaths</w:t>
      </w:r>
    </w:p>
    <w:p w:rsidR="00820CBF" w:rsidRPr="00B17ED4" w:rsidRDefault="001317CB" w:rsidP="000505DB">
      <w:pPr>
        <w:autoSpaceDE w:val="0"/>
        <w:autoSpaceDN w:val="0"/>
        <w:adjustRightInd w:val="0"/>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Because iron overload and NTBI are thought to promote sepsis, we then addressed the impact of iron metabolism on infection related deaths and infections after LT.</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In univariate analysis, factors associated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&lt;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0.2) with infection related deaths were: </w:t>
      </w:r>
      <w:r w:rsidRPr="00B17ED4">
        <w:rPr>
          <w:rFonts w:ascii="Book Antiqua" w:hAnsi="Book Antiqua" w:cs="Book Antiqua"/>
          <w:sz w:val="24"/>
          <w:szCs w:val="24"/>
          <w:lang w:val="en-GB"/>
        </w:rPr>
        <w:t xml:space="preserve">ICU length of stay </w:t>
      </w:r>
      <w:r w:rsidRPr="00B17ED4">
        <w:rPr>
          <w:rFonts w:ascii="Book Antiqua" w:eastAsia="Times New Roman" w:hAnsi="Book Antiqua" w:cs="Book Antiqua"/>
          <w:sz w:val="24"/>
          <w:szCs w:val="24"/>
          <w:lang w:val="en-GB" w:eastAsia="fr-FR"/>
        </w:rPr>
        <w:t>(</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&lt;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0.001)</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estimated glomerular filtration rate through the CKD Epi Cystatin C equation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0.03), recipient BMI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 xml:space="preserve">0.07), </w:t>
      </w:r>
      <w:r w:rsidRPr="00B17ED4">
        <w:rPr>
          <w:rFonts w:ascii="Book Antiqua" w:hAnsi="Book Antiqua" w:cs="Book Antiqua"/>
          <w:sz w:val="24"/>
          <w:szCs w:val="24"/>
          <w:lang w:val="en-GB"/>
        </w:rPr>
        <w:t xml:space="preserve">packed red blood cell transfusion </w:t>
      </w:r>
      <w:r w:rsidRPr="00B17ED4">
        <w:rPr>
          <w:rFonts w:ascii="Book Antiqua" w:eastAsia="Times New Roman" w:hAnsi="Book Antiqua" w:cs="Book Antiqua"/>
          <w:sz w:val="24"/>
          <w:szCs w:val="24"/>
          <w:lang w:val="en-GB" w:eastAsia="fr-FR"/>
        </w:rPr>
        <w:t>(</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0.07)</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 xml:space="preserve"> TS &gt;</w:t>
      </w:r>
      <w:r w:rsidR="00FE5281">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sz w:val="24"/>
          <w:szCs w:val="24"/>
          <w:lang w:val="en-GB" w:eastAsia="fr-FR"/>
        </w:rPr>
        <w:t>75%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0.15),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0.16), bilirubin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0.17),</w:t>
      </w:r>
      <w:r w:rsidRPr="00B17ED4">
        <w:rPr>
          <w:rFonts w:ascii="Book Antiqua" w:eastAsia="Times New Roman" w:hAnsi="Book Antiqua" w:cs="Book Antiqua"/>
          <w:b/>
          <w:sz w:val="24"/>
          <w:szCs w:val="24"/>
          <w:lang w:val="en-GB" w:eastAsia="fr-FR"/>
        </w:rPr>
        <w:t xml:space="preserve"> </w:t>
      </w:r>
      <w:r w:rsidRPr="00B17ED4">
        <w:rPr>
          <w:rFonts w:ascii="Book Antiqua" w:hAnsi="Book Antiqua" w:cs="Book Antiqua"/>
          <w:sz w:val="24"/>
          <w:szCs w:val="24"/>
          <w:lang w:val="en-GB"/>
        </w:rPr>
        <w:t>and fresh frozen plasma transfusion</w:t>
      </w:r>
      <w:r w:rsidRPr="00B17ED4">
        <w:rPr>
          <w:rFonts w:ascii="Book Antiqua" w:eastAsia="Times New Roman" w:hAnsi="Book Antiqua" w:cs="Book Antiqua"/>
          <w:sz w:val="24"/>
          <w:szCs w:val="24"/>
          <w:lang w:val="en-GB" w:eastAsia="fr-FR"/>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i/>
          <w:sz w:val="24"/>
          <w:szCs w:val="24"/>
          <w:lang w:val="en-GB" w:eastAsia="fr-FR"/>
        </w:rPr>
        <w:t>=</w:t>
      </w:r>
      <w:r w:rsidRPr="00B17ED4">
        <w:rPr>
          <w:rFonts w:ascii="Book Antiqua" w:eastAsia="宋体" w:hAnsi="Book Antiqua" w:cs="Book Antiqua" w:hint="eastAsia"/>
          <w:i/>
          <w:sz w:val="24"/>
          <w:szCs w:val="24"/>
          <w:lang w:val="en-US" w:eastAsia="zh-CN"/>
        </w:rPr>
        <w:t xml:space="preserve"> </w:t>
      </w:r>
      <w:r w:rsidRPr="00B17ED4">
        <w:rPr>
          <w:rFonts w:ascii="Book Antiqua" w:eastAsia="Times New Roman" w:hAnsi="Book Antiqua" w:cs="Book Antiqua"/>
          <w:sz w:val="24"/>
          <w:szCs w:val="24"/>
          <w:lang w:val="en-GB" w:eastAsia="fr-FR"/>
        </w:rPr>
        <w:t>0.17).</w:t>
      </w:r>
      <w:r w:rsidRPr="00B17ED4">
        <w:rPr>
          <w:rFonts w:ascii="Book Antiqua" w:hAnsi="Book Antiqua" w:cs="Book Antiqua"/>
          <w:sz w:val="24"/>
          <w:szCs w:val="24"/>
          <w:lang w:val="en-GB"/>
        </w:rPr>
        <w:t xml:space="preserve"> </w:t>
      </w:r>
    </w:p>
    <w:p w:rsidR="00820CBF" w:rsidRPr="00B17ED4" w:rsidRDefault="001317CB" w:rsidP="00BE5064">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In multivariate analysis using Cox regression (Table 4), increased TS was significantly associated with the risk of infection related deaths [HR: 3.06</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(1.13; 8.23)]. </w:t>
      </w:r>
      <w:r w:rsidRPr="00B17ED4">
        <w:rPr>
          <w:rFonts w:ascii="Book Antiqua" w:eastAsia="Times New Roman" w:hAnsi="Book Antiqua" w:cs="Book Antiqua"/>
          <w:sz w:val="24"/>
          <w:szCs w:val="24"/>
          <w:lang w:val="en-GB" w:eastAsia="fr-FR"/>
        </w:rPr>
        <w:lastRenderedPageBreak/>
        <w:t>SF was associated with infection related deaths with high SF associated with lower infection related death [HR: 0.35 (0.12; 0.98)] whereas low SF was not significant.</w:t>
      </w:r>
    </w:p>
    <w:p w:rsidR="00820CBF" w:rsidRPr="00B17ED4" w:rsidRDefault="00820CBF" w:rsidP="000505DB">
      <w:pPr>
        <w:snapToGrid w:val="0"/>
        <w:spacing w:after="0" w:line="360" w:lineRule="auto"/>
        <w:jc w:val="both"/>
        <w:rPr>
          <w:rFonts w:ascii="Book Antiqua" w:eastAsia="Times New Roman" w:hAnsi="Book Antiqua" w:cs="Book Antiqua"/>
          <w:sz w:val="24"/>
          <w:szCs w:val="24"/>
          <w:lang w:val="en-GB" w:eastAsia="fr-FR"/>
        </w:rPr>
      </w:pPr>
    </w:p>
    <w:p w:rsidR="00820CBF" w:rsidRPr="00BE5064" w:rsidRDefault="001317CB" w:rsidP="000505DB">
      <w:pPr>
        <w:snapToGrid w:val="0"/>
        <w:spacing w:after="0" w:line="360" w:lineRule="auto"/>
        <w:jc w:val="both"/>
        <w:rPr>
          <w:rFonts w:ascii="Book Antiqua" w:hAnsi="Book Antiqua" w:cs="Book Antiqua"/>
          <w:b/>
          <w:sz w:val="24"/>
          <w:szCs w:val="24"/>
          <w:u w:val="single"/>
          <w:lang w:val="en-GB"/>
        </w:rPr>
      </w:pPr>
      <w:r w:rsidRPr="00BE5064">
        <w:rPr>
          <w:rFonts w:ascii="Book Antiqua" w:hAnsi="Book Antiqua" w:cs="Book Antiqua"/>
          <w:b/>
          <w:sz w:val="24"/>
          <w:szCs w:val="24"/>
          <w:u w:val="single"/>
          <w:lang w:val="en-GB"/>
        </w:rPr>
        <w:t>DISCUSSION</w:t>
      </w:r>
    </w:p>
    <w:p w:rsidR="00820CBF" w:rsidRPr="00B17ED4" w:rsidRDefault="001317CB" w:rsidP="000505DB">
      <w:pPr>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In our study, we examined the impact of iron metabolism at the time of evaluation for LT on post-transplant mortality. Our results show that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75% and low SF were risk factors of overall mortality. This suggests that iron metabolism is a double-edged sword as both overload and deficiency are associated with mortality. Kaplan Meier survival curves show that increased mortality in patients with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75% is seen at 6 and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eastAsia="Times New Roman" w:hAnsi="Book Antiqua" w:cs="Book Antiqua"/>
          <w:sz w:val="24"/>
          <w:szCs w:val="24"/>
          <w:lang w:val="en-GB" w:eastAsia="fr-FR"/>
        </w:rPr>
        <w:t xml:space="preserve"> after LT. Further our results show that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75% was significantly associated with infection related deaths after LT.</w:t>
      </w:r>
    </w:p>
    <w:p w:rsidR="00820CBF" w:rsidRPr="00B17ED4" w:rsidRDefault="001317CB" w:rsidP="00BE5064">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The first interesting results of our study was the surprising fact that low SF was associated with mortality while high SF was not, contrary to other studies</w:t>
      </w:r>
      <w:r w:rsidRPr="00B17ED4">
        <w:rPr>
          <w:rFonts w:ascii="Book Antiqua" w:eastAsia="Times New Roman" w:hAnsi="Book Antiqua" w:cs="Book Antiqua"/>
          <w:sz w:val="24"/>
          <w:szCs w:val="24"/>
          <w:lang w:val="en-GB" w:eastAsia="fr-FR"/>
        </w:rPr>
        <w:fldChar w:fldCharType="begin"/>
      </w:r>
      <w:r w:rsidRPr="00B17ED4">
        <w:rPr>
          <w:rFonts w:ascii="Book Antiqua" w:eastAsia="Times New Roman" w:hAnsi="Book Antiqua" w:cs="Book Antiqua"/>
          <w:sz w:val="24"/>
          <w:szCs w:val="24"/>
          <w:lang w:val="en-GB" w:eastAsia="fr-FR"/>
        </w:rPr>
        <w:instrText xml:space="preserve"> ADDIN ZOTERO_ITEM CSL_CITATION {"citationID":"aqnn1tnn2u","properties":{"formattedCitation":"\\super [10,11]\\nosupersub{}","plainCitation":"[10,11]","noteIndex":0},"citationItems":[{"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P."}],"issued":{"date-parts":[["2011"]]}},"label":"page"},{"id":"bNgLsD3p/7oPPssVh","uris":["http://zotero.org/users/3421399/items/WD3EM2XF"],"uri":["http://zotero.org/users/3421399/items/WD3EM2XF"],"itemData":{"id":193,"type":"article-journal","title":"Serum ferritin concentration predicts mortality in patients awaiting liver transplantation","container-title":"Hepatology","page":"1683-1691","volume":"51","issue":"5","source":"CrossRef","DOI":"10.1002/hep.23537","ISSN":"02709139","language":"en","author":[{"family":"Walker","given":"Nicole M."},{"family":"Stuart","given":"Katherine A."},{"family":"Ryan","given":"Rebecca J."},{"family":"Desai","given":"Shireena"},{"family":"Saab","given":"Sammy"},{"family":"Nicol","given":"Jennifer A."},{"family":"Fletcher","given":"Linda M."},{"family":"G. Crawford","given":"Darrell H."}],"issued":{"date-parts":[["2010",5]]}},"label":"page"}],"schema":"https://github.com/citation-style-language/schema/raw/master/csl-citation.json"} </w:instrText>
      </w:r>
      <w:r w:rsidRPr="00B17ED4">
        <w:rPr>
          <w:rFonts w:ascii="Book Antiqua" w:eastAsia="Times New Roman" w:hAnsi="Book Antiqua" w:cs="Book Antiqua"/>
          <w:sz w:val="24"/>
          <w:szCs w:val="24"/>
          <w:lang w:val="en-GB" w:eastAsia="fr-FR"/>
        </w:rPr>
        <w:fldChar w:fldCharType="separate"/>
      </w:r>
      <w:r w:rsidRPr="00B17ED4">
        <w:rPr>
          <w:rFonts w:ascii="Book Antiqua" w:hAnsi="Book Antiqua" w:cs="Book Antiqua"/>
          <w:sz w:val="24"/>
          <w:szCs w:val="24"/>
          <w:vertAlign w:val="superscript"/>
          <w:lang w:val="en-GB"/>
        </w:rPr>
        <w:t>[10,11]</w:t>
      </w:r>
      <w:r w:rsidRPr="00B17ED4">
        <w:rPr>
          <w:rFonts w:ascii="Book Antiqua" w:eastAsia="Times New Roman" w:hAnsi="Book Antiqua" w:cs="Book Antiqua"/>
          <w:sz w:val="24"/>
          <w:szCs w:val="24"/>
          <w:lang w:val="en-GB" w:eastAsia="fr-FR"/>
        </w:rPr>
        <w:fldChar w:fldCharType="end"/>
      </w:r>
      <w:r w:rsidRPr="00B17ED4">
        <w:rPr>
          <w:rFonts w:ascii="Book Antiqua" w:eastAsia="Times New Roman" w:hAnsi="Book Antiqua" w:cs="Book Antiqua"/>
          <w:sz w:val="24"/>
          <w:szCs w:val="24"/>
          <w:lang w:val="en-GB" w:eastAsia="fr-FR"/>
        </w:rPr>
        <w:t>. Because iron metabolism can be either in excess or deficiency situation, we think that both must be considered. Our results show that iron deficiency and overload were both risk factors of overall mortality.</w:t>
      </w:r>
      <w:r w:rsidRPr="00B17ED4">
        <w:rPr>
          <w:rFonts w:ascii="Book Antiqua" w:hAnsi="Book Antiqua" w:cs="Book Antiqua"/>
          <w:sz w:val="24"/>
          <w:szCs w:val="24"/>
          <w:lang w:val="en-GB"/>
        </w:rPr>
        <w:t xml:space="preserve"> This U shape association is consistent with previous finding. Iron deficiency has already been demonstrated as a risk factor of mortality in ICU</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{"citationID":"arlkqnvm1o","properties":{"formattedCitation":"\\super [36\\uc0\\u8211{}38]\\nosupersub{}","plainCitation":"[36–38]","noteIndex":0},"citationItems":[{"id":"bNgLsD3p/qj8VUo5L","uris":["http://zotero.org/users/3421399/items/2LBXQQSL"],"uri":["http://zotero.org/users/3421399/items/2LBXQQSL"],"itemData":{"id":428,"type":"article-journal","title":"Parameters influencing in-hospital mortality in patients hospitalized in intensive cardiac care unit: is there an influence of anemia and iron deficiency?","container-title":"Internal and Emergency Medicine","page":"337-344","volume":"10","issue":"3","source":"CrossRef","DOI":"10.1007/s11739-014-1170-8","ISSN":"1828-0447, 1970-9366","shortTitle":"Parameters influencing in-hospital mortality in patients hospitalized in intensive cardiac care unit","language":"en","author":[{"family":"Uscinska","given":"Ewa"},{"family":"Sobkowicz","given":"Bozena"},{"family":"Sawicki","given":"Robert"},{"family":"Kiluk","given":"Izabela"},{"family":"Baranicz","given":"Malgorzata"},{"family":"Stepek","given":"Tomasz"},{"family":"Dabrowska","given":"Milena"},{"family":"Szmitkowski","given":"Maciej"},{"family":"Musial","given":"Wlodzimierz J."},{"family":"Tycinska","given":"Agnieszka M."}],"issued":{"date-parts":[["2015",4]]}},"label":"page"},{"id":"bNgLsD3p/ujXsRBFh","uris":["http://zotero.org/users/3421399/items/KAABILHN"],"uri":["http://zotero.org/users/3421399/items/KAABILHN"],"itemData":{"id":405,"type":"article-journal","title":"Functional iron deficiency, infection and systemic inflammatory response syndrome in critical illness","container-title":"Anaesthesia and Intensive Care","page":"473-478","volume":"29","issue":"5","source":"PubMed","abstract":"To investigate the prevalence and clinical relevance of functional iron deficiency in the critically ill, we performed a prospective observational study in a university hospital general intensive care unit. We collected patient demographics, severity of illness data, haematological and biochemical variables in 51 consecutive admissions. We recorded episodes of culture-positive infection. Functional iron deficiency (FID), measured by red cell hypochromasia on flow cytometry, was present in 35% of patients at admission to intensive care. FID patients were of similar age, diagnosis, APACHE score, sequential organ failure assessment (SOFA) score, haemoglobin, serum B12, folate and ferritin to patients without FID. However, patients with FID had a prolonged intensive care stay compared with non-FID patients (P&lt;0.001) and increased time to hospital discharge (P=0.09). Duration of intensive care stay correlated with severity of FID (r=0.33, P&lt;0.02). Systemic inflammatory response syndrome (SIRS) was present for longer in those with FID (P&lt;0.02). Overall mortality did not differ between groups. No difference was seen in the incidence of positive cultures between those with FID (9/18 patients) and those without FID (15/33 patients). FID was independently associated only with abnormal white blood cell count (WBC &lt; 4 or &gt; 11 x 10(9) x l(-1)) at admission to ICU, P=0.007, but not with positive cultures. There is a high prevalence of FID in intensive care, associated with an increased duration of stay and duration of SIRS. We have been unable to demonstrate a link with infection, either as a predisposing factor or as an acute response.","ISSN":"0310-057X","note":"PMID: 11669426","journalAbbreviation":"Anaesth Intensive Care","language":"eng","author":[{"family":"Patteril","given":"M. V."},{"family":"Davey-Quinn","given":"A. P."},{"family":"Gedney","given":"J. A."},{"family":"Murdoch","given":"S. D."},{"family":"Bellamy","given":"M. C."}],"issued":{"date-parts":[["2001",10]]}},"label":"page"},{"id":"bNgLsD3p/b70T7LaL","uris":["http://zotero.org/users/3421399/items/EBCHGZEA"],"uri":["http://zotero.org/users/3421399/items/EBCHGZEA"],"itemData":{"id":423,"type":"article-journal","title":"Iron metabolism, inflammation and anemia in critically ill patients. A cross-sectional study","container-title":"Nutrición hospitalaria","volume":"20","issue":"2","source":"Google Scholar","author":[{"family":"Muñoz","given":"M."},{"family":"Romero","given":"A."},{"family":"Morales","given":"M."},{"family":"Campos","given":"A."},{"family":"García-Erce","given":"J. A."},{"family":"Ramírez","given":"G."}],"issued":{"date-parts":[["2005"]]}},"label":"page"}],"schema":"https://github.com/citation-style-language/schema/raw/master/csl-citation.json"}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[36</w:t>
      </w:r>
      <w:r w:rsidR="00AE43D4">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38]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as a risk factor of infections because of immune depression induced by iron deficiency</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{"citationID":"MD2WKjfQ","properties":{"formattedCitation":"\\super [39\\uc0\\u8211{}44]\\nosupersub{}","plainCitation":"[39–44]","noteIndex":0},"citationItems":[{"id":"bNgLsD3p/4Ku8LZM7","uris":["http://zotero.org/users/3421399/items/BDT9L4PT"],"uri":["http://zotero.org/users/3421399/items/BDT9L4PT"],"itemData":{"id":456,"type":"article-journal","title":"Evaluation of iron deficiency as a nutritional adaptation to infectious disease: An evolutionary medicine perspective","container-title":"American Journal of Human Biology","page":"172-179","volume":"21","issue":"2","source":"CrossRef","DOI":"10.1002/ajhb.20839","ISSN":"10420533, 15206300","shortTitle":"Evaluation of iron deficiency as a nutritional adaptation to infectious disease","language":"en","author":[{"family":"Wander","given":"Katherine"},{"family":"Shell-Duncan","given":"Bettina"},{"family":"McDade","given":"Thomas W."}],"issued":{"date-parts":[["2009",3]]}},"label":"page"},{"id":"bNgLsD3p/x6l4WtT5","uris":["http://zotero.org/users/3421399/items/WSYBZ6MQ"],"uri":["http://zotero.org/users/3421399/items/WSYBZ6MQ"],"itemData":{"id":449,"type":"article-journal","title":"Iron and its relation to immunity and infectious disease","container-title":"The Journal of nutrition","page":"616S–635S","volume":"131","issue":"2","source":"Google Scholar","author":[{"family":"Oppenheimer","given":"Stephen J."}],"issued":{"date-parts":[["2001"]]}},"label":"page"},{"id":"bNgLsD3p/h2PgZusi","uris":["http://zotero.org/users/3421399/items/W5NP5SVR"],"uri":["http://zotero.org/users/3421399/items/W5NP5SVR"],"itemData":{"id":443,"type":"article-journal","title":"The effect of iron deficiency anemia on the function of the immune system","container-title":"The Hematology Journal: The Official Journal of the European Haematology Association","page":"579-583","volume":"5","issue":"7","source":"PubMed","abstract":"We aimed to study the effect of iron deficiency anemia (IDA) on immunity. In 32 children with IDA and 29 normal children, the percentage of T-lymphocyte subgroups, the level of serum interleukin-6 (IL-6); and the phagocytic activity, the oxidative burst activity of neutrophils and monocytes and the levels of immunoglobulins were compared. There was no difference in the distribution of T-lymphocyte subgroups. The mean IL-6 levels was 5.6+/-3.9 pg/ml in children with IDA and 10.3+/-5.3 pg/ml in the control group (P&lt;0.001). The percentage of neutrophils with oxidative burst activity when stimulated with pma was 53.4+/-32.7% in children with IDA and 81.7+/-14.3% in the control group (P=0.005). The percentage of monocytes with oxidative burst activity was 13.8+/-11.7% in children with IDA and 35+/-20.0% in the control group (P&lt;0.001) when stimulated with pma. and 4.3+/-3.1 versus 9.7+/-6.0% (P=0.008) when stimulated with fMLP. The ratio of neutrophils with phagocytic activity was 58.6+/-23.3% in the anemic group; and 74.2+/-17.7% in the control group (P=0.057). The ratio of monocytes with phagocytic activity was 24.3+/-12.0% in the anemic group; and 42.9+/-13.4% in the control group (P=0.001). IgG4 level was 16.7+/-16.6 mg/dl in children with IDA and 51.8+/-40.7 mg/dl in healthy children (P&lt;0.05). These results suggest that humoral, cell-mediated and nonspecific immunity and the activity of cytokines which have an important role in various steps of immunogenic mechanisms are influenced by iron deficiency anemia.","DOI":"10.1038/sj.thj.6200574","ISSN":"1466-4860","note":"PMID: 15692603","journalAbbreviation":"Hematol. J.","language":"eng","author":[{"family":"Ekiz","given":"Ceyda"},{"family":"Agaoglu","given":"Leyla"},{"family":"Karakas","given":"Zeynep"},{"family":"Gurel","given":"Nuray"},{"family":"Yalcin","given":"Işik"}],"issued":{"date-parts":[["2005"]]}},"label":"page"},{"id":"bNgLsD3p/BotuVh7L","uris":["http://zotero.org/users/3421399/items/H3YEDMPT"],"uri":["http://zotero.org/users/3421399/items/H3YEDMPT"],"itemData":{"id":451,"type":"article-journal","title":"Iron deficiency and infection","container-title":"The Indian Journal of Pediatrics","page":"789–793","volume":"77","issue":"7","source":"Google Scholar","author":[{"family":"Kumar","given":"Vishal"},{"family":"Choudhry","given":"V. P."}],"issued":{"date-parts":[["2010"]]}},"label":"page"},{"id":"bNgLsD3p/nyE1Y0bS","uris":["http://zotero.org/users/3421399/items/NSQNEZ2B"],"uri":["http://zotero.org/users/3421399/items/NSQNEZ2B"],"itemData":{"id":424,"type":"article-journal","title":"Iron deficiency and susceptibility to infections: evaluation of the clinical evidence","container-title":"European Journal of Clinical Microbiology &amp; Infectious Diseases","page":"1253-1258","volume":"32","issue":"10","source":"CrossRef","DOI":"10.1007/s10096-013-1877-x","ISSN":"0934-9723, 1435-4373","shortTitle":"Iron deficiency and susceptibility to infections","language":"en","author":[{"family":"Tansarli","given":"G. S."},{"family":"Karageorgopoulos","given":"D. E."},{"family":"Kapaskelis","given":"A."},{"family":"Gkegkes","given":"I."},{"family":"Falagas","given":"M. E."}],"issued":{"date-parts":[["2013",10]]}},"label":"page"},{"id":"bNgLsD3p/8oRSgKe1","uris":["http://zotero.org/users/3421399/items/ZQSGFD6H"],"uri":["http://zotero.org/users/3421399/items/ZQSGFD6H"],"itemData":{"id":257,"type":"article-journal","title":"Fer et prédisposition aux infections","container-title":"Archives de Pédiatrie","page":"5S14–5S17","volume":"24","issue":"5","source":"Google Scholar","author":[{"family":"Pontual","given":"L.","non-dropping-particle":"de"}],"issued":{"date-parts":[["2017"]]}},"label":"page"}],"schema":"https://github.com/citation-style-language/schema/raw/master/csl-citation.json"}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[39–44]</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On the other hand, iron supplementation particularly by perfusion is associated with </w:t>
      </w:r>
      <w:r w:rsidR="00AE43D4">
        <w:rPr>
          <w:rFonts w:ascii="Book Antiqua" w:hAnsi="Book Antiqua" w:cs="Book Antiqua"/>
          <w:sz w:val="24"/>
          <w:szCs w:val="24"/>
          <w:lang w:val="en-GB"/>
        </w:rPr>
        <w:t>an increased risk of infections</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{"citationID":"a26gqpv55u6","properties":{"formattedCitation":"\\super [45\\uc0\\u8211{}47]\\nosupersub{}","plainCitation":"[45–47]","noteIndex":0},"citationItems":[{"id":"bNgLsD3p/upDNhnpV","uris":["http://zotero.org/users/3421399/items/4RNIFB8Z"],"uri":["http://zotero.org/users/3421399/items/4RNIFB8Z"],"itemData":{"id":438,"type":"article-journal","title":"Septicemia due to Yersinia enterocolitica in a long-term hemodialysis patient after a single desferrioxamine administration","container-title":"Nephron","page":"378-379","volume":"50","issue":"4","source":"PubMed","abstract":"A long-term hemodialysis male patient was known to have systemic iron overload due to regular blood transfusions. As he was suspected to have aluminum overload, he received a single intravenous administration of desferrioxamine (that supported the hypothesis). Four days later, he became highly febrile with no focus of infection on physical examination. All blood cultures yielded Yersinia enterocolitica. The aim of this case report is to recall the potential risk of Yersinia sepsis in iron overload patients treated with desferrioxamine, even for a short time. The diagnosis should be suspected even in the absence of digestive symptoms, leading to immediate desferrioxamine withdrawal and antibiotic therapy.","DOI":"10.1159/000185208","ISSN":"1660-8151","note":"PMID: 3237280","journalAbbreviation":"Nephron","language":"eng","author":[{"family":"Hoen","given":"B."},{"family":"Renoult","given":"E."},{"family":"Jonon","given":"B."},{"family":"Kessler","given":"M."}],"issued":{"date-parts":[["1988"]]}},"label":"page"},{"id":"bNgLsD3p/8lBQYWCK","uris":["http://zotero.org/users/3421399/items/NZRIFSTL"],"uri":["http://zotero.org/users/3421399/items/NZRIFSTL"],"itemData":{"id":441,"type":"article-journal","title":"Review of issues relating to iron and infection","container-title":"American Journal of Kidney Diseases: The Official Journal of the National Kidney Foundation","page":"S47-52","volume":"34","issue":"4 Suppl 2","source":"PubMed","abstract":"Use of erythropoietin (EPO) therapy and iron supplementation has improved the management of anemia in patients with end-stage renal disease (ESRD). As more patients receive supplemental iron, however, concerns are being raised about a potential link between iron and infection. There is biologic plausibility for this link, since iron is a growth factor for bacteria and certain host defense mechanisms are iron-sensitive. Animal models show that injection of iron leads to increased susceptibility to bacterial infection. In some studies, patients with high serum ferritin levels have reduced neutrophil function. However, these studies did not determine whether serum ferritin levels were elevated because of increased iron stores or because of infection. If infection is present, it might cause both the elevated serum ferritin levels and the neutrophil dysfunction. Several clinical studies have found an association between high serum ferritin levels and increased infectious risk. In studies that control for important covariates such as use of catheters and previous infections, the infectious risk associated with iron administration or elevated serum ferritin levels is reduced or eliminated. Collectively, these studies suggest that our current understanding of the relationship between iron and infection is incomplete and further studies are needed. There is no reason to alter current iron treatment strategies based on this literature.","DOI":"10.1053/AJKD034s00047","ISSN":"0272-6386","note":"PMID: 10516376","journalAbbreviation":"Am. J. Kidney Dis.","language":"eng","author":[{"family":"Fishbane","given":"S."}],"issued":{"date-parts":[["1999",10]]}},"label":"page"},{"id":"bNgLsD3p/sDvryYAs","uris":["http://zotero.org/users/3421399/items/JIDL664G"],"uri":["http://zotero.org/users/3421399/items/JIDL664G"],"itemData":{"id":457,"type":"article-journal","title":"Neutrophil impairment associated with iron therapy in hemodialysis patients with functional iron deficiency","container-title":"Journal of the American Society of Nephrology: JASN","page":"655-663","volume":"9","issue":"4","source":"PubMed","abstract":"Hemodialysis patients treated with recombinant human erythropoietin (rhEPO) need adequate iron supplementation to avoid rhEPO hyporesponsiveness due to iron deficiency. Low serum ferritin reflects absolute iron deficiency, whereas normal or high ferritin values in combination with low transferrin saturation (&lt; 20%) indicate functional iron deficiency. In this study, healthy subjects (group I) were compared with intravenous (i.v.) rhEPO-treated and i.v. iron-saccharate-treated regular hemodialysis patients that were subdivided into three groups as follows: patients with serum ferritin &gt; 100 and &lt; 350 micrograms/L (group II), patients with ferritin &lt; 60 micrograms/L (group III), and patients with ferritin &gt; 650 micrograms/L but transferrin saturation &lt; 20% (group IV). Polymorphonuclear leukocyte (PMNL) parameters (phagocytosis, intracellular killing of bacteria, oxidative metabolism, glucose uptake, intracellular calcium) for each group were compared with those of multitransfused, iron-overloaded primary hematologic patients (group V) and those of patients suffering from hereditary hemochromatosis (group VI). Compared with PMNL obtained from healthy subjects (group I), group II hemodialysis patients showed mild inhibition of phagocytosis but significant inhibition of intracellular killing of bacteria. Oxidative burst of PMNL from group II patients was also significantly reduced after stimulation in vitro. These dysfunctions were not affected by absolute iron deficiency (comparable data in group III patients). However, impairment of PMNL was markedly aggravated in group IV patients. Intracellular calcium concentration under basal conditions and after stimulation was not different. These data suggest that iron is responsible for the PMNL dysfunctions observed in group IV patients. The PMNL defect of group IV patients was comparable to group V and group VI patients with normal renal function, suggesting again a direct inhibitory effect of iron. It is concluded that hemodialysis patients with high ferritin but low serum iron and low transferrin saturation (\"functional iron deficiency\") display a significant impairment of fundamental PMNL functions during i.v. iron and rhEPO therapy. This may result in increased risk of infectious complications. Therefore, overtreatment of hemodialysis patients with i.v. iron should be avoided.","ISSN":"1046-6673","note":"PMID: 9555668","journalAbbreviation":"J. Am. Soc. Nephrol.","language":"eng","author":[{"family":"Patruta","given":"S. I."},{"family":"Edlinger","given":"R."},{"family":"Sunder-Plassmann","given":"G."},{"family":"Hörl","given":"W. H."}],"issued":{"date-parts":[["1998",4]]}},"label":"page"}],"schema":"https://github.com/citation-style-language/schema/raw/master/csl-citation.json"}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[45</w:t>
      </w:r>
      <w:r w:rsidR="00AE43D4">
        <w:rPr>
          <w:rFonts w:ascii="Book Antiqua" w:hAnsi="Book Antiqua" w:cs="Book Antiqua"/>
          <w:sz w:val="24"/>
          <w:szCs w:val="24"/>
          <w:vertAlign w:val="superscript"/>
          <w:lang w:val="en-GB"/>
        </w:rPr>
        <w:t>-</w:t>
      </w:r>
      <w:r w:rsidRPr="00B17ED4">
        <w:rPr>
          <w:rFonts w:ascii="Book Antiqua" w:hAnsi="Book Antiqua" w:cs="Book Antiqua"/>
          <w:sz w:val="24"/>
          <w:szCs w:val="24"/>
          <w:vertAlign w:val="superscript"/>
          <w:lang w:val="en-GB"/>
        </w:rPr>
        <w:t>47]</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low SF is a protective host mechanism</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{"citationID":"07s3AZxA","properties":{"formattedCitation":"\\super [48]\\nosupersub{}","plainCitation":"[48]","noteIndex":0},"citationItems":[{"id":"bNgLsD3p/96g5KJ1N","uris":["http://zotero.org/users/3421399/items/SJEFU4F6"],"uri":["http://zotero.org/users/3421399/items/SJEFU4F6"],"itemData":{"id":453,"type":"article-journal","title":"Iron, infections, and anemia of inflammation","container-title":"Clinical Infectious Diseases","page":"888–895","volume":"25","issue":"4","source":"Google Scholar","author":[{"family":"Jurado","given":"Rafael L."}],"issued":{"date-parts":[["1997"]]}}}],"schema":"https://github.com/citation-style-language/schema/raw/master/csl-citation.json"}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[48]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This two-way effect could explain the discrepant results regarding the impact of SF on mortality after LT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{"citationID":"a1hhpave9tc","properties":{"formattedCitation":"\\super [11,23]\\nosupersub{}","plainCitation":"[11,23]","noteIndex":0},"citationItems":[{"id":"bNgLsD3p/PFFqVsQv","uris":["http://zotero.org/users/3421399/items/E82RQPA2"],"uri":["http://zotero.org/users/3421399/items/E82RQPA2"],"itemData":{"id":195,"type":"article-journal","title":"The association of pretransplant ferritin level with waiting list and post-transplant survival. Does ferritin actually predict outcome?","container-title":"Transplant International","page":"1070-1079","volume":"26","issue":"11","source":"CrossRef","DOI":"10.1111/tri.12164","ISSN":"09340874","language":"en","author":[{"family":"Al-Freah","given":"Mohammad A. B."},{"family":"Kriese","given":"Stephen"},{"family":"Foxton","given":"Matthew R."},{"family":"Quaglia","given":"Alberto"},{"family":"Bomford","given":"Adrian"},{"family":"Heaton","given":"Nigel D."},{"family":"O'Grady","given":"John G."},{"family":"Agarwal","given":"Kosh"},{"family":"Wendon","given":"Julia A."},{"family":"Heneghan","given":"Michael A."}],"issued":{"date-parts":[["2013",11]]}},"label":"page"},{"id":"bNgLsD3p/HkRR6Dqf","uris":["http://zotero.org/users/3421399/items/KKECPMPR"],"uri":["http://zotero.org/users/3421399/items/KKECPMPR"],"itemData":{"id":194,"type":"article-journal","title":"Serum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[11,23]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proofErr w:type="spellStart"/>
      <w:r w:rsidRPr="00B17ED4">
        <w:rPr>
          <w:rFonts w:ascii="Book Antiqua" w:hAnsi="Book Antiqua" w:cs="Book Antiqua"/>
          <w:sz w:val="24"/>
          <w:szCs w:val="24"/>
          <w:lang w:val="en-GB"/>
        </w:rPr>
        <w:t>Weismüller</w:t>
      </w:r>
      <w:proofErr w:type="spellEnd"/>
      <w:r w:rsidRPr="00B17ED4">
        <w:rPr>
          <w:rFonts w:ascii="Book Antiqua" w:hAnsi="Book Antiqua" w:cs="Book Antiqua"/>
          <w:sz w:val="24"/>
          <w:szCs w:val="24"/>
          <w:lang w:val="en-GB"/>
        </w:rPr>
        <w:t xml:space="preserve">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{"citationID":"5qDzmTXj","properties":{"formattedCitation":"\\super [11]\\nosupersub{}","plainCitation":"[11]","noteIndex":0},"citationItems":[{"id":"bNgLsD3p/HkRR6Dqf","uris":["http://zotero.org/users/3421399/items/KKECPMPR"],"uri":["http://zotero.org/users/3421399/items/KKECPMPR"],"itemData":{"id":194,"type":"article-journal","title":"Serum ferritin concentration and transferrin saturation before liver transplantation predict decreased long-term recipient survival","container-title":"Hepatology","page":"2114–2124","volume":"54","issue":"6","source":"Google Scholar","author":[{"family":"Weismüller","given":"Tobias J."},{"family":"Kirchner","given":"Gabriele I."},{"family":"Scherer","given":"Marcus N."},{"family":"Negm","given":"Ahmed A."},{"family":"Schnitzbauer","given":"Andreas A."},{"family":"Lehner","given":"Frank"},{"family":"Klempnauer","given":"Jürgen"},{"family":"Schlitt","given":"Hans J."},{"family":"Manns","given":"Michael P."},{"family":"Strassburg","given":"Christian P."}],"issued":{"date-parts":[["2011"]]}}}],"schema":"https://github.com/citation-style-language/schema/raw/master/csl-citation.json"}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[11]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showed that SF ≥</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365 µg/L in combination with TS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55% before LT was an independent risk factor for mortality following LT, suggesting an impact of both iron overload and other factors (acute phase, immune response). However the cut-off level of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55% for TS was chosen by receiver operating curve analysis in a subgroup of patients with SF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365 µg/L with the goal to distinguish which patients survived. Although this may represent iron deficiency or inflammation, there is little information on the potential mechanisms by which low TS could be associated with increased mortality. Further, multivariate analysis was only performed using a binary variable distinguishing patients with TS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55% and SF </w:t>
      </w:r>
      <w:r w:rsidRPr="00B17ED4">
        <w:rPr>
          <w:rFonts w:ascii="Book Antiqua" w:hAnsi="Book Antiqua" w:cs="Book Antiqua"/>
          <w:sz w:val="24"/>
          <w:szCs w:val="24"/>
          <w:lang w:val="en-GB"/>
        </w:rPr>
        <w:lastRenderedPageBreak/>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365 µg/L to all others, without describing multivariate results regarding SF or TS separately. </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We choose to assess TS from a physiological point of view, in agreement with the appearance and toxicity of NTBI and LPI we choose high TS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as a cut-off</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{"citationID":"8eqz7DyC","properties":{"formattedCitation":"\\super [28]\\nosupersub{}","plainCitation":"[28]","noteIndex":0},"citationItems":[{"id":"bNgLsD3p/JR2aW8RX","uris":["http://zotero.org/users/3421399/items/IG96VSMN"],"uri":["http://zotero.org/users/3421399/items/IG96VSMN"],"itemData":{"id":403,"type":"article-journal","title":"Redox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[28]</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This might be considered a better surrogate of functional iron overload, as it represents a high level of biologically available iron in the bloodstream. Our multivariate analysis taking into account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shows that high serum ferritin is not associated with overall mortality. Further high serum ferritin is associated with a lower infection related mortality, while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is associated with higher infection related mortality. This emphasizes the paradoxical situation between functional iron overload (TS</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 and high serum ferritin that may only reflect inflammation as ferritin is also an acute phase protein.</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For </w:t>
      </w:r>
      <w:r w:rsidR="00560E73" w:rsidRPr="00B17ED4">
        <w:rPr>
          <w:rFonts w:ascii="Book Antiqua" w:hAnsi="Book Antiqua" w:cs="Book Antiqua"/>
          <w:sz w:val="24"/>
          <w:szCs w:val="24"/>
          <w:lang w:val="en-GB"/>
        </w:rPr>
        <w:t>Al-</w:t>
      </w:r>
      <w:proofErr w:type="spellStart"/>
      <w:r w:rsidR="00560E73" w:rsidRPr="00B17ED4">
        <w:rPr>
          <w:rFonts w:ascii="Book Antiqua" w:hAnsi="Book Antiqua" w:cs="Book Antiqua"/>
          <w:sz w:val="24"/>
          <w:szCs w:val="24"/>
          <w:lang w:val="en-GB"/>
        </w:rPr>
        <w:t>Freah</w:t>
      </w:r>
      <w:proofErr w:type="spellEnd"/>
      <w:r w:rsidRPr="00B17ED4">
        <w:rPr>
          <w:rFonts w:ascii="Book Antiqua" w:hAnsi="Book Antiqua" w:cs="Book Antiqua"/>
          <w:sz w:val="24"/>
          <w:szCs w:val="24"/>
          <w:lang w:val="en-GB"/>
        </w:rPr>
        <w:t xml:space="preserve">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{"citationID":"p4dOjwpf","properties":{"formattedCitation":"\\super [23]\\nosupersub{}","plainCitation":"[23]","noteIndex":0},"citationItems":[{"id":"bNgLsD3p/PFFqVsQv","uris":["http://zotero.org/users/3421399/items/E82RQPA2"],"uri":["http://zotero.org/users/3421399/items/E82RQPA2"],"itemData":{"id":195,"type":"article-journal","title":"The association of pretransplant ferritin level with waiting list and post-transplant survival. Does ferritin actually predict outcome?","container-title":"Transplant International","page":"1070-1079","volume":"26","issue":"11","source":"CrossRef","DOI":"10.1111/tri.12164","ISSN":"09340874","language":"en","author":[{"family":"Al-Freah","given":"Mohammad A. B."},{"family":"Kriese","given":"Stephen"},{"family":"Foxton","given":"Matthew R."},{"family":"Quaglia","given":"Alberto"},{"family":"Bomford","given":"Adrian"},{"family":"Heaton","given":"Nigel D."},{"family":"O'Grady","given":"John G."},{"family":"Agarwal","given":"Kosh"},{"family":"Wendon","given":"Julia A."},{"family":"Heneghan","given":"Michael A."}],"issued":{"date-parts":[["2013",11]]}}}],"schema":"https://github.com/citation-style-language/schema/raw/master/csl-citation.json"}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SF as a categorical variable (&gt; or &lt; 300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µg/L) is not associated with post LT survival, but patients with explant siderosis grade </w:t>
      </w:r>
      <w:r w:rsidRPr="00B17ED4">
        <w:rPr>
          <w:rFonts w:ascii="Book Antiqua" w:eastAsia="AdvTT3713a231+22"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 had inferior 12-mo post-LT survival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i/>
          <w:sz w:val="24"/>
          <w:szCs w:val="24"/>
          <w:lang w:val="en-GB"/>
        </w:rPr>
        <w:t>=</w:t>
      </w:r>
      <w:r w:rsidRPr="00B17ED4">
        <w:rPr>
          <w:rFonts w:ascii="Book Antiqua" w:eastAsia="宋体" w:hAnsi="Book Antiqua" w:cs="Book Antiqua" w:hint="eastAsia"/>
          <w:i/>
          <w:sz w:val="24"/>
          <w:szCs w:val="24"/>
          <w:lang w:val="en-US" w:eastAsia="zh-CN"/>
        </w:rPr>
        <w:t xml:space="preserve"> </w:t>
      </w:r>
      <w:r w:rsidRPr="00B17ED4">
        <w:rPr>
          <w:rFonts w:ascii="Book Antiqua" w:hAnsi="Book Antiqua" w:cs="Book Antiqua"/>
          <w:sz w:val="24"/>
          <w:szCs w:val="24"/>
          <w:lang w:val="en-GB"/>
        </w:rPr>
        <w:t>0.03). As the fast and efficient uptake of NTBI by liver parenchymal cell is well described</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{"citationID":"ieFju5Z5","properties":{"formattedCitation":"\\super [49]\\nosupersub{}","plainCitation":"[49]","noteIndex":0},"citationItems":[{"id":"bNgLsD3p/zKbYydZK","uris":["http://zotero.org/users/3421399/items/BT7U7M9J"],"uri":["http://zotero.org/users/3421399/items/BT7U7M9J"],"itemData":{"id":473,"type":"article-journal","title":"Efficient Clearance of Non-transferrin-bound Iron by Rat Liver","page":"8","source":"Zotero","abstract":"In hemochromatosis and other disorders associated with iron overload, a significant fraction of the total iron in plasma circulates in the form of low molecular weight complexes not bound to transferrin. Efficient and unregulated clearance of this form of iron by the liver may account for the hepatic iron loading and toxicity that characterize these diseases. We tested this possibility by examining the hepatic removal process for representative iron complexes in the single-pass perfused rat liver. Hepatic uptake of both ferrous and ferric 55Fe from ultrafiltered human serum was found to be highly efficient and effectively irreversible (single-pass extraction of 1 MM iron, 58-75%). Similar high efficiencies were seen for iron complexed to specific physiologic and nonphysiologic coordinators, including histidine, citrate, fructose, oxalate and glutamate, and tricine. Because of lower plasma flow rates, single-pass extraction of these iron complexes in vivo should be even greater. Autoradiography confirmed that most iron had been removed by parenchymal cells. Hepatic removal from Krebs-tricine buffer was saturable with similar kinetic parameters for ferrous and ferric iron (apparent K., 14-22 ,uM; V.,, 24-38 umol min-' g liver-'). These findings suggest that high levels of non-transferrin-bound iron in plasma may be an important cause of hepatic iron loading in iron overload states.","author":[{"family":"Brissot","given":"Pierre"},{"family":"Wright","given":"Teresa L"},{"family":"Ma","given":"Wei-Lan"},{"family":"Weisiger","given":"Richard A"}]}}],"schema":"https://github.com/citation-style-language/schema/raw/master/csl-citation.json"}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[49]</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and is a major mechanism for liver siderosis, this could be in accordance with our result showing that high TS is a risk factor. However TS was not assessed in this study. </w:t>
      </w:r>
    </w:p>
    <w:p w:rsidR="00820CBF" w:rsidRPr="00B17ED4" w:rsidRDefault="001317CB" w:rsidP="00BE5064">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We think that a major limitation of these study is the lack of consideration for iron deficiency. Iron deficiency can affect a significant part of the population, even more in the setting of end-stage liver disease as chronic bleeding and frailty are common. Actually one third of our patient had a serum ferritin lower than 100 µg/L that can be considered as low in this setting. This may be a major cause of discrepancy between studies and this may also explain the non-linearity between SF and mortality that prevent its simple use as a continuous variable in Cox regression analysis.</w:t>
      </w:r>
    </w:p>
    <w:p w:rsidR="00820CBF" w:rsidRPr="00B17ED4" w:rsidRDefault="001317CB" w:rsidP="00E00C2A">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The use of different SF cut-offs across studies is in part explained by the heterogeneity of biochemical methods used by centres and laboratories and the lack of international standards and reference materials. Moreover, SF may be affected by several factors besides iron metabolism, especially in the context of liver disease and inflammation. Therefore we think one should more consider an indication toward </w:t>
      </w:r>
      <w:r w:rsidRPr="00B17ED4">
        <w:rPr>
          <w:rFonts w:ascii="Book Antiqua" w:hAnsi="Book Antiqua" w:cs="Book Antiqua"/>
          <w:sz w:val="24"/>
          <w:szCs w:val="24"/>
          <w:lang w:val="en-GB"/>
        </w:rPr>
        <w:lastRenderedPageBreak/>
        <w:t>iron deficiency or overload rather than a definite cut-off that is hard to define in this setting.</w:t>
      </w:r>
    </w:p>
    <w:p w:rsidR="00820CBF" w:rsidRPr="00B17ED4" w:rsidRDefault="001317CB" w:rsidP="00560E73">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Iron overload with high SF and TS have been shown to be risk factors of mortality in other situations than LT</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{"citationID":"pY385cEu","properties":{"formattedCitation":"\\super [25,27,50,51]\\nosupersub{}","plainCitation":"[25,27,50,51]","noteIndex":0},"citationItems":[{"id":"bNgLsD3p/82tNEkg1","uris":["http://zotero.org/users/3421399/items/FFN9RBAH"],"uri":["http://zotero.org/users/3421399/items/FFN9RBAH"],"itemData":{"id":327,"type":"article-journal","title":"Iron Parameters Determine the Prognosis of Critically Ill Patients","container-title":"Critical Care Medicine","page":"1049-1058","volume":"44","issue":"6","source":"PubMed","abstract":"OBJECTIVE: Because iron is both an essential and toxic micronutrient influencing the development of microbial infections, we evaluated the usefulness of iron parameters as outcome predictors in ICU patients.\nDESIGN: Prospective clinical single-center non-interventional study.\nSETTING: General internal medicine ICU; German University hospital.\nPATIENTS: One hundred and twelve septic and 43 nonseptic ICU patients, 156 healthy blood donors.\nMEASUREMENTS AND MAIN RESULTS: Serum iron parameters at admission were correlated with short and long term mortality in ICU subjects. Both hepcidin and ferritin concentrations were significantly elevated in ICU patients compared with blood donors and were the highest in septic patients. On the contrary, serum iron and transferrin levels were decreased in ICU subjects with lowest values among septic patients. Hepcidin values correlated with ferritin levels, and serum iron correlated strongly with transferrin saturation. A moderate correlation of hepcidin, ferritin, and transferrin with inflammatory parameters was noted. Both short- and long-term survivors displayed higher ferritin/transferrin levels and lower transferrin saturation. In Kaplan-Meier analyses, low iron levels (cutoff 10.5 μmol/mL), low transferrin saturation (cutoff 55%), and high serum transferrin concentrations (cutoff 1.6 g/L) were associated with short- and long-term survival. In the subgroup of septic ICU subjects, low iron levels and transferrin saturation went along with a nonlethal outcome.\nCONCLUSIONS: Our findings demonstrate that parameters of iron metabolism, particularly transferrin saturation, that reflect serum iron availability, are strong outcome predictors in ICU patients. These data suggest that a failure of iron homeostasis with increased iron availability in serum occurs in lethally ill ICU patients and should trigger prospective clinical trials evaluating the usefulness of iron-chelating therapy in critical illness and sepsis.","DOI":"10.1097/CCM.0000000000001607","ISSN":"1530-0293","note":"PMID: 26934143","journalAbbreviation":"Crit. Care Med.","language":"eng","author":[{"family":"Tacke","given":"Frank"},{"family":"Nuraldeen","given":"Renwar"},{"family":"Koch","given":"Alexander"},{"family":"Strathmann","given":"Klaus"},{"family":"Hutschenreuter","given":"Gabriele"},{"family":"Trautwein","given":"Christian"},{"family":"Strnad","given":"Pavel"}],"issued":{"date-parts":[["2016",6]]}},"label":"page"},{"id":"bNgLsD3p/Pox7L9FQ","uris":["http://zotero.org/users/3421399/items/VIVEN7UI"],"uri":["http://zotero.org/users/3421399/items/VIVEN7UI"],"itemData":{"id":373,"type":"article-journal","title":"Low serum transferrin correlates with acute-on-chronic organ failure and indicates short-term mortality in decompensated cirrhosis","container-title":"Liver International","page":"232-241","volume":"37","issue":"2","source":"CrossRef","DOI":"10.1111/liv.13211","ISSN":"14783223","language":"en","author":[{"family":"Bruns","given":"Tony"},{"family":"Nuraldeen","given":"Renwar"},{"family":"Mai","given":"Martina"},{"family":"Stengel","given":"Sven"},{"family":"Zimmermann","given":"Henning W."},{"family":"Yagmur","given":"Eray"},{"family":"Trautwein","given":"Christian"},{"family":"Stallmach","given":"Andreas"},{"family":"Strnad","given":"Pavel"}],"issued":{"date-parts":[["2017",2]]}},"label":"page"},{"id":"bNgLsD3p/Lu748Pdi","uris":["http://zotero.org/users/3421399/items/HGLZMXZU"],"uri":["http://zotero.org/users/3421399/items/HGLZMXZU"],"itemData":{"id":465,"type":"article-journal","title":"High serum ferritin is associated with worse outcome of patients with decompensated cirrhosis","container-title":"Annals of Gastroenterology","page":"217-224","volume":"30","issue":"2","source":"PubMed","abstract":"BACKGROUND: Studies in patients with decompensated cirrhosis showed a correlation between serum ferritin levels and patients' prognosis. Besides, red blood cell distribution width (RDW) and mean platelet volume (MPV) have been associated with the severity of hepatic function. The aim of this study was to evaluate the prognostic impact of serum ferritin and RDW/MPV in the outcome [survival, death, or liver transplantation (LT)] of patients with stable decompensated cirrhosis.\nMETHODS: Consecutive adult patients with stable decompensated cirrhosis admitted to our department between September 2010 and February 2016 were included. Serum ferritin, RDW and MPV were recorded in every patient. They were followed up and their outcome (alive, death, or LT) was evaluated.\nRESULTS: 192 consecutive patients with stable decompensated cirrhosis (142 men, age 54.2±12 years); at the end of follow up [12 (range: 1-64) months] 62 patients remained alive and 130 died or underwent LT. In multivariate analysis, serum ferritin (HR 1.001, 95%CI 1.00-1.002, P=0.005) and GFR (HR 0.96, 95%CI 0.92-0.99, P=0.035) were the only independent factors significantly associated with the outcome. Ferritin had low discriminative ability (AUC: 0.61) to the outcome yielding a sensitivity and specificity of 85.3% and 44.2%, respectively, at the best cut-off point (&gt;55 ng/mL), while patients with ferritin &gt;55 ng/mL (n=145) had a worse outcome compared to those with ferritin ≤55 ng/mL (n=47) (log rank P=0.001). RDW and MPV were not associated with the outcome.\nCONCLUSION: High serum ferritin, but not RDW/MPV, is associated with worse outcome in patients with established decompensated cirrhosis. However, further studies are needed to elucidate better this issue.","DOI":"10.20524/aog.2016.0112","ISSN":"1108-7471","note":"PMID: 28243043\nPMCID: PMC5320035","journalAbbreviation":"Ann Gastroenterol","language":"eng","author":[{"family":"Oikonomou","given":"Theodora"},{"family":"Goulis","given":"Ioannis"},{"family":"Soulaidopoulos","given":"Stergios"},{"family":"Karasmani","given":"Areti"},{"family":"Doumtsis","given":"Petros"},{"family":"Tsioni","given":"Konstantina"},{"family":"Mandala","given":"Eudokia"},{"family":"Akriviadis","given":"Evangelos"},{"family":"Cholongitas","given":"Evangelos"}],"issued":{"date-parts":[["2017"]]}},"label":"page"},{"id":"bNgLsD3p/dUabQ4TJ","uris":["http://zotero.org/users/3421399/items/SRUTRWRD"],"uri":["http://zotero.org/users/3421399/items/SRUTRWRD"],"itemData":{"id":467,"type":"article-journal","title":"Low transferrin and high ferritin concentrations are associated with worse outcome in acute liver failure","container-title":"Liver International: Official Journal of the International Association for the Study of the Liver","page":"1032-1041","volume":"37","issue":"7","source":"PubMed","abstract":"BACKGROUND &amp; AIMS: Serum ferritin and transferrin have been identified as prognostic markers in patients with chronic diseases. In this study, we investigated if these parameters can predict outcome in patients with acute liver failure.\nMETHODS: A total of 102 consecutive patients with acute liver failure were retrospectively analysed. The patients were grouped by outcome: spontaneous recovery vs liver transplantation and/or death or survival vs death. Routine laboratory parameters, transferrin and ferritin concentrations in serum, and anthropomorphic data collected on admission were analysed.\nRESULTS: Non-spontaneously recovering patients had higher ferritin (12 252±25 791 vs 4434.4±9027.2 μg/L; P&lt;.05) and lower transferrin levels (140.4±66.7 vs 206.9±65.8 mg/dL; P&lt;.05) than spontaneously recovering patients. Similarly non-survivors exhibited higher serum ferritin and lower transferrin than non-transplanted survivors. Patients with severe hepatic inflammation (A3) had higher ferritin levels compared to patients with mild-moderate inflammation (A1-2) (5280±5094 vs 2361±2737 μg/L; P=.025). ROC analysis of single parameters was performed in non-transplanted patients, resulting in an area under the curve, sensitivity and specificity of 0.812%, 83.3%, and 77.1% for age, 0.871%, 84.1% and 75% for transferrin and 0.802%, 91.7% and 62.9% for ferritin. A model incorporating age, MELD and transferrin had the best predictive value with an area under the curve of 0.947, a sensitivity of 100% and corresponding specificity of 77.8%.\nCONCLUSIONS: High ferritin and low transferrin levels are associated with worse outcome in patients with acute liver failure. A model incorporating age, MELD score and transferrin outperformed MELD score for 90-day overall survival of non-transplanted patients.","DOI":"10.1111/liv.13369","ISSN":"1478-3231","note":"PMID: 28109050","journalAbbreviation":"Liver Int.","language":"eng","author":[{"family":"Anastasiou","given":"Olympia E."},{"family":"Kälsch","given":"Julia"},{"family":"Hakmouni","given":"Mahdi"},{"family":"Kucukoglu","given":"Ozlem"},{"family":"Heider","given":"Dominik"},{"family":"Korth","given":"Johannes"},{"family":"Manka","given":"Paul"},{"family":"Sowa","given":"Jan-Peter"},{"family":"Bechmann","given":"Lars"},{"family":"Saner","given":"Fuat H."},{"family":"Paul","given":"Andreas"},{"family":"Gerken","given":"Guido"},{"family":"Baba","given":"Hideo A."},{"family":"Canbay","given":"Ali"}],"issued":{"date-parts":[["2017",7]]}},"label":"page"}],"schema":"https://github.com/citation-style-language/schema/raw/master/csl-citation.json"}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[25,27,50,51]</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High SF has been demonstrated to be a risk factor of infections after kidney transplantation</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{"citationID":"iS4L2ZmR","properties":{"formattedCitation":"\\super [52]\\nosupersub{}","plainCitation":"[52]","noteIndex":0},"citationItems":[{"id":"bNgLsD3p/P8aMosE0","uris":["http://zotero.org/users/3421399/items/NZKU624S"],"uri":["http://zotero.org/users/3421399/items/NZKU624S"],"itemData":{"id":447,"type":"article-journal","title":"Serum iron parameters in the early post-transplant period and infection risk in kidney transplant recipients","container-title":"Transplant Infectious Disease","page":"600-611","volume":"15","issue":"6","source":"CrossRef","DOI":"10.1111/tid.12137","ISSN":"13982273","language":"en","author":[{"family":"Fernández-Ruiz","given":"M."},{"family":"López-Medrano","given":"F."},{"family":"Andrés","given":"A."},{"family":"Morales","given":"J.M."},{"family":"Lumbreras","given":"C."},{"family":"San-Juan","given":"R."},{"family":"Polanco","given":"N."},{"family":"González","given":"E."},{"family":"Aguado","given":"J.M."}],"issued":{"date-parts":[["2013",12]]}}}],"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[52]</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Chow </w:t>
      </w:r>
      <w:r w:rsidRPr="00B17ED4">
        <w:rPr>
          <w:rFonts w:ascii="Book Antiqua" w:hAnsi="Book Antiqua" w:cs="Book Antiqua"/>
          <w:i/>
          <w:sz w:val="24"/>
          <w:szCs w:val="24"/>
          <w:lang w:val="en-GB"/>
        </w:rPr>
        <w:t>et al</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{"citationID":"vmKBnESG","properties":{"formattedCitation":"\\super [53]\\nosupersub{}","plainCitation":"[53]","noteIndex":0},"citationItems":[{"id":"bNgLsD3p/dTK20jyT","uris":["http://zotero.org/users/3421399/items/7AGS9NXU"],"uri":["http://zotero.org/users/3421399/items/7AGS9NXU"],"itemData":{"id":431,"type":"article-journal","title":"Increased Serum Iron Levels and Infectious Complications after Liver Transplantation","container-title":"Clinical Infectious Diseases","page":"e16-e23","volume":"51","issue":"3","source":"CrossRef","DOI":"10.1086/654802","ISSN":"1058-4838, 1537-6591","language":"en","author":[{"family":"Chow","given":"Jennifer K."},{"family":"Werner","given":"Barbara G."},{"family":"Ruthazer","given":"Robin"},{"family":"Snydman","given":"David R."}],"issued":{"date-parts":[["2010",8]]}}}],"schema":"https://github.com/citation-style-language/schema/raw/master/csl-citation.json"}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[53]</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xml:space="preserve"> recently shown that increased levels of serum iron were independently associated with an increased risk for several types of infection and deaths. Recently, a second study of Chow </w:t>
      </w:r>
      <w:r w:rsidRPr="00B17ED4">
        <w:rPr>
          <w:rFonts w:ascii="Book Antiqua" w:hAnsi="Book Antiqua" w:cs="Book Antiqua"/>
          <w:i/>
          <w:sz w:val="24"/>
          <w:szCs w:val="24"/>
          <w:lang w:val="en-GB"/>
        </w:rPr>
        <w:t>et al</w:t>
      </w:r>
      <w:r w:rsidR="000505DB" w:rsidRPr="00B17ED4">
        <w:rPr>
          <w:rFonts w:ascii="Book Antiqua" w:hAnsi="Book Antiqua" w:cs="Book Antiqua"/>
          <w:sz w:val="24"/>
          <w:szCs w:val="24"/>
          <w:lang w:val="en-GB"/>
        </w:rPr>
        <w:fldChar w:fldCharType="begin"/>
      </w:r>
      <w:r w:rsidR="000505DB" w:rsidRPr="00B17ED4">
        <w:rPr>
          <w:rFonts w:ascii="Book Antiqua" w:hAnsi="Book Antiqua" w:cs="Book Antiqua"/>
          <w:sz w:val="24"/>
          <w:szCs w:val="24"/>
          <w:lang w:val="en-GB"/>
        </w:rPr>
        <w:instrText xml:space="preserve"> ADDIN ZOTERO_ITEM CSL_CITATION {"citationID":"chDMAklT","properties":{"formattedCitation":"\\super [54]\\nosupersub{}","plainCitation":"[54]","noteIndex":0},"citationItems":[{"id":"bNgLsD3p/gqg5EkWv","uris":["http://zotero.org/users/3421399/items/N58U24F4"],"uri":["http://zotero.org/users/3421399/items/N58U24F4"],"itemData":{"id":260,"type":"article-journal","title":"Iron-Related Markers are Associated with Infection after Liver Transplantation","container-title":"Liver Transplantation","source":"CrossRef","URL":"http://doi.wiley.com/10.1002/lt.24817","DOI":"10.1002/lt.24817","ISSN":"15276465","language":"en","author":[{"family":"Chow","given":"Jennifer K.L"},{"family":"Ganz","given":"Tomas"},{"family":"Ruthazer","given":"Robin"},{"family":"Simpson","given":"Mary Ann"},{"family":"Pomfret","given":"Elizabeth A."},{"family":"Gordon","given":"Fredric D."},{"family":"Westerman","given":"Mark E."},{"family":"Snydman","given":"David R."}],"issued":{"date-parts":[["2017",7,13]]},"accessed":{"date-parts":[["2017",8,4]]}}}],"schema":"https://github.com/citation-style-language/schema/raw/master/csl-citation.json"} </w:instrText>
      </w:r>
      <w:r w:rsidR="000505DB" w:rsidRPr="00B17ED4">
        <w:rPr>
          <w:rFonts w:ascii="Book Antiqua" w:hAnsi="Book Antiqua" w:cs="Book Antiqua"/>
          <w:sz w:val="24"/>
          <w:szCs w:val="24"/>
          <w:lang w:val="en-GB"/>
        </w:rPr>
        <w:fldChar w:fldCharType="separate"/>
      </w:r>
      <w:r w:rsidR="000505DB" w:rsidRPr="00B17ED4">
        <w:rPr>
          <w:rFonts w:ascii="Book Antiqua" w:hAnsi="Book Antiqua" w:cs="Book Antiqua"/>
          <w:sz w:val="24"/>
          <w:szCs w:val="24"/>
          <w:vertAlign w:val="superscript"/>
          <w:lang w:val="en-GB"/>
        </w:rPr>
        <w:t>[54]</w:t>
      </w:r>
      <w:r w:rsidR="000505DB" w:rsidRPr="00B17ED4">
        <w:rPr>
          <w:rFonts w:ascii="Book Antiqua" w:hAnsi="Book Antiqua" w:cs="Book Antiqua"/>
          <w:sz w:val="24"/>
          <w:szCs w:val="24"/>
          <w:lang w:val="en-GB"/>
        </w:rPr>
        <w:fldChar w:fldCharType="end"/>
      </w:r>
      <w:r w:rsidR="000505DB"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also showed a link between high SF, high Hepcidin and low serum iron, with infection after LT.</w:t>
      </w:r>
    </w:p>
    <w:p w:rsidR="00820CBF" w:rsidRPr="00B17ED4" w:rsidRDefault="001317CB" w:rsidP="00560E73">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Our finding that TS higher than 75% is associated with increased overall and infection related mortality support our initial hypothesis of NTBI and LPI production, a toxic free iron present in case of TS &gt;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75%</w:t>
      </w:r>
      <w:r w:rsidRPr="00B17ED4">
        <w:rPr>
          <w:rFonts w:ascii="Book Antiqua" w:eastAsia="Times New Roman" w:hAnsi="Book Antiqua" w:cs="Book Antiqua"/>
          <w:sz w:val="24"/>
          <w:szCs w:val="24"/>
          <w:lang w:val="en-GB" w:eastAsia="fr-FR"/>
        </w:rPr>
        <w:fldChar w:fldCharType="begin"/>
      </w:r>
      <w:r w:rsidRPr="00B17ED4">
        <w:rPr>
          <w:rFonts w:ascii="Book Antiqua" w:eastAsia="Times New Roman" w:hAnsi="Book Antiqua" w:cs="Book Antiqua"/>
          <w:sz w:val="24"/>
          <w:szCs w:val="24"/>
          <w:lang w:val="en-GB" w:eastAsia="fr-FR"/>
        </w:rPr>
        <w:instrText xml:space="preserve"> ADDIN ZOTERO_ITEM CSL_CITATION {"citationID":"a2eefmlmf4m","properties":{"formattedCitation":"\\super [28,30]\\nosupersub{}","plainCitation":"[28,30]","noteIndex":0},"citationItems":[{"id":"bNgLsD3p/JR2aW8RX","uris":["http://zotero.org/users/3421399/items/IG96VSMN"],"uri":["http://zotero.org/users/3421399/items/IG96VSMN"],"itemData":{"id":403,"type":"article-journal","title":"Redox active plasma iron in C282Y/C282Y hemochromatosis","container-title":"Blood","page":"4527–4531","volume":"105","issue":"11","source":"Google Scholar","author":[{"family":"Le Lan","given":"Caroline"},{"family":"Loréal","given":"Olivier"},{"family":"Cohen","given":"Tally"},{"family":"Ropert","given":"Martine"},{"family":"Glickstein","given":"Hava"},{"family":"Lainé","given":"Fabrice"},{"family":"Pouchard","given":"Michel"},{"family":"Deugnier","given":"Yves"},{"family":"Le Treut","given":"André"},{"family":"Breuer","given":"William"}],"issued":{"date-parts":[["2005"]]}},"label":"page"},{"id":"bNgLsD3p/tuctF6rA","uris":["http://zotero.org/users/3421399/items/HX6ZGSA9"],"uri":["http://zotero.org/users/3421399/items/HX6ZGSA9"],"itemData":{"id":261,"type":"article-journal","title":"Non-transferrin bound iron: A key role in iron overload and iron toxicity","container-title":"Biochimica et Biophysica Acta (BBA) - General Subjects","page":"403-410","volume":"1820","issue":"3","source":"CrossRef","DOI":"10.1016/j.bbagen.2011.07.014","ISSN":"03044165","shortTitle":"Non-transferrin bound iron","language":"en","author":[{"family":"Brissot","given":"Pierre"},{"family":"Ropert","given":"Martine"},{"family":"Le Lan","given":"Caroline"},{"family":"Loréal","given":"Olivier"}],"issued":{"date-parts":[["2012",3]]}},"label":"page"}],"schema":"https://github.com/citation-style-language/schema/raw/master/csl-citation.json"} </w:instrText>
      </w:r>
      <w:r w:rsidRPr="00B17ED4">
        <w:rPr>
          <w:rFonts w:ascii="Book Antiqua" w:eastAsia="Times New Roman" w:hAnsi="Book Antiqua" w:cs="Book Antiqua"/>
          <w:sz w:val="24"/>
          <w:szCs w:val="24"/>
          <w:lang w:val="en-GB" w:eastAsia="fr-FR"/>
        </w:rPr>
        <w:fldChar w:fldCharType="separate"/>
      </w:r>
      <w:r w:rsidRPr="00B17ED4">
        <w:rPr>
          <w:rFonts w:ascii="Book Antiqua" w:hAnsi="Book Antiqua" w:cs="Book Antiqua"/>
          <w:sz w:val="24"/>
          <w:szCs w:val="24"/>
          <w:vertAlign w:val="superscript"/>
          <w:lang w:val="en-GB"/>
        </w:rPr>
        <w:t>[28,30]</w:t>
      </w:r>
      <w:r w:rsidRPr="00B17ED4">
        <w:rPr>
          <w:rFonts w:ascii="Book Antiqua" w:eastAsia="Times New Roman" w:hAnsi="Book Antiqua" w:cs="Book Antiqua"/>
          <w:sz w:val="24"/>
          <w:szCs w:val="24"/>
          <w:lang w:val="en-GB" w:eastAsia="fr-FR"/>
        </w:rPr>
        <w:fldChar w:fldCharType="end"/>
      </w:r>
      <w:r w:rsidRPr="00B17ED4">
        <w:rPr>
          <w:rFonts w:ascii="Book Antiqua" w:eastAsia="Times New Roman" w:hAnsi="Book Antiqua" w:cs="Book Antiqua"/>
          <w:sz w:val="24"/>
          <w:szCs w:val="24"/>
          <w:lang w:val="en-GB" w:eastAsia="fr-FR"/>
        </w:rPr>
        <w:t>. Increasing iron availability with high TS and production of NTBI/LPI promotes development of bacterial infection via increased bacterial growth. Further our results suggest that these patients may be more prone to infection in the post-operative period.</w:t>
      </w:r>
    </w:p>
    <w:p w:rsidR="00820CBF" w:rsidRPr="00B17ED4" w:rsidRDefault="001317CB" w:rsidP="005445AF">
      <w:pPr>
        <w:autoSpaceDE w:val="0"/>
        <w:autoSpaceDN w:val="0"/>
        <w:adjustRightInd w:val="0"/>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Overall our results are in accordance with the fact that iron is an essential nutrient for all organisms but can paradoxically become toxic, inducing oxidative stress in case of iron overload</w:t>
      </w:r>
      <w:r w:rsidRPr="00B17ED4">
        <w:rPr>
          <w:rFonts w:ascii="Book Antiqua" w:hAnsi="Book Antiqua" w:cs="Book Antiqua"/>
          <w:sz w:val="24"/>
          <w:szCs w:val="24"/>
          <w:lang w:val="en-GB"/>
        </w:rPr>
        <w:fldChar w:fldCharType="begin"/>
      </w:r>
      <w:r w:rsidRPr="00B17ED4">
        <w:rPr>
          <w:rFonts w:ascii="Book Antiqua" w:hAnsi="Book Antiqua" w:cs="Book Antiqua"/>
          <w:sz w:val="24"/>
          <w:szCs w:val="24"/>
          <w:lang w:val="en-GB"/>
        </w:rPr>
        <w:instrText xml:space="preserve"> ADDIN ZOTERO_ITEM CSL_CITATION {"citationID":"a11au7nhlsp","properties":{"formattedCitation":"\\super [29,30]\\nosupersub{}","plainCitation":"[29,30]","noteIndex":0},"citationItems":[{"id":"bNgLsD3p/CIYmrVLO","uris":["http://zotero.org/users/3421399/items/K888Z62Q"],"uri":["http://zotero.org/users/3421399/items/K888Z62Q"],"itemData":{"id":397,"type":"article-journal","title":"The complex interplay of iron metabolism, reactive oxygen species, and reactive nitrogen species: Insights into the potential of various iron therapies to induce oxidative and nitrosative stress","container-title":"Free Radical Biology and Medicine","page":"1174-1194","volume":"65","source":"ScienceDirect","abstract":"Production of minute concentrations of superoxide (O2−) and nitrogen monoxide (nitric oxide, NO) plays important roles in several aspects of cellular signaling and metabolic regulation. However, in an inflammatory environment, the concentrations of these radicals can drastically increase and the antioxidant defenses may become overwhelmed. Thus, biological damage may occur owing to redox imbalance—a condition called oxidative and/or nitrosative stress. A complex interplay exists between iron metabolism, O2−, hydrogen peroxide (H2O2), and NO. Iron is involved in both the formation and the scavenging of these species. Iron deficiency (anemia) (ID(A)) is associated with oxidative stress, but its role in the induction of nitrosative stress is largely unclear. Moreover, oral as well as intravenous (iv) iron preparations used for the treatment of ID(A) may also induce oxidative and/or nitrosative stress. Oral administration of ferrous salts may lead to high transferrin saturation levels and, thus, formation of non-transferrin-bound iron, a potentially toxic form of iron with a propensity to induce oxidative stress. One of the factors that determine the likelihood of oxidative and nitrosative stress induced upon administration of an iv iron complex is the amount of labile (or weakly-bound) iron present in the complex. Stable dextran-based iron complexes used for iv therapy, although they contain only negligible amounts of labile iron, can induce oxidative and/or nitrosative stress through so far unknown mechanisms. In this review, after summarizing the main features of iron metabolism and its complex interplay with O2−, H2O2, NO, and other more reactive compounds derived from these species, the potential of various iron therapies to induce oxidative and nitrosative stress is discussed and possible underlying mechanisms are proposed. Understanding the mechanisms, by which various iron formulations may induce oxidative and nitrosative stress, will help us develop better tolerated and more efficient therapies for various dysfunctions of iron metabolism.","DOI":"10.1016/j.freeradbiomed.2013.09.001","ISSN":"0891-5849","shortTitle":"The complex interplay of iron metabolism, reactive oxygen species, and reactive nitrogen species","journalAbbreviation":"Free Radical Biology and Medicine","author":[{"family":"Koskenkorva-Frank","given":"Taija S."},{"family":"Weiss","given":"Günter"},{"family":"Koppenol","given":"Willem H."},{"family":"Burckhardt","given":"Susanna"}],"issued":{"date-parts":[["2013",12,1]]}},"label":"page"},{"id":"bNgLsD3p/tuctF6rA","uris":["http://zotero.org/users/3421399/items/HX6ZGSA9"],"uri":["http://zotero.org/users/3421399/items/HX6ZGSA9"],"itemData":{"id":261,"type":"article-journal","title":"Non-transferrin bound iron: A key role in iron overload and iron toxicity","container-title":"Biochimica et Biophysica Acta (BBA) - General Subjects","page":"403-410","volume":"1820","issue":"3","source":"CrossRef","DOI":"10.1016/j.bbagen.2011.07.014","ISSN":"03044165","shortTitle":"Non-transferrin bound iron","language":"en","author":[{"family":"Brissot","given":"Pierre"},{"family":"Ropert","given":"Martine"},{"family":"Le Lan","given":"Caroline"},{"family":"Loréal","given":"Olivier"}],"issued":{"date-parts":[["2012",3]]}},"label":"page"}],"schema":"https://github.com/citation-style-language/schema/raw/master/csl-citation.json"} </w:instrText>
      </w:r>
      <w:r w:rsidRPr="00B17ED4">
        <w:rPr>
          <w:rFonts w:ascii="Book Antiqua" w:hAnsi="Book Antiqua" w:cs="Book Antiqua"/>
          <w:sz w:val="24"/>
          <w:szCs w:val="24"/>
          <w:lang w:val="en-GB"/>
        </w:rPr>
        <w:fldChar w:fldCharType="separate"/>
      </w:r>
      <w:r w:rsidRPr="00B17ED4">
        <w:rPr>
          <w:rFonts w:ascii="Book Antiqua" w:hAnsi="Book Antiqua" w:cs="Book Antiqua"/>
          <w:sz w:val="24"/>
          <w:szCs w:val="24"/>
          <w:vertAlign w:val="superscript"/>
          <w:lang w:val="en-GB"/>
        </w:rPr>
        <w:t>[29,30]</w:t>
      </w:r>
      <w:r w:rsidRPr="00B17ED4">
        <w:rPr>
          <w:rFonts w:ascii="Book Antiqua" w:hAnsi="Book Antiqua" w:cs="Book Antiqua"/>
          <w:sz w:val="24"/>
          <w:szCs w:val="24"/>
          <w:lang w:val="en-GB"/>
        </w:rPr>
        <w:fldChar w:fldCharType="end"/>
      </w:r>
      <w:r w:rsidRPr="00B17ED4">
        <w:rPr>
          <w:rFonts w:ascii="Book Antiqua" w:hAnsi="Book Antiqua" w:cs="Book Antiqua"/>
          <w:sz w:val="24"/>
          <w:szCs w:val="24"/>
          <w:lang w:val="en-GB"/>
        </w:rPr>
        <w:t>. Iron deficiency leads to immunosuppression, which in turn increases the risk of infections. Conversely, iron overload provokes production of free radicals and oxidative damage and influence pathogen growth.</w:t>
      </w:r>
    </w:p>
    <w:p w:rsidR="00820CBF" w:rsidRPr="00B17ED4" w:rsidRDefault="001317CB" w:rsidP="005445AF">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In conclusion, our results show that imbalance in iron metabolism is significantly associated with sepsis-related and overall mortality in the post-transplant period. The role of iron should be prospectively studied in these patients to identify patients at risk and guide optimization of iron metabolism management to improve post-transplant survival. </w:t>
      </w:r>
    </w:p>
    <w:p w:rsidR="00820CBF" w:rsidRPr="00B17ED4" w:rsidRDefault="00820CBF" w:rsidP="000505DB">
      <w:pPr>
        <w:snapToGrid w:val="0"/>
        <w:spacing w:after="0" w:line="360" w:lineRule="auto"/>
        <w:jc w:val="both"/>
        <w:rPr>
          <w:rFonts w:ascii="Book Antiqua" w:hAnsi="Book Antiqua" w:cs="Arial"/>
          <w:b/>
          <w:sz w:val="24"/>
          <w:szCs w:val="24"/>
          <w:u w:val="single"/>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Arial"/>
          <w:b/>
          <w:sz w:val="24"/>
          <w:szCs w:val="24"/>
          <w:u w:val="single"/>
        </w:rPr>
        <w:t>ARTICLE HIGHLIGHTS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background</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Liver transplantation (LT) is the best treatment for patients with liver cancer or end stage cirrhosis, but it is still associated with a significant mortality. Therefore identifying factors associated with mortality could help improve patient </w:t>
      </w:r>
      <w:r w:rsidRPr="00B17ED4">
        <w:rPr>
          <w:rFonts w:ascii="Book Antiqua" w:hAnsi="Book Antiqua" w:cs="Book Antiqua"/>
          <w:sz w:val="24"/>
          <w:szCs w:val="24"/>
          <w:lang w:val="en-GB"/>
        </w:rPr>
        <w:lastRenderedPageBreak/>
        <w:t xml:space="preserve">management. The impact of iron metabolism, which could be a relevant therapeutic target, yield discrepant results in this setting. Previous studies suggest that increased serum ferritin is associated with higher mortality. Surprisingly iron deficiency which is a well described risk factor in critically ill patients has not been considered. </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motivation</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Iron metabolism could be easily corrected before liver transplantation, thus assessing its impact on mortality is </w:t>
      </w:r>
      <w:proofErr w:type="spellStart"/>
      <w:r w:rsidRPr="00B17ED4">
        <w:rPr>
          <w:rFonts w:ascii="Book Antiqua" w:hAnsi="Book Antiqua" w:cs="Book Antiqua"/>
          <w:sz w:val="24"/>
          <w:szCs w:val="24"/>
          <w:lang w:val="en-GB"/>
        </w:rPr>
        <w:t>crtitical</w:t>
      </w:r>
      <w:proofErr w:type="spellEnd"/>
      <w:r w:rsidRPr="00B17ED4">
        <w:rPr>
          <w:rFonts w:ascii="Book Antiqua" w:hAnsi="Book Antiqua" w:cs="Book Antiqua"/>
          <w:sz w:val="24"/>
          <w:szCs w:val="24"/>
          <w:lang w:val="en-GB"/>
        </w:rPr>
        <w:t xml:space="preserve"> before designing clinical trials in that purpose.</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objectives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The main objectives, the objectives that were realized, and the significance of realizing these objectives for future research in this field should be described in detail. </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b/>
          <w:bCs/>
          <w:i/>
          <w:iCs/>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methods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Retrospective cohort analysis with Cox multivariate Regression.</w:t>
      </w:r>
      <w:r w:rsidR="00C47E43">
        <w:rPr>
          <w:rFonts w:ascii="Book Antiqua" w:hAnsi="Book Antiqua" w:cs="Book Antiqua"/>
          <w:sz w:val="24"/>
          <w:szCs w:val="24"/>
          <w:lang w:val="en-GB"/>
        </w:rPr>
        <w:t xml:space="preserve"> </w:t>
      </w:r>
      <w:r w:rsidRPr="00B17ED4">
        <w:rPr>
          <w:rFonts w:ascii="Book Antiqua" w:hAnsi="Book Antiqua" w:cs="Book Antiqua"/>
          <w:sz w:val="24"/>
          <w:szCs w:val="24"/>
          <w:lang w:val="en-GB"/>
        </w:rPr>
        <w:t>Survival was also estimated though Kaplan Meier analysis.</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results</w:t>
      </w:r>
    </w:p>
    <w:p w:rsidR="00820CBF" w:rsidRPr="00B66ECB"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A large number of patients was studied (553) and followed for 95 </w:t>
      </w:r>
      <w:r w:rsidRPr="00B17ED4">
        <w:rPr>
          <w:rFonts w:ascii="Book Antiqua" w:eastAsia="宋体" w:hAnsi="Book Antiqua" w:cs="Book Antiqua" w:hint="eastAsia"/>
          <w:sz w:val="24"/>
          <w:szCs w:val="24"/>
          <w:lang w:val="en-GB" w:eastAsia="zh-CN"/>
        </w:rPr>
        <w:t>mo</w:t>
      </w:r>
      <w:r w:rsidRPr="00B17ED4">
        <w:rPr>
          <w:rFonts w:ascii="Book Antiqua" w:hAnsi="Book Antiqua" w:cs="Book Antiqua"/>
          <w:sz w:val="24"/>
          <w:szCs w:val="24"/>
          <w:lang w:val="en-GB"/>
        </w:rPr>
        <w:t xml:space="preserve">. At the end of follow-up 196 patients were dead, 38 of them because of infections. In multivariate analysis, overall mortality was significantly associated with </w:t>
      </w:r>
      <w:r w:rsidR="009A6542" w:rsidRPr="00B17ED4">
        <w:rPr>
          <w:rFonts w:ascii="Book Antiqua" w:hAnsi="Book Antiqua" w:cs="Book Antiqua"/>
          <w:sz w:val="24"/>
          <w:szCs w:val="24"/>
          <w:lang w:val="en-GB"/>
        </w:rPr>
        <w:t>t</w:t>
      </w:r>
      <w:r w:rsidRPr="00B17ED4">
        <w:rPr>
          <w:rFonts w:ascii="Book Antiqua" w:hAnsi="Book Antiqua" w:cs="Book Antiqua"/>
          <w:sz w:val="24"/>
          <w:szCs w:val="24"/>
          <w:lang w:val="en-GB"/>
        </w:rPr>
        <w:t xml:space="preserve">ransferrin saturation </w:t>
      </w:r>
      <w:r w:rsidR="009A6542">
        <w:rPr>
          <w:rFonts w:ascii="Book Antiqua" w:hAnsi="Book Antiqua" w:cs="Book Antiqua"/>
          <w:sz w:val="24"/>
          <w:szCs w:val="24"/>
          <w:lang w:val="en-GB"/>
        </w:rPr>
        <w:t>(</w:t>
      </w:r>
      <w:r w:rsidR="009A6542" w:rsidRPr="00B17ED4">
        <w:rPr>
          <w:rFonts w:ascii="Book Antiqua" w:hAnsi="Book Antiqua" w:cs="Book Antiqua"/>
          <w:sz w:val="24"/>
          <w:szCs w:val="24"/>
          <w:lang w:val="en-GB"/>
        </w:rPr>
        <w:t>TS</w:t>
      </w:r>
      <w:r w:rsidR="009A6542">
        <w:rPr>
          <w:rFonts w:ascii="Book Antiqua" w:hAnsi="Book Antiqua" w:cs="Book Antiqua"/>
          <w:sz w:val="24"/>
          <w:szCs w:val="24"/>
          <w:lang w:val="en-GB"/>
        </w:rPr>
        <w:t xml:space="preserve">) </w:t>
      </w:r>
      <w:r w:rsidRPr="00B17ED4">
        <w:rPr>
          <w:rFonts w:ascii="Book Antiqua" w:hAnsi="Book Antiqua" w:cs="Book Antiqua"/>
          <w:sz w:val="24"/>
          <w:szCs w:val="24"/>
          <w:lang w:val="en-GB"/>
        </w:rPr>
        <w:t>higher than 75%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1.73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(1.14;</w:t>
      </w:r>
      <w:r w:rsidR="000505DB"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2.63)], serum ferritin lower than 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1.62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(1.12;</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2.35)], hepatocellular carcinoma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1.58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(1.15;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2.26)], estimated glomerular filtration rate (CKD EPI Cystatin C)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(0.98;</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0.99)], and packed red blood cell transfusion [HR:</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1.05</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(1.03;</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1.08)].</w:t>
      </w:r>
      <w:r w:rsidR="00B66ECB">
        <w:rPr>
          <w:rFonts w:ascii="Book Antiqua" w:eastAsiaTheme="minorEastAsia" w:hAnsi="Book Antiqua" w:cs="Book Antiqua" w:hint="eastAsia"/>
          <w:sz w:val="24"/>
          <w:szCs w:val="24"/>
          <w:lang w:val="en-GB" w:eastAsia="zh-CN"/>
        </w:rPr>
        <w:t xml:space="preserve"> </w:t>
      </w:r>
      <w:r w:rsidRPr="00B17ED4">
        <w:rPr>
          <w:rFonts w:ascii="Book Antiqua" w:hAnsi="Book Antiqua" w:cs="Book Antiqua"/>
          <w:sz w:val="24"/>
          <w:szCs w:val="24"/>
          <w:lang w:val="en-GB"/>
        </w:rPr>
        <w:t>Kaplan Meier curves show that patients with low serum ferritin (&lt;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100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or high serum ferritin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400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µg/L) have lower survival rates at 36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than patients with normal SF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 xml:space="preserve">0,008 and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eastAsia="Times New Roman" w:hAnsi="Book Antiqua" w:cs="Book Antiqua"/>
          <w:sz w:val="24"/>
          <w:szCs w:val="24"/>
          <w:lang w:val="en-GB" w:eastAsia="fr-FR"/>
        </w:rPr>
        <w:t>=</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0,016 respectively)</w:t>
      </w:r>
      <w:r w:rsidRPr="00B17ED4">
        <w:rPr>
          <w:rFonts w:ascii="Book Antiqua" w:hAnsi="Book Antiqua" w:cs="Book Antiqua"/>
          <w:sz w:val="24"/>
          <w:szCs w:val="24"/>
          <w:lang w:val="en-GB"/>
        </w:rPr>
        <w:t xml:space="preserve">. Patients with </w:t>
      </w:r>
      <w:r w:rsidR="009A6542" w:rsidRPr="00B17ED4">
        <w:rPr>
          <w:rFonts w:ascii="Book Antiqua" w:hAnsi="Book Antiqua" w:cs="Book Antiqua"/>
          <w:sz w:val="24"/>
          <w:szCs w:val="24"/>
          <w:lang w:val="en-GB"/>
        </w:rPr>
        <w:t>TS</w:t>
      </w:r>
      <w:r w:rsidRPr="00B17ED4">
        <w:rPr>
          <w:rFonts w:ascii="Book Antiqua" w:hAnsi="Book Antiqua" w:cs="Book Antiqua"/>
          <w:sz w:val="24"/>
          <w:szCs w:val="24"/>
          <w:lang w:val="en-GB"/>
        </w:rPr>
        <w:t xml:space="preserve"> higher than 75% had higher mortality at 12 </w:t>
      </w:r>
      <w:proofErr w:type="spellStart"/>
      <w:r w:rsidRPr="00B17ED4">
        <w:rPr>
          <w:rFonts w:ascii="Book Antiqua" w:eastAsia="宋体" w:hAnsi="Book Antiqua" w:cs="Book Antiqua" w:hint="eastAsia"/>
          <w:sz w:val="24"/>
          <w:szCs w:val="24"/>
          <w:lang w:val="en-GB" w:eastAsia="zh-CN"/>
        </w:rPr>
        <w:t>mo</w:t>
      </w:r>
      <w:proofErr w:type="spellEnd"/>
      <w:r w:rsidRPr="00B17ED4">
        <w:rPr>
          <w:rFonts w:ascii="Book Antiqua" w:hAnsi="Book Antiqua" w:cs="Book Antiqua"/>
          <w:sz w:val="24"/>
          <w:szCs w:val="24"/>
          <w:lang w:val="en-GB"/>
        </w:rPr>
        <w:t xml:space="preserve"> (91.4% ± 1.4</w:t>
      </w:r>
      <w:r w:rsidR="009B523C"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hAnsi="Book Antiqua" w:cs="Book Antiqua"/>
          <w:i/>
          <w:iCs/>
          <w:sz w:val="24"/>
          <w:szCs w:val="24"/>
          <w:lang w:val="en-GB"/>
        </w:rPr>
        <w:t xml:space="preserve">vs </w:t>
      </w:r>
      <w:r w:rsidRPr="00B17ED4">
        <w:rPr>
          <w:rFonts w:ascii="Book Antiqua" w:hAnsi="Book Antiqua" w:cs="Book Antiqua"/>
          <w:sz w:val="24"/>
          <w:szCs w:val="24"/>
          <w:lang w:val="en-GB"/>
        </w:rPr>
        <w:t>84.6% ± 3.1</w:t>
      </w:r>
      <w:r w:rsidR="009B523C"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w:t>
      </w:r>
      <w:r w:rsidRPr="00B17ED4">
        <w:rPr>
          <w:rFonts w:ascii="Book Antiqua" w:eastAsia="Times New Roman" w:hAnsi="Book Antiqua" w:cs="Book Antiqua"/>
          <w:i/>
          <w:iCs/>
          <w:sz w:val="24"/>
          <w:szCs w:val="24"/>
          <w:lang w:val="en-GB" w:eastAsia="fr-FR"/>
        </w:rPr>
        <w:t>P</w:t>
      </w:r>
      <w:r w:rsidRPr="00B17ED4">
        <w:rPr>
          <w:rFonts w:ascii="Book Antiqua" w:eastAsia="宋体" w:hAnsi="Book Antiqua" w:cs="Book Antiqua" w:hint="eastAsia"/>
          <w:i/>
          <w:iCs/>
          <w:sz w:val="24"/>
          <w:szCs w:val="24"/>
          <w:lang w:val="en-US" w:eastAsia="zh-CN"/>
        </w:rPr>
        <w:t xml:space="preserve"> </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0.039). Moreover </w:t>
      </w:r>
      <w:r w:rsidR="009A6542" w:rsidRPr="00B17ED4">
        <w:rPr>
          <w:rFonts w:ascii="Book Antiqua" w:hAnsi="Book Antiqua" w:cs="Book Antiqua"/>
          <w:sz w:val="24"/>
          <w:szCs w:val="24"/>
          <w:lang w:val="en-GB"/>
        </w:rPr>
        <w:t>TS</w:t>
      </w:r>
      <w:r w:rsidRPr="00B17ED4">
        <w:rPr>
          <w:rFonts w:ascii="Book Antiqua" w:hAnsi="Book Antiqua" w:cs="Book Antiqua"/>
          <w:sz w:val="24"/>
          <w:szCs w:val="24"/>
          <w:lang w:val="en-GB"/>
        </w:rPr>
        <w:t xml:space="preserve"> higher than 75% was significantly associated with infection related death </w:t>
      </w:r>
      <w:r w:rsidRPr="00B17ED4">
        <w:rPr>
          <w:rFonts w:ascii="Book Antiqua" w:eastAsia="Times New Roman" w:hAnsi="Book Antiqua" w:cs="Book Antiqua"/>
          <w:sz w:val="24"/>
          <w:szCs w:val="24"/>
          <w:lang w:val="en-GB" w:eastAsia="fr-FR"/>
        </w:rPr>
        <w:t>[</w:t>
      </w:r>
      <w:r w:rsidRPr="00B17ED4">
        <w:rPr>
          <w:rFonts w:ascii="Book Antiqua" w:hAnsi="Book Antiqua" w:cs="Book Antiqua"/>
          <w:sz w:val="24"/>
          <w:szCs w:val="24"/>
          <w:lang w:val="en-GB"/>
        </w:rPr>
        <w:t xml:space="preserve">HR: </w:t>
      </w:r>
      <w:r w:rsidRPr="00B17ED4">
        <w:rPr>
          <w:rFonts w:ascii="Book Antiqua" w:eastAsia="Times New Roman" w:hAnsi="Book Antiqua" w:cs="Book Antiqua"/>
          <w:sz w:val="24"/>
          <w:szCs w:val="24"/>
          <w:lang w:val="en-GB" w:eastAsia="fr-FR"/>
        </w:rPr>
        <w:t xml:space="preserve">3.06 </w:t>
      </w:r>
      <w:r w:rsidRPr="00B17ED4">
        <w:rPr>
          <w:rFonts w:ascii="Book Antiqua" w:hAnsi="Book Antiqua" w:cs="Book Antiqua"/>
          <w:sz w:val="24"/>
          <w:szCs w:val="24"/>
          <w:lang w:val="en-GB"/>
        </w:rPr>
        <w:t>(</w:t>
      </w:r>
      <w:r w:rsidRPr="00B17ED4">
        <w:rPr>
          <w:rFonts w:ascii="Book Antiqua" w:eastAsia="Times New Roman" w:hAnsi="Book Antiqua" w:cs="Book Antiqua"/>
          <w:sz w:val="24"/>
          <w:szCs w:val="24"/>
          <w:lang w:val="en-GB" w:eastAsia="fr-FR"/>
        </w:rPr>
        <w:t>1.13; 8.23)]</w:t>
      </w:r>
      <w:r w:rsidRPr="00B17ED4">
        <w:rPr>
          <w:rFonts w:ascii="Book Antiqua" w:hAnsi="Book Antiqua" w:cs="Book Antiqua"/>
          <w:sz w:val="24"/>
          <w:szCs w:val="24"/>
          <w:lang w:val="en-GB"/>
        </w:rPr>
        <w:t>.</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lastRenderedPageBreak/>
        <w:t>Research conclusions</w:t>
      </w: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Our study is the first to describe the respective impact of iron deficiency in patient undergoing liver transplantation. This suggests that active management of iron deficiency with iron supplementation before liver transplantation could significantly improves outcome after liver transplantation.</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 xml:space="preserve">Further this is the first study showing that high </w:t>
      </w:r>
      <w:r w:rsidR="009A6542" w:rsidRPr="00B17ED4">
        <w:rPr>
          <w:rFonts w:ascii="Book Antiqua" w:hAnsi="Book Antiqua" w:cs="Book Antiqua"/>
          <w:sz w:val="24"/>
          <w:szCs w:val="24"/>
          <w:lang w:val="en-GB"/>
        </w:rPr>
        <w:t>TS</w:t>
      </w:r>
      <w:r w:rsidR="009A6542">
        <w:rPr>
          <w:rFonts w:ascii="Book Antiqua" w:hAnsi="Book Antiqua" w:cs="Book Antiqua"/>
          <w:sz w:val="24"/>
          <w:szCs w:val="24"/>
          <w:lang w:val="en-GB"/>
        </w:rPr>
        <w:t xml:space="preserve"> </w:t>
      </w:r>
      <w:r w:rsidRPr="00B17ED4">
        <w:rPr>
          <w:rFonts w:ascii="Book Antiqua" w:hAnsi="Book Antiqua" w:cs="Book Antiqua"/>
          <w:sz w:val="24"/>
          <w:szCs w:val="24"/>
          <w:lang w:val="en-GB"/>
        </w:rPr>
        <w:t>is associated with higher short term mortality. This suggests that exposure to toxic forms of iron increase cellular damages in the perioperative period and that treating iron overload before liver transplantation could improves outcome.</w:t>
      </w:r>
    </w:p>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lang w:val="en-GB"/>
        </w:rPr>
      </w:pPr>
    </w:p>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Arial"/>
          <w:b/>
          <w:i/>
          <w:sz w:val="24"/>
          <w:szCs w:val="24"/>
        </w:rPr>
        <w:t>Research perspectives</w:t>
      </w:r>
    </w:p>
    <w:p w:rsidR="00C4066B"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sz w:val="24"/>
          <w:szCs w:val="24"/>
          <w:lang w:val="en-GB"/>
        </w:rPr>
        <w:t>A prospective randomized clinical trial is required to assess the beneficial effect of correction iron metabolism imbalance before liver transplantation.</w:t>
      </w:r>
    </w:p>
    <w:p w:rsidR="00C4066B" w:rsidRDefault="00C4066B" w:rsidP="000505DB">
      <w:pPr>
        <w:snapToGrid w:val="0"/>
        <w:spacing w:after="0" w:line="360" w:lineRule="auto"/>
        <w:jc w:val="both"/>
        <w:rPr>
          <w:rFonts w:ascii="Book Antiqua" w:hAnsi="Book Antiqua" w:cs="Book Antiqua"/>
          <w:b/>
          <w:sz w:val="24"/>
          <w:szCs w:val="24"/>
          <w:lang w:val="en-GB"/>
        </w:rPr>
      </w:pPr>
    </w:p>
    <w:p w:rsidR="00820CBF" w:rsidRPr="00B17ED4" w:rsidRDefault="001317CB" w:rsidP="000505DB">
      <w:pPr>
        <w:snapToGrid w:val="0"/>
        <w:spacing w:after="0" w:line="360" w:lineRule="auto"/>
        <w:jc w:val="both"/>
        <w:rPr>
          <w:rFonts w:ascii="Book Antiqua" w:hAnsi="Book Antiqua" w:cs="Book Antiqua"/>
          <w:b/>
          <w:sz w:val="24"/>
          <w:szCs w:val="24"/>
          <w:lang w:val="en-GB"/>
        </w:rPr>
      </w:pPr>
      <w:r w:rsidRPr="00B17ED4">
        <w:rPr>
          <w:rFonts w:ascii="Book Antiqua" w:hAnsi="Book Antiqua" w:cs="Book Antiqua"/>
          <w:b/>
          <w:sz w:val="24"/>
          <w:szCs w:val="24"/>
          <w:lang w:val="en-GB"/>
        </w:rPr>
        <w:t xml:space="preserve">REFERENCES </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 </w:t>
      </w:r>
      <w:r w:rsidRPr="00B17ED4">
        <w:rPr>
          <w:rFonts w:ascii="Book Antiqua" w:hAnsi="Book Antiqua" w:cs="Book Antiqua"/>
          <w:b/>
          <w:sz w:val="24"/>
          <w:szCs w:val="24"/>
        </w:rPr>
        <w:t>Ghobrial RM</w:t>
      </w:r>
      <w:r w:rsidRPr="00B17ED4">
        <w:rPr>
          <w:rFonts w:ascii="Book Antiqua" w:hAnsi="Book Antiqua" w:cs="Book Antiqua"/>
          <w:sz w:val="24"/>
          <w:szCs w:val="24"/>
        </w:rPr>
        <w:t xml:space="preserve">, Gornbein J, Steadman R, Danino N, Markmann JF, Holt C, Anselmo D, Amersi F, Chen P, Farmer DG, Han S, Derazo F, Saab S, Goldstein LI, McDiarmid SV, Busuttil RW. Pretransplant model to predict posttransplant survival in liver transplant patients. </w:t>
      </w:r>
      <w:r w:rsidRPr="00B17ED4">
        <w:rPr>
          <w:rFonts w:ascii="Book Antiqua" w:hAnsi="Book Antiqua" w:cs="Book Antiqua"/>
          <w:i/>
          <w:sz w:val="24"/>
          <w:szCs w:val="24"/>
        </w:rPr>
        <w:t>Ann Surg</w:t>
      </w:r>
      <w:r w:rsidRPr="00B17ED4">
        <w:rPr>
          <w:rFonts w:ascii="Book Antiqua" w:hAnsi="Book Antiqua" w:cs="Book Antiqua"/>
          <w:sz w:val="24"/>
          <w:szCs w:val="24"/>
        </w:rPr>
        <w:t xml:space="preserve"> 2002; </w:t>
      </w:r>
      <w:r w:rsidRPr="00B17ED4">
        <w:rPr>
          <w:rFonts w:ascii="Book Antiqua" w:hAnsi="Book Antiqua" w:cs="Book Antiqua"/>
          <w:b/>
          <w:sz w:val="24"/>
          <w:szCs w:val="24"/>
        </w:rPr>
        <w:t>236</w:t>
      </w:r>
      <w:r w:rsidRPr="00B17ED4">
        <w:rPr>
          <w:rFonts w:ascii="Book Antiqua" w:hAnsi="Book Antiqua" w:cs="Book Antiqua"/>
          <w:sz w:val="24"/>
          <w:szCs w:val="24"/>
        </w:rPr>
        <w:t>: 315-</w:t>
      </w:r>
      <w:r w:rsidR="00E00C2A">
        <w:rPr>
          <w:rFonts w:ascii="Book Antiqua" w:hAnsi="Book Antiqua" w:cs="Book Antiqua"/>
          <w:sz w:val="24"/>
          <w:szCs w:val="24"/>
        </w:rPr>
        <w:t>3</w:t>
      </w:r>
      <w:r w:rsidRPr="00B17ED4">
        <w:rPr>
          <w:rFonts w:ascii="Book Antiqua" w:hAnsi="Book Antiqua" w:cs="Book Antiqua"/>
          <w:sz w:val="24"/>
          <w:szCs w:val="24"/>
        </w:rPr>
        <w:t>22; discussion 322-</w:t>
      </w:r>
      <w:r w:rsidR="00E00C2A">
        <w:rPr>
          <w:rFonts w:ascii="Book Antiqua" w:hAnsi="Book Antiqua" w:cs="Book Antiqua"/>
          <w:sz w:val="24"/>
          <w:szCs w:val="24"/>
        </w:rPr>
        <w:t>32</w:t>
      </w:r>
      <w:r w:rsidRPr="00B17ED4">
        <w:rPr>
          <w:rFonts w:ascii="Book Antiqua" w:hAnsi="Book Antiqua" w:cs="Book Antiqua"/>
          <w:sz w:val="24"/>
          <w:szCs w:val="24"/>
        </w:rPr>
        <w:t>3 [PMID: 12192318 DOI: 10.1097/00000658-200209000-00008]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 </w:t>
      </w:r>
      <w:r w:rsidRPr="00B17ED4">
        <w:rPr>
          <w:rFonts w:ascii="Book Antiqua" w:hAnsi="Book Antiqua" w:cs="Book Antiqua"/>
          <w:b/>
          <w:sz w:val="24"/>
          <w:szCs w:val="24"/>
        </w:rPr>
        <w:t>Kamath PS</w:t>
      </w:r>
      <w:r w:rsidRPr="00B17ED4">
        <w:rPr>
          <w:rFonts w:ascii="Book Antiqua" w:hAnsi="Book Antiqua" w:cs="Book Antiqua"/>
          <w:sz w:val="24"/>
          <w:szCs w:val="24"/>
        </w:rPr>
        <w:t xml:space="preserve">, Wiesner RH, Malinchoc M, Kremers W, Therneau TM, Kosberg CL, D'Amico G, Dickson ER, Kim WR. A model to predict survival in patients with end-stage liver disease.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2001; </w:t>
      </w:r>
      <w:r w:rsidRPr="00B17ED4">
        <w:rPr>
          <w:rFonts w:ascii="Book Antiqua" w:hAnsi="Book Antiqua" w:cs="Book Antiqua"/>
          <w:b/>
          <w:sz w:val="24"/>
          <w:szCs w:val="24"/>
        </w:rPr>
        <w:t>33</w:t>
      </w:r>
      <w:r w:rsidRPr="00B17ED4">
        <w:rPr>
          <w:rFonts w:ascii="Book Antiqua" w:hAnsi="Book Antiqua" w:cs="Book Antiqua"/>
          <w:sz w:val="24"/>
          <w:szCs w:val="24"/>
        </w:rPr>
        <w:t>: 464-470 [PMID: 11172350 DOI: 10.1053/jhep.2001.22172]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 </w:t>
      </w:r>
      <w:r w:rsidRPr="00B17ED4">
        <w:rPr>
          <w:rFonts w:ascii="Book Antiqua" w:hAnsi="Book Antiqua" w:cs="Book Antiqua"/>
          <w:b/>
          <w:sz w:val="24"/>
          <w:szCs w:val="24"/>
        </w:rPr>
        <w:t>Wiesner R</w:t>
      </w:r>
      <w:r w:rsidRPr="00B17ED4">
        <w:rPr>
          <w:rFonts w:ascii="Book Antiqua" w:hAnsi="Book Antiqua" w:cs="Book Antiqua"/>
          <w:sz w:val="24"/>
          <w:szCs w:val="24"/>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B17ED4">
        <w:rPr>
          <w:rFonts w:ascii="Book Antiqua" w:hAnsi="Book Antiqua" w:cs="Book Antiqua"/>
          <w:i/>
          <w:sz w:val="24"/>
          <w:szCs w:val="24"/>
        </w:rPr>
        <w:t>Gastroenterology</w:t>
      </w:r>
      <w:r w:rsidRPr="00B17ED4">
        <w:rPr>
          <w:rFonts w:ascii="Book Antiqua" w:hAnsi="Book Antiqua" w:cs="Book Antiqua"/>
          <w:sz w:val="24"/>
          <w:szCs w:val="24"/>
        </w:rPr>
        <w:t xml:space="preserve"> 2003; </w:t>
      </w:r>
      <w:r w:rsidRPr="00B17ED4">
        <w:rPr>
          <w:rFonts w:ascii="Book Antiqua" w:hAnsi="Book Antiqua" w:cs="Book Antiqua"/>
          <w:b/>
          <w:sz w:val="24"/>
          <w:szCs w:val="24"/>
        </w:rPr>
        <w:t>124</w:t>
      </w:r>
      <w:r w:rsidRPr="00B17ED4">
        <w:rPr>
          <w:rFonts w:ascii="Book Antiqua" w:hAnsi="Book Antiqua" w:cs="Book Antiqua"/>
          <w:sz w:val="24"/>
          <w:szCs w:val="24"/>
        </w:rPr>
        <w:t>: 91-96 [PMID: 12512033 DOI: 10.1053/gast.2003.50016]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 </w:t>
      </w:r>
      <w:r w:rsidRPr="00B17ED4">
        <w:rPr>
          <w:rFonts w:ascii="Book Antiqua" w:hAnsi="Book Antiqua" w:cs="Book Antiqua"/>
          <w:b/>
          <w:sz w:val="24"/>
          <w:szCs w:val="24"/>
        </w:rPr>
        <w:t>Biggins SW</w:t>
      </w:r>
      <w:r w:rsidRPr="00B17ED4">
        <w:rPr>
          <w:rFonts w:ascii="Book Antiqua" w:hAnsi="Book Antiqua" w:cs="Book Antiqua"/>
          <w:sz w:val="24"/>
          <w:szCs w:val="24"/>
        </w:rPr>
        <w:t xml:space="preserve">, Rodriguez HJ, Bacchetti P, Bass NM, Roberts JP, Terrault NA. Serum sodium predicts mortality in patients listed for liver transplantation.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2005; </w:t>
      </w:r>
      <w:r w:rsidRPr="00B17ED4">
        <w:rPr>
          <w:rFonts w:ascii="Book Antiqua" w:hAnsi="Book Antiqua" w:cs="Book Antiqua"/>
          <w:b/>
          <w:sz w:val="24"/>
          <w:szCs w:val="24"/>
        </w:rPr>
        <w:t>41</w:t>
      </w:r>
      <w:r w:rsidRPr="00B17ED4">
        <w:rPr>
          <w:rFonts w:ascii="Book Antiqua" w:hAnsi="Book Antiqua" w:cs="Book Antiqua"/>
          <w:sz w:val="24"/>
          <w:szCs w:val="24"/>
        </w:rPr>
        <w:t>: 32-39 [PMID: 15690479 DOI: 10.1002/hep.20517]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lastRenderedPageBreak/>
        <w:t xml:space="preserve">5 </w:t>
      </w:r>
      <w:r w:rsidRPr="00B17ED4">
        <w:rPr>
          <w:rFonts w:ascii="Book Antiqua" w:hAnsi="Book Antiqua" w:cs="Book Antiqua"/>
          <w:b/>
          <w:sz w:val="24"/>
          <w:szCs w:val="24"/>
        </w:rPr>
        <w:t>Ruf AE</w:t>
      </w:r>
      <w:r w:rsidRPr="00B17ED4">
        <w:rPr>
          <w:rFonts w:ascii="Book Antiqua" w:hAnsi="Book Antiqua" w:cs="Book Antiqua"/>
          <w:sz w:val="24"/>
          <w:szCs w:val="24"/>
        </w:rPr>
        <w:t xml:space="preserve">, Kremers WK, Chavez LL, Descalzi VI, Podesta LG, Villamil FG. Addition of serum sodium into the MELD score predicts waiting list mortality better than MELD alone. </w:t>
      </w:r>
      <w:r w:rsidRPr="00B17ED4">
        <w:rPr>
          <w:rFonts w:ascii="Book Antiqua" w:hAnsi="Book Antiqua" w:cs="Book Antiqua"/>
          <w:i/>
          <w:sz w:val="24"/>
          <w:szCs w:val="24"/>
        </w:rPr>
        <w:t>Liver Transpl</w:t>
      </w:r>
      <w:r w:rsidRPr="00B17ED4">
        <w:rPr>
          <w:rFonts w:ascii="Book Antiqua" w:hAnsi="Book Antiqua" w:cs="Book Antiqua"/>
          <w:sz w:val="24"/>
          <w:szCs w:val="24"/>
        </w:rPr>
        <w:t xml:space="preserve"> 2005; </w:t>
      </w:r>
      <w:r w:rsidRPr="00B17ED4">
        <w:rPr>
          <w:rFonts w:ascii="Book Antiqua" w:hAnsi="Book Antiqua" w:cs="Book Antiqua"/>
          <w:b/>
          <w:sz w:val="24"/>
          <w:szCs w:val="24"/>
        </w:rPr>
        <w:t>11</w:t>
      </w:r>
      <w:r w:rsidRPr="00B17ED4">
        <w:rPr>
          <w:rFonts w:ascii="Book Antiqua" w:hAnsi="Book Antiqua" w:cs="Book Antiqua"/>
          <w:sz w:val="24"/>
          <w:szCs w:val="24"/>
        </w:rPr>
        <w:t>: 336-343 [PMID: 15719386 DOI: 10.1002/lt.20329]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6 </w:t>
      </w:r>
      <w:r w:rsidRPr="00B17ED4">
        <w:rPr>
          <w:rFonts w:ascii="Book Antiqua" w:hAnsi="Book Antiqua" w:cs="Book Antiqua"/>
          <w:b/>
          <w:sz w:val="24"/>
          <w:szCs w:val="24"/>
        </w:rPr>
        <w:t>Luca A</w:t>
      </w:r>
      <w:r w:rsidRPr="00B17ED4">
        <w:rPr>
          <w:rFonts w:ascii="Book Antiqua" w:hAnsi="Book Antiqua" w:cs="Book Antiqua"/>
          <w:sz w:val="24"/>
          <w:szCs w:val="24"/>
        </w:rPr>
        <w:t xml:space="preserve">, Angermayr B, Bertolini G, Koenig F, Vizzini G, Ploner M, Peck-Radosavljevic M, Gridelli B, Bosch J. An integrated MELD model including serum sodium and age improves the prediction of early mortality in patients with cirrhosis. </w:t>
      </w:r>
      <w:r w:rsidRPr="00B17ED4">
        <w:rPr>
          <w:rFonts w:ascii="Book Antiqua" w:hAnsi="Book Antiqua" w:cs="Book Antiqua"/>
          <w:i/>
          <w:sz w:val="24"/>
          <w:szCs w:val="24"/>
        </w:rPr>
        <w:t>Liver Transpl</w:t>
      </w:r>
      <w:r w:rsidRPr="00B17ED4">
        <w:rPr>
          <w:rFonts w:ascii="Book Antiqua" w:hAnsi="Book Antiqua" w:cs="Book Antiqua"/>
          <w:sz w:val="24"/>
          <w:szCs w:val="24"/>
        </w:rPr>
        <w:t xml:space="preserve"> 2007; </w:t>
      </w:r>
      <w:r w:rsidRPr="00B17ED4">
        <w:rPr>
          <w:rFonts w:ascii="Book Antiqua" w:hAnsi="Book Antiqua" w:cs="Book Antiqua"/>
          <w:b/>
          <w:sz w:val="24"/>
          <w:szCs w:val="24"/>
        </w:rPr>
        <w:t>13</w:t>
      </w:r>
      <w:r w:rsidRPr="00B17ED4">
        <w:rPr>
          <w:rFonts w:ascii="Book Antiqua" w:hAnsi="Book Antiqua" w:cs="Book Antiqua"/>
          <w:sz w:val="24"/>
          <w:szCs w:val="24"/>
        </w:rPr>
        <w:t>: 1174-1180 [PMID: 17663415 DOI: 10.1002/lt.21197]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7 </w:t>
      </w:r>
      <w:r w:rsidRPr="00B17ED4">
        <w:rPr>
          <w:rFonts w:ascii="Book Antiqua" w:hAnsi="Book Antiqua" w:cs="Book Antiqua"/>
          <w:b/>
          <w:sz w:val="24"/>
          <w:szCs w:val="24"/>
        </w:rPr>
        <w:t>Kim WR</w:t>
      </w:r>
      <w:r w:rsidRPr="00B17ED4">
        <w:rPr>
          <w:rFonts w:ascii="Book Antiqua" w:hAnsi="Book Antiqua" w:cs="Book Antiqua"/>
          <w:sz w:val="24"/>
          <w:szCs w:val="24"/>
        </w:rPr>
        <w:t xml:space="preserve">, Biggins SW, Kremers WK, Wiesner RH, Kamath PS, Benson JT, Edwards E, Therneau TM. Hyponatremia and mortality among patients on the liver-transplant waiting list. </w:t>
      </w:r>
      <w:r w:rsidRPr="00B17ED4">
        <w:rPr>
          <w:rFonts w:ascii="Book Antiqua" w:hAnsi="Book Antiqua" w:cs="Book Antiqua"/>
          <w:i/>
          <w:sz w:val="24"/>
          <w:szCs w:val="24"/>
        </w:rPr>
        <w:t>N Engl J Med</w:t>
      </w:r>
      <w:r w:rsidRPr="00B17ED4">
        <w:rPr>
          <w:rFonts w:ascii="Book Antiqua" w:hAnsi="Book Antiqua" w:cs="Book Antiqua"/>
          <w:sz w:val="24"/>
          <w:szCs w:val="24"/>
        </w:rPr>
        <w:t xml:space="preserve"> 2008; </w:t>
      </w:r>
      <w:r w:rsidRPr="00B17ED4">
        <w:rPr>
          <w:rFonts w:ascii="Book Antiqua" w:hAnsi="Book Antiqua" w:cs="Book Antiqua"/>
          <w:b/>
          <w:sz w:val="24"/>
          <w:szCs w:val="24"/>
        </w:rPr>
        <w:t>359</w:t>
      </w:r>
      <w:r w:rsidRPr="00B17ED4">
        <w:rPr>
          <w:rFonts w:ascii="Book Antiqua" w:hAnsi="Book Antiqua" w:cs="Book Antiqua"/>
          <w:sz w:val="24"/>
          <w:szCs w:val="24"/>
        </w:rPr>
        <w:t>: 1018-1026 [PMID: 18768945 DOI: 10.1056/NEJMoa0801209]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8 </w:t>
      </w:r>
      <w:r w:rsidRPr="00B17ED4">
        <w:rPr>
          <w:rFonts w:ascii="Book Antiqua" w:hAnsi="Book Antiqua" w:cs="Book Antiqua"/>
          <w:b/>
          <w:sz w:val="24"/>
          <w:szCs w:val="24"/>
        </w:rPr>
        <w:t>Uguen T</w:t>
      </w:r>
      <w:r w:rsidRPr="00B17ED4">
        <w:rPr>
          <w:rFonts w:ascii="Book Antiqua" w:hAnsi="Book Antiqua" w:cs="Book Antiqua"/>
          <w:sz w:val="24"/>
          <w:szCs w:val="24"/>
        </w:rPr>
        <w:t xml:space="preserve">, Jezequel C, Ropert M, Houssel-Debry P, Latournerie M, Lainé F, Deugnier Y, Vigneau C, Boudjema K, Guyader D, Bardou-Jacquet E. Pretransplant renal function according to CKD-EPI cystatin C equation is a prognostic factor of death after liver transplantation. </w:t>
      </w:r>
      <w:r w:rsidRPr="00B17ED4">
        <w:rPr>
          <w:rFonts w:ascii="Book Antiqua" w:hAnsi="Book Antiqua" w:cs="Book Antiqua"/>
          <w:i/>
          <w:sz w:val="24"/>
          <w:szCs w:val="24"/>
        </w:rPr>
        <w:t>Liver Int</w:t>
      </w:r>
      <w:r w:rsidRPr="00B17ED4">
        <w:rPr>
          <w:rFonts w:ascii="Book Antiqua" w:hAnsi="Book Antiqua" w:cs="Book Antiqua"/>
          <w:sz w:val="24"/>
          <w:szCs w:val="24"/>
        </w:rPr>
        <w:t xml:space="preserve"> 2016; </w:t>
      </w:r>
      <w:r w:rsidRPr="00B17ED4">
        <w:rPr>
          <w:rFonts w:ascii="Book Antiqua" w:hAnsi="Book Antiqua" w:cs="Book Antiqua"/>
          <w:b/>
          <w:sz w:val="24"/>
          <w:szCs w:val="24"/>
        </w:rPr>
        <w:t>36</w:t>
      </w:r>
      <w:r w:rsidRPr="00B17ED4">
        <w:rPr>
          <w:rFonts w:ascii="Book Antiqua" w:hAnsi="Book Antiqua" w:cs="Book Antiqua"/>
          <w:sz w:val="24"/>
          <w:szCs w:val="24"/>
        </w:rPr>
        <w:t>: 547-554 [PMID: 26502295 DOI: 10.1111/liv.12989]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9 </w:t>
      </w:r>
      <w:r w:rsidRPr="00B17ED4">
        <w:rPr>
          <w:rFonts w:ascii="Book Antiqua" w:hAnsi="Book Antiqua" w:cs="Book Antiqua"/>
          <w:b/>
          <w:sz w:val="24"/>
          <w:szCs w:val="24"/>
        </w:rPr>
        <w:t>Durand F</w:t>
      </w:r>
      <w:r w:rsidRPr="00B17ED4">
        <w:rPr>
          <w:rFonts w:ascii="Book Antiqua" w:hAnsi="Book Antiqua" w:cs="Book Antiqua"/>
          <w:sz w:val="24"/>
          <w:szCs w:val="24"/>
        </w:rPr>
        <w:t xml:space="preserve">, Buyse S, Francoz C, Laouénan C, Bruno O, Belghiti J, Moreau R, Vilgrain V, Valla D. Prognostic value of muscle atrophy in cirrhosis using psoas muscle thickness on computed tomography. </w:t>
      </w:r>
      <w:r w:rsidRPr="00B17ED4">
        <w:rPr>
          <w:rFonts w:ascii="Book Antiqua" w:hAnsi="Book Antiqua" w:cs="Book Antiqua"/>
          <w:i/>
          <w:sz w:val="24"/>
          <w:szCs w:val="24"/>
        </w:rPr>
        <w:t>J Hepatol</w:t>
      </w:r>
      <w:r w:rsidRPr="00B17ED4">
        <w:rPr>
          <w:rFonts w:ascii="Book Antiqua" w:hAnsi="Book Antiqua" w:cs="Book Antiqua"/>
          <w:sz w:val="24"/>
          <w:szCs w:val="24"/>
        </w:rPr>
        <w:t xml:space="preserve"> 2014; </w:t>
      </w:r>
      <w:r w:rsidRPr="00B17ED4">
        <w:rPr>
          <w:rFonts w:ascii="Book Antiqua" w:hAnsi="Book Antiqua" w:cs="Book Antiqua"/>
          <w:b/>
          <w:sz w:val="24"/>
          <w:szCs w:val="24"/>
        </w:rPr>
        <w:t>60</w:t>
      </w:r>
      <w:r w:rsidRPr="00B17ED4">
        <w:rPr>
          <w:rFonts w:ascii="Book Antiqua" w:hAnsi="Book Antiqua" w:cs="Book Antiqua"/>
          <w:sz w:val="24"/>
          <w:szCs w:val="24"/>
        </w:rPr>
        <w:t>: 1151-1157 [PMID: 24607622 DOI: 10.1016/j.jhep.2014.02.026]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10 </w:t>
      </w:r>
      <w:r w:rsidRPr="00B17ED4">
        <w:rPr>
          <w:rFonts w:ascii="Book Antiqua" w:hAnsi="Book Antiqua" w:cs="Book Antiqua"/>
          <w:b/>
          <w:sz w:val="24"/>
          <w:szCs w:val="24"/>
        </w:rPr>
        <w:t>Walker NM</w:t>
      </w:r>
      <w:r w:rsidRPr="00B17ED4">
        <w:rPr>
          <w:rFonts w:ascii="Book Antiqua" w:hAnsi="Book Antiqua" w:cs="Book Antiqua"/>
          <w:sz w:val="24"/>
          <w:szCs w:val="24"/>
        </w:rPr>
        <w:t xml:space="preserve">, Stuart KA, Ryan RJ, Desai S, Saab S, Nicol JA, Fletcher LM, Crawford DH. Serum ferritin concentration predicts mortality in patients awaiting liver transplantation.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2010; </w:t>
      </w:r>
      <w:r w:rsidRPr="00B17ED4">
        <w:rPr>
          <w:rFonts w:ascii="Book Antiqua" w:hAnsi="Book Antiqua" w:cs="Book Antiqua"/>
          <w:b/>
          <w:sz w:val="24"/>
          <w:szCs w:val="24"/>
        </w:rPr>
        <w:t>51</w:t>
      </w:r>
      <w:r w:rsidRPr="00B17ED4">
        <w:rPr>
          <w:rFonts w:ascii="Book Antiqua" w:hAnsi="Book Antiqua" w:cs="Book Antiqua"/>
          <w:sz w:val="24"/>
          <w:szCs w:val="24"/>
        </w:rPr>
        <w:t>: 1683-1691 [PMID: 20225256 DOI: 10.1002/hep.23537]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11 </w:t>
      </w:r>
      <w:r w:rsidRPr="00B17ED4">
        <w:rPr>
          <w:rFonts w:ascii="Book Antiqua" w:hAnsi="Book Antiqua" w:cs="Book Antiqua"/>
          <w:b/>
          <w:sz w:val="24"/>
          <w:szCs w:val="24"/>
        </w:rPr>
        <w:t>Weismüller TJ</w:t>
      </w:r>
      <w:r w:rsidRPr="00B17ED4">
        <w:rPr>
          <w:rFonts w:ascii="Book Antiqua" w:hAnsi="Book Antiqua" w:cs="Book Antiqua"/>
          <w:sz w:val="24"/>
          <w:szCs w:val="24"/>
        </w:rPr>
        <w:t xml:space="preserve">, Kirchner GI, Scherer MN, Negm AA, Schnitzbauer AA, Lehner F, Klempnauer J, Schlitt HJ, Manns MP, Strassburg CP. Serum ferritin concentration and transferrin saturation before liver transplantation predict decreased long-term recipient survival.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2011; </w:t>
      </w:r>
      <w:r w:rsidRPr="00B17ED4">
        <w:rPr>
          <w:rFonts w:ascii="Book Antiqua" w:hAnsi="Book Antiqua" w:cs="Book Antiqua"/>
          <w:b/>
          <w:sz w:val="24"/>
          <w:szCs w:val="24"/>
        </w:rPr>
        <w:t>54</w:t>
      </w:r>
      <w:r w:rsidRPr="00B17ED4">
        <w:rPr>
          <w:rFonts w:ascii="Book Antiqua" w:hAnsi="Book Antiqua" w:cs="Book Antiqua"/>
          <w:sz w:val="24"/>
          <w:szCs w:val="24"/>
        </w:rPr>
        <w:t>: 2114-2124 [PMID: 21898488 DOI: 10.1002/hep.24635]</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12 </w:t>
      </w:r>
      <w:r w:rsidRPr="00B17ED4">
        <w:rPr>
          <w:rFonts w:ascii="Book Antiqua" w:hAnsi="Book Antiqua" w:cs="Book Antiqua"/>
          <w:b/>
          <w:sz w:val="24"/>
          <w:szCs w:val="24"/>
        </w:rPr>
        <w:t>Bell H</w:t>
      </w:r>
      <w:r w:rsidRPr="00B17ED4">
        <w:rPr>
          <w:rFonts w:ascii="Book Antiqua" w:hAnsi="Book Antiqua" w:cs="Book Antiqua"/>
          <w:sz w:val="24"/>
          <w:szCs w:val="24"/>
        </w:rPr>
        <w:t xml:space="preserve">, Skinningsrud A, Raknerud N, Try K. Serum ferritin and transferrin saturation in patients with chronic alcoholic and non-alcoholic liver diseases. </w:t>
      </w:r>
      <w:r w:rsidRPr="00B17ED4">
        <w:rPr>
          <w:rFonts w:ascii="Book Antiqua" w:hAnsi="Book Antiqua" w:cs="Book Antiqua"/>
          <w:i/>
          <w:sz w:val="24"/>
          <w:szCs w:val="24"/>
        </w:rPr>
        <w:t xml:space="preserve">J Intern </w:t>
      </w:r>
      <w:r w:rsidRPr="00B17ED4">
        <w:rPr>
          <w:rFonts w:ascii="Book Antiqua" w:hAnsi="Book Antiqua" w:cs="Book Antiqua"/>
          <w:i/>
          <w:sz w:val="24"/>
          <w:szCs w:val="24"/>
        </w:rPr>
        <w:lastRenderedPageBreak/>
        <w:t>Med</w:t>
      </w:r>
      <w:r w:rsidRPr="00B17ED4">
        <w:rPr>
          <w:rFonts w:ascii="Book Antiqua" w:hAnsi="Book Antiqua" w:cs="Book Antiqua"/>
          <w:sz w:val="24"/>
          <w:szCs w:val="24"/>
        </w:rPr>
        <w:t xml:space="preserve"> 1994; </w:t>
      </w:r>
      <w:r w:rsidRPr="00B17ED4">
        <w:rPr>
          <w:rFonts w:ascii="Book Antiqua" w:hAnsi="Book Antiqua" w:cs="Book Antiqua"/>
          <w:b/>
          <w:sz w:val="24"/>
          <w:szCs w:val="24"/>
        </w:rPr>
        <w:t>236</w:t>
      </w:r>
      <w:r w:rsidRPr="00B17ED4">
        <w:rPr>
          <w:rFonts w:ascii="Book Antiqua" w:hAnsi="Book Antiqua" w:cs="Book Antiqua"/>
          <w:sz w:val="24"/>
          <w:szCs w:val="24"/>
        </w:rPr>
        <w:t>: 315-322 [PMID: 8077889 DOI: 10.1111/j.1365-2796.1994.tb00802.x]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13 </w:t>
      </w:r>
      <w:r w:rsidRPr="00B17ED4">
        <w:rPr>
          <w:rFonts w:ascii="Book Antiqua" w:hAnsi="Book Antiqua" w:cs="Book Antiqua"/>
          <w:b/>
          <w:sz w:val="24"/>
          <w:szCs w:val="24"/>
        </w:rPr>
        <w:t>Zandman-Goddard G</w:t>
      </w:r>
      <w:r w:rsidRPr="00B17ED4">
        <w:rPr>
          <w:rFonts w:ascii="Book Antiqua" w:hAnsi="Book Antiqua" w:cs="Book Antiqua"/>
          <w:sz w:val="24"/>
          <w:szCs w:val="24"/>
        </w:rPr>
        <w:t xml:space="preserve">, Shoenfeld Y. Ferritin in autoimmune diseases. </w:t>
      </w:r>
      <w:r w:rsidRPr="00B17ED4">
        <w:rPr>
          <w:rFonts w:ascii="Book Antiqua" w:hAnsi="Book Antiqua" w:cs="Book Antiqua"/>
          <w:i/>
          <w:sz w:val="24"/>
          <w:szCs w:val="24"/>
        </w:rPr>
        <w:t>Autoimmun Rev</w:t>
      </w:r>
      <w:r w:rsidRPr="00B17ED4">
        <w:rPr>
          <w:rFonts w:ascii="Book Antiqua" w:hAnsi="Book Antiqua" w:cs="Book Antiqua"/>
          <w:sz w:val="24"/>
          <w:szCs w:val="24"/>
        </w:rPr>
        <w:t xml:space="preserve"> 2007; </w:t>
      </w:r>
      <w:r w:rsidRPr="00B17ED4">
        <w:rPr>
          <w:rFonts w:ascii="Book Antiqua" w:hAnsi="Book Antiqua" w:cs="Book Antiqua"/>
          <w:b/>
          <w:sz w:val="24"/>
          <w:szCs w:val="24"/>
        </w:rPr>
        <w:t>6</w:t>
      </w:r>
      <w:r w:rsidRPr="00B17ED4">
        <w:rPr>
          <w:rFonts w:ascii="Book Antiqua" w:hAnsi="Book Antiqua" w:cs="Book Antiqua"/>
          <w:sz w:val="24"/>
          <w:szCs w:val="24"/>
        </w:rPr>
        <w:t>: 457-463 [PMID: 17643933 DOI: 10.1016/j.autrev.2007.01.016]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14 </w:t>
      </w:r>
      <w:r w:rsidRPr="00B17ED4">
        <w:rPr>
          <w:rFonts w:ascii="Book Antiqua" w:hAnsi="Book Antiqua" w:cs="Book Antiqua"/>
          <w:b/>
          <w:sz w:val="24"/>
          <w:szCs w:val="24"/>
        </w:rPr>
        <w:t>Kong XD</w:t>
      </w:r>
      <w:r w:rsidRPr="00B17ED4">
        <w:rPr>
          <w:rFonts w:ascii="Book Antiqua" w:hAnsi="Book Antiqua" w:cs="Book Antiqua"/>
          <w:sz w:val="24"/>
          <w:szCs w:val="24"/>
        </w:rPr>
        <w:t xml:space="preserve">, Xu D, Zhang W, Zhao Y, Zeng X, Zhang F. Clinical features and prognosis in adult-onset Still's disease: a study of 104 cases. </w:t>
      </w:r>
      <w:r w:rsidRPr="00B17ED4">
        <w:rPr>
          <w:rFonts w:ascii="Book Antiqua" w:hAnsi="Book Antiqua" w:cs="Book Antiqua"/>
          <w:i/>
          <w:sz w:val="24"/>
          <w:szCs w:val="24"/>
        </w:rPr>
        <w:t>Clin Rheumatol</w:t>
      </w:r>
      <w:r w:rsidRPr="00B17ED4">
        <w:rPr>
          <w:rFonts w:ascii="Book Antiqua" w:hAnsi="Book Antiqua" w:cs="Book Antiqua"/>
          <w:sz w:val="24"/>
          <w:szCs w:val="24"/>
        </w:rPr>
        <w:t xml:space="preserve"> 2010; </w:t>
      </w:r>
      <w:r w:rsidRPr="00B17ED4">
        <w:rPr>
          <w:rFonts w:ascii="Book Antiqua" w:hAnsi="Book Antiqua" w:cs="Book Antiqua"/>
          <w:b/>
          <w:sz w:val="24"/>
          <w:szCs w:val="24"/>
        </w:rPr>
        <w:t>29</w:t>
      </w:r>
      <w:r w:rsidRPr="00B17ED4">
        <w:rPr>
          <w:rFonts w:ascii="Book Antiqua" w:hAnsi="Book Antiqua" w:cs="Book Antiqua"/>
          <w:sz w:val="24"/>
          <w:szCs w:val="24"/>
        </w:rPr>
        <w:t>: 1015-1019 [PMID: 20549276 DOI: 10.1007/s10067-010-1516-1]</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15 </w:t>
      </w:r>
      <w:r w:rsidRPr="00B17ED4">
        <w:rPr>
          <w:rFonts w:ascii="Book Antiqua" w:hAnsi="Book Antiqua" w:cs="Book Antiqua"/>
          <w:b/>
          <w:sz w:val="24"/>
          <w:szCs w:val="24"/>
        </w:rPr>
        <w:t>Abril-Ulloa V</w:t>
      </w:r>
      <w:r w:rsidRPr="00B17ED4">
        <w:rPr>
          <w:rFonts w:ascii="Book Antiqua" w:hAnsi="Book Antiqua" w:cs="Book Antiqua"/>
          <w:sz w:val="24"/>
          <w:szCs w:val="24"/>
        </w:rPr>
        <w:t xml:space="preserve">, Flores-Mateo G, Solà-Alberich R, Manuel-y-Keenoy B, Arija V. Ferritin levels and risk of metabolic syndrome: meta-analysis of observational studies. </w:t>
      </w:r>
      <w:r w:rsidRPr="00B17ED4">
        <w:rPr>
          <w:rFonts w:ascii="Book Antiqua" w:hAnsi="Book Antiqua" w:cs="Book Antiqua"/>
          <w:i/>
          <w:sz w:val="24"/>
          <w:szCs w:val="24"/>
        </w:rPr>
        <w:t>BMC Public Health</w:t>
      </w:r>
      <w:r w:rsidRPr="00B17ED4">
        <w:rPr>
          <w:rFonts w:ascii="Book Antiqua" w:hAnsi="Book Antiqua" w:cs="Book Antiqua"/>
          <w:sz w:val="24"/>
          <w:szCs w:val="24"/>
        </w:rPr>
        <w:t xml:space="preserve"> 2014; </w:t>
      </w:r>
      <w:r w:rsidRPr="00B17ED4">
        <w:rPr>
          <w:rFonts w:ascii="Book Antiqua" w:hAnsi="Book Antiqua" w:cs="Book Antiqua"/>
          <w:b/>
          <w:sz w:val="24"/>
          <w:szCs w:val="24"/>
        </w:rPr>
        <w:t>14</w:t>
      </w:r>
      <w:r w:rsidRPr="00B17ED4">
        <w:rPr>
          <w:rFonts w:ascii="Book Antiqua" w:hAnsi="Book Antiqua" w:cs="Book Antiqua"/>
          <w:sz w:val="24"/>
          <w:szCs w:val="24"/>
        </w:rPr>
        <w:t>: 483 [PMID: 24884526 DOI: 10.1186/1471-2458-14-483]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16 </w:t>
      </w:r>
      <w:r w:rsidRPr="00B17ED4">
        <w:rPr>
          <w:rFonts w:ascii="Book Antiqua" w:hAnsi="Book Antiqua" w:cs="Book Antiqua"/>
          <w:b/>
          <w:sz w:val="24"/>
          <w:szCs w:val="24"/>
        </w:rPr>
        <w:t>Hasuike Y</w:t>
      </w:r>
      <w:r w:rsidRPr="00B17ED4">
        <w:rPr>
          <w:rFonts w:ascii="Book Antiqua" w:hAnsi="Book Antiqua" w:cs="Book Antiqua"/>
          <w:sz w:val="24"/>
          <w:szCs w:val="24"/>
        </w:rPr>
        <w:t xml:space="preserve">, Nonoguchi H, Tokuyama M, Ohue M, Nagai T, Yahiro M, Nanami M, Otaki Y, Nakanishi T. Serum ferritin predicts prognosis in hemodialysis patients: the Nishinomiya study. </w:t>
      </w:r>
      <w:r w:rsidRPr="00B17ED4">
        <w:rPr>
          <w:rFonts w:ascii="Book Antiqua" w:hAnsi="Book Antiqua" w:cs="Book Antiqua"/>
          <w:i/>
          <w:sz w:val="24"/>
          <w:szCs w:val="24"/>
        </w:rPr>
        <w:t>Clin Exp Nephrol</w:t>
      </w:r>
      <w:r w:rsidRPr="00B17ED4">
        <w:rPr>
          <w:rFonts w:ascii="Book Antiqua" w:hAnsi="Book Antiqua" w:cs="Book Antiqua"/>
          <w:sz w:val="24"/>
          <w:szCs w:val="24"/>
        </w:rPr>
        <w:t xml:space="preserve"> 2010; </w:t>
      </w:r>
      <w:r w:rsidRPr="00B17ED4">
        <w:rPr>
          <w:rFonts w:ascii="Book Antiqua" w:hAnsi="Book Antiqua" w:cs="Book Antiqua"/>
          <w:b/>
          <w:sz w:val="24"/>
          <w:szCs w:val="24"/>
        </w:rPr>
        <w:t>14</w:t>
      </w:r>
      <w:r w:rsidRPr="00B17ED4">
        <w:rPr>
          <w:rFonts w:ascii="Book Antiqua" w:hAnsi="Book Antiqua" w:cs="Book Antiqua"/>
          <w:sz w:val="24"/>
          <w:szCs w:val="24"/>
        </w:rPr>
        <w:t>: 349-355 [PMID: 20467772 DOI: 10.1007/s10157-010-0288-x]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17 </w:t>
      </w:r>
      <w:r w:rsidRPr="00B17ED4">
        <w:rPr>
          <w:rFonts w:ascii="Book Antiqua" w:hAnsi="Book Antiqua" w:cs="Book Antiqua"/>
          <w:b/>
          <w:sz w:val="24"/>
          <w:szCs w:val="24"/>
        </w:rPr>
        <w:t>Kalantar-Zadeh K</w:t>
      </w:r>
      <w:r w:rsidRPr="00B17ED4">
        <w:rPr>
          <w:rFonts w:ascii="Book Antiqua" w:hAnsi="Book Antiqua" w:cs="Book Antiqua"/>
          <w:sz w:val="24"/>
          <w:szCs w:val="24"/>
        </w:rPr>
        <w:t xml:space="preserve">, Kalantar-Zadeh K, Lee GH. The fascinating but deceptive ferritin: to measure it or not to measure it in chronic kidney disease? </w:t>
      </w:r>
      <w:r w:rsidRPr="00B17ED4">
        <w:rPr>
          <w:rFonts w:ascii="Book Antiqua" w:hAnsi="Book Antiqua" w:cs="Book Antiqua"/>
          <w:i/>
          <w:sz w:val="24"/>
          <w:szCs w:val="24"/>
        </w:rPr>
        <w:t>Clin J Am Soc Nephrol</w:t>
      </w:r>
      <w:r w:rsidRPr="00B17ED4">
        <w:rPr>
          <w:rFonts w:ascii="Book Antiqua" w:hAnsi="Book Antiqua" w:cs="Book Antiqua"/>
          <w:sz w:val="24"/>
          <w:szCs w:val="24"/>
        </w:rPr>
        <w:t xml:space="preserve"> 2006; </w:t>
      </w:r>
      <w:r w:rsidRPr="00B17ED4">
        <w:rPr>
          <w:rFonts w:ascii="Book Antiqua" w:hAnsi="Book Antiqua" w:cs="Book Antiqua"/>
          <w:b/>
          <w:sz w:val="24"/>
          <w:szCs w:val="24"/>
        </w:rPr>
        <w:t>1 Suppl 1</w:t>
      </w:r>
      <w:r w:rsidRPr="00B17ED4">
        <w:rPr>
          <w:rFonts w:ascii="Book Antiqua" w:hAnsi="Book Antiqua" w:cs="Book Antiqua"/>
          <w:sz w:val="24"/>
          <w:szCs w:val="24"/>
        </w:rPr>
        <w:t>: S9-</w:t>
      </w:r>
      <w:r w:rsidR="00DA22A2">
        <w:rPr>
          <w:rFonts w:ascii="Book Antiqua" w:hAnsi="Book Antiqua" w:cs="Book Antiqua"/>
          <w:sz w:val="24"/>
          <w:szCs w:val="24"/>
        </w:rPr>
        <w:t>S</w:t>
      </w:r>
      <w:r w:rsidRPr="00B17ED4">
        <w:rPr>
          <w:rFonts w:ascii="Book Antiqua" w:hAnsi="Book Antiqua" w:cs="Book Antiqua"/>
          <w:sz w:val="24"/>
          <w:szCs w:val="24"/>
        </w:rPr>
        <w:t>18 [PMID: 17699375 DOI: 10.2215/CJN.01390406]</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18 </w:t>
      </w:r>
      <w:r w:rsidRPr="00B17ED4">
        <w:rPr>
          <w:rFonts w:ascii="Book Antiqua" w:hAnsi="Book Antiqua" w:cs="Book Antiqua"/>
          <w:b/>
          <w:sz w:val="24"/>
          <w:szCs w:val="24"/>
        </w:rPr>
        <w:t>Lim ZY</w:t>
      </w:r>
      <w:r w:rsidRPr="00B17ED4">
        <w:rPr>
          <w:rFonts w:ascii="Book Antiqua" w:hAnsi="Book Antiqua" w:cs="Book Antiqua"/>
          <w:sz w:val="24"/>
          <w:szCs w:val="24"/>
        </w:rPr>
        <w:t xml:space="preserve">, Fiaccadori V, Gandhi S, Hayden J, Kenyon M, Ireland R, Marsh J, Ho AY, Mufti GJ, Pagliuca A. Impact of pre-transplant serum ferritin on outcomes of patients with myelodysplastic syndromes or secondary acute myeloid leukaemia receiving reduced intensity conditioning allogeneic haematopoietic stem cell transplantation. </w:t>
      </w:r>
      <w:r w:rsidRPr="00B17ED4">
        <w:rPr>
          <w:rFonts w:ascii="Book Antiqua" w:hAnsi="Book Antiqua" w:cs="Book Antiqua"/>
          <w:i/>
          <w:sz w:val="24"/>
          <w:szCs w:val="24"/>
        </w:rPr>
        <w:t>Leuk Res</w:t>
      </w:r>
      <w:r w:rsidRPr="00B17ED4">
        <w:rPr>
          <w:rFonts w:ascii="Book Antiqua" w:hAnsi="Book Antiqua" w:cs="Book Antiqua"/>
          <w:sz w:val="24"/>
          <w:szCs w:val="24"/>
        </w:rPr>
        <w:t xml:space="preserve"> 2010; </w:t>
      </w:r>
      <w:r w:rsidRPr="00B17ED4">
        <w:rPr>
          <w:rFonts w:ascii="Book Antiqua" w:hAnsi="Book Antiqua" w:cs="Book Antiqua"/>
          <w:b/>
          <w:sz w:val="24"/>
          <w:szCs w:val="24"/>
        </w:rPr>
        <w:t>34</w:t>
      </w:r>
      <w:r w:rsidRPr="00B17ED4">
        <w:rPr>
          <w:rFonts w:ascii="Book Antiqua" w:hAnsi="Book Antiqua" w:cs="Book Antiqua"/>
          <w:sz w:val="24"/>
          <w:szCs w:val="24"/>
        </w:rPr>
        <w:t>: 723-727 [PMID: 19944463 DOI: 10.1016/j.leukres.2009.10.028]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19 </w:t>
      </w:r>
      <w:r w:rsidRPr="00B17ED4">
        <w:rPr>
          <w:rFonts w:ascii="Book Antiqua" w:hAnsi="Book Antiqua" w:cs="Book Antiqua"/>
          <w:b/>
          <w:sz w:val="24"/>
          <w:szCs w:val="24"/>
        </w:rPr>
        <w:t>Tunçcan OG</w:t>
      </w:r>
      <w:r w:rsidRPr="00B17ED4">
        <w:rPr>
          <w:rFonts w:ascii="Book Antiqua" w:hAnsi="Book Antiqua" w:cs="Book Antiqua"/>
          <w:sz w:val="24"/>
          <w:szCs w:val="24"/>
        </w:rPr>
        <w:t xml:space="preserve">, Yegin ZA, Ozkurt ZN, Erbaş G, Akı SZ, Senol E, Yağcı M, Sucak G. High ferritin levels are associated with hepatosplenic candidiasis in hematopoietic stem cell transplant candidates. </w:t>
      </w:r>
      <w:r w:rsidRPr="00B17ED4">
        <w:rPr>
          <w:rFonts w:ascii="Book Antiqua" w:hAnsi="Book Antiqua" w:cs="Book Antiqua"/>
          <w:i/>
          <w:sz w:val="24"/>
          <w:szCs w:val="24"/>
        </w:rPr>
        <w:t>Int J Infect Dis</w:t>
      </w:r>
      <w:r w:rsidRPr="00B17ED4">
        <w:rPr>
          <w:rFonts w:ascii="Book Antiqua" w:hAnsi="Book Antiqua" w:cs="Book Antiqua"/>
          <w:sz w:val="24"/>
          <w:szCs w:val="24"/>
        </w:rPr>
        <w:t xml:space="preserve"> 2010; </w:t>
      </w:r>
      <w:r w:rsidRPr="00B17ED4">
        <w:rPr>
          <w:rFonts w:ascii="Book Antiqua" w:hAnsi="Book Antiqua" w:cs="Book Antiqua"/>
          <w:b/>
          <w:sz w:val="24"/>
          <w:szCs w:val="24"/>
        </w:rPr>
        <w:t>14 Suppl 3</w:t>
      </w:r>
      <w:r w:rsidRPr="00B17ED4">
        <w:rPr>
          <w:rFonts w:ascii="Book Antiqua" w:hAnsi="Book Antiqua" w:cs="Book Antiqua"/>
          <w:sz w:val="24"/>
          <w:szCs w:val="24"/>
        </w:rPr>
        <w:t>: e104-e107 [PMID: 20307998 DOI: 10.1016/j.ijid.2009.11.028]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20 </w:t>
      </w:r>
      <w:r w:rsidRPr="00B17ED4">
        <w:rPr>
          <w:rFonts w:ascii="Book Antiqua" w:hAnsi="Book Antiqua" w:cs="Book Antiqua"/>
          <w:b/>
          <w:sz w:val="24"/>
          <w:szCs w:val="24"/>
        </w:rPr>
        <w:t>Crawford DH</w:t>
      </w:r>
      <w:r w:rsidRPr="00B17ED4">
        <w:rPr>
          <w:rFonts w:ascii="Book Antiqua" w:hAnsi="Book Antiqua" w:cs="Book Antiqua"/>
          <w:sz w:val="24"/>
          <w:szCs w:val="24"/>
        </w:rPr>
        <w:t xml:space="preserve">, Fletcher LM, Hubscher SG, Stuart KA, Gane E, Angus PW, Jeffrey GP, McCaughan GW, Kerlin P, Powell LW, Elias EE. Patient and graft survival after liver transplantation for hereditary hemochromatosis: Implications for pathogenesis.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2004; </w:t>
      </w:r>
      <w:r w:rsidRPr="00B17ED4">
        <w:rPr>
          <w:rFonts w:ascii="Book Antiqua" w:hAnsi="Book Antiqua" w:cs="Book Antiqua"/>
          <w:b/>
          <w:sz w:val="24"/>
          <w:szCs w:val="24"/>
        </w:rPr>
        <w:t>39</w:t>
      </w:r>
      <w:r w:rsidRPr="00B17ED4">
        <w:rPr>
          <w:rFonts w:ascii="Book Antiqua" w:hAnsi="Book Antiqua" w:cs="Book Antiqua"/>
          <w:sz w:val="24"/>
          <w:szCs w:val="24"/>
        </w:rPr>
        <w:t>: 1655-1662 [PMID: 15185307 DOI: 10.1002/hep.20242]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21 </w:t>
      </w:r>
      <w:r w:rsidRPr="00B17ED4">
        <w:rPr>
          <w:rFonts w:ascii="Book Antiqua" w:hAnsi="Book Antiqua" w:cs="Book Antiqua"/>
          <w:b/>
          <w:sz w:val="24"/>
          <w:szCs w:val="24"/>
        </w:rPr>
        <w:t>Kowdley KV</w:t>
      </w:r>
      <w:r w:rsidRPr="00B17ED4">
        <w:rPr>
          <w:rFonts w:ascii="Book Antiqua" w:hAnsi="Book Antiqua" w:cs="Book Antiqua"/>
          <w:sz w:val="24"/>
          <w:szCs w:val="24"/>
        </w:rPr>
        <w:t xml:space="preserve">, Brandhagen DJ, Gish RG, Bass NM, Weinstein J, Schilsky ML, Fontana RJ, McCashland T, Cotler SJ, Bacon BR, Keeffe EB, Gordon F, Polissar N; </w:t>
      </w:r>
      <w:r w:rsidRPr="00B17ED4">
        <w:rPr>
          <w:rFonts w:ascii="Book Antiqua" w:hAnsi="Book Antiqua" w:cs="Book Antiqua"/>
          <w:sz w:val="24"/>
          <w:szCs w:val="24"/>
        </w:rPr>
        <w:lastRenderedPageBreak/>
        <w:t xml:space="preserve">National Hemochromatosis Transplant Registry. Survival after liver transplantation in patients with hepatic iron overload: the national hemochromatosis transplant registry. </w:t>
      </w:r>
      <w:r w:rsidRPr="00B17ED4">
        <w:rPr>
          <w:rFonts w:ascii="Book Antiqua" w:hAnsi="Book Antiqua" w:cs="Book Antiqua"/>
          <w:i/>
          <w:sz w:val="24"/>
          <w:szCs w:val="24"/>
        </w:rPr>
        <w:t>Gastroenterology</w:t>
      </w:r>
      <w:r w:rsidRPr="00B17ED4">
        <w:rPr>
          <w:rFonts w:ascii="Book Antiqua" w:hAnsi="Book Antiqua" w:cs="Book Antiqua"/>
          <w:sz w:val="24"/>
          <w:szCs w:val="24"/>
        </w:rPr>
        <w:t xml:space="preserve"> 2005; </w:t>
      </w:r>
      <w:r w:rsidRPr="00B17ED4">
        <w:rPr>
          <w:rFonts w:ascii="Book Antiqua" w:hAnsi="Book Antiqua" w:cs="Book Antiqua"/>
          <w:b/>
          <w:sz w:val="24"/>
          <w:szCs w:val="24"/>
        </w:rPr>
        <w:t>129</w:t>
      </w:r>
      <w:r w:rsidRPr="00B17ED4">
        <w:rPr>
          <w:rFonts w:ascii="Book Antiqua" w:hAnsi="Book Antiqua" w:cs="Book Antiqua"/>
          <w:sz w:val="24"/>
          <w:szCs w:val="24"/>
        </w:rPr>
        <w:t>: 494-503 [PMID: 16083706 DOI: 10.1053/j.gastro.2005.05.004]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22 </w:t>
      </w:r>
      <w:r w:rsidRPr="00B17ED4">
        <w:rPr>
          <w:rFonts w:ascii="Book Antiqua" w:hAnsi="Book Antiqua" w:cs="Book Antiqua"/>
          <w:b/>
          <w:sz w:val="24"/>
          <w:szCs w:val="24"/>
        </w:rPr>
        <w:t>Dar FS</w:t>
      </w:r>
      <w:r w:rsidRPr="00B17ED4">
        <w:rPr>
          <w:rFonts w:ascii="Book Antiqua" w:hAnsi="Book Antiqua" w:cs="Book Antiqua"/>
          <w:sz w:val="24"/>
          <w:szCs w:val="24"/>
        </w:rPr>
        <w:t xml:space="preserve">, Faraj W, Zaman MB, Bartlett A, Bomford A, O'Sullivan A, O'Grady J, Heneghan M, Rela M, Heaton ND. Outcome of liver transplantation in hereditary hemochromatosis. </w:t>
      </w:r>
      <w:r w:rsidRPr="00B17ED4">
        <w:rPr>
          <w:rFonts w:ascii="Book Antiqua" w:hAnsi="Book Antiqua" w:cs="Book Antiqua"/>
          <w:i/>
          <w:sz w:val="24"/>
          <w:szCs w:val="24"/>
        </w:rPr>
        <w:t>Transpl Int</w:t>
      </w:r>
      <w:r w:rsidRPr="00B17ED4">
        <w:rPr>
          <w:rFonts w:ascii="Book Antiqua" w:hAnsi="Book Antiqua" w:cs="Book Antiqua"/>
          <w:sz w:val="24"/>
          <w:szCs w:val="24"/>
        </w:rPr>
        <w:t xml:space="preserve"> 2009; </w:t>
      </w:r>
      <w:r w:rsidRPr="00B17ED4">
        <w:rPr>
          <w:rFonts w:ascii="Book Antiqua" w:hAnsi="Book Antiqua" w:cs="Book Antiqua"/>
          <w:b/>
          <w:sz w:val="24"/>
          <w:szCs w:val="24"/>
        </w:rPr>
        <w:t>22</w:t>
      </w:r>
      <w:r w:rsidRPr="00B17ED4">
        <w:rPr>
          <w:rFonts w:ascii="Book Antiqua" w:hAnsi="Book Antiqua" w:cs="Book Antiqua"/>
          <w:sz w:val="24"/>
          <w:szCs w:val="24"/>
        </w:rPr>
        <w:t>: 717-724 [PMID: 19490544 DOI: 10.1111/j.1432-2277.2009.00863.x]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23 </w:t>
      </w:r>
      <w:r w:rsidRPr="00B17ED4">
        <w:rPr>
          <w:rFonts w:ascii="Book Antiqua" w:hAnsi="Book Antiqua" w:cs="Book Antiqua"/>
          <w:b/>
          <w:sz w:val="24"/>
          <w:szCs w:val="24"/>
        </w:rPr>
        <w:t>Al-Freah MA</w:t>
      </w:r>
      <w:r w:rsidRPr="00B17ED4">
        <w:rPr>
          <w:rFonts w:ascii="Book Antiqua" w:hAnsi="Book Antiqua" w:cs="Book Antiqua"/>
          <w:sz w:val="24"/>
          <w:szCs w:val="24"/>
        </w:rPr>
        <w:t xml:space="preserve">, Kriese S, Foxton MR, Quaglia A, Bomford A, Heaton ND, O'Grady JG, Agarwal K, Wendon JA, Heneghan MA. The association of pretransplant ferritin level with waiting list and post-transplant survival. Does ferritin actually predict outcome? </w:t>
      </w:r>
      <w:r w:rsidRPr="00B17ED4">
        <w:rPr>
          <w:rFonts w:ascii="Book Antiqua" w:hAnsi="Book Antiqua" w:cs="Book Antiqua"/>
          <w:i/>
          <w:sz w:val="24"/>
          <w:szCs w:val="24"/>
        </w:rPr>
        <w:t>Transpl Int</w:t>
      </w:r>
      <w:r w:rsidRPr="00B17ED4">
        <w:rPr>
          <w:rFonts w:ascii="Book Antiqua" w:hAnsi="Book Antiqua" w:cs="Book Antiqua"/>
          <w:sz w:val="24"/>
          <w:szCs w:val="24"/>
        </w:rPr>
        <w:t xml:space="preserve"> 2013; </w:t>
      </w:r>
      <w:r w:rsidRPr="00B17ED4">
        <w:rPr>
          <w:rFonts w:ascii="Book Antiqua" w:hAnsi="Book Antiqua" w:cs="Book Antiqua"/>
          <w:b/>
          <w:sz w:val="24"/>
          <w:szCs w:val="24"/>
        </w:rPr>
        <w:t>26</w:t>
      </w:r>
      <w:r w:rsidRPr="00B17ED4">
        <w:rPr>
          <w:rFonts w:ascii="Book Antiqua" w:hAnsi="Book Antiqua" w:cs="Book Antiqua"/>
          <w:sz w:val="24"/>
          <w:szCs w:val="24"/>
        </w:rPr>
        <w:t>: 1070-1079 [PMID: 24138201 DOI: 10.1111/tri.12164]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24 </w:t>
      </w:r>
      <w:r w:rsidRPr="00B17ED4">
        <w:rPr>
          <w:rFonts w:ascii="Book Antiqua" w:hAnsi="Book Antiqua" w:cs="Book Antiqua"/>
          <w:b/>
          <w:sz w:val="24"/>
          <w:szCs w:val="24"/>
        </w:rPr>
        <w:t>Stuart KA</w:t>
      </w:r>
      <w:r w:rsidRPr="00B17ED4">
        <w:rPr>
          <w:rFonts w:ascii="Book Antiqua" w:hAnsi="Book Antiqua" w:cs="Book Antiqua"/>
          <w:sz w:val="24"/>
          <w:szCs w:val="24"/>
        </w:rPr>
        <w:t xml:space="preserve">, Fletcher LM, Clouston AD, Lynch SV, Purdie DM, Kerlin P, Crawford DH. Increased hepatic iron and cirrhosis: no evidence for an adverse effect on patient outcome following liver transplantation. </w:t>
      </w:r>
      <w:r w:rsidRPr="00B17ED4">
        <w:rPr>
          <w:rFonts w:ascii="Book Antiqua" w:hAnsi="Book Antiqua" w:cs="Book Antiqua"/>
          <w:i/>
          <w:sz w:val="24"/>
          <w:szCs w:val="24"/>
        </w:rPr>
        <w:t>Hepatology</w:t>
      </w:r>
      <w:r w:rsidRPr="00B17ED4">
        <w:rPr>
          <w:rFonts w:ascii="Book Antiqua" w:hAnsi="Book Antiqua" w:cs="Book Antiqua"/>
          <w:sz w:val="24"/>
          <w:szCs w:val="24"/>
        </w:rPr>
        <w:t xml:space="preserve"> 2000; </w:t>
      </w:r>
      <w:r w:rsidRPr="00B17ED4">
        <w:rPr>
          <w:rFonts w:ascii="Book Antiqua" w:hAnsi="Book Antiqua" w:cs="Book Antiqua"/>
          <w:b/>
          <w:sz w:val="24"/>
          <w:szCs w:val="24"/>
        </w:rPr>
        <w:t>32</w:t>
      </w:r>
      <w:r w:rsidRPr="00B17ED4">
        <w:rPr>
          <w:rFonts w:ascii="Book Antiqua" w:hAnsi="Book Antiqua" w:cs="Book Antiqua"/>
          <w:sz w:val="24"/>
          <w:szCs w:val="24"/>
        </w:rPr>
        <w:t>: 1200-1207 [PMID: 11093725 DOI: 10.1053/jhep.2000.20348]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25 </w:t>
      </w:r>
      <w:r w:rsidRPr="00B17ED4">
        <w:rPr>
          <w:rFonts w:ascii="Book Antiqua" w:hAnsi="Book Antiqua" w:cs="Book Antiqua"/>
          <w:b/>
          <w:sz w:val="24"/>
          <w:szCs w:val="24"/>
        </w:rPr>
        <w:t>Bruns T</w:t>
      </w:r>
      <w:r w:rsidRPr="00B17ED4">
        <w:rPr>
          <w:rFonts w:ascii="Book Antiqua" w:hAnsi="Book Antiqua" w:cs="Book Antiqua"/>
          <w:sz w:val="24"/>
          <w:szCs w:val="24"/>
        </w:rPr>
        <w:t xml:space="preserve">, Nuraldeen R, Mai M, Stengel S, Zimmermann HW, Yagmur E, Trautwein C, Stallmach A, Strnad P. Low serum transferrin correlates with acute-on-chronic organ failure and indicates short-term mortality in decompensated cirrhosis. </w:t>
      </w:r>
      <w:r w:rsidRPr="00B17ED4">
        <w:rPr>
          <w:rFonts w:ascii="Book Antiqua" w:hAnsi="Book Antiqua" w:cs="Book Antiqua"/>
          <w:i/>
          <w:sz w:val="24"/>
          <w:szCs w:val="24"/>
        </w:rPr>
        <w:t>Liver Int</w:t>
      </w:r>
      <w:r w:rsidRPr="00B17ED4">
        <w:rPr>
          <w:rFonts w:ascii="Book Antiqua" w:hAnsi="Book Antiqua" w:cs="Book Antiqua"/>
          <w:sz w:val="24"/>
          <w:szCs w:val="24"/>
        </w:rPr>
        <w:t xml:space="preserve"> 2017; </w:t>
      </w:r>
      <w:r w:rsidRPr="00B17ED4">
        <w:rPr>
          <w:rFonts w:ascii="Book Antiqua" w:hAnsi="Book Antiqua" w:cs="Book Antiqua"/>
          <w:b/>
          <w:sz w:val="24"/>
          <w:szCs w:val="24"/>
        </w:rPr>
        <w:t>37</w:t>
      </w:r>
      <w:r w:rsidRPr="00B17ED4">
        <w:rPr>
          <w:rFonts w:ascii="Book Antiqua" w:hAnsi="Book Antiqua" w:cs="Book Antiqua"/>
          <w:sz w:val="24"/>
          <w:szCs w:val="24"/>
        </w:rPr>
        <w:t>: 232-241 [PMID: 27473364 DOI: 10.1111/liv.13211]</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26 </w:t>
      </w:r>
      <w:r w:rsidRPr="00B17ED4">
        <w:rPr>
          <w:rFonts w:ascii="Book Antiqua" w:hAnsi="Book Antiqua" w:cs="Book Antiqua"/>
          <w:b/>
          <w:sz w:val="24"/>
          <w:szCs w:val="24"/>
        </w:rPr>
        <w:t>Koreth J</w:t>
      </w:r>
      <w:r w:rsidRPr="00B17ED4">
        <w:rPr>
          <w:rFonts w:ascii="Book Antiqua" w:hAnsi="Book Antiqua" w:cs="Book Antiqua"/>
          <w:sz w:val="24"/>
          <w:szCs w:val="24"/>
        </w:rPr>
        <w:t xml:space="preserve">, Antin JH. Iron overload in hematologic malignancies and outcome of allogeneic hematopoietic stem cell transplantation. </w:t>
      </w:r>
      <w:r w:rsidRPr="00B17ED4">
        <w:rPr>
          <w:rFonts w:ascii="Book Antiqua" w:hAnsi="Book Antiqua" w:cs="Book Antiqua"/>
          <w:i/>
          <w:sz w:val="24"/>
          <w:szCs w:val="24"/>
        </w:rPr>
        <w:t>Haematologica</w:t>
      </w:r>
      <w:r w:rsidRPr="00B17ED4">
        <w:rPr>
          <w:rFonts w:ascii="Book Antiqua" w:hAnsi="Book Antiqua" w:cs="Book Antiqua"/>
          <w:sz w:val="24"/>
          <w:szCs w:val="24"/>
        </w:rPr>
        <w:t xml:space="preserve"> 2010; </w:t>
      </w:r>
      <w:r w:rsidRPr="00B17ED4">
        <w:rPr>
          <w:rFonts w:ascii="Book Antiqua" w:hAnsi="Book Antiqua" w:cs="Book Antiqua"/>
          <w:b/>
          <w:sz w:val="24"/>
          <w:szCs w:val="24"/>
        </w:rPr>
        <w:t>95</w:t>
      </w:r>
      <w:r w:rsidRPr="00B17ED4">
        <w:rPr>
          <w:rFonts w:ascii="Book Antiqua" w:hAnsi="Book Antiqua" w:cs="Book Antiqua"/>
          <w:sz w:val="24"/>
          <w:szCs w:val="24"/>
        </w:rPr>
        <w:t>: 364-366 [PMID: 20207843 DOI: 10.3324/haematol.2009.017244]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27 </w:t>
      </w:r>
      <w:r w:rsidRPr="00B17ED4">
        <w:rPr>
          <w:rFonts w:ascii="Book Antiqua" w:hAnsi="Book Antiqua" w:cs="Book Antiqua"/>
          <w:b/>
          <w:sz w:val="24"/>
          <w:szCs w:val="24"/>
        </w:rPr>
        <w:t>Tacke F</w:t>
      </w:r>
      <w:r w:rsidRPr="00B17ED4">
        <w:rPr>
          <w:rFonts w:ascii="Book Antiqua" w:hAnsi="Book Antiqua" w:cs="Book Antiqua"/>
          <w:sz w:val="24"/>
          <w:szCs w:val="24"/>
        </w:rPr>
        <w:t xml:space="preserve">, Nuraldeen R, Koch A, Strathmann K, Hutschenreuter G, Trautwein C, Strnad P. Iron Parameters Determine the Prognosis of Critically Ill Patients. </w:t>
      </w:r>
      <w:r w:rsidRPr="00B17ED4">
        <w:rPr>
          <w:rFonts w:ascii="Book Antiqua" w:hAnsi="Book Antiqua" w:cs="Book Antiqua"/>
          <w:i/>
          <w:sz w:val="24"/>
          <w:szCs w:val="24"/>
        </w:rPr>
        <w:t>Crit Care Med</w:t>
      </w:r>
      <w:r w:rsidRPr="00B17ED4">
        <w:rPr>
          <w:rFonts w:ascii="Book Antiqua" w:hAnsi="Book Antiqua" w:cs="Book Antiqua"/>
          <w:sz w:val="24"/>
          <w:szCs w:val="24"/>
        </w:rPr>
        <w:t xml:space="preserve"> 2016; </w:t>
      </w:r>
      <w:r w:rsidRPr="00B17ED4">
        <w:rPr>
          <w:rFonts w:ascii="Book Antiqua" w:hAnsi="Book Antiqua" w:cs="Book Antiqua"/>
          <w:b/>
          <w:sz w:val="24"/>
          <w:szCs w:val="24"/>
        </w:rPr>
        <w:t>44</w:t>
      </w:r>
      <w:r w:rsidRPr="00B17ED4">
        <w:rPr>
          <w:rFonts w:ascii="Book Antiqua" w:hAnsi="Book Antiqua" w:cs="Book Antiqua"/>
          <w:sz w:val="24"/>
          <w:szCs w:val="24"/>
        </w:rPr>
        <w:t>: 1049-1058 [PMID: 26934143 DOI: 10.1097/CCM.0000000000001607]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28 </w:t>
      </w:r>
      <w:r w:rsidRPr="00B17ED4">
        <w:rPr>
          <w:rFonts w:ascii="Book Antiqua" w:hAnsi="Book Antiqua" w:cs="Book Antiqua"/>
          <w:b/>
          <w:sz w:val="24"/>
          <w:szCs w:val="24"/>
        </w:rPr>
        <w:t>Le Lan C</w:t>
      </w:r>
      <w:r w:rsidRPr="00B17ED4">
        <w:rPr>
          <w:rFonts w:ascii="Book Antiqua" w:hAnsi="Book Antiqua" w:cs="Book Antiqua"/>
          <w:sz w:val="24"/>
          <w:szCs w:val="24"/>
        </w:rPr>
        <w:t xml:space="preserve">, Loréal O, Cohen T, Ropert M, Glickstein H, Lainé F, Pouchard M, Deugnier Y, Le Treut A, Breuer W, Cabantchik ZI, Brissot P. Redox active plasma iron in C282Y/C282Y hemochromatosis. </w:t>
      </w:r>
      <w:r w:rsidRPr="00B17ED4">
        <w:rPr>
          <w:rFonts w:ascii="Book Antiqua" w:hAnsi="Book Antiqua" w:cs="Book Antiqua"/>
          <w:i/>
          <w:sz w:val="24"/>
          <w:szCs w:val="24"/>
        </w:rPr>
        <w:t>Blood</w:t>
      </w:r>
      <w:r w:rsidRPr="00B17ED4">
        <w:rPr>
          <w:rFonts w:ascii="Book Antiqua" w:hAnsi="Book Antiqua" w:cs="Book Antiqua"/>
          <w:sz w:val="24"/>
          <w:szCs w:val="24"/>
        </w:rPr>
        <w:t xml:space="preserve"> 2005; </w:t>
      </w:r>
      <w:r w:rsidRPr="00B17ED4">
        <w:rPr>
          <w:rFonts w:ascii="Book Antiqua" w:hAnsi="Book Antiqua" w:cs="Book Antiqua"/>
          <w:b/>
          <w:sz w:val="24"/>
          <w:szCs w:val="24"/>
        </w:rPr>
        <w:t>105</w:t>
      </w:r>
      <w:r w:rsidRPr="00B17ED4">
        <w:rPr>
          <w:rFonts w:ascii="Book Antiqua" w:hAnsi="Book Antiqua" w:cs="Book Antiqua"/>
          <w:sz w:val="24"/>
          <w:szCs w:val="24"/>
        </w:rPr>
        <w:t>: 4527-4531 [PMID: 15671444 DOI: 10.1182/blood-2004-09-3468]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29 </w:t>
      </w:r>
      <w:r w:rsidRPr="00B17ED4">
        <w:rPr>
          <w:rFonts w:ascii="Book Antiqua" w:hAnsi="Book Antiqua" w:cs="Book Antiqua"/>
          <w:b/>
          <w:sz w:val="24"/>
          <w:szCs w:val="24"/>
        </w:rPr>
        <w:t>Koskenkorva-Frank TS</w:t>
      </w:r>
      <w:r w:rsidRPr="00B17ED4">
        <w:rPr>
          <w:rFonts w:ascii="Book Antiqua" w:hAnsi="Book Antiqua" w:cs="Book Antiqua"/>
          <w:sz w:val="24"/>
          <w:szCs w:val="24"/>
        </w:rPr>
        <w:t xml:space="preserve">, Weiss G, Koppenol WH, Burckhardt S. The complex </w:t>
      </w:r>
      <w:r w:rsidRPr="00B17ED4">
        <w:rPr>
          <w:rFonts w:ascii="Book Antiqua" w:hAnsi="Book Antiqua" w:cs="Book Antiqua"/>
          <w:sz w:val="24"/>
          <w:szCs w:val="24"/>
        </w:rPr>
        <w:lastRenderedPageBreak/>
        <w:t xml:space="preserve">interplay of iron metabolism, reactive oxygen species, and reactive nitrogen species: insights into the potential of various iron therapies to induce oxidative and nitrosative stress. </w:t>
      </w:r>
      <w:r w:rsidRPr="00B17ED4">
        <w:rPr>
          <w:rFonts w:ascii="Book Antiqua" w:hAnsi="Book Antiqua" w:cs="Book Antiqua"/>
          <w:i/>
          <w:sz w:val="24"/>
          <w:szCs w:val="24"/>
        </w:rPr>
        <w:t>Free Radic Biol Med</w:t>
      </w:r>
      <w:r w:rsidRPr="00B17ED4">
        <w:rPr>
          <w:rFonts w:ascii="Book Antiqua" w:hAnsi="Book Antiqua" w:cs="Book Antiqua"/>
          <w:sz w:val="24"/>
          <w:szCs w:val="24"/>
        </w:rPr>
        <w:t xml:space="preserve"> 2013; </w:t>
      </w:r>
      <w:r w:rsidRPr="00B17ED4">
        <w:rPr>
          <w:rFonts w:ascii="Book Antiqua" w:hAnsi="Book Antiqua" w:cs="Book Antiqua"/>
          <w:b/>
          <w:sz w:val="24"/>
          <w:szCs w:val="24"/>
        </w:rPr>
        <w:t>65</w:t>
      </w:r>
      <w:r w:rsidRPr="00B17ED4">
        <w:rPr>
          <w:rFonts w:ascii="Book Antiqua" w:hAnsi="Book Antiqua" w:cs="Book Antiqua"/>
          <w:sz w:val="24"/>
          <w:szCs w:val="24"/>
        </w:rPr>
        <w:t>: 1174-1194 [PMID: 24036104 DOI: 10.1016/j.freeradbiomed.2013.09.001]</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30 </w:t>
      </w:r>
      <w:r w:rsidRPr="00B17ED4">
        <w:rPr>
          <w:rFonts w:ascii="Book Antiqua" w:hAnsi="Book Antiqua" w:cs="Book Antiqua"/>
          <w:b/>
          <w:sz w:val="24"/>
          <w:szCs w:val="24"/>
        </w:rPr>
        <w:t>Brissot P</w:t>
      </w:r>
      <w:r w:rsidRPr="00B17ED4">
        <w:rPr>
          <w:rFonts w:ascii="Book Antiqua" w:hAnsi="Book Antiqua" w:cs="Book Antiqua"/>
          <w:sz w:val="24"/>
          <w:szCs w:val="24"/>
        </w:rPr>
        <w:t xml:space="preserve">, Ropert M, Le Lan C, Loréal O. Non-transferrin bound iron: a key role in iron overload and iron toxicity. </w:t>
      </w:r>
      <w:r w:rsidRPr="00B17ED4">
        <w:rPr>
          <w:rFonts w:ascii="Book Antiqua" w:hAnsi="Book Antiqua" w:cs="Book Antiqua"/>
          <w:i/>
          <w:sz w:val="24"/>
          <w:szCs w:val="24"/>
        </w:rPr>
        <w:t>Biochim Biophys Acta</w:t>
      </w:r>
      <w:r w:rsidRPr="00B17ED4">
        <w:rPr>
          <w:rFonts w:ascii="Book Antiqua" w:hAnsi="Book Antiqua" w:cs="Book Antiqua"/>
          <w:sz w:val="24"/>
          <w:szCs w:val="24"/>
        </w:rPr>
        <w:t xml:space="preserve"> 2012; </w:t>
      </w:r>
      <w:r w:rsidRPr="00B17ED4">
        <w:rPr>
          <w:rFonts w:ascii="Book Antiqua" w:hAnsi="Book Antiqua" w:cs="Book Antiqua"/>
          <w:b/>
          <w:sz w:val="24"/>
          <w:szCs w:val="24"/>
        </w:rPr>
        <w:t>1820</w:t>
      </w:r>
      <w:r w:rsidRPr="00B17ED4">
        <w:rPr>
          <w:rFonts w:ascii="Book Antiqua" w:hAnsi="Book Antiqua" w:cs="Book Antiqua"/>
          <w:sz w:val="24"/>
          <w:szCs w:val="24"/>
        </w:rPr>
        <w:t>: 403-410 [PMID: 21855608 DOI: 10.1016/j.bbagen.2011.07.014]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31 </w:t>
      </w:r>
      <w:r w:rsidRPr="00B17ED4">
        <w:rPr>
          <w:rFonts w:ascii="Book Antiqua" w:hAnsi="Book Antiqua" w:cs="Book Antiqua"/>
          <w:b/>
          <w:sz w:val="24"/>
          <w:szCs w:val="24"/>
        </w:rPr>
        <w:t>de Swart L</w:t>
      </w:r>
      <w:r w:rsidRPr="00B17ED4">
        <w:rPr>
          <w:rFonts w:ascii="Book Antiqua" w:hAnsi="Book Antiqua" w:cs="Book Antiqua"/>
          <w:sz w:val="24"/>
          <w:szCs w:val="24"/>
        </w:rPr>
        <w:t xml:space="preserve">, Hendriks JC, van der Vorm LN, Cabantchik ZI, Evans PJ, Hod EA, Brittenham GM, Furman Y, Wojczyk B, Janssen MC, Porter JB, Mattijssen VE, Biemond BJ, MacKenzie MA, Origa R, Galanello R, Hider RC, Swinkels DW. Second international round robin for the quantification of serum non-transferrin-bound iron and labile plasma iron in patients with iron-overload disorders. </w:t>
      </w:r>
      <w:r w:rsidRPr="00B17ED4">
        <w:rPr>
          <w:rFonts w:ascii="Book Antiqua" w:hAnsi="Book Antiqua" w:cs="Book Antiqua"/>
          <w:i/>
          <w:sz w:val="24"/>
          <w:szCs w:val="24"/>
        </w:rPr>
        <w:t>Haematologica</w:t>
      </w:r>
      <w:r w:rsidRPr="00B17ED4">
        <w:rPr>
          <w:rFonts w:ascii="Book Antiqua" w:hAnsi="Book Antiqua" w:cs="Book Antiqua"/>
          <w:sz w:val="24"/>
          <w:szCs w:val="24"/>
        </w:rPr>
        <w:t xml:space="preserve"> 2016; </w:t>
      </w:r>
      <w:r w:rsidRPr="00B17ED4">
        <w:rPr>
          <w:rFonts w:ascii="Book Antiqua" w:hAnsi="Book Antiqua" w:cs="Book Antiqua"/>
          <w:b/>
          <w:sz w:val="24"/>
          <w:szCs w:val="24"/>
        </w:rPr>
        <w:t>101</w:t>
      </w:r>
      <w:r w:rsidRPr="00B17ED4">
        <w:rPr>
          <w:rFonts w:ascii="Book Antiqua" w:hAnsi="Book Antiqua" w:cs="Book Antiqua"/>
          <w:sz w:val="24"/>
          <w:szCs w:val="24"/>
        </w:rPr>
        <w:t>: 38-45 [PMID: 26385212 DOI: 10.3324/haematol.2015.133983]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32 </w:t>
      </w:r>
      <w:r w:rsidRPr="00B17ED4">
        <w:rPr>
          <w:rFonts w:ascii="Book Antiqua" w:hAnsi="Book Antiqua" w:cs="Book Antiqua"/>
          <w:b/>
          <w:sz w:val="24"/>
          <w:szCs w:val="24"/>
        </w:rPr>
        <w:t>Willemetz A</w:t>
      </w:r>
      <w:r w:rsidRPr="00B17ED4">
        <w:rPr>
          <w:rFonts w:ascii="Book Antiqua" w:hAnsi="Book Antiqua" w:cs="Book Antiqua"/>
          <w:sz w:val="24"/>
          <w:szCs w:val="24"/>
        </w:rPr>
        <w:t xml:space="preserve">, Beatty S, Richer E, Rubio A, Auriac A, Milkereit RJ, Thibaudeau O, Vaulont S, Malo D, Canonne-Hergaux F. Iron- and Hepcidin-Independent Downregulation of the Iron Exporter Ferroportin in Macrophages during </w:t>
      </w:r>
      <w:r w:rsidRPr="00B17ED4">
        <w:rPr>
          <w:rFonts w:ascii="Book Antiqua" w:hAnsi="Book Antiqua" w:cs="Book Antiqua"/>
          <w:i/>
          <w:sz w:val="24"/>
          <w:szCs w:val="24"/>
        </w:rPr>
        <w:t>Salmonella</w:t>
      </w:r>
      <w:r w:rsidRPr="00B17ED4">
        <w:rPr>
          <w:rFonts w:ascii="Book Antiqua" w:hAnsi="Book Antiqua" w:cs="Book Antiqua"/>
          <w:sz w:val="24"/>
          <w:szCs w:val="24"/>
        </w:rPr>
        <w:t xml:space="preserve"> Infection. </w:t>
      </w:r>
      <w:r w:rsidRPr="00B17ED4">
        <w:rPr>
          <w:rFonts w:ascii="Book Antiqua" w:hAnsi="Book Antiqua" w:cs="Book Antiqua"/>
          <w:i/>
          <w:sz w:val="24"/>
          <w:szCs w:val="24"/>
        </w:rPr>
        <w:t>Front Immunol</w:t>
      </w:r>
      <w:r w:rsidRPr="00B17ED4">
        <w:rPr>
          <w:rFonts w:ascii="Book Antiqua" w:hAnsi="Book Antiqua" w:cs="Book Antiqua"/>
          <w:sz w:val="24"/>
          <w:szCs w:val="24"/>
        </w:rPr>
        <w:t xml:space="preserve"> 2017; </w:t>
      </w:r>
      <w:r w:rsidRPr="00B17ED4">
        <w:rPr>
          <w:rFonts w:ascii="Book Antiqua" w:hAnsi="Book Antiqua" w:cs="Book Antiqua"/>
          <w:b/>
          <w:sz w:val="24"/>
          <w:szCs w:val="24"/>
        </w:rPr>
        <w:t>8</w:t>
      </w:r>
      <w:r w:rsidRPr="00B17ED4">
        <w:rPr>
          <w:rFonts w:ascii="Book Antiqua" w:hAnsi="Book Antiqua" w:cs="Book Antiqua"/>
          <w:sz w:val="24"/>
          <w:szCs w:val="24"/>
        </w:rPr>
        <w:t>: 498 [PMID: 28507548 DOI: 10.3389/fimmu.2017.00498]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33 </w:t>
      </w:r>
      <w:r w:rsidRPr="00B17ED4">
        <w:rPr>
          <w:rFonts w:ascii="Book Antiqua" w:hAnsi="Book Antiqua" w:cs="Book Antiqua"/>
          <w:b/>
          <w:sz w:val="24"/>
          <w:szCs w:val="24"/>
        </w:rPr>
        <w:t>Ganz T</w:t>
      </w:r>
      <w:r w:rsidRPr="00B17ED4">
        <w:rPr>
          <w:rFonts w:ascii="Book Antiqua" w:hAnsi="Book Antiqua" w:cs="Book Antiqua"/>
          <w:sz w:val="24"/>
          <w:szCs w:val="24"/>
        </w:rPr>
        <w:t xml:space="preserve">. Systemic iron homeostasis. </w:t>
      </w:r>
      <w:r w:rsidRPr="00B17ED4">
        <w:rPr>
          <w:rFonts w:ascii="Book Antiqua" w:hAnsi="Book Antiqua" w:cs="Book Antiqua"/>
          <w:i/>
          <w:sz w:val="24"/>
          <w:szCs w:val="24"/>
        </w:rPr>
        <w:t>Physiol Rev</w:t>
      </w:r>
      <w:r w:rsidRPr="00B17ED4">
        <w:rPr>
          <w:rFonts w:ascii="Book Antiqua" w:hAnsi="Book Antiqua" w:cs="Book Antiqua"/>
          <w:sz w:val="24"/>
          <w:szCs w:val="24"/>
        </w:rPr>
        <w:t xml:space="preserve"> 2013; </w:t>
      </w:r>
      <w:r w:rsidRPr="00B17ED4">
        <w:rPr>
          <w:rFonts w:ascii="Book Antiqua" w:hAnsi="Book Antiqua" w:cs="Book Antiqua"/>
          <w:b/>
          <w:sz w:val="24"/>
          <w:szCs w:val="24"/>
        </w:rPr>
        <w:t>93</w:t>
      </w:r>
      <w:r w:rsidRPr="00B17ED4">
        <w:rPr>
          <w:rFonts w:ascii="Book Antiqua" w:hAnsi="Book Antiqua" w:cs="Book Antiqua"/>
          <w:sz w:val="24"/>
          <w:szCs w:val="24"/>
        </w:rPr>
        <w:t>: 1721-1741 [PMID: 24137020 DOI: 10.1152/physrev.00008.2013]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34 </w:t>
      </w:r>
      <w:r w:rsidRPr="00B17ED4">
        <w:rPr>
          <w:rFonts w:ascii="Book Antiqua" w:hAnsi="Book Antiqua" w:cs="Book Antiqua"/>
          <w:b/>
          <w:sz w:val="24"/>
          <w:szCs w:val="24"/>
        </w:rPr>
        <w:t>Michels KR</w:t>
      </w:r>
      <w:r w:rsidRPr="00B17ED4">
        <w:rPr>
          <w:rFonts w:ascii="Book Antiqua" w:hAnsi="Book Antiqua" w:cs="Book Antiqua"/>
          <w:sz w:val="24"/>
          <w:szCs w:val="24"/>
        </w:rPr>
        <w:t xml:space="preserve">, Zhang Z, Bettina AM, Cagnina RE, Stefanova D, Burdick MD, Vaulont S, Nemeth E, Ganz T, Mehrad B. Hepcidin-mediated iron sequestration protects against bacterial dissemination during pneumonia. </w:t>
      </w:r>
      <w:r w:rsidRPr="00B17ED4">
        <w:rPr>
          <w:rFonts w:ascii="Book Antiqua" w:hAnsi="Book Antiqua" w:cs="Book Antiqua"/>
          <w:i/>
          <w:sz w:val="24"/>
          <w:szCs w:val="24"/>
        </w:rPr>
        <w:t>JCI Insight</w:t>
      </w:r>
      <w:r w:rsidRPr="00B17ED4">
        <w:rPr>
          <w:rFonts w:ascii="Book Antiqua" w:hAnsi="Book Antiqua" w:cs="Book Antiqua"/>
          <w:sz w:val="24"/>
          <w:szCs w:val="24"/>
        </w:rPr>
        <w:t xml:space="preserve"> 2017; </w:t>
      </w:r>
      <w:r w:rsidRPr="00B17ED4">
        <w:rPr>
          <w:rFonts w:ascii="Book Antiqua" w:hAnsi="Book Antiqua" w:cs="Book Antiqua"/>
          <w:b/>
          <w:sz w:val="24"/>
          <w:szCs w:val="24"/>
        </w:rPr>
        <w:t>2</w:t>
      </w:r>
      <w:r w:rsidRPr="00B17ED4">
        <w:rPr>
          <w:rFonts w:ascii="Book Antiqua" w:hAnsi="Book Antiqua" w:cs="Book Antiqua"/>
          <w:sz w:val="24"/>
          <w:szCs w:val="24"/>
        </w:rPr>
        <w:t>: e92002 [PMID: 28352667 DOI: 10.1172/jci.insight.92002]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35 </w:t>
      </w:r>
      <w:r w:rsidRPr="00B17ED4">
        <w:rPr>
          <w:rFonts w:ascii="Book Antiqua" w:hAnsi="Book Antiqua" w:cs="Book Antiqua"/>
          <w:b/>
          <w:sz w:val="24"/>
          <w:szCs w:val="24"/>
        </w:rPr>
        <w:t>Stefanova D</w:t>
      </w:r>
      <w:r w:rsidRPr="00B17ED4">
        <w:rPr>
          <w:rFonts w:ascii="Book Antiqua" w:hAnsi="Book Antiqua" w:cs="Book Antiqua"/>
          <w:sz w:val="24"/>
          <w:szCs w:val="24"/>
        </w:rPr>
        <w:t xml:space="preserve">, Raychev A, Arezes J, Ruchala P, Gabayan V, Skurnik M, Dillon BJ, Horwitz MA, Ganz T, Bulut Y, Nemeth E. Endogenous hepcidin and its agonist mediate resistance to selected infections by clearing non-transferrin-bound iron. </w:t>
      </w:r>
      <w:r w:rsidRPr="00B17ED4">
        <w:rPr>
          <w:rFonts w:ascii="Book Antiqua" w:hAnsi="Book Antiqua" w:cs="Book Antiqua"/>
          <w:i/>
          <w:sz w:val="24"/>
          <w:szCs w:val="24"/>
        </w:rPr>
        <w:t>Blood</w:t>
      </w:r>
      <w:r w:rsidRPr="00B17ED4">
        <w:rPr>
          <w:rFonts w:ascii="Book Antiqua" w:hAnsi="Book Antiqua" w:cs="Book Antiqua"/>
          <w:sz w:val="24"/>
          <w:szCs w:val="24"/>
        </w:rPr>
        <w:t xml:space="preserve"> 2017; </w:t>
      </w:r>
      <w:r w:rsidRPr="00B17ED4">
        <w:rPr>
          <w:rFonts w:ascii="Book Antiqua" w:hAnsi="Book Antiqua" w:cs="Book Antiqua"/>
          <w:b/>
          <w:sz w:val="24"/>
          <w:szCs w:val="24"/>
        </w:rPr>
        <w:t>130</w:t>
      </w:r>
      <w:r w:rsidRPr="00B17ED4">
        <w:rPr>
          <w:rFonts w:ascii="Book Antiqua" w:hAnsi="Book Antiqua" w:cs="Book Antiqua"/>
          <w:sz w:val="24"/>
          <w:szCs w:val="24"/>
        </w:rPr>
        <w:t>: 245-257 [PMID: 28465342 DOI: 10.1182/blood-2017-03-772715]</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36 </w:t>
      </w:r>
      <w:r w:rsidRPr="00B17ED4">
        <w:rPr>
          <w:rFonts w:ascii="Book Antiqua" w:hAnsi="Book Antiqua" w:cs="Book Antiqua"/>
          <w:b/>
          <w:sz w:val="24"/>
          <w:szCs w:val="24"/>
        </w:rPr>
        <w:t>Uscinska E</w:t>
      </w:r>
      <w:r w:rsidRPr="00B17ED4">
        <w:rPr>
          <w:rFonts w:ascii="Book Antiqua" w:hAnsi="Book Antiqua" w:cs="Book Antiqua"/>
          <w:sz w:val="24"/>
          <w:szCs w:val="24"/>
        </w:rPr>
        <w:t xml:space="preserve">, Sobkowicz B, Sawicki R, Kiluk I, Baranicz M, Stepek T, Dabrowska M, Szmitkowski M, Musial WJ, Tycinska AM. Parameters influencing in-hospital mortality in patients hospitalized in intensive cardiac care unit: is there an influence </w:t>
      </w:r>
      <w:r w:rsidRPr="00B17ED4">
        <w:rPr>
          <w:rFonts w:ascii="Book Antiqua" w:hAnsi="Book Antiqua" w:cs="Book Antiqua"/>
          <w:sz w:val="24"/>
          <w:szCs w:val="24"/>
        </w:rPr>
        <w:lastRenderedPageBreak/>
        <w:t xml:space="preserve">of anemia and iron deficiency? </w:t>
      </w:r>
      <w:r w:rsidRPr="00B17ED4">
        <w:rPr>
          <w:rFonts w:ascii="Book Antiqua" w:hAnsi="Book Antiqua" w:cs="Book Antiqua"/>
          <w:i/>
          <w:sz w:val="24"/>
          <w:szCs w:val="24"/>
        </w:rPr>
        <w:t>Intern Emerg Med</w:t>
      </w:r>
      <w:r w:rsidRPr="00B17ED4">
        <w:rPr>
          <w:rFonts w:ascii="Book Antiqua" w:hAnsi="Book Antiqua" w:cs="Book Antiqua"/>
          <w:sz w:val="24"/>
          <w:szCs w:val="24"/>
        </w:rPr>
        <w:t xml:space="preserve"> 2015; </w:t>
      </w:r>
      <w:r w:rsidRPr="00B17ED4">
        <w:rPr>
          <w:rFonts w:ascii="Book Antiqua" w:hAnsi="Book Antiqua" w:cs="Book Antiqua"/>
          <w:b/>
          <w:sz w:val="24"/>
          <w:szCs w:val="24"/>
        </w:rPr>
        <w:t>10</w:t>
      </w:r>
      <w:r w:rsidRPr="00B17ED4">
        <w:rPr>
          <w:rFonts w:ascii="Book Antiqua" w:hAnsi="Book Antiqua" w:cs="Book Antiqua"/>
          <w:sz w:val="24"/>
          <w:szCs w:val="24"/>
        </w:rPr>
        <w:t>: 337-344 [PMID: 25502592 DOI: 10.1007/s11739-014-1170-8]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37 </w:t>
      </w:r>
      <w:r w:rsidRPr="00B17ED4">
        <w:rPr>
          <w:rFonts w:ascii="Book Antiqua" w:hAnsi="Book Antiqua" w:cs="Book Antiqua"/>
          <w:b/>
          <w:sz w:val="24"/>
          <w:szCs w:val="24"/>
        </w:rPr>
        <w:t>Patteril MV</w:t>
      </w:r>
      <w:r w:rsidRPr="00B17ED4">
        <w:rPr>
          <w:rFonts w:ascii="Book Antiqua" w:hAnsi="Book Antiqua" w:cs="Book Antiqua"/>
          <w:sz w:val="24"/>
          <w:szCs w:val="24"/>
        </w:rPr>
        <w:t xml:space="preserve">, Davey-Quinn AP, Gedney JA, Murdoch SD, Bellamy MC. Functional iron deficiency, infection and systemic inflammatory response syndrome in critical illness. </w:t>
      </w:r>
      <w:r w:rsidRPr="00B17ED4">
        <w:rPr>
          <w:rFonts w:ascii="Book Antiqua" w:hAnsi="Book Antiqua" w:cs="Book Antiqua"/>
          <w:i/>
          <w:sz w:val="24"/>
          <w:szCs w:val="24"/>
        </w:rPr>
        <w:t>Anaesth Intensive Care</w:t>
      </w:r>
      <w:r w:rsidRPr="00B17ED4">
        <w:rPr>
          <w:rFonts w:ascii="Book Antiqua" w:hAnsi="Book Antiqua" w:cs="Book Antiqua"/>
          <w:sz w:val="24"/>
          <w:szCs w:val="24"/>
        </w:rPr>
        <w:t xml:space="preserve"> 2001; </w:t>
      </w:r>
      <w:r w:rsidRPr="00B17ED4">
        <w:rPr>
          <w:rFonts w:ascii="Book Antiqua" w:hAnsi="Book Antiqua" w:cs="Book Antiqua"/>
          <w:b/>
          <w:sz w:val="24"/>
          <w:szCs w:val="24"/>
        </w:rPr>
        <w:t>29</w:t>
      </w:r>
      <w:r w:rsidRPr="00B17ED4">
        <w:rPr>
          <w:rFonts w:ascii="Book Antiqua" w:hAnsi="Book Antiqua" w:cs="Book Antiqua"/>
          <w:sz w:val="24"/>
          <w:szCs w:val="24"/>
        </w:rPr>
        <w:t>: 473-478 [PMID: 11669426 DOI: 10.1177/0310057X0102900504]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38 </w:t>
      </w:r>
      <w:r w:rsidRPr="00B17ED4">
        <w:rPr>
          <w:rFonts w:ascii="Book Antiqua" w:hAnsi="Book Antiqua" w:cs="Book Antiqua"/>
          <w:b/>
          <w:sz w:val="24"/>
          <w:szCs w:val="24"/>
        </w:rPr>
        <w:t>Muñoz M</w:t>
      </w:r>
      <w:r w:rsidRPr="00B17ED4">
        <w:rPr>
          <w:rFonts w:ascii="Book Antiqua" w:hAnsi="Book Antiqua" w:cs="Book Antiqua"/>
          <w:sz w:val="24"/>
          <w:szCs w:val="24"/>
        </w:rPr>
        <w:t xml:space="preserve">, Romero A, Morales M, Campos A, García-Erce JA, Ramírez G. Iron metabolism, inflammation and anemia in critically ill patients. A cross-sectional study. </w:t>
      </w:r>
      <w:r w:rsidRPr="00B17ED4">
        <w:rPr>
          <w:rFonts w:ascii="Book Antiqua" w:hAnsi="Book Antiqua" w:cs="Book Antiqua"/>
          <w:i/>
          <w:sz w:val="24"/>
          <w:szCs w:val="24"/>
        </w:rPr>
        <w:t>Nutr Hosp</w:t>
      </w:r>
      <w:r w:rsidRPr="00B17ED4">
        <w:rPr>
          <w:rFonts w:ascii="Book Antiqua" w:hAnsi="Book Antiqua" w:cs="Book Antiqua"/>
          <w:sz w:val="24"/>
          <w:szCs w:val="24"/>
        </w:rPr>
        <w:t xml:space="preserve"> 2005; </w:t>
      </w:r>
      <w:r w:rsidRPr="00B17ED4">
        <w:rPr>
          <w:rFonts w:ascii="Book Antiqua" w:hAnsi="Book Antiqua" w:cs="Book Antiqua"/>
          <w:b/>
          <w:sz w:val="24"/>
          <w:szCs w:val="24"/>
        </w:rPr>
        <w:t>20</w:t>
      </w:r>
      <w:r w:rsidRPr="00B17ED4">
        <w:rPr>
          <w:rFonts w:ascii="Book Antiqua" w:hAnsi="Book Antiqua" w:cs="Book Antiqua"/>
          <w:sz w:val="24"/>
          <w:szCs w:val="24"/>
        </w:rPr>
        <w:t>: 115-120 [PMID: 15813395 DOI: 10.3305%2Fnutr+hosp.v20in02.3534]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39 </w:t>
      </w:r>
      <w:r w:rsidRPr="00B17ED4">
        <w:rPr>
          <w:rFonts w:ascii="Book Antiqua" w:hAnsi="Book Antiqua" w:cs="Book Antiqua"/>
          <w:b/>
          <w:sz w:val="24"/>
          <w:szCs w:val="24"/>
        </w:rPr>
        <w:t>Wander K</w:t>
      </w:r>
      <w:r w:rsidRPr="00B17ED4">
        <w:rPr>
          <w:rFonts w:ascii="Book Antiqua" w:hAnsi="Book Antiqua" w:cs="Book Antiqua"/>
          <w:sz w:val="24"/>
          <w:szCs w:val="24"/>
        </w:rPr>
        <w:t xml:space="preserve">, Shell-Duncan B, McDade TW. Evaluation of iron deficiency as a nutritional adaptation to infectious disease: an evolutionary medicine perspective. </w:t>
      </w:r>
      <w:r w:rsidRPr="00B17ED4">
        <w:rPr>
          <w:rFonts w:ascii="Book Antiqua" w:hAnsi="Book Antiqua" w:cs="Book Antiqua"/>
          <w:i/>
          <w:sz w:val="24"/>
          <w:szCs w:val="24"/>
        </w:rPr>
        <w:t>Am J Hum Biol</w:t>
      </w:r>
      <w:r w:rsidRPr="00B17ED4">
        <w:rPr>
          <w:rFonts w:ascii="Book Antiqua" w:hAnsi="Book Antiqua" w:cs="Book Antiqua"/>
          <w:sz w:val="24"/>
          <w:szCs w:val="24"/>
        </w:rPr>
        <w:t xml:space="preserve"> 2009; </w:t>
      </w:r>
      <w:r w:rsidRPr="00B17ED4">
        <w:rPr>
          <w:rFonts w:ascii="Book Antiqua" w:hAnsi="Book Antiqua" w:cs="Book Antiqua"/>
          <w:b/>
          <w:sz w:val="24"/>
          <w:szCs w:val="24"/>
        </w:rPr>
        <w:t>21</w:t>
      </w:r>
      <w:r w:rsidRPr="00B17ED4">
        <w:rPr>
          <w:rFonts w:ascii="Book Antiqua" w:hAnsi="Book Antiqua" w:cs="Book Antiqua"/>
          <w:sz w:val="24"/>
          <w:szCs w:val="24"/>
        </w:rPr>
        <w:t>: 172-179 [PMID: 18949769 DOI: 10.1002/ajhb.20839]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40 </w:t>
      </w:r>
      <w:r w:rsidRPr="00B17ED4">
        <w:rPr>
          <w:rFonts w:ascii="Book Antiqua" w:hAnsi="Book Antiqua" w:cs="Book Antiqua"/>
          <w:b/>
          <w:sz w:val="24"/>
          <w:szCs w:val="24"/>
        </w:rPr>
        <w:t>Oppenheimer SJ</w:t>
      </w:r>
      <w:r w:rsidRPr="00B17ED4">
        <w:rPr>
          <w:rFonts w:ascii="Book Antiqua" w:hAnsi="Book Antiqua" w:cs="Book Antiqua"/>
          <w:sz w:val="24"/>
          <w:szCs w:val="24"/>
        </w:rPr>
        <w:t xml:space="preserve">. Iron and its relation to immunity and infectious disease. </w:t>
      </w:r>
      <w:r w:rsidRPr="00B17ED4">
        <w:rPr>
          <w:rFonts w:ascii="Book Antiqua" w:hAnsi="Book Antiqua" w:cs="Book Antiqua"/>
          <w:i/>
          <w:sz w:val="24"/>
          <w:szCs w:val="24"/>
        </w:rPr>
        <w:t>J Nutr</w:t>
      </w:r>
      <w:r w:rsidRPr="00B17ED4">
        <w:rPr>
          <w:rFonts w:ascii="Book Antiqua" w:hAnsi="Book Antiqua" w:cs="Book Antiqua"/>
          <w:sz w:val="24"/>
          <w:szCs w:val="24"/>
        </w:rPr>
        <w:t xml:space="preserve"> 2001; </w:t>
      </w:r>
      <w:r w:rsidRPr="00B17ED4">
        <w:rPr>
          <w:rFonts w:ascii="Book Antiqua" w:hAnsi="Book Antiqua" w:cs="Book Antiqua"/>
          <w:b/>
          <w:sz w:val="24"/>
          <w:szCs w:val="24"/>
        </w:rPr>
        <w:t>131</w:t>
      </w:r>
      <w:r w:rsidRPr="00B17ED4">
        <w:rPr>
          <w:rFonts w:ascii="Book Antiqua" w:hAnsi="Book Antiqua" w:cs="Book Antiqua"/>
          <w:sz w:val="24"/>
          <w:szCs w:val="24"/>
        </w:rPr>
        <w:t>: 616S-633S; discussion 633S-635S [PMID: 11160594 DOI: 10.1093/jn/131.2.616S]</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41 </w:t>
      </w:r>
      <w:r w:rsidRPr="00B17ED4">
        <w:rPr>
          <w:rFonts w:ascii="Book Antiqua" w:hAnsi="Book Antiqua" w:cs="Book Antiqua"/>
          <w:b/>
          <w:sz w:val="24"/>
          <w:szCs w:val="24"/>
        </w:rPr>
        <w:t>Ekiz C</w:t>
      </w:r>
      <w:r w:rsidRPr="00B17ED4">
        <w:rPr>
          <w:rFonts w:ascii="Book Antiqua" w:hAnsi="Book Antiqua" w:cs="Book Antiqua"/>
          <w:sz w:val="24"/>
          <w:szCs w:val="24"/>
        </w:rPr>
        <w:t xml:space="preserve">, Agaoglu L, Karakas Z, Gurel N, Yalcin I. The effect of iron deficiency anemia on the function of the immune system. </w:t>
      </w:r>
      <w:r w:rsidRPr="00B17ED4">
        <w:rPr>
          <w:rFonts w:ascii="Book Antiqua" w:hAnsi="Book Antiqua" w:cs="Book Antiqua"/>
          <w:i/>
          <w:sz w:val="24"/>
          <w:szCs w:val="24"/>
        </w:rPr>
        <w:t>Hematol J</w:t>
      </w:r>
      <w:r w:rsidRPr="00B17ED4">
        <w:rPr>
          <w:rFonts w:ascii="Book Antiqua" w:hAnsi="Book Antiqua" w:cs="Book Antiqua"/>
          <w:sz w:val="24"/>
          <w:szCs w:val="24"/>
        </w:rPr>
        <w:t xml:space="preserve"> 2005; </w:t>
      </w:r>
      <w:r w:rsidRPr="00B17ED4">
        <w:rPr>
          <w:rFonts w:ascii="Book Antiqua" w:hAnsi="Book Antiqua" w:cs="Book Antiqua"/>
          <w:b/>
          <w:sz w:val="24"/>
          <w:szCs w:val="24"/>
        </w:rPr>
        <w:t>5</w:t>
      </w:r>
      <w:r w:rsidRPr="00B17ED4">
        <w:rPr>
          <w:rFonts w:ascii="Book Antiqua" w:hAnsi="Book Antiqua" w:cs="Book Antiqua"/>
          <w:sz w:val="24"/>
          <w:szCs w:val="24"/>
        </w:rPr>
        <w:t>: 579-583 [PMID: 15692603 DOI: 10.1038/sj.thj.6200574]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42 </w:t>
      </w:r>
      <w:r w:rsidRPr="00B17ED4">
        <w:rPr>
          <w:rFonts w:ascii="Book Antiqua" w:hAnsi="Book Antiqua" w:cs="Book Antiqua"/>
          <w:b/>
          <w:sz w:val="24"/>
          <w:szCs w:val="24"/>
        </w:rPr>
        <w:t>Kumar V</w:t>
      </w:r>
      <w:r w:rsidRPr="00B17ED4">
        <w:rPr>
          <w:rFonts w:ascii="Book Antiqua" w:hAnsi="Book Antiqua" w:cs="Book Antiqua"/>
          <w:sz w:val="24"/>
          <w:szCs w:val="24"/>
        </w:rPr>
        <w:t xml:space="preserve">, Choudhry VP. Iron deficiency and infection. </w:t>
      </w:r>
      <w:r w:rsidRPr="00B17ED4">
        <w:rPr>
          <w:rFonts w:ascii="Book Antiqua" w:hAnsi="Book Antiqua" w:cs="Book Antiqua"/>
          <w:i/>
          <w:sz w:val="24"/>
          <w:szCs w:val="24"/>
        </w:rPr>
        <w:t>Indian J Pediatr</w:t>
      </w:r>
      <w:r w:rsidRPr="00B17ED4">
        <w:rPr>
          <w:rFonts w:ascii="Book Antiqua" w:hAnsi="Book Antiqua" w:cs="Book Antiqua"/>
          <w:sz w:val="24"/>
          <w:szCs w:val="24"/>
        </w:rPr>
        <w:t xml:space="preserve"> 2010; </w:t>
      </w:r>
      <w:r w:rsidRPr="00B17ED4">
        <w:rPr>
          <w:rFonts w:ascii="Book Antiqua" w:hAnsi="Book Antiqua" w:cs="Book Antiqua"/>
          <w:b/>
          <w:sz w:val="24"/>
          <w:szCs w:val="24"/>
        </w:rPr>
        <w:t>77</w:t>
      </w:r>
      <w:r w:rsidRPr="00B17ED4">
        <w:rPr>
          <w:rFonts w:ascii="Book Antiqua" w:hAnsi="Book Antiqua" w:cs="Book Antiqua"/>
          <w:sz w:val="24"/>
          <w:szCs w:val="24"/>
        </w:rPr>
        <w:t>: 789-793 [PMID: 20589461 DOI: 10.1007/s12098-010-0120-3]</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43 </w:t>
      </w:r>
      <w:r w:rsidRPr="00B17ED4">
        <w:rPr>
          <w:rFonts w:ascii="Book Antiqua" w:hAnsi="Book Antiqua" w:cs="Book Antiqua"/>
          <w:b/>
          <w:sz w:val="24"/>
          <w:szCs w:val="24"/>
        </w:rPr>
        <w:t>Tansarli GS</w:t>
      </w:r>
      <w:r w:rsidRPr="00B17ED4">
        <w:rPr>
          <w:rFonts w:ascii="Book Antiqua" w:hAnsi="Book Antiqua" w:cs="Book Antiqua"/>
          <w:sz w:val="24"/>
          <w:szCs w:val="24"/>
        </w:rPr>
        <w:t xml:space="preserve">, Karageorgopoulos DE, Kapaskelis A, Gkegkes I, Falagas ME. Iron deficiency and susceptibility to infections: evaluation of the clinical evidence. </w:t>
      </w:r>
      <w:r w:rsidRPr="00B17ED4">
        <w:rPr>
          <w:rFonts w:ascii="Book Antiqua" w:hAnsi="Book Antiqua" w:cs="Book Antiqua"/>
          <w:i/>
          <w:sz w:val="24"/>
          <w:szCs w:val="24"/>
        </w:rPr>
        <w:t>Eur J Clin Microbiol Infect Dis</w:t>
      </w:r>
      <w:r w:rsidRPr="00B17ED4">
        <w:rPr>
          <w:rFonts w:ascii="Book Antiqua" w:hAnsi="Book Antiqua" w:cs="Book Antiqua"/>
          <w:sz w:val="24"/>
          <w:szCs w:val="24"/>
        </w:rPr>
        <w:t xml:space="preserve"> 2013; </w:t>
      </w:r>
      <w:r w:rsidRPr="00B17ED4">
        <w:rPr>
          <w:rFonts w:ascii="Book Antiqua" w:hAnsi="Book Antiqua" w:cs="Book Antiqua"/>
          <w:b/>
          <w:sz w:val="24"/>
          <w:szCs w:val="24"/>
        </w:rPr>
        <w:t>32</w:t>
      </w:r>
      <w:r w:rsidRPr="00B17ED4">
        <w:rPr>
          <w:rFonts w:ascii="Book Antiqua" w:hAnsi="Book Antiqua" w:cs="Book Antiqua"/>
          <w:sz w:val="24"/>
          <w:szCs w:val="24"/>
        </w:rPr>
        <w:t>: 1253-1258 [PMID: 23595586 DOI: 10.1007/s10096-013-1877-x]</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44 </w:t>
      </w:r>
      <w:r w:rsidRPr="00B17ED4">
        <w:rPr>
          <w:rFonts w:ascii="Book Antiqua" w:hAnsi="Book Antiqua" w:cs="Book Antiqua"/>
          <w:b/>
          <w:sz w:val="24"/>
          <w:szCs w:val="24"/>
        </w:rPr>
        <w:t>de Pontual L</w:t>
      </w:r>
      <w:r w:rsidRPr="00B17ED4">
        <w:rPr>
          <w:rFonts w:ascii="Book Antiqua" w:hAnsi="Book Antiqua" w:cs="Book Antiqua"/>
          <w:sz w:val="24"/>
          <w:szCs w:val="24"/>
        </w:rPr>
        <w:t xml:space="preserve">. [Iron and susceptibility to infections]. </w:t>
      </w:r>
      <w:r w:rsidRPr="00B17ED4">
        <w:rPr>
          <w:rFonts w:ascii="Book Antiqua" w:hAnsi="Book Antiqua" w:cs="Book Antiqua"/>
          <w:i/>
          <w:sz w:val="24"/>
          <w:szCs w:val="24"/>
        </w:rPr>
        <w:t>Arch Pediatr</w:t>
      </w:r>
      <w:r w:rsidRPr="00B17ED4">
        <w:rPr>
          <w:rFonts w:ascii="Book Antiqua" w:hAnsi="Book Antiqua" w:cs="Book Antiqua"/>
          <w:sz w:val="24"/>
          <w:szCs w:val="24"/>
        </w:rPr>
        <w:t xml:space="preserve"> 2017; </w:t>
      </w:r>
      <w:r w:rsidRPr="00B17ED4">
        <w:rPr>
          <w:rFonts w:ascii="Book Antiqua" w:hAnsi="Book Antiqua" w:cs="Book Antiqua"/>
          <w:b/>
          <w:sz w:val="24"/>
          <w:szCs w:val="24"/>
        </w:rPr>
        <w:t>24</w:t>
      </w:r>
      <w:r w:rsidRPr="00B17ED4">
        <w:rPr>
          <w:rFonts w:ascii="Book Antiqua" w:hAnsi="Book Antiqua" w:cs="Book Antiqua"/>
          <w:sz w:val="24"/>
          <w:szCs w:val="24"/>
        </w:rPr>
        <w:t>: 5S14-5S17 [PMID: 28622776 DOI: 10.1016/S0929-693X(17)24004-4]</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45 </w:t>
      </w:r>
      <w:r w:rsidRPr="00B17ED4">
        <w:rPr>
          <w:rFonts w:ascii="Book Antiqua" w:hAnsi="Book Antiqua" w:cs="Book Antiqua"/>
          <w:b/>
          <w:sz w:val="24"/>
          <w:szCs w:val="24"/>
        </w:rPr>
        <w:t>Hoen B</w:t>
      </w:r>
      <w:r w:rsidRPr="00B17ED4">
        <w:rPr>
          <w:rFonts w:ascii="Book Antiqua" w:hAnsi="Book Antiqua" w:cs="Book Antiqua"/>
          <w:sz w:val="24"/>
          <w:szCs w:val="24"/>
        </w:rPr>
        <w:t xml:space="preserve">, Renoult E, Jonon B, Kessler M. Septicemia due to Yersinia enterocolitica in a long-term hemodialysis patient after a single desferrioxamine administration. </w:t>
      </w:r>
      <w:r w:rsidRPr="00B17ED4">
        <w:rPr>
          <w:rFonts w:ascii="Book Antiqua" w:hAnsi="Book Antiqua" w:cs="Book Antiqua"/>
          <w:i/>
          <w:sz w:val="24"/>
          <w:szCs w:val="24"/>
        </w:rPr>
        <w:t>Nephron</w:t>
      </w:r>
      <w:r w:rsidRPr="00B17ED4">
        <w:rPr>
          <w:rFonts w:ascii="Book Antiqua" w:hAnsi="Book Antiqua" w:cs="Book Antiqua"/>
          <w:sz w:val="24"/>
          <w:szCs w:val="24"/>
        </w:rPr>
        <w:t xml:space="preserve"> 1988; </w:t>
      </w:r>
      <w:r w:rsidRPr="00B17ED4">
        <w:rPr>
          <w:rFonts w:ascii="Book Antiqua" w:hAnsi="Book Antiqua" w:cs="Book Antiqua"/>
          <w:b/>
          <w:sz w:val="24"/>
          <w:szCs w:val="24"/>
        </w:rPr>
        <w:t>50</w:t>
      </w:r>
      <w:r w:rsidRPr="00B17ED4">
        <w:rPr>
          <w:rFonts w:ascii="Book Antiqua" w:hAnsi="Book Antiqua" w:cs="Book Antiqua"/>
          <w:sz w:val="24"/>
          <w:szCs w:val="24"/>
        </w:rPr>
        <w:t>: 378-379 [PMID: 3237280 DOI: 10.1159/000185208]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46 </w:t>
      </w:r>
      <w:r w:rsidRPr="00B17ED4">
        <w:rPr>
          <w:rFonts w:ascii="Book Antiqua" w:hAnsi="Book Antiqua" w:cs="Book Antiqua"/>
          <w:b/>
          <w:sz w:val="24"/>
          <w:szCs w:val="24"/>
        </w:rPr>
        <w:t>Fishbane S</w:t>
      </w:r>
      <w:r w:rsidRPr="00B17ED4">
        <w:rPr>
          <w:rFonts w:ascii="Book Antiqua" w:hAnsi="Book Antiqua" w:cs="Book Antiqua"/>
          <w:sz w:val="24"/>
          <w:szCs w:val="24"/>
        </w:rPr>
        <w:t xml:space="preserve">. Review of issues relating to iron and infection. </w:t>
      </w:r>
      <w:r w:rsidRPr="00B17ED4">
        <w:rPr>
          <w:rFonts w:ascii="Book Antiqua" w:hAnsi="Book Antiqua" w:cs="Book Antiqua"/>
          <w:i/>
          <w:sz w:val="24"/>
          <w:szCs w:val="24"/>
        </w:rPr>
        <w:t>Am J Kidney Dis</w:t>
      </w:r>
      <w:r w:rsidRPr="00B17ED4">
        <w:rPr>
          <w:rFonts w:ascii="Book Antiqua" w:hAnsi="Book Antiqua" w:cs="Book Antiqua"/>
          <w:sz w:val="24"/>
          <w:szCs w:val="24"/>
        </w:rPr>
        <w:t xml:space="preserve"> 1999; </w:t>
      </w:r>
      <w:r w:rsidRPr="00B17ED4">
        <w:rPr>
          <w:rFonts w:ascii="Book Antiqua" w:hAnsi="Book Antiqua" w:cs="Book Antiqua"/>
          <w:b/>
          <w:sz w:val="24"/>
          <w:szCs w:val="24"/>
        </w:rPr>
        <w:lastRenderedPageBreak/>
        <w:t>34</w:t>
      </w:r>
      <w:r w:rsidRPr="00B17ED4">
        <w:rPr>
          <w:rFonts w:ascii="Book Antiqua" w:hAnsi="Book Antiqua" w:cs="Book Antiqua"/>
          <w:sz w:val="24"/>
          <w:szCs w:val="24"/>
        </w:rPr>
        <w:t>: S47-S52 [PMID: 10516376 DOI: 10.1053/AJKD034s00047]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47 </w:t>
      </w:r>
      <w:r w:rsidRPr="00B17ED4">
        <w:rPr>
          <w:rFonts w:ascii="Book Antiqua" w:hAnsi="Book Antiqua" w:cs="Book Antiqua"/>
          <w:b/>
          <w:sz w:val="24"/>
          <w:szCs w:val="24"/>
        </w:rPr>
        <w:t>Patruta SI</w:t>
      </w:r>
      <w:r w:rsidRPr="00B17ED4">
        <w:rPr>
          <w:rFonts w:ascii="Book Antiqua" w:hAnsi="Book Antiqua" w:cs="Book Antiqua"/>
          <w:sz w:val="24"/>
          <w:szCs w:val="24"/>
        </w:rPr>
        <w:t xml:space="preserve">, Edlinger R, Sunder-Plassmann G, Hörl WH. Neutrophil impairment associated with iron therapy in hemodialysis patients with functional iron deficiency. </w:t>
      </w:r>
      <w:r w:rsidRPr="00B17ED4">
        <w:rPr>
          <w:rFonts w:ascii="Book Antiqua" w:hAnsi="Book Antiqua" w:cs="Book Antiqua"/>
          <w:i/>
          <w:sz w:val="24"/>
          <w:szCs w:val="24"/>
        </w:rPr>
        <w:t>J Am Soc Nephrol</w:t>
      </w:r>
      <w:r w:rsidRPr="00B17ED4">
        <w:rPr>
          <w:rFonts w:ascii="Book Antiqua" w:hAnsi="Book Antiqua" w:cs="Book Antiqua"/>
          <w:sz w:val="24"/>
          <w:szCs w:val="24"/>
        </w:rPr>
        <w:t xml:space="preserve"> 1998; </w:t>
      </w:r>
      <w:r w:rsidRPr="00B17ED4">
        <w:rPr>
          <w:rFonts w:ascii="Book Antiqua" w:hAnsi="Book Antiqua" w:cs="Book Antiqua"/>
          <w:b/>
          <w:sz w:val="24"/>
          <w:szCs w:val="24"/>
        </w:rPr>
        <w:t>9</w:t>
      </w:r>
      <w:r w:rsidRPr="00B17ED4">
        <w:rPr>
          <w:rFonts w:ascii="Book Antiqua" w:hAnsi="Book Antiqua" w:cs="Book Antiqua"/>
          <w:sz w:val="24"/>
          <w:szCs w:val="24"/>
        </w:rPr>
        <w:t>: 655-663 [PMID: 9555668]</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48 </w:t>
      </w:r>
      <w:r w:rsidRPr="00B17ED4">
        <w:rPr>
          <w:rFonts w:ascii="Book Antiqua" w:hAnsi="Book Antiqua" w:cs="Book Antiqua"/>
          <w:b/>
          <w:sz w:val="24"/>
          <w:szCs w:val="24"/>
        </w:rPr>
        <w:t>Jurado RL</w:t>
      </w:r>
      <w:r w:rsidRPr="00B17ED4">
        <w:rPr>
          <w:rFonts w:ascii="Book Antiqua" w:hAnsi="Book Antiqua" w:cs="Book Antiqua"/>
          <w:sz w:val="24"/>
          <w:szCs w:val="24"/>
        </w:rPr>
        <w:t xml:space="preserve">. Iron, infections, and anemia of inflammation. </w:t>
      </w:r>
      <w:r w:rsidRPr="00B17ED4">
        <w:rPr>
          <w:rFonts w:ascii="Book Antiqua" w:hAnsi="Book Antiqua" w:cs="Book Antiqua"/>
          <w:i/>
          <w:sz w:val="24"/>
          <w:szCs w:val="24"/>
        </w:rPr>
        <w:t>Clin Infect Dis</w:t>
      </w:r>
      <w:r w:rsidRPr="00B17ED4">
        <w:rPr>
          <w:rFonts w:ascii="Book Antiqua" w:hAnsi="Book Antiqua" w:cs="Book Antiqua"/>
          <w:sz w:val="24"/>
          <w:szCs w:val="24"/>
        </w:rPr>
        <w:t xml:space="preserve"> 1997; </w:t>
      </w:r>
      <w:r w:rsidRPr="00B17ED4">
        <w:rPr>
          <w:rFonts w:ascii="Book Antiqua" w:hAnsi="Book Antiqua" w:cs="Book Antiqua"/>
          <w:b/>
          <w:sz w:val="24"/>
          <w:szCs w:val="24"/>
        </w:rPr>
        <w:t>25</w:t>
      </w:r>
      <w:r w:rsidRPr="00B17ED4">
        <w:rPr>
          <w:rFonts w:ascii="Book Antiqua" w:hAnsi="Book Antiqua" w:cs="Book Antiqua"/>
          <w:sz w:val="24"/>
          <w:szCs w:val="24"/>
        </w:rPr>
        <w:t>: 888-895 [PMID: 9356804 DOI: 10.1086/515549]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49 </w:t>
      </w:r>
      <w:r w:rsidRPr="00B17ED4">
        <w:rPr>
          <w:rFonts w:ascii="Book Antiqua" w:hAnsi="Book Antiqua" w:cs="Book Antiqua"/>
          <w:b/>
          <w:sz w:val="24"/>
          <w:szCs w:val="24"/>
        </w:rPr>
        <w:t>Brissot P</w:t>
      </w:r>
      <w:r w:rsidRPr="00B17ED4">
        <w:rPr>
          <w:rFonts w:ascii="Book Antiqua" w:hAnsi="Book Antiqua" w:cs="Book Antiqua"/>
          <w:sz w:val="24"/>
          <w:szCs w:val="24"/>
        </w:rPr>
        <w:t xml:space="preserve">, Wright TL, Ma WL, Weisiger RA. Efficient clearance of non-transferrin-bound iron by rat liver. Implications for hepatic iron loading in iron overload states. </w:t>
      </w:r>
      <w:r w:rsidRPr="00B17ED4">
        <w:rPr>
          <w:rFonts w:ascii="Book Antiqua" w:hAnsi="Book Antiqua" w:cs="Book Antiqua"/>
          <w:i/>
          <w:sz w:val="24"/>
          <w:szCs w:val="24"/>
        </w:rPr>
        <w:t>J Clin Invest</w:t>
      </w:r>
      <w:r w:rsidRPr="00B17ED4">
        <w:rPr>
          <w:rFonts w:ascii="Book Antiqua" w:hAnsi="Book Antiqua" w:cs="Book Antiqua"/>
          <w:sz w:val="24"/>
          <w:szCs w:val="24"/>
        </w:rPr>
        <w:t xml:space="preserve"> 1985; </w:t>
      </w:r>
      <w:r w:rsidRPr="00B17ED4">
        <w:rPr>
          <w:rFonts w:ascii="Book Antiqua" w:hAnsi="Book Antiqua" w:cs="Book Antiqua"/>
          <w:b/>
          <w:sz w:val="24"/>
          <w:szCs w:val="24"/>
        </w:rPr>
        <w:t>76</w:t>
      </w:r>
      <w:r w:rsidRPr="00B17ED4">
        <w:rPr>
          <w:rFonts w:ascii="Book Antiqua" w:hAnsi="Book Antiqua" w:cs="Book Antiqua"/>
          <w:sz w:val="24"/>
          <w:szCs w:val="24"/>
        </w:rPr>
        <w:t>: 1463-1470 [PMID: 4056038 DOI: 10.1172/JCI112125]</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50 </w:t>
      </w:r>
      <w:r w:rsidRPr="00B17ED4">
        <w:rPr>
          <w:rFonts w:ascii="Book Antiqua" w:hAnsi="Book Antiqua" w:cs="Book Antiqua"/>
          <w:b/>
          <w:sz w:val="24"/>
          <w:szCs w:val="24"/>
        </w:rPr>
        <w:t>Oikonomou T</w:t>
      </w:r>
      <w:r w:rsidRPr="00B17ED4">
        <w:rPr>
          <w:rFonts w:ascii="Book Antiqua" w:hAnsi="Book Antiqua" w:cs="Book Antiqua"/>
          <w:sz w:val="24"/>
          <w:szCs w:val="24"/>
        </w:rPr>
        <w:t xml:space="preserve">, Goulis I, Soulaidopoulos S, Karasmani A, Doumtsis P, Tsioni K, Mandala E, Akriviadis E, Cholongitas E. High serum ferritin is associated with worse outcome of patients with decompensated cirrhosis. </w:t>
      </w:r>
      <w:r w:rsidRPr="00B17ED4">
        <w:rPr>
          <w:rFonts w:ascii="Book Antiqua" w:hAnsi="Book Antiqua" w:cs="Book Antiqua"/>
          <w:i/>
          <w:sz w:val="24"/>
          <w:szCs w:val="24"/>
        </w:rPr>
        <w:t>Ann Gastroenterol</w:t>
      </w:r>
      <w:r w:rsidRPr="00B17ED4">
        <w:rPr>
          <w:rFonts w:ascii="Book Antiqua" w:hAnsi="Book Antiqua" w:cs="Book Antiqua"/>
          <w:sz w:val="24"/>
          <w:szCs w:val="24"/>
        </w:rPr>
        <w:t xml:space="preserve"> 2017; </w:t>
      </w:r>
      <w:r w:rsidRPr="00B17ED4">
        <w:rPr>
          <w:rFonts w:ascii="Book Antiqua" w:hAnsi="Book Antiqua" w:cs="Book Antiqua"/>
          <w:b/>
          <w:sz w:val="24"/>
          <w:szCs w:val="24"/>
        </w:rPr>
        <w:t>30</w:t>
      </w:r>
      <w:r w:rsidRPr="00B17ED4">
        <w:rPr>
          <w:rFonts w:ascii="Book Antiqua" w:hAnsi="Book Antiqua" w:cs="Book Antiqua"/>
          <w:sz w:val="24"/>
          <w:szCs w:val="24"/>
        </w:rPr>
        <w:t>: 217-224 [PMID: 28243043 DOI: 10.20524/aog.2016.0112]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51 </w:t>
      </w:r>
      <w:r w:rsidRPr="00B17ED4">
        <w:rPr>
          <w:rFonts w:ascii="Book Antiqua" w:hAnsi="Book Antiqua" w:cs="Book Antiqua"/>
          <w:b/>
          <w:sz w:val="24"/>
          <w:szCs w:val="24"/>
        </w:rPr>
        <w:t>Anastasiou OE</w:t>
      </w:r>
      <w:r w:rsidRPr="00B17ED4">
        <w:rPr>
          <w:rFonts w:ascii="Book Antiqua" w:hAnsi="Book Antiqua" w:cs="Book Antiqua"/>
          <w:sz w:val="24"/>
          <w:szCs w:val="24"/>
        </w:rPr>
        <w:t xml:space="preserve">, Kälsch J, Hakmouni M, Kucukoglu O, Heider D, Korth J, Manka P, Sowa JP, Bechmann L, Saner FH, Paul A, Gerken G, Baba HA, Canbay A. Low transferrin and high ferritin concentrations are associated with worse outcome in acute liver failure. </w:t>
      </w:r>
      <w:r w:rsidRPr="00B17ED4">
        <w:rPr>
          <w:rFonts w:ascii="Book Antiqua" w:hAnsi="Book Antiqua" w:cs="Book Antiqua"/>
          <w:i/>
          <w:sz w:val="24"/>
          <w:szCs w:val="24"/>
        </w:rPr>
        <w:t>Liver Int</w:t>
      </w:r>
      <w:r w:rsidRPr="00B17ED4">
        <w:rPr>
          <w:rFonts w:ascii="Book Antiqua" w:hAnsi="Book Antiqua" w:cs="Book Antiqua"/>
          <w:sz w:val="24"/>
          <w:szCs w:val="24"/>
        </w:rPr>
        <w:t xml:space="preserve"> 2017; </w:t>
      </w:r>
      <w:r w:rsidRPr="00B17ED4">
        <w:rPr>
          <w:rFonts w:ascii="Book Antiqua" w:hAnsi="Book Antiqua" w:cs="Book Antiqua"/>
          <w:b/>
          <w:sz w:val="24"/>
          <w:szCs w:val="24"/>
        </w:rPr>
        <w:t>37</w:t>
      </w:r>
      <w:r w:rsidRPr="00B17ED4">
        <w:rPr>
          <w:rFonts w:ascii="Book Antiqua" w:hAnsi="Book Antiqua" w:cs="Book Antiqua"/>
          <w:sz w:val="24"/>
          <w:szCs w:val="24"/>
        </w:rPr>
        <w:t>: 1032-1041 [PMID: 28109050 DOI: 10.1111/liv.13369]</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52 </w:t>
      </w:r>
      <w:r w:rsidRPr="00B17ED4">
        <w:rPr>
          <w:rFonts w:ascii="Book Antiqua" w:hAnsi="Book Antiqua" w:cs="Book Antiqua"/>
          <w:b/>
          <w:sz w:val="24"/>
          <w:szCs w:val="24"/>
        </w:rPr>
        <w:t>Fernández-Ruiz M</w:t>
      </w:r>
      <w:r w:rsidRPr="00B17ED4">
        <w:rPr>
          <w:rFonts w:ascii="Book Antiqua" w:hAnsi="Book Antiqua" w:cs="Book Antiqua"/>
          <w:sz w:val="24"/>
          <w:szCs w:val="24"/>
        </w:rPr>
        <w:t xml:space="preserve">, López-Medrano F, Andrés A, Morales JM, Lumbreras C, San-Juan R, Polanco N, González E, Aguado JM. Serum iron parameters in the early post-transplant period and infection risk in kidney transplant recipients. </w:t>
      </w:r>
      <w:r w:rsidRPr="00B17ED4">
        <w:rPr>
          <w:rFonts w:ascii="Book Antiqua" w:hAnsi="Book Antiqua" w:cs="Book Antiqua"/>
          <w:i/>
          <w:sz w:val="24"/>
          <w:szCs w:val="24"/>
        </w:rPr>
        <w:t>Transpl Infect Dis</w:t>
      </w:r>
      <w:r w:rsidRPr="00B17ED4">
        <w:rPr>
          <w:rFonts w:ascii="Book Antiqua" w:hAnsi="Book Antiqua" w:cs="Book Antiqua"/>
          <w:sz w:val="24"/>
          <w:szCs w:val="24"/>
        </w:rPr>
        <w:t xml:space="preserve"> 2013; </w:t>
      </w:r>
      <w:r w:rsidRPr="00B17ED4">
        <w:rPr>
          <w:rFonts w:ascii="Book Antiqua" w:hAnsi="Book Antiqua" w:cs="Book Antiqua"/>
          <w:b/>
          <w:sz w:val="24"/>
          <w:szCs w:val="24"/>
        </w:rPr>
        <w:t>15</w:t>
      </w:r>
      <w:r w:rsidRPr="00B17ED4">
        <w:rPr>
          <w:rFonts w:ascii="Book Antiqua" w:hAnsi="Book Antiqua" w:cs="Book Antiqua"/>
          <w:sz w:val="24"/>
          <w:szCs w:val="24"/>
        </w:rPr>
        <w:t>: 600-611 [PMID: 24011120 DOI: 10.1111/tid.12137]</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53 </w:t>
      </w:r>
      <w:r w:rsidRPr="00B17ED4">
        <w:rPr>
          <w:rFonts w:ascii="Book Antiqua" w:hAnsi="Book Antiqua" w:cs="Book Antiqua"/>
          <w:b/>
          <w:sz w:val="24"/>
          <w:szCs w:val="24"/>
        </w:rPr>
        <w:t>Chow JK</w:t>
      </w:r>
      <w:r w:rsidRPr="00B17ED4">
        <w:rPr>
          <w:rFonts w:ascii="Book Antiqua" w:hAnsi="Book Antiqua" w:cs="Book Antiqua"/>
          <w:sz w:val="24"/>
          <w:szCs w:val="24"/>
        </w:rPr>
        <w:t xml:space="preserve">, Werner BG, Ruthazer R, Snydman DR. Increased serum iron levels and infectious complications after liver transplantation. </w:t>
      </w:r>
      <w:r w:rsidRPr="00B17ED4">
        <w:rPr>
          <w:rFonts w:ascii="Book Antiqua" w:hAnsi="Book Antiqua" w:cs="Book Antiqua"/>
          <w:i/>
          <w:sz w:val="24"/>
          <w:szCs w:val="24"/>
        </w:rPr>
        <w:t>Clin Infect Dis</w:t>
      </w:r>
      <w:r w:rsidRPr="00B17ED4">
        <w:rPr>
          <w:rFonts w:ascii="Book Antiqua" w:hAnsi="Book Antiqua" w:cs="Book Antiqua"/>
          <w:sz w:val="24"/>
          <w:szCs w:val="24"/>
        </w:rPr>
        <w:t xml:space="preserve"> 2010; </w:t>
      </w:r>
      <w:r w:rsidRPr="00B17ED4">
        <w:rPr>
          <w:rFonts w:ascii="Book Antiqua" w:hAnsi="Book Antiqua" w:cs="Book Antiqua"/>
          <w:b/>
          <w:sz w:val="24"/>
          <w:szCs w:val="24"/>
        </w:rPr>
        <w:t>51</w:t>
      </w:r>
      <w:r w:rsidRPr="00B17ED4">
        <w:rPr>
          <w:rFonts w:ascii="Book Antiqua" w:hAnsi="Book Antiqua" w:cs="Book Antiqua"/>
          <w:sz w:val="24"/>
          <w:szCs w:val="24"/>
        </w:rPr>
        <w:t>: e16-e23 [PMID: 20578876 DOI: 10.1086/654802]</w:t>
      </w:r>
    </w:p>
    <w:p w:rsidR="000505DB" w:rsidRPr="00B17ED4" w:rsidRDefault="000505DB" w:rsidP="000505DB">
      <w:pPr>
        <w:widowControl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54 </w:t>
      </w:r>
      <w:r w:rsidRPr="00B17ED4">
        <w:rPr>
          <w:rFonts w:ascii="Book Antiqua" w:hAnsi="Book Antiqua" w:cs="Book Antiqua"/>
          <w:b/>
          <w:sz w:val="24"/>
          <w:szCs w:val="24"/>
        </w:rPr>
        <w:t>Chow JKL</w:t>
      </w:r>
      <w:r w:rsidRPr="00B17ED4">
        <w:rPr>
          <w:rFonts w:ascii="Book Antiqua" w:hAnsi="Book Antiqua" w:cs="Book Antiqua"/>
          <w:sz w:val="24"/>
          <w:szCs w:val="24"/>
        </w:rPr>
        <w:t xml:space="preserve">, Ganz T, Ruthazer R, Simpson MA, Pomfret EA, Gordon FD, Westerman ME, Snydman DR. Iron-related markers are associated with infection after liver transplantation. </w:t>
      </w:r>
      <w:r w:rsidRPr="00B17ED4">
        <w:rPr>
          <w:rFonts w:ascii="Book Antiqua" w:hAnsi="Book Antiqua" w:cs="Book Antiqua"/>
          <w:i/>
          <w:sz w:val="24"/>
          <w:szCs w:val="24"/>
        </w:rPr>
        <w:t>Liver Transpl</w:t>
      </w:r>
      <w:r w:rsidRPr="00B17ED4">
        <w:rPr>
          <w:rFonts w:ascii="Book Antiqua" w:hAnsi="Book Antiqua" w:cs="Book Antiqua"/>
          <w:sz w:val="24"/>
          <w:szCs w:val="24"/>
        </w:rPr>
        <w:t xml:space="preserve"> 2017; </w:t>
      </w:r>
      <w:r w:rsidRPr="00B17ED4">
        <w:rPr>
          <w:rFonts w:ascii="Book Antiqua" w:hAnsi="Book Antiqua" w:cs="Book Antiqua"/>
          <w:b/>
          <w:sz w:val="24"/>
          <w:szCs w:val="24"/>
        </w:rPr>
        <w:t>23</w:t>
      </w:r>
      <w:r w:rsidRPr="00B17ED4">
        <w:rPr>
          <w:rFonts w:ascii="Book Antiqua" w:hAnsi="Book Antiqua" w:cs="Book Antiqua"/>
          <w:sz w:val="24"/>
          <w:szCs w:val="24"/>
        </w:rPr>
        <w:t>: 1541-1552 [PMID: 28703464 DOI: 10.1002/lt.24817]</w:t>
      </w:r>
      <w:r w:rsidRPr="00B17ED4">
        <w:rPr>
          <w:rFonts w:ascii="Book Antiqua" w:hAnsi="Book Antiqua" w:cs="Book Antiqua"/>
          <w:sz w:val="24"/>
          <w:szCs w:val="24"/>
        </w:rPr>
        <w:br w:type="page"/>
      </w:r>
    </w:p>
    <w:p w:rsidR="00820CBF" w:rsidRPr="00B17ED4" w:rsidRDefault="001317CB" w:rsidP="000505DB">
      <w:pPr>
        <w:snapToGrid w:val="0"/>
        <w:spacing w:after="0" w:line="360" w:lineRule="auto"/>
        <w:jc w:val="both"/>
        <w:rPr>
          <w:rFonts w:ascii="Book Antiqua" w:hAnsi="Book Antiqua" w:cs="Times New Roman"/>
          <w:b/>
          <w:sz w:val="24"/>
          <w:szCs w:val="24"/>
        </w:rPr>
      </w:pPr>
      <w:r w:rsidRPr="00B17ED4">
        <w:rPr>
          <w:rFonts w:ascii="Book Antiqua" w:hAnsi="Book Antiqua" w:cs="Times New Roman"/>
          <w:b/>
          <w:sz w:val="24"/>
          <w:szCs w:val="24"/>
        </w:rPr>
        <w:lastRenderedPageBreak/>
        <w:t>Footnotes</w:t>
      </w:r>
    </w:p>
    <w:p w:rsidR="00820CBF" w:rsidRPr="00B17ED4" w:rsidRDefault="001317CB" w:rsidP="000505DB">
      <w:pPr>
        <w:snapToGrid w:val="0"/>
        <w:spacing w:after="0" w:line="360" w:lineRule="auto"/>
        <w:jc w:val="both"/>
        <w:rPr>
          <w:rFonts w:ascii="Book Antiqua" w:eastAsia="宋体" w:hAnsi="Book Antiqua" w:cs="Times New Roman"/>
          <w:sz w:val="24"/>
          <w:szCs w:val="24"/>
          <w:lang w:val="en-US" w:eastAsia="zh-CN"/>
        </w:rPr>
      </w:pPr>
      <w:r w:rsidRPr="00B17ED4">
        <w:rPr>
          <w:rFonts w:ascii="Book Antiqua" w:hAnsi="Book Antiqua" w:cs="Times New Roman"/>
          <w:b/>
          <w:sz w:val="24"/>
          <w:szCs w:val="24"/>
        </w:rPr>
        <w:t>Institutional review board statement</w:t>
      </w:r>
      <w:r w:rsidRPr="00B17ED4">
        <w:rPr>
          <w:rFonts w:ascii="Book Antiqua" w:hAnsi="Book Antiqua" w:cs="Times New Roman"/>
          <w:sz w:val="24"/>
          <w:szCs w:val="24"/>
        </w:rPr>
        <w:t xml:space="preserve">: </w:t>
      </w:r>
      <w:r w:rsidRPr="00B17ED4">
        <w:rPr>
          <w:rFonts w:ascii="Book Antiqua" w:hAnsi="Book Antiqua" w:cs="Book Antiqua"/>
          <w:sz w:val="24"/>
          <w:szCs w:val="24"/>
          <w:lang w:val="en-GB"/>
        </w:rPr>
        <w:t xml:space="preserve">This study was approved by </w:t>
      </w:r>
      <w:r w:rsidR="008978A3" w:rsidRPr="00B17ED4">
        <w:rPr>
          <w:rFonts w:ascii="Book Antiqua" w:hAnsi="Book Antiqua" w:cs="Book Antiqua"/>
          <w:sz w:val="24"/>
          <w:szCs w:val="24"/>
          <w:lang w:val="en-GB"/>
        </w:rPr>
        <w:t>the Rennes University Ethics Committee</w:t>
      </w:r>
      <w:r w:rsidR="008978A3">
        <w:rPr>
          <w:rFonts w:ascii="Book Antiqua" w:hAnsi="Book Antiqua" w:cs="Book Antiqua"/>
          <w:sz w:val="24"/>
          <w:szCs w:val="24"/>
          <w:lang w:val="en-GB"/>
        </w:rPr>
        <w:t xml:space="preserve"> </w:t>
      </w:r>
      <w:r w:rsidRPr="00B17ED4">
        <w:rPr>
          <w:rFonts w:ascii="Book Antiqua" w:hAnsi="Book Antiqua" w:cs="Book Antiqua"/>
          <w:sz w:val="24"/>
          <w:szCs w:val="24"/>
          <w:lang w:val="en-GB"/>
        </w:rPr>
        <w:t>on the 20</w:t>
      </w:r>
      <w:r w:rsidRPr="00B17ED4">
        <w:rPr>
          <w:rFonts w:ascii="Book Antiqua" w:hAnsi="Book Antiqua" w:cs="Book Antiqua"/>
          <w:sz w:val="24"/>
          <w:szCs w:val="24"/>
          <w:vertAlign w:val="superscript"/>
          <w:lang w:val="en-GB"/>
        </w:rPr>
        <w:t>th</w:t>
      </w:r>
      <w:r w:rsidRPr="00B17ED4">
        <w:rPr>
          <w:rFonts w:ascii="Book Antiqua" w:hAnsi="Book Antiqua" w:cs="Book Antiqua"/>
          <w:sz w:val="24"/>
          <w:szCs w:val="24"/>
          <w:lang w:val="en-GB"/>
        </w:rPr>
        <w:t xml:space="preserve"> of October 2015</w:t>
      </w:r>
      <w:r w:rsidRPr="00B17ED4">
        <w:rPr>
          <w:rFonts w:ascii="Book Antiqua" w:eastAsia="宋体" w:hAnsi="Book Antiqua" w:cs="Book Antiqua" w:hint="eastAsia"/>
          <w:sz w:val="24"/>
          <w:szCs w:val="24"/>
          <w:lang w:val="en-US" w:eastAsia="zh-CN"/>
        </w:rPr>
        <w:t>.</w:t>
      </w:r>
    </w:p>
    <w:p w:rsidR="00820CBF" w:rsidRPr="00B17ED4" w:rsidRDefault="00820CBF"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Times New Roman"/>
          <w:sz w:val="24"/>
          <w:szCs w:val="24"/>
          <w:lang w:val="en-US"/>
        </w:rPr>
      </w:pPr>
      <w:r w:rsidRPr="00B17ED4">
        <w:rPr>
          <w:rFonts w:ascii="Book Antiqua" w:hAnsi="Book Antiqua" w:cs="Times New Roman"/>
          <w:b/>
          <w:sz w:val="24"/>
          <w:szCs w:val="24"/>
          <w:lang w:val="en-US"/>
        </w:rPr>
        <w:t>Informed consent statement:</w:t>
      </w:r>
      <w:r w:rsidR="00394FAE">
        <w:rPr>
          <w:rFonts w:ascii="Book Antiqua" w:hAnsi="Book Antiqua" w:cs="Times New Roman"/>
          <w:sz w:val="24"/>
          <w:szCs w:val="24"/>
          <w:lang w:val="en-US"/>
        </w:rPr>
        <w:t xml:space="preserve"> </w:t>
      </w:r>
      <w:r w:rsidR="00394FAE" w:rsidRPr="00394FAE">
        <w:rPr>
          <w:rFonts w:ascii="Book Antiqua" w:hAnsi="Book Antiqua" w:cs="Times New Roman"/>
          <w:sz w:val="24"/>
          <w:szCs w:val="24"/>
          <w:lang w:val="en-US"/>
        </w:rPr>
        <w:t>According to this law (</w:t>
      </w:r>
      <w:proofErr w:type="spellStart"/>
      <w:r w:rsidR="00394FAE" w:rsidRPr="00394FAE">
        <w:rPr>
          <w:rFonts w:ascii="Book Antiqua" w:hAnsi="Book Antiqua" w:cs="Times New Roman"/>
          <w:sz w:val="24"/>
          <w:szCs w:val="24"/>
          <w:lang w:val="en-US"/>
        </w:rPr>
        <w:t>Loi</w:t>
      </w:r>
      <w:proofErr w:type="spellEnd"/>
      <w:r w:rsidR="00394FAE" w:rsidRPr="00394FAE">
        <w:rPr>
          <w:rFonts w:ascii="Book Antiqua" w:hAnsi="Book Antiqua" w:cs="Times New Roman"/>
          <w:sz w:val="24"/>
          <w:szCs w:val="24"/>
          <w:lang w:val="en-US"/>
        </w:rPr>
        <w:t xml:space="preserve"> </w:t>
      </w:r>
      <w:proofErr w:type="spellStart"/>
      <w:r w:rsidR="00394FAE" w:rsidRPr="00394FAE">
        <w:rPr>
          <w:rFonts w:ascii="Book Antiqua" w:hAnsi="Book Antiqua" w:cs="Times New Roman"/>
          <w:sz w:val="24"/>
          <w:szCs w:val="24"/>
          <w:lang w:val="en-US"/>
        </w:rPr>
        <w:t>Jardé</w:t>
      </w:r>
      <w:proofErr w:type="spellEnd"/>
      <w:r w:rsidR="00394FAE" w:rsidRPr="00394FAE">
        <w:rPr>
          <w:rFonts w:ascii="Book Antiqua" w:hAnsi="Book Antiqua" w:cs="Times New Roman"/>
          <w:sz w:val="24"/>
          <w:szCs w:val="24"/>
          <w:lang w:val="en-US"/>
        </w:rPr>
        <w:t xml:space="preserve"> n° 2012-300 the 5</w:t>
      </w:r>
      <w:r w:rsidR="00394FAE" w:rsidRPr="008978A3">
        <w:rPr>
          <w:rFonts w:ascii="Book Antiqua" w:hAnsi="Book Antiqua" w:cs="Times New Roman"/>
          <w:sz w:val="24"/>
          <w:szCs w:val="24"/>
          <w:vertAlign w:val="superscript"/>
          <w:lang w:val="en-US"/>
        </w:rPr>
        <w:t>th</w:t>
      </w:r>
      <w:r w:rsidR="00394FAE" w:rsidRPr="00394FAE">
        <w:rPr>
          <w:rFonts w:ascii="Book Antiqua" w:hAnsi="Book Antiqua" w:cs="Times New Roman"/>
          <w:sz w:val="24"/>
          <w:szCs w:val="24"/>
          <w:lang w:val="en-US"/>
        </w:rPr>
        <w:t xml:space="preserve"> of March 2012) the retrospective use of clinical and biological data generated during the routine car of patient does not require signed informed consent for patients included in this kind of study.</w:t>
      </w:r>
    </w:p>
    <w:p w:rsidR="00820CBF" w:rsidRPr="00B17ED4" w:rsidRDefault="00820CBF" w:rsidP="000505DB">
      <w:pPr>
        <w:snapToGrid w:val="0"/>
        <w:spacing w:after="0" w:line="360" w:lineRule="auto"/>
        <w:jc w:val="both"/>
        <w:rPr>
          <w:rFonts w:ascii="Book Antiqua" w:hAnsi="Book Antiqua" w:cs="Times New Roman"/>
          <w:sz w:val="24"/>
          <w:szCs w:val="24"/>
          <w:lang w:val="en-US"/>
        </w:rPr>
      </w:pPr>
    </w:p>
    <w:p w:rsidR="00DF5D31" w:rsidRPr="00DF5D31" w:rsidRDefault="001317CB" w:rsidP="00DF5D31">
      <w:pPr>
        <w:snapToGrid w:val="0"/>
        <w:spacing w:after="0" w:line="360" w:lineRule="auto"/>
        <w:jc w:val="both"/>
        <w:rPr>
          <w:rFonts w:ascii="Book Antiqua" w:hAnsi="Book Antiqua" w:cs="Times New Roman"/>
          <w:sz w:val="24"/>
          <w:szCs w:val="24"/>
          <w:lang w:val="en-GB"/>
        </w:rPr>
      </w:pPr>
      <w:r w:rsidRPr="00B17ED4">
        <w:rPr>
          <w:rFonts w:ascii="Book Antiqua" w:hAnsi="Book Antiqua" w:cs="Times New Roman"/>
          <w:b/>
          <w:sz w:val="24"/>
          <w:szCs w:val="24"/>
        </w:rPr>
        <w:t>Conflict-of-interest statement</w:t>
      </w:r>
      <w:r w:rsidRPr="00B17ED4">
        <w:rPr>
          <w:rFonts w:ascii="Book Antiqua" w:hAnsi="Book Antiqua" w:cs="Times New Roman"/>
          <w:sz w:val="24"/>
          <w:szCs w:val="24"/>
        </w:rPr>
        <w:t xml:space="preserve">: </w:t>
      </w:r>
      <w:r w:rsidR="00DF5D31" w:rsidRPr="00DF5D31">
        <w:rPr>
          <w:rFonts w:ascii="Book Antiqua" w:hAnsi="Book Antiqua" w:cs="Times New Roman"/>
          <w:sz w:val="24"/>
          <w:szCs w:val="24"/>
          <w:lang w:val="en-GB"/>
        </w:rPr>
        <w:t>Authors have no conflict of interest to declare.</w:t>
      </w:r>
    </w:p>
    <w:p w:rsidR="00820CBF" w:rsidRPr="00B17ED4" w:rsidRDefault="00820CBF" w:rsidP="000505DB">
      <w:pPr>
        <w:snapToGrid w:val="0"/>
        <w:spacing w:after="0" w:line="360" w:lineRule="auto"/>
        <w:jc w:val="both"/>
        <w:rPr>
          <w:rFonts w:ascii="Book Antiqua" w:hAnsi="Book Antiqua" w:cs="Times New Roman"/>
          <w:sz w:val="24"/>
          <w:szCs w:val="24"/>
        </w:rPr>
      </w:pPr>
    </w:p>
    <w:p w:rsidR="00820CBF" w:rsidRPr="00B17ED4" w:rsidRDefault="001317CB" w:rsidP="000505DB">
      <w:pPr>
        <w:snapToGrid w:val="0"/>
        <w:spacing w:after="0" w:line="360" w:lineRule="auto"/>
        <w:jc w:val="both"/>
        <w:rPr>
          <w:rFonts w:ascii="Book Antiqua" w:hAnsi="Book Antiqua" w:cs="Times New Roman"/>
          <w:sz w:val="24"/>
          <w:szCs w:val="24"/>
        </w:rPr>
      </w:pPr>
      <w:r w:rsidRPr="00B17ED4">
        <w:rPr>
          <w:rFonts w:ascii="Book Antiqua" w:hAnsi="Book Antiqua" w:cs="Times New Roman"/>
          <w:b/>
          <w:sz w:val="24"/>
          <w:szCs w:val="24"/>
        </w:rPr>
        <w:t>Data sharing statement</w:t>
      </w:r>
      <w:r w:rsidRPr="00B17ED4">
        <w:rPr>
          <w:rFonts w:ascii="Book Antiqua" w:hAnsi="Book Antiqua" w:cs="Times New Roman"/>
          <w:sz w:val="24"/>
          <w:szCs w:val="24"/>
        </w:rPr>
        <w:t>: No additional data are available.</w:t>
      </w:r>
    </w:p>
    <w:p w:rsidR="00820CBF" w:rsidRPr="00B17ED4" w:rsidRDefault="00820CBF" w:rsidP="000505DB">
      <w:pPr>
        <w:widowControl w:val="0"/>
        <w:adjustRightInd w:val="0"/>
        <w:snapToGrid w:val="0"/>
        <w:spacing w:after="0" w:line="360" w:lineRule="auto"/>
        <w:jc w:val="both"/>
        <w:rPr>
          <w:rFonts w:ascii="Book Antiqua" w:eastAsia="宋体" w:hAnsi="Book Antiqua" w:cs="Times New Roman"/>
          <w:b/>
          <w:kern w:val="2"/>
          <w:sz w:val="24"/>
          <w:szCs w:val="24"/>
          <w:lang w:val="en-US"/>
        </w:rPr>
      </w:pPr>
    </w:p>
    <w:p w:rsidR="00820CBF" w:rsidRPr="00B17ED4" w:rsidRDefault="001317CB" w:rsidP="000505DB">
      <w:pPr>
        <w:widowControl w:val="0"/>
        <w:adjustRightInd w:val="0"/>
        <w:snapToGrid w:val="0"/>
        <w:spacing w:after="0" w:line="360" w:lineRule="auto"/>
        <w:jc w:val="both"/>
        <w:rPr>
          <w:rFonts w:ascii="Book Antiqua" w:eastAsia="宋体" w:hAnsi="Book Antiqua" w:cs="Times New Roman"/>
          <w:kern w:val="2"/>
          <w:sz w:val="24"/>
          <w:szCs w:val="24"/>
          <w:lang w:val="en-US"/>
        </w:rPr>
      </w:pPr>
      <w:r w:rsidRPr="00B17ED4">
        <w:rPr>
          <w:rFonts w:ascii="Book Antiqua" w:eastAsia="宋体" w:hAnsi="Book Antiqua" w:cs="Times New Roman"/>
          <w:b/>
          <w:kern w:val="2"/>
          <w:sz w:val="24"/>
          <w:szCs w:val="24"/>
          <w:lang w:val="en-US"/>
        </w:rPr>
        <w:t>Open-Access:</w:t>
      </w:r>
      <w:r w:rsidRPr="00B17ED4">
        <w:rPr>
          <w:rFonts w:ascii="Book Antiqua" w:eastAsia="宋体" w:hAnsi="Book Antiqua" w:cs="Times New Roman"/>
          <w:kern w:val="2"/>
          <w:sz w:val="24"/>
          <w:szCs w:val="24"/>
          <w:lang w:val="en-US"/>
        </w:rPr>
        <w:t xml:space="preserve"> This article is an open-access article that was selected by an in-house editor and fully peer-reviewed by external reviewers. It is distributed in accordance with the Creative Commons Attribution </w:t>
      </w:r>
      <w:proofErr w:type="spellStart"/>
      <w:r w:rsidRPr="00B17ED4">
        <w:rPr>
          <w:rFonts w:ascii="Book Antiqua" w:eastAsia="宋体" w:hAnsi="Book Antiqua" w:cs="Times New Roman"/>
          <w:kern w:val="2"/>
          <w:sz w:val="24"/>
          <w:szCs w:val="24"/>
          <w:lang w:val="en-US"/>
        </w:rPr>
        <w:t>NonCommercial</w:t>
      </w:r>
      <w:proofErr w:type="spellEnd"/>
      <w:r w:rsidRPr="00B17ED4">
        <w:rPr>
          <w:rFonts w:ascii="Book Antiqua" w:eastAsia="宋体" w:hAnsi="Book Antiqua" w:cs="Times New Roman"/>
          <w:kern w:val="2"/>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20CBF" w:rsidRPr="00B17ED4" w:rsidRDefault="00820CBF" w:rsidP="000505DB">
      <w:pPr>
        <w:adjustRightInd w:val="0"/>
        <w:snapToGrid w:val="0"/>
        <w:spacing w:after="0" w:line="360" w:lineRule="auto"/>
        <w:jc w:val="both"/>
        <w:rPr>
          <w:rFonts w:ascii="Book Antiqua" w:eastAsia="宋体" w:hAnsi="Book Antiqua" w:cs="Times New Roman"/>
          <w:sz w:val="24"/>
          <w:szCs w:val="24"/>
          <w:lang w:val="en-US"/>
        </w:rPr>
      </w:pPr>
    </w:p>
    <w:p w:rsidR="00820CBF" w:rsidRPr="00B17ED4" w:rsidRDefault="001317CB" w:rsidP="000505DB">
      <w:pPr>
        <w:adjustRightInd w:val="0"/>
        <w:snapToGrid w:val="0"/>
        <w:spacing w:after="0" w:line="360" w:lineRule="auto"/>
        <w:jc w:val="both"/>
        <w:rPr>
          <w:rFonts w:ascii="Book Antiqua" w:eastAsia="宋体" w:hAnsi="Book Antiqua" w:cs="Times New Roman"/>
          <w:bCs/>
          <w:sz w:val="24"/>
          <w:szCs w:val="24"/>
          <w:lang w:eastAsia="pl-PL"/>
        </w:rPr>
      </w:pPr>
      <w:r w:rsidRPr="00B17ED4">
        <w:rPr>
          <w:rFonts w:ascii="Book Antiqua" w:eastAsia="宋体" w:hAnsi="Book Antiqua" w:cs="Times New Roman"/>
          <w:b/>
          <w:bCs/>
          <w:sz w:val="24"/>
          <w:szCs w:val="24"/>
          <w:lang w:eastAsia="pl-PL"/>
        </w:rPr>
        <w:t>Manuscript source:</w:t>
      </w:r>
      <w:r w:rsidR="0059367F">
        <w:rPr>
          <w:rFonts w:ascii="Book Antiqua" w:eastAsia="宋体" w:hAnsi="Book Antiqua" w:cs="Times New Roman"/>
          <w:b/>
          <w:bCs/>
          <w:sz w:val="24"/>
          <w:szCs w:val="24"/>
          <w:lang w:eastAsia="pl-PL"/>
        </w:rPr>
        <w:t xml:space="preserve"> </w:t>
      </w:r>
      <w:r w:rsidR="0059367F" w:rsidRPr="0059367F">
        <w:rPr>
          <w:rFonts w:ascii="Book Antiqua" w:eastAsia="宋体" w:hAnsi="Book Antiqua" w:cs="Times New Roman"/>
          <w:bCs/>
          <w:sz w:val="24"/>
          <w:szCs w:val="24"/>
          <w:lang w:eastAsia="pl-PL"/>
        </w:rPr>
        <w:t>Invited manuscript</w:t>
      </w:r>
    </w:p>
    <w:p w:rsidR="00820CBF" w:rsidRPr="00B17ED4" w:rsidRDefault="00820CBF" w:rsidP="000505DB">
      <w:pPr>
        <w:adjustRightInd w:val="0"/>
        <w:snapToGrid w:val="0"/>
        <w:spacing w:after="0" w:line="360" w:lineRule="auto"/>
        <w:jc w:val="both"/>
        <w:rPr>
          <w:rFonts w:ascii="Book Antiqua" w:eastAsia="宋体" w:hAnsi="Book Antiqua" w:cs="Times New Roman"/>
          <w:b/>
          <w:bCs/>
          <w:sz w:val="24"/>
          <w:szCs w:val="24"/>
        </w:rPr>
      </w:pP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Peer-review started:</w:t>
      </w:r>
      <w:r w:rsidR="0059367F">
        <w:rPr>
          <w:rFonts w:ascii="Book Antiqua" w:eastAsia="宋体" w:hAnsi="Book Antiqua" w:cs="Times New Roman"/>
          <w:b/>
          <w:sz w:val="24"/>
          <w:szCs w:val="24"/>
          <w:lang w:val="en-US"/>
        </w:rPr>
        <w:t xml:space="preserve"> </w:t>
      </w:r>
      <w:r w:rsidR="0059367F" w:rsidRPr="0059367F">
        <w:rPr>
          <w:rFonts w:ascii="Book Antiqua" w:eastAsia="宋体" w:hAnsi="Book Antiqua" w:cs="Times New Roman"/>
          <w:sz w:val="24"/>
          <w:szCs w:val="24"/>
          <w:lang w:val="en-US"/>
        </w:rPr>
        <w:t>December 30, 2019</w:t>
      </w: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 xml:space="preserve">First decision: </w:t>
      </w:r>
      <w:r w:rsidR="0059367F" w:rsidRPr="0059367F">
        <w:rPr>
          <w:rFonts w:ascii="Book Antiqua" w:eastAsia="宋体" w:hAnsi="Book Antiqua" w:cs="Times New Roman"/>
          <w:sz w:val="24"/>
          <w:szCs w:val="24"/>
          <w:lang w:val="en-US"/>
        </w:rPr>
        <w:t>January 19, 2020</w:t>
      </w:r>
    </w:p>
    <w:p w:rsidR="00820CBF" w:rsidRPr="00B17ED4" w:rsidRDefault="001317CB" w:rsidP="000505DB">
      <w:pPr>
        <w:adjustRightInd w:val="0"/>
        <w:snapToGrid w:val="0"/>
        <w:spacing w:after="0" w:line="360" w:lineRule="auto"/>
        <w:jc w:val="both"/>
        <w:rPr>
          <w:rFonts w:ascii="Book Antiqua" w:eastAsia="宋体" w:hAnsi="Book Antiqua" w:cs="Times New Roman"/>
          <w:b/>
          <w:sz w:val="24"/>
          <w:szCs w:val="24"/>
          <w:lang w:val="en-US"/>
        </w:rPr>
      </w:pPr>
      <w:r w:rsidRPr="00B17ED4">
        <w:rPr>
          <w:rFonts w:ascii="Book Antiqua" w:eastAsia="宋体" w:hAnsi="Book Antiqua" w:cs="Times New Roman"/>
          <w:b/>
          <w:sz w:val="24"/>
          <w:szCs w:val="24"/>
          <w:lang w:val="en-US"/>
        </w:rPr>
        <w:t>Article in press:</w:t>
      </w:r>
    </w:p>
    <w:p w:rsidR="00820CBF" w:rsidRPr="00B17ED4" w:rsidRDefault="00820CBF" w:rsidP="000505DB">
      <w:pPr>
        <w:adjustRightInd w:val="0"/>
        <w:snapToGrid w:val="0"/>
        <w:spacing w:after="0" w:line="360" w:lineRule="auto"/>
        <w:jc w:val="both"/>
        <w:rPr>
          <w:rFonts w:ascii="Book Antiqua" w:eastAsia="宋体" w:hAnsi="Book Antiqua" w:cs="Times New Roman"/>
          <w:b/>
          <w:sz w:val="24"/>
          <w:szCs w:val="24"/>
          <w:lang w:val="en-US"/>
        </w:rPr>
      </w:pPr>
    </w:p>
    <w:p w:rsidR="0059367F" w:rsidRPr="0059367F" w:rsidRDefault="0059367F" w:rsidP="0059367F">
      <w:pPr>
        <w:widowControl w:val="0"/>
        <w:adjustRightInd w:val="0"/>
        <w:snapToGrid w:val="0"/>
        <w:spacing w:after="0" w:line="360" w:lineRule="auto"/>
        <w:jc w:val="both"/>
        <w:rPr>
          <w:rFonts w:ascii="Book Antiqua" w:eastAsia="微软雅黑" w:hAnsi="Book Antiqua" w:cs="Times New Roman"/>
          <w:sz w:val="24"/>
          <w:szCs w:val="24"/>
          <w:lang w:eastAsia="zh-CN"/>
        </w:rPr>
      </w:pPr>
      <w:r w:rsidRPr="0059367F">
        <w:rPr>
          <w:rFonts w:ascii="Book Antiqua" w:eastAsia="宋体" w:hAnsi="Book Antiqua" w:cs="Times New Roman"/>
          <w:b/>
          <w:sz w:val="24"/>
          <w:szCs w:val="24"/>
          <w:lang w:eastAsia="zh-CN"/>
        </w:rPr>
        <w:t xml:space="preserve">Specialty type: </w:t>
      </w:r>
      <w:r w:rsidRPr="0059367F">
        <w:rPr>
          <w:rFonts w:ascii="Book Antiqua" w:eastAsia="微软雅黑" w:hAnsi="Book Antiqua" w:cs="Times New Roman"/>
          <w:sz w:val="24"/>
          <w:szCs w:val="24"/>
          <w:lang w:eastAsia="zh-CN"/>
        </w:rPr>
        <w:t>Gastroenterology and hepatology</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b/>
          <w:sz w:val="24"/>
          <w:szCs w:val="24"/>
          <w:lang w:eastAsia="zh-CN"/>
        </w:rPr>
      </w:pPr>
      <w:r w:rsidRPr="0059367F">
        <w:rPr>
          <w:rFonts w:ascii="Book Antiqua" w:eastAsia="宋体" w:hAnsi="Book Antiqua" w:cs="Times New Roman"/>
          <w:b/>
          <w:sz w:val="24"/>
          <w:szCs w:val="24"/>
          <w:lang w:eastAsia="zh-CN"/>
        </w:rPr>
        <w:t xml:space="preserve">Country/Territory of origin: </w:t>
      </w:r>
      <w:r w:rsidRPr="0059367F">
        <w:rPr>
          <w:rFonts w:ascii="Book Antiqua" w:eastAsia="宋体" w:hAnsi="Book Antiqua" w:cs="Times New Roman"/>
          <w:sz w:val="24"/>
          <w:szCs w:val="24"/>
          <w:lang w:val="en-US" w:eastAsia="zh-CN"/>
        </w:rPr>
        <w:t>France</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b/>
          <w:sz w:val="24"/>
          <w:szCs w:val="24"/>
          <w:lang w:eastAsia="zh-CN"/>
        </w:rPr>
      </w:pPr>
      <w:r w:rsidRPr="0059367F">
        <w:rPr>
          <w:rFonts w:ascii="Book Antiqua" w:eastAsia="宋体" w:hAnsi="Book Antiqua" w:cs="Times New Roman"/>
          <w:b/>
          <w:sz w:val="24"/>
          <w:szCs w:val="24"/>
          <w:lang w:eastAsia="zh-CN"/>
        </w:rPr>
        <w:t>Peer-review report’s scientific quality classification</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t>Grade A (Excellent): 0</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lastRenderedPageBreak/>
        <w:t>Grade B (Very good): B</w:t>
      </w:r>
      <w:r w:rsidR="000B3D9A">
        <w:rPr>
          <w:rFonts w:ascii="Book Antiqua" w:eastAsia="宋体" w:hAnsi="Book Antiqua" w:cs="Times New Roman"/>
          <w:sz w:val="24"/>
          <w:szCs w:val="24"/>
          <w:lang w:eastAsia="zh-CN"/>
        </w:rPr>
        <w:t>, B</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t xml:space="preserve">Grade C (Good): </w:t>
      </w:r>
      <w:r w:rsidR="000B3D9A">
        <w:rPr>
          <w:rFonts w:ascii="Book Antiqua" w:eastAsia="宋体" w:hAnsi="Book Antiqua" w:cs="Times New Roman"/>
          <w:sz w:val="24"/>
          <w:szCs w:val="24"/>
          <w:lang w:eastAsia="zh-CN"/>
        </w:rPr>
        <w:t>C</w:t>
      </w:r>
    </w:p>
    <w:p w:rsidR="0059367F" w:rsidRPr="0059367F" w:rsidRDefault="0059367F" w:rsidP="0059367F">
      <w:pPr>
        <w:widowControl w:val="0"/>
        <w:adjustRightInd w:val="0"/>
        <w:snapToGrid w:val="0"/>
        <w:spacing w:after="0" w:line="360" w:lineRule="auto"/>
        <w:jc w:val="both"/>
        <w:rPr>
          <w:rFonts w:ascii="Book Antiqua" w:eastAsia="宋体" w:hAnsi="Book Antiqua" w:cs="Times New Roman"/>
          <w:sz w:val="24"/>
          <w:szCs w:val="24"/>
          <w:lang w:eastAsia="zh-CN"/>
        </w:rPr>
      </w:pPr>
      <w:r w:rsidRPr="0059367F">
        <w:rPr>
          <w:rFonts w:ascii="Book Antiqua" w:eastAsia="宋体" w:hAnsi="Book Antiqua" w:cs="Times New Roman"/>
          <w:sz w:val="24"/>
          <w:szCs w:val="24"/>
          <w:lang w:eastAsia="zh-CN"/>
        </w:rPr>
        <w:t>Grade D (Fair): 0</w:t>
      </w:r>
    </w:p>
    <w:p w:rsidR="0059367F" w:rsidRPr="0059367F" w:rsidRDefault="0059367F" w:rsidP="0059367F">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59367F">
        <w:rPr>
          <w:rFonts w:ascii="Book Antiqua" w:eastAsia="宋体" w:hAnsi="Book Antiqua" w:cs="Times New Roman"/>
          <w:sz w:val="24"/>
          <w:szCs w:val="24"/>
          <w:lang w:eastAsia="zh-CN"/>
        </w:rPr>
        <w:t>Grade E (Poor): 0</w:t>
      </w:r>
    </w:p>
    <w:p w:rsidR="0059367F" w:rsidRPr="0059367F" w:rsidRDefault="0059367F" w:rsidP="0059367F">
      <w:pPr>
        <w:adjustRightInd w:val="0"/>
        <w:snapToGrid w:val="0"/>
        <w:spacing w:after="0" w:line="360" w:lineRule="auto"/>
        <w:ind w:right="361"/>
        <w:rPr>
          <w:rFonts w:ascii="Book Antiqua" w:eastAsia="宋体" w:hAnsi="Book Antiqua" w:cs="Times New Roman"/>
          <w:sz w:val="24"/>
          <w:szCs w:val="24"/>
          <w:lang w:val="en-US" w:eastAsia="zh-CN"/>
        </w:rPr>
      </w:pPr>
    </w:p>
    <w:p w:rsidR="0059367F" w:rsidRPr="0059367F" w:rsidRDefault="0059367F" w:rsidP="0059367F">
      <w:pPr>
        <w:adjustRightInd w:val="0"/>
        <w:snapToGrid w:val="0"/>
        <w:spacing w:after="0" w:line="360" w:lineRule="auto"/>
        <w:ind w:right="361"/>
        <w:rPr>
          <w:rFonts w:ascii="Book Antiqua" w:eastAsia="宋体" w:hAnsi="Book Antiqua" w:cs="Times New Roman"/>
          <w:b/>
          <w:bCs/>
          <w:sz w:val="24"/>
          <w:szCs w:val="24"/>
          <w:lang w:val="en-US" w:eastAsia="zh-CN"/>
        </w:rPr>
      </w:pPr>
      <w:r w:rsidRPr="0059367F">
        <w:rPr>
          <w:rFonts w:ascii="Book Antiqua" w:eastAsia="宋体" w:hAnsi="Book Antiqua" w:cs="Times New Roman"/>
          <w:b/>
          <w:sz w:val="24"/>
          <w:szCs w:val="24"/>
          <w:lang w:val="en-US"/>
        </w:rPr>
        <w:t>P-Reviewer</w:t>
      </w:r>
      <w:r w:rsidRPr="0059367F">
        <w:rPr>
          <w:rFonts w:ascii="Book Antiqua" w:eastAsia="宋体" w:hAnsi="Book Antiqua" w:cs="Times New Roman"/>
          <w:b/>
          <w:sz w:val="24"/>
          <w:szCs w:val="24"/>
          <w:lang w:val="en-US" w:eastAsia="zh-CN"/>
        </w:rPr>
        <w:t>:</w:t>
      </w:r>
      <w:r w:rsidR="00C47E43">
        <w:rPr>
          <w:rFonts w:ascii="Book Antiqua" w:eastAsia="宋体" w:hAnsi="Book Antiqua" w:cs="Times New Roman"/>
          <w:bCs/>
          <w:sz w:val="24"/>
          <w:szCs w:val="24"/>
          <w:lang w:val="en-US"/>
        </w:rPr>
        <w:t xml:space="preserve"> </w:t>
      </w:r>
      <w:proofErr w:type="spellStart"/>
      <w:r w:rsidR="003A1092" w:rsidRPr="003A1092">
        <w:rPr>
          <w:rFonts w:ascii="Book Antiqua" w:eastAsia="宋体" w:hAnsi="Book Antiqua" w:cs="Times New Roman"/>
          <w:bCs/>
          <w:sz w:val="24"/>
          <w:szCs w:val="24"/>
          <w:lang w:val="en-US"/>
        </w:rPr>
        <w:t>Aygun</w:t>
      </w:r>
      <w:proofErr w:type="spellEnd"/>
      <w:r w:rsidR="003A1092">
        <w:rPr>
          <w:rFonts w:ascii="Book Antiqua" w:eastAsia="宋体" w:hAnsi="Book Antiqua" w:cs="Times New Roman"/>
          <w:bCs/>
          <w:sz w:val="24"/>
          <w:szCs w:val="24"/>
          <w:lang w:val="en-US"/>
        </w:rPr>
        <w:t xml:space="preserve"> C, Mousa HA, </w:t>
      </w:r>
      <w:proofErr w:type="spellStart"/>
      <w:r w:rsidR="003A1092" w:rsidRPr="003A1092">
        <w:rPr>
          <w:rFonts w:ascii="Book Antiqua" w:eastAsia="宋体" w:hAnsi="Book Antiqua" w:cs="Times New Roman"/>
          <w:bCs/>
          <w:sz w:val="24"/>
          <w:szCs w:val="24"/>
          <w:lang w:val="en-US"/>
        </w:rPr>
        <w:t>Murotomi</w:t>
      </w:r>
      <w:proofErr w:type="spellEnd"/>
      <w:r w:rsidR="003A1092">
        <w:rPr>
          <w:rFonts w:ascii="Book Antiqua" w:eastAsia="宋体" w:hAnsi="Book Antiqua" w:cs="Times New Roman"/>
          <w:bCs/>
          <w:sz w:val="24"/>
          <w:szCs w:val="24"/>
          <w:lang w:val="en-US"/>
        </w:rPr>
        <w:t xml:space="preserve"> K </w:t>
      </w:r>
      <w:r w:rsidRPr="0059367F">
        <w:rPr>
          <w:rFonts w:ascii="Book Antiqua" w:eastAsia="宋体" w:hAnsi="Book Antiqua" w:cs="Times New Roman"/>
          <w:b/>
          <w:bCs/>
          <w:sz w:val="24"/>
          <w:szCs w:val="24"/>
          <w:lang w:val="en-US"/>
        </w:rPr>
        <w:t>S-Editor</w:t>
      </w:r>
      <w:r w:rsidRPr="0059367F">
        <w:rPr>
          <w:rFonts w:ascii="Book Antiqua" w:eastAsia="宋体" w:hAnsi="Book Antiqua" w:cs="Times New Roman"/>
          <w:b/>
          <w:bCs/>
          <w:sz w:val="24"/>
          <w:szCs w:val="24"/>
          <w:lang w:val="en-US" w:eastAsia="zh-CN"/>
        </w:rPr>
        <w:t>:</w:t>
      </w:r>
      <w:r w:rsidRPr="0059367F">
        <w:rPr>
          <w:rFonts w:ascii="Book Antiqua" w:eastAsia="宋体" w:hAnsi="Book Antiqua" w:cs="Times New Roman"/>
          <w:bCs/>
          <w:sz w:val="24"/>
          <w:szCs w:val="24"/>
          <w:lang w:val="en-US"/>
        </w:rPr>
        <w:t xml:space="preserve"> </w:t>
      </w:r>
      <w:r w:rsidRPr="0059367F">
        <w:rPr>
          <w:rFonts w:ascii="Book Antiqua" w:eastAsia="宋体" w:hAnsi="Book Antiqua" w:cs="Times New Roman"/>
          <w:bCs/>
          <w:sz w:val="24"/>
          <w:szCs w:val="24"/>
          <w:lang w:val="en-US" w:eastAsia="zh-CN"/>
        </w:rPr>
        <w:t>Gong ZM</w:t>
      </w:r>
      <w:r w:rsidRPr="0059367F">
        <w:rPr>
          <w:rFonts w:ascii="Book Antiqua" w:eastAsia="宋体" w:hAnsi="Book Antiqua" w:cs="Times New Roman"/>
          <w:b/>
          <w:bCs/>
          <w:sz w:val="24"/>
          <w:szCs w:val="24"/>
          <w:lang w:val="en-US"/>
        </w:rPr>
        <w:t xml:space="preserve"> L-Editor</w:t>
      </w:r>
      <w:r w:rsidRPr="0059367F">
        <w:rPr>
          <w:rFonts w:ascii="Book Antiqua" w:eastAsia="宋体" w:hAnsi="Book Antiqua" w:cs="Times New Roman"/>
          <w:b/>
          <w:bCs/>
          <w:sz w:val="24"/>
          <w:szCs w:val="24"/>
          <w:lang w:val="en-US" w:eastAsia="zh-CN"/>
        </w:rPr>
        <w:t>:</w:t>
      </w:r>
      <w:r w:rsidRPr="0059367F">
        <w:rPr>
          <w:rFonts w:ascii="Book Antiqua" w:eastAsia="宋体" w:hAnsi="Book Antiqua" w:cs="Times New Roman"/>
          <w:b/>
          <w:bCs/>
          <w:sz w:val="24"/>
          <w:szCs w:val="24"/>
          <w:lang w:val="en-US"/>
        </w:rPr>
        <w:t xml:space="preserve"> E-Editor</w:t>
      </w:r>
      <w:r w:rsidRPr="0059367F">
        <w:rPr>
          <w:rFonts w:ascii="Book Antiqua" w:eastAsia="宋体" w:hAnsi="Book Antiqua" w:cs="Times New Roman"/>
          <w:b/>
          <w:bCs/>
          <w:sz w:val="24"/>
          <w:szCs w:val="24"/>
          <w:lang w:val="en-US" w:eastAsia="zh-CN"/>
        </w:rPr>
        <w:t>:</w:t>
      </w:r>
    </w:p>
    <w:p w:rsidR="00820CBF" w:rsidRPr="00B17ED4" w:rsidRDefault="001317CB" w:rsidP="000505DB">
      <w:pPr>
        <w:snapToGrid w:val="0"/>
        <w:spacing w:after="0" w:line="360" w:lineRule="auto"/>
        <w:jc w:val="both"/>
        <w:rPr>
          <w:rFonts w:ascii="Book Antiqua" w:hAnsi="Book Antiqua" w:cs="Times New Roman"/>
          <w:b/>
          <w:sz w:val="24"/>
          <w:szCs w:val="24"/>
          <w:lang w:val="en-US"/>
        </w:rPr>
      </w:pPr>
      <w:r w:rsidRPr="00B17ED4">
        <w:rPr>
          <w:rFonts w:ascii="Book Antiqua" w:hAnsi="Book Antiqua" w:cs="Times New Roman"/>
          <w:b/>
          <w:sz w:val="24"/>
          <w:szCs w:val="24"/>
          <w:lang w:val="en-US"/>
        </w:rPr>
        <w:br w:type="page"/>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Times New Roman"/>
          <w:b/>
          <w:sz w:val="24"/>
          <w:szCs w:val="24"/>
          <w:lang w:val="en-US"/>
        </w:rPr>
        <w:lastRenderedPageBreak/>
        <w:t>Figure Legends</w:t>
      </w:r>
    </w:p>
    <w:p w:rsidR="00820CBF" w:rsidRPr="00B17ED4" w:rsidRDefault="00235AC1" w:rsidP="000505DB">
      <w:pPr>
        <w:snapToGrid w:val="0"/>
        <w:spacing w:after="0" w:line="360" w:lineRule="auto"/>
        <w:jc w:val="both"/>
        <w:rPr>
          <w:rFonts w:ascii="Book Antiqua" w:hAnsi="Book Antiqua" w:cs="Book Antiqua"/>
          <w:sz w:val="24"/>
          <w:szCs w:val="24"/>
          <w:lang w:val="en-GB"/>
        </w:rPr>
      </w:pPr>
      <w:r w:rsidRPr="00B17ED4">
        <w:rPr>
          <w:noProof/>
          <w:lang w:val="en-US" w:eastAsia="zh-CN"/>
        </w:rPr>
        <w:drawing>
          <wp:inline distT="0" distB="0" distL="0" distR="0" wp14:anchorId="028F6081" wp14:editId="0DBC1C7A">
            <wp:extent cx="4571334" cy="4150581"/>
            <wp:effectExtent l="0" t="0" r="127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0534" cy="4158934"/>
                    </a:xfrm>
                    <a:prstGeom prst="rect">
                      <a:avLst/>
                    </a:prstGeom>
                  </pic:spPr>
                </pic:pic>
              </a:graphicData>
            </a:graphic>
          </wp:inline>
        </w:drawing>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b/>
          <w:bCs/>
          <w:sz w:val="24"/>
          <w:szCs w:val="24"/>
          <w:lang w:val="en-GB"/>
        </w:rPr>
        <w:t xml:space="preserve">Figure 1 </w:t>
      </w:r>
      <w:r w:rsidRPr="00B17ED4">
        <w:rPr>
          <w:rFonts w:ascii="Book Antiqua" w:eastAsia="Times New Roman" w:hAnsi="Book Antiqua" w:cs="Book Antiqua"/>
          <w:b/>
          <w:bCs/>
          <w:sz w:val="24"/>
          <w:szCs w:val="24"/>
          <w:lang w:val="en-GB" w:eastAsia="fr-FR"/>
        </w:rPr>
        <w:t>Kaplan Meier survival curves according so serum ferritin.</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br w:type="page"/>
      </w:r>
    </w:p>
    <w:p w:rsidR="00820CBF" w:rsidRPr="00B17ED4" w:rsidRDefault="004545E7" w:rsidP="000505DB">
      <w:pPr>
        <w:snapToGrid w:val="0"/>
        <w:spacing w:after="0" w:line="360" w:lineRule="auto"/>
        <w:jc w:val="both"/>
        <w:rPr>
          <w:rFonts w:ascii="Book Antiqua" w:hAnsi="Book Antiqua" w:cs="Book Antiqua"/>
          <w:sz w:val="24"/>
          <w:szCs w:val="24"/>
          <w:lang w:eastAsia="fr-FR"/>
        </w:rPr>
      </w:pPr>
      <w:r w:rsidRPr="00B17ED4">
        <w:rPr>
          <w:noProof/>
          <w:lang w:val="en-US" w:eastAsia="zh-CN"/>
        </w:rPr>
        <w:lastRenderedPageBreak/>
        <w:drawing>
          <wp:inline distT="0" distB="0" distL="0" distR="0" wp14:anchorId="22B015EA" wp14:editId="4D6CA686">
            <wp:extent cx="4309607" cy="4624562"/>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3975" cy="4629249"/>
                    </a:xfrm>
                    <a:prstGeom prst="rect">
                      <a:avLst/>
                    </a:prstGeom>
                  </pic:spPr>
                </pic:pic>
              </a:graphicData>
            </a:graphic>
          </wp:inline>
        </w:drawing>
      </w:r>
    </w:p>
    <w:p w:rsidR="00820CBF" w:rsidRPr="00B17ED4" w:rsidRDefault="001317CB" w:rsidP="000505DB">
      <w:pPr>
        <w:pStyle w:val="11"/>
        <w:snapToGrid w:val="0"/>
        <w:spacing w:after="0" w:line="360" w:lineRule="auto"/>
        <w:jc w:val="both"/>
        <w:rPr>
          <w:rFonts w:ascii="Book Antiqua" w:hAnsi="Book Antiqua" w:cs="Book Antiqua"/>
          <w:sz w:val="24"/>
          <w:szCs w:val="24"/>
          <w:lang w:val="en-GB"/>
        </w:rPr>
      </w:pPr>
      <w:r w:rsidRPr="00B17ED4">
        <w:rPr>
          <w:rFonts w:ascii="Book Antiqua" w:hAnsi="Book Antiqua" w:cs="Book Antiqua"/>
          <w:b/>
          <w:bCs/>
          <w:sz w:val="24"/>
          <w:szCs w:val="24"/>
          <w:lang w:val="en-GB"/>
        </w:rPr>
        <w:t xml:space="preserve">Figure 2 </w:t>
      </w:r>
      <w:r w:rsidRPr="00B17ED4">
        <w:rPr>
          <w:rFonts w:ascii="Book Antiqua" w:eastAsia="Times New Roman" w:hAnsi="Book Antiqua" w:cs="Book Antiqua"/>
          <w:b/>
          <w:bCs/>
          <w:sz w:val="24"/>
          <w:szCs w:val="24"/>
          <w:lang w:val="en-GB" w:eastAsia="fr-FR"/>
        </w:rPr>
        <w:t>Kaplan Meier survival curves according to serum transferrin saturation</w:t>
      </w:r>
      <w:r w:rsidRPr="00B17ED4">
        <w:rPr>
          <w:rFonts w:ascii="Book Antiqua" w:eastAsia="宋体" w:hAnsi="Book Antiqua" w:cs="Book Antiqua" w:hint="eastAsia"/>
          <w:b/>
          <w:bCs/>
          <w:sz w:val="24"/>
          <w:szCs w:val="24"/>
          <w:lang w:val="en-US" w:eastAsia="zh-CN"/>
        </w:rPr>
        <w:t>.</w:t>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b/>
          <w:sz w:val="24"/>
          <w:szCs w:val="24"/>
          <w:lang w:val="en-GB"/>
        </w:rPr>
        <w:lastRenderedPageBreak/>
        <w:t>Table 1</w:t>
      </w:r>
      <w:r w:rsidRPr="00B17ED4">
        <w:rPr>
          <w:rFonts w:ascii="Book Antiqua" w:eastAsia="宋体" w:hAnsi="Book Antiqua" w:cs="Book Antiqua" w:hint="eastAsia"/>
          <w:b/>
          <w:sz w:val="24"/>
          <w:szCs w:val="24"/>
          <w:lang w:val="en-US" w:eastAsia="zh-CN"/>
        </w:rPr>
        <w:t xml:space="preserve"> </w:t>
      </w:r>
      <w:r w:rsidRPr="00B17ED4">
        <w:rPr>
          <w:rFonts w:ascii="Book Antiqua" w:hAnsi="Book Antiqua" w:cs="Book Antiqua"/>
          <w:b/>
          <w:sz w:val="24"/>
          <w:szCs w:val="24"/>
          <w:lang w:val="en-GB"/>
        </w:rPr>
        <w:t>Baseline patient characteristics</w:t>
      </w:r>
    </w:p>
    <w:p w:rsidR="00820CBF" w:rsidRPr="00B17ED4" w:rsidRDefault="00820CBF" w:rsidP="000505DB">
      <w:pPr>
        <w:snapToGrid w:val="0"/>
        <w:spacing w:after="0" w:line="360" w:lineRule="auto"/>
        <w:jc w:val="both"/>
        <w:rPr>
          <w:rFonts w:ascii="Book Antiqua" w:hAnsi="Book Antiqua" w:cs="Book Antiqua"/>
          <w:sz w:val="24"/>
          <w:szCs w:val="24"/>
          <w:lang w:val="en-GB"/>
        </w:rPr>
      </w:pPr>
    </w:p>
    <w:tbl>
      <w:tblPr>
        <w:tblStyle w:val="ad"/>
        <w:tblpPr w:leftFromText="141" w:rightFromText="141" w:vertAnchor="text" w:horzAnchor="margin" w:tblpY="-16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4"/>
        <w:gridCol w:w="3298"/>
      </w:tblGrid>
      <w:tr w:rsidR="00820CBF" w:rsidRPr="00B17ED4" w:rsidTr="005759BF">
        <w:trPr>
          <w:trHeight w:val="430"/>
        </w:trPr>
        <w:tc>
          <w:tcPr>
            <w:tcW w:w="4674" w:type="dxa"/>
            <w:tcBorders>
              <w:top w:val="single" w:sz="4" w:space="0" w:color="auto"/>
              <w:bottom w:val="single" w:sz="4" w:space="0" w:color="auto"/>
            </w:tcBorders>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GB"/>
              </w:rPr>
              <w:t>Variable</w:t>
            </w:r>
          </w:p>
        </w:tc>
        <w:tc>
          <w:tcPr>
            <w:tcW w:w="3298" w:type="dxa"/>
            <w:tcBorders>
              <w:top w:val="single" w:sz="4" w:space="0" w:color="auto"/>
              <w:bottom w:val="single" w:sz="4" w:space="0" w:color="auto"/>
            </w:tcBorders>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n</w:t>
            </w:r>
            <w:r w:rsidRPr="00B17ED4">
              <w:rPr>
                <w:rFonts w:ascii="Book Antiqua" w:eastAsia="宋体" w:hAnsi="Book Antiqua" w:cs="Book Antiqua" w:hint="eastAsia"/>
                <w:b/>
                <w:bCs/>
                <w:sz w:val="24"/>
                <w:szCs w:val="24"/>
                <w:lang w:val="en-US" w:eastAsia="zh-CN"/>
              </w:rPr>
              <w:t xml:space="preserve"> </w:t>
            </w:r>
            <w:r w:rsidRPr="00B17ED4">
              <w:rPr>
                <w:rFonts w:ascii="Book Antiqua" w:hAnsi="Book Antiqua" w:cs="Book Antiqua"/>
                <w:b/>
                <w:bCs/>
                <w:sz w:val="24"/>
                <w:szCs w:val="24"/>
                <w:lang w:val="en-GB"/>
              </w:rPr>
              <w:t>=</w:t>
            </w:r>
            <w:r w:rsidRPr="00B17ED4">
              <w:rPr>
                <w:rFonts w:ascii="Book Antiqua" w:eastAsia="宋体" w:hAnsi="Book Antiqua" w:cs="Book Antiqua" w:hint="eastAsia"/>
                <w:b/>
                <w:bCs/>
                <w:sz w:val="24"/>
                <w:szCs w:val="24"/>
                <w:lang w:val="en-US" w:eastAsia="zh-CN"/>
              </w:rPr>
              <w:t xml:space="preserve"> </w:t>
            </w:r>
            <w:r w:rsidRPr="00B17ED4">
              <w:rPr>
                <w:rFonts w:ascii="Book Antiqua" w:hAnsi="Book Antiqua" w:cs="Book Antiqua"/>
                <w:b/>
                <w:bCs/>
                <w:sz w:val="24"/>
                <w:szCs w:val="24"/>
                <w:lang w:val="en-GB"/>
              </w:rPr>
              <w:t>553</w:t>
            </w:r>
          </w:p>
        </w:tc>
      </w:tr>
      <w:tr w:rsidR="00820CBF" w:rsidRPr="00B17ED4" w:rsidTr="005759BF">
        <w:trPr>
          <w:trHeight w:val="455"/>
        </w:trPr>
        <w:tc>
          <w:tcPr>
            <w:tcW w:w="4674" w:type="dxa"/>
            <w:tcBorders>
              <w:top w:val="single" w:sz="4" w:space="0" w:color="auto"/>
            </w:tcBorders>
          </w:tcPr>
          <w:p w:rsidR="00820CBF" w:rsidRPr="00B17ED4" w:rsidRDefault="00036ED9" w:rsidP="000505DB">
            <w:pPr>
              <w:autoSpaceDE w:val="0"/>
              <w:autoSpaceDN w:val="0"/>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Age, yr</w:t>
            </w:r>
          </w:p>
        </w:tc>
        <w:tc>
          <w:tcPr>
            <w:tcW w:w="3298" w:type="dxa"/>
            <w:tcBorders>
              <w:top w:val="single" w:sz="4" w:space="0" w:color="auto"/>
            </w:tcBorders>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55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49-60.5</w:t>
            </w:r>
            <w:r w:rsidRPr="00B17ED4">
              <w:rPr>
                <w:rFonts w:ascii="Book Antiqua" w:eastAsia="宋体" w:hAnsi="Book Antiqua" w:cs="Book Antiqua" w:hint="eastAsia"/>
                <w:sz w:val="24"/>
                <w:szCs w:val="24"/>
                <w:lang w:val="en-US" w:eastAsia="zh-CN"/>
              </w:rPr>
              <w:t>)</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Sex male/female</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lang w:val="en-GB"/>
              </w:rPr>
              <w:t>414 (74.9)/139 (25.1)</w:t>
            </w:r>
          </w:p>
        </w:tc>
      </w:tr>
      <w:tr w:rsidR="00820CBF" w:rsidRPr="00B17ED4" w:rsidTr="005759BF">
        <w:trPr>
          <w:trHeight w:val="28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BMI, kg/m²</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26.2 </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rPr>
              <w:t>23.3-29.7</w:t>
            </w:r>
            <w:r w:rsidRPr="00B17ED4">
              <w:rPr>
                <w:rFonts w:ascii="Book Antiqua" w:eastAsia="宋体" w:hAnsi="Book Antiqua" w:cs="Book Antiqua" w:hint="eastAsia"/>
                <w:sz w:val="24"/>
                <w:szCs w:val="24"/>
                <w:lang w:val="en-US" w:eastAsia="zh-CN"/>
              </w:rPr>
              <w:t>)</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Iron metabolism</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Serum iron, µmol/L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21.9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1.6; 57.9</w:t>
            </w:r>
            <w:r w:rsidRPr="00B17ED4">
              <w:rPr>
                <w:rFonts w:ascii="Book Antiqua" w:eastAsia="宋体" w:hAnsi="Book Antiqua" w:cs="Book Antiqua" w:hint="eastAsia"/>
                <w:sz w:val="24"/>
                <w:szCs w:val="24"/>
                <w:lang w:eastAsia="zh-CN"/>
              </w:rPr>
              <w:t>)</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Transferrin, g/L</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2.10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1.5-2.5</w:t>
            </w:r>
            <w:r w:rsidRPr="00B17ED4">
              <w:rPr>
                <w:rFonts w:ascii="Book Antiqua" w:eastAsia="宋体" w:hAnsi="Book Antiqua" w:cs="Book Antiqua" w:hint="eastAsia"/>
                <w:sz w:val="24"/>
                <w:szCs w:val="24"/>
                <w:lang w:eastAsia="zh-CN"/>
              </w:rPr>
              <w:t>)</w:t>
            </w:r>
          </w:p>
        </w:tc>
      </w:tr>
      <w:tr w:rsidR="00820CBF" w:rsidRPr="00B17ED4" w:rsidTr="005759BF">
        <w:trPr>
          <w:trHeight w:val="261"/>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Transferrin saturation,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43.6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25.1-74.5</w:t>
            </w:r>
            <w:r w:rsidRPr="00B17ED4">
              <w:rPr>
                <w:rFonts w:ascii="Book Antiqua" w:eastAsia="宋体" w:hAnsi="Book Antiqua" w:cs="Book Antiqua" w:hint="eastAsia"/>
                <w:sz w:val="24"/>
                <w:szCs w:val="24"/>
                <w:lang w:eastAsia="zh-CN"/>
              </w:rPr>
              <w:t>)</w:t>
            </w:r>
          </w:p>
        </w:tc>
      </w:tr>
      <w:tr w:rsidR="00820CBF" w:rsidRPr="00B17ED4" w:rsidTr="005759BF">
        <w:trPr>
          <w:trHeight w:val="261"/>
        </w:trPr>
        <w:tc>
          <w:tcPr>
            <w:tcW w:w="4674" w:type="dxa"/>
          </w:tcPr>
          <w:p w:rsidR="00820CBF" w:rsidRPr="00B17ED4" w:rsidRDefault="001317CB" w:rsidP="001A524F">
            <w:pPr>
              <w:autoSpaceDE w:val="0"/>
              <w:autoSpaceDN w:val="0"/>
              <w:adjustRightInd w:val="0"/>
              <w:snapToGrid w:val="0"/>
              <w:spacing w:after="0" w:line="360" w:lineRule="auto"/>
              <w:ind w:leftChars="50" w:left="110" w:firstLineChars="200" w:firstLine="480"/>
              <w:jc w:val="both"/>
              <w:rPr>
                <w:rFonts w:ascii="Book Antiqua" w:hAnsi="Book Antiqua" w:cs="Book Antiqua"/>
                <w:sz w:val="24"/>
                <w:szCs w:val="24"/>
              </w:rPr>
            </w:pPr>
            <w:r w:rsidRPr="00B17ED4">
              <w:rPr>
                <w:rFonts w:ascii="Book Antiqua" w:hAnsi="Book Antiqua" w:cs="Book Antiqua"/>
                <w:sz w:val="24"/>
                <w:szCs w:val="24"/>
              </w:rPr>
              <w:t>Transferrin saturation &gt;</w:t>
            </w:r>
            <w:r w:rsidRPr="00B17ED4">
              <w:rPr>
                <w:rFonts w:ascii="Book Antiqua" w:hAnsi="Book Antiqua" w:cs="Book Antiqua"/>
                <w:sz w:val="24"/>
                <w:szCs w:val="24"/>
                <w:lang w:val="en-US"/>
              </w:rPr>
              <w:t xml:space="preserve"> </w:t>
            </w:r>
            <w:r w:rsidRPr="00B17ED4">
              <w:rPr>
                <w:rFonts w:ascii="Book Antiqua" w:hAnsi="Book Antiqua" w:cs="Book Antiqua"/>
                <w:sz w:val="24"/>
                <w:szCs w:val="24"/>
              </w:rPr>
              <w:t>75%</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136 (24.6)</w:t>
            </w:r>
          </w:p>
        </w:tc>
      </w:tr>
      <w:tr w:rsidR="00820CBF" w:rsidRPr="00B17ED4" w:rsidTr="005759BF">
        <w:trPr>
          <w:trHeight w:val="254"/>
        </w:trPr>
        <w:tc>
          <w:tcPr>
            <w:tcW w:w="4674" w:type="dxa"/>
          </w:tcPr>
          <w:p w:rsidR="00820CBF" w:rsidRPr="00B17ED4" w:rsidRDefault="00C47E43" w:rsidP="000505DB">
            <w:pPr>
              <w:autoSpaceDE w:val="0"/>
              <w:autoSpaceDN w:val="0"/>
              <w:adjustRightInd w:val="0"/>
              <w:snapToGrid w:val="0"/>
              <w:spacing w:after="0" w:line="360" w:lineRule="auto"/>
              <w:jc w:val="both"/>
              <w:rPr>
                <w:rFonts w:ascii="Book Antiqua" w:hAnsi="Book Antiqua" w:cs="Book Antiqua"/>
                <w:sz w:val="24"/>
                <w:szCs w:val="24"/>
              </w:rPr>
            </w:pPr>
            <w:r>
              <w:rPr>
                <w:rFonts w:ascii="Book Antiqua" w:hAnsi="Book Antiqua" w:cs="Book Antiqua"/>
                <w:sz w:val="24"/>
                <w:szCs w:val="24"/>
              </w:rPr>
              <w:t xml:space="preserve"> </w:t>
            </w:r>
            <w:r w:rsidR="001317CB" w:rsidRPr="00B17ED4">
              <w:rPr>
                <w:rFonts w:ascii="Book Antiqua" w:hAnsi="Book Antiqua" w:cs="Book Antiqua"/>
                <w:sz w:val="24"/>
                <w:szCs w:val="24"/>
              </w:rPr>
              <w:t>Serum ferritin, µg/L</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241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75.5-593.5</w:t>
            </w:r>
            <w:r w:rsidRPr="00B17ED4">
              <w:rPr>
                <w:rFonts w:ascii="Book Antiqua" w:eastAsia="宋体" w:hAnsi="Book Antiqua" w:cs="Book Antiqua" w:hint="eastAsia"/>
                <w:sz w:val="24"/>
                <w:szCs w:val="24"/>
                <w:lang w:eastAsia="zh-CN"/>
              </w:rPr>
              <w:t>)</w:t>
            </w:r>
          </w:p>
        </w:tc>
      </w:tr>
      <w:tr w:rsidR="00820CBF" w:rsidRPr="00B17ED4" w:rsidTr="005759BF">
        <w:trPr>
          <w:trHeight w:val="25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rPr>
              <w:t>100</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168 (30.4)</w:t>
            </w:r>
          </w:p>
        </w:tc>
      </w:tr>
      <w:tr w:rsidR="00820CBF" w:rsidRPr="00B17ED4" w:rsidTr="005759BF">
        <w:trPr>
          <w:trHeight w:val="25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100-400</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185 (33.5)</w:t>
            </w:r>
          </w:p>
        </w:tc>
      </w:tr>
      <w:tr w:rsidR="00820CBF" w:rsidRPr="00B17ED4" w:rsidTr="005759BF">
        <w:trPr>
          <w:trHeight w:val="25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&gt;</w:t>
            </w:r>
            <w:r w:rsidR="001A524F" w:rsidRPr="00B17ED4">
              <w:rPr>
                <w:rFonts w:ascii="Book Antiqua" w:hAnsi="Book Antiqua" w:cs="Book Antiqua"/>
                <w:sz w:val="24"/>
                <w:szCs w:val="24"/>
              </w:rPr>
              <w:t xml:space="preserve"> </w:t>
            </w:r>
            <w:r w:rsidRPr="00B17ED4">
              <w:rPr>
                <w:rFonts w:ascii="Book Antiqua" w:hAnsi="Book Antiqua" w:cs="Book Antiqua"/>
                <w:sz w:val="24"/>
                <w:szCs w:val="24"/>
              </w:rPr>
              <w:t>400</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200 (36.2)</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Cirrhosis etiology</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23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Alcohol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340 (61.5)</w:t>
            </w:r>
          </w:p>
        </w:tc>
      </w:tr>
      <w:tr w:rsidR="00820CBF" w:rsidRPr="00B17ED4" w:rsidTr="005759BF">
        <w:trPr>
          <w:trHeight w:val="23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Viral hepatitis C</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89 (16.1)</w:t>
            </w:r>
          </w:p>
        </w:tc>
      </w:tr>
      <w:tr w:rsidR="00820CBF" w:rsidRPr="00B17ED4" w:rsidTr="005759BF">
        <w:trPr>
          <w:trHeight w:val="234"/>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Viral hepatitis B</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18 (3.3)</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lang w:val="en-GB"/>
              </w:rPr>
              <w:t>Primary sclerosing cholangitis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20 (3.6)</w:t>
            </w:r>
          </w:p>
        </w:tc>
      </w:tr>
      <w:tr w:rsidR="00820CBF" w:rsidRPr="00B17ED4" w:rsidTr="005759BF">
        <w:trPr>
          <w:trHeight w:val="442"/>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lang w:val="en-GB"/>
              </w:rPr>
              <w:t>Primary biliary cholangitis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12 (2.2)</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Auto-immune</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10 (1.8)</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Hemochromatosis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17 (3.0)</w:t>
            </w:r>
          </w:p>
        </w:tc>
      </w:tr>
      <w:tr w:rsidR="00820CBF" w:rsidRPr="00B17ED4" w:rsidTr="005759BF">
        <w:trPr>
          <w:trHeight w:val="442"/>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Others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47 (8.4)</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Hepatocellular carcinoma</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214 (38.7)</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Child pugh score</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A</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206 (39.1)</w:t>
            </w:r>
          </w:p>
        </w:tc>
      </w:tr>
      <w:tr w:rsidR="00820CBF" w:rsidRPr="00B17ED4" w:rsidTr="005759BF">
        <w:trPr>
          <w:trHeight w:val="442"/>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B</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158 (30.0)</w:t>
            </w:r>
          </w:p>
        </w:tc>
      </w:tr>
      <w:tr w:rsidR="00820CBF" w:rsidRPr="00B17ED4" w:rsidTr="005759BF">
        <w:trPr>
          <w:trHeight w:val="455"/>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C</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163 (31.0)</w:t>
            </w:r>
          </w:p>
        </w:tc>
      </w:tr>
      <w:tr w:rsidR="00820CBF" w:rsidRPr="00B17ED4" w:rsidTr="005759BF">
        <w:trPr>
          <w:trHeight w:val="455"/>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 xml:space="preserve">MELD </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15.1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10.6-20.7</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268"/>
        </w:trPr>
        <w:tc>
          <w:tcPr>
            <w:tcW w:w="4674" w:type="dxa"/>
          </w:tcPr>
          <w:p w:rsidR="00820CBF" w:rsidRPr="00B17ED4" w:rsidRDefault="00036ED9" w:rsidP="000505DB">
            <w:pPr>
              <w:autoSpaceDE w:val="0"/>
              <w:autoSpaceDN w:val="0"/>
              <w:adjustRightInd w:val="0"/>
              <w:snapToGrid w:val="0"/>
              <w:spacing w:after="0" w:line="360" w:lineRule="auto"/>
              <w:jc w:val="both"/>
              <w:rPr>
                <w:rFonts w:ascii="Book Antiqua" w:hAnsi="Book Antiqua" w:cs="Book Antiqua"/>
                <w:sz w:val="24"/>
                <w:szCs w:val="24"/>
              </w:rPr>
            </w:pPr>
            <w:r>
              <w:rPr>
                <w:rFonts w:ascii="Book Antiqua" w:hAnsi="Book Antiqua" w:cs="Book Antiqua"/>
                <w:sz w:val="24"/>
                <w:szCs w:val="24"/>
              </w:rPr>
              <w:lastRenderedPageBreak/>
              <w:t>Donor age, yr</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49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37-62</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Donor BMI, kg/m</w:t>
            </w:r>
            <w:r w:rsidRPr="00B17ED4">
              <w:rPr>
                <w:rFonts w:ascii="Book Antiqua" w:hAnsi="Book Antiqua" w:cs="Book Antiqua"/>
                <w:sz w:val="24"/>
                <w:szCs w:val="24"/>
                <w:vertAlign w:val="superscript"/>
              </w:rPr>
              <w:t>2</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24.3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21.9-27.6</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Cold ischemia, minutes</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592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446-723</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0505DB">
            <w:pPr>
              <w:autoSpaceDE w:val="0"/>
              <w:autoSpaceDN w:val="0"/>
              <w:adjustRightInd w:val="0"/>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t>Perioperative transfusion</w:t>
            </w:r>
          </w:p>
        </w:tc>
        <w:tc>
          <w:tcPr>
            <w:tcW w:w="3298" w:type="dxa"/>
            <w:vAlign w:val="center"/>
          </w:tcPr>
          <w:p w:rsidR="00820CBF" w:rsidRPr="00B17ED4" w:rsidRDefault="00820CBF" w:rsidP="000505DB">
            <w:pPr>
              <w:autoSpaceDE w:val="0"/>
              <w:autoSpaceDN w:val="0"/>
              <w:adjustRightInd w:val="0"/>
              <w:snapToGrid w:val="0"/>
              <w:spacing w:after="0" w:line="360" w:lineRule="auto"/>
              <w:jc w:val="both"/>
              <w:rPr>
                <w:rFonts w:ascii="Book Antiqua" w:hAnsi="Book Antiqua" w:cs="Book Antiqua"/>
                <w:sz w:val="24"/>
                <w:szCs w:val="24"/>
              </w:rPr>
            </w:pPr>
          </w:p>
        </w:tc>
      </w:tr>
      <w:tr w:rsidR="00820CBF" w:rsidRPr="00B17ED4" w:rsidTr="005759BF">
        <w:trPr>
          <w:trHeight w:val="268"/>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Packed red cell, </w:t>
            </w:r>
            <w:r w:rsidRPr="00B17ED4">
              <w:rPr>
                <w:rFonts w:ascii="Book Antiqua" w:hAnsi="Book Antiqua" w:cs="Book Antiqua"/>
                <w:i/>
                <w:iCs/>
                <w:sz w:val="24"/>
                <w:szCs w:val="24"/>
              </w:rPr>
              <w:t>n</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5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2-8</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1317CB" w:rsidP="001A524F">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B17ED4">
              <w:rPr>
                <w:rFonts w:ascii="Book Antiqua" w:hAnsi="Book Antiqua" w:cs="Book Antiqua"/>
                <w:sz w:val="24"/>
                <w:szCs w:val="24"/>
              </w:rPr>
              <w:t xml:space="preserve">Fresh frozen plasma, </w:t>
            </w:r>
            <w:r w:rsidRPr="00B17ED4">
              <w:rPr>
                <w:rFonts w:ascii="Book Antiqua" w:hAnsi="Book Antiqua" w:cs="Book Antiqua"/>
                <w:i/>
                <w:iCs/>
                <w:sz w:val="24"/>
                <w:szCs w:val="24"/>
              </w:rPr>
              <w:t>n</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6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2-9</w:t>
            </w:r>
            <w:r w:rsidRPr="00B17ED4">
              <w:rPr>
                <w:rFonts w:ascii="Book Antiqua" w:eastAsia="宋体" w:hAnsi="Book Antiqua" w:cs="Book Antiqua" w:hint="eastAsia"/>
                <w:sz w:val="24"/>
                <w:szCs w:val="24"/>
                <w:lang w:eastAsia="zh-CN"/>
              </w:rPr>
              <w:t>)</w:t>
            </w:r>
          </w:p>
        </w:tc>
      </w:tr>
      <w:tr w:rsidR="00820CBF" w:rsidRPr="00B17ED4" w:rsidTr="005759BF">
        <w:trPr>
          <w:trHeight w:val="268"/>
        </w:trPr>
        <w:tc>
          <w:tcPr>
            <w:tcW w:w="4674" w:type="dxa"/>
          </w:tcPr>
          <w:p w:rsidR="00820CBF" w:rsidRPr="00B17ED4" w:rsidRDefault="00036ED9" w:rsidP="000505DB">
            <w:pPr>
              <w:autoSpaceDE w:val="0"/>
              <w:autoSpaceDN w:val="0"/>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ICU length of stay, d</w:t>
            </w:r>
          </w:p>
        </w:tc>
        <w:tc>
          <w:tcPr>
            <w:tcW w:w="3298" w:type="dxa"/>
            <w:vAlign w:val="center"/>
          </w:tcPr>
          <w:p w:rsidR="00820CBF" w:rsidRPr="00B17ED4" w:rsidRDefault="001317CB" w:rsidP="000505DB">
            <w:pPr>
              <w:autoSpaceDE w:val="0"/>
              <w:autoSpaceDN w:val="0"/>
              <w:adjustRightInd w:val="0"/>
              <w:snapToGrid w:val="0"/>
              <w:spacing w:after="0" w:line="360" w:lineRule="auto"/>
              <w:jc w:val="both"/>
              <w:rPr>
                <w:rFonts w:ascii="Book Antiqua" w:eastAsia="宋体" w:hAnsi="Book Antiqua" w:cs="Book Antiqua"/>
                <w:sz w:val="24"/>
                <w:szCs w:val="24"/>
                <w:lang w:eastAsia="zh-CN"/>
              </w:rPr>
            </w:pPr>
            <w:r w:rsidRPr="00B17ED4">
              <w:rPr>
                <w:rFonts w:ascii="Book Antiqua" w:hAnsi="Book Antiqua" w:cs="Book Antiqua"/>
                <w:sz w:val="24"/>
                <w:szCs w:val="24"/>
              </w:rPr>
              <w:t xml:space="preserve">4 </w:t>
            </w:r>
            <w:r w:rsidRPr="00B17ED4">
              <w:rPr>
                <w:rFonts w:ascii="Book Antiqua" w:eastAsia="宋体" w:hAnsi="Book Antiqua" w:cs="Book Antiqua" w:hint="eastAsia"/>
                <w:sz w:val="24"/>
                <w:szCs w:val="24"/>
                <w:lang w:eastAsia="zh-CN"/>
              </w:rPr>
              <w:t>(</w:t>
            </w:r>
            <w:r w:rsidRPr="00B17ED4">
              <w:rPr>
                <w:rFonts w:ascii="Book Antiqua" w:hAnsi="Book Antiqua" w:cs="Book Antiqua"/>
                <w:sz w:val="24"/>
                <w:szCs w:val="24"/>
              </w:rPr>
              <w:t>3-7</w:t>
            </w:r>
            <w:r w:rsidRPr="00B17ED4">
              <w:rPr>
                <w:rFonts w:ascii="Book Antiqua" w:eastAsia="宋体" w:hAnsi="Book Antiqua" w:cs="Book Antiqua" w:hint="eastAsia"/>
                <w:sz w:val="24"/>
                <w:szCs w:val="24"/>
                <w:lang w:eastAsia="zh-CN"/>
              </w:rPr>
              <w:t>)</w:t>
            </w:r>
          </w:p>
        </w:tc>
      </w:tr>
    </w:tbl>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820CBF" w:rsidRPr="00B17ED4" w:rsidRDefault="00820CBF" w:rsidP="000505DB">
      <w:pPr>
        <w:snapToGrid w:val="0"/>
        <w:spacing w:after="0" w:line="360" w:lineRule="auto"/>
        <w:jc w:val="both"/>
        <w:rPr>
          <w:rFonts w:ascii="Book Antiqua" w:hAnsi="Book Antiqua" w:cs="Book Antiqua"/>
          <w:sz w:val="24"/>
          <w:szCs w:val="24"/>
          <w:lang w:val="en-GB"/>
        </w:rPr>
      </w:pPr>
    </w:p>
    <w:p w:rsidR="001A524F" w:rsidRPr="00B17ED4" w:rsidRDefault="001A524F" w:rsidP="000505DB">
      <w:pPr>
        <w:snapToGrid w:val="0"/>
        <w:spacing w:after="0" w:line="360" w:lineRule="auto"/>
        <w:jc w:val="both"/>
        <w:rPr>
          <w:rFonts w:ascii="Book Antiqua" w:hAnsi="Book Antiqua" w:cs="Book Antiqua"/>
          <w:sz w:val="24"/>
          <w:szCs w:val="24"/>
          <w:lang w:val="en-GB"/>
        </w:rPr>
      </w:pPr>
    </w:p>
    <w:p w:rsidR="00FE1B30" w:rsidRDefault="00FE1B30" w:rsidP="000505DB">
      <w:pPr>
        <w:snapToGrid w:val="0"/>
        <w:spacing w:after="0" w:line="360" w:lineRule="auto"/>
        <w:jc w:val="both"/>
        <w:rPr>
          <w:rFonts w:ascii="Book Antiqua" w:hAnsi="Book Antiqua" w:cs="Book Antiqua"/>
          <w:sz w:val="24"/>
          <w:szCs w:val="24"/>
          <w:lang w:val="en-GB"/>
        </w:rPr>
      </w:pPr>
    </w:p>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For categorical variables, data are given as </w:t>
      </w:r>
      <w:r w:rsidR="0052157A" w:rsidRPr="00B17ED4">
        <w:rPr>
          <w:rFonts w:ascii="Book Antiqua" w:hAnsi="Book Antiqua" w:cs="Book Antiqua"/>
          <w:i/>
          <w:sz w:val="24"/>
          <w:szCs w:val="24"/>
          <w:lang w:val="en-GB"/>
        </w:rPr>
        <w:t>n</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w:t>
      </w:r>
      <w:r w:rsidR="0052157A" w:rsidRPr="00B17ED4">
        <w:rPr>
          <w:rFonts w:ascii="Book Antiqua" w:hAnsi="Book Antiqua" w:cs="Book Antiqua"/>
          <w:sz w:val="24"/>
          <w:szCs w:val="24"/>
          <w:lang w:val="en-GB"/>
        </w:rPr>
        <w:t>%</w:t>
      </w:r>
      <w:r w:rsidRPr="00B17ED4">
        <w:rPr>
          <w:rFonts w:ascii="Book Antiqua" w:hAnsi="Book Antiqua" w:cs="Book Antiqua"/>
          <w:sz w:val="24"/>
          <w:szCs w:val="24"/>
          <w:lang w:val="en-GB"/>
        </w:rPr>
        <w:t xml:space="preserve">). For continuous variables, data are given as median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range</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BMI: Body mass index</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ICU: Intensive care unit</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MELD: Model of </w:t>
      </w:r>
      <w:r w:rsidRPr="00723CF7">
        <w:rPr>
          <w:rFonts w:ascii="Book Antiqua" w:hAnsi="Book Antiqua" w:cs="Book Antiqua"/>
          <w:caps/>
          <w:sz w:val="24"/>
          <w:szCs w:val="24"/>
          <w:lang w:val="en-GB"/>
        </w:rPr>
        <w:t>e</w:t>
      </w:r>
      <w:r w:rsidRPr="00B17ED4">
        <w:rPr>
          <w:rFonts w:ascii="Book Antiqua" w:hAnsi="Book Antiqua" w:cs="Book Antiqua"/>
          <w:sz w:val="24"/>
          <w:szCs w:val="24"/>
          <w:lang w:val="en-GB"/>
        </w:rPr>
        <w:t>nd-</w:t>
      </w:r>
      <w:r w:rsidRPr="00723CF7">
        <w:rPr>
          <w:rFonts w:ascii="Book Antiqua" w:hAnsi="Book Antiqua" w:cs="Book Antiqua"/>
          <w:caps/>
          <w:sz w:val="24"/>
          <w:szCs w:val="24"/>
          <w:lang w:val="en-GB"/>
        </w:rPr>
        <w:t>s</w:t>
      </w:r>
      <w:r w:rsidRPr="00B17ED4">
        <w:rPr>
          <w:rFonts w:ascii="Book Antiqua" w:hAnsi="Book Antiqua" w:cs="Book Antiqua"/>
          <w:sz w:val="24"/>
          <w:szCs w:val="24"/>
          <w:lang w:val="en-GB"/>
        </w:rPr>
        <w:t xml:space="preserve">tage </w:t>
      </w:r>
      <w:r w:rsidRPr="00723CF7">
        <w:rPr>
          <w:rFonts w:ascii="Book Antiqua" w:hAnsi="Book Antiqua" w:cs="Book Antiqua"/>
          <w:caps/>
          <w:sz w:val="24"/>
          <w:szCs w:val="24"/>
          <w:lang w:val="en-GB"/>
        </w:rPr>
        <w:t>l</w:t>
      </w:r>
      <w:r w:rsidRPr="00B17ED4">
        <w:rPr>
          <w:rFonts w:ascii="Book Antiqua" w:hAnsi="Book Antiqua" w:cs="Book Antiqua"/>
          <w:sz w:val="24"/>
          <w:szCs w:val="24"/>
          <w:lang w:val="en-GB"/>
        </w:rPr>
        <w:t xml:space="preserve">iver </w:t>
      </w:r>
      <w:r w:rsidRPr="00723CF7">
        <w:rPr>
          <w:rFonts w:ascii="Book Antiqua" w:hAnsi="Book Antiqua" w:cs="Book Antiqua"/>
          <w:caps/>
          <w:sz w:val="24"/>
          <w:szCs w:val="24"/>
          <w:lang w:val="en-GB"/>
        </w:rPr>
        <w:t>d</w:t>
      </w:r>
      <w:r w:rsidRPr="00B17ED4">
        <w:rPr>
          <w:rFonts w:ascii="Book Antiqua" w:hAnsi="Book Antiqua" w:cs="Book Antiqua"/>
          <w:sz w:val="24"/>
          <w:szCs w:val="24"/>
          <w:lang w:val="en-GB"/>
        </w:rPr>
        <w:t>isease.</w:t>
      </w:r>
    </w:p>
    <w:p w:rsidR="00820CBF" w:rsidRPr="00B17ED4" w:rsidRDefault="00820CBF" w:rsidP="000505DB">
      <w:pPr>
        <w:snapToGrid w:val="0"/>
        <w:spacing w:after="0" w:line="360" w:lineRule="auto"/>
        <w:jc w:val="both"/>
        <w:rPr>
          <w:rFonts w:ascii="Book Antiqua" w:hAnsi="Book Antiqua" w:cs="Book Antiqua"/>
          <w:sz w:val="24"/>
          <w:szCs w:val="24"/>
        </w:rPr>
      </w:pP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sz w:val="24"/>
          <w:szCs w:val="24"/>
        </w:rPr>
        <w:br w:type="page"/>
      </w: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
          <w:sz w:val="24"/>
          <w:szCs w:val="24"/>
          <w:lang w:val="en-GB"/>
        </w:rPr>
        <w:lastRenderedPageBreak/>
        <w:t>Table 2</w:t>
      </w:r>
      <w:r w:rsidRPr="00B17ED4">
        <w:rPr>
          <w:rFonts w:ascii="Book Antiqua" w:eastAsia="宋体" w:hAnsi="Book Antiqua" w:cs="Book Antiqua" w:hint="eastAsia"/>
          <w:b/>
          <w:sz w:val="24"/>
          <w:szCs w:val="24"/>
          <w:lang w:val="en-US" w:eastAsia="zh-CN"/>
        </w:rPr>
        <w:t xml:space="preserve"> </w:t>
      </w:r>
      <w:r w:rsidRPr="00B17ED4">
        <w:rPr>
          <w:rFonts w:ascii="Book Antiqua" w:hAnsi="Book Antiqua" w:cs="Book Antiqua"/>
          <w:b/>
          <w:sz w:val="24"/>
          <w:szCs w:val="24"/>
          <w:lang w:val="en-GB"/>
        </w:rPr>
        <w:t>Patient outcomes</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5"/>
        <w:gridCol w:w="1973"/>
      </w:tblGrid>
      <w:tr w:rsidR="00820CBF" w:rsidRPr="00B17ED4" w:rsidTr="00517F7E">
        <w:trPr>
          <w:trHeight w:val="458"/>
        </w:trPr>
        <w:tc>
          <w:tcPr>
            <w:tcW w:w="4565" w:type="dxa"/>
            <w:tcBorders>
              <w:bottom w:val="single" w:sz="4" w:space="0" w:color="auto"/>
            </w:tcBorders>
          </w:tcPr>
          <w:p w:rsidR="00820CBF" w:rsidRPr="00B17ED4" w:rsidRDefault="00820CBF" w:rsidP="000505DB">
            <w:pPr>
              <w:snapToGrid w:val="0"/>
              <w:spacing w:after="0" w:line="360" w:lineRule="auto"/>
              <w:jc w:val="both"/>
              <w:rPr>
                <w:rFonts w:ascii="Book Antiqua" w:hAnsi="Book Antiqua" w:cs="Book Antiqua"/>
                <w:b/>
                <w:bCs/>
                <w:sz w:val="24"/>
                <w:szCs w:val="24"/>
                <w:lang w:val="en-GB"/>
              </w:rPr>
            </w:pPr>
          </w:p>
        </w:tc>
        <w:tc>
          <w:tcPr>
            <w:tcW w:w="1973" w:type="dxa"/>
            <w:tcBorders>
              <w:bottom w:val="single" w:sz="4" w:space="0" w:color="auto"/>
            </w:tcBorders>
          </w:tcPr>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n</w:t>
            </w:r>
            <w:r w:rsidRPr="00B17ED4">
              <w:rPr>
                <w:rFonts w:ascii="Book Antiqua" w:hAnsi="Book Antiqua" w:cs="Book Antiqua"/>
                <w:b/>
                <w:bCs/>
                <w:sz w:val="24"/>
                <w:szCs w:val="24"/>
                <w:lang w:val="en-GB"/>
              </w:rPr>
              <w:t xml:space="preserve"> (%)</w:t>
            </w:r>
          </w:p>
        </w:tc>
      </w:tr>
      <w:tr w:rsidR="00820CBF" w:rsidRPr="00B17ED4" w:rsidTr="00517F7E">
        <w:trPr>
          <w:trHeight w:val="458"/>
        </w:trPr>
        <w:tc>
          <w:tcPr>
            <w:tcW w:w="4565"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Dead</w:t>
            </w:r>
          </w:p>
        </w:tc>
        <w:tc>
          <w:tcPr>
            <w:tcW w:w="1973"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196</w:t>
            </w:r>
          </w:p>
        </w:tc>
      </w:tr>
      <w:tr w:rsidR="00820CBF" w:rsidRPr="00B17ED4" w:rsidTr="00517F7E">
        <w:trPr>
          <w:trHeight w:val="471"/>
        </w:trPr>
        <w:tc>
          <w:tcPr>
            <w:tcW w:w="4565"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Lost to follow up</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5</w:t>
            </w:r>
          </w:p>
        </w:tc>
      </w:tr>
      <w:tr w:rsidR="00820CBF" w:rsidRPr="00B17ED4" w:rsidTr="00517F7E">
        <w:trPr>
          <w:trHeight w:val="471"/>
        </w:trPr>
        <w:tc>
          <w:tcPr>
            <w:tcW w:w="4565"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Causes of death</w:t>
            </w:r>
          </w:p>
        </w:tc>
        <w:tc>
          <w:tcPr>
            <w:tcW w:w="1973" w:type="dxa"/>
          </w:tcPr>
          <w:p w:rsidR="00820CBF" w:rsidRPr="00B17ED4" w:rsidRDefault="00820CBF" w:rsidP="000505DB">
            <w:pPr>
              <w:snapToGrid w:val="0"/>
              <w:spacing w:after="0" w:line="360" w:lineRule="auto"/>
              <w:jc w:val="both"/>
              <w:rPr>
                <w:rFonts w:ascii="Book Antiqua" w:hAnsi="Book Antiqua" w:cs="Book Antiqua"/>
                <w:sz w:val="24"/>
                <w:szCs w:val="24"/>
                <w:lang w:val="en-GB"/>
              </w:rPr>
            </w:pPr>
          </w:p>
        </w:tc>
      </w:tr>
      <w:tr w:rsidR="00820CBF" w:rsidRPr="00B17ED4" w:rsidTr="00517F7E">
        <w:trPr>
          <w:trHeight w:val="458"/>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Cancer</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41 (20.92) </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Infection</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38 (19.39)</w:t>
            </w:r>
          </w:p>
        </w:tc>
      </w:tr>
      <w:tr w:rsidR="00820CBF" w:rsidRPr="00B17ED4" w:rsidTr="00517F7E">
        <w:trPr>
          <w:trHeight w:val="438"/>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Recurrence of initial liver disease</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30 (15.31)</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Graft failure</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12 (6.12)</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Cardio vascular event</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28 (14.29)</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Others</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31 (15.82)</w:t>
            </w:r>
          </w:p>
        </w:tc>
      </w:tr>
      <w:tr w:rsidR="00820CBF" w:rsidRPr="00B17ED4" w:rsidTr="00517F7E">
        <w:trPr>
          <w:trHeight w:val="471"/>
        </w:trPr>
        <w:tc>
          <w:tcPr>
            <w:tcW w:w="4565" w:type="dxa"/>
          </w:tcPr>
          <w:p w:rsidR="00820CBF" w:rsidRPr="00B17ED4" w:rsidRDefault="001317CB" w:rsidP="00517F7E">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Undetermined</w:t>
            </w:r>
          </w:p>
        </w:tc>
        <w:tc>
          <w:tcPr>
            <w:tcW w:w="1973"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16 (8.16)</w:t>
            </w:r>
          </w:p>
        </w:tc>
      </w:tr>
    </w:tbl>
    <w:p w:rsidR="00820CBF" w:rsidRPr="00B17ED4" w:rsidRDefault="00820CBF" w:rsidP="000505DB">
      <w:pPr>
        <w:snapToGrid w:val="0"/>
        <w:spacing w:after="0" w:line="360" w:lineRule="auto"/>
        <w:jc w:val="both"/>
        <w:rPr>
          <w:rFonts w:ascii="Book Antiqua" w:hAnsi="Book Antiqua" w:cs="Book Antiqua"/>
          <w:sz w:val="24"/>
          <w:szCs w:val="24"/>
        </w:rPr>
      </w:pPr>
    </w:p>
    <w:p w:rsidR="001317CB" w:rsidRPr="00B17ED4" w:rsidRDefault="001317CB">
      <w:pPr>
        <w:spacing w:after="0" w:line="240" w:lineRule="auto"/>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
          <w:sz w:val="24"/>
          <w:szCs w:val="24"/>
          <w:lang w:val="en-GB"/>
        </w:rPr>
        <w:lastRenderedPageBreak/>
        <w:t>Table 3</w:t>
      </w:r>
      <w:r w:rsidRPr="00B17ED4">
        <w:rPr>
          <w:rFonts w:ascii="Book Antiqua" w:hAnsi="Book Antiqua" w:cs="Book Antiqua"/>
          <w:b/>
          <w:sz w:val="24"/>
          <w:szCs w:val="24"/>
          <w:lang w:val="en-US"/>
        </w:rPr>
        <w:t xml:space="preserve"> </w:t>
      </w:r>
      <w:r w:rsidRPr="00B17ED4">
        <w:rPr>
          <w:rFonts w:ascii="Book Antiqua" w:hAnsi="Book Antiqua" w:cs="Book Antiqua"/>
          <w:b/>
          <w:sz w:val="24"/>
          <w:szCs w:val="24"/>
          <w:lang w:val="en-GB"/>
        </w:rPr>
        <w:t>Cox multiple regression analysis for overall mortality</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1"/>
        <w:gridCol w:w="2920"/>
        <w:gridCol w:w="1546"/>
      </w:tblGrid>
      <w:tr w:rsidR="00820CBF" w:rsidRPr="00B17ED4" w:rsidTr="008E7837">
        <w:trPr>
          <w:trHeight w:val="481"/>
        </w:trPr>
        <w:tc>
          <w:tcPr>
            <w:tcW w:w="4771" w:type="dxa"/>
            <w:tcBorders>
              <w:bottom w:val="single" w:sz="4" w:space="0" w:color="auto"/>
            </w:tcBorders>
          </w:tcPr>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GB"/>
              </w:rPr>
              <w:t>Parameters</w:t>
            </w:r>
          </w:p>
        </w:tc>
        <w:tc>
          <w:tcPr>
            <w:tcW w:w="2920" w:type="dxa"/>
            <w:tcBorders>
              <w:bottom w:val="single" w:sz="4" w:space="0" w:color="auto"/>
            </w:tcBorders>
          </w:tcPr>
          <w:p w:rsidR="00820CBF" w:rsidRPr="00B17ED4" w:rsidRDefault="001317CB" w:rsidP="000505DB">
            <w:pPr>
              <w:snapToGrid w:val="0"/>
              <w:spacing w:after="0" w:line="360" w:lineRule="auto"/>
              <w:jc w:val="both"/>
              <w:rPr>
                <w:rFonts w:ascii="Book Antiqua" w:eastAsia="宋体" w:hAnsi="Book Antiqua" w:cs="Book Antiqua"/>
                <w:b/>
                <w:bCs/>
                <w:sz w:val="24"/>
                <w:szCs w:val="24"/>
                <w:lang w:val="en-GB" w:eastAsia="zh-CN"/>
              </w:rPr>
            </w:pPr>
            <w:r w:rsidRPr="00B17ED4">
              <w:rPr>
                <w:rFonts w:ascii="Book Antiqua" w:eastAsia="Times New Roman" w:hAnsi="Book Antiqua" w:cs="Book Antiqua"/>
                <w:b/>
                <w:bCs/>
                <w:sz w:val="24"/>
                <w:szCs w:val="24"/>
                <w:lang w:eastAsia="fr-FR"/>
              </w:rPr>
              <w:t xml:space="preserve">HR </w:t>
            </w:r>
            <w:r w:rsidRPr="00B17ED4">
              <w:rPr>
                <w:rFonts w:ascii="Book Antiqua" w:eastAsia="宋体" w:hAnsi="Book Antiqua" w:cs="Book Antiqua" w:hint="eastAsia"/>
                <w:b/>
                <w:bCs/>
                <w:sz w:val="24"/>
                <w:szCs w:val="24"/>
                <w:lang w:eastAsia="zh-CN"/>
              </w:rPr>
              <w:t>(</w:t>
            </w:r>
            <w:r w:rsidRPr="00B17ED4">
              <w:rPr>
                <w:rFonts w:ascii="Book Antiqua" w:eastAsia="Times New Roman" w:hAnsi="Book Antiqua" w:cs="Book Antiqua"/>
                <w:b/>
                <w:bCs/>
                <w:sz w:val="24"/>
                <w:szCs w:val="24"/>
                <w:lang w:eastAsia="fr-FR"/>
              </w:rPr>
              <w:t>95%CI</w:t>
            </w:r>
            <w:r w:rsidRPr="00B17ED4">
              <w:rPr>
                <w:rFonts w:ascii="Book Antiqua" w:eastAsia="宋体" w:hAnsi="Book Antiqua" w:cs="Book Antiqua" w:hint="eastAsia"/>
                <w:b/>
                <w:bCs/>
                <w:sz w:val="24"/>
                <w:szCs w:val="24"/>
                <w:lang w:eastAsia="zh-CN"/>
              </w:rPr>
              <w:t>)</w:t>
            </w:r>
          </w:p>
        </w:tc>
        <w:tc>
          <w:tcPr>
            <w:tcW w:w="1546" w:type="dxa"/>
            <w:tcBorders>
              <w:bottom w:val="single" w:sz="4" w:space="0" w:color="auto"/>
            </w:tcBorders>
          </w:tcPr>
          <w:p w:rsidR="00820CBF" w:rsidRPr="00B17ED4" w:rsidRDefault="001317CB" w:rsidP="000505DB">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P</w:t>
            </w:r>
            <w:r w:rsidRPr="00B17ED4">
              <w:rPr>
                <w:rFonts w:ascii="Book Antiqua" w:hAnsi="Book Antiqua" w:cs="Book Antiqua"/>
                <w:b/>
                <w:bCs/>
                <w:sz w:val="24"/>
                <w:szCs w:val="24"/>
                <w:lang w:val="en-GB"/>
              </w:rPr>
              <w:t xml:space="preserve"> value</w:t>
            </w:r>
          </w:p>
        </w:tc>
      </w:tr>
      <w:tr w:rsidR="00820CBF" w:rsidRPr="00B17ED4" w:rsidTr="008E7837">
        <w:trPr>
          <w:trHeight w:val="339"/>
        </w:trPr>
        <w:tc>
          <w:tcPr>
            <w:tcW w:w="4771"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Hepatocellular carcinoma (</w:t>
            </w:r>
            <w:r w:rsidR="0069239D" w:rsidRPr="00B17ED4">
              <w:rPr>
                <w:rFonts w:ascii="Book Antiqua" w:hAnsi="Book Antiqua" w:cs="Book Antiqua"/>
                <w:sz w:val="24"/>
                <w:szCs w:val="24"/>
                <w:lang w:val="en-GB"/>
              </w:rPr>
              <w:t>y</w:t>
            </w:r>
            <w:r w:rsidRPr="00B17ED4">
              <w:rPr>
                <w:rFonts w:ascii="Book Antiqua" w:hAnsi="Book Antiqua" w:cs="Book Antiqua"/>
                <w:sz w:val="24"/>
                <w:szCs w:val="24"/>
                <w:lang w:val="en-GB"/>
              </w:rPr>
              <w:t>es/</w:t>
            </w:r>
            <w:r w:rsidR="0069239D" w:rsidRPr="00B17ED4">
              <w:rPr>
                <w:rFonts w:ascii="Book Antiqua" w:hAnsi="Book Antiqua" w:cs="Book Antiqua"/>
                <w:sz w:val="24"/>
                <w:szCs w:val="24"/>
                <w:lang w:val="en-GB"/>
              </w:rPr>
              <w:t>n</w:t>
            </w:r>
            <w:r w:rsidRPr="00B17ED4">
              <w:rPr>
                <w:rFonts w:ascii="Book Antiqua" w:hAnsi="Book Antiqua" w:cs="Book Antiqua"/>
                <w:sz w:val="24"/>
                <w:szCs w:val="24"/>
                <w:lang w:val="en-GB"/>
              </w:rPr>
              <w:t>o)</w:t>
            </w:r>
          </w:p>
        </w:tc>
        <w:tc>
          <w:tcPr>
            <w:tcW w:w="2920" w:type="dxa"/>
            <w:tcBorders>
              <w:top w:val="single" w:sz="4" w:space="0" w:color="auto"/>
            </w:tcBorders>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1.58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1.15; 2.16</w:t>
            </w:r>
            <w:r w:rsidRPr="00B17ED4">
              <w:rPr>
                <w:rFonts w:ascii="Book Antiqua" w:eastAsia="宋体" w:hAnsi="Book Antiqua" w:cs="Book Antiqua" w:hint="eastAsia"/>
                <w:sz w:val="24"/>
                <w:szCs w:val="24"/>
                <w:lang w:val="en-GB" w:eastAsia="zh-CN"/>
              </w:rPr>
              <w:t>)</w:t>
            </w:r>
          </w:p>
        </w:tc>
        <w:tc>
          <w:tcPr>
            <w:tcW w:w="1546" w:type="dxa"/>
            <w:tcBorders>
              <w:top w:val="single" w:sz="4" w:space="0" w:color="auto"/>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0.004</w:t>
            </w:r>
          </w:p>
        </w:tc>
      </w:tr>
      <w:tr w:rsidR="00820CBF" w:rsidRPr="00B17ED4" w:rsidTr="008E7837">
        <w:trPr>
          <w:trHeight w:val="313"/>
        </w:trPr>
        <w:tc>
          <w:tcPr>
            <w:tcW w:w="4771"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eGFR CKD EPI Cystatin C (m</w:t>
            </w:r>
            <w:r w:rsidRPr="00B17ED4">
              <w:rPr>
                <w:rFonts w:ascii="Book Antiqua" w:eastAsia="Times New Roman" w:hAnsi="Book Antiqua" w:cs="Book Antiqua"/>
                <w:caps/>
                <w:sz w:val="24"/>
                <w:szCs w:val="24"/>
                <w:lang w:val="en-GB" w:eastAsia="fr-FR"/>
              </w:rPr>
              <w:t>l</w:t>
            </w:r>
            <w:r w:rsidRPr="00B17ED4">
              <w:rPr>
                <w:rFonts w:ascii="Book Antiqua" w:eastAsia="Times New Roman" w:hAnsi="Book Antiqua" w:cs="Book Antiqua"/>
                <w:sz w:val="24"/>
                <w:szCs w:val="24"/>
                <w:lang w:val="en-GB" w:eastAsia="fr-FR"/>
              </w:rPr>
              <w:t>/min)</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0.99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0.98; 0.99</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0.01</w:t>
            </w:r>
          </w:p>
        </w:tc>
      </w:tr>
      <w:tr w:rsidR="00820CBF" w:rsidRPr="00B17ED4" w:rsidTr="008E7837">
        <w:trPr>
          <w:trHeight w:val="162"/>
        </w:trPr>
        <w:tc>
          <w:tcPr>
            <w:tcW w:w="4771" w:type="dxa"/>
          </w:tcPr>
          <w:p w:rsidR="00820CBF" w:rsidRPr="00B17ED4" w:rsidRDefault="001317CB" w:rsidP="000505DB">
            <w:pPr>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Cirrhosis aetiology (HCV as reference)</w:t>
            </w:r>
          </w:p>
        </w:tc>
        <w:tc>
          <w:tcPr>
            <w:tcW w:w="2920" w:type="dxa"/>
          </w:tcPr>
          <w:p w:rsidR="00820CBF" w:rsidRPr="00B17ED4" w:rsidRDefault="00820CBF" w:rsidP="000505DB">
            <w:pPr>
              <w:snapToGrid w:val="0"/>
              <w:spacing w:after="0" w:line="360" w:lineRule="auto"/>
              <w:jc w:val="both"/>
              <w:rPr>
                <w:rFonts w:ascii="Book Antiqua" w:hAnsi="Book Antiqua" w:cs="Book Antiqua"/>
                <w:sz w:val="24"/>
                <w:szCs w:val="24"/>
                <w:lang w:val="en-GB"/>
              </w:rPr>
            </w:pP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0.028</w:t>
            </w:r>
          </w:p>
        </w:tc>
      </w:tr>
      <w:tr w:rsidR="00820CBF" w:rsidRPr="00B17ED4" w:rsidTr="008E7837">
        <w:trPr>
          <w:trHeight w:val="481"/>
        </w:trPr>
        <w:tc>
          <w:tcPr>
            <w:tcW w:w="4771" w:type="dxa"/>
          </w:tcPr>
          <w:p w:rsidR="00820CBF" w:rsidRPr="00B17ED4" w:rsidRDefault="001317CB" w:rsidP="004C07EA">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Alcohol</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0.57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0.39;</w:t>
            </w:r>
            <w:r w:rsidR="004C07EA"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0.83</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0.003</w:t>
            </w:r>
          </w:p>
        </w:tc>
      </w:tr>
      <w:tr w:rsidR="00820CBF" w:rsidRPr="00B17ED4" w:rsidTr="008E7837">
        <w:trPr>
          <w:trHeight w:val="495"/>
        </w:trPr>
        <w:tc>
          <w:tcPr>
            <w:tcW w:w="4771" w:type="dxa"/>
          </w:tcPr>
          <w:p w:rsidR="00820CBF" w:rsidRPr="00B17ED4" w:rsidRDefault="001317CB" w:rsidP="004C07EA">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hAnsi="Book Antiqua" w:cs="Book Antiqua"/>
                <w:sz w:val="24"/>
                <w:szCs w:val="24"/>
              </w:rPr>
              <w:t>Hepatitis B virus</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0.50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0.19;</w:t>
            </w:r>
            <w:r w:rsidR="004C07EA"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1.28</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0.14</w:t>
            </w:r>
          </w:p>
        </w:tc>
      </w:tr>
      <w:tr w:rsidR="00820CBF" w:rsidRPr="00B17ED4" w:rsidTr="008E7837">
        <w:trPr>
          <w:trHeight w:val="495"/>
        </w:trPr>
        <w:tc>
          <w:tcPr>
            <w:tcW w:w="4771" w:type="dxa"/>
          </w:tcPr>
          <w:p w:rsidR="00820CBF" w:rsidRPr="00B17ED4" w:rsidRDefault="001317CB" w:rsidP="004C07EA">
            <w:pPr>
              <w:snapToGrid w:val="0"/>
              <w:spacing w:after="0" w:line="360" w:lineRule="auto"/>
              <w:ind w:firstLineChars="100" w:firstLine="240"/>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Other</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0.66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0.41;</w:t>
            </w:r>
            <w:r w:rsidR="004C07EA" w:rsidRPr="00B17ED4">
              <w:rPr>
                <w:rFonts w:ascii="Book Antiqua" w:hAnsi="Book Antiqua" w:cs="Book Antiqua"/>
                <w:sz w:val="24"/>
                <w:szCs w:val="24"/>
                <w:lang w:val="en-GB"/>
              </w:rPr>
              <w:t xml:space="preserve"> </w:t>
            </w:r>
            <w:r w:rsidRPr="00B17ED4">
              <w:rPr>
                <w:rFonts w:ascii="Book Antiqua" w:hAnsi="Book Antiqua" w:cs="Book Antiqua"/>
                <w:sz w:val="24"/>
                <w:szCs w:val="24"/>
                <w:lang w:val="en-GB"/>
              </w:rPr>
              <w:t>1.08</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0.10</w:t>
            </w:r>
          </w:p>
        </w:tc>
      </w:tr>
      <w:tr w:rsidR="00820CBF" w:rsidRPr="00B17ED4" w:rsidTr="008E7837">
        <w:trPr>
          <w:trHeight w:val="232"/>
        </w:trPr>
        <w:tc>
          <w:tcPr>
            <w:tcW w:w="4771"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Transferrin saturation &gt;</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75%</w:t>
            </w:r>
          </w:p>
        </w:tc>
        <w:tc>
          <w:tcPr>
            <w:tcW w:w="2920" w:type="dxa"/>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1.73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1.14; 2.63</w:t>
            </w:r>
            <w:r w:rsidRPr="00B17ED4">
              <w:rPr>
                <w:rFonts w:ascii="Book Antiqua" w:eastAsia="宋体" w:hAnsi="Book Antiqua" w:cs="Book Antiqua" w:hint="eastAsia"/>
                <w:sz w:val="24"/>
                <w:szCs w:val="24"/>
                <w:lang w:val="en-GB" w:eastAsia="zh-CN"/>
              </w:rPr>
              <w:t>)</w:t>
            </w:r>
          </w:p>
        </w:tc>
        <w:tc>
          <w:tcPr>
            <w:tcW w:w="1546" w:type="dxa"/>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0.01</w:t>
            </w:r>
          </w:p>
        </w:tc>
      </w:tr>
      <w:tr w:rsidR="00820CBF" w:rsidRPr="00B17ED4" w:rsidTr="008E7837">
        <w:trPr>
          <w:trHeight w:val="365"/>
        </w:trPr>
        <w:tc>
          <w:tcPr>
            <w:tcW w:w="4771" w:type="dxa"/>
            <w:tcBorders>
              <w:bottom w:val="nil"/>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Ferritin (100-400</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µg/L as reference)</w:t>
            </w:r>
          </w:p>
        </w:tc>
        <w:tc>
          <w:tcPr>
            <w:tcW w:w="2920" w:type="dxa"/>
            <w:tcBorders>
              <w:bottom w:val="nil"/>
            </w:tcBorders>
          </w:tcPr>
          <w:p w:rsidR="00820CBF" w:rsidRPr="00B17ED4" w:rsidRDefault="00820CBF" w:rsidP="000505DB">
            <w:pPr>
              <w:snapToGrid w:val="0"/>
              <w:spacing w:after="0" w:line="360" w:lineRule="auto"/>
              <w:jc w:val="both"/>
              <w:rPr>
                <w:rFonts w:ascii="Book Antiqua" w:eastAsia="宋体" w:hAnsi="Book Antiqua" w:cs="Book Antiqua"/>
                <w:sz w:val="24"/>
                <w:szCs w:val="24"/>
                <w:lang w:val="en-GB" w:eastAsia="zh-CN"/>
              </w:rPr>
            </w:pPr>
          </w:p>
        </w:tc>
        <w:tc>
          <w:tcPr>
            <w:tcW w:w="1546" w:type="dxa"/>
            <w:tcBorders>
              <w:bottom w:val="nil"/>
            </w:tcBorders>
          </w:tcPr>
          <w:p w:rsidR="00820CBF" w:rsidRPr="00B17ED4" w:rsidRDefault="001317CB" w:rsidP="008E7837">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0.009</w:t>
            </w:r>
          </w:p>
        </w:tc>
      </w:tr>
      <w:tr w:rsidR="008E7837" w:rsidRPr="00B17ED4" w:rsidTr="008E7837">
        <w:trPr>
          <w:trHeight w:val="375"/>
        </w:trPr>
        <w:tc>
          <w:tcPr>
            <w:tcW w:w="4771" w:type="dxa"/>
            <w:tcBorders>
              <w:top w:val="nil"/>
              <w:bottom w:val="nil"/>
            </w:tcBorders>
          </w:tcPr>
          <w:p w:rsidR="008E7837" w:rsidRPr="00B17ED4" w:rsidRDefault="008E7837" w:rsidP="004C07EA">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&lt; 100 µg/L</w:t>
            </w:r>
          </w:p>
        </w:tc>
        <w:tc>
          <w:tcPr>
            <w:tcW w:w="2920" w:type="dxa"/>
            <w:tcBorders>
              <w:top w:val="nil"/>
              <w:bottom w:val="nil"/>
            </w:tcBorders>
          </w:tcPr>
          <w:p w:rsidR="008E7837" w:rsidRPr="00B17ED4" w:rsidRDefault="008E7837"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1.62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1.12; 2.35</w:t>
            </w:r>
            <w:r w:rsidRPr="00B17ED4">
              <w:rPr>
                <w:rFonts w:ascii="Book Antiqua" w:eastAsia="宋体" w:hAnsi="Book Antiqua" w:cs="Book Antiqua" w:hint="eastAsia"/>
                <w:sz w:val="24"/>
                <w:szCs w:val="24"/>
                <w:lang w:val="en-GB" w:eastAsia="zh-CN"/>
              </w:rPr>
              <w:t>)</w:t>
            </w:r>
          </w:p>
        </w:tc>
        <w:tc>
          <w:tcPr>
            <w:tcW w:w="1546" w:type="dxa"/>
            <w:tcBorders>
              <w:top w:val="nil"/>
              <w:bottom w:val="nil"/>
            </w:tcBorders>
          </w:tcPr>
          <w:p w:rsidR="008E7837" w:rsidRPr="00B17ED4" w:rsidRDefault="008E7837" w:rsidP="008E7837">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0.01</w:t>
            </w:r>
          </w:p>
        </w:tc>
      </w:tr>
      <w:tr w:rsidR="008E7837" w:rsidRPr="00B17ED4" w:rsidTr="008E7837">
        <w:trPr>
          <w:trHeight w:val="142"/>
        </w:trPr>
        <w:tc>
          <w:tcPr>
            <w:tcW w:w="4771" w:type="dxa"/>
            <w:tcBorders>
              <w:top w:val="nil"/>
              <w:bottom w:val="nil"/>
            </w:tcBorders>
          </w:tcPr>
          <w:p w:rsidR="008E7837" w:rsidRPr="00B17ED4" w:rsidRDefault="008E7837" w:rsidP="004C07EA">
            <w:pPr>
              <w:snapToGrid w:val="0"/>
              <w:spacing w:after="0" w:line="360" w:lineRule="auto"/>
              <w:ind w:firstLineChars="100" w:firstLine="240"/>
              <w:jc w:val="both"/>
              <w:rPr>
                <w:rFonts w:ascii="Book Antiqua" w:hAnsi="Book Antiqua" w:cs="Book Antiqua"/>
                <w:sz w:val="24"/>
                <w:szCs w:val="24"/>
                <w:lang w:val="en-GB"/>
              </w:rPr>
            </w:pPr>
            <w:r w:rsidRPr="00B17ED4">
              <w:rPr>
                <w:rFonts w:ascii="Book Antiqua" w:hAnsi="Book Antiqua" w:cs="Book Antiqua"/>
                <w:sz w:val="24"/>
                <w:szCs w:val="24"/>
                <w:lang w:val="en-GB"/>
              </w:rPr>
              <w:t>&gt; 400 µg/L</w:t>
            </w:r>
          </w:p>
        </w:tc>
        <w:tc>
          <w:tcPr>
            <w:tcW w:w="2920" w:type="dxa"/>
            <w:tcBorders>
              <w:top w:val="nil"/>
              <w:bottom w:val="nil"/>
            </w:tcBorders>
          </w:tcPr>
          <w:p w:rsidR="008E7837" w:rsidRPr="00B17ED4" w:rsidRDefault="008E7837"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 xml:space="preserve">0.90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0.59; 1.37</w:t>
            </w:r>
            <w:r w:rsidRPr="00B17ED4">
              <w:rPr>
                <w:rFonts w:ascii="Book Antiqua" w:eastAsia="宋体" w:hAnsi="Book Antiqua" w:cs="Book Antiqua" w:hint="eastAsia"/>
                <w:sz w:val="24"/>
                <w:szCs w:val="24"/>
                <w:lang w:val="en-GB" w:eastAsia="zh-CN"/>
              </w:rPr>
              <w:t>)</w:t>
            </w:r>
          </w:p>
        </w:tc>
        <w:tc>
          <w:tcPr>
            <w:tcW w:w="1546" w:type="dxa"/>
            <w:tcBorders>
              <w:top w:val="nil"/>
              <w:bottom w:val="nil"/>
            </w:tcBorders>
          </w:tcPr>
          <w:p w:rsidR="008E7837" w:rsidRPr="00B17ED4" w:rsidRDefault="008E7837" w:rsidP="008E7837">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0.63</w:t>
            </w:r>
          </w:p>
        </w:tc>
      </w:tr>
      <w:tr w:rsidR="00820CBF" w:rsidRPr="00B17ED4" w:rsidTr="008E7837">
        <w:trPr>
          <w:trHeight w:val="495"/>
        </w:trPr>
        <w:tc>
          <w:tcPr>
            <w:tcW w:w="4771" w:type="dxa"/>
            <w:tcBorders>
              <w:top w:val="nil"/>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Packed red blood cell (per unit)</w:t>
            </w:r>
          </w:p>
        </w:tc>
        <w:tc>
          <w:tcPr>
            <w:tcW w:w="2920" w:type="dxa"/>
            <w:tcBorders>
              <w:top w:val="nil"/>
            </w:tcBorders>
          </w:tcPr>
          <w:p w:rsidR="00820CBF" w:rsidRPr="00B17ED4" w:rsidRDefault="001317CB" w:rsidP="000505DB">
            <w:pPr>
              <w:snapToGrid w:val="0"/>
              <w:spacing w:after="0" w:line="360" w:lineRule="auto"/>
              <w:jc w:val="both"/>
              <w:rPr>
                <w:rFonts w:ascii="Book Antiqua" w:eastAsia="宋体" w:hAnsi="Book Antiqua" w:cs="Book Antiqua"/>
                <w:sz w:val="24"/>
                <w:szCs w:val="24"/>
                <w:lang w:val="en-GB" w:eastAsia="zh-CN"/>
              </w:rPr>
            </w:pPr>
            <w:r w:rsidRPr="00B17ED4">
              <w:rPr>
                <w:rFonts w:ascii="Book Antiqua" w:hAnsi="Book Antiqua" w:cs="Book Antiqua"/>
                <w:sz w:val="24"/>
                <w:szCs w:val="24"/>
                <w:lang w:val="en-GB"/>
              </w:rPr>
              <w:t xml:space="preserve">1.05 </w:t>
            </w:r>
            <w:r w:rsidRPr="00B17ED4">
              <w:rPr>
                <w:rFonts w:ascii="Book Antiqua" w:eastAsia="宋体" w:hAnsi="Book Antiqua" w:cs="Book Antiqua" w:hint="eastAsia"/>
                <w:sz w:val="24"/>
                <w:szCs w:val="24"/>
                <w:lang w:val="en-GB" w:eastAsia="zh-CN"/>
              </w:rPr>
              <w:t>(</w:t>
            </w:r>
            <w:r w:rsidRPr="00B17ED4">
              <w:rPr>
                <w:rFonts w:ascii="Book Antiqua" w:hAnsi="Book Antiqua" w:cs="Book Antiqua"/>
                <w:sz w:val="24"/>
                <w:szCs w:val="24"/>
                <w:lang w:val="en-GB"/>
              </w:rPr>
              <w:t>1.03; 1.08</w:t>
            </w:r>
            <w:r w:rsidRPr="00B17ED4">
              <w:rPr>
                <w:rFonts w:ascii="Book Antiqua" w:eastAsia="宋体" w:hAnsi="Book Antiqua" w:cs="Book Antiqua" w:hint="eastAsia"/>
                <w:sz w:val="24"/>
                <w:szCs w:val="24"/>
                <w:lang w:val="en-GB" w:eastAsia="zh-CN"/>
              </w:rPr>
              <w:t>)</w:t>
            </w:r>
          </w:p>
        </w:tc>
        <w:tc>
          <w:tcPr>
            <w:tcW w:w="1546" w:type="dxa"/>
            <w:tcBorders>
              <w:top w:val="nil"/>
            </w:tcBorders>
          </w:tcPr>
          <w:p w:rsidR="00820CBF" w:rsidRPr="00B17ED4" w:rsidRDefault="001317CB" w:rsidP="000505DB">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&lt;</w:t>
            </w:r>
            <w:r w:rsidRPr="00B17ED4">
              <w:rPr>
                <w:rFonts w:ascii="Book Antiqua" w:hAnsi="Book Antiqua" w:cs="Book Antiqua"/>
                <w:sz w:val="24"/>
                <w:szCs w:val="24"/>
                <w:lang w:val="en-US"/>
              </w:rPr>
              <w:t xml:space="preserve"> </w:t>
            </w:r>
            <w:r w:rsidRPr="00B17ED4">
              <w:rPr>
                <w:rFonts w:ascii="Book Antiqua" w:hAnsi="Book Antiqua" w:cs="Book Antiqua"/>
                <w:sz w:val="24"/>
                <w:szCs w:val="24"/>
                <w:lang w:val="en-GB"/>
              </w:rPr>
              <w:t>0.001</w:t>
            </w:r>
          </w:p>
        </w:tc>
      </w:tr>
    </w:tbl>
    <w:p w:rsidR="00820CBF" w:rsidRPr="00B17ED4" w:rsidRDefault="001317CB" w:rsidP="000505DB">
      <w:pPr>
        <w:snapToGrid w:val="0"/>
        <w:spacing w:after="0" w:line="360" w:lineRule="auto"/>
        <w:jc w:val="both"/>
        <w:rPr>
          <w:rFonts w:ascii="Book Antiqua" w:hAnsi="Book Antiqua" w:cs="Book Antiqua"/>
          <w:sz w:val="24"/>
          <w:szCs w:val="24"/>
          <w:lang w:val="en-US"/>
        </w:rPr>
      </w:pPr>
      <w:r w:rsidRPr="00B17ED4">
        <w:rPr>
          <w:rFonts w:ascii="Book Antiqua" w:hAnsi="Book Antiqua" w:cs="Book Antiqua"/>
          <w:sz w:val="24"/>
          <w:szCs w:val="24"/>
          <w:lang w:val="en-GB"/>
        </w:rPr>
        <w:t>CI: Confidence interval</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HCV: Hepatitis C virus</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HR: Hazard ratio</w:t>
      </w:r>
      <w:r w:rsidRPr="00B17ED4">
        <w:rPr>
          <w:rFonts w:ascii="Book Antiqua" w:hAnsi="Book Antiqua" w:cs="Book Antiqua"/>
          <w:sz w:val="24"/>
          <w:szCs w:val="24"/>
          <w:lang w:val="en-US"/>
        </w:rPr>
        <w:t>;</w:t>
      </w:r>
      <w:r w:rsidRPr="00B17ED4">
        <w:rPr>
          <w:rFonts w:ascii="Book Antiqua" w:hAnsi="Book Antiqua" w:cs="Book Antiqua"/>
          <w:sz w:val="24"/>
          <w:szCs w:val="24"/>
          <w:lang w:val="en-GB"/>
        </w:rPr>
        <w:t xml:space="preserve"> ICU: Intensive care unit</w:t>
      </w:r>
      <w:r w:rsidRPr="00B17ED4">
        <w:rPr>
          <w:rFonts w:ascii="Book Antiqua" w:hAnsi="Book Antiqua" w:cs="Book Antiqua"/>
          <w:sz w:val="24"/>
          <w:szCs w:val="24"/>
          <w:lang w:val="en-US"/>
        </w:rPr>
        <w:t>.</w:t>
      </w:r>
    </w:p>
    <w:p w:rsidR="00820CBF" w:rsidRPr="00B17ED4" w:rsidRDefault="00820CBF" w:rsidP="000505DB">
      <w:pPr>
        <w:snapToGrid w:val="0"/>
        <w:spacing w:after="0" w:line="360" w:lineRule="auto"/>
        <w:jc w:val="both"/>
        <w:rPr>
          <w:rFonts w:ascii="Book Antiqua" w:hAnsi="Book Antiqua" w:cs="Book Antiqua"/>
          <w:sz w:val="24"/>
          <w:szCs w:val="24"/>
        </w:rPr>
      </w:pPr>
    </w:p>
    <w:p w:rsidR="001317CB" w:rsidRPr="00B17ED4" w:rsidRDefault="001317CB">
      <w:pPr>
        <w:spacing w:after="0" w:line="240" w:lineRule="auto"/>
        <w:rPr>
          <w:rFonts w:ascii="Book Antiqua" w:hAnsi="Book Antiqua" w:cs="Book Antiqua"/>
          <w:b/>
          <w:sz w:val="24"/>
          <w:szCs w:val="24"/>
          <w:lang w:val="en-GB"/>
        </w:rPr>
      </w:pPr>
      <w:r w:rsidRPr="00B17ED4">
        <w:rPr>
          <w:rFonts w:ascii="Book Antiqua" w:hAnsi="Book Antiqua" w:cs="Book Antiqua"/>
          <w:b/>
          <w:sz w:val="24"/>
          <w:szCs w:val="24"/>
          <w:lang w:val="en-GB"/>
        </w:rPr>
        <w:br w:type="page"/>
      </w:r>
    </w:p>
    <w:p w:rsidR="00820CBF" w:rsidRPr="00B17ED4" w:rsidRDefault="001317CB" w:rsidP="000505DB">
      <w:pPr>
        <w:snapToGrid w:val="0"/>
        <w:spacing w:after="0" w:line="360" w:lineRule="auto"/>
        <w:jc w:val="both"/>
        <w:rPr>
          <w:rFonts w:ascii="Book Antiqua" w:hAnsi="Book Antiqua" w:cs="Book Antiqua"/>
          <w:sz w:val="24"/>
          <w:szCs w:val="24"/>
        </w:rPr>
      </w:pPr>
      <w:r w:rsidRPr="00B17ED4">
        <w:rPr>
          <w:rFonts w:ascii="Book Antiqua" w:hAnsi="Book Antiqua" w:cs="Book Antiqua"/>
          <w:b/>
          <w:sz w:val="24"/>
          <w:szCs w:val="24"/>
          <w:lang w:val="en-GB"/>
        </w:rPr>
        <w:lastRenderedPageBreak/>
        <w:t>Table 4</w:t>
      </w:r>
      <w:r w:rsidRPr="00B17ED4">
        <w:rPr>
          <w:rFonts w:ascii="Book Antiqua" w:hAnsi="Book Antiqua" w:cs="Book Antiqua"/>
          <w:b/>
          <w:sz w:val="24"/>
          <w:szCs w:val="24"/>
          <w:lang w:val="en-US"/>
        </w:rPr>
        <w:t xml:space="preserve"> </w:t>
      </w:r>
      <w:r w:rsidRPr="00B17ED4">
        <w:rPr>
          <w:rFonts w:ascii="Book Antiqua" w:hAnsi="Book Antiqua" w:cs="Book Antiqua"/>
          <w:b/>
          <w:sz w:val="24"/>
          <w:szCs w:val="24"/>
          <w:lang w:val="en-GB"/>
        </w:rPr>
        <w:t>Multivariate analysis for risk factors of infection associated death</w:t>
      </w:r>
    </w:p>
    <w:p w:rsidR="00820CBF" w:rsidRPr="00B17ED4" w:rsidRDefault="001317CB" w:rsidP="000505DB">
      <w:pPr>
        <w:snapToGrid w:val="0"/>
        <w:spacing w:after="0" w:line="360" w:lineRule="auto"/>
        <w:jc w:val="both"/>
        <w:rPr>
          <w:rFonts w:ascii="Book Antiqua" w:eastAsia="宋体" w:hAnsi="Book Antiqua" w:cs="Book Antiqua"/>
          <w:sz w:val="24"/>
          <w:szCs w:val="24"/>
          <w:lang w:val="en-US" w:eastAsia="zh-CN"/>
        </w:rPr>
      </w:pPr>
      <w:r w:rsidRPr="00B17ED4">
        <w:rPr>
          <w:rFonts w:ascii="Book Antiqua" w:hAnsi="Book Antiqua" w:cs="Book Antiqua"/>
          <w:sz w:val="24"/>
          <w:szCs w:val="24"/>
          <w:lang w:val="en-GB"/>
        </w:rPr>
        <w:t>CI: Confidence interval</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HR: Hazard ratio</w:t>
      </w:r>
      <w:r w:rsidRPr="00B17ED4">
        <w:rPr>
          <w:rFonts w:ascii="Book Antiqua" w:eastAsia="宋体" w:hAnsi="Book Antiqua" w:cs="Book Antiqua" w:hint="eastAsia"/>
          <w:sz w:val="24"/>
          <w:szCs w:val="24"/>
          <w:lang w:val="en-US" w:eastAsia="zh-CN"/>
        </w:rPr>
        <w:t>;</w:t>
      </w:r>
      <w:r w:rsidRPr="00B17ED4">
        <w:rPr>
          <w:rFonts w:ascii="Book Antiqua" w:hAnsi="Book Antiqua" w:cs="Book Antiqua"/>
          <w:sz w:val="24"/>
          <w:szCs w:val="24"/>
          <w:lang w:val="en-GB"/>
        </w:rPr>
        <w:t xml:space="preserve"> ICU: Intensive care unit</w:t>
      </w:r>
      <w:r w:rsidRPr="00B17ED4">
        <w:rPr>
          <w:rFonts w:ascii="Book Antiqua" w:eastAsia="宋体" w:hAnsi="Book Antiqua" w:cs="Book Antiqua" w:hint="eastAsia"/>
          <w:sz w:val="24"/>
          <w:szCs w:val="24"/>
          <w:lang w:val="en-US" w:eastAsia="zh-CN"/>
        </w:rPr>
        <w:t>.</w:t>
      </w:r>
    </w:p>
    <w:p w:rsidR="00820CBF" w:rsidRPr="00B17ED4" w:rsidRDefault="00820CBF" w:rsidP="000505DB">
      <w:pPr>
        <w:snapToGrid w:val="0"/>
        <w:spacing w:after="0" w:line="360" w:lineRule="auto"/>
        <w:jc w:val="both"/>
        <w:rPr>
          <w:rFonts w:ascii="Book Antiqua" w:hAnsi="Book Antiqua" w:cs="Book Antiqua"/>
          <w:sz w:val="24"/>
          <w:szCs w:val="24"/>
        </w:rPr>
      </w:pPr>
    </w:p>
    <w:p w:rsidR="00820CBF" w:rsidRPr="00B17ED4" w:rsidRDefault="00820CBF" w:rsidP="000505DB">
      <w:pPr>
        <w:snapToGrid w:val="0"/>
        <w:spacing w:after="0" w:line="360" w:lineRule="auto"/>
        <w:jc w:val="both"/>
        <w:rPr>
          <w:rFonts w:ascii="Book Antiqua" w:hAnsi="Book Antiqua" w:cs="Book Antiqua"/>
          <w:sz w:val="24"/>
          <w:szCs w:val="24"/>
        </w:rPr>
      </w:pPr>
    </w:p>
    <w:tbl>
      <w:tblPr>
        <w:tblStyle w:val="ad"/>
        <w:tblpPr w:leftFromText="141" w:rightFromText="141" w:vertAnchor="text" w:horzAnchor="margin" w:tblpY="-1265"/>
        <w:tblW w:w="86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1"/>
        <w:gridCol w:w="2755"/>
        <w:gridCol w:w="1441"/>
      </w:tblGrid>
      <w:tr w:rsidR="00820CBF" w:rsidRPr="00B17ED4" w:rsidTr="004C07EA">
        <w:trPr>
          <w:trHeight w:val="274"/>
        </w:trPr>
        <w:tc>
          <w:tcPr>
            <w:tcW w:w="4501" w:type="dxa"/>
            <w:tcBorders>
              <w:bottom w:val="single" w:sz="4" w:space="0" w:color="auto"/>
            </w:tcBorders>
          </w:tcPr>
          <w:p w:rsidR="00820CBF" w:rsidRPr="00B17ED4" w:rsidRDefault="001317CB" w:rsidP="004C07EA">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sz w:val="24"/>
                <w:szCs w:val="24"/>
                <w:lang w:val="en-GB"/>
              </w:rPr>
              <w:t>Parameters</w:t>
            </w:r>
          </w:p>
        </w:tc>
        <w:tc>
          <w:tcPr>
            <w:tcW w:w="2755" w:type="dxa"/>
            <w:tcBorders>
              <w:bottom w:val="single" w:sz="4" w:space="0" w:color="auto"/>
            </w:tcBorders>
          </w:tcPr>
          <w:p w:rsidR="00820CBF" w:rsidRPr="00B17ED4" w:rsidRDefault="001317CB" w:rsidP="004C07EA">
            <w:pPr>
              <w:snapToGrid w:val="0"/>
              <w:spacing w:after="0" w:line="360" w:lineRule="auto"/>
              <w:jc w:val="both"/>
              <w:rPr>
                <w:rFonts w:ascii="Book Antiqua" w:eastAsia="宋体" w:hAnsi="Book Antiqua" w:cs="Book Antiqua"/>
                <w:b/>
                <w:bCs/>
                <w:sz w:val="24"/>
                <w:szCs w:val="24"/>
                <w:lang w:val="en-GB" w:eastAsia="zh-CN"/>
              </w:rPr>
            </w:pPr>
            <w:r w:rsidRPr="00B17ED4">
              <w:rPr>
                <w:rFonts w:ascii="Book Antiqua" w:eastAsia="Times New Roman" w:hAnsi="Book Antiqua" w:cs="Book Antiqua"/>
                <w:b/>
                <w:bCs/>
                <w:sz w:val="24"/>
                <w:szCs w:val="24"/>
                <w:lang w:eastAsia="fr-FR"/>
              </w:rPr>
              <w:t xml:space="preserve">HR </w:t>
            </w:r>
            <w:r w:rsidRPr="00B17ED4">
              <w:rPr>
                <w:rFonts w:ascii="Book Antiqua" w:eastAsia="宋体" w:hAnsi="Book Antiqua" w:cs="Book Antiqua" w:hint="eastAsia"/>
                <w:b/>
                <w:bCs/>
                <w:sz w:val="24"/>
                <w:szCs w:val="24"/>
                <w:lang w:eastAsia="zh-CN"/>
              </w:rPr>
              <w:t>(</w:t>
            </w:r>
            <w:r w:rsidRPr="00B17ED4">
              <w:rPr>
                <w:rFonts w:ascii="Book Antiqua" w:eastAsia="Times New Roman" w:hAnsi="Book Antiqua" w:cs="Book Antiqua"/>
                <w:b/>
                <w:bCs/>
                <w:sz w:val="24"/>
                <w:szCs w:val="24"/>
                <w:lang w:eastAsia="fr-FR"/>
              </w:rPr>
              <w:t>95%CI</w:t>
            </w:r>
            <w:r w:rsidRPr="00B17ED4">
              <w:rPr>
                <w:rFonts w:ascii="Book Antiqua" w:eastAsia="宋体" w:hAnsi="Book Antiqua" w:cs="Book Antiqua" w:hint="eastAsia"/>
                <w:b/>
                <w:bCs/>
                <w:sz w:val="24"/>
                <w:szCs w:val="24"/>
                <w:lang w:eastAsia="zh-CN"/>
              </w:rPr>
              <w:t>)</w:t>
            </w:r>
          </w:p>
        </w:tc>
        <w:tc>
          <w:tcPr>
            <w:tcW w:w="1441" w:type="dxa"/>
            <w:tcBorders>
              <w:bottom w:val="single" w:sz="4" w:space="0" w:color="auto"/>
            </w:tcBorders>
          </w:tcPr>
          <w:p w:rsidR="00820CBF" w:rsidRPr="00B17ED4" w:rsidRDefault="001317CB" w:rsidP="004C07EA">
            <w:pPr>
              <w:snapToGrid w:val="0"/>
              <w:spacing w:after="0" w:line="360" w:lineRule="auto"/>
              <w:jc w:val="both"/>
              <w:rPr>
                <w:rFonts w:ascii="Book Antiqua" w:hAnsi="Book Antiqua" w:cs="Book Antiqua"/>
                <w:b/>
                <w:bCs/>
                <w:sz w:val="24"/>
                <w:szCs w:val="24"/>
                <w:lang w:val="en-GB"/>
              </w:rPr>
            </w:pPr>
            <w:r w:rsidRPr="00B17ED4">
              <w:rPr>
                <w:rFonts w:ascii="Book Antiqua" w:hAnsi="Book Antiqua" w:cs="Book Antiqua"/>
                <w:b/>
                <w:bCs/>
                <w:i/>
                <w:iCs/>
                <w:sz w:val="24"/>
                <w:szCs w:val="24"/>
                <w:lang w:val="en-GB"/>
              </w:rPr>
              <w:t>P</w:t>
            </w:r>
            <w:r w:rsidRPr="00B17ED4">
              <w:rPr>
                <w:rFonts w:ascii="Book Antiqua" w:hAnsi="Book Antiqua" w:cs="Book Antiqua"/>
                <w:b/>
                <w:bCs/>
                <w:sz w:val="24"/>
                <w:szCs w:val="24"/>
                <w:lang w:val="en-GB"/>
              </w:rPr>
              <w:t xml:space="preserve"> value</w:t>
            </w:r>
          </w:p>
        </w:tc>
      </w:tr>
      <w:tr w:rsidR="00820CBF" w:rsidRPr="00B17ED4" w:rsidTr="004C07EA">
        <w:trPr>
          <w:trHeight w:val="474"/>
        </w:trPr>
        <w:tc>
          <w:tcPr>
            <w:tcW w:w="4501" w:type="dxa"/>
            <w:tcBorders>
              <w:top w:val="single" w:sz="4" w:space="0" w:color="auto"/>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Transferrin saturation &gt;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75%</w:t>
            </w:r>
          </w:p>
        </w:tc>
        <w:tc>
          <w:tcPr>
            <w:tcW w:w="2755" w:type="dxa"/>
            <w:tcBorders>
              <w:top w:val="single" w:sz="4" w:space="0" w:color="auto"/>
            </w:tcBorders>
          </w:tcPr>
          <w:p w:rsidR="00820CBF" w:rsidRPr="00B17ED4" w:rsidRDefault="001317CB" w:rsidP="004C07EA">
            <w:pPr>
              <w:snapToGrid w:val="0"/>
              <w:spacing w:after="0" w:line="360" w:lineRule="auto"/>
              <w:jc w:val="both"/>
              <w:rPr>
                <w:rFonts w:ascii="Book Antiqua" w:eastAsia="宋体" w:hAnsi="Book Antiqua" w:cs="Book Antiqua"/>
                <w:sz w:val="24"/>
                <w:szCs w:val="24"/>
                <w:lang w:val="en-GB" w:eastAsia="zh-CN"/>
              </w:rPr>
            </w:pPr>
            <w:r w:rsidRPr="00B17ED4">
              <w:rPr>
                <w:rFonts w:ascii="Book Antiqua" w:eastAsia="Times New Roman" w:hAnsi="Book Antiqua" w:cs="Book Antiqua"/>
                <w:sz w:val="24"/>
                <w:szCs w:val="24"/>
                <w:lang w:val="en-GB" w:eastAsia="fr-FR"/>
              </w:rPr>
              <w:t xml:space="preserve">3.06 </w:t>
            </w:r>
            <w:r w:rsidRPr="00B17ED4">
              <w:rPr>
                <w:rFonts w:ascii="Book Antiqua" w:eastAsia="宋体" w:hAnsi="Book Antiqua" w:cs="Book Antiqua" w:hint="eastAsia"/>
                <w:sz w:val="24"/>
                <w:szCs w:val="24"/>
                <w:lang w:val="en-GB" w:eastAsia="zh-CN"/>
              </w:rPr>
              <w:t>(</w:t>
            </w:r>
            <w:r w:rsidRPr="00B17ED4">
              <w:rPr>
                <w:rFonts w:ascii="Book Antiqua" w:eastAsia="Times New Roman" w:hAnsi="Book Antiqua" w:cs="Book Antiqua"/>
                <w:sz w:val="24"/>
                <w:szCs w:val="24"/>
                <w:lang w:val="en-GB" w:eastAsia="fr-FR"/>
              </w:rPr>
              <w:t>1.13; 8.23</w:t>
            </w:r>
            <w:r w:rsidRPr="00B17ED4">
              <w:rPr>
                <w:rFonts w:ascii="Book Antiqua" w:eastAsia="宋体" w:hAnsi="Book Antiqua" w:cs="Book Antiqua" w:hint="eastAsia"/>
                <w:sz w:val="24"/>
                <w:szCs w:val="24"/>
                <w:lang w:val="en-GB" w:eastAsia="zh-CN"/>
              </w:rPr>
              <w:t>)</w:t>
            </w:r>
          </w:p>
        </w:tc>
        <w:tc>
          <w:tcPr>
            <w:tcW w:w="1441" w:type="dxa"/>
            <w:tcBorders>
              <w:top w:val="single" w:sz="4" w:space="0" w:color="auto"/>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0.02</w:t>
            </w:r>
          </w:p>
        </w:tc>
      </w:tr>
      <w:tr w:rsidR="00820CBF" w:rsidRPr="00B17ED4" w:rsidTr="004C07EA">
        <w:trPr>
          <w:trHeight w:val="425"/>
        </w:trPr>
        <w:tc>
          <w:tcPr>
            <w:tcW w:w="4501" w:type="dxa"/>
            <w:tcBorders>
              <w:bottom w:val="nil"/>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Ferritin (100-400</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µg/L as reference)</w:t>
            </w:r>
          </w:p>
        </w:tc>
        <w:tc>
          <w:tcPr>
            <w:tcW w:w="2755" w:type="dxa"/>
            <w:tcBorders>
              <w:bottom w:val="nil"/>
            </w:tcBorders>
          </w:tcPr>
          <w:p w:rsidR="00820CBF" w:rsidRPr="00B17ED4" w:rsidRDefault="00820CBF" w:rsidP="004C07EA">
            <w:pPr>
              <w:snapToGrid w:val="0"/>
              <w:spacing w:after="0" w:line="360" w:lineRule="auto"/>
              <w:jc w:val="both"/>
              <w:rPr>
                <w:rFonts w:ascii="Book Antiqua" w:eastAsia="宋体" w:hAnsi="Book Antiqua" w:cs="Book Antiqua"/>
                <w:sz w:val="24"/>
                <w:szCs w:val="24"/>
                <w:lang w:val="en-US" w:eastAsia="zh-CN"/>
              </w:rPr>
            </w:pPr>
          </w:p>
        </w:tc>
        <w:tc>
          <w:tcPr>
            <w:tcW w:w="1441" w:type="dxa"/>
            <w:tcBorders>
              <w:bottom w:val="nil"/>
            </w:tcBorders>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0.02</w:t>
            </w:r>
          </w:p>
        </w:tc>
      </w:tr>
      <w:tr w:rsidR="004C07EA" w:rsidRPr="00B17ED4" w:rsidTr="004C07EA">
        <w:trPr>
          <w:trHeight w:val="363"/>
        </w:trPr>
        <w:tc>
          <w:tcPr>
            <w:tcW w:w="4501" w:type="dxa"/>
            <w:tcBorders>
              <w:top w:val="nil"/>
              <w:bottom w:val="nil"/>
            </w:tcBorders>
          </w:tcPr>
          <w:p w:rsidR="004C07EA" w:rsidRPr="00B17ED4" w:rsidRDefault="00C47E43" w:rsidP="004C07EA">
            <w:pPr>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 xml:space="preserve"> </w:t>
            </w:r>
            <w:r w:rsidR="004C07EA" w:rsidRPr="00B17ED4">
              <w:rPr>
                <w:rFonts w:ascii="Book Antiqua" w:hAnsi="Book Antiqua" w:cs="Book Antiqua"/>
                <w:sz w:val="24"/>
                <w:szCs w:val="24"/>
                <w:lang w:val="en-GB"/>
              </w:rPr>
              <w:t>&lt; 100 µg/L</w:t>
            </w:r>
          </w:p>
        </w:tc>
        <w:tc>
          <w:tcPr>
            <w:tcW w:w="2755" w:type="dxa"/>
            <w:tcBorders>
              <w:top w:val="nil"/>
              <w:bottom w:val="nil"/>
            </w:tcBorders>
          </w:tcPr>
          <w:p w:rsidR="004C07EA" w:rsidRPr="00B17ED4" w:rsidRDefault="004C07EA" w:rsidP="004C07EA">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 xml:space="preserve">1.74 </w:t>
            </w:r>
            <w:r w:rsidRPr="00B17ED4">
              <w:rPr>
                <w:rFonts w:ascii="Book Antiqua" w:eastAsia="宋体" w:hAnsi="Book Antiqua" w:cs="Book Antiqua" w:hint="eastAsia"/>
                <w:sz w:val="24"/>
                <w:szCs w:val="24"/>
                <w:lang w:val="en-GB" w:eastAsia="zh-CN"/>
              </w:rPr>
              <w:t>(</w:t>
            </w:r>
            <w:r w:rsidRPr="00B17ED4">
              <w:rPr>
                <w:rFonts w:ascii="Book Antiqua" w:eastAsia="Times New Roman" w:hAnsi="Book Antiqua" w:cs="Book Antiqua"/>
                <w:sz w:val="24"/>
                <w:szCs w:val="24"/>
                <w:lang w:val="en-GB" w:eastAsia="fr-FR"/>
              </w:rPr>
              <w:t>0.77; 3.93</w:t>
            </w:r>
            <w:r w:rsidRPr="00B17ED4">
              <w:rPr>
                <w:rFonts w:ascii="Book Antiqua" w:eastAsia="宋体" w:hAnsi="Book Antiqua" w:cs="Book Antiqua" w:hint="eastAsia"/>
                <w:sz w:val="24"/>
                <w:szCs w:val="24"/>
                <w:lang w:val="en-GB" w:eastAsia="zh-CN"/>
              </w:rPr>
              <w:t>)</w:t>
            </w:r>
          </w:p>
        </w:tc>
        <w:tc>
          <w:tcPr>
            <w:tcW w:w="1441" w:type="dxa"/>
            <w:tcBorders>
              <w:top w:val="nil"/>
              <w:bottom w:val="nil"/>
            </w:tcBorders>
          </w:tcPr>
          <w:p w:rsidR="004C07EA" w:rsidRPr="00B17ED4" w:rsidRDefault="004C07EA"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0.17</w:t>
            </w:r>
          </w:p>
        </w:tc>
      </w:tr>
      <w:tr w:rsidR="004C07EA" w:rsidRPr="00B17ED4" w:rsidTr="004C07EA">
        <w:trPr>
          <w:trHeight w:val="131"/>
        </w:trPr>
        <w:tc>
          <w:tcPr>
            <w:tcW w:w="4501" w:type="dxa"/>
            <w:tcBorders>
              <w:top w:val="nil"/>
            </w:tcBorders>
          </w:tcPr>
          <w:p w:rsidR="004C07EA" w:rsidRPr="00B17ED4" w:rsidRDefault="00C47E43" w:rsidP="004C07EA">
            <w:pPr>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 xml:space="preserve"> </w:t>
            </w:r>
            <w:r w:rsidR="004C07EA" w:rsidRPr="00B17ED4">
              <w:rPr>
                <w:rFonts w:ascii="Book Antiqua" w:hAnsi="Book Antiqua" w:cs="Book Antiqua"/>
                <w:sz w:val="24"/>
                <w:szCs w:val="24"/>
                <w:lang w:val="en-GB"/>
              </w:rPr>
              <w:t>&gt; 400 µg/L</w:t>
            </w:r>
          </w:p>
        </w:tc>
        <w:tc>
          <w:tcPr>
            <w:tcW w:w="2755" w:type="dxa"/>
            <w:tcBorders>
              <w:top w:val="nil"/>
            </w:tcBorders>
          </w:tcPr>
          <w:p w:rsidR="004C07EA" w:rsidRPr="00B17ED4" w:rsidRDefault="004C07EA" w:rsidP="004C07EA">
            <w:pPr>
              <w:snapToGrid w:val="0"/>
              <w:spacing w:after="0" w:line="360" w:lineRule="auto"/>
              <w:jc w:val="both"/>
              <w:rPr>
                <w:rFonts w:ascii="Book Antiqua" w:eastAsia="Times New Roman" w:hAnsi="Book Antiqua" w:cs="Book Antiqua"/>
                <w:sz w:val="24"/>
                <w:szCs w:val="24"/>
                <w:lang w:val="en-GB" w:eastAsia="fr-FR"/>
              </w:rPr>
            </w:pPr>
            <w:r w:rsidRPr="00B17ED4">
              <w:rPr>
                <w:rFonts w:ascii="Book Antiqua" w:eastAsia="Times New Roman" w:hAnsi="Book Antiqua" w:cs="Book Antiqua"/>
                <w:sz w:val="24"/>
                <w:szCs w:val="24"/>
                <w:lang w:val="en-GB" w:eastAsia="fr-FR"/>
              </w:rPr>
              <w:t xml:space="preserve">0.35 </w:t>
            </w:r>
            <w:r w:rsidRPr="00B17ED4">
              <w:rPr>
                <w:rFonts w:ascii="Book Antiqua" w:eastAsia="宋体" w:hAnsi="Book Antiqua" w:cs="Book Antiqua" w:hint="eastAsia"/>
                <w:sz w:val="24"/>
                <w:szCs w:val="24"/>
                <w:lang w:val="en-GB" w:eastAsia="zh-CN"/>
              </w:rPr>
              <w:t>(</w:t>
            </w:r>
            <w:r w:rsidRPr="00B17ED4">
              <w:rPr>
                <w:rFonts w:ascii="Book Antiqua" w:eastAsia="Times New Roman" w:hAnsi="Book Antiqua" w:cs="Book Antiqua"/>
                <w:sz w:val="24"/>
                <w:szCs w:val="24"/>
                <w:lang w:val="en-GB" w:eastAsia="fr-FR"/>
              </w:rPr>
              <w:t>0.12; 0.98</w:t>
            </w:r>
            <w:r w:rsidRPr="00B17ED4">
              <w:rPr>
                <w:rFonts w:ascii="Book Antiqua" w:eastAsia="宋体" w:hAnsi="Book Antiqua" w:cs="Book Antiqua" w:hint="eastAsia"/>
                <w:sz w:val="24"/>
                <w:szCs w:val="24"/>
                <w:lang w:val="en-US" w:eastAsia="zh-CN"/>
              </w:rPr>
              <w:t>)</w:t>
            </w:r>
          </w:p>
        </w:tc>
        <w:tc>
          <w:tcPr>
            <w:tcW w:w="1441" w:type="dxa"/>
            <w:tcBorders>
              <w:top w:val="nil"/>
            </w:tcBorders>
          </w:tcPr>
          <w:p w:rsidR="004C07EA" w:rsidRPr="00B17ED4" w:rsidRDefault="004C07EA"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0.48</w:t>
            </w:r>
          </w:p>
        </w:tc>
      </w:tr>
      <w:tr w:rsidR="00820CBF" w:rsidRPr="00B17ED4" w:rsidTr="004C07EA">
        <w:trPr>
          <w:trHeight w:val="474"/>
        </w:trPr>
        <w:tc>
          <w:tcPr>
            <w:tcW w:w="4501" w:type="dxa"/>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eGFR CKD EPI Cystatin C (m</w:t>
            </w:r>
            <w:r w:rsidRPr="00CD277D">
              <w:rPr>
                <w:rFonts w:ascii="Book Antiqua" w:eastAsia="Times New Roman" w:hAnsi="Book Antiqua" w:cs="Book Antiqua"/>
                <w:caps/>
                <w:sz w:val="24"/>
                <w:szCs w:val="24"/>
                <w:lang w:val="en-GB" w:eastAsia="fr-FR"/>
              </w:rPr>
              <w:t>l</w:t>
            </w:r>
            <w:r w:rsidRPr="00B17ED4">
              <w:rPr>
                <w:rFonts w:ascii="Book Antiqua" w:eastAsia="Times New Roman" w:hAnsi="Book Antiqua" w:cs="Book Antiqua"/>
                <w:sz w:val="24"/>
                <w:szCs w:val="24"/>
                <w:lang w:val="en-GB" w:eastAsia="fr-FR"/>
              </w:rPr>
              <w:t>/min)</w:t>
            </w:r>
          </w:p>
        </w:tc>
        <w:tc>
          <w:tcPr>
            <w:tcW w:w="2755" w:type="dxa"/>
          </w:tcPr>
          <w:p w:rsidR="00820CBF" w:rsidRPr="00B17ED4" w:rsidRDefault="001317CB" w:rsidP="004C07EA">
            <w:pPr>
              <w:snapToGrid w:val="0"/>
              <w:spacing w:after="0" w:line="360" w:lineRule="auto"/>
              <w:jc w:val="both"/>
              <w:rPr>
                <w:rFonts w:ascii="Book Antiqua" w:eastAsia="宋体" w:hAnsi="Book Antiqua" w:cs="Book Antiqua"/>
                <w:sz w:val="24"/>
                <w:szCs w:val="24"/>
                <w:lang w:val="en-US" w:eastAsia="zh-CN"/>
              </w:rPr>
            </w:pPr>
            <w:r w:rsidRPr="00B17ED4">
              <w:rPr>
                <w:rFonts w:ascii="Book Antiqua" w:eastAsia="Times New Roman" w:hAnsi="Book Antiqua" w:cs="Book Antiqua"/>
                <w:sz w:val="24"/>
                <w:szCs w:val="24"/>
                <w:lang w:val="en-GB" w:eastAsia="fr-FR"/>
              </w:rPr>
              <w:t>0.98</w:t>
            </w:r>
            <w:r w:rsidRPr="00B17ED4">
              <w:rPr>
                <w:rFonts w:ascii="Book Antiqua" w:eastAsia="宋体" w:hAnsi="Book Antiqua" w:cs="Book Antiqua" w:hint="eastAsia"/>
                <w:sz w:val="24"/>
                <w:szCs w:val="24"/>
                <w:lang w:val="en-US" w:eastAsia="zh-CN"/>
              </w:rPr>
              <w:t xml:space="preserve"> (</w:t>
            </w:r>
            <w:r w:rsidRPr="00B17ED4">
              <w:rPr>
                <w:rFonts w:ascii="Book Antiqua" w:eastAsia="Times New Roman" w:hAnsi="Book Antiqua" w:cs="Book Antiqua"/>
                <w:sz w:val="24"/>
                <w:szCs w:val="24"/>
                <w:lang w:val="en-GB" w:eastAsia="fr-FR"/>
              </w:rPr>
              <w:t>0.97; 0.99</w:t>
            </w:r>
            <w:r w:rsidRPr="00B17ED4">
              <w:rPr>
                <w:rFonts w:ascii="Book Antiqua" w:eastAsia="宋体" w:hAnsi="Book Antiqua" w:cs="Book Antiqua" w:hint="eastAsia"/>
                <w:sz w:val="24"/>
                <w:szCs w:val="24"/>
                <w:lang w:val="en-US" w:eastAsia="zh-CN"/>
              </w:rPr>
              <w:t>)</w:t>
            </w:r>
          </w:p>
        </w:tc>
        <w:tc>
          <w:tcPr>
            <w:tcW w:w="1441" w:type="dxa"/>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0.03</w:t>
            </w:r>
          </w:p>
        </w:tc>
      </w:tr>
      <w:tr w:rsidR="00820CBF" w:rsidTr="004C07EA">
        <w:trPr>
          <w:trHeight w:val="490"/>
        </w:trPr>
        <w:tc>
          <w:tcPr>
            <w:tcW w:w="4501" w:type="dxa"/>
          </w:tcPr>
          <w:p w:rsidR="00820CBF" w:rsidRPr="00B17ED4" w:rsidRDefault="00CD277D" w:rsidP="004C07EA">
            <w:pPr>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ICU length of stay (d</w:t>
            </w:r>
            <w:r w:rsidR="001317CB" w:rsidRPr="00B17ED4">
              <w:rPr>
                <w:rFonts w:ascii="Book Antiqua" w:hAnsi="Book Antiqua" w:cs="Book Antiqua"/>
                <w:sz w:val="24"/>
                <w:szCs w:val="24"/>
                <w:lang w:val="en-GB"/>
              </w:rPr>
              <w:t>)</w:t>
            </w:r>
          </w:p>
        </w:tc>
        <w:tc>
          <w:tcPr>
            <w:tcW w:w="2755" w:type="dxa"/>
          </w:tcPr>
          <w:p w:rsidR="00820CBF" w:rsidRPr="00B17ED4"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eastAsia="Times New Roman" w:hAnsi="Book Antiqua" w:cs="Book Antiqua"/>
                <w:sz w:val="24"/>
                <w:szCs w:val="24"/>
                <w:lang w:val="en-GB" w:eastAsia="fr-FR"/>
              </w:rPr>
              <w:t xml:space="preserve">1.02 </w:t>
            </w:r>
            <w:r w:rsidRPr="00B17ED4">
              <w:rPr>
                <w:rFonts w:ascii="Book Antiqua" w:eastAsia="宋体" w:hAnsi="Book Antiqua" w:cs="Book Antiqua" w:hint="eastAsia"/>
                <w:sz w:val="24"/>
                <w:szCs w:val="24"/>
                <w:lang w:val="en-US" w:eastAsia="zh-CN"/>
              </w:rPr>
              <w:t>(</w:t>
            </w:r>
            <w:r w:rsidRPr="00B17ED4">
              <w:rPr>
                <w:rFonts w:ascii="Book Antiqua" w:eastAsia="Times New Roman" w:hAnsi="Book Antiqua" w:cs="Book Antiqua"/>
                <w:sz w:val="24"/>
                <w:szCs w:val="24"/>
                <w:lang w:val="en-GB" w:eastAsia="fr-FR"/>
              </w:rPr>
              <w:t>1.01; 1.03</w:t>
            </w:r>
            <w:r w:rsidRPr="00B17ED4">
              <w:rPr>
                <w:rFonts w:ascii="Book Antiqua" w:eastAsia="宋体" w:hAnsi="Book Antiqua" w:cs="Book Antiqua" w:hint="eastAsia"/>
                <w:sz w:val="24"/>
                <w:szCs w:val="24"/>
                <w:lang w:val="en-US" w:eastAsia="zh-CN"/>
              </w:rPr>
              <w:t>)</w:t>
            </w:r>
            <w:r w:rsidRPr="00B17ED4">
              <w:rPr>
                <w:rFonts w:ascii="Book Antiqua" w:eastAsia="Times New Roman" w:hAnsi="Book Antiqua" w:cs="Book Antiqua"/>
                <w:sz w:val="24"/>
                <w:szCs w:val="24"/>
                <w:lang w:val="en-GB" w:eastAsia="fr-FR"/>
              </w:rPr>
              <w:t xml:space="preserve"> </w:t>
            </w:r>
          </w:p>
        </w:tc>
        <w:tc>
          <w:tcPr>
            <w:tcW w:w="1441" w:type="dxa"/>
          </w:tcPr>
          <w:p w:rsidR="00820CBF" w:rsidRDefault="001317CB" w:rsidP="004C07EA">
            <w:pPr>
              <w:snapToGrid w:val="0"/>
              <w:spacing w:after="0" w:line="360" w:lineRule="auto"/>
              <w:jc w:val="both"/>
              <w:rPr>
                <w:rFonts w:ascii="Book Antiqua" w:hAnsi="Book Antiqua" w:cs="Book Antiqua"/>
                <w:sz w:val="24"/>
                <w:szCs w:val="24"/>
                <w:lang w:val="en-GB"/>
              </w:rPr>
            </w:pPr>
            <w:r w:rsidRPr="00B17ED4">
              <w:rPr>
                <w:rFonts w:ascii="Book Antiqua" w:hAnsi="Book Antiqua" w:cs="Book Antiqua"/>
                <w:sz w:val="24"/>
                <w:szCs w:val="24"/>
                <w:lang w:val="en-GB"/>
              </w:rPr>
              <w:t>&lt;</w:t>
            </w:r>
            <w:r w:rsidRPr="00B17ED4">
              <w:rPr>
                <w:rFonts w:ascii="Book Antiqua" w:eastAsia="宋体" w:hAnsi="Book Antiqua" w:cs="Book Antiqua" w:hint="eastAsia"/>
                <w:sz w:val="24"/>
                <w:szCs w:val="24"/>
                <w:lang w:val="en-US" w:eastAsia="zh-CN"/>
              </w:rPr>
              <w:t xml:space="preserve"> </w:t>
            </w:r>
            <w:r w:rsidRPr="00B17ED4">
              <w:rPr>
                <w:rFonts w:ascii="Book Antiqua" w:hAnsi="Book Antiqua" w:cs="Book Antiqua"/>
                <w:sz w:val="24"/>
                <w:szCs w:val="24"/>
                <w:lang w:val="en-GB"/>
              </w:rPr>
              <w:t>0.01</w:t>
            </w:r>
          </w:p>
        </w:tc>
      </w:tr>
    </w:tbl>
    <w:p w:rsidR="00820CBF" w:rsidRDefault="00820CBF" w:rsidP="00747DC1">
      <w:pPr>
        <w:snapToGrid w:val="0"/>
        <w:spacing w:after="0" w:line="360" w:lineRule="auto"/>
        <w:jc w:val="both"/>
        <w:rPr>
          <w:rFonts w:ascii="Book Antiqua" w:hAnsi="Book Antiqua" w:cs="Book Antiqua"/>
          <w:sz w:val="24"/>
          <w:szCs w:val="24"/>
          <w:lang w:val="en-GB"/>
        </w:rPr>
      </w:pPr>
    </w:p>
    <w:sectPr w:rsidR="00820CBF">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7CA" w:rsidRDefault="00DE07CA">
      <w:pPr>
        <w:spacing w:after="0" w:line="240" w:lineRule="auto"/>
      </w:pPr>
      <w:r>
        <w:separator/>
      </w:r>
    </w:p>
  </w:endnote>
  <w:endnote w:type="continuationSeparator" w:id="0">
    <w:p w:rsidR="00DE07CA" w:rsidRDefault="00DE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ato-Regular">
    <w:altName w:val="MS Gothic"/>
    <w:charset w:val="80"/>
    <w:family w:val="auto"/>
    <w:pitch w:val="default"/>
    <w:sig w:usb0="00000000" w:usb1="00000000" w:usb2="00000010" w:usb3="00000000" w:csb0="00020001" w:csb1="00000000"/>
  </w:font>
  <w:font w:name="AdvTT3713a231+22">
    <w:altName w:val="HakusyuGyosyo_kk"/>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7CA" w:rsidRDefault="00DE07CA">
      <w:pPr>
        <w:spacing w:after="0" w:line="240" w:lineRule="auto"/>
      </w:pPr>
      <w:r>
        <w:separator/>
      </w:r>
    </w:p>
  </w:footnote>
  <w:footnote w:type="continuationSeparator" w:id="0">
    <w:p w:rsidR="00DE07CA" w:rsidRDefault="00DE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2021690712"/>
    </w:sdtPr>
    <w:sdtEndPr>
      <w:rPr>
        <w:rStyle w:val="af"/>
      </w:rPr>
    </w:sdtEndPr>
    <w:sdtContent>
      <w:p w:rsidR="006D165C" w:rsidRDefault="006D165C">
        <w:pPr>
          <w:pStyle w:val="a9"/>
          <w:framePr w:wrap="around"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6D165C" w:rsidRDefault="006D165C">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55163430"/>
    </w:sdtPr>
    <w:sdtEndPr>
      <w:rPr>
        <w:rStyle w:val="af"/>
      </w:rPr>
    </w:sdtEndPr>
    <w:sdtContent>
      <w:p w:rsidR="006D165C" w:rsidRDefault="006D165C">
        <w:pPr>
          <w:pStyle w:val="a9"/>
          <w:framePr w:wrap="around"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CD277D">
          <w:rPr>
            <w:rStyle w:val="af"/>
            <w:noProof/>
          </w:rPr>
          <w:t>30</w:t>
        </w:r>
        <w:r>
          <w:rPr>
            <w:rStyle w:val="af"/>
          </w:rPr>
          <w:fldChar w:fldCharType="end"/>
        </w:r>
      </w:p>
    </w:sdtContent>
  </w:sdt>
  <w:p w:rsidR="006D165C" w:rsidRDefault="006D165C">
    <w:pPr>
      <w:pStyle w:val="a9"/>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1F"/>
    <w:rsid w:val="00000BA0"/>
    <w:rsid w:val="00001CE9"/>
    <w:rsid w:val="00004796"/>
    <w:rsid w:val="00004E99"/>
    <w:rsid w:val="000064A7"/>
    <w:rsid w:val="00007DC1"/>
    <w:rsid w:val="00010BF6"/>
    <w:rsid w:val="00012165"/>
    <w:rsid w:val="00013083"/>
    <w:rsid w:val="00013E12"/>
    <w:rsid w:val="00014834"/>
    <w:rsid w:val="00014FC2"/>
    <w:rsid w:val="00017940"/>
    <w:rsid w:val="00021D31"/>
    <w:rsid w:val="00023DE1"/>
    <w:rsid w:val="00031091"/>
    <w:rsid w:val="00036ED9"/>
    <w:rsid w:val="00042008"/>
    <w:rsid w:val="0004276C"/>
    <w:rsid w:val="000477EE"/>
    <w:rsid w:val="000505DB"/>
    <w:rsid w:val="00052754"/>
    <w:rsid w:val="00054FB7"/>
    <w:rsid w:val="00063158"/>
    <w:rsid w:val="00065A73"/>
    <w:rsid w:val="00074611"/>
    <w:rsid w:val="00077578"/>
    <w:rsid w:val="000802AE"/>
    <w:rsid w:val="000844BC"/>
    <w:rsid w:val="00084D24"/>
    <w:rsid w:val="00086521"/>
    <w:rsid w:val="000875AE"/>
    <w:rsid w:val="0009392C"/>
    <w:rsid w:val="00094627"/>
    <w:rsid w:val="000965B1"/>
    <w:rsid w:val="000A1BA1"/>
    <w:rsid w:val="000A438C"/>
    <w:rsid w:val="000A5AB1"/>
    <w:rsid w:val="000A6F74"/>
    <w:rsid w:val="000A78AF"/>
    <w:rsid w:val="000B3D9A"/>
    <w:rsid w:val="000B45AB"/>
    <w:rsid w:val="000B5715"/>
    <w:rsid w:val="000B753A"/>
    <w:rsid w:val="000C03D2"/>
    <w:rsid w:val="000C0EEE"/>
    <w:rsid w:val="000C39F8"/>
    <w:rsid w:val="000C5009"/>
    <w:rsid w:val="000C5786"/>
    <w:rsid w:val="000D5157"/>
    <w:rsid w:val="000D55D0"/>
    <w:rsid w:val="000D69E4"/>
    <w:rsid w:val="000E1C42"/>
    <w:rsid w:val="000E3238"/>
    <w:rsid w:val="000E3402"/>
    <w:rsid w:val="000E6D0D"/>
    <w:rsid w:val="000E7F4E"/>
    <w:rsid w:val="000F079A"/>
    <w:rsid w:val="000F0DC7"/>
    <w:rsid w:val="000F39D3"/>
    <w:rsid w:val="00103DDE"/>
    <w:rsid w:val="001118DA"/>
    <w:rsid w:val="001131B1"/>
    <w:rsid w:val="001147A1"/>
    <w:rsid w:val="001149F3"/>
    <w:rsid w:val="00115593"/>
    <w:rsid w:val="00117401"/>
    <w:rsid w:val="00130914"/>
    <w:rsid w:val="001317CB"/>
    <w:rsid w:val="00132806"/>
    <w:rsid w:val="0013330C"/>
    <w:rsid w:val="001335EE"/>
    <w:rsid w:val="0013384A"/>
    <w:rsid w:val="00137E61"/>
    <w:rsid w:val="00145E46"/>
    <w:rsid w:val="001556B1"/>
    <w:rsid w:val="00155880"/>
    <w:rsid w:val="00156AA3"/>
    <w:rsid w:val="00156EDB"/>
    <w:rsid w:val="001605E0"/>
    <w:rsid w:val="001609D9"/>
    <w:rsid w:val="00161E5A"/>
    <w:rsid w:val="00163F4D"/>
    <w:rsid w:val="00163FE9"/>
    <w:rsid w:val="00164DBE"/>
    <w:rsid w:val="001721E1"/>
    <w:rsid w:val="00174B53"/>
    <w:rsid w:val="00180D47"/>
    <w:rsid w:val="00181553"/>
    <w:rsid w:val="00183E9C"/>
    <w:rsid w:val="001841C4"/>
    <w:rsid w:val="00192A04"/>
    <w:rsid w:val="001A1128"/>
    <w:rsid w:val="001A524F"/>
    <w:rsid w:val="001B2829"/>
    <w:rsid w:val="001B323D"/>
    <w:rsid w:val="001B337E"/>
    <w:rsid w:val="001C221F"/>
    <w:rsid w:val="001C248E"/>
    <w:rsid w:val="001C2AB4"/>
    <w:rsid w:val="001C4ACE"/>
    <w:rsid w:val="001C6670"/>
    <w:rsid w:val="001D182C"/>
    <w:rsid w:val="001D1A06"/>
    <w:rsid w:val="001F013E"/>
    <w:rsid w:val="001F1323"/>
    <w:rsid w:val="001F138D"/>
    <w:rsid w:val="001F1DC7"/>
    <w:rsid w:val="001F540A"/>
    <w:rsid w:val="001F79AA"/>
    <w:rsid w:val="0020463F"/>
    <w:rsid w:val="0020614D"/>
    <w:rsid w:val="002119DC"/>
    <w:rsid w:val="002120B4"/>
    <w:rsid w:val="0021276B"/>
    <w:rsid w:val="00213390"/>
    <w:rsid w:val="00215443"/>
    <w:rsid w:val="00220AF1"/>
    <w:rsid w:val="00222BB4"/>
    <w:rsid w:val="0022470D"/>
    <w:rsid w:val="00224E8D"/>
    <w:rsid w:val="00226857"/>
    <w:rsid w:val="002275A8"/>
    <w:rsid w:val="0023078E"/>
    <w:rsid w:val="002333D7"/>
    <w:rsid w:val="00235AC1"/>
    <w:rsid w:val="00236383"/>
    <w:rsid w:val="00240304"/>
    <w:rsid w:val="00242E5C"/>
    <w:rsid w:val="00251230"/>
    <w:rsid w:val="00251AA9"/>
    <w:rsid w:val="0025211F"/>
    <w:rsid w:val="0025412D"/>
    <w:rsid w:val="00255072"/>
    <w:rsid w:val="00255234"/>
    <w:rsid w:val="00257180"/>
    <w:rsid w:val="00260444"/>
    <w:rsid w:val="00260D55"/>
    <w:rsid w:val="002624AE"/>
    <w:rsid w:val="00263AEA"/>
    <w:rsid w:val="00271B99"/>
    <w:rsid w:val="00273201"/>
    <w:rsid w:val="002737EB"/>
    <w:rsid w:val="00273AD4"/>
    <w:rsid w:val="0027408D"/>
    <w:rsid w:val="002746AD"/>
    <w:rsid w:val="00275B48"/>
    <w:rsid w:val="002774A8"/>
    <w:rsid w:val="00277C61"/>
    <w:rsid w:val="00283651"/>
    <w:rsid w:val="002842A5"/>
    <w:rsid w:val="0028435B"/>
    <w:rsid w:val="00284582"/>
    <w:rsid w:val="00286998"/>
    <w:rsid w:val="00287FEC"/>
    <w:rsid w:val="0029033B"/>
    <w:rsid w:val="00293838"/>
    <w:rsid w:val="002976EE"/>
    <w:rsid w:val="002A04F2"/>
    <w:rsid w:val="002A1425"/>
    <w:rsid w:val="002A3A0A"/>
    <w:rsid w:val="002A4BCC"/>
    <w:rsid w:val="002A6EDE"/>
    <w:rsid w:val="002B16E6"/>
    <w:rsid w:val="002B63E6"/>
    <w:rsid w:val="002C15C2"/>
    <w:rsid w:val="002C2343"/>
    <w:rsid w:val="002D2818"/>
    <w:rsid w:val="002E05CC"/>
    <w:rsid w:val="002E0741"/>
    <w:rsid w:val="002E4666"/>
    <w:rsid w:val="002F2CCA"/>
    <w:rsid w:val="002F3B7A"/>
    <w:rsid w:val="00300081"/>
    <w:rsid w:val="00300BDF"/>
    <w:rsid w:val="00301AE1"/>
    <w:rsid w:val="00302A41"/>
    <w:rsid w:val="003040F4"/>
    <w:rsid w:val="00305D0A"/>
    <w:rsid w:val="00307A73"/>
    <w:rsid w:val="00314B5E"/>
    <w:rsid w:val="00316D47"/>
    <w:rsid w:val="0031750F"/>
    <w:rsid w:val="00317DDF"/>
    <w:rsid w:val="00320172"/>
    <w:rsid w:val="00320D7A"/>
    <w:rsid w:val="00323236"/>
    <w:rsid w:val="0032470B"/>
    <w:rsid w:val="00324FE8"/>
    <w:rsid w:val="003251FD"/>
    <w:rsid w:val="0033082A"/>
    <w:rsid w:val="00330F32"/>
    <w:rsid w:val="00335C75"/>
    <w:rsid w:val="00335E93"/>
    <w:rsid w:val="00335F22"/>
    <w:rsid w:val="00335F62"/>
    <w:rsid w:val="00336989"/>
    <w:rsid w:val="003418AD"/>
    <w:rsid w:val="003444EE"/>
    <w:rsid w:val="003445D6"/>
    <w:rsid w:val="003446BD"/>
    <w:rsid w:val="0034720C"/>
    <w:rsid w:val="00350DB3"/>
    <w:rsid w:val="00357157"/>
    <w:rsid w:val="003665C5"/>
    <w:rsid w:val="00367E4E"/>
    <w:rsid w:val="003714F6"/>
    <w:rsid w:val="0038016E"/>
    <w:rsid w:val="003819CD"/>
    <w:rsid w:val="0038284C"/>
    <w:rsid w:val="0039411D"/>
    <w:rsid w:val="00394FAE"/>
    <w:rsid w:val="00395955"/>
    <w:rsid w:val="00396660"/>
    <w:rsid w:val="00397077"/>
    <w:rsid w:val="003A029D"/>
    <w:rsid w:val="003A1092"/>
    <w:rsid w:val="003A4424"/>
    <w:rsid w:val="003A45B0"/>
    <w:rsid w:val="003A4806"/>
    <w:rsid w:val="003A545E"/>
    <w:rsid w:val="003A6850"/>
    <w:rsid w:val="003A6FDC"/>
    <w:rsid w:val="003A723A"/>
    <w:rsid w:val="003A7BA4"/>
    <w:rsid w:val="003B071E"/>
    <w:rsid w:val="003B1384"/>
    <w:rsid w:val="003B1A20"/>
    <w:rsid w:val="003B2C46"/>
    <w:rsid w:val="003B4D1C"/>
    <w:rsid w:val="003B578D"/>
    <w:rsid w:val="003B6D38"/>
    <w:rsid w:val="003C06FC"/>
    <w:rsid w:val="003C0969"/>
    <w:rsid w:val="003C11A7"/>
    <w:rsid w:val="003C3E92"/>
    <w:rsid w:val="003C5115"/>
    <w:rsid w:val="003D1A51"/>
    <w:rsid w:val="003D375C"/>
    <w:rsid w:val="003D3BC2"/>
    <w:rsid w:val="003D4422"/>
    <w:rsid w:val="003D61D1"/>
    <w:rsid w:val="003D670F"/>
    <w:rsid w:val="003D7240"/>
    <w:rsid w:val="003E1AAA"/>
    <w:rsid w:val="003E208A"/>
    <w:rsid w:val="003E3C00"/>
    <w:rsid w:val="003E5382"/>
    <w:rsid w:val="003F0FE3"/>
    <w:rsid w:val="003F158F"/>
    <w:rsid w:val="003F2962"/>
    <w:rsid w:val="003F2C4B"/>
    <w:rsid w:val="003F66F4"/>
    <w:rsid w:val="00400C8A"/>
    <w:rsid w:val="00400E2A"/>
    <w:rsid w:val="00407491"/>
    <w:rsid w:val="00410899"/>
    <w:rsid w:val="00414145"/>
    <w:rsid w:val="00416312"/>
    <w:rsid w:val="004163F1"/>
    <w:rsid w:val="00416493"/>
    <w:rsid w:val="0041712D"/>
    <w:rsid w:val="00421E66"/>
    <w:rsid w:val="00422D43"/>
    <w:rsid w:val="0042319E"/>
    <w:rsid w:val="00423505"/>
    <w:rsid w:val="00424BDD"/>
    <w:rsid w:val="0042710C"/>
    <w:rsid w:val="00427CE9"/>
    <w:rsid w:val="00430EB6"/>
    <w:rsid w:val="004340EF"/>
    <w:rsid w:val="0043477B"/>
    <w:rsid w:val="00435997"/>
    <w:rsid w:val="00436E5D"/>
    <w:rsid w:val="00441C4C"/>
    <w:rsid w:val="00442E60"/>
    <w:rsid w:val="0044486D"/>
    <w:rsid w:val="00444C1B"/>
    <w:rsid w:val="00446449"/>
    <w:rsid w:val="0045020F"/>
    <w:rsid w:val="004509B8"/>
    <w:rsid w:val="004545E7"/>
    <w:rsid w:val="004568E9"/>
    <w:rsid w:val="00460B59"/>
    <w:rsid w:val="0046156C"/>
    <w:rsid w:val="00461EF5"/>
    <w:rsid w:val="00462C7A"/>
    <w:rsid w:val="00463767"/>
    <w:rsid w:val="00463E25"/>
    <w:rsid w:val="00463EFF"/>
    <w:rsid w:val="004731C9"/>
    <w:rsid w:val="004749AB"/>
    <w:rsid w:val="0048087B"/>
    <w:rsid w:val="00480A55"/>
    <w:rsid w:val="00480F68"/>
    <w:rsid w:val="00481C3B"/>
    <w:rsid w:val="00484E21"/>
    <w:rsid w:val="00485D44"/>
    <w:rsid w:val="00491630"/>
    <w:rsid w:val="0049284E"/>
    <w:rsid w:val="00495D77"/>
    <w:rsid w:val="0049785F"/>
    <w:rsid w:val="004A2888"/>
    <w:rsid w:val="004A497A"/>
    <w:rsid w:val="004A7193"/>
    <w:rsid w:val="004B09F6"/>
    <w:rsid w:val="004B1031"/>
    <w:rsid w:val="004B1227"/>
    <w:rsid w:val="004B1277"/>
    <w:rsid w:val="004B2741"/>
    <w:rsid w:val="004B332B"/>
    <w:rsid w:val="004B448F"/>
    <w:rsid w:val="004B4F66"/>
    <w:rsid w:val="004C07EA"/>
    <w:rsid w:val="004C5287"/>
    <w:rsid w:val="004C7C27"/>
    <w:rsid w:val="004D0631"/>
    <w:rsid w:val="004D4229"/>
    <w:rsid w:val="004D6F16"/>
    <w:rsid w:val="004E06F3"/>
    <w:rsid w:val="004E12A6"/>
    <w:rsid w:val="004E1E15"/>
    <w:rsid w:val="004E2873"/>
    <w:rsid w:val="004E4D98"/>
    <w:rsid w:val="004E5874"/>
    <w:rsid w:val="004E7756"/>
    <w:rsid w:val="004F34B7"/>
    <w:rsid w:val="004F420D"/>
    <w:rsid w:val="00507151"/>
    <w:rsid w:val="005071B7"/>
    <w:rsid w:val="0050723C"/>
    <w:rsid w:val="005167D8"/>
    <w:rsid w:val="00516951"/>
    <w:rsid w:val="00517F7E"/>
    <w:rsid w:val="00520FEE"/>
    <w:rsid w:val="0052157A"/>
    <w:rsid w:val="00523C8E"/>
    <w:rsid w:val="005267F2"/>
    <w:rsid w:val="005303B8"/>
    <w:rsid w:val="005330F8"/>
    <w:rsid w:val="005366B3"/>
    <w:rsid w:val="00541A63"/>
    <w:rsid w:val="00541CC8"/>
    <w:rsid w:val="005445AF"/>
    <w:rsid w:val="005459BE"/>
    <w:rsid w:val="005501FE"/>
    <w:rsid w:val="005508EF"/>
    <w:rsid w:val="00552EDC"/>
    <w:rsid w:val="0055564B"/>
    <w:rsid w:val="00556C5E"/>
    <w:rsid w:val="0056061F"/>
    <w:rsid w:val="00560AFB"/>
    <w:rsid w:val="00560E73"/>
    <w:rsid w:val="00561375"/>
    <w:rsid w:val="005647D4"/>
    <w:rsid w:val="005675A3"/>
    <w:rsid w:val="00567C11"/>
    <w:rsid w:val="005707B0"/>
    <w:rsid w:val="00570F6A"/>
    <w:rsid w:val="00574CAF"/>
    <w:rsid w:val="005759BF"/>
    <w:rsid w:val="00577D3B"/>
    <w:rsid w:val="005822D0"/>
    <w:rsid w:val="00583C8B"/>
    <w:rsid w:val="00583E65"/>
    <w:rsid w:val="00587551"/>
    <w:rsid w:val="00587F22"/>
    <w:rsid w:val="00590475"/>
    <w:rsid w:val="0059367F"/>
    <w:rsid w:val="00594E53"/>
    <w:rsid w:val="00594F06"/>
    <w:rsid w:val="00595AF9"/>
    <w:rsid w:val="00597519"/>
    <w:rsid w:val="005A1974"/>
    <w:rsid w:val="005A1AAC"/>
    <w:rsid w:val="005A32C9"/>
    <w:rsid w:val="005A6311"/>
    <w:rsid w:val="005A6E55"/>
    <w:rsid w:val="005B0F9A"/>
    <w:rsid w:val="005B22FD"/>
    <w:rsid w:val="005B2F39"/>
    <w:rsid w:val="005B6F05"/>
    <w:rsid w:val="005B78BA"/>
    <w:rsid w:val="005C1CAB"/>
    <w:rsid w:val="005C68C9"/>
    <w:rsid w:val="005D17B7"/>
    <w:rsid w:val="005D1E48"/>
    <w:rsid w:val="005D62EE"/>
    <w:rsid w:val="005D69F1"/>
    <w:rsid w:val="005D6BEF"/>
    <w:rsid w:val="005E2233"/>
    <w:rsid w:val="005F09E9"/>
    <w:rsid w:val="005F6EC5"/>
    <w:rsid w:val="00602F13"/>
    <w:rsid w:val="0060439C"/>
    <w:rsid w:val="00604E97"/>
    <w:rsid w:val="00610A8E"/>
    <w:rsid w:val="0061532A"/>
    <w:rsid w:val="00620DBC"/>
    <w:rsid w:val="00622FCF"/>
    <w:rsid w:val="006241CE"/>
    <w:rsid w:val="00633D1D"/>
    <w:rsid w:val="00635910"/>
    <w:rsid w:val="006360AF"/>
    <w:rsid w:val="0063795B"/>
    <w:rsid w:val="00641288"/>
    <w:rsid w:val="00651180"/>
    <w:rsid w:val="00652328"/>
    <w:rsid w:val="0065263A"/>
    <w:rsid w:val="00653F76"/>
    <w:rsid w:val="00655ECE"/>
    <w:rsid w:val="0065748B"/>
    <w:rsid w:val="006601EA"/>
    <w:rsid w:val="00660BC0"/>
    <w:rsid w:val="0066177D"/>
    <w:rsid w:val="00661896"/>
    <w:rsid w:val="00667D19"/>
    <w:rsid w:val="00673776"/>
    <w:rsid w:val="00682D40"/>
    <w:rsid w:val="00684ECA"/>
    <w:rsid w:val="0069092A"/>
    <w:rsid w:val="00692280"/>
    <w:rsid w:val="0069239D"/>
    <w:rsid w:val="00693DDD"/>
    <w:rsid w:val="006959F6"/>
    <w:rsid w:val="006A3D30"/>
    <w:rsid w:val="006A7EAC"/>
    <w:rsid w:val="006A7FF2"/>
    <w:rsid w:val="006B0BA4"/>
    <w:rsid w:val="006B341F"/>
    <w:rsid w:val="006B74B3"/>
    <w:rsid w:val="006C30CE"/>
    <w:rsid w:val="006C4F2F"/>
    <w:rsid w:val="006C6DAD"/>
    <w:rsid w:val="006C6E0F"/>
    <w:rsid w:val="006D165C"/>
    <w:rsid w:val="006D569C"/>
    <w:rsid w:val="006D5DCB"/>
    <w:rsid w:val="006E08DB"/>
    <w:rsid w:val="006E1790"/>
    <w:rsid w:val="006E373B"/>
    <w:rsid w:val="006E394E"/>
    <w:rsid w:val="006E5420"/>
    <w:rsid w:val="006E588F"/>
    <w:rsid w:val="006E60D4"/>
    <w:rsid w:val="006E78B7"/>
    <w:rsid w:val="006F1472"/>
    <w:rsid w:val="006F4728"/>
    <w:rsid w:val="006F771D"/>
    <w:rsid w:val="00701568"/>
    <w:rsid w:val="00706130"/>
    <w:rsid w:val="00706AE5"/>
    <w:rsid w:val="00712679"/>
    <w:rsid w:val="00714D40"/>
    <w:rsid w:val="007153A9"/>
    <w:rsid w:val="0072273C"/>
    <w:rsid w:val="00723CF7"/>
    <w:rsid w:val="007243EC"/>
    <w:rsid w:val="00724542"/>
    <w:rsid w:val="0072663E"/>
    <w:rsid w:val="00726F7F"/>
    <w:rsid w:val="00727E5D"/>
    <w:rsid w:val="00733194"/>
    <w:rsid w:val="00733D49"/>
    <w:rsid w:val="007345B8"/>
    <w:rsid w:val="00734CB7"/>
    <w:rsid w:val="00736120"/>
    <w:rsid w:val="0074179E"/>
    <w:rsid w:val="00745C20"/>
    <w:rsid w:val="00747DC1"/>
    <w:rsid w:val="00750380"/>
    <w:rsid w:val="0075143C"/>
    <w:rsid w:val="0075146C"/>
    <w:rsid w:val="00754020"/>
    <w:rsid w:val="00755661"/>
    <w:rsid w:val="00760E62"/>
    <w:rsid w:val="00763BCC"/>
    <w:rsid w:val="007724E5"/>
    <w:rsid w:val="00773517"/>
    <w:rsid w:val="0077459B"/>
    <w:rsid w:val="0077673E"/>
    <w:rsid w:val="007768A5"/>
    <w:rsid w:val="007770F0"/>
    <w:rsid w:val="00780454"/>
    <w:rsid w:val="00783703"/>
    <w:rsid w:val="00785858"/>
    <w:rsid w:val="0079090B"/>
    <w:rsid w:val="00792CA1"/>
    <w:rsid w:val="00795406"/>
    <w:rsid w:val="007A26DF"/>
    <w:rsid w:val="007A2A8E"/>
    <w:rsid w:val="007A2C2E"/>
    <w:rsid w:val="007A3786"/>
    <w:rsid w:val="007A3B1A"/>
    <w:rsid w:val="007A5956"/>
    <w:rsid w:val="007B0859"/>
    <w:rsid w:val="007B1027"/>
    <w:rsid w:val="007B7DC1"/>
    <w:rsid w:val="007C22F8"/>
    <w:rsid w:val="007C279C"/>
    <w:rsid w:val="007C409B"/>
    <w:rsid w:val="007C4621"/>
    <w:rsid w:val="007C6259"/>
    <w:rsid w:val="007C6961"/>
    <w:rsid w:val="007C7DC8"/>
    <w:rsid w:val="007D0264"/>
    <w:rsid w:val="007D3CD7"/>
    <w:rsid w:val="007D565A"/>
    <w:rsid w:val="007E30B4"/>
    <w:rsid w:val="007E4A7F"/>
    <w:rsid w:val="007E67F4"/>
    <w:rsid w:val="007E6D1E"/>
    <w:rsid w:val="007F4595"/>
    <w:rsid w:val="007F5C6D"/>
    <w:rsid w:val="00805253"/>
    <w:rsid w:val="00805681"/>
    <w:rsid w:val="00805AF9"/>
    <w:rsid w:val="00805B7A"/>
    <w:rsid w:val="008111CA"/>
    <w:rsid w:val="008119E0"/>
    <w:rsid w:val="00812B0E"/>
    <w:rsid w:val="0081521C"/>
    <w:rsid w:val="00815904"/>
    <w:rsid w:val="00820CBF"/>
    <w:rsid w:val="00822A58"/>
    <w:rsid w:val="00825880"/>
    <w:rsid w:val="00825A3D"/>
    <w:rsid w:val="00825FDF"/>
    <w:rsid w:val="00826D45"/>
    <w:rsid w:val="00830956"/>
    <w:rsid w:val="008316D5"/>
    <w:rsid w:val="008328E0"/>
    <w:rsid w:val="00833C88"/>
    <w:rsid w:val="008354E3"/>
    <w:rsid w:val="00836186"/>
    <w:rsid w:val="00836ACB"/>
    <w:rsid w:val="00840135"/>
    <w:rsid w:val="0085072B"/>
    <w:rsid w:val="00851314"/>
    <w:rsid w:val="00851DB8"/>
    <w:rsid w:val="00852FB4"/>
    <w:rsid w:val="008540C0"/>
    <w:rsid w:val="00856500"/>
    <w:rsid w:val="00866246"/>
    <w:rsid w:val="00866590"/>
    <w:rsid w:val="008672A0"/>
    <w:rsid w:val="008700F4"/>
    <w:rsid w:val="008776D8"/>
    <w:rsid w:val="008803D4"/>
    <w:rsid w:val="00882B42"/>
    <w:rsid w:val="00884F62"/>
    <w:rsid w:val="00885026"/>
    <w:rsid w:val="00886FE6"/>
    <w:rsid w:val="00892041"/>
    <w:rsid w:val="00892A5C"/>
    <w:rsid w:val="00892C43"/>
    <w:rsid w:val="008930D4"/>
    <w:rsid w:val="00893158"/>
    <w:rsid w:val="008938CB"/>
    <w:rsid w:val="00894972"/>
    <w:rsid w:val="00895B11"/>
    <w:rsid w:val="00896CBC"/>
    <w:rsid w:val="008978A3"/>
    <w:rsid w:val="008A3D53"/>
    <w:rsid w:val="008A5913"/>
    <w:rsid w:val="008A7452"/>
    <w:rsid w:val="008B69E6"/>
    <w:rsid w:val="008C134D"/>
    <w:rsid w:val="008D05DE"/>
    <w:rsid w:val="008D0C83"/>
    <w:rsid w:val="008D0CC4"/>
    <w:rsid w:val="008D1B04"/>
    <w:rsid w:val="008D20D4"/>
    <w:rsid w:val="008D44F3"/>
    <w:rsid w:val="008D65A8"/>
    <w:rsid w:val="008D6E11"/>
    <w:rsid w:val="008E250D"/>
    <w:rsid w:val="008E2CAF"/>
    <w:rsid w:val="008E304E"/>
    <w:rsid w:val="008E3E41"/>
    <w:rsid w:val="008E59B1"/>
    <w:rsid w:val="008E5B09"/>
    <w:rsid w:val="008E7837"/>
    <w:rsid w:val="008E7C81"/>
    <w:rsid w:val="008F03CA"/>
    <w:rsid w:val="008F15EA"/>
    <w:rsid w:val="008F4B6A"/>
    <w:rsid w:val="008F6C98"/>
    <w:rsid w:val="00900F55"/>
    <w:rsid w:val="00902C07"/>
    <w:rsid w:val="00903500"/>
    <w:rsid w:val="00903D2C"/>
    <w:rsid w:val="00904ED6"/>
    <w:rsid w:val="009053F3"/>
    <w:rsid w:val="009060BD"/>
    <w:rsid w:val="0090718A"/>
    <w:rsid w:val="0091201A"/>
    <w:rsid w:val="00912793"/>
    <w:rsid w:val="00915592"/>
    <w:rsid w:val="0091614C"/>
    <w:rsid w:val="0092428B"/>
    <w:rsid w:val="009247DA"/>
    <w:rsid w:val="00925ACC"/>
    <w:rsid w:val="009310E5"/>
    <w:rsid w:val="009338B6"/>
    <w:rsid w:val="009356AE"/>
    <w:rsid w:val="009448C4"/>
    <w:rsid w:val="00947D63"/>
    <w:rsid w:val="0095130B"/>
    <w:rsid w:val="00956074"/>
    <w:rsid w:val="00957FFE"/>
    <w:rsid w:val="00962423"/>
    <w:rsid w:val="00962E60"/>
    <w:rsid w:val="009630B8"/>
    <w:rsid w:val="00967963"/>
    <w:rsid w:val="00967AEB"/>
    <w:rsid w:val="0097116D"/>
    <w:rsid w:val="0097395C"/>
    <w:rsid w:val="00976B2D"/>
    <w:rsid w:val="00982BC0"/>
    <w:rsid w:val="00990310"/>
    <w:rsid w:val="00995484"/>
    <w:rsid w:val="00996506"/>
    <w:rsid w:val="0099678C"/>
    <w:rsid w:val="009A0E6E"/>
    <w:rsid w:val="009A10C7"/>
    <w:rsid w:val="009A1B00"/>
    <w:rsid w:val="009A6542"/>
    <w:rsid w:val="009B4E46"/>
    <w:rsid w:val="009B523C"/>
    <w:rsid w:val="009B5B82"/>
    <w:rsid w:val="009B63C0"/>
    <w:rsid w:val="009B6D82"/>
    <w:rsid w:val="009C140E"/>
    <w:rsid w:val="009C20E7"/>
    <w:rsid w:val="009C75CB"/>
    <w:rsid w:val="009D3CEE"/>
    <w:rsid w:val="009D43E8"/>
    <w:rsid w:val="009D4AD1"/>
    <w:rsid w:val="009D66E1"/>
    <w:rsid w:val="009D6A02"/>
    <w:rsid w:val="009E40EB"/>
    <w:rsid w:val="009E6540"/>
    <w:rsid w:val="009F0743"/>
    <w:rsid w:val="009F2D38"/>
    <w:rsid w:val="009F401D"/>
    <w:rsid w:val="009F5D8E"/>
    <w:rsid w:val="009F7791"/>
    <w:rsid w:val="009F77B0"/>
    <w:rsid w:val="00A004BD"/>
    <w:rsid w:val="00A01EEA"/>
    <w:rsid w:val="00A02D32"/>
    <w:rsid w:val="00A047DE"/>
    <w:rsid w:val="00A05C57"/>
    <w:rsid w:val="00A0636D"/>
    <w:rsid w:val="00A11424"/>
    <w:rsid w:val="00A14BA8"/>
    <w:rsid w:val="00A16BF9"/>
    <w:rsid w:val="00A16EF5"/>
    <w:rsid w:val="00A175A7"/>
    <w:rsid w:val="00A21143"/>
    <w:rsid w:val="00A302FD"/>
    <w:rsid w:val="00A40F6E"/>
    <w:rsid w:val="00A41CCA"/>
    <w:rsid w:val="00A431BA"/>
    <w:rsid w:val="00A46348"/>
    <w:rsid w:val="00A571CE"/>
    <w:rsid w:val="00A57896"/>
    <w:rsid w:val="00A6105F"/>
    <w:rsid w:val="00A613C2"/>
    <w:rsid w:val="00A633E0"/>
    <w:rsid w:val="00A6589A"/>
    <w:rsid w:val="00A65C18"/>
    <w:rsid w:val="00A667A4"/>
    <w:rsid w:val="00A66F7E"/>
    <w:rsid w:val="00A67AD3"/>
    <w:rsid w:val="00A72095"/>
    <w:rsid w:val="00A735C9"/>
    <w:rsid w:val="00A771BB"/>
    <w:rsid w:val="00A85B17"/>
    <w:rsid w:val="00A8657C"/>
    <w:rsid w:val="00A87937"/>
    <w:rsid w:val="00A90EA6"/>
    <w:rsid w:val="00A91EF6"/>
    <w:rsid w:val="00A93665"/>
    <w:rsid w:val="00AA2148"/>
    <w:rsid w:val="00AA32E0"/>
    <w:rsid w:val="00AA61C1"/>
    <w:rsid w:val="00AA6D04"/>
    <w:rsid w:val="00AB6872"/>
    <w:rsid w:val="00AB6C63"/>
    <w:rsid w:val="00AC4574"/>
    <w:rsid w:val="00AC48E7"/>
    <w:rsid w:val="00AC57D9"/>
    <w:rsid w:val="00AC5A04"/>
    <w:rsid w:val="00AC60E1"/>
    <w:rsid w:val="00AC7C31"/>
    <w:rsid w:val="00AD7413"/>
    <w:rsid w:val="00AD74E1"/>
    <w:rsid w:val="00AE43D4"/>
    <w:rsid w:val="00AE4BD2"/>
    <w:rsid w:val="00AE6962"/>
    <w:rsid w:val="00AE6C3E"/>
    <w:rsid w:val="00AF1517"/>
    <w:rsid w:val="00AF1AFD"/>
    <w:rsid w:val="00AF25A2"/>
    <w:rsid w:val="00AF65E1"/>
    <w:rsid w:val="00B067BA"/>
    <w:rsid w:val="00B07C19"/>
    <w:rsid w:val="00B07E4A"/>
    <w:rsid w:val="00B11A04"/>
    <w:rsid w:val="00B11B03"/>
    <w:rsid w:val="00B13CA1"/>
    <w:rsid w:val="00B17AB7"/>
    <w:rsid w:val="00B17ED4"/>
    <w:rsid w:val="00B20EBB"/>
    <w:rsid w:val="00B241F9"/>
    <w:rsid w:val="00B264DB"/>
    <w:rsid w:val="00B279F3"/>
    <w:rsid w:val="00B40BE3"/>
    <w:rsid w:val="00B41764"/>
    <w:rsid w:val="00B44708"/>
    <w:rsid w:val="00B44BE8"/>
    <w:rsid w:val="00B46CAE"/>
    <w:rsid w:val="00B5034E"/>
    <w:rsid w:val="00B50785"/>
    <w:rsid w:val="00B57303"/>
    <w:rsid w:val="00B60950"/>
    <w:rsid w:val="00B61B04"/>
    <w:rsid w:val="00B61BAA"/>
    <w:rsid w:val="00B66071"/>
    <w:rsid w:val="00B6630F"/>
    <w:rsid w:val="00B66ECB"/>
    <w:rsid w:val="00B76D3C"/>
    <w:rsid w:val="00B77889"/>
    <w:rsid w:val="00B807AC"/>
    <w:rsid w:val="00B82BEC"/>
    <w:rsid w:val="00B86C66"/>
    <w:rsid w:val="00B90DD8"/>
    <w:rsid w:val="00B91233"/>
    <w:rsid w:val="00B949C5"/>
    <w:rsid w:val="00B97E53"/>
    <w:rsid w:val="00B97FD5"/>
    <w:rsid w:val="00BA4E74"/>
    <w:rsid w:val="00BA7F60"/>
    <w:rsid w:val="00BB0A87"/>
    <w:rsid w:val="00BB0C43"/>
    <w:rsid w:val="00BB4BC7"/>
    <w:rsid w:val="00BB5C4D"/>
    <w:rsid w:val="00BC0BC7"/>
    <w:rsid w:val="00BC1C4D"/>
    <w:rsid w:val="00BD5CA8"/>
    <w:rsid w:val="00BD69F9"/>
    <w:rsid w:val="00BD7619"/>
    <w:rsid w:val="00BE13D5"/>
    <w:rsid w:val="00BE474C"/>
    <w:rsid w:val="00BE5064"/>
    <w:rsid w:val="00BE548A"/>
    <w:rsid w:val="00BE5697"/>
    <w:rsid w:val="00BE5976"/>
    <w:rsid w:val="00BE75F6"/>
    <w:rsid w:val="00BF02D2"/>
    <w:rsid w:val="00BF1216"/>
    <w:rsid w:val="00BF22F1"/>
    <w:rsid w:val="00BF5612"/>
    <w:rsid w:val="00BF6BE8"/>
    <w:rsid w:val="00C00835"/>
    <w:rsid w:val="00C00890"/>
    <w:rsid w:val="00C01B59"/>
    <w:rsid w:val="00C01C42"/>
    <w:rsid w:val="00C02520"/>
    <w:rsid w:val="00C0309A"/>
    <w:rsid w:val="00C0354D"/>
    <w:rsid w:val="00C0368D"/>
    <w:rsid w:val="00C07E66"/>
    <w:rsid w:val="00C134A7"/>
    <w:rsid w:val="00C14805"/>
    <w:rsid w:val="00C153B0"/>
    <w:rsid w:val="00C17044"/>
    <w:rsid w:val="00C1798E"/>
    <w:rsid w:val="00C240B4"/>
    <w:rsid w:val="00C24DDA"/>
    <w:rsid w:val="00C24E49"/>
    <w:rsid w:val="00C26E64"/>
    <w:rsid w:val="00C270C0"/>
    <w:rsid w:val="00C271F6"/>
    <w:rsid w:val="00C4066B"/>
    <w:rsid w:val="00C44C8F"/>
    <w:rsid w:val="00C4713F"/>
    <w:rsid w:val="00C47E43"/>
    <w:rsid w:val="00C51B3D"/>
    <w:rsid w:val="00C61710"/>
    <w:rsid w:val="00C618AE"/>
    <w:rsid w:val="00C6380E"/>
    <w:rsid w:val="00C63CED"/>
    <w:rsid w:val="00C66BE3"/>
    <w:rsid w:val="00C6740F"/>
    <w:rsid w:val="00C71546"/>
    <w:rsid w:val="00C7242C"/>
    <w:rsid w:val="00C75381"/>
    <w:rsid w:val="00C85ADD"/>
    <w:rsid w:val="00C9342E"/>
    <w:rsid w:val="00C9788F"/>
    <w:rsid w:val="00CA10F6"/>
    <w:rsid w:val="00CA22E6"/>
    <w:rsid w:val="00CA44D8"/>
    <w:rsid w:val="00CA4ECA"/>
    <w:rsid w:val="00CB00A9"/>
    <w:rsid w:val="00CB365B"/>
    <w:rsid w:val="00CB4148"/>
    <w:rsid w:val="00CC2994"/>
    <w:rsid w:val="00CC29AA"/>
    <w:rsid w:val="00CC40B7"/>
    <w:rsid w:val="00CD08A0"/>
    <w:rsid w:val="00CD277D"/>
    <w:rsid w:val="00CD3F3A"/>
    <w:rsid w:val="00CD5B7B"/>
    <w:rsid w:val="00CD7C23"/>
    <w:rsid w:val="00CD7D65"/>
    <w:rsid w:val="00CE035A"/>
    <w:rsid w:val="00CE0905"/>
    <w:rsid w:val="00CE4C6B"/>
    <w:rsid w:val="00CF09FD"/>
    <w:rsid w:val="00CF273E"/>
    <w:rsid w:val="00CF3A94"/>
    <w:rsid w:val="00CF5AF1"/>
    <w:rsid w:val="00D02A5C"/>
    <w:rsid w:val="00D04C0E"/>
    <w:rsid w:val="00D04E20"/>
    <w:rsid w:val="00D07113"/>
    <w:rsid w:val="00D07C70"/>
    <w:rsid w:val="00D126C4"/>
    <w:rsid w:val="00D150AD"/>
    <w:rsid w:val="00D158ED"/>
    <w:rsid w:val="00D20FF5"/>
    <w:rsid w:val="00D237F5"/>
    <w:rsid w:val="00D2472B"/>
    <w:rsid w:val="00D260A3"/>
    <w:rsid w:val="00D30587"/>
    <w:rsid w:val="00D32B88"/>
    <w:rsid w:val="00D341AD"/>
    <w:rsid w:val="00D34223"/>
    <w:rsid w:val="00D36D99"/>
    <w:rsid w:val="00D42834"/>
    <w:rsid w:val="00D43477"/>
    <w:rsid w:val="00D43DF0"/>
    <w:rsid w:val="00D460A2"/>
    <w:rsid w:val="00D46EEA"/>
    <w:rsid w:val="00D46F3F"/>
    <w:rsid w:val="00D50536"/>
    <w:rsid w:val="00D514DE"/>
    <w:rsid w:val="00D54654"/>
    <w:rsid w:val="00D60D97"/>
    <w:rsid w:val="00D60E97"/>
    <w:rsid w:val="00D611FC"/>
    <w:rsid w:val="00D658C5"/>
    <w:rsid w:val="00D67F32"/>
    <w:rsid w:val="00D72DB8"/>
    <w:rsid w:val="00D74381"/>
    <w:rsid w:val="00D754A5"/>
    <w:rsid w:val="00D83CB5"/>
    <w:rsid w:val="00D86949"/>
    <w:rsid w:val="00D916F5"/>
    <w:rsid w:val="00D946B0"/>
    <w:rsid w:val="00D95062"/>
    <w:rsid w:val="00D97022"/>
    <w:rsid w:val="00DA22A2"/>
    <w:rsid w:val="00DA276E"/>
    <w:rsid w:val="00DA55D3"/>
    <w:rsid w:val="00DA70D9"/>
    <w:rsid w:val="00DA7B53"/>
    <w:rsid w:val="00DB0060"/>
    <w:rsid w:val="00DB0488"/>
    <w:rsid w:val="00DB0E34"/>
    <w:rsid w:val="00DB221E"/>
    <w:rsid w:val="00DC3090"/>
    <w:rsid w:val="00DC4A61"/>
    <w:rsid w:val="00DC61F9"/>
    <w:rsid w:val="00DC70C4"/>
    <w:rsid w:val="00DC7A7C"/>
    <w:rsid w:val="00DD000D"/>
    <w:rsid w:val="00DD06A9"/>
    <w:rsid w:val="00DD17F2"/>
    <w:rsid w:val="00DD1ECC"/>
    <w:rsid w:val="00DD554B"/>
    <w:rsid w:val="00DD69FD"/>
    <w:rsid w:val="00DD7307"/>
    <w:rsid w:val="00DE07CA"/>
    <w:rsid w:val="00DE2E66"/>
    <w:rsid w:val="00DE3514"/>
    <w:rsid w:val="00DE4E13"/>
    <w:rsid w:val="00DE4FFF"/>
    <w:rsid w:val="00DE6584"/>
    <w:rsid w:val="00DF14B3"/>
    <w:rsid w:val="00DF1BCC"/>
    <w:rsid w:val="00DF3D7D"/>
    <w:rsid w:val="00DF5D31"/>
    <w:rsid w:val="00DF6611"/>
    <w:rsid w:val="00DF75B4"/>
    <w:rsid w:val="00E00C2A"/>
    <w:rsid w:val="00E010C6"/>
    <w:rsid w:val="00E011DF"/>
    <w:rsid w:val="00E0191F"/>
    <w:rsid w:val="00E024D3"/>
    <w:rsid w:val="00E0283B"/>
    <w:rsid w:val="00E0549C"/>
    <w:rsid w:val="00E078D7"/>
    <w:rsid w:val="00E11AC9"/>
    <w:rsid w:val="00E14485"/>
    <w:rsid w:val="00E1700F"/>
    <w:rsid w:val="00E17B69"/>
    <w:rsid w:val="00E22D44"/>
    <w:rsid w:val="00E24555"/>
    <w:rsid w:val="00E24AD8"/>
    <w:rsid w:val="00E25C58"/>
    <w:rsid w:val="00E27EF5"/>
    <w:rsid w:val="00E3008B"/>
    <w:rsid w:val="00E309E5"/>
    <w:rsid w:val="00E30CDD"/>
    <w:rsid w:val="00E3179C"/>
    <w:rsid w:val="00E31884"/>
    <w:rsid w:val="00E32161"/>
    <w:rsid w:val="00E33853"/>
    <w:rsid w:val="00E36294"/>
    <w:rsid w:val="00E3656F"/>
    <w:rsid w:val="00E36AD7"/>
    <w:rsid w:val="00E371C5"/>
    <w:rsid w:val="00E41018"/>
    <w:rsid w:val="00E60DB1"/>
    <w:rsid w:val="00E62DA9"/>
    <w:rsid w:val="00E64AA0"/>
    <w:rsid w:val="00E64F2A"/>
    <w:rsid w:val="00E72557"/>
    <w:rsid w:val="00E737C3"/>
    <w:rsid w:val="00E76B32"/>
    <w:rsid w:val="00E83FA1"/>
    <w:rsid w:val="00E86E78"/>
    <w:rsid w:val="00E919CB"/>
    <w:rsid w:val="00EA0912"/>
    <w:rsid w:val="00EA259D"/>
    <w:rsid w:val="00EA3083"/>
    <w:rsid w:val="00EA34B8"/>
    <w:rsid w:val="00EA3920"/>
    <w:rsid w:val="00EA3AFC"/>
    <w:rsid w:val="00EA47E5"/>
    <w:rsid w:val="00EA4B2B"/>
    <w:rsid w:val="00EA6605"/>
    <w:rsid w:val="00EA6FDA"/>
    <w:rsid w:val="00EB2B8E"/>
    <w:rsid w:val="00EB33F6"/>
    <w:rsid w:val="00EB3501"/>
    <w:rsid w:val="00EB5246"/>
    <w:rsid w:val="00EB57D7"/>
    <w:rsid w:val="00EB5E21"/>
    <w:rsid w:val="00EB7E85"/>
    <w:rsid w:val="00EC026F"/>
    <w:rsid w:val="00EC2337"/>
    <w:rsid w:val="00EC5C13"/>
    <w:rsid w:val="00ED02CF"/>
    <w:rsid w:val="00ED3B7F"/>
    <w:rsid w:val="00ED4980"/>
    <w:rsid w:val="00EE0B9E"/>
    <w:rsid w:val="00EE0C90"/>
    <w:rsid w:val="00EE1365"/>
    <w:rsid w:val="00EE1622"/>
    <w:rsid w:val="00EE6100"/>
    <w:rsid w:val="00EE742C"/>
    <w:rsid w:val="00EF14C0"/>
    <w:rsid w:val="00EF3F9B"/>
    <w:rsid w:val="00F004AE"/>
    <w:rsid w:val="00F0187B"/>
    <w:rsid w:val="00F055A7"/>
    <w:rsid w:val="00F12636"/>
    <w:rsid w:val="00F17A20"/>
    <w:rsid w:val="00F2078A"/>
    <w:rsid w:val="00F242B3"/>
    <w:rsid w:val="00F26B75"/>
    <w:rsid w:val="00F27D9B"/>
    <w:rsid w:val="00F30ABD"/>
    <w:rsid w:val="00F31FE2"/>
    <w:rsid w:val="00F33A15"/>
    <w:rsid w:val="00F34B00"/>
    <w:rsid w:val="00F4340D"/>
    <w:rsid w:val="00F46688"/>
    <w:rsid w:val="00F46D4E"/>
    <w:rsid w:val="00F5293E"/>
    <w:rsid w:val="00F536C4"/>
    <w:rsid w:val="00F536FE"/>
    <w:rsid w:val="00F5445D"/>
    <w:rsid w:val="00F6070B"/>
    <w:rsid w:val="00F610E8"/>
    <w:rsid w:val="00F61FAD"/>
    <w:rsid w:val="00F62D70"/>
    <w:rsid w:val="00F63107"/>
    <w:rsid w:val="00F64D6D"/>
    <w:rsid w:val="00F650F9"/>
    <w:rsid w:val="00F6597A"/>
    <w:rsid w:val="00F65E18"/>
    <w:rsid w:val="00F71F2B"/>
    <w:rsid w:val="00F71FAE"/>
    <w:rsid w:val="00F73BE6"/>
    <w:rsid w:val="00F76C94"/>
    <w:rsid w:val="00F80747"/>
    <w:rsid w:val="00F812F1"/>
    <w:rsid w:val="00F8438C"/>
    <w:rsid w:val="00F849D3"/>
    <w:rsid w:val="00F8633D"/>
    <w:rsid w:val="00F917E9"/>
    <w:rsid w:val="00F93B80"/>
    <w:rsid w:val="00F93BEB"/>
    <w:rsid w:val="00F962CF"/>
    <w:rsid w:val="00F972B6"/>
    <w:rsid w:val="00FA0163"/>
    <w:rsid w:val="00FA6B39"/>
    <w:rsid w:val="00FB08A1"/>
    <w:rsid w:val="00FB159F"/>
    <w:rsid w:val="00FB15C5"/>
    <w:rsid w:val="00FB36A3"/>
    <w:rsid w:val="00FB44BE"/>
    <w:rsid w:val="00FB7739"/>
    <w:rsid w:val="00FC4452"/>
    <w:rsid w:val="00FC5965"/>
    <w:rsid w:val="00FC6D72"/>
    <w:rsid w:val="00FD1C54"/>
    <w:rsid w:val="00FD3E58"/>
    <w:rsid w:val="00FD43EB"/>
    <w:rsid w:val="00FD6578"/>
    <w:rsid w:val="00FE1B30"/>
    <w:rsid w:val="00FE2569"/>
    <w:rsid w:val="00FE47BD"/>
    <w:rsid w:val="00FE47EE"/>
    <w:rsid w:val="00FE5281"/>
    <w:rsid w:val="00FE5B57"/>
    <w:rsid w:val="00FE65E8"/>
    <w:rsid w:val="03447169"/>
    <w:rsid w:val="10C71088"/>
    <w:rsid w:val="26D1191C"/>
    <w:rsid w:val="3A202A13"/>
    <w:rsid w:val="3E053A1F"/>
    <w:rsid w:val="63DD03DD"/>
    <w:rsid w:val="67DF78AE"/>
    <w:rsid w:val="79142355"/>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26D4"/>
  <w15:docId w15:val="{962EE310-92B3-4798-A668-158B1CB5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HAnsi"/>
      <w:sz w:val="22"/>
      <w:szCs w:val="22"/>
      <w:lang w:val="fr-FR"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footer"/>
    <w:basedOn w:val="a"/>
    <w:link w:val="a8"/>
    <w:uiPriority w:val="99"/>
    <w:unhideWhenUsed/>
    <w:pPr>
      <w:tabs>
        <w:tab w:val="center" w:pos="4536"/>
        <w:tab w:val="right" w:pos="9072"/>
      </w:tabs>
      <w:spacing w:after="0" w:line="240" w:lineRule="auto"/>
    </w:pPr>
  </w:style>
  <w:style w:type="paragraph" w:styleId="a9">
    <w:name w:val="header"/>
    <w:basedOn w:val="a"/>
    <w:link w:val="aa"/>
    <w:uiPriority w:val="99"/>
    <w:unhideWhenUsed/>
    <w:qFormat/>
    <w:pPr>
      <w:tabs>
        <w:tab w:val="center" w:pos="4536"/>
        <w:tab w:val="right" w:pos="9072"/>
      </w:tabs>
      <w:spacing w:after="0" w:line="240" w:lineRule="auto"/>
    </w:pPr>
  </w:style>
  <w:style w:type="paragraph" w:styleId="TOC1">
    <w:name w:val="toc 1"/>
    <w:basedOn w:val="a"/>
    <w:next w:val="a"/>
    <w:uiPriority w:val="39"/>
    <w:unhideWhenUsed/>
    <w:qFormat/>
    <w:pPr>
      <w:spacing w:after="100"/>
    </w:pPr>
    <w:rPr>
      <w:rFonts w:eastAsiaTheme="minorEastAsia" w:cs="Times New Roman"/>
      <w:lang w:eastAsia="fr-FR"/>
    </w:rPr>
  </w:style>
  <w:style w:type="paragraph" w:styleId="TOC2">
    <w:name w:val="toc 2"/>
    <w:basedOn w:val="a"/>
    <w:next w:val="a"/>
    <w:uiPriority w:val="39"/>
    <w:unhideWhenUsed/>
    <w:qFormat/>
    <w:pPr>
      <w:spacing w:after="100"/>
      <w:ind w:left="220"/>
    </w:pPr>
    <w:rPr>
      <w:rFonts w:eastAsiaTheme="minorEastAsia" w:cs="Times New Roman"/>
      <w:lang w:eastAsia="fr-FR"/>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page number"/>
    <w:basedOn w:val="a0"/>
    <w:uiPriority w:val="99"/>
    <w:semiHidden/>
    <w:unhideWhenUsed/>
    <w:qFormat/>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16"/>
      <w:szCs w:val="16"/>
    </w:r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paragraph" w:styleId="af2">
    <w:name w:val="List Paragraph"/>
    <w:basedOn w:val="a"/>
    <w:uiPriority w:val="34"/>
    <w:qFormat/>
    <w:pPr>
      <w:ind w:left="720"/>
      <w:contextualSpacing/>
    </w:pPr>
  </w:style>
  <w:style w:type="paragraph" w:customStyle="1" w:styleId="11">
    <w:name w:val="书目1"/>
    <w:basedOn w:val="a"/>
    <w:next w:val="a"/>
    <w:uiPriority w:val="37"/>
    <w:unhideWhenUsed/>
    <w:qFormat/>
    <w:pPr>
      <w:tabs>
        <w:tab w:val="left" w:pos="504"/>
      </w:tabs>
      <w:spacing w:after="240" w:line="240" w:lineRule="auto"/>
      <w:ind w:left="504" w:hanging="504"/>
    </w:pPr>
  </w:style>
  <w:style w:type="character" w:customStyle="1" w:styleId="10">
    <w:name w:val="标题 1 字符"/>
    <w:basedOn w:val="a0"/>
    <w:link w:val="1"/>
    <w:uiPriority w:val="9"/>
    <w:rPr>
      <w:rFonts w:asciiTheme="majorHAnsi" w:eastAsiaTheme="majorEastAsia" w:hAnsiTheme="majorHAnsi" w:cstheme="majorBidi"/>
      <w:b/>
      <w:bCs/>
      <w:color w:val="2F5496" w:themeColor="accent1" w:themeShade="BF"/>
      <w:sz w:val="28"/>
      <w:szCs w:val="28"/>
    </w:rPr>
  </w:style>
  <w:style w:type="paragraph" w:customStyle="1" w:styleId="TOC10">
    <w:name w:val="TOC 标题1"/>
    <w:basedOn w:val="1"/>
    <w:next w:val="a"/>
    <w:link w:val="En-ttedetabledesmatiresCar"/>
    <w:uiPriority w:val="39"/>
    <w:unhideWhenUsed/>
    <w:qFormat/>
    <w:pPr>
      <w:spacing w:before="240"/>
      <w:outlineLvl w:val="9"/>
    </w:pPr>
    <w:rPr>
      <w:b w:val="0"/>
      <w:bCs w:val="0"/>
      <w:sz w:val="32"/>
      <w:szCs w:val="32"/>
      <w:lang w:eastAsia="fr-FR"/>
    </w:rPr>
  </w:style>
  <w:style w:type="paragraph" w:styleId="af3">
    <w:name w:val="No Spacing"/>
    <w:uiPriority w:val="1"/>
    <w:qFormat/>
    <w:rPr>
      <w:rFonts w:eastAsiaTheme="minorHAnsi"/>
      <w:sz w:val="22"/>
      <w:szCs w:val="22"/>
      <w:lang w:val="fr-FR" w:eastAsia="en-US"/>
    </w:rPr>
  </w:style>
  <w:style w:type="character" w:customStyle="1" w:styleId="En-ttedetabledesmatiresCar">
    <w:name w:val="En-tête de table des matières Car"/>
    <w:basedOn w:val="10"/>
    <w:link w:val="TOC10"/>
    <w:uiPriority w:val="39"/>
    <w:qFormat/>
    <w:rPr>
      <w:rFonts w:asciiTheme="majorHAnsi" w:eastAsiaTheme="majorEastAsia" w:hAnsiTheme="majorHAnsi" w:cstheme="majorBidi"/>
      <w:b/>
      <w:bCs/>
      <w:color w:val="2F5496" w:themeColor="accent1" w:themeShade="BF"/>
      <w:sz w:val="32"/>
      <w:szCs w:val="32"/>
      <w:lang w:eastAsia="fr-FR"/>
    </w:rPr>
  </w:style>
  <w:style w:type="character" w:customStyle="1" w:styleId="a6">
    <w:name w:val="批注框文本 字符"/>
    <w:basedOn w:val="a0"/>
    <w:link w:val="a5"/>
    <w:uiPriority w:val="99"/>
    <w:semiHidden/>
    <w:qFormat/>
    <w:rPr>
      <w:rFonts w:ascii="Tahoma" w:hAnsi="Tahoma" w:cs="Tahoma"/>
      <w:sz w:val="16"/>
      <w:szCs w:val="16"/>
    </w:rPr>
  </w:style>
  <w:style w:type="paragraph" w:customStyle="1" w:styleId="Style1">
    <w:name w:val="Style1"/>
    <w:basedOn w:val="TOC10"/>
    <w:link w:val="Style1Car"/>
    <w:qFormat/>
    <w:rPr>
      <w:rFonts w:ascii="Times New Roman" w:hAnsi="Times New Roman"/>
      <w:b/>
      <w:color w:val="auto"/>
      <w:sz w:val="24"/>
    </w:rPr>
  </w:style>
  <w:style w:type="character" w:customStyle="1" w:styleId="Style1Car">
    <w:name w:val="Style1 Car"/>
    <w:basedOn w:val="En-ttedetabledesmatiresCar"/>
    <w:link w:val="Style1"/>
    <w:qFormat/>
    <w:rPr>
      <w:rFonts w:ascii="Times New Roman" w:eastAsiaTheme="majorEastAsia" w:hAnsi="Times New Roman" w:cstheme="majorBidi"/>
      <w:b/>
      <w:bCs/>
      <w:color w:val="2F5496" w:themeColor="accent1" w:themeShade="BF"/>
      <w:sz w:val="24"/>
      <w:szCs w:val="32"/>
      <w:lang w:eastAsia="fr-FR"/>
    </w:rPr>
  </w:style>
  <w:style w:type="paragraph" w:customStyle="1" w:styleId="Default">
    <w:name w:val="Default"/>
    <w:qFormat/>
    <w:pPr>
      <w:autoSpaceDE w:val="0"/>
      <w:autoSpaceDN w:val="0"/>
      <w:adjustRightInd w:val="0"/>
    </w:pPr>
    <w:rPr>
      <w:rFonts w:ascii="Verdana" w:eastAsiaTheme="minorHAnsi" w:hAnsi="Verdana" w:cs="Verdana"/>
      <w:color w:val="000000"/>
      <w:sz w:val="24"/>
      <w:szCs w:val="24"/>
      <w:lang w:val="fr-FR" w:eastAsia="en-US"/>
    </w:rPr>
  </w:style>
  <w:style w:type="character" w:customStyle="1" w:styleId="30">
    <w:name w:val="标题 3 字符"/>
    <w:basedOn w:val="a0"/>
    <w:link w:val="3"/>
    <w:uiPriority w:val="9"/>
    <w:qFormat/>
    <w:rPr>
      <w:rFonts w:ascii="Times New Roman" w:eastAsia="Times New Roman" w:hAnsi="Times New Roman" w:cs="Times New Roman"/>
      <w:b/>
      <w:bCs/>
      <w:sz w:val="27"/>
      <w:szCs w:val="27"/>
      <w:lang w:eastAsia="fr-FR"/>
    </w:rPr>
  </w:style>
  <w:style w:type="character" w:customStyle="1" w:styleId="a4">
    <w:name w:val="批注文字 字符"/>
    <w:basedOn w:val="a0"/>
    <w:link w:val="a3"/>
    <w:uiPriority w:val="99"/>
    <w:semiHidden/>
    <w:qFormat/>
    <w:rPr>
      <w:sz w:val="20"/>
      <w:szCs w:val="20"/>
    </w:rPr>
  </w:style>
  <w:style w:type="character" w:customStyle="1" w:styleId="ac">
    <w:name w:val="批注主题 字符"/>
    <w:basedOn w:val="a4"/>
    <w:link w:val="ab"/>
    <w:uiPriority w:val="99"/>
    <w:semiHidden/>
    <w:qFormat/>
    <w:rPr>
      <w:b/>
      <w:bCs/>
      <w:sz w:val="20"/>
      <w:szCs w:val="20"/>
    </w:rPr>
  </w:style>
  <w:style w:type="paragraph" w:customStyle="1" w:styleId="12">
    <w:name w:val="修订1"/>
    <w:hidden/>
    <w:uiPriority w:val="99"/>
    <w:semiHidden/>
    <w:qFormat/>
    <w:rPr>
      <w:rFonts w:eastAsiaTheme="minorHAnsi"/>
      <w:sz w:val="22"/>
      <w:szCs w:val="22"/>
      <w:lang w:val="fr-FR" w:eastAsia="en-US"/>
    </w:rPr>
  </w:style>
  <w:style w:type="character" w:customStyle="1" w:styleId="id-label">
    <w:name w:val="id-label"/>
    <w:basedOn w:val="a0"/>
    <w:qFormat/>
  </w:style>
  <w:style w:type="character" w:customStyle="1" w:styleId="identifier">
    <w:name w:val="identifi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ouard.bardou-jacquet@chu-renn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7A399-63D2-4EB1-8D00-FF571AE4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20831</Words>
  <Characters>118737</Characters>
  <Application>Microsoft Office Word</Application>
  <DocSecurity>0</DocSecurity>
  <Lines>989</Lines>
  <Paragraphs>278</Paragraphs>
  <ScaleCrop>false</ScaleCrop>
  <Company>Hewlett-Packard</Company>
  <LinksUpToDate>false</LinksUpToDate>
  <CharactersWithSpaces>139290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Liansheng Ma</cp:lastModifiedBy>
  <cp:revision>2</cp:revision>
  <dcterms:created xsi:type="dcterms:W3CDTF">2020-04-16T20:34:00Z</dcterms:created>
  <dcterms:modified xsi:type="dcterms:W3CDTF">2020-04-16T20:34:00Z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id="bNgLsD3p"/&gt;&lt;style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y fmtid="{D5CDD505-2E9C-101B-9397-08002B2CF9AE}" pid="4" name="KSOProductBuildVer">
    <vt:lpwstr>2052-11.1.0.9584</vt:lpwstr>
  </property>
</Properties>
</file>