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779" w:rsidRPr="00572DEC" w:rsidRDefault="003E7779" w:rsidP="004517BA">
      <w:pPr>
        <w:spacing w:line="360" w:lineRule="auto"/>
        <w:jc w:val="both"/>
        <w:rPr>
          <w:rFonts w:ascii="Book Antiqua" w:hAnsi="Book Antiqua" w:cs="Book Antiqua"/>
          <w:b/>
          <w:bCs/>
          <w:color w:val="000000"/>
          <w:sz w:val="24"/>
          <w:szCs w:val="24"/>
        </w:rPr>
      </w:pPr>
      <w:bookmarkStart w:id="0" w:name="OLE_LINK169"/>
      <w:bookmarkStart w:id="1" w:name="OLE_LINK170"/>
      <w:bookmarkStart w:id="2" w:name="OLE_LINK193"/>
      <w:r w:rsidRPr="00572DEC">
        <w:rPr>
          <w:rFonts w:ascii="Book Antiqua" w:hAnsi="Book Antiqua" w:cs="Book Antiqua"/>
          <w:b/>
          <w:bCs/>
          <w:color w:val="0000FF"/>
          <w:sz w:val="24"/>
          <w:szCs w:val="24"/>
        </w:rPr>
        <w:t xml:space="preserve">Name of journal: </w:t>
      </w:r>
      <w:r w:rsidRPr="00572DEC">
        <w:rPr>
          <w:rFonts w:ascii="Book Antiqua" w:hAnsi="Book Antiqua" w:cs="Book Antiqua"/>
          <w:b/>
          <w:bCs/>
          <w:color w:val="000000"/>
          <w:sz w:val="24"/>
          <w:szCs w:val="24"/>
        </w:rPr>
        <w:t>World Journal of Gastroenterology</w:t>
      </w:r>
    </w:p>
    <w:p w:rsidR="003E7779" w:rsidRPr="00572DEC" w:rsidRDefault="003E7779" w:rsidP="004517BA">
      <w:pPr>
        <w:spacing w:line="360" w:lineRule="auto"/>
        <w:jc w:val="both"/>
        <w:rPr>
          <w:rFonts w:ascii="Book Antiqua" w:hAnsi="Book Antiqua" w:cs="Book Antiqua"/>
          <w:b/>
          <w:bCs/>
          <w:color w:val="0000FF"/>
          <w:sz w:val="24"/>
          <w:szCs w:val="24"/>
          <w:lang w:eastAsia="zh-CN"/>
        </w:rPr>
      </w:pPr>
      <w:r w:rsidRPr="00572DEC">
        <w:rPr>
          <w:rFonts w:ascii="Book Antiqua" w:hAnsi="Book Antiqua" w:cs="Book Antiqua"/>
          <w:b/>
          <w:bCs/>
          <w:color w:val="0000FF"/>
          <w:sz w:val="24"/>
          <w:szCs w:val="24"/>
        </w:rPr>
        <w:t xml:space="preserve">ESPS Manuscript NO: </w:t>
      </w:r>
      <w:r w:rsidRPr="00572DEC">
        <w:rPr>
          <w:rFonts w:ascii="Book Antiqua" w:hAnsi="Book Antiqua" w:cs="Book Antiqua"/>
          <w:b/>
          <w:bCs/>
          <w:color w:val="0000FF"/>
          <w:sz w:val="24"/>
          <w:szCs w:val="24"/>
          <w:lang w:eastAsia="zh-CN"/>
        </w:rPr>
        <w:t>5196</w:t>
      </w:r>
    </w:p>
    <w:p w:rsidR="003E7779" w:rsidRPr="00572DEC" w:rsidRDefault="003E7779" w:rsidP="004517BA">
      <w:pPr>
        <w:spacing w:line="360" w:lineRule="auto"/>
        <w:jc w:val="both"/>
        <w:rPr>
          <w:rFonts w:ascii="Book Antiqua" w:hAnsi="Book Antiqua" w:cs="Book Antiqua"/>
          <w:b/>
          <w:bCs/>
          <w:color w:val="0000FF"/>
          <w:sz w:val="24"/>
          <w:szCs w:val="24"/>
        </w:rPr>
      </w:pPr>
      <w:r w:rsidRPr="00572DEC">
        <w:rPr>
          <w:rFonts w:ascii="Book Antiqua" w:hAnsi="Book Antiqua" w:cs="Book Antiqua"/>
          <w:b/>
          <w:bCs/>
          <w:color w:val="0000FF"/>
          <w:sz w:val="24"/>
          <w:szCs w:val="24"/>
        </w:rPr>
        <w:t xml:space="preserve">Columns: </w:t>
      </w:r>
      <w:r w:rsidRPr="00572DEC">
        <w:rPr>
          <w:rFonts w:ascii="Book Antiqua" w:hAnsi="Book Antiqua" w:cs="Book Antiqua"/>
          <w:b/>
          <w:bCs/>
          <w:color w:val="000000"/>
          <w:sz w:val="24"/>
          <w:szCs w:val="24"/>
        </w:rPr>
        <w:t>BRIEF ARTICLE</w:t>
      </w:r>
    </w:p>
    <w:bookmarkEnd w:id="0"/>
    <w:bookmarkEnd w:id="1"/>
    <w:bookmarkEnd w:id="2"/>
    <w:p w:rsidR="003E7779" w:rsidRPr="00572DEC" w:rsidRDefault="003E7779" w:rsidP="004517BA">
      <w:pPr>
        <w:pStyle w:val="a4"/>
        <w:spacing w:line="360" w:lineRule="auto"/>
        <w:jc w:val="both"/>
        <w:rPr>
          <w:rFonts w:ascii="Book Antiqua" w:hAnsi="Book Antiqua" w:cs="Book Antiqua"/>
          <w:b/>
          <w:bCs/>
          <w:lang w:val="en-US"/>
        </w:rPr>
      </w:pPr>
    </w:p>
    <w:p w:rsidR="003E7779" w:rsidRPr="00572DEC" w:rsidRDefault="003E7779" w:rsidP="004517BA">
      <w:pPr>
        <w:pStyle w:val="a4"/>
        <w:spacing w:line="360" w:lineRule="auto"/>
        <w:jc w:val="both"/>
        <w:rPr>
          <w:rFonts w:ascii="Book Antiqua" w:hAnsi="Book Antiqua"/>
          <w:lang w:val="en-US"/>
        </w:rPr>
      </w:pPr>
      <w:r w:rsidRPr="00572DEC">
        <w:rPr>
          <w:rFonts w:ascii="Book Antiqua" w:hAnsi="Book Antiqua"/>
          <w:lang w:val="en-US"/>
        </w:rPr>
        <w:t>Synchronous and metachronous neoplasms in gastric cancer patients: A 23-year study</w:t>
      </w:r>
    </w:p>
    <w:p w:rsidR="003E7779" w:rsidRPr="00572DEC" w:rsidRDefault="003E7779" w:rsidP="004517BA">
      <w:pPr>
        <w:pStyle w:val="a4"/>
        <w:spacing w:line="360" w:lineRule="auto"/>
        <w:jc w:val="both"/>
        <w:rPr>
          <w:rFonts w:ascii="Book Antiqua" w:hAnsi="Book Antiqua"/>
          <w:b/>
          <w:lang w:val="en-US"/>
        </w:rPr>
      </w:pPr>
    </w:p>
    <w:p w:rsidR="003E7779" w:rsidRPr="00572DEC" w:rsidRDefault="003E7779" w:rsidP="004517BA">
      <w:pPr>
        <w:spacing w:line="360" w:lineRule="auto"/>
        <w:jc w:val="both"/>
        <w:rPr>
          <w:rFonts w:ascii="Book Antiqua" w:hAnsi="Book Antiqua" w:cs="Book Antiqua"/>
          <w:b/>
          <w:bCs/>
          <w:sz w:val="24"/>
          <w:szCs w:val="24"/>
        </w:rPr>
      </w:pPr>
      <w:r w:rsidRPr="00572DEC">
        <w:rPr>
          <w:rFonts w:ascii="Book Antiqua" w:hAnsi="Book Antiqua" w:cs="Book Antiqua"/>
          <w:sz w:val="24"/>
          <w:szCs w:val="24"/>
          <w:lang w:val="pl-PL"/>
        </w:rPr>
        <w:t>Ławniczak</w:t>
      </w:r>
      <w:r w:rsidRPr="00572DEC">
        <w:rPr>
          <w:rFonts w:ascii="Book Antiqua" w:hAnsi="Book Antiqua" w:cs="Book Antiqua"/>
          <w:sz w:val="24"/>
          <w:szCs w:val="24"/>
        </w:rPr>
        <w:t xml:space="preserve"> </w:t>
      </w:r>
      <w:r w:rsidRPr="00572DEC">
        <w:rPr>
          <w:rFonts w:ascii="Book Antiqua" w:hAnsi="Book Antiqua" w:cs="Book Antiqua"/>
          <w:sz w:val="24"/>
          <w:szCs w:val="24"/>
          <w:lang w:eastAsia="zh-CN"/>
        </w:rPr>
        <w:t xml:space="preserve">M </w:t>
      </w:r>
      <w:r w:rsidRPr="00572DEC">
        <w:rPr>
          <w:rFonts w:ascii="Book Antiqua" w:hAnsi="Book Antiqua" w:cs="Book Antiqua"/>
          <w:i/>
          <w:sz w:val="24"/>
          <w:szCs w:val="24"/>
          <w:lang w:eastAsia="zh-CN"/>
        </w:rPr>
        <w:t>et al</w:t>
      </w:r>
      <w:r w:rsidRPr="00572DEC">
        <w:rPr>
          <w:rFonts w:ascii="Book Antiqua" w:hAnsi="Book Antiqua" w:cs="Book Antiqua"/>
          <w:sz w:val="24"/>
          <w:szCs w:val="24"/>
          <w:lang w:eastAsia="zh-CN"/>
        </w:rPr>
        <w:t xml:space="preserve">. </w:t>
      </w:r>
      <w:r w:rsidRPr="00572DEC">
        <w:rPr>
          <w:rFonts w:ascii="Book Antiqua" w:hAnsi="Book Antiqua" w:cs="Book Antiqua"/>
          <w:sz w:val="24"/>
          <w:szCs w:val="24"/>
        </w:rPr>
        <w:t>Multiple tumors in gastric</w:t>
      </w:r>
      <w:r w:rsidRPr="00572DEC">
        <w:rPr>
          <w:rFonts w:ascii="Book Antiqua" w:hAnsi="Book Antiqua"/>
          <w:sz w:val="24"/>
          <w:szCs w:val="24"/>
        </w:rPr>
        <w:t xml:space="preserve"> cancer</w:t>
      </w:r>
      <w:r w:rsidRPr="00572DEC">
        <w:rPr>
          <w:rFonts w:ascii="Book Antiqua" w:hAnsi="Book Antiqua" w:cs="Book Antiqua"/>
          <w:sz w:val="24"/>
          <w:szCs w:val="24"/>
        </w:rPr>
        <w:t xml:space="preserve"> patients</w:t>
      </w:r>
      <w:r w:rsidRPr="00572DEC">
        <w:rPr>
          <w:rFonts w:ascii="Book Antiqua" w:hAnsi="Book Antiqua" w:cs="Book Antiqua"/>
          <w:b/>
          <w:bCs/>
          <w:sz w:val="24"/>
          <w:szCs w:val="24"/>
        </w:rPr>
        <w:t xml:space="preserve"> </w:t>
      </w:r>
    </w:p>
    <w:p w:rsidR="003E7779" w:rsidRPr="00572DEC" w:rsidRDefault="003E7779" w:rsidP="004517BA">
      <w:pPr>
        <w:pStyle w:val="a4"/>
        <w:spacing w:line="360" w:lineRule="auto"/>
        <w:jc w:val="both"/>
        <w:rPr>
          <w:rFonts w:ascii="Book Antiqua" w:hAnsi="Book Antiqua" w:cs="Book Antiqua"/>
          <w:lang w:val="en-US"/>
        </w:rPr>
      </w:pPr>
    </w:p>
    <w:p w:rsidR="003E7779" w:rsidRPr="00572DEC" w:rsidRDefault="003E7779" w:rsidP="004517BA">
      <w:pPr>
        <w:spacing w:line="360" w:lineRule="auto"/>
        <w:jc w:val="both"/>
        <w:rPr>
          <w:rFonts w:ascii="Book Antiqua" w:hAnsi="Book Antiqua" w:cs="Book Antiqua"/>
          <w:sz w:val="24"/>
          <w:szCs w:val="24"/>
          <w:lang w:val="pl-PL"/>
        </w:rPr>
      </w:pPr>
      <w:r w:rsidRPr="00572DEC">
        <w:rPr>
          <w:rFonts w:ascii="Book Antiqua" w:hAnsi="Book Antiqua" w:cs="Book Antiqua"/>
          <w:sz w:val="24"/>
          <w:szCs w:val="24"/>
          <w:lang w:val="pl-PL"/>
        </w:rPr>
        <w:t xml:space="preserve">Małgorzata Ławniczak, Alicja Gawin, Halina Jaroszewicz-Heigelmann, Wiesława Rogoza-Mateja, Joanna Raszeja-Wyszomirska, Andrzej Białek, Katarzyna Karpińska-Kaczmarczyk, Teresa Starzyńska </w:t>
      </w:r>
    </w:p>
    <w:p w:rsidR="003E7779" w:rsidRPr="00572DEC" w:rsidRDefault="003E7779" w:rsidP="004517BA">
      <w:pPr>
        <w:spacing w:line="360" w:lineRule="auto"/>
        <w:jc w:val="both"/>
        <w:rPr>
          <w:rFonts w:ascii="Book Antiqua" w:hAnsi="Book Antiqua" w:cs="Book Antiqua"/>
          <w:b/>
          <w:bCs/>
          <w:sz w:val="24"/>
          <w:szCs w:val="24"/>
          <w:lang w:val="pl-PL"/>
        </w:rPr>
      </w:pPr>
    </w:p>
    <w:p w:rsidR="003E7779" w:rsidRPr="00572DEC" w:rsidRDefault="003E7779" w:rsidP="004517BA">
      <w:pPr>
        <w:spacing w:line="360" w:lineRule="auto"/>
        <w:jc w:val="both"/>
        <w:rPr>
          <w:rFonts w:ascii="Book Antiqua" w:hAnsi="Book Antiqua" w:cs="Book Antiqua"/>
          <w:sz w:val="24"/>
          <w:szCs w:val="24"/>
          <w:lang w:val="pl-PL"/>
        </w:rPr>
      </w:pPr>
      <w:r w:rsidRPr="00572DEC">
        <w:rPr>
          <w:rFonts w:ascii="Book Antiqua" w:hAnsi="Book Antiqua" w:cs="Book Antiqua"/>
          <w:b/>
          <w:bCs/>
          <w:sz w:val="24"/>
          <w:szCs w:val="24"/>
          <w:lang w:val="pl-PL"/>
        </w:rPr>
        <w:t>Małgorzata Ławniczak, Alicja Gawin, Halina Jaroszewicz-Heigelmann, Wiesława Rogoza-Mateja, Andrzej Białek, Teresa Starzyńska</w:t>
      </w:r>
      <w:r w:rsidRPr="00572DEC">
        <w:rPr>
          <w:rFonts w:ascii="Book Antiqua" w:hAnsi="Book Antiqua" w:cs="Book Antiqua"/>
          <w:b/>
          <w:bCs/>
          <w:sz w:val="24"/>
          <w:szCs w:val="24"/>
          <w:lang w:val="pl-PL" w:eastAsia="zh-CN"/>
        </w:rPr>
        <w:t xml:space="preserve">, </w:t>
      </w:r>
      <w:r w:rsidRPr="00572DEC">
        <w:rPr>
          <w:rFonts w:ascii="Book Antiqua" w:hAnsi="Book Antiqua" w:cs="Book Antiqua"/>
          <w:sz w:val="24"/>
          <w:szCs w:val="24"/>
          <w:lang w:val="pl-PL"/>
        </w:rPr>
        <w:t>Department of Gastroenterology</w:t>
      </w:r>
      <w:r w:rsidRPr="00572DEC">
        <w:rPr>
          <w:rFonts w:ascii="Book Antiqua" w:hAnsi="Book Antiqua" w:cs="Book Antiqua"/>
          <w:sz w:val="24"/>
          <w:szCs w:val="24"/>
          <w:lang w:val="pl-PL" w:eastAsia="zh-CN"/>
        </w:rPr>
        <w:t>,</w:t>
      </w:r>
      <w:r w:rsidRPr="00572DEC">
        <w:rPr>
          <w:rFonts w:ascii="Book Antiqua" w:hAnsi="Book Antiqua" w:cs="Book Antiqua"/>
          <w:sz w:val="24"/>
          <w:szCs w:val="24"/>
          <w:lang w:val="pl-PL"/>
        </w:rPr>
        <w:t xml:space="preserve"> Pomeranian Medical University, Unii Lubelskiej 1,</w:t>
      </w:r>
      <w:r w:rsidRPr="00572DEC">
        <w:rPr>
          <w:rFonts w:ascii="Book Antiqua" w:hAnsi="Book Antiqua" w:cs="Book Antiqua"/>
          <w:sz w:val="24"/>
          <w:szCs w:val="24"/>
          <w:lang w:val="pl-PL" w:eastAsia="zh-CN"/>
        </w:rPr>
        <w:t xml:space="preserve"> </w:t>
      </w:r>
      <w:r>
        <w:rPr>
          <w:rFonts w:ascii="Book Antiqua" w:hAnsi="Book Antiqua" w:cs="Book Antiqua"/>
          <w:sz w:val="24"/>
          <w:szCs w:val="24"/>
          <w:lang w:val="pl-PL"/>
        </w:rPr>
        <w:t>71-252 Szczecin, Poland</w:t>
      </w:r>
    </w:p>
    <w:p w:rsidR="003E7779" w:rsidRPr="00572DEC" w:rsidRDefault="003E7779" w:rsidP="004517BA">
      <w:pPr>
        <w:spacing w:line="360" w:lineRule="auto"/>
        <w:jc w:val="both"/>
        <w:rPr>
          <w:rFonts w:ascii="Book Antiqua" w:hAnsi="Book Antiqua" w:cs="Book Antiqua"/>
          <w:sz w:val="24"/>
          <w:szCs w:val="24"/>
          <w:lang w:val="pl-PL"/>
        </w:rPr>
      </w:pPr>
    </w:p>
    <w:p w:rsidR="003E7779" w:rsidRPr="00572DEC" w:rsidRDefault="003E7779" w:rsidP="004517BA">
      <w:pPr>
        <w:spacing w:line="360" w:lineRule="auto"/>
        <w:jc w:val="both"/>
        <w:rPr>
          <w:rFonts w:ascii="Book Antiqua" w:hAnsi="Book Antiqua" w:cs="Book Antiqua"/>
          <w:sz w:val="24"/>
          <w:szCs w:val="24"/>
          <w:lang w:val="pl-PL"/>
        </w:rPr>
      </w:pPr>
      <w:r w:rsidRPr="00572DEC">
        <w:rPr>
          <w:rFonts w:ascii="Book Antiqua" w:hAnsi="Book Antiqua" w:cs="Book Antiqua"/>
          <w:b/>
          <w:bCs/>
          <w:sz w:val="24"/>
          <w:szCs w:val="24"/>
          <w:lang w:val="pl-PL"/>
        </w:rPr>
        <w:t>Joanna Raszeja–Wyszomirska</w:t>
      </w:r>
      <w:r w:rsidRPr="00572DEC">
        <w:rPr>
          <w:rFonts w:ascii="Book Antiqua" w:hAnsi="Book Antiqua" w:cs="Book Antiqua"/>
          <w:b/>
          <w:bCs/>
          <w:sz w:val="24"/>
          <w:szCs w:val="24"/>
          <w:lang w:val="pl-PL" w:eastAsia="zh-CN"/>
        </w:rPr>
        <w:t xml:space="preserve">, </w:t>
      </w:r>
      <w:r w:rsidRPr="00572DEC">
        <w:rPr>
          <w:rFonts w:ascii="Book Antiqua" w:hAnsi="Book Antiqua" w:cs="Book Antiqua"/>
          <w:sz w:val="24"/>
          <w:szCs w:val="24"/>
          <w:lang w:val="pl-PL"/>
        </w:rPr>
        <w:t>Liver Unit</w:t>
      </w:r>
      <w:r w:rsidRPr="00572DEC">
        <w:rPr>
          <w:rFonts w:ascii="Book Antiqua" w:hAnsi="Book Antiqua" w:cs="Book Antiqua"/>
          <w:sz w:val="24"/>
          <w:szCs w:val="24"/>
          <w:lang w:val="pl-PL" w:eastAsia="zh-CN"/>
        </w:rPr>
        <w:t>,</w:t>
      </w:r>
      <w:r w:rsidRPr="00572DEC">
        <w:rPr>
          <w:rFonts w:ascii="Book Antiqua" w:hAnsi="Book Antiqua" w:cs="Book Antiqua"/>
          <w:sz w:val="24"/>
          <w:szCs w:val="24"/>
          <w:lang w:val="pl-PL"/>
        </w:rPr>
        <w:t xml:space="preserve"> Pomeranian Medical University, Powstańców Wielkopolskich 72, 70-111 Szczecin, Poland</w:t>
      </w:r>
    </w:p>
    <w:p w:rsidR="003E7779" w:rsidRPr="00572DEC" w:rsidRDefault="003E7779" w:rsidP="004517BA">
      <w:pPr>
        <w:spacing w:line="360" w:lineRule="auto"/>
        <w:jc w:val="both"/>
        <w:rPr>
          <w:rFonts w:ascii="Book Antiqua" w:hAnsi="Book Antiqua" w:cs="Book Antiqua"/>
          <w:sz w:val="24"/>
          <w:szCs w:val="24"/>
          <w:lang w:val="pl-PL"/>
        </w:rPr>
      </w:pPr>
    </w:p>
    <w:p w:rsidR="003E7779" w:rsidRPr="00572DEC" w:rsidRDefault="003E7779" w:rsidP="00F50CFA">
      <w:pPr>
        <w:spacing w:line="360" w:lineRule="auto"/>
        <w:jc w:val="both"/>
        <w:rPr>
          <w:rFonts w:ascii="Book Antiqua" w:hAnsi="Book Antiqua" w:cs="Book Antiqua"/>
          <w:sz w:val="24"/>
          <w:szCs w:val="24"/>
        </w:rPr>
      </w:pPr>
      <w:r w:rsidRPr="00572DEC">
        <w:rPr>
          <w:rFonts w:ascii="Book Antiqua" w:hAnsi="Book Antiqua" w:cs="Book Antiqua"/>
          <w:b/>
          <w:bCs/>
          <w:sz w:val="24"/>
          <w:szCs w:val="24"/>
          <w:lang w:val="pl-PL"/>
        </w:rPr>
        <w:t>Katarzyna Karpińska-Kaczmarczyk</w:t>
      </w:r>
      <w:r w:rsidRPr="00572DEC">
        <w:rPr>
          <w:rFonts w:ascii="Book Antiqua" w:hAnsi="Book Antiqua" w:cs="Book Antiqua"/>
          <w:b/>
          <w:bCs/>
          <w:sz w:val="24"/>
          <w:szCs w:val="24"/>
          <w:lang w:val="pl-PL" w:eastAsia="zh-CN"/>
        </w:rPr>
        <w:t xml:space="preserve">, </w:t>
      </w:r>
      <w:r w:rsidRPr="00572DEC">
        <w:rPr>
          <w:rFonts w:ascii="Book Antiqua" w:hAnsi="Book Antiqua" w:cs="Book Antiqua"/>
          <w:sz w:val="24"/>
          <w:szCs w:val="24"/>
        </w:rPr>
        <w:t>Department of Pathology</w:t>
      </w:r>
      <w:r w:rsidRPr="00572DEC">
        <w:rPr>
          <w:rFonts w:ascii="Book Antiqua" w:hAnsi="Book Antiqua" w:cs="Book Antiqua"/>
          <w:sz w:val="24"/>
          <w:szCs w:val="24"/>
          <w:lang w:eastAsia="zh-CN"/>
        </w:rPr>
        <w:t>,</w:t>
      </w:r>
      <w:r w:rsidRPr="00572DEC">
        <w:rPr>
          <w:rFonts w:ascii="Book Antiqua" w:hAnsi="Book Antiqua" w:cs="Book Antiqua"/>
          <w:sz w:val="24"/>
          <w:szCs w:val="24"/>
        </w:rPr>
        <w:t xml:space="preserve"> Pomeranian Medical University, Unii Lubelsk</w:t>
      </w:r>
      <w:r>
        <w:rPr>
          <w:rFonts w:ascii="Book Antiqua" w:hAnsi="Book Antiqua" w:cs="Book Antiqua"/>
          <w:sz w:val="24"/>
          <w:szCs w:val="24"/>
        </w:rPr>
        <w:t>iej 1, 71-252 Szczecin, Poland</w:t>
      </w:r>
    </w:p>
    <w:p w:rsidR="003E7779" w:rsidRPr="00572DEC" w:rsidRDefault="003E7779" w:rsidP="004517BA">
      <w:pPr>
        <w:pStyle w:val="a5"/>
        <w:spacing w:line="360" w:lineRule="auto"/>
        <w:rPr>
          <w:rFonts w:ascii="Book Antiqua" w:hAnsi="Book Antiqua" w:cs="Book Antiqua"/>
        </w:rPr>
      </w:pPr>
    </w:p>
    <w:p w:rsidR="003E7779" w:rsidRPr="00572DEC" w:rsidRDefault="003E7779" w:rsidP="004517BA">
      <w:pPr>
        <w:spacing w:line="360" w:lineRule="auto"/>
        <w:jc w:val="both"/>
        <w:rPr>
          <w:rFonts w:ascii="Book Antiqua" w:hAnsi="Book Antiqua" w:cs="Book Antiqua"/>
          <w:sz w:val="24"/>
          <w:szCs w:val="24"/>
        </w:rPr>
      </w:pPr>
      <w:r w:rsidRPr="00572DEC">
        <w:rPr>
          <w:rFonts w:ascii="Book Antiqua" w:hAnsi="Book Antiqua" w:cs="Book Antiqua"/>
          <w:b/>
          <w:bCs/>
          <w:sz w:val="24"/>
          <w:szCs w:val="24"/>
        </w:rPr>
        <w:t>Author contributions:</w:t>
      </w:r>
      <w:r w:rsidRPr="00572DEC">
        <w:rPr>
          <w:rFonts w:ascii="Book Antiqua" w:hAnsi="Book Antiqua" w:cs="Book Antiqua"/>
          <w:sz w:val="24"/>
          <w:szCs w:val="24"/>
        </w:rPr>
        <w:t xml:space="preserve"> Ławniczak</w:t>
      </w:r>
      <w:r w:rsidRPr="00572DEC">
        <w:rPr>
          <w:rFonts w:ascii="Book Antiqua" w:hAnsi="Book Antiqua" w:cs="Book Antiqua"/>
          <w:sz w:val="24"/>
          <w:szCs w:val="24"/>
          <w:lang w:eastAsia="zh-CN"/>
        </w:rPr>
        <w:t xml:space="preserve"> M</w:t>
      </w:r>
      <w:r w:rsidRPr="00572DEC">
        <w:rPr>
          <w:rFonts w:ascii="Book Antiqua" w:hAnsi="Book Antiqua" w:cs="Book Antiqua"/>
          <w:sz w:val="24"/>
          <w:szCs w:val="24"/>
        </w:rPr>
        <w:t xml:space="preserve">, Starzyńska </w:t>
      </w:r>
      <w:r w:rsidRPr="00572DEC">
        <w:rPr>
          <w:rFonts w:ascii="Book Antiqua" w:hAnsi="Book Antiqua" w:cs="Book Antiqua"/>
          <w:sz w:val="24"/>
          <w:szCs w:val="24"/>
          <w:lang w:eastAsia="zh-CN"/>
        </w:rPr>
        <w:t xml:space="preserve">T </w:t>
      </w:r>
      <w:r w:rsidRPr="00572DEC">
        <w:rPr>
          <w:rFonts w:ascii="Book Antiqua" w:hAnsi="Book Antiqua" w:cs="Book Antiqua"/>
          <w:sz w:val="24"/>
          <w:szCs w:val="24"/>
        </w:rPr>
        <w:t>designed the research, performed the research; Gawin</w:t>
      </w:r>
      <w:r w:rsidRPr="00572DEC">
        <w:rPr>
          <w:rFonts w:ascii="Book Antiqua" w:hAnsi="Book Antiqua" w:cs="Book Antiqua"/>
          <w:sz w:val="24"/>
          <w:szCs w:val="24"/>
          <w:lang w:eastAsia="zh-CN"/>
        </w:rPr>
        <w:t xml:space="preserve"> A</w:t>
      </w:r>
      <w:r w:rsidRPr="00572DEC">
        <w:rPr>
          <w:rFonts w:ascii="Book Antiqua" w:hAnsi="Book Antiqua" w:cs="Book Antiqua"/>
          <w:sz w:val="24"/>
          <w:szCs w:val="24"/>
        </w:rPr>
        <w:t>, Jaroszewicz-Heigelmann</w:t>
      </w:r>
      <w:r w:rsidRPr="00572DEC">
        <w:rPr>
          <w:rFonts w:ascii="Book Antiqua" w:hAnsi="Book Antiqua" w:cs="Book Antiqua"/>
          <w:sz w:val="24"/>
          <w:szCs w:val="24"/>
          <w:lang w:eastAsia="zh-CN"/>
        </w:rPr>
        <w:t xml:space="preserve"> H</w:t>
      </w:r>
      <w:r w:rsidRPr="00572DEC">
        <w:rPr>
          <w:rFonts w:ascii="Book Antiqua" w:hAnsi="Book Antiqua" w:cs="Book Antiqua"/>
          <w:sz w:val="24"/>
          <w:szCs w:val="24"/>
        </w:rPr>
        <w:t>, Rogoza-Mateja</w:t>
      </w:r>
      <w:r w:rsidRPr="00572DEC">
        <w:rPr>
          <w:rFonts w:ascii="Book Antiqua" w:hAnsi="Book Antiqua" w:cs="Book Antiqua"/>
          <w:sz w:val="24"/>
          <w:szCs w:val="24"/>
          <w:lang w:eastAsia="zh-CN"/>
        </w:rPr>
        <w:t xml:space="preserve"> W</w:t>
      </w:r>
      <w:r w:rsidRPr="00572DEC">
        <w:rPr>
          <w:rFonts w:ascii="Book Antiqua" w:hAnsi="Book Antiqua" w:cs="Book Antiqua"/>
          <w:sz w:val="24"/>
          <w:szCs w:val="24"/>
        </w:rPr>
        <w:t>, Wyszomirska</w:t>
      </w:r>
      <w:r w:rsidRPr="00572DEC">
        <w:rPr>
          <w:rFonts w:ascii="Book Antiqua" w:hAnsi="Book Antiqua" w:cs="Book Antiqua"/>
          <w:sz w:val="24"/>
          <w:szCs w:val="24"/>
          <w:lang w:eastAsia="zh-CN"/>
        </w:rPr>
        <w:t xml:space="preserve"> JR</w:t>
      </w:r>
      <w:r w:rsidRPr="00572DEC">
        <w:rPr>
          <w:rFonts w:ascii="Book Antiqua" w:hAnsi="Book Antiqua" w:cs="Book Antiqua"/>
          <w:sz w:val="24"/>
          <w:szCs w:val="24"/>
        </w:rPr>
        <w:t xml:space="preserve">, Białek </w:t>
      </w:r>
      <w:r w:rsidRPr="00572DEC">
        <w:rPr>
          <w:rFonts w:ascii="Book Antiqua" w:hAnsi="Book Antiqua" w:cs="Book Antiqua"/>
          <w:sz w:val="24"/>
          <w:szCs w:val="24"/>
          <w:lang w:eastAsia="zh-CN"/>
        </w:rPr>
        <w:t xml:space="preserve">A </w:t>
      </w:r>
      <w:r w:rsidRPr="00572DEC">
        <w:rPr>
          <w:rFonts w:ascii="Book Antiqua" w:hAnsi="Book Antiqua" w:cs="Book Antiqua"/>
          <w:sz w:val="24"/>
          <w:szCs w:val="24"/>
        </w:rPr>
        <w:t xml:space="preserve">performed the research; Karpińska-Kaczmarczyk </w:t>
      </w:r>
      <w:r w:rsidRPr="00572DEC">
        <w:rPr>
          <w:rFonts w:ascii="Book Antiqua" w:hAnsi="Book Antiqua" w:cs="Book Antiqua"/>
          <w:sz w:val="24"/>
          <w:szCs w:val="24"/>
          <w:lang w:eastAsia="zh-CN"/>
        </w:rPr>
        <w:t xml:space="preserve">K </w:t>
      </w:r>
      <w:r w:rsidRPr="00572DEC">
        <w:rPr>
          <w:rFonts w:ascii="Book Antiqua" w:hAnsi="Book Antiqua" w:cs="Book Antiqua"/>
          <w:sz w:val="24"/>
          <w:szCs w:val="24"/>
        </w:rPr>
        <w:t>performed the research, analyzed data, Małgorzata Ławniczak analyzed data and wrote the paper</w:t>
      </w:r>
      <w:r>
        <w:rPr>
          <w:rFonts w:ascii="Book Antiqua" w:hAnsi="Book Antiqua" w:cs="Book Antiqua"/>
          <w:sz w:val="24"/>
          <w:szCs w:val="24"/>
        </w:rPr>
        <w:t>.</w:t>
      </w:r>
    </w:p>
    <w:p w:rsidR="003E7779" w:rsidRPr="00572DEC" w:rsidRDefault="003E7779" w:rsidP="004517BA">
      <w:pPr>
        <w:spacing w:line="360" w:lineRule="auto"/>
        <w:jc w:val="both"/>
        <w:rPr>
          <w:rFonts w:ascii="Book Antiqua" w:hAnsi="Book Antiqua"/>
          <w:b/>
          <w:sz w:val="24"/>
          <w:szCs w:val="24"/>
        </w:rPr>
      </w:pPr>
    </w:p>
    <w:p w:rsidR="003E7779" w:rsidRPr="00572DEC" w:rsidRDefault="003E7779" w:rsidP="004517BA">
      <w:pPr>
        <w:spacing w:line="360" w:lineRule="auto"/>
        <w:jc w:val="both"/>
        <w:rPr>
          <w:rFonts w:ascii="Book Antiqua" w:hAnsi="Book Antiqua" w:cs="Book Antiqua"/>
          <w:sz w:val="24"/>
          <w:szCs w:val="24"/>
        </w:rPr>
      </w:pPr>
      <w:r w:rsidRPr="00572DEC">
        <w:rPr>
          <w:rFonts w:ascii="Book Antiqua" w:hAnsi="Book Antiqua" w:cs="Book Antiqua"/>
          <w:b/>
          <w:sz w:val="24"/>
          <w:szCs w:val="24"/>
        </w:rPr>
        <w:t>Supported by</w:t>
      </w:r>
      <w:r w:rsidRPr="00572DEC">
        <w:rPr>
          <w:rFonts w:ascii="Book Antiqua" w:hAnsi="Book Antiqua" w:cs="Book Antiqua"/>
          <w:sz w:val="24"/>
          <w:szCs w:val="24"/>
        </w:rPr>
        <w:t xml:space="preserve"> Pomeranian Medical University</w:t>
      </w:r>
      <w:r w:rsidRPr="00572DEC">
        <w:rPr>
          <w:rFonts w:ascii="Book Antiqua" w:hAnsi="Book Antiqua" w:cs="Book Antiqua"/>
          <w:sz w:val="24"/>
          <w:szCs w:val="24"/>
          <w:lang w:eastAsia="zh-CN"/>
        </w:rPr>
        <w:t xml:space="preserve">, No. </w:t>
      </w:r>
      <w:r w:rsidRPr="00572DEC">
        <w:rPr>
          <w:rFonts w:ascii="Book Antiqua" w:hAnsi="Book Antiqua" w:cs="Book Antiqua"/>
          <w:sz w:val="24"/>
          <w:szCs w:val="24"/>
        </w:rPr>
        <w:t>WL-107/01/S/12</w:t>
      </w:r>
    </w:p>
    <w:p w:rsidR="003E7779" w:rsidRPr="00572DEC" w:rsidRDefault="003E7779" w:rsidP="004517BA">
      <w:pPr>
        <w:spacing w:line="360" w:lineRule="auto"/>
        <w:jc w:val="both"/>
        <w:rPr>
          <w:rFonts w:ascii="Book Antiqua" w:hAnsi="Book Antiqua" w:cs="Book Antiqua"/>
          <w:b/>
          <w:bCs/>
          <w:sz w:val="24"/>
          <w:szCs w:val="24"/>
        </w:rPr>
      </w:pPr>
    </w:p>
    <w:p w:rsidR="003E7779" w:rsidRPr="00572DEC" w:rsidRDefault="003E7779" w:rsidP="004517BA">
      <w:pPr>
        <w:spacing w:line="360" w:lineRule="auto"/>
        <w:jc w:val="both"/>
        <w:rPr>
          <w:rFonts w:ascii="Book Antiqua" w:hAnsi="Book Antiqua" w:cs="Book Antiqua"/>
          <w:b/>
          <w:bCs/>
          <w:sz w:val="24"/>
          <w:szCs w:val="24"/>
        </w:rPr>
      </w:pPr>
    </w:p>
    <w:p w:rsidR="003E7779" w:rsidRPr="00572DEC" w:rsidRDefault="003E7779" w:rsidP="00000403">
      <w:pPr>
        <w:spacing w:line="360" w:lineRule="auto"/>
        <w:rPr>
          <w:rFonts w:ascii="Book Antiqua" w:hAnsi="Book Antiqua" w:cs="Book Antiqua"/>
          <w:sz w:val="24"/>
          <w:szCs w:val="24"/>
          <w:lang w:val="pl-PL" w:eastAsia="zh-CN"/>
        </w:rPr>
      </w:pPr>
      <w:bookmarkStart w:id="3" w:name="OLE_LINK185"/>
      <w:bookmarkStart w:id="4" w:name="OLE_LINK190"/>
      <w:bookmarkStart w:id="5" w:name="OLE_LINK32"/>
      <w:bookmarkStart w:id="6" w:name="OLE_LINK33"/>
      <w:r w:rsidRPr="00572DEC">
        <w:rPr>
          <w:rFonts w:ascii="Book Antiqua" w:hAnsi="Book Antiqua"/>
          <w:b/>
          <w:color w:val="000000"/>
          <w:sz w:val="24"/>
        </w:rPr>
        <w:t>Correspondence to:</w:t>
      </w:r>
      <w:bookmarkEnd w:id="3"/>
      <w:bookmarkEnd w:id="4"/>
      <w:bookmarkEnd w:id="5"/>
      <w:bookmarkEnd w:id="6"/>
      <w:r w:rsidRPr="00572DEC">
        <w:rPr>
          <w:rFonts w:ascii="Book Antiqua" w:hAnsi="Book Antiqua" w:cs="Book Antiqua"/>
          <w:sz w:val="24"/>
          <w:szCs w:val="24"/>
          <w:lang w:val="pl-PL"/>
        </w:rPr>
        <w:t xml:space="preserve"> </w:t>
      </w:r>
      <w:r w:rsidRPr="00572DEC">
        <w:rPr>
          <w:rFonts w:ascii="Book Antiqua" w:hAnsi="Book Antiqua" w:cs="Book Antiqua"/>
          <w:b/>
          <w:sz w:val="24"/>
          <w:szCs w:val="24"/>
          <w:lang w:val="pl-PL"/>
        </w:rPr>
        <w:t>Małgorzata Ławniczak, MD</w:t>
      </w:r>
      <w:r w:rsidRPr="00572DEC">
        <w:rPr>
          <w:rFonts w:ascii="Book Antiqua" w:hAnsi="Book Antiqua" w:cs="Book Antiqua"/>
          <w:b/>
          <w:sz w:val="24"/>
          <w:szCs w:val="24"/>
          <w:lang w:val="pl-PL" w:eastAsia="zh-CN"/>
        </w:rPr>
        <w:t>,</w:t>
      </w:r>
      <w:r w:rsidRPr="00572DEC">
        <w:rPr>
          <w:rFonts w:ascii="Book Antiqua" w:hAnsi="Book Antiqua" w:cs="Book Antiqua"/>
          <w:sz w:val="24"/>
          <w:szCs w:val="24"/>
          <w:lang w:val="pl-PL" w:eastAsia="zh-CN"/>
        </w:rPr>
        <w:t xml:space="preserve"> </w:t>
      </w:r>
      <w:r w:rsidRPr="00572DEC">
        <w:rPr>
          <w:rFonts w:ascii="Book Antiqua" w:hAnsi="Book Antiqua" w:cs="Book Antiqua"/>
          <w:sz w:val="24"/>
          <w:szCs w:val="24"/>
          <w:lang w:val="en-GB"/>
        </w:rPr>
        <w:t>Department of Gastroenterology</w:t>
      </w:r>
      <w:r w:rsidRPr="00572DEC">
        <w:rPr>
          <w:rFonts w:ascii="Book Antiqua" w:hAnsi="Book Antiqua" w:cs="Book Antiqua"/>
          <w:sz w:val="24"/>
          <w:szCs w:val="24"/>
          <w:lang w:val="en-GB" w:eastAsia="zh-CN"/>
        </w:rPr>
        <w:t xml:space="preserve">, </w:t>
      </w:r>
      <w:r w:rsidRPr="00572DEC">
        <w:rPr>
          <w:rFonts w:ascii="Book Antiqua" w:hAnsi="Book Antiqua" w:cs="Book Antiqua"/>
          <w:sz w:val="24"/>
          <w:szCs w:val="24"/>
          <w:lang w:val="en-GB"/>
        </w:rPr>
        <w:t xml:space="preserve">Pomeranian Medical </w:t>
      </w:r>
      <w:r w:rsidRPr="00572DEC">
        <w:rPr>
          <w:rFonts w:ascii="Book Antiqua" w:hAnsi="Book Antiqua" w:cs="Book Antiqua"/>
          <w:sz w:val="24"/>
          <w:szCs w:val="24"/>
        </w:rPr>
        <w:t>University</w:t>
      </w:r>
      <w:r w:rsidRPr="00572DEC">
        <w:rPr>
          <w:rFonts w:ascii="Book Antiqua" w:hAnsi="Book Antiqua" w:cs="Book Antiqua"/>
          <w:sz w:val="24"/>
          <w:szCs w:val="24"/>
          <w:lang w:eastAsia="zh-CN"/>
        </w:rPr>
        <w:t xml:space="preserve">, </w:t>
      </w:r>
      <w:r w:rsidRPr="00572DEC">
        <w:rPr>
          <w:rFonts w:ascii="Book Antiqua" w:hAnsi="Book Antiqua" w:cs="Book Antiqua"/>
          <w:sz w:val="24"/>
          <w:szCs w:val="24"/>
          <w:lang w:val="pl-PL"/>
        </w:rPr>
        <w:t>Unii Lubelskiej 1, 71-252 Szczecin, Poland</w:t>
      </w:r>
      <w:r w:rsidRPr="00572DEC">
        <w:rPr>
          <w:rFonts w:ascii="Book Antiqua" w:hAnsi="Book Antiqua" w:cs="Book Antiqua"/>
          <w:sz w:val="24"/>
          <w:szCs w:val="24"/>
          <w:lang w:val="pl-PL" w:eastAsia="zh-CN"/>
        </w:rPr>
        <w:t xml:space="preserve">. </w:t>
      </w:r>
      <w:r w:rsidRPr="00572DEC">
        <w:rPr>
          <w:rFonts w:ascii="Book Antiqua" w:hAnsi="Book Antiqua" w:cs="Book Antiqua"/>
          <w:sz w:val="24"/>
          <w:szCs w:val="24"/>
          <w:lang w:val="en-GB"/>
        </w:rPr>
        <w:t>gosa27@pum.edu.pl</w:t>
      </w:r>
    </w:p>
    <w:p w:rsidR="003E7779" w:rsidRPr="00572DEC" w:rsidRDefault="003E7779" w:rsidP="001840D4">
      <w:pPr>
        <w:spacing w:line="360" w:lineRule="auto"/>
        <w:rPr>
          <w:rFonts w:ascii="Book Antiqua" w:hAnsi="Book Antiqua"/>
          <w:b/>
          <w:color w:val="000000"/>
          <w:sz w:val="24"/>
        </w:rPr>
      </w:pPr>
      <w:r w:rsidRPr="00572DEC">
        <w:rPr>
          <w:rFonts w:ascii="Book Antiqua" w:hAnsi="Book Antiqua"/>
          <w:b/>
          <w:color w:val="000000"/>
          <w:sz w:val="24"/>
        </w:rPr>
        <w:t>Telephone:</w:t>
      </w:r>
      <w:r w:rsidRPr="00572DEC">
        <w:rPr>
          <w:rFonts w:ascii="Book Antiqua" w:hAnsi="Book Antiqua" w:cs="Book Antiqua"/>
          <w:sz w:val="24"/>
          <w:szCs w:val="24"/>
          <w:lang w:val="pl-PL"/>
        </w:rPr>
        <w:t xml:space="preserve"> +48</w:t>
      </w:r>
      <w:r w:rsidRPr="00572DEC">
        <w:rPr>
          <w:rFonts w:ascii="Book Antiqua" w:hAnsi="Book Antiqua" w:cs="Book Antiqua"/>
          <w:sz w:val="24"/>
          <w:szCs w:val="24"/>
          <w:lang w:val="pl-PL" w:eastAsia="zh-CN"/>
        </w:rPr>
        <w:t>-</w:t>
      </w:r>
      <w:r w:rsidRPr="00572DEC">
        <w:rPr>
          <w:rFonts w:ascii="Book Antiqua" w:hAnsi="Book Antiqua" w:cs="Book Antiqua"/>
          <w:sz w:val="24"/>
          <w:szCs w:val="24"/>
          <w:lang w:val="pl-PL"/>
        </w:rPr>
        <w:t>91</w:t>
      </w:r>
      <w:r w:rsidRPr="00572DEC">
        <w:rPr>
          <w:rFonts w:ascii="Book Antiqua" w:hAnsi="Book Antiqua" w:cs="Book Antiqua"/>
          <w:sz w:val="24"/>
          <w:szCs w:val="24"/>
          <w:lang w:val="pl-PL" w:eastAsia="zh-CN"/>
        </w:rPr>
        <w:t>-</w:t>
      </w:r>
      <w:r w:rsidRPr="00572DEC">
        <w:rPr>
          <w:rFonts w:ascii="Book Antiqua" w:hAnsi="Book Antiqua" w:cs="Book Antiqua"/>
          <w:sz w:val="24"/>
          <w:szCs w:val="24"/>
          <w:lang w:val="pl-PL"/>
        </w:rPr>
        <w:t>4253211</w:t>
      </w:r>
      <w:r w:rsidRPr="00572DEC">
        <w:rPr>
          <w:rFonts w:ascii="Book Antiqua" w:hAnsi="Book Antiqua"/>
          <w:color w:val="000000"/>
          <w:sz w:val="24"/>
        </w:rPr>
        <w:t xml:space="preserve">     </w:t>
      </w:r>
      <w:r w:rsidRPr="00572DEC">
        <w:rPr>
          <w:rFonts w:ascii="Book Antiqua" w:hAnsi="Book Antiqua"/>
          <w:b/>
          <w:color w:val="000000"/>
          <w:sz w:val="24"/>
        </w:rPr>
        <w:t>Fax:</w:t>
      </w:r>
      <w:r w:rsidRPr="00572DEC">
        <w:rPr>
          <w:rFonts w:ascii="Book Antiqua" w:hAnsi="Book Antiqua" w:cs="Book Antiqua"/>
          <w:sz w:val="24"/>
          <w:szCs w:val="24"/>
          <w:lang w:val="pl-PL"/>
        </w:rPr>
        <w:t xml:space="preserve"> +48</w:t>
      </w:r>
      <w:r w:rsidRPr="00572DEC">
        <w:rPr>
          <w:rFonts w:ascii="Book Antiqua" w:hAnsi="Book Antiqua" w:cs="Book Antiqua"/>
          <w:sz w:val="24"/>
          <w:szCs w:val="24"/>
          <w:lang w:val="pl-PL" w:eastAsia="zh-CN"/>
        </w:rPr>
        <w:t>-</w:t>
      </w:r>
      <w:r w:rsidRPr="00572DEC">
        <w:rPr>
          <w:rFonts w:ascii="Book Antiqua" w:hAnsi="Book Antiqua" w:cs="Book Antiqua"/>
          <w:sz w:val="24"/>
          <w:szCs w:val="24"/>
          <w:lang w:val="pl-PL"/>
        </w:rPr>
        <w:t>91</w:t>
      </w:r>
      <w:r w:rsidRPr="00572DEC">
        <w:rPr>
          <w:rFonts w:ascii="Book Antiqua" w:hAnsi="Book Antiqua" w:cs="Book Antiqua"/>
          <w:sz w:val="24"/>
          <w:szCs w:val="24"/>
          <w:lang w:val="pl-PL" w:eastAsia="zh-CN"/>
        </w:rPr>
        <w:t>-</w:t>
      </w:r>
      <w:r w:rsidRPr="00572DEC">
        <w:rPr>
          <w:rFonts w:ascii="Book Antiqua" w:hAnsi="Book Antiqua" w:cs="Book Antiqua"/>
          <w:sz w:val="24"/>
          <w:szCs w:val="24"/>
          <w:lang w:val="pl-PL"/>
        </w:rPr>
        <w:t>4253211</w:t>
      </w:r>
      <w:r w:rsidRPr="00572DEC">
        <w:rPr>
          <w:rFonts w:ascii="Book Antiqua" w:hAnsi="Book Antiqua"/>
          <w:color w:val="000000"/>
          <w:sz w:val="24"/>
        </w:rPr>
        <w:t xml:space="preserve"> </w:t>
      </w:r>
    </w:p>
    <w:p w:rsidR="003E7779" w:rsidRPr="00572DEC" w:rsidRDefault="003E7779" w:rsidP="001840D4">
      <w:pPr>
        <w:spacing w:line="360" w:lineRule="auto"/>
        <w:rPr>
          <w:rFonts w:ascii="Book Antiqua" w:hAnsi="Book Antiqua"/>
          <w:b/>
          <w:color w:val="000000"/>
          <w:sz w:val="24"/>
          <w:lang w:eastAsia="zh-CN"/>
        </w:rPr>
      </w:pPr>
    </w:p>
    <w:p w:rsidR="003E7779" w:rsidRPr="00572DEC" w:rsidRDefault="003E7779" w:rsidP="001840D4">
      <w:pPr>
        <w:spacing w:line="360" w:lineRule="auto"/>
        <w:rPr>
          <w:rFonts w:ascii="Book Antiqua" w:hAnsi="Book Antiqua"/>
          <w:b/>
          <w:color w:val="000000"/>
          <w:sz w:val="24"/>
          <w:lang w:eastAsia="zh-CN"/>
        </w:rPr>
      </w:pPr>
      <w:r w:rsidRPr="00572DEC">
        <w:rPr>
          <w:rFonts w:ascii="Book Antiqua" w:hAnsi="Book Antiqua"/>
          <w:b/>
          <w:color w:val="000000"/>
          <w:sz w:val="24"/>
        </w:rPr>
        <w:t xml:space="preserve">Received: </w:t>
      </w:r>
      <w:r w:rsidRPr="00421E83">
        <w:rPr>
          <w:rFonts w:ascii="Book Antiqua" w:hAnsi="Book Antiqua"/>
          <w:sz w:val="24"/>
          <w:szCs w:val="24"/>
        </w:rPr>
        <w:t>August</w:t>
      </w:r>
      <w:r>
        <w:rPr>
          <w:rFonts w:ascii="Book Antiqua" w:hAnsi="Book Antiqua"/>
          <w:sz w:val="24"/>
          <w:szCs w:val="24"/>
          <w:lang w:eastAsia="zh-CN"/>
        </w:rPr>
        <w:t xml:space="preserve"> 21, 2013     </w:t>
      </w:r>
      <w:r w:rsidRPr="00572DEC">
        <w:rPr>
          <w:rFonts w:ascii="Book Antiqua" w:hAnsi="Book Antiqua"/>
          <w:color w:val="000000"/>
          <w:sz w:val="24"/>
        </w:rPr>
        <w:t xml:space="preserve">  </w:t>
      </w:r>
      <w:r w:rsidRPr="00572DEC">
        <w:rPr>
          <w:rFonts w:ascii="Book Antiqua" w:hAnsi="Book Antiqua"/>
          <w:b/>
          <w:color w:val="000000"/>
          <w:sz w:val="24"/>
        </w:rPr>
        <w:t xml:space="preserve">Revised: </w:t>
      </w:r>
      <w:bookmarkStart w:id="7" w:name="OLE_LINK8"/>
      <w:bookmarkStart w:id="8" w:name="OLE_LINK9"/>
      <w:r w:rsidRPr="00421E83">
        <w:rPr>
          <w:rFonts w:ascii="Book Antiqua" w:hAnsi="Book Antiqua"/>
          <w:sz w:val="24"/>
          <w:szCs w:val="24"/>
        </w:rPr>
        <w:t>December</w:t>
      </w:r>
      <w:bookmarkEnd w:id="7"/>
      <w:bookmarkEnd w:id="8"/>
      <w:r>
        <w:rPr>
          <w:rFonts w:ascii="Book Antiqua" w:hAnsi="Book Antiqua"/>
          <w:sz w:val="24"/>
          <w:szCs w:val="24"/>
          <w:lang w:eastAsia="zh-CN"/>
        </w:rPr>
        <w:t xml:space="preserve"> 14, 2013</w:t>
      </w:r>
    </w:p>
    <w:p w:rsidR="00ED1372" w:rsidRPr="00647132" w:rsidRDefault="003E7779" w:rsidP="00ED1372">
      <w:pPr>
        <w:rPr>
          <w:rFonts w:ascii="Book Antiqua" w:hAnsi="Book Antiqua"/>
          <w:sz w:val="24"/>
          <w:szCs w:val="24"/>
        </w:rPr>
      </w:pPr>
      <w:r w:rsidRPr="00572DEC">
        <w:rPr>
          <w:rFonts w:ascii="Book Antiqua" w:hAnsi="Book Antiqua"/>
          <w:b/>
          <w:color w:val="000000"/>
          <w:sz w:val="24"/>
        </w:rPr>
        <w:t xml:space="preserve">Accepted: </w:t>
      </w:r>
      <w:r w:rsidR="00ED1372" w:rsidRPr="00647132">
        <w:rPr>
          <w:rFonts w:ascii="Book Antiqua" w:hAnsi="Book Antiqua"/>
          <w:sz w:val="24"/>
          <w:szCs w:val="24"/>
        </w:rPr>
        <w:t>January 8, 2014</w:t>
      </w:r>
    </w:p>
    <w:p w:rsidR="003E7779" w:rsidRPr="00572DEC" w:rsidRDefault="003E7779" w:rsidP="001840D4">
      <w:pPr>
        <w:spacing w:line="360" w:lineRule="auto"/>
        <w:rPr>
          <w:rFonts w:ascii="Book Antiqua" w:hAnsi="Book Antiqua"/>
          <w:b/>
          <w:color w:val="000000"/>
          <w:sz w:val="24"/>
        </w:rPr>
      </w:pPr>
    </w:p>
    <w:p w:rsidR="003E7779" w:rsidRPr="00572DEC" w:rsidRDefault="003E7779" w:rsidP="001840D4">
      <w:pPr>
        <w:spacing w:line="360" w:lineRule="auto"/>
        <w:rPr>
          <w:rFonts w:ascii="Book Antiqua" w:hAnsi="Book Antiqua"/>
          <w:color w:val="000000"/>
          <w:sz w:val="24"/>
        </w:rPr>
      </w:pPr>
      <w:r w:rsidRPr="00572DEC">
        <w:rPr>
          <w:rFonts w:ascii="Book Antiqua" w:hAnsi="Book Antiqua"/>
          <w:b/>
          <w:color w:val="000000"/>
          <w:sz w:val="24"/>
        </w:rPr>
        <w:t xml:space="preserve">Published online: </w:t>
      </w:r>
    </w:p>
    <w:p w:rsidR="003E7779" w:rsidRPr="00572DEC" w:rsidRDefault="003E7779" w:rsidP="004517BA">
      <w:pPr>
        <w:spacing w:line="360" w:lineRule="auto"/>
        <w:jc w:val="both"/>
        <w:rPr>
          <w:rFonts w:ascii="Book Antiqua" w:hAnsi="Book Antiqua" w:cs="Book Antiqua"/>
          <w:sz w:val="24"/>
          <w:szCs w:val="24"/>
        </w:rPr>
      </w:pPr>
    </w:p>
    <w:p w:rsidR="003E7779" w:rsidRPr="00572DEC" w:rsidRDefault="003E7779" w:rsidP="004517BA">
      <w:pPr>
        <w:spacing w:line="360" w:lineRule="auto"/>
        <w:jc w:val="both"/>
        <w:rPr>
          <w:rFonts w:ascii="Book Antiqua" w:hAnsi="Book Antiqua"/>
          <w:b/>
          <w:sz w:val="24"/>
          <w:szCs w:val="24"/>
        </w:rPr>
      </w:pPr>
      <w:r w:rsidRPr="00572DEC">
        <w:rPr>
          <w:rFonts w:ascii="Book Antiqua" w:hAnsi="Book Antiqua"/>
          <w:b/>
          <w:sz w:val="24"/>
          <w:szCs w:val="24"/>
        </w:rPr>
        <w:br w:type="page"/>
      </w:r>
      <w:r w:rsidRPr="00572DEC">
        <w:rPr>
          <w:rFonts w:ascii="Book Antiqua" w:hAnsi="Book Antiqua"/>
          <w:b/>
          <w:sz w:val="24"/>
          <w:szCs w:val="24"/>
        </w:rPr>
        <w:lastRenderedPageBreak/>
        <w:t>Abstract</w:t>
      </w:r>
    </w:p>
    <w:p w:rsidR="003E7779" w:rsidRPr="00572DEC" w:rsidRDefault="003E7779" w:rsidP="004517BA">
      <w:pPr>
        <w:spacing w:line="360" w:lineRule="auto"/>
        <w:jc w:val="both"/>
        <w:rPr>
          <w:rFonts w:ascii="Book Antiqua" w:hAnsi="Book Antiqua"/>
          <w:sz w:val="24"/>
          <w:szCs w:val="24"/>
          <w:lang w:eastAsia="zh-CN"/>
        </w:rPr>
      </w:pPr>
      <w:r w:rsidRPr="00572DEC">
        <w:rPr>
          <w:rFonts w:ascii="Book Antiqua" w:hAnsi="Book Antiqua" w:cs="Book Antiqua"/>
          <w:b/>
          <w:bCs/>
          <w:sz w:val="24"/>
          <w:szCs w:val="24"/>
        </w:rPr>
        <w:t>AIM</w:t>
      </w:r>
      <w:r w:rsidRPr="00572DEC">
        <w:rPr>
          <w:rFonts w:ascii="Book Antiqua" w:hAnsi="Book Antiqua"/>
          <w:b/>
          <w:sz w:val="24"/>
          <w:szCs w:val="24"/>
        </w:rPr>
        <w:t xml:space="preserve">: </w:t>
      </w:r>
      <w:r w:rsidRPr="00572DEC">
        <w:rPr>
          <w:rFonts w:ascii="Book Antiqua" w:hAnsi="Book Antiqua"/>
          <w:sz w:val="24"/>
          <w:szCs w:val="24"/>
        </w:rPr>
        <w:t xml:space="preserve">To determine the prevalence and characteristics of additional primary malignancies in gastric cancer (GC) patients. </w:t>
      </w:r>
    </w:p>
    <w:p w:rsidR="003E7779" w:rsidRPr="00572DEC" w:rsidRDefault="003E7779" w:rsidP="004517BA">
      <w:pPr>
        <w:spacing w:line="360" w:lineRule="auto"/>
        <w:jc w:val="both"/>
        <w:rPr>
          <w:rFonts w:ascii="Book Antiqua" w:hAnsi="Book Antiqua"/>
          <w:strike/>
          <w:sz w:val="24"/>
          <w:szCs w:val="24"/>
          <w:lang w:eastAsia="zh-CN"/>
        </w:rPr>
      </w:pPr>
    </w:p>
    <w:p w:rsidR="003E7779" w:rsidRPr="00572DEC" w:rsidRDefault="003E7779" w:rsidP="004517BA">
      <w:pPr>
        <w:spacing w:line="360" w:lineRule="auto"/>
        <w:jc w:val="both"/>
        <w:rPr>
          <w:rFonts w:ascii="Book Antiqua" w:hAnsi="Book Antiqua"/>
          <w:sz w:val="24"/>
          <w:szCs w:val="24"/>
          <w:lang w:eastAsia="zh-CN"/>
        </w:rPr>
      </w:pPr>
      <w:r w:rsidRPr="00572DEC">
        <w:rPr>
          <w:rFonts w:ascii="Book Antiqua" w:hAnsi="Book Antiqua" w:cs="Book Antiqua"/>
          <w:b/>
          <w:bCs/>
          <w:sz w:val="24"/>
          <w:szCs w:val="24"/>
        </w:rPr>
        <w:t xml:space="preserve">METHODS: </w:t>
      </w:r>
      <w:r w:rsidRPr="00572DEC">
        <w:rPr>
          <w:rFonts w:ascii="Book Antiqua" w:hAnsi="Book Antiqua"/>
          <w:sz w:val="24"/>
          <w:szCs w:val="24"/>
        </w:rPr>
        <w:t xml:space="preserve">GC patients (862 total; 570 men, 292 women; </w:t>
      </w:r>
      <w:r w:rsidRPr="00572DEC">
        <w:rPr>
          <w:rFonts w:ascii="Book Antiqua" w:hAnsi="Book Antiqua" w:cs="Book Antiqua"/>
          <w:sz w:val="24"/>
          <w:szCs w:val="24"/>
        </w:rPr>
        <w:t>mean</w:t>
      </w:r>
      <w:r w:rsidRPr="00572DEC">
        <w:rPr>
          <w:rFonts w:ascii="Book Antiqua" w:hAnsi="Book Antiqua"/>
          <w:sz w:val="24"/>
          <w:szCs w:val="24"/>
        </w:rPr>
        <w:t xml:space="preserve"> age 59.</w:t>
      </w:r>
      <w:r w:rsidRPr="00572DEC">
        <w:rPr>
          <w:rFonts w:ascii="Book Antiqua" w:hAnsi="Book Antiqua" w:cs="Book Antiqua"/>
          <w:sz w:val="24"/>
          <w:szCs w:val="24"/>
        </w:rPr>
        <w:t>8 ± 12.8</w:t>
      </w:r>
      <w:r w:rsidRPr="00572DEC">
        <w:rPr>
          <w:rFonts w:ascii="Book Antiqua" w:hAnsi="Book Antiqua"/>
          <w:sz w:val="24"/>
          <w:szCs w:val="24"/>
        </w:rPr>
        <w:t xml:space="preserve"> y</w:t>
      </w:r>
      <w:r>
        <w:rPr>
          <w:rFonts w:ascii="Book Antiqua" w:hAnsi="Book Antiqua"/>
          <w:sz w:val="24"/>
          <w:szCs w:val="24"/>
          <w:lang w:eastAsia="zh-CN"/>
        </w:rPr>
        <w:t>ears</w:t>
      </w:r>
      <w:r w:rsidRPr="00572DEC">
        <w:rPr>
          <w:rFonts w:ascii="Book Antiqua" w:hAnsi="Book Antiqua"/>
          <w:sz w:val="24"/>
          <w:szCs w:val="24"/>
        </w:rPr>
        <w:t>) diagnosed at the Department of Gastroenterology at Pomeranian Medical University over a period of 23 y</w:t>
      </w:r>
      <w:r>
        <w:rPr>
          <w:rFonts w:ascii="Book Antiqua" w:hAnsi="Book Antiqua"/>
          <w:sz w:val="24"/>
          <w:szCs w:val="24"/>
          <w:lang w:eastAsia="zh-CN"/>
        </w:rPr>
        <w:t>ears</w:t>
      </w:r>
      <w:r w:rsidRPr="00572DEC">
        <w:rPr>
          <w:rFonts w:ascii="Book Antiqua" w:hAnsi="Book Antiqua"/>
          <w:sz w:val="24"/>
          <w:szCs w:val="24"/>
        </w:rPr>
        <w:t xml:space="preserve"> were included in this retrospective analysis of a prospectively maintained database. Mean follow-up time was 31.</w:t>
      </w:r>
      <w:r w:rsidRPr="00572DEC">
        <w:rPr>
          <w:rFonts w:ascii="Book Antiqua" w:hAnsi="Book Antiqua" w:cs="Book Antiqua"/>
          <w:sz w:val="24"/>
          <w:szCs w:val="24"/>
        </w:rPr>
        <w:t>3 ± 38.6</w:t>
      </w:r>
      <w:r w:rsidRPr="00572DEC">
        <w:rPr>
          <w:rFonts w:ascii="Book Antiqua" w:hAnsi="Book Antiqua"/>
          <w:sz w:val="24"/>
          <w:szCs w:val="24"/>
        </w:rPr>
        <w:t xml:space="preserve"> mo (range 1–</w:t>
      </w:r>
      <w:r w:rsidRPr="00572DEC">
        <w:rPr>
          <w:rFonts w:ascii="Book Antiqua" w:hAnsi="Book Antiqua" w:cs="Book Antiqua"/>
          <w:sz w:val="24"/>
          <w:szCs w:val="24"/>
        </w:rPr>
        <w:t>241</w:t>
      </w:r>
      <w:r w:rsidRPr="00572DEC">
        <w:rPr>
          <w:rFonts w:ascii="Book Antiqua" w:hAnsi="Book Antiqua"/>
          <w:sz w:val="24"/>
          <w:szCs w:val="24"/>
        </w:rPr>
        <w:t xml:space="preserve"> mo). The following clinicopathological features of patients with synchronous tumors were compared to those with metachronous tumors: age, sex, symptom duration, family history of cancer, tumor site, stage (early </w:t>
      </w:r>
      <w:r w:rsidRPr="00572DEC">
        <w:rPr>
          <w:rFonts w:ascii="Book Antiqua" w:hAnsi="Book Antiqua"/>
          <w:i/>
          <w:sz w:val="24"/>
          <w:szCs w:val="24"/>
        </w:rPr>
        <w:t>vs</w:t>
      </w:r>
      <w:r w:rsidRPr="00572DEC">
        <w:rPr>
          <w:rFonts w:ascii="Book Antiqua" w:hAnsi="Book Antiqua"/>
          <w:sz w:val="24"/>
          <w:szCs w:val="24"/>
        </w:rPr>
        <w:t xml:space="preserve"> advanced),</w:t>
      </w:r>
      <w:r w:rsidRPr="00572DEC">
        <w:rPr>
          <w:rFonts w:ascii="Book Antiqua" w:hAnsi="Book Antiqua" w:cs="Book Antiqua"/>
          <w:sz w:val="24"/>
          <w:szCs w:val="24"/>
        </w:rPr>
        <w:t xml:space="preserve"> </w:t>
      </w:r>
      <w:r w:rsidRPr="00572DEC">
        <w:rPr>
          <w:rFonts w:ascii="Book Antiqua" w:hAnsi="Book Antiqua"/>
          <w:sz w:val="24"/>
          <w:szCs w:val="24"/>
        </w:rPr>
        <w:t>histology, and blood group. GC patients with and without a second tumor were compared in terms of the same clinicopathological features.</w:t>
      </w:r>
    </w:p>
    <w:p w:rsidR="003E7779" w:rsidRPr="00572DEC" w:rsidRDefault="003E7779" w:rsidP="004517BA">
      <w:pPr>
        <w:spacing w:line="360" w:lineRule="auto"/>
        <w:jc w:val="both"/>
        <w:rPr>
          <w:rFonts w:ascii="Book Antiqua" w:hAnsi="Book Antiqua"/>
          <w:sz w:val="24"/>
          <w:szCs w:val="24"/>
          <w:lang w:eastAsia="zh-CN"/>
        </w:rPr>
      </w:pPr>
    </w:p>
    <w:p w:rsidR="003E7779" w:rsidRPr="00572DEC" w:rsidRDefault="003E7779" w:rsidP="004517BA">
      <w:pPr>
        <w:spacing w:line="360" w:lineRule="auto"/>
        <w:jc w:val="both"/>
        <w:rPr>
          <w:rFonts w:ascii="Book Antiqua" w:hAnsi="Book Antiqua"/>
          <w:sz w:val="24"/>
          <w:szCs w:val="24"/>
          <w:lang w:eastAsia="zh-CN"/>
        </w:rPr>
      </w:pPr>
      <w:r w:rsidRPr="00572DEC">
        <w:rPr>
          <w:rFonts w:ascii="Book Antiqua" w:hAnsi="Book Antiqua" w:cs="Book Antiqua"/>
          <w:b/>
          <w:bCs/>
          <w:sz w:val="24"/>
          <w:szCs w:val="24"/>
        </w:rPr>
        <w:t>RESULTS</w:t>
      </w:r>
      <w:r w:rsidRPr="00572DEC">
        <w:rPr>
          <w:rFonts w:ascii="Book Antiqua" w:hAnsi="Book Antiqua"/>
          <w:sz w:val="24"/>
          <w:szCs w:val="24"/>
        </w:rPr>
        <w:t>: Of 862 GC patients, 58 (6.7%) developed a total of 62 multiple primary tumors, of which 39 (63%) were metachronous and 23 (37%) synchronous. Four (6.9%) of the 58 multiple GC patients developed two or more neoplasms. The predominant tumor type of the secondary neoplasms was colorectal (</w:t>
      </w:r>
      <w:r w:rsidRPr="00572DEC">
        <w:rPr>
          <w:rFonts w:ascii="Book Antiqua" w:hAnsi="Book Antiqua"/>
          <w:i/>
          <w:sz w:val="24"/>
          <w:szCs w:val="24"/>
        </w:rPr>
        <w:t xml:space="preserve">n </w:t>
      </w:r>
      <w:r w:rsidRPr="00572DEC">
        <w:rPr>
          <w:rFonts w:ascii="Book Antiqua" w:hAnsi="Book Antiqua"/>
          <w:sz w:val="24"/>
          <w:szCs w:val="24"/>
        </w:rPr>
        <w:t>= 17), followed by lung (</w:t>
      </w:r>
      <w:r w:rsidRPr="00572DEC">
        <w:rPr>
          <w:rFonts w:ascii="Book Antiqua" w:hAnsi="Book Antiqua"/>
          <w:i/>
          <w:sz w:val="24"/>
          <w:szCs w:val="24"/>
        </w:rPr>
        <w:t xml:space="preserve">n </w:t>
      </w:r>
      <w:r w:rsidRPr="00572DEC">
        <w:rPr>
          <w:rFonts w:ascii="Book Antiqua" w:hAnsi="Book Antiqua"/>
          <w:sz w:val="24"/>
          <w:szCs w:val="24"/>
        </w:rPr>
        <w:t>= 9), breast (</w:t>
      </w:r>
      <w:r w:rsidRPr="00572DEC">
        <w:rPr>
          <w:rFonts w:ascii="Book Antiqua" w:hAnsi="Book Antiqua"/>
          <w:i/>
          <w:sz w:val="24"/>
          <w:szCs w:val="24"/>
        </w:rPr>
        <w:t xml:space="preserve">n </w:t>
      </w:r>
      <w:r w:rsidRPr="00572DEC">
        <w:rPr>
          <w:rFonts w:ascii="Book Antiqua" w:hAnsi="Book Antiqua"/>
          <w:sz w:val="24"/>
          <w:szCs w:val="24"/>
        </w:rPr>
        <w:t>= 8), and prostate (</w:t>
      </w:r>
      <w:r w:rsidRPr="00572DEC">
        <w:rPr>
          <w:rFonts w:ascii="Book Antiqua" w:hAnsi="Book Antiqua"/>
          <w:i/>
          <w:sz w:val="24"/>
          <w:szCs w:val="24"/>
        </w:rPr>
        <w:t xml:space="preserve">n </w:t>
      </w:r>
      <w:r w:rsidRPr="00572DEC">
        <w:rPr>
          <w:rFonts w:ascii="Book Antiqua" w:hAnsi="Book Antiqua"/>
          <w:sz w:val="24"/>
          <w:szCs w:val="24"/>
        </w:rPr>
        <w:t xml:space="preserve">= 7). Age was the only clinicopathological feature that differed between GC patients with synchronous </w:t>
      </w:r>
      <w:r w:rsidRPr="00572DEC">
        <w:rPr>
          <w:rFonts w:ascii="Book Antiqua" w:hAnsi="Book Antiqua"/>
          <w:i/>
          <w:sz w:val="24"/>
          <w:szCs w:val="24"/>
        </w:rPr>
        <w:t>vs</w:t>
      </w:r>
      <w:r w:rsidRPr="00572DEC">
        <w:rPr>
          <w:rFonts w:ascii="Book Antiqua" w:hAnsi="Book Antiqua"/>
          <w:sz w:val="24"/>
          <w:szCs w:val="24"/>
        </w:rPr>
        <w:t xml:space="preserve"> metachronous malignancies; GC patients with synchronous neoplasms were older than those with metachronous neoplasms (68.0 ± 10.3 y</w:t>
      </w:r>
      <w:r>
        <w:rPr>
          <w:rFonts w:ascii="Book Antiqua" w:hAnsi="Book Antiqua"/>
          <w:sz w:val="24"/>
          <w:szCs w:val="24"/>
          <w:lang w:eastAsia="zh-CN"/>
        </w:rPr>
        <w:t>ears</w:t>
      </w:r>
      <w:r w:rsidRPr="00572DEC">
        <w:rPr>
          <w:rFonts w:ascii="Book Antiqua" w:hAnsi="Book Antiqua"/>
          <w:i/>
          <w:sz w:val="24"/>
          <w:szCs w:val="24"/>
        </w:rPr>
        <w:t xml:space="preserve"> vs</w:t>
      </w:r>
      <w:r w:rsidRPr="00572DEC">
        <w:rPr>
          <w:rFonts w:ascii="Book Antiqua" w:hAnsi="Book Antiqua"/>
          <w:sz w:val="24"/>
          <w:szCs w:val="24"/>
        </w:rPr>
        <w:t xml:space="preserve"> 59.9 ± 11.1 y</w:t>
      </w:r>
      <w:r>
        <w:rPr>
          <w:rFonts w:ascii="Book Antiqua" w:hAnsi="Book Antiqua"/>
          <w:sz w:val="24"/>
          <w:szCs w:val="24"/>
          <w:lang w:eastAsia="zh-CN"/>
        </w:rPr>
        <w:t>ears</w:t>
      </w:r>
      <w:r w:rsidRPr="00572DEC">
        <w:rPr>
          <w:rFonts w:ascii="Book Antiqua" w:hAnsi="Book Antiqua"/>
          <w:sz w:val="24"/>
          <w:szCs w:val="24"/>
        </w:rPr>
        <w:t>, respectively</w:t>
      </w:r>
      <w:r>
        <w:rPr>
          <w:rFonts w:ascii="Book Antiqua" w:hAnsi="Book Antiqua"/>
          <w:sz w:val="24"/>
          <w:szCs w:val="24"/>
        </w:rPr>
        <w:t>,</w:t>
      </w:r>
      <w:r w:rsidRPr="00572DEC">
        <w:rPr>
          <w:rFonts w:ascii="Book Antiqua" w:hAnsi="Book Antiqua"/>
          <w:sz w:val="24"/>
          <w:szCs w:val="24"/>
        </w:rPr>
        <w:t xml:space="preserve"> </w:t>
      </w:r>
      <w:r w:rsidRPr="00572DEC">
        <w:rPr>
          <w:rFonts w:ascii="Book Antiqua" w:hAnsi="Book Antiqua"/>
          <w:i/>
          <w:sz w:val="24"/>
          <w:szCs w:val="24"/>
        </w:rPr>
        <w:t xml:space="preserve">P </w:t>
      </w:r>
      <w:r w:rsidRPr="00572DEC">
        <w:rPr>
          <w:rFonts w:ascii="Book Antiqua" w:hAnsi="Book Antiqua"/>
          <w:sz w:val="24"/>
          <w:szCs w:val="24"/>
        </w:rPr>
        <w:t xml:space="preserve">= 0.008). Comparisons between patients with and without a second primary cancer revealed that the only statistically significant </w:t>
      </w:r>
      <w:r w:rsidRPr="00572DEC">
        <w:rPr>
          <w:rFonts w:ascii="Book Antiqua" w:hAnsi="Book Antiqua" w:cs="Book Antiqua"/>
          <w:sz w:val="24"/>
          <w:szCs w:val="24"/>
        </w:rPr>
        <w:t xml:space="preserve">differences were </w:t>
      </w:r>
      <w:r w:rsidRPr="00572DEC">
        <w:rPr>
          <w:rFonts w:ascii="Book Antiqua" w:hAnsi="Book Antiqua"/>
          <w:sz w:val="24"/>
          <w:szCs w:val="24"/>
        </w:rPr>
        <w:t xml:space="preserve">in </w:t>
      </w:r>
      <w:r w:rsidRPr="00572DEC">
        <w:rPr>
          <w:rFonts w:ascii="Book Antiqua" w:hAnsi="Book Antiqua" w:cs="Book Antiqua"/>
          <w:sz w:val="24"/>
          <w:szCs w:val="24"/>
        </w:rPr>
        <w:t xml:space="preserve">age and </w:t>
      </w:r>
      <w:r w:rsidRPr="00572DEC">
        <w:rPr>
          <w:rFonts w:ascii="Book Antiqua" w:hAnsi="Book Antiqua"/>
          <w:sz w:val="24"/>
          <w:szCs w:val="24"/>
        </w:rPr>
        <w:t>blood group</w:t>
      </w:r>
      <w:r w:rsidRPr="00572DEC">
        <w:rPr>
          <w:rFonts w:ascii="Book Antiqua" w:hAnsi="Book Antiqua" w:cs="Book Antiqua"/>
          <w:sz w:val="24"/>
          <w:szCs w:val="24"/>
        </w:rPr>
        <w:t xml:space="preserve">. The mean age of the patients with multiple GC was higher than that of those without a second primary tumor (63.4 ± 11.4 </w:t>
      </w:r>
      <w:r w:rsidRPr="00572DEC">
        <w:rPr>
          <w:rFonts w:ascii="Book Antiqua" w:hAnsi="Book Antiqua"/>
          <w:sz w:val="24"/>
          <w:szCs w:val="24"/>
        </w:rPr>
        <w:t>y</w:t>
      </w:r>
      <w:r>
        <w:rPr>
          <w:rFonts w:ascii="Book Antiqua" w:hAnsi="Book Antiqua"/>
          <w:sz w:val="24"/>
          <w:szCs w:val="24"/>
          <w:lang w:eastAsia="zh-CN"/>
        </w:rPr>
        <w:t>ears</w:t>
      </w:r>
      <w:r w:rsidRPr="00572DEC">
        <w:rPr>
          <w:rFonts w:ascii="Book Antiqua" w:hAnsi="Book Antiqua" w:cs="Book Antiqua"/>
          <w:i/>
          <w:sz w:val="24"/>
          <w:szCs w:val="24"/>
        </w:rPr>
        <w:t xml:space="preserve"> vs</w:t>
      </w:r>
      <w:r w:rsidRPr="00572DEC">
        <w:rPr>
          <w:rFonts w:ascii="Book Antiqua" w:hAnsi="Book Antiqua" w:cs="Book Antiqua"/>
          <w:sz w:val="24"/>
          <w:szCs w:val="24"/>
        </w:rPr>
        <w:t xml:space="preserve"> 59.5 ± 13.</w:t>
      </w:r>
      <w:r w:rsidRPr="00572DEC">
        <w:rPr>
          <w:rFonts w:ascii="Book Antiqua" w:hAnsi="Book Antiqua"/>
          <w:sz w:val="24"/>
          <w:szCs w:val="24"/>
        </w:rPr>
        <w:t>0</w:t>
      </w:r>
      <w:r w:rsidRPr="00572DEC">
        <w:rPr>
          <w:rFonts w:ascii="Book Antiqua" w:hAnsi="Book Antiqua" w:cs="Book Antiqua"/>
          <w:sz w:val="24"/>
          <w:szCs w:val="24"/>
        </w:rPr>
        <w:t xml:space="preserve"> </w:t>
      </w:r>
      <w:r w:rsidRPr="00572DEC">
        <w:rPr>
          <w:rFonts w:ascii="Book Antiqua" w:hAnsi="Book Antiqua"/>
          <w:sz w:val="24"/>
          <w:szCs w:val="24"/>
        </w:rPr>
        <w:t>y</w:t>
      </w:r>
      <w:r>
        <w:rPr>
          <w:rFonts w:ascii="Book Antiqua" w:hAnsi="Book Antiqua"/>
          <w:sz w:val="24"/>
          <w:szCs w:val="24"/>
          <w:lang w:eastAsia="zh-CN"/>
        </w:rPr>
        <w:t>ears</w:t>
      </w:r>
      <w:r w:rsidRPr="00572DEC">
        <w:rPr>
          <w:rFonts w:ascii="Book Antiqua" w:hAnsi="Book Antiqua" w:cs="Book Antiqua"/>
          <w:sz w:val="24"/>
          <w:szCs w:val="24"/>
        </w:rPr>
        <w:t>, respectively</w:t>
      </w:r>
      <w:r>
        <w:rPr>
          <w:rFonts w:ascii="Book Antiqua" w:hAnsi="Book Antiqua" w:cs="Book Antiqua"/>
          <w:sz w:val="24"/>
          <w:szCs w:val="24"/>
        </w:rPr>
        <w:t>,</w:t>
      </w:r>
      <w:r w:rsidRPr="00572DEC">
        <w:rPr>
          <w:rFonts w:ascii="Book Antiqua" w:hAnsi="Book Antiqua" w:cs="Book Antiqua"/>
          <w:sz w:val="24"/>
          <w:szCs w:val="24"/>
        </w:rPr>
        <w:t xml:space="preserve"> </w:t>
      </w:r>
      <w:r w:rsidRPr="00572DEC">
        <w:rPr>
          <w:rFonts w:ascii="Book Antiqua" w:hAnsi="Book Antiqua" w:cs="Book Antiqua"/>
          <w:i/>
          <w:sz w:val="24"/>
          <w:szCs w:val="24"/>
        </w:rPr>
        <w:t>P</w:t>
      </w:r>
      <w:r w:rsidRPr="00572DEC">
        <w:rPr>
          <w:rFonts w:ascii="Book Antiqua" w:hAnsi="Book Antiqua" w:cs="Book Antiqua"/>
          <w:sz w:val="24"/>
          <w:szCs w:val="24"/>
        </w:rPr>
        <w:t xml:space="preserve"> = 0.026).</w:t>
      </w:r>
      <w:r w:rsidRPr="00572DEC">
        <w:rPr>
          <w:rFonts w:ascii="Book Antiqua" w:hAnsi="Book Antiqua"/>
          <w:sz w:val="24"/>
          <w:szCs w:val="24"/>
        </w:rPr>
        <w:t xml:space="preserve"> GC patients with a second primary tumor were more commonly </w:t>
      </w:r>
      <w:r w:rsidRPr="00572DEC">
        <w:rPr>
          <w:rFonts w:ascii="Book Antiqua" w:hAnsi="Book Antiqua" w:cs="Book Antiqua"/>
          <w:sz w:val="24"/>
          <w:szCs w:val="24"/>
        </w:rPr>
        <w:t xml:space="preserve">blood </w:t>
      </w:r>
      <w:r w:rsidRPr="00572DEC">
        <w:rPr>
          <w:rFonts w:ascii="Book Antiqua" w:hAnsi="Book Antiqua"/>
          <w:sz w:val="24"/>
          <w:szCs w:val="24"/>
        </w:rPr>
        <w:t>group O than those without (56.</w:t>
      </w:r>
      <w:r w:rsidRPr="00572DEC">
        <w:rPr>
          <w:rFonts w:ascii="Book Antiqua" w:hAnsi="Book Antiqua" w:cs="Book Antiqua"/>
          <w:sz w:val="24"/>
          <w:szCs w:val="24"/>
        </w:rPr>
        <w:t>2</w:t>
      </w:r>
      <w:r w:rsidRPr="00572DEC">
        <w:rPr>
          <w:rFonts w:ascii="Book Antiqua" w:hAnsi="Book Antiqua"/>
          <w:sz w:val="24"/>
          <w:szCs w:val="24"/>
        </w:rPr>
        <w:t xml:space="preserve">% </w:t>
      </w:r>
      <w:r w:rsidRPr="00572DEC">
        <w:rPr>
          <w:rFonts w:ascii="Book Antiqua" w:hAnsi="Book Antiqua"/>
          <w:i/>
          <w:sz w:val="24"/>
          <w:szCs w:val="24"/>
        </w:rPr>
        <w:t>vs</w:t>
      </w:r>
      <w:r w:rsidRPr="00572DEC">
        <w:rPr>
          <w:rFonts w:ascii="Book Antiqua" w:hAnsi="Book Antiqua"/>
          <w:sz w:val="24"/>
          <w:szCs w:val="24"/>
        </w:rPr>
        <w:t xml:space="preserve"> 31.6%, respectively</w:t>
      </w:r>
      <w:r>
        <w:rPr>
          <w:rFonts w:ascii="Book Antiqua" w:hAnsi="Book Antiqua"/>
          <w:sz w:val="24"/>
          <w:szCs w:val="24"/>
        </w:rPr>
        <w:t>,</w:t>
      </w:r>
      <w:r w:rsidRPr="00572DEC">
        <w:rPr>
          <w:rFonts w:ascii="Book Antiqua" w:hAnsi="Book Antiqua"/>
          <w:sz w:val="24"/>
          <w:szCs w:val="24"/>
        </w:rPr>
        <w:t xml:space="preserve"> </w:t>
      </w:r>
      <w:r w:rsidRPr="00572DEC">
        <w:rPr>
          <w:rFonts w:ascii="Book Antiqua" w:hAnsi="Book Antiqua"/>
          <w:i/>
          <w:sz w:val="24"/>
          <w:szCs w:val="24"/>
        </w:rPr>
        <w:t xml:space="preserve">P </w:t>
      </w:r>
      <w:r w:rsidRPr="00572DEC">
        <w:rPr>
          <w:rFonts w:ascii="Book Antiqua" w:hAnsi="Book Antiqua"/>
          <w:sz w:val="24"/>
          <w:szCs w:val="24"/>
        </w:rPr>
        <w:t>= 0.</w:t>
      </w:r>
      <w:r w:rsidRPr="00572DEC">
        <w:rPr>
          <w:rFonts w:ascii="Book Antiqua" w:hAnsi="Book Antiqua" w:cs="Book Antiqua"/>
          <w:sz w:val="24"/>
          <w:szCs w:val="24"/>
        </w:rPr>
        <w:t>002).</w:t>
      </w:r>
      <w:r w:rsidRPr="00572DEC">
        <w:rPr>
          <w:rFonts w:ascii="Book Antiqua" w:hAnsi="Book Antiqua"/>
          <w:sz w:val="24"/>
          <w:szCs w:val="24"/>
        </w:rPr>
        <w:t xml:space="preserve"> </w:t>
      </w:r>
    </w:p>
    <w:p w:rsidR="003E7779" w:rsidRPr="00572DEC" w:rsidRDefault="003E7779" w:rsidP="004517BA">
      <w:pPr>
        <w:spacing w:line="360" w:lineRule="auto"/>
        <w:jc w:val="both"/>
        <w:rPr>
          <w:rFonts w:ascii="Book Antiqua" w:hAnsi="Book Antiqua"/>
          <w:b/>
          <w:sz w:val="24"/>
          <w:szCs w:val="24"/>
          <w:lang w:eastAsia="zh-CN"/>
        </w:rPr>
      </w:pPr>
    </w:p>
    <w:p w:rsidR="003E7779" w:rsidRPr="00572DEC" w:rsidRDefault="003E7779" w:rsidP="00D408D2">
      <w:pPr>
        <w:spacing w:line="360" w:lineRule="auto"/>
        <w:jc w:val="both"/>
        <w:rPr>
          <w:rFonts w:ascii="Book Antiqua" w:hAnsi="Book Antiqua"/>
          <w:sz w:val="24"/>
          <w:szCs w:val="24"/>
        </w:rPr>
      </w:pPr>
      <w:r w:rsidRPr="00572DEC">
        <w:rPr>
          <w:rFonts w:ascii="Book Antiqua" w:hAnsi="Book Antiqua" w:cs="Book Antiqua"/>
          <w:b/>
          <w:bCs/>
          <w:sz w:val="24"/>
          <w:szCs w:val="24"/>
        </w:rPr>
        <w:lastRenderedPageBreak/>
        <w:t>CONCLUSION</w:t>
      </w:r>
      <w:r w:rsidRPr="00572DEC">
        <w:rPr>
          <w:rFonts w:ascii="Book Antiqua" w:hAnsi="Book Antiqua"/>
          <w:sz w:val="24"/>
          <w:szCs w:val="24"/>
        </w:rPr>
        <w:t>: GC patients may develop other primary cancers; appropriate preoperative and postoperative diagnostic modalities are thus required, particularly if patients are older and blood group O.</w:t>
      </w:r>
    </w:p>
    <w:p w:rsidR="003E7779" w:rsidRPr="00572DEC" w:rsidRDefault="003E7779" w:rsidP="00D408D2">
      <w:pPr>
        <w:pStyle w:val="1"/>
        <w:spacing w:line="360" w:lineRule="auto"/>
        <w:rPr>
          <w:rFonts w:ascii="Book Antiqua" w:hAnsi="Book Antiqua" w:cs="Book Antiqua"/>
          <w:b w:val="0"/>
          <w:bCs w:val="0"/>
          <w:lang w:eastAsia="zh-CN"/>
        </w:rPr>
      </w:pPr>
    </w:p>
    <w:p w:rsidR="003E7779" w:rsidRPr="00572DEC" w:rsidRDefault="003E7779" w:rsidP="00D408D2">
      <w:pPr>
        <w:spacing w:line="360" w:lineRule="auto"/>
      </w:pPr>
      <w:r w:rsidRPr="00572DEC">
        <w:rPr>
          <w:rFonts w:ascii="Book Antiqua" w:hAnsi="Book Antiqua"/>
          <w:sz w:val="24"/>
        </w:rPr>
        <w:t>© 201</w:t>
      </w:r>
      <w:r>
        <w:rPr>
          <w:rFonts w:ascii="Book Antiqua" w:hAnsi="Book Antiqua"/>
          <w:sz w:val="24"/>
        </w:rPr>
        <w:t>4</w:t>
      </w:r>
      <w:r w:rsidRPr="00572DEC">
        <w:rPr>
          <w:rFonts w:ascii="Book Antiqua" w:hAnsi="Book Antiqua"/>
          <w:sz w:val="24"/>
        </w:rPr>
        <w:t xml:space="preserve"> Baishideng Publishing Group Co., Limited. All rights reserved.</w:t>
      </w:r>
    </w:p>
    <w:p w:rsidR="003E7779" w:rsidRPr="00572DEC" w:rsidRDefault="003E7779" w:rsidP="00D408D2">
      <w:pPr>
        <w:spacing w:line="360" w:lineRule="auto"/>
        <w:rPr>
          <w:lang w:eastAsia="zh-CN"/>
        </w:rPr>
      </w:pPr>
    </w:p>
    <w:p w:rsidR="003E7779" w:rsidRPr="00572DEC" w:rsidRDefault="003E7779" w:rsidP="00D408D2">
      <w:pPr>
        <w:pStyle w:val="1"/>
        <w:spacing w:line="360" w:lineRule="auto"/>
        <w:rPr>
          <w:rFonts w:ascii="Book Antiqua" w:hAnsi="Book Antiqua" w:cs="Book Antiqua"/>
          <w:b w:val="0"/>
          <w:bCs w:val="0"/>
        </w:rPr>
      </w:pPr>
      <w:r w:rsidRPr="00572DEC">
        <w:rPr>
          <w:rFonts w:ascii="Book Antiqua" w:hAnsi="Book Antiqua" w:cs="Book Antiqua"/>
          <w:bCs w:val="0"/>
        </w:rPr>
        <w:t xml:space="preserve">Key words: </w:t>
      </w:r>
      <w:r w:rsidRPr="00572DEC">
        <w:rPr>
          <w:rFonts w:ascii="Book Antiqua" w:hAnsi="Book Antiqua" w:cs="Book Antiqua"/>
          <w:b w:val="0"/>
        </w:rPr>
        <w:t>Gastric</w:t>
      </w:r>
      <w:r w:rsidRPr="00572DEC">
        <w:rPr>
          <w:rFonts w:ascii="Book Antiqua" w:hAnsi="Book Antiqua"/>
          <w:b w:val="0"/>
        </w:rPr>
        <w:t xml:space="preserve"> cancer</w:t>
      </w:r>
      <w:r w:rsidRPr="00572DEC">
        <w:rPr>
          <w:rFonts w:ascii="Book Antiqua" w:hAnsi="Book Antiqua" w:cs="Book Antiqua"/>
          <w:b w:val="0"/>
        </w:rPr>
        <w:t>; Multiple</w:t>
      </w:r>
      <w:r w:rsidRPr="00572DEC">
        <w:rPr>
          <w:rFonts w:ascii="Book Antiqua" w:hAnsi="Book Antiqua"/>
          <w:b w:val="0"/>
        </w:rPr>
        <w:t xml:space="preserve"> primary </w:t>
      </w:r>
      <w:r w:rsidRPr="00572DEC">
        <w:rPr>
          <w:rFonts w:ascii="Book Antiqua" w:hAnsi="Book Antiqua" w:cs="Book Antiqua"/>
          <w:b w:val="0"/>
        </w:rPr>
        <w:t>cancers; Synchronous; Metachronous; Blood groups</w:t>
      </w:r>
    </w:p>
    <w:p w:rsidR="003E7779" w:rsidRPr="00572DEC" w:rsidRDefault="003E7779" w:rsidP="004517BA">
      <w:pPr>
        <w:spacing w:line="360" w:lineRule="auto"/>
        <w:jc w:val="both"/>
        <w:rPr>
          <w:rFonts w:ascii="Book Antiqua" w:hAnsi="Book Antiqua"/>
          <w:sz w:val="24"/>
          <w:szCs w:val="24"/>
        </w:rPr>
      </w:pPr>
    </w:p>
    <w:p w:rsidR="003E7779" w:rsidRPr="00572DEC" w:rsidRDefault="003E7779" w:rsidP="004517BA">
      <w:pPr>
        <w:pStyle w:val="1"/>
        <w:spacing w:line="360" w:lineRule="auto"/>
        <w:rPr>
          <w:rFonts w:ascii="Book Antiqua" w:hAnsi="Book Antiqua"/>
          <w:b w:val="0"/>
        </w:rPr>
      </w:pPr>
      <w:r w:rsidRPr="00572DEC">
        <w:rPr>
          <w:rFonts w:ascii="Book Antiqua" w:hAnsi="Book Antiqua"/>
        </w:rPr>
        <w:t>Core tip</w:t>
      </w:r>
      <w:r w:rsidRPr="00572DEC">
        <w:rPr>
          <w:rFonts w:ascii="Book Antiqua" w:hAnsi="Book Antiqua" w:cs="Book Antiqua"/>
        </w:rPr>
        <w:t xml:space="preserve">: </w:t>
      </w:r>
      <w:r w:rsidRPr="00572DEC">
        <w:rPr>
          <w:rFonts w:ascii="Book Antiqua" w:hAnsi="Book Antiqua" w:cs="Book Antiqua"/>
          <w:b w:val="0"/>
          <w:bCs w:val="0"/>
        </w:rPr>
        <w:t>In our study, the</w:t>
      </w:r>
      <w:r w:rsidRPr="00572DEC">
        <w:rPr>
          <w:rFonts w:ascii="Book Antiqua" w:hAnsi="Book Antiqua"/>
          <w:b w:val="0"/>
        </w:rPr>
        <w:t xml:space="preserve"> incidence of second primary malignancies in </w:t>
      </w:r>
      <w:r w:rsidRPr="00572DEC">
        <w:rPr>
          <w:rFonts w:ascii="Book Antiqua" w:hAnsi="Book Antiqua" w:cs="Book Antiqua"/>
          <w:b w:val="0"/>
          <w:bCs w:val="0"/>
        </w:rPr>
        <w:t>gastric cancer (</w:t>
      </w:r>
      <w:r w:rsidRPr="00572DEC">
        <w:rPr>
          <w:rFonts w:ascii="Book Antiqua" w:hAnsi="Book Antiqua"/>
          <w:b w:val="0"/>
        </w:rPr>
        <w:t>GC</w:t>
      </w:r>
      <w:r w:rsidRPr="00572DEC">
        <w:rPr>
          <w:rFonts w:ascii="Book Antiqua" w:hAnsi="Book Antiqua" w:cs="Book Antiqua"/>
          <w:b w:val="0"/>
          <w:bCs w:val="0"/>
        </w:rPr>
        <w:t>)</w:t>
      </w:r>
      <w:r w:rsidRPr="00572DEC">
        <w:rPr>
          <w:rFonts w:ascii="Book Antiqua" w:hAnsi="Book Antiqua"/>
          <w:b w:val="0"/>
        </w:rPr>
        <w:t xml:space="preserve"> patients was 6.7%. The predominant tumor type of the secondary neoplasms was colorectal cancer, followed by lung, breast, and prostate.</w:t>
      </w:r>
      <w:r w:rsidRPr="00572DEC">
        <w:rPr>
          <w:rFonts w:ascii="Book Antiqua" w:hAnsi="Book Antiqua"/>
        </w:rPr>
        <w:t xml:space="preserve"> </w:t>
      </w:r>
      <w:r w:rsidRPr="00572DEC">
        <w:rPr>
          <w:rFonts w:ascii="Book Antiqua" w:hAnsi="Book Antiqua"/>
          <w:b w:val="0"/>
        </w:rPr>
        <w:t xml:space="preserve">GC patients with </w:t>
      </w:r>
      <w:r w:rsidRPr="00572DEC">
        <w:rPr>
          <w:rFonts w:ascii="Book Antiqua" w:hAnsi="Book Antiqua" w:cs="Book Antiqua"/>
          <w:b w:val="0"/>
          <w:bCs w:val="0"/>
        </w:rPr>
        <w:t xml:space="preserve">synchronous neoplasms were older than those with metachronous neoplasms. GC patients with </w:t>
      </w:r>
      <w:r w:rsidRPr="00572DEC">
        <w:rPr>
          <w:rFonts w:ascii="Book Antiqua" w:hAnsi="Book Antiqua"/>
          <w:b w:val="0"/>
        </w:rPr>
        <w:t xml:space="preserve">second primary tumors were significantly more likely to be blood group O </w:t>
      </w:r>
      <w:r w:rsidRPr="00572DEC">
        <w:rPr>
          <w:rFonts w:ascii="Book Antiqua" w:hAnsi="Book Antiqua" w:cs="Book Antiqua"/>
          <w:b w:val="0"/>
          <w:bCs w:val="0"/>
        </w:rPr>
        <w:t xml:space="preserve">and older </w:t>
      </w:r>
      <w:r w:rsidRPr="00572DEC">
        <w:rPr>
          <w:rFonts w:ascii="Book Antiqua" w:hAnsi="Book Antiqua"/>
          <w:b w:val="0"/>
        </w:rPr>
        <w:t>than those without</w:t>
      </w:r>
      <w:r w:rsidRPr="00572DEC">
        <w:rPr>
          <w:rFonts w:ascii="Book Antiqua" w:hAnsi="Book Antiqua" w:cs="Book Antiqua"/>
          <w:b w:val="0"/>
          <w:bCs w:val="0"/>
        </w:rPr>
        <w:t>. This suggests a need for additional procedures, such as colonoscopy, chest X-ray, mammography and computed tomography, particularly for those who are older and blood group O.</w:t>
      </w:r>
    </w:p>
    <w:p w:rsidR="003E7779" w:rsidRPr="00572DEC" w:rsidRDefault="003E7779" w:rsidP="004517BA">
      <w:pPr>
        <w:pStyle w:val="1"/>
        <w:spacing w:line="360" w:lineRule="auto"/>
        <w:rPr>
          <w:rFonts w:ascii="Book Antiqua" w:hAnsi="Book Antiqua" w:cs="Book Antiqua"/>
          <w:b w:val="0"/>
          <w:bCs w:val="0"/>
        </w:rPr>
      </w:pPr>
    </w:p>
    <w:p w:rsidR="003E7779" w:rsidRPr="00572DEC" w:rsidRDefault="003E7779" w:rsidP="002D3128">
      <w:pPr>
        <w:spacing w:line="360" w:lineRule="auto"/>
        <w:jc w:val="both"/>
        <w:rPr>
          <w:rFonts w:ascii="Book Antiqua" w:hAnsi="Book Antiqua"/>
          <w:sz w:val="24"/>
          <w:szCs w:val="24"/>
          <w:lang w:eastAsia="zh-CN"/>
        </w:rPr>
      </w:pPr>
      <w:r w:rsidRPr="00572DEC">
        <w:rPr>
          <w:rFonts w:ascii="Book Antiqua" w:hAnsi="Book Antiqua" w:cs="Book Antiqua"/>
          <w:sz w:val="24"/>
          <w:szCs w:val="24"/>
          <w:lang w:val="pl-PL"/>
        </w:rPr>
        <w:t>Ławniczak</w:t>
      </w:r>
      <w:r w:rsidRPr="00572DEC">
        <w:rPr>
          <w:rFonts w:ascii="Book Antiqua" w:hAnsi="Book Antiqua" w:cs="Book Antiqua"/>
          <w:sz w:val="24"/>
          <w:szCs w:val="24"/>
          <w:lang w:val="pl-PL" w:eastAsia="zh-CN"/>
        </w:rPr>
        <w:t xml:space="preserve"> M</w:t>
      </w:r>
      <w:r w:rsidRPr="00572DEC">
        <w:rPr>
          <w:rFonts w:ascii="Book Antiqua" w:hAnsi="Book Antiqua" w:cs="Book Antiqua"/>
          <w:sz w:val="24"/>
          <w:szCs w:val="24"/>
          <w:lang w:val="pl-PL"/>
        </w:rPr>
        <w:t>, Gawin</w:t>
      </w:r>
      <w:r w:rsidRPr="00572DEC">
        <w:rPr>
          <w:rFonts w:ascii="Book Antiqua" w:hAnsi="Book Antiqua" w:cs="Book Antiqua"/>
          <w:sz w:val="24"/>
          <w:szCs w:val="24"/>
          <w:lang w:val="pl-PL" w:eastAsia="zh-CN"/>
        </w:rPr>
        <w:t xml:space="preserve"> A</w:t>
      </w:r>
      <w:r w:rsidRPr="00572DEC">
        <w:rPr>
          <w:rFonts w:ascii="Book Antiqua" w:hAnsi="Book Antiqua" w:cs="Book Antiqua"/>
          <w:sz w:val="24"/>
          <w:szCs w:val="24"/>
          <w:lang w:val="pl-PL"/>
        </w:rPr>
        <w:t>, Jaroszewicz-Heigelmann</w:t>
      </w:r>
      <w:r w:rsidRPr="00572DEC">
        <w:rPr>
          <w:rFonts w:ascii="Book Antiqua" w:hAnsi="Book Antiqua" w:cs="Book Antiqua"/>
          <w:sz w:val="24"/>
          <w:szCs w:val="24"/>
          <w:lang w:val="pl-PL" w:eastAsia="zh-CN"/>
        </w:rPr>
        <w:t xml:space="preserve"> H</w:t>
      </w:r>
      <w:r w:rsidRPr="00572DEC">
        <w:rPr>
          <w:rFonts w:ascii="Book Antiqua" w:hAnsi="Book Antiqua" w:cs="Book Antiqua"/>
          <w:sz w:val="24"/>
          <w:szCs w:val="24"/>
          <w:lang w:val="pl-PL"/>
        </w:rPr>
        <w:t>, Rogoza-Mateja</w:t>
      </w:r>
      <w:r w:rsidRPr="00572DEC">
        <w:rPr>
          <w:rFonts w:ascii="Book Antiqua" w:hAnsi="Book Antiqua" w:cs="Book Antiqua"/>
          <w:sz w:val="24"/>
          <w:szCs w:val="24"/>
          <w:lang w:val="pl-PL" w:eastAsia="zh-CN"/>
        </w:rPr>
        <w:t xml:space="preserve"> W</w:t>
      </w:r>
      <w:r w:rsidRPr="00572DEC">
        <w:rPr>
          <w:rFonts w:ascii="Book Antiqua" w:hAnsi="Book Antiqua" w:cs="Book Antiqua"/>
          <w:sz w:val="24"/>
          <w:szCs w:val="24"/>
          <w:lang w:val="pl-PL"/>
        </w:rPr>
        <w:t>, Raszeja-Wyszomirska</w:t>
      </w:r>
      <w:r w:rsidRPr="00572DEC">
        <w:rPr>
          <w:rFonts w:ascii="Book Antiqua" w:hAnsi="Book Antiqua" w:cs="Book Antiqua"/>
          <w:sz w:val="24"/>
          <w:szCs w:val="24"/>
          <w:lang w:val="pl-PL" w:eastAsia="zh-CN"/>
        </w:rPr>
        <w:t xml:space="preserve"> J</w:t>
      </w:r>
      <w:r w:rsidRPr="00572DEC">
        <w:rPr>
          <w:rFonts w:ascii="Book Antiqua" w:hAnsi="Book Antiqua" w:cs="Book Antiqua"/>
          <w:sz w:val="24"/>
          <w:szCs w:val="24"/>
          <w:lang w:val="pl-PL"/>
        </w:rPr>
        <w:t>, Białek</w:t>
      </w:r>
      <w:r w:rsidRPr="00572DEC">
        <w:rPr>
          <w:rFonts w:ascii="Book Antiqua" w:hAnsi="Book Antiqua" w:cs="Book Antiqua"/>
          <w:sz w:val="24"/>
          <w:szCs w:val="24"/>
          <w:lang w:val="pl-PL" w:eastAsia="zh-CN"/>
        </w:rPr>
        <w:t xml:space="preserve"> A</w:t>
      </w:r>
      <w:r w:rsidRPr="00572DEC">
        <w:rPr>
          <w:rFonts w:ascii="Book Antiqua" w:hAnsi="Book Antiqua" w:cs="Book Antiqua"/>
          <w:sz w:val="24"/>
          <w:szCs w:val="24"/>
          <w:lang w:val="pl-PL"/>
        </w:rPr>
        <w:t>, Karpińska-Kaczmarczyk</w:t>
      </w:r>
      <w:r w:rsidRPr="00572DEC">
        <w:rPr>
          <w:rFonts w:ascii="Book Antiqua" w:hAnsi="Book Antiqua" w:cs="Book Antiqua"/>
          <w:sz w:val="24"/>
          <w:szCs w:val="24"/>
          <w:lang w:val="pl-PL" w:eastAsia="zh-CN"/>
        </w:rPr>
        <w:t xml:space="preserve"> K</w:t>
      </w:r>
      <w:r w:rsidRPr="00572DEC">
        <w:rPr>
          <w:rFonts w:ascii="Book Antiqua" w:hAnsi="Book Antiqua" w:cs="Book Antiqua"/>
          <w:sz w:val="24"/>
          <w:szCs w:val="24"/>
          <w:lang w:val="pl-PL"/>
        </w:rPr>
        <w:t xml:space="preserve">, Starzyńska </w:t>
      </w:r>
      <w:r w:rsidRPr="00572DEC">
        <w:rPr>
          <w:rFonts w:ascii="Book Antiqua" w:hAnsi="Book Antiqua" w:cs="Book Antiqua"/>
          <w:sz w:val="24"/>
          <w:szCs w:val="24"/>
          <w:lang w:val="pl-PL" w:eastAsia="zh-CN"/>
        </w:rPr>
        <w:t xml:space="preserve">T. </w:t>
      </w:r>
      <w:r w:rsidRPr="00572DEC">
        <w:rPr>
          <w:rFonts w:ascii="Book Antiqua" w:hAnsi="Book Antiqua"/>
          <w:sz w:val="24"/>
          <w:szCs w:val="24"/>
        </w:rPr>
        <w:t>Synchronous and metachronous neoplasms in gastric cancer patients: A 23-year study</w:t>
      </w:r>
      <w:r w:rsidRPr="00572DEC">
        <w:rPr>
          <w:rFonts w:ascii="Book Antiqua" w:hAnsi="Book Antiqua"/>
          <w:sz w:val="24"/>
          <w:szCs w:val="24"/>
          <w:lang w:eastAsia="zh-CN"/>
        </w:rPr>
        <w:t>.</w:t>
      </w:r>
    </w:p>
    <w:p w:rsidR="003E7779" w:rsidRPr="00572DEC" w:rsidRDefault="003E7779" w:rsidP="002D3128">
      <w:pPr>
        <w:spacing w:line="360" w:lineRule="auto"/>
        <w:jc w:val="both"/>
        <w:rPr>
          <w:rFonts w:ascii="Book Antiqua" w:hAnsi="Book Antiqua"/>
          <w:sz w:val="24"/>
          <w:szCs w:val="24"/>
          <w:lang w:eastAsia="zh-CN"/>
        </w:rPr>
      </w:pPr>
    </w:p>
    <w:p w:rsidR="003E7779" w:rsidRPr="00572DEC" w:rsidRDefault="003E7779" w:rsidP="002D3128">
      <w:pPr>
        <w:spacing w:line="360" w:lineRule="auto"/>
        <w:rPr>
          <w:rFonts w:ascii="Book Antiqua" w:hAnsi="Book Antiqua"/>
          <w:b/>
          <w:sz w:val="24"/>
          <w:szCs w:val="24"/>
        </w:rPr>
      </w:pPr>
      <w:r w:rsidRPr="00572DEC">
        <w:rPr>
          <w:rFonts w:ascii="Book Antiqua" w:hAnsi="Book Antiqua"/>
          <w:b/>
          <w:sz w:val="24"/>
          <w:szCs w:val="24"/>
        </w:rPr>
        <w:t xml:space="preserve">Available from: URL: </w:t>
      </w:r>
    </w:p>
    <w:p w:rsidR="003E7779" w:rsidRPr="00572DEC" w:rsidRDefault="003E7779" w:rsidP="002D3128">
      <w:pPr>
        <w:spacing w:line="360" w:lineRule="auto"/>
        <w:rPr>
          <w:rFonts w:ascii="Book Antiqua" w:hAnsi="Book Antiqua"/>
          <w:b/>
          <w:sz w:val="24"/>
          <w:szCs w:val="24"/>
        </w:rPr>
      </w:pPr>
      <w:r w:rsidRPr="00572DEC">
        <w:rPr>
          <w:rFonts w:ascii="Book Antiqua" w:hAnsi="Book Antiqua"/>
          <w:b/>
          <w:sz w:val="24"/>
          <w:szCs w:val="24"/>
        </w:rPr>
        <w:t>DOI:</w:t>
      </w:r>
    </w:p>
    <w:p w:rsidR="003E7779" w:rsidRPr="00572DEC" w:rsidRDefault="003E7779" w:rsidP="002D3128">
      <w:pPr>
        <w:spacing w:line="360" w:lineRule="auto"/>
        <w:jc w:val="both"/>
        <w:rPr>
          <w:rFonts w:ascii="Book Antiqua" w:hAnsi="Book Antiqua"/>
          <w:sz w:val="24"/>
          <w:szCs w:val="24"/>
          <w:lang w:eastAsia="zh-CN"/>
        </w:rPr>
      </w:pPr>
    </w:p>
    <w:p w:rsidR="003E7779" w:rsidRPr="00572DEC" w:rsidRDefault="003E7779" w:rsidP="004517BA">
      <w:pPr>
        <w:spacing w:line="360" w:lineRule="auto"/>
        <w:jc w:val="both"/>
        <w:rPr>
          <w:rFonts w:ascii="Book Antiqua" w:hAnsi="Book Antiqua" w:cs="Book Antiqua"/>
          <w:sz w:val="24"/>
          <w:szCs w:val="24"/>
        </w:rPr>
      </w:pPr>
    </w:p>
    <w:p w:rsidR="003E7779" w:rsidRPr="00572DEC" w:rsidRDefault="003E7779" w:rsidP="004517BA">
      <w:pPr>
        <w:spacing w:line="360" w:lineRule="auto"/>
        <w:jc w:val="both"/>
        <w:rPr>
          <w:rFonts w:ascii="Book Antiqua" w:hAnsi="Book Antiqua"/>
          <w:sz w:val="24"/>
          <w:szCs w:val="24"/>
        </w:rPr>
      </w:pPr>
    </w:p>
    <w:p w:rsidR="003E7779" w:rsidRPr="00572DEC" w:rsidRDefault="003E7779" w:rsidP="004517BA">
      <w:pPr>
        <w:spacing w:line="360" w:lineRule="auto"/>
        <w:jc w:val="both"/>
        <w:rPr>
          <w:rFonts w:ascii="Book Antiqua" w:hAnsi="Book Antiqua" w:cs="Book Antiqua"/>
          <w:sz w:val="24"/>
          <w:szCs w:val="24"/>
        </w:rPr>
      </w:pPr>
    </w:p>
    <w:p w:rsidR="003E7779" w:rsidRPr="00572DEC" w:rsidRDefault="003E7779" w:rsidP="004517BA">
      <w:pPr>
        <w:spacing w:line="360" w:lineRule="auto"/>
        <w:jc w:val="both"/>
        <w:rPr>
          <w:rFonts w:ascii="Book Antiqua" w:hAnsi="Book Antiqua" w:cs="Book Antiqua"/>
          <w:sz w:val="24"/>
          <w:szCs w:val="24"/>
        </w:rPr>
      </w:pPr>
    </w:p>
    <w:p w:rsidR="003E7779" w:rsidRPr="00572DEC" w:rsidRDefault="003E7779" w:rsidP="004517BA">
      <w:pPr>
        <w:spacing w:line="360" w:lineRule="auto"/>
        <w:jc w:val="both"/>
        <w:rPr>
          <w:rFonts w:ascii="Book Antiqua" w:hAnsi="Book Antiqua" w:cs="Book Antiqua"/>
          <w:sz w:val="24"/>
          <w:szCs w:val="24"/>
        </w:rPr>
      </w:pPr>
      <w:r w:rsidRPr="00572DEC">
        <w:rPr>
          <w:rFonts w:ascii="Book Antiqua" w:hAnsi="Book Antiqua" w:cs="Book Antiqua"/>
          <w:b/>
          <w:bCs/>
          <w:sz w:val="24"/>
          <w:szCs w:val="24"/>
        </w:rPr>
        <w:br w:type="page"/>
      </w:r>
    </w:p>
    <w:p w:rsidR="003E7779" w:rsidRPr="00572DEC" w:rsidRDefault="003E7779" w:rsidP="004517BA">
      <w:pPr>
        <w:pStyle w:val="1"/>
        <w:spacing w:line="360" w:lineRule="auto"/>
        <w:rPr>
          <w:rFonts w:ascii="Book Antiqua" w:hAnsi="Book Antiqua" w:cs="Book Antiqua"/>
        </w:rPr>
      </w:pPr>
      <w:r w:rsidRPr="00572DEC">
        <w:rPr>
          <w:rFonts w:ascii="Book Antiqua" w:hAnsi="Book Antiqua" w:cs="Book Antiqua"/>
        </w:rPr>
        <w:t xml:space="preserve">INTRODUCTION </w:t>
      </w:r>
    </w:p>
    <w:p w:rsidR="003E7779" w:rsidRPr="00572DEC" w:rsidRDefault="003E7779" w:rsidP="00605206">
      <w:pPr>
        <w:spacing w:line="360" w:lineRule="auto"/>
        <w:jc w:val="both"/>
        <w:rPr>
          <w:rFonts w:ascii="Book Antiqua" w:hAnsi="Book Antiqua"/>
          <w:sz w:val="24"/>
          <w:szCs w:val="24"/>
        </w:rPr>
      </w:pPr>
      <w:r w:rsidRPr="00572DEC">
        <w:rPr>
          <w:rFonts w:ascii="Book Antiqua" w:hAnsi="Book Antiqua"/>
          <w:sz w:val="24"/>
          <w:szCs w:val="24"/>
        </w:rPr>
        <w:t>The first systematic study of this of multiple malignancies phenomenon was published in the 1930s by Warren and Gates</w:t>
      </w:r>
      <w:r w:rsidRPr="00572DEC">
        <w:rPr>
          <w:rFonts w:ascii="Book Antiqua" w:hAnsi="Book Antiqua"/>
          <w:sz w:val="24"/>
          <w:szCs w:val="24"/>
          <w:vertAlign w:val="superscript"/>
        </w:rPr>
        <w:t>[1]</w:t>
      </w:r>
      <w:r w:rsidRPr="00572DEC">
        <w:rPr>
          <w:rFonts w:ascii="Book Antiqua" w:hAnsi="Book Antiqua"/>
          <w:sz w:val="24"/>
          <w:szCs w:val="24"/>
        </w:rPr>
        <w:t>. These authors proposed the first working definition of multiple primary neoplasms: (1) Both tumors should be confirmed histologically as malignant</w:t>
      </w:r>
      <w:r w:rsidRPr="00572DEC">
        <w:rPr>
          <w:rFonts w:ascii="Book Antiqua" w:hAnsi="Book Antiqua"/>
          <w:sz w:val="24"/>
          <w:szCs w:val="24"/>
          <w:lang w:eastAsia="zh-CN"/>
        </w:rPr>
        <w:t>;</w:t>
      </w:r>
      <w:r w:rsidRPr="00572DEC">
        <w:rPr>
          <w:rFonts w:ascii="Book Antiqua" w:hAnsi="Book Antiqua"/>
          <w:sz w:val="24"/>
          <w:szCs w:val="24"/>
        </w:rPr>
        <w:t xml:space="preserve"> (2) each cancer must be anatomically separate and distinct</w:t>
      </w:r>
      <w:r w:rsidRPr="00572DEC">
        <w:rPr>
          <w:rFonts w:ascii="Book Antiqua" w:hAnsi="Book Antiqua"/>
          <w:sz w:val="24"/>
          <w:szCs w:val="24"/>
          <w:lang w:eastAsia="zh-CN"/>
        </w:rPr>
        <w:t>;</w:t>
      </w:r>
      <w:r w:rsidRPr="00572DEC">
        <w:rPr>
          <w:rFonts w:ascii="Book Antiqua" w:hAnsi="Book Antiqua"/>
          <w:sz w:val="24"/>
          <w:szCs w:val="24"/>
        </w:rPr>
        <w:t xml:space="preserve"> and (3) the second tumor must not be a recurrence or metastasis of the first cancer. Multiple tumors may develop synchronously or metachronously. The phenomenon of multiple primary neoplasms is increasingly being discussed in the literature due to the increased survival time of cancer patients after treatment and because of advances in diagnostic methods. It is estimated that multiple neoplasms affect about 10% of all cancer patients</w:t>
      </w:r>
      <w:r w:rsidRPr="00572DEC">
        <w:rPr>
          <w:rFonts w:ascii="Book Antiqua" w:hAnsi="Book Antiqua"/>
          <w:sz w:val="24"/>
          <w:szCs w:val="24"/>
          <w:vertAlign w:val="superscript"/>
        </w:rPr>
        <w:t>[2-4]</w:t>
      </w:r>
      <w:r w:rsidRPr="00572DEC">
        <w:rPr>
          <w:rFonts w:ascii="Book Antiqua" w:hAnsi="Book Antiqua"/>
          <w:sz w:val="24"/>
          <w:szCs w:val="24"/>
        </w:rPr>
        <w:t>. Estimates of the incidence of multiple primary neoplasms in patients with gastric cancer (GC) range from 1.7% to 8.0%</w:t>
      </w:r>
      <w:r w:rsidRPr="00572DEC">
        <w:rPr>
          <w:rFonts w:ascii="Book Antiqua" w:hAnsi="Book Antiqua"/>
          <w:sz w:val="24"/>
          <w:szCs w:val="24"/>
          <w:vertAlign w:val="superscript"/>
        </w:rPr>
        <w:t>[5-12]</w:t>
      </w:r>
      <w:r w:rsidRPr="00572DEC">
        <w:rPr>
          <w:rFonts w:ascii="Book Antiqua" w:hAnsi="Book Antiqua"/>
          <w:sz w:val="24"/>
          <w:szCs w:val="24"/>
        </w:rPr>
        <w:t xml:space="preserve">. A few reports suggest that the development of multiple primary neoplasms in patients with GC is </w:t>
      </w:r>
      <w:r>
        <w:rPr>
          <w:rFonts w:ascii="Book Antiqua" w:hAnsi="Book Antiqua"/>
          <w:sz w:val="24"/>
          <w:szCs w:val="24"/>
        </w:rPr>
        <w:t xml:space="preserve">even more frequent. Green </w:t>
      </w:r>
      <w:r w:rsidRPr="00E732AE">
        <w:rPr>
          <w:rFonts w:ascii="Book Antiqua" w:hAnsi="Book Antiqua"/>
          <w:i/>
          <w:sz w:val="24"/>
          <w:szCs w:val="24"/>
        </w:rPr>
        <w:t>et al</w:t>
      </w:r>
      <w:r w:rsidRPr="00572DEC">
        <w:rPr>
          <w:rFonts w:ascii="Book Antiqua" w:hAnsi="Book Antiqua"/>
          <w:sz w:val="24"/>
          <w:szCs w:val="24"/>
          <w:vertAlign w:val="superscript"/>
        </w:rPr>
        <w:t>[13]</w:t>
      </w:r>
      <w:r w:rsidRPr="00572DEC">
        <w:rPr>
          <w:rFonts w:ascii="Book Antiqua" w:hAnsi="Book Antiqua"/>
          <w:sz w:val="24"/>
          <w:szCs w:val="24"/>
        </w:rPr>
        <w:t xml:space="preserve"> reported that this phenomenon affects approximately 8% of advanced GC patients and 32% of early GC patients. Studies in Japan and Italy estimated that 9%–11% of early GC patients develop other malignancies</w:t>
      </w:r>
      <w:r w:rsidRPr="00572DEC">
        <w:rPr>
          <w:rFonts w:ascii="Book Antiqua" w:hAnsi="Book Antiqua"/>
          <w:sz w:val="24"/>
          <w:szCs w:val="24"/>
          <w:vertAlign w:val="superscript"/>
        </w:rPr>
        <w:t>[14,15]</w:t>
      </w:r>
      <w:r w:rsidRPr="00572DEC">
        <w:rPr>
          <w:rFonts w:ascii="Book Antiqua" w:hAnsi="Book Antiqua"/>
          <w:sz w:val="24"/>
          <w:szCs w:val="24"/>
        </w:rPr>
        <w:t xml:space="preserve">. Kim </w:t>
      </w:r>
      <w:r w:rsidRPr="00572DEC">
        <w:rPr>
          <w:rFonts w:ascii="Book Antiqua" w:hAnsi="Book Antiqua"/>
          <w:i/>
          <w:sz w:val="24"/>
          <w:szCs w:val="24"/>
        </w:rPr>
        <w:t>et al</w:t>
      </w:r>
      <w:r w:rsidRPr="00572DEC">
        <w:rPr>
          <w:rFonts w:ascii="Book Antiqua" w:hAnsi="Book Antiqua"/>
          <w:sz w:val="24"/>
          <w:szCs w:val="24"/>
          <w:vertAlign w:val="superscript"/>
        </w:rPr>
        <w:t>[16]</w:t>
      </w:r>
      <w:r w:rsidRPr="00572DEC">
        <w:rPr>
          <w:rFonts w:ascii="Book Antiqua" w:hAnsi="Book Antiqua"/>
          <w:sz w:val="24"/>
          <w:szCs w:val="24"/>
        </w:rPr>
        <w:t xml:space="preserve"> described 113 patients with multiple primary cancers at three or more sites; 41 (36.3%) of these patients had GC.</w:t>
      </w:r>
    </w:p>
    <w:p w:rsidR="003E7779" w:rsidRPr="00572DEC" w:rsidRDefault="003E7779" w:rsidP="004517BA">
      <w:pPr>
        <w:spacing w:line="360" w:lineRule="auto"/>
        <w:ind w:firstLine="432"/>
        <w:jc w:val="both"/>
        <w:rPr>
          <w:rFonts w:ascii="Book Antiqua" w:hAnsi="Book Antiqua"/>
          <w:b/>
          <w:bCs/>
          <w:sz w:val="24"/>
          <w:szCs w:val="24"/>
        </w:rPr>
      </w:pPr>
      <w:r w:rsidRPr="00572DEC">
        <w:rPr>
          <w:rFonts w:ascii="Book Antiqua" w:hAnsi="Book Antiqua"/>
          <w:sz w:val="24"/>
          <w:szCs w:val="24"/>
        </w:rPr>
        <w:t>Most studies of multiple malignancies have found colorectal cancer as the second tumor in GC patients</w:t>
      </w:r>
      <w:r w:rsidRPr="00572DEC">
        <w:rPr>
          <w:rFonts w:ascii="Book Antiqua" w:hAnsi="Book Antiqua"/>
          <w:sz w:val="24"/>
          <w:szCs w:val="24"/>
          <w:vertAlign w:val="superscript"/>
        </w:rPr>
        <w:t>[6-8, 10, 16, 17]</w:t>
      </w:r>
      <w:r w:rsidRPr="00572DEC">
        <w:rPr>
          <w:rFonts w:ascii="Book Antiqua" w:hAnsi="Book Antiqua"/>
          <w:sz w:val="24"/>
          <w:szCs w:val="24"/>
        </w:rPr>
        <w:t>. The other sites of second tumors include breast, lung, prostate, uterus, small intestine, liver, esophagus, and kidney</w:t>
      </w:r>
      <w:r w:rsidRPr="00572DEC">
        <w:rPr>
          <w:rFonts w:ascii="Book Antiqua" w:hAnsi="Book Antiqua"/>
          <w:sz w:val="24"/>
          <w:szCs w:val="24"/>
          <w:vertAlign w:val="superscript"/>
        </w:rPr>
        <w:t>[6,8-,11,16,17]</w:t>
      </w:r>
      <w:r w:rsidRPr="00572DEC">
        <w:rPr>
          <w:rFonts w:ascii="Book Antiqua" w:hAnsi="Book Antiqua"/>
          <w:sz w:val="24"/>
          <w:szCs w:val="24"/>
        </w:rPr>
        <w:t>. Many studies of multiple malignancies have been conducted in Asia; only a few have been conducted in Europe. To the best of our knowledge, none have been conducted in Poland, where GC is diagnosed in &gt;</w:t>
      </w:r>
      <w:r>
        <w:rPr>
          <w:rFonts w:ascii="Book Antiqua" w:hAnsi="Book Antiqua"/>
          <w:sz w:val="24"/>
          <w:szCs w:val="24"/>
          <w:lang w:eastAsia="zh-CN"/>
        </w:rPr>
        <w:t xml:space="preserve"> </w:t>
      </w:r>
      <w:r w:rsidRPr="00572DEC">
        <w:rPr>
          <w:rFonts w:ascii="Book Antiqua" w:hAnsi="Book Antiqua"/>
          <w:sz w:val="24"/>
          <w:szCs w:val="24"/>
        </w:rPr>
        <w:t xml:space="preserve">5000 people every year. The purpose of the present study was to determine the prevalence and characteristics of additional primary malignancies in GC patients in a Polish population and to compare GC patients with and without second primary tumors. </w:t>
      </w:r>
    </w:p>
    <w:p w:rsidR="003E7779" w:rsidRPr="00572DEC" w:rsidRDefault="003E7779" w:rsidP="004517BA">
      <w:pPr>
        <w:pStyle w:val="1"/>
        <w:spacing w:line="360" w:lineRule="auto"/>
        <w:rPr>
          <w:rFonts w:ascii="Book Antiqua" w:hAnsi="Book Antiqua" w:cs="Book Antiqua"/>
        </w:rPr>
      </w:pPr>
    </w:p>
    <w:p w:rsidR="003E7779" w:rsidRPr="00572DEC" w:rsidRDefault="003E7779" w:rsidP="004517BA">
      <w:pPr>
        <w:pStyle w:val="1"/>
        <w:spacing w:line="360" w:lineRule="auto"/>
        <w:rPr>
          <w:rFonts w:ascii="Book Antiqua" w:hAnsi="Book Antiqua" w:cs="Book Antiqua"/>
        </w:rPr>
      </w:pPr>
      <w:r w:rsidRPr="00572DEC">
        <w:rPr>
          <w:rFonts w:ascii="Book Antiqua" w:hAnsi="Book Antiqua" w:cs="Book Antiqua"/>
        </w:rPr>
        <w:t>MATERIALS AND METHODS</w:t>
      </w:r>
    </w:p>
    <w:p w:rsidR="003E7779" w:rsidRPr="00572DEC" w:rsidRDefault="003E7779" w:rsidP="004517BA">
      <w:pPr>
        <w:pStyle w:val="1"/>
        <w:spacing w:line="360" w:lineRule="auto"/>
        <w:rPr>
          <w:rFonts w:ascii="Book Antiqua" w:hAnsi="Book Antiqua"/>
          <w:i/>
        </w:rPr>
      </w:pPr>
      <w:r w:rsidRPr="00572DEC">
        <w:rPr>
          <w:rFonts w:ascii="Book Antiqua" w:hAnsi="Book Antiqua"/>
        </w:rPr>
        <w:t xml:space="preserve"> </w:t>
      </w:r>
      <w:r w:rsidRPr="00572DEC">
        <w:rPr>
          <w:rFonts w:ascii="Book Antiqua" w:hAnsi="Book Antiqua"/>
          <w:i/>
        </w:rPr>
        <w:t>Subjects</w:t>
      </w:r>
    </w:p>
    <w:p w:rsidR="003E7779" w:rsidRPr="00572DEC" w:rsidRDefault="003E7779" w:rsidP="004517BA">
      <w:pPr>
        <w:spacing w:line="360" w:lineRule="auto"/>
        <w:jc w:val="both"/>
        <w:rPr>
          <w:rFonts w:ascii="Book Antiqua" w:hAnsi="Book Antiqua"/>
          <w:sz w:val="24"/>
          <w:szCs w:val="24"/>
        </w:rPr>
      </w:pPr>
      <w:r w:rsidRPr="00572DEC">
        <w:rPr>
          <w:rFonts w:ascii="Book Antiqua" w:hAnsi="Book Antiqua"/>
          <w:sz w:val="24"/>
          <w:szCs w:val="24"/>
        </w:rPr>
        <w:t xml:space="preserve">Between January 1988 and December 2011, data were collected from 862 patients with histopathologically confirmed GC who were diagnosed at the Department of Gastroenterology at the Pomeranian Medical University in Szczecin, Poland. The following clinical and pathological data were collected: patient sex, age, family history of cancer, duration of symptoms, tumor site, stage (early </w:t>
      </w:r>
      <w:r w:rsidRPr="00572DEC">
        <w:rPr>
          <w:rFonts w:ascii="Book Antiqua" w:hAnsi="Book Antiqua"/>
          <w:i/>
          <w:sz w:val="24"/>
          <w:szCs w:val="24"/>
        </w:rPr>
        <w:t>vs</w:t>
      </w:r>
      <w:r w:rsidRPr="00572DEC">
        <w:rPr>
          <w:rFonts w:ascii="Book Antiqua" w:hAnsi="Book Antiqua"/>
          <w:sz w:val="24"/>
          <w:szCs w:val="24"/>
        </w:rPr>
        <w:t xml:space="preserve"> advanced), histology, blood group, and previously or subsequently histologically verified second primary malignancy other than GC. In the current study, we retrospectively analyzed a prospective maintained database. </w:t>
      </w:r>
    </w:p>
    <w:p w:rsidR="003E7779" w:rsidRPr="00572DEC" w:rsidRDefault="003E7779" w:rsidP="004517BA">
      <w:pPr>
        <w:spacing w:line="360" w:lineRule="auto"/>
        <w:jc w:val="both"/>
        <w:rPr>
          <w:rFonts w:ascii="Book Antiqua" w:hAnsi="Book Antiqua"/>
          <w:b/>
          <w:i/>
          <w:sz w:val="24"/>
          <w:szCs w:val="24"/>
        </w:rPr>
      </w:pPr>
    </w:p>
    <w:p w:rsidR="003E7779" w:rsidRPr="00572DEC" w:rsidRDefault="003E7779" w:rsidP="004517BA">
      <w:pPr>
        <w:spacing w:line="360" w:lineRule="auto"/>
        <w:jc w:val="both"/>
        <w:rPr>
          <w:rFonts w:ascii="Book Antiqua" w:hAnsi="Book Antiqua"/>
          <w:b/>
          <w:i/>
          <w:sz w:val="24"/>
          <w:szCs w:val="24"/>
        </w:rPr>
      </w:pPr>
      <w:r w:rsidRPr="00572DEC">
        <w:rPr>
          <w:rFonts w:ascii="Book Antiqua" w:hAnsi="Book Antiqua"/>
          <w:b/>
          <w:i/>
          <w:sz w:val="24"/>
          <w:szCs w:val="24"/>
        </w:rPr>
        <w:t>Tumor classification and follow-up</w:t>
      </w:r>
    </w:p>
    <w:p w:rsidR="003E7779" w:rsidRPr="00572DEC" w:rsidRDefault="003E7779" w:rsidP="004517BA">
      <w:pPr>
        <w:spacing w:line="360" w:lineRule="auto"/>
        <w:jc w:val="both"/>
        <w:rPr>
          <w:rFonts w:ascii="Book Antiqua" w:hAnsi="Book Antiqua" w:cs="Book Antiqua"/>
          <w:sz w:val="24"/>
          <w:szCs w:val="24"/>
        </w:rPr>
      </w:pPr>
      <w:r w:rsidRPr="00572DEC">
        <w:rPr>
          <w:rFonts w:ascii="Book Antiqua" w:hAnsi="Book Antiqua"/>
          <w:sz w:val="24"/>
          <w:szCs w:val="24"/>
        </w:rPr>
        <w:t>The stage and histological type of GC were assessed by routine histopathological examination. Histological types were classified</w:t>
      </w:r>
      <w:r w:rsidRPr="00572DEC">
        <w:rPr>
          <w:rFonts w:ascii="Book Antiqua" w:hAnsi="Book Antiqua"/>
          <w:i/>
          <w:sz w:val="24"/>
          <w:szCs w:val="24"/>
        </w:rPr>
        <w:t xml:space="preserve"> </w:t>
      </w:r>
      <w:r w:rsidRPr="00572DEC">
        <w:rPr>
          <w:rFonts w:ascii="Book Antiqua" w:hAnsi="Book Antiqua"/>
          <w:sz w:val="24"/>
          <w:szCs w:val="24"/>
        </w:rPr>
        <w:t>according to the Lauren classification</w:t>
      </w:r>
      <w:r w:rsidRPr="00572DEC">
        <w:rPr>
          <w:rFonts w:ascii="Book Antiqua" w:hAnsi="Book Antiqua"/>
          <w:sz w:val="24"/>
          <w:szCs w:val="24"/>
          <w:vertAlign w:val="superscript"/>
        </w:rPr>
        <w:t>[18]</w:t>
      </w:r>
      <w:r w:rsidRPr="00572DEC">
        <w:rPr>
          <w:rFonts w:ascii="Book Antiqua" w:hAnsi="Book Antiqua"/>
          <w:sz w:val="24"/>
          <w:szCs w:val="24"/>
        </w:rPr>
        <w:t>. Early GC was defined as invasive cancer that invades no more deeply than the submucosa, irrespective of lymph node metastasis.</w:t>
      </w:r>
      <w:r w:rsidRPr="00572DEC">
        <w:rPr>
          <w:rFonts w:ascii="Book Antiqua" w:hAnsi="Book Antiqua" w:cs="Book Antiqua"/>
          <w:sz w:val="24"/>
          <w:szCs w:val="24"/>
        </w:rPr>
        <w:t xml:space="preserve"> In patients who did not undergo surgery and distal metastases or tumor infiltration were confirmed by diagnostic procedures (</w:t>
      </w:r>
      <w:r w:rsidRPr="00572DEC">
        <w:rPr>
          <w:rFonts w:ascii="Book Antiqua" w:hAnsi="Book Antiqua" w:cs="Book Antiqua"/>
          <w:i/>
          <w:sz w:val="24"/>
          <w:szCs w:val="24"/>
        </w:rPr>
        <w:t>e.g.</w:t>
      </w:r>
      <w:r w:rsidRPr="00572DEC">
        <w:rPr>
          <w:rFonts w:ascii="Book Antiqua" w:hAnsi="Book Antiqua" w:cs="Book Antiqua"/>
          <w:sz w:val="24"/>
          <w:szCs w:val="24"/>
        </w:rPr>
        <w:t>, computed tomography, ultrasonography, biopsy) the stage was classified as advanced</w:t>
      </w:r>
      <w:r w:rsidRPr="00572DEC">
        <w:rPr>
          <w:rFonts w:ascii="Book Antiqua" w:hAnsi="Book Antiqua" w:cs="Book Antiqua"/>
          <w:color w:val="FF0000"/>
          <w:sz w:val="24"/>
          <w:szCs w:val="24"/>
        </w:rPr>
        <w:t xml:space="preserve">. </w:t>
      </w:r>
      <w:r w:rsidRPr="00572DEC">
        <w:rPr>
          <w:rFonts w:ascii="Book Antiqua" w:hAnsi="Book Antiqua" w:cs="Book Antiqua"/>
          <w:sz w:val="24"/>
          <w:szCs w:val="24"/>
        </w:rPr>
        <w:t>T</w:t>
      </w:r>
      <w:r w:rsidRPr="00572DEC">
        <w:rPr>
          <w:rFonts w:ascii="Book Antiqua" w:hAnsi="Book Antiqua"/>
          <w:sz w:val="24"/>
          <w:szCs w:val="24"/>
        </w:rPr>
        <w:t xml:space="preserve">he criteria of Warren </w:t>
      </w:r>
      <w:r w:rsidRPr="00224EB6">
        <w:rPr>
          <w:rFonts w:ascii="Book Antiqua" w:hAnsi="Book Antiqua"/>
          <w:i/>
          <w:sz w:val="24"/>
          <w:szCs w:val="24"/>
          <w:lang w:eastAsia="zh-CN"/>
        </w:rPr>
        <w:t>et al</w:t>
      </w:r>
      <w:r w:rsidRPr="00572DEC">
        <w:rPr>
          <w:rFonts w:ascii="Book Antiqua" w:hAnsi="Book Antiqua"/>
          <w:sz w:val="24"/>
          <w:szCs w:val="24"/>
          <w:vertAlign w:val="superscript"/>
        </w:rPr>
        <w:t>[1]</w:t>
      </w:r>
      <w:r w:rsidRPr="00572DEC">
        <w:rPr>
          <w:rFonts w:ascii="Book Antiqua" w:hAnsi="Book Antiqua"/>
          <w:sz w:val="24"/>
          <w:szCs w:val="24"/>
        </w:rPr>
        <w:t xml:space="preserve"> were used to classify synchronous and metachronous tumors. If the time interval between the appearance of the two neoplasms did not exceed 6 mo, they were defined as synchronous, and if the interval time was longer than 6 mo, they were classified as metachronous. </w:t>
      </w:r>
      <w:r w:rsidRPr="00572DEC">
        <w:rPr>
          <w:rFonts w:ascii="Book Antiqua" w:hAnsi="Book Antiqua" w:cs="Book Antiqua"/>
          <w:sz w:val="24"/>
          <w:szCs w:val="24"/>
        </w:rPr>
        <w:t>Tumor location was classified as proximal (cardiac region) or other (truncus, antrum, entire stomach, or anastomosis).</w:t>
      </w:r>
    </w:p>
    <w:p w:rsidR="003E7779" w:rsidRPr="00572DEC" w:rsidRDefault="003E7779" w:rsidP="00D55C8F">
      <w:pPr>
        <w:spacing w:line="360" w:lineRule="auto"/>
        <w:ind w:firstLineChars="200" w:firstLine="480"/>
        <w:jc w:val="both"/>
        <w:rPr>
          <w:rFonts w:ascii="Book Antiqua" w:hAnsi="Book Antiqua"/>
          <w:sz w:val="24"/>
          <w:szCs w:val="24"/>
        </w:rPr>
      </w:pPr>
      <w:r w:rsidRPr="00572DEC">
        <w:rPr>
          <w:rFonts w:ascii="Book Antiqua" w:hAnsi="Book Antiqua"/>
          <w:sz w:val="24"/>
          <w:szCs w:val="24"/>
        </w:rPr>
        <w:t>The mean follow-up time for the GC patients was 31.</w:t>
      </w:r>
      <w:r w:rsidRPr="00572DEC">
        <w:rPr>
          <w:rFonts w:ascii="Book Antiqua" w:hAnsi="Book Antiqua" w:cs="Book Antiqua"/>
          <w:sz w:val="24"/>
          <w:szCs w:val="24"/>
        </w:rPr>
        <w:t>3 ± 38.6</w:t>
      </w:r>
      <w:r w:rsidRPr="00572DEC">
        <w:rPr>
          <w:rFonts w:ascii="Book Antiqua" w:hAnsi="Book Antiqua"/>
          <w:sz w:val="24"/>
          <w:szCs w:val="24"/>
        </w:rPr>
        <w:t xml:space="preserve"> mo (range 1–</w:t>
      </w:r>
      <w:r w:rsidRPr="00572DEC">
        <w:rPr>
          <w:rFonts w:ascii="Book Antiqua" w:hAnsi="Book Antiqua" w:cs="Book Antiqua"/>
          <w:sz w:val="24"/>
          <w:szCs w:val="24"/>
        </w:rPr>
        <w:t>241</w:t>
      </w:r>
      <w:r w:rsidRPr="00572DEC">
        <w:rPr>
          <w:rFonts w:ascii="Book Antiqua" w:hAnsi="Book Antiqua"/>
          <w:sz w:val="24"/>
          <w:szCs w:val="24"/>
        </w:rPr>
        <w:t xml:space="preserve"> mo). The group of metachronous GC patients (</w:t>
      </w:r>
      <w:r w:rsidRPr="00572DEC">
        <w:rPr>
          <w:rFonts w:ascii="Book Antiqua" w:hAnsi="Book Antiqua"/>
          <w:i/>
          <w:sz w:val="24"/>
          <w:szCs w:val="24"/>
        </w:rPr>
        <w:t>n</w:t>
      </w:r>
      <w:r w:rsidRPr="00572DEC">
        <w:rPr>
          <w:rFonts w:ascii="Book Antiqua" w:hAnsi="Book Antiqua"/>
          <w:sz w:val="24"/>
          <w:szCs w:val="24"/>
        </w:rPr>
        <w:t xml:space="preserve"> = 34) was compared to the synchronous GC patient group (</w:t>
      </w:r>
      <w:r w:rsidRPr="00572DEC">
        <w:rPr>
          <w:rFonts w:ascii="Book Antiqua" w:hAnsi="Book Antiqua"/>
          <w:i/>
          <w:sz w:val="24"/>
          <w:szCs w:val="24"/>
        </w:rPr>
        <w:t>n</w:t>
      </w:r>
      <w:r w:rsidRPr="00572DEC">
        <w:rPr>
          <w:rFonts w:ascii="Book Antiqua" w:hAnsi="Book Antiqua"/>
          <w:sz w:val="24"/>
          <w:szCs w:val="24"/>
        </w:rPr>
        <w:t xml:space="preserve"> = 22). Two patients were excluded from this comparison because they developed both metachronous and synchronous cancers. The group with multiple GC (</w:t>
      </w:r>
      <w:r w:rsidRPr="00572DEC">
        <w:rPr>
          <w:rFonts w:ascii="Book Antiqua" w:hAnsi="Book Antiqua"/>
          <w:i/>
          <w:sz w:val="24"/>
          <w:szCs w:val="24"/>
        </w:rPr>
        <w:t>n</w:t>
      </w:r>
      <w:r w:rsidRPr="00572DEC">
        <w:rPr>
          <w:rFonts w:ascii="Book Antiqua" w:hAnsi="Book Antiqua"/>
          <w:sz w:val="24"/>
          <w:szCs w:val="24"/>
        </w:rPr>
        <w:t xml:space="preserve"> = 58) was compared to the group without a second cancer (</w:t>
      </w:r>
      <w:r w:rsidRPr="00572DEC">
        <w:rPr>
          <w:rFonts w:ascii="Book Antiqua" w:hAnsi="Book Antiqua"/>
          <w:i/>
          <w:sz w:val="24"/>
          <w:szCs w:val="24"/>
        </w:rPr>
        <w:t>n</w:t>
      </w:r>
      <w:r w:rsidRPr="00572DEC">
        <w:rPr>
          <w:rFonts w:ascii="Book Antiqua" w:hAnsi="Book Antiqua"/>
          <w:sz w:val="24"/>
          <w:szCs w:val="24"/>
        </w:rPr>
        <w:t xml:space="preserve"> = 804). </w:t>
      </w:r>
    </w:p>
    <w:p w:rsidR="003E7779" w:rsidRPr="00572DEC" w:rsidRDefault="003E7779" w:rsidP="004517BA">
      <w:pPr>
        <w:spacing w:line="360" w:lineRule="auto"/>
        <w:jc w:val="both"/>
        <w:rPr>
          <w:rFonts w:ascii="Book Antiqua" w:hAnsi="Book Antiqua"/>
          <w:b/>
          <w:i/>
          <w:sz w:val="24"/>
          <w:szCs w:val="24"/>
        </w:rPr>
      </w:pPr>
    </w:p>
    <w:p w:rsidR="003E7779" w:rsidRPr="00572DEC" w:rsidRDefault="003E7779" w:rsidP="004517BA">
      <w:pPr>
        <w:spacing w:line="360" w:lineRule="auto"/>
        <w:jc w:val="both"/>
        <w:rPr>
          <w:rFonts w:ascii="Book Antiqua" w:hAnsi="Book Antiqua"/>
          <w:b/>
          <w:i/>
          <w:sz w:val="24"/>
          <w:szCs w:val="24"/>
        </w:rPr>
      </w:pPr>
      <w:r w:rsidRPr="00572DEC">
        <w:rPr>
          <w:rFonts w:ascii="Book Antiqua" w:hAnsi="Book Antiqua"/>
          <w:b/>
          <w:i/>
          <w:sz w:val="24"/>
          <w:szCs w:val="24"/>
        </w:rPr>
        <w:t>Statistical analysis</w:t>
      </w:r>
      <w:r w:rsidRPr="00572DEC">
        <w:rPr>
          <w:rFonts w:ascii="Book Antiqua" w:hAnsi="Book Antiqua" w:cs="Book Antiqua"/>
          <w:b/>
          <w:bCs/>
          <w:i/>
          <w:iCs/>
          <w:sz w:val="24"/>
          <w:szCs w:val="24"/>
        </w:rPr>
        <w:t xml:space="preserve"> </w:t>
      </w:r>
    </w:p>
    <w:p w:rsidR="003E7779" w:rsidRPr="00572DEC" w:rsidRDefault="003E7779" w:rsidP="004517BA">
      <w:pPr>
        <w:spacing w:line="360" w:lineRule="auto"/>
        <w:jc w:val="both"/>
        <w:rPr>
          <w:rFonts w:ascii="Book Antiqua" w:hAnsi="Book Antiqua"/>
          <w:sz w:val="24"/>
          <w:szCs w:val="24"/>
        </w:rPr>
      </w:pPr>
      <w:r w:rsidRPr="00572DEC">
        <w:rPr>
          <w:rFonts w:ascii="Book Antiqua" w:hAnsi="Book Antiqua"/>
          <w:sz w:val="24"/>
          <w:szCs w:val="24"/>
        </w:rPr>
        <w:t xml:space="preserve">For statistical analysis, we used </w:t>
      </w:r>
      <w:r w:rsidRPr="00572DEC">
        <w:rPr>
          <w:rFonts w:ascii="Book Antiqua" w:hAnsi="Book Antiqua"/>
          <w:i/>
          <w:sz w:val="24"/>
          <w:szCs w:val="24"/>
        </w:rPr>
        <w:t>χ</w:t>
      </w:r>
      <w:r w:rsidRPr="00572DEC">
        <w:rPr>
          <w:rFonts w:ascii="Book Antiqua" w:hAnsi="Book Antiqua" w:cs="Book Antiqua"/>
          <w:i/>
          <w:iCs/>
          <w:sz w:val="24"/>
          <w:szCs w:val="24"/>
        </w:rPr>
        <w:t>²</w:t>
      </w:r>
      <w:r w:rsidRPr="00572DEC">
        <w:rPr>
          <w:rFonts w:ascii="Book Antiqua" w:hAnsi="Book Antiqua"/>
          <w:sz w:val="24"/>
          <w:szCs w:val="24"/>
        </w:rPr>
        <w:t xml:space="preserve"> or Fisher’s exact tests for categorical variables, and Student’s </w:t>
      </w:r>
      <w:r w:rsidRPr="00572DEC">
        <w:rPr>
          <w:rFonts w:ascii="Book Antiqua" w:hAnsi="Book Antiqua"/>
          <w:i/>
          <w:sz w:val="24"/>
          <w:szCs w:val="24"/>
        </w:rPr>
        <w:t>t-</w:t>
      </w:r>
      <w:r w:rsidRPr="00572DEC">
        <w:rPr>
          <w:rFonts w:ascii="Book Antiqua" w:hAnsi="Book Antiqua"/>
          <w:sz w:val="24"/>
          <w:szCs w:val="24"/>
        </w:rPr>
        <w:t xml:space="preserve">test and Mann-Whitney </w:t>
      </w:r>
      <w:r w:rsidRPr="00DF6B6A">
        <w:rPr>
          <w:rFonts w:ascii="Book Antiqua" w:hAnsi="Book Antiqua"/>
          <w:i/>
          <w:sz w:val="24"/>
          <w:szCs w:val="24"/>
        </w:rPr>
        <w:t>U</w:t>
      </w:r>
      <w:r w:rsidRPr="00572DEC">
        <w:rPr>
          <w:rFonts w:ascii="Book Antiqua" w:hAnsi="Book Antiqua"/>
          <w:sz w:val="24"/>
          <w:szCs w:val="24"/>
        </w:rPr>
        <w:t xml:space="preserve">-test for continuous variables. </w:t>
      </w:r>
      <w:r w:rsidRPr="00572DEC">
        <w:rPr>
          <w:rFonts w:ascii="Book Antiqua" w:hAnsi="Book Antiqua"/>
          <w:i/>
          <w:sz w:val="24"/>
          <w:szCs w:val="24"/>
        </w:rPr>
        <w:t>P</w:t>
      </w:r>
      <w:r w:rsidRPr="00572DEC">
        <w:rPr>
          <w:rFonts w:ascii="Book Antiqua" w:hAnsi="Book Antiqua"/>
          <w:sz w:val="24"/>
          <w:szCs w:val="24"/>
        </w:rPr>
        <w:t xml:space="preserve"> &lt; 0.05 was considered to be statistically significant. All statistical analyses were performed with the statistical software STATISTICA 10. </w:t>
      </w:r>
    </w:p>
    <w:p w:rsidR="003E7779" w:rsidRPr="00572DEC" w:rsidRDefault="003E7779" w:rsidP="004517BA">
      <w:pPr>
        <w:spacing w:line="360" w:lineRule="auto"/>
        <w:jc w:val="both"/>
        <w:rPr>
          <w:rFonts w:ascii="Book Antiqua" w:hAnsi="Book Antiqua"/>
          <w:b/>
          <w:sz w:val="24"/>
          <w:szCs w:val="24"/>
        </w:rPr>
      </w:pPr>
    </w:p>
    <w:p w:rsidR="003E7779" w:rsidRPr="00572DEC" w:rsidRDefault="003E7779" w:rsidP="004517BA">
      <w:pPr>
        <w:spacing w:line="360" w:lineRule="auto"/>
        <w:jc w:val="both"/>
        <w:rPr>
          <w:rFonts w:ascii="Book Antiqua" w:hAnsi="Book Antiqua"/>
          <w:b/>
          <w:sz w:val="24"/>
          <w:szCs w:val="24"/>
        </w:rPr>
      </w:pPr>
      <w:r w:rsidRPr="00572DEC">
        <w:rPr>
          <w:rFonts w:ascii="Book Antiqua" w:hAnsi="Book Antiqua" w:cs="Book Antiqua"/>
          <w:b/>
          <w:bCs/>
          <w:sz w:val="24"/>
          <w:szCs w:val="24"/>
        </w:rPr>
        <w:t>RESULTS</w:t>
      </w:r>
      <w:r w:rsidRPr="00572DEC">
        <w:rPr>
          <w:rFonts w:ascii="Book Antiqua" w:hAnsi="Book Antiqua"/>
          <w:b/>
          <w:sz w:val="24"/>
          <w:szCs w:val="24"/>
        </w:rPr>
        <w:t xml:space="preserve"> </w:t>
      </w:r>
    </w:p>
    <w:p w:rsidR="003E7779" w:rsidRPr="00572DEC" w:rsidRDefault="003E7779" w:rsidP="004517BA">
      <w:pPr>
        <w:spacing w:line="360" w:lineRule="auto"/>
        <w:jc w:val="both"/>
        <w:rPr>
          <w:rFonts w:ascii="Book Antiqua" w:hAnsi="Book Antiqua"/>
          <w:b/>
          <w:i/>
          <w:sz w:val="24"/>
          <w:szCs w:val="24"/>
        </w:rPr>
      </w:pPr>
      <w:r w:rsidRPr="00572DEC">
        <w:rPr>
          <w:rFonts w:ascii="Book Antiqua" w:hAnsi="Book Antiqua"/>
          <w:b/>
          <w:i/>
          <w:sz w:val="24"/>
          <w:szCs w:val="24"/>
        </w:rPr>
        <w:t>Characteristics of the gastric cancer patients</w:t>
      </w:r>
    </w:p>
    <w:p w:rsidR="003E7779" w:rsidRPr="00572DEC" w:rsidRDefault="003E7779" w:rsidP="004517BA">
      <w:pPr>
        <w:tabs>
          <w:tab w:val="left" w:pos="630"/>
        </w:tabs>
        <w:spacing w:line="360" w:lineRule="auto"/>
        <w:jc w:val="both"/>
        <w:rPr>
          <w:rFonts w:ascii="Book Antiqua" w:hAnsi="Book Antiqua" w:cs="Book Antiqua"/>
          <w:sz w:val="24"/>
          <w:szCs w:val="24"/>
        </w:rPr>
      </w:pPr>
      <w:r w:rsidRPr="00572DEC">
        <w:rPr>
          <w:rFonts w:ascii="Book Antiqua" w:hAnsi="Book Antiqua" w:cs="Book Antiqua"/>
          <w:sz w:val="24"/>
          <w:szCs w:val="24"/>
        </w:rPr>
        <w:t>The baseline characteristics of the GC patients included in the study are shown in Table 1.</w:t>
      </w:r>
      <w:r w:rsidRPr="00572DEC">
        <w:rPr>
          <w:rFonts w:ascii="Book Antiqua" w:hAnsi="Book Antiqua" w:cs="Book Antiqua"/>
          <w:color w:val="FF0000"/>
          <w:sz w:val="24"/>
          <w:szCs w:val="24"/>
        </w:rPr>
        <w:t xml:space="preserve"> </w:t>
      </w:r>
      <w:r w:rsidRPr="00572DEC">
        <w:rPr>
          <w:rFonts w:ascii="Book Antiqua" w:hAnsi="Book Antiqua" w:cs="Book Antiqua"/>
          <w:sz w:val="24"/>
          <w:szCs w:val="24"/>
        </w:rPr>
        <w:t>The</w:t>
      </w:r>
      <w:r w:rsidRPr="00572DEC">
        <w:rPr>
          <w:rFonts w:ascii="Book Antiqua" w:hAnsi="Book Antiqua" w:cs="Book Antiqua"/>
          <w:i/>
          <w:iCs/>
          <w:sz w:val="24"/>
          <w:szCs w:val="24"/>
        </w:rPr>
        <w:t xml:space="preserve"> </w:t>
      </w:r>
      <w:r w:rsidRPr="00572DEC">
        <w:rPr>
          <w:rFonts w:ascii="Book Antiqua" w:hAnsi="Book Antiqua" w:cs="Book Antiqua"/>
          <w:sz w:val="24"/>
          <w:szCs w:val="24"/>
        </w:rPr>
        <w:t xml:space="preserve">median age of all 862 patients (570 men and 292 women) was 59.8 ± 12.8 </w:t>
      </w:r>
      <w:r w:rsidRPr="00572DEC">
        <w:rPr>
          <w:rFonts w:ascii="Book Antiqua" w:hAnsi="Book Antiqua"/>
          <w:sz w:val="24"/>
          <w:szCs w:val="24"/>
        </w:rPr>
        <w:t>y</w:t>
      </w:r>
      <w:r>
        <w:rPr>
          <w:rFonts w:ascii="Book Antiqua" w:hAnsi="Book Antiqua"/>
          <w:sz w:val="24"/>
          <w:szCs w:val="24"/>
          <w:lang w:eastAsia="zh-CN"/>
        </w:rPr>
        <w:t>ears</w:t>
      </w:r>
      <w:r w:rsidRPr="00572DEC">
        <w:rPr>
          <w:rFonts w:ascii="Book Antiqua" w:hAnsi="Book Antiqua" w:cs="Book Antiqua"/>
          <w:sz w:val="24"/>
          <w:szCs w:val="24"/>
        </w:rPr>
        <w:t xml:space="preserve"> (range 15–89 </w:t>
      </w:r>
      <w:r w:rsidRPr="00572DEC">
        <w:rPr>
          <w:rFonts w:ascii="Book Antiqua" w:hAnsi="Book Antiqua"/>
          <w:sz w:val="24"/>
          <w:szCs w:val="24"/>
        </w:rPr>
        <w:t>y</w:t>
      </w:r>
      <w:r>
        <w:rPr>
          <w:rFonts w:ascii="Book Antiqua" w:hAnsi="Book Antiqua"/>
          <w:sz w:val="24"/>
          <w:szCs w:val="24"/>
          <w:lang w:eastAsia="zh-CN"/>
        </w:rPr>
        <w:t>ears</w:t>
      </w:r>
      <w:r w:rsidRPr="00572DEC">
        <w:rPr>
          <w:rFonts w:ascii="Book Antiqua" w:hAnsi="Book Antiqua" w:cs="Book Antiqua"/>
          <w:sz w:val="24"/>
          <w:szCs w:val="24"/>
        </w:rPr>
        <w:t>). The mean duration of symptoms from the first alarming symptoms was 25.1 mo (range 0–480 mo). In 21 cases, there were no symptoms and gastric cancer was diagnosed during emergency endoscopy due to gastrointestinal bleeding. Among GC patients with a family history positive for cancer, 40.2% reported gastric cancer in first- or second-degree relatives, of whom 35.8% also had neoplasms other than gastric cancer. In 18% of patients with a family history positive for cancer, cancers of the gastrointestinal tract excluding the stomach (</w:t>
      </w:r>
      <w:r w:rsidRPr="00572DEC">
        <w:rPr>
          <w:rFonts w:ascii="Book Antiqua" w:hAnsi="Book Antiqua" w:cs="Book Antiqua"/>
          <w:i/>
          <w:sz w:val="24"/>
          <w:szCs w:val="24"/>
        </w:rPr>
        <w:t>e.g.</w:t>
      </w:r>
      <w:r w:rsidRPr="00572DEC">
        <w:rPr>
          <w:rFonts w:ascii="Book Antiqua" w:hAnsi="Book Antiqua" w:cs="Book Antiqua"/>
          <w:sz w:val="24"/>
          <w:szCs w:val="24"/>
        </w:rPr>
        <w:t>, colon, pancreas, and esophagus) were noted. In addition, 41.8% of patients reported other cancers (</w:t>
      </w:r>
      <w:r w:rsidRPr="00572DEC">
        <w:rPr>
          <w:rFonts w:ascii="Book Antiqua" w:hAnsi="Book Antiqua" w:cs="Book Antiqua"/>
          <w:i/>
          <w:sz w:val="24"/>
          <w:szCs w:val="24"/>
        </w:rPr>
        <w:t>e.g.</w:t>
      </w:r>
      <w:r w:rsidRPr="00572DEC">
        <w:rPr>
          <w:rFonts w:ascii="Book Antiqua" w:hAnsi="Book Antiqua" w:cs="Book Antiqua"/>
          <w:sz w:val="24"/>
          <w:szCs w:val="24"/>
        </w:rPr>
        <w:t>, leukemia, uterus, skin breast, lung, and larynx) in close family members. Twenty six (49%) of 53 multiple GC patients reported cancer in their first- or second-degree relatives; almost half (46.2%) of these relatives had GC.</w:t>
      </w:r>
    </w:p>
    <w:p w:rsidR="003E7779" w:rsidRPr="00572DEC" w:rsidRDefault="003E7779" w:rsidP="00841EBA">
      <w:pPr>
        <w:tabs>
          <w:tab w:val="left" w:pos="630"/>
        </w:tabs>
        <w:spacing w:line="360" w:lineRule="auto"/>
        <w:ind w:firstLineChars="200" w:firstLine="480"/>
        <w:jc w:val="both"/>
        <w:rPr>
          <w:rFonts w:ascii="Book Antiqua" w:hAnsi="Book Antiqua"/>
          <w:sz w:val="24"/>
          <w:szCs w:val="24"/>
        </w:rPr>
      </w:pPr>
      <w:r w:rsidRPr="00572DEC">
        <w:rPr>
          <w:rFonts w:ascii="Book Antiqua" w:hAnsi="Book Antiqua"/>
          <w:sz w:val="24"/>
          <w:szCs w:val="24"/>
        </w:rPr>
        <w:t>GC surgery was performed on 598 patients; one underwent mucosectomy and the rest underwent exploratory surgery or were treated nonsurgically because of advanced GC or general contraindications</w:t>
      </w:r>
      <w:r w:rsidRPr="00572DEC">
        <w:rPr>
          <w:rFonts w:ascii="Book Antiqua" w:hAnsi="Book Antiqua"/>
          <w:color w:val="FF0000"/>
          <w:sz w:val="24"/>
          <w:szCs w:val="24"/>
        </w:rPr>
        <w:t xml:space="preserve">. </w:t>
      </w:r>
      <w:r w:rsidRPr="00572DEC">
        <w:rPr>
          <w:rFonts w:ascii="Book Antiqua" w:hAnsi="Book Antiqua"/>
          <w:sz w:val="24"/>
          <w:szCs w:val="24"/>
        </w:rPr>
        <w:t>Of the total patients with GC</w:t>
      </w:r>
      <w:r w:rsidRPr="00572DEC">
        <w:rPr>
          <w:rFonts w:ascii="Book Antiqua" w:hAnsi="Book Antiqua" w:cs="Book Antiqua"/>
          <w:sz w:val="24"/>
          <w:szCs w:val="24"/>
        </w:rPr>
        <w:t xml:space="preserve"> and a known stage of disease (</w:t>
      </w:r>
      <w:r w:rsidRPr="00572DEC">
        <w:rPr>
          <w:rFonts w:ascii="Book Antiqua" w:hAnsi="Book Antiqua" w:cs="Book Antiqua"/>
          <w:i/>
          <w:sz w:val="24"/>
          <w:szCs w:val="24"/>
        </w:rPr>
        <w:t>n</w:t>
      </w:r>
      <w:r w:rsidRPr="00572DEC">
        <w:rPr>
          <w:rFonts w:ascii="Book Antiqua" w:hAnsi="Book Antiqua" w:cs="Book Antiqua"/>
          <w:sz w:val="24"/>
          <w:szCs w:val="24"/>
        </w:rPr>
        <w:t xml:space="preserve"> = 727),</w:t>
      </w:r>
      <w:r w:rsidRPr="00572DEC">
        <w:rPr>
          <w:rFonts w:ascii="Book Antiqua" w:hAnsi="Book Antiqua"/>
          <w:sz w:val="24"/>
          <w:szCs w:val="24"/>
        </w:rPr>
        <w:t xml:space="preserve"> 119 (</w:t>
      </w:r>
      <w:r w:rsidRPr="00572DEC">
        <w:rPr>
          <w:rFonts w:ascii="Book Antiqua" w:hAnsi="Book Antiqua" w:cs="Book Antiqua"/>
          <w:sz w:val="24"/>
          <w:szCs w:val="24"/>
        </w:rPr>
        <w:t>16.4</w:t>
      </w:r>
      <w:r w:rsidRPr="00572DEC">
        <w:rPr>
          <w:rFonts w:ascii="Book Antiqua" w:hAnsi="Book Antiqua"/>
          <w:sz w:val="24"/>
          <w:szCs w:val="24"/>
        </w:rPr>
        <w:t xml:space="preserve">%) had early GC. Of the 119 patients with early GC, 13 (10.9%) had multiple GC tumors. </w:t>
      </w:r>
    </w:p>
    <w:p w:rsidR="003E7779" w:rsidRPr="00572DEC" w:rsidRDefault="003E7779" w:rsidP="00841EBA">
      <w:pPr>
        <w:spacing w:line="360" w:lineRule="auto"/>
        <w:ind w:firstLineChars="200" w:firstLine="480"/>
        <w:jc w:val="both"/>
        <w:rPr>
          <w:rFonts w:ascii="Book Antiqua" w:hAnsi="Book Antiqua" w:cs="Book Antiqua"/>
          <w:sz w:val="24"/>
          <w:szCs w:val="24"/>
        </w:rPr>
      </w:pPr>
      <w:r w:rsidRPr="00572DEC">
        <w:rPr>
          <w:rFonts w:ascii="Book Antiqua" w:hAnsi="Book Antiqua" w:cs="Book Antiqua"/>
          <w:sz w:val="24"/>
          <w:szCs w:val="24"/>
        </w:rPr>
        <w:t xml:space="preserve">In 181 (21%) of the total 862 cases, the tumor site was the cardia and fundus or the cardia and the upper part of the truncus (classified as the proximal site). In the remaining patients, the tumor site was classified as other localization, as follows: 376 </w:t>
      </w:r>
      <w:r w:rsidRPr="00572DEC">
        <w:rPr>
          <w:rFonts w:ascii="Book Antiqua" w:hAnsi="Book Antiqua" w:cs="Book Antiqua"/>
          <w:sz w:val="24"/>
          <w:szCs w:val="24"/>
        </w:rPr>
        <w:lastRenderedPageBreak/>
        <w:t xml:space="preserve">(43.6%) truncus, 253 (29.4%) antrum, 39 (4.5%) entire stomach. In 13 (1.5%) cases, the tumor was located in the anastomosis after a previous operation to treat ulcers. </w:t>
      </w:r>
    </w:p>
    <w:p w:rsidR="003E7779" w:rsidRPr="00572DEC" w:rsidRDefault="003E7779" w:rsidP="00841EBA">
      <w:pPr>
        <w:spacing w:line="360" w:lineRule="auto"/>
        <w:ind w:firstLineChars="200" w:firstLine="480"/>
        <w:jc w:val="both"/>
        <w:rPr>
          <w:rFonts w:ascii="Book Antiqua" w:hAnsi="Book Antiqua" w:cs="Book Antiqua"/>
          <w:b/>
          <w:bCs/>
          <w:sz w:val="24"/>
          <w:szCs w:val="24"/>
        </w:rPr>
      </w:pPr>
      <w:r w:rsidRPr="00572DEC">
        <w:rPr>
          <w:rFonts w:ascii="Book Antiqua" w:hAnsi="Book Antiqua" w:cs="Book Antiqua"/>
          <w:sz w:val="24"/>
          <w:szCs w:val="24"/>
        </w:rPr>
        <w:t>The main histological type of gastric cancer was diffuse (48.3%), followed by intestinal (43.4%) and mixed (8.3%). The most common blood group in all GC cases was group A (37.2%), followed by group O (33.7%), group B (18.7%), and group AB (10.4%)</w:t>
      </w:r>
    </w:p>
    <w:p w:rsidR="003E7779" w:rsidRPr="00572DEC" w:rsidRDefault="003E7779" w:rsidP="00CD1A1A">
      <w:pPr>
        <w:pStyle w:val="1"/>
        <w:spacing w:line="360" w:lineRule="auto"/>
        <w:ind w:firstLineChars="250" w:firstLine="600"/>
        <w:rPr>
          <w:rFonts w:ascii="Book Antiqua" w:hAnsi="Book Antiqua"/>
          <w:b w:val="0"/>
        </w:rPr>
      </w:pPr>
      <w:r w:rsidRPr="00572DEC">
        <w:rPr>
          <w:rFonts w:ascii="Book Antiqua" w:hAnsi="Book Antiqua"/>
          <w:b w:val="0"/>
        </w:rPr>
        <w:t xml:space="preserve">A comparison between the groups of patients with or without a second primary tumor indicated that the only significant </w:t>
      </w:r>
      <w:r w:rsidRPr="00572DEC">
        <w:rPr>
          <w:rFonts w:ascii="Book Antiqua" w:hAnsi="Book Antiqua" w:cs="Book Antiqua"/>
          <w:b w:val="0"/>
          <w:bCs w:val="0"/>
        </w:rPr>
        <w:t>differences occurred in age and blood group</w:t>
      </w:r>
      <w:r w:rsidRPr="00572DEC">
        <w:rPr>
          <w:rFonts w:ascii="Book Antiqua" w:hAnsi="Book Antiqua" w:cs="Book Antiqua"/>
        </w:rPr>
        <w:t xml:space="preserve">. </w:t>
      </w:r>
      <w:r w:rsidRPr="00572DEC">
        <w:rPr>
          <w:rFonts w:ascii="Book Antiqua" w:hAnsi="Book Antiqua" w:cs="Book Antiqua"/>
          <w:b w:val="0"/>
          <w:bCs w:val="0"/>
        </w:rPr>
        <w:t>The mean age of multiple GC patients was higher than that of those without a second primary tumor (63.4 ± 11.4</w:t>
      </w:r>
      <w:r w:rsidRPr="005C672E">
        <w:rPr>
          <w:rFonts w:ascii="Book Antiqua" w:hAnsi="Book Antiqua"/>
        </w:rPr>
        <w:t xml:space="preserve"> </w:t>
      </w:r>
      <w:r w:rsidRPr="005C672E">
        <w:rPr>
          <w:rFonts w:ascii="Book Antiqua" w:hAnsi="Book Antiqua"/>
          <w:b w:val="0"/>
        </w:rPr>
        <w:t>y</w:t>
      </w:r>
      <w:r w:rsidRPr="005C672E">
        <w:rPr>
          <w:rFonts w:ascii="Book Antiqua" w:hAnsi="Book Antiqua"/>
          <w:b w:val="0"/>
          <w:lang w:eastAsia="zh-CN"/>
        </w:rPr>
        <w:t>ears</w:t>
      </w:r>
      <w:r w:rsidRPr="00572DEC">
        <w:rPr>
          <w:rFonts w:ascii="Book Antiqua" w:hAnsi="Book Antiqua" w:cs="Book Antiqua"/>
          <w:b w:val="0"/>
          <w:bCs w:val="0"/>
        </w:rPr>
        <w:t xml:space="preserve"> </w:t>
      </w:r>
      <w:r w:rsidRPr="00572DEC">
        <w:rPr>
          <w:rFonts w:ascii="Book Antiqua" w:hAnsi="Book Antiqua" w:cs="Book Antiqua"/>
          <w:b w:val="0"/>
          <w:bCs w:val="0"/>
          <w:i/>
        </w:rPr>
        <w:t>vs</w:t>
      </w:r>
      <w:r w:rsidRPr="00572DEC">
        <w:rPr>
          <w:rFonts w:ascii="Book Antiqua" w:hAnsi="Book Antiqua" w:cs="Book Antiqua"/>
          <w:b w:val="0"/>
          <w:bCs w:val="0"/>
        </w:rPr>
        <w:t xml:space="preserve"> 59.5 ± 13.0 </w:t>
      </w:r>
      <w:r w:rsidRPr="005C672E">
        <w:rPr>
          <w:rFonts w:ascii="Book Antiqua" w:hAnsi="Book Antiqua"/>
          <w:b w:val="0"/>
        </w:rPr>
        <w:t>y</w:t>
      </w:r>
      <w:r w:rsidRPr="005C672E">
        <w:rPr>
          <w:rFonts w:ascii="Book Antiqua" w:hAnsi="Book Antiqua"/>
          <w:b w:val="0"/>
          <w:lang w:eastAsia="zh-CN"/>
        </w:rPr>
        <w:t>ears</w:t>
      </w:r>
      <w:r w:rsidRPr="00572DEC">
        <w:rPr>
          <w:rFonts w:ascii="Book Antiqua" w:hAnsi="Book Antiqua" w:cs="Book Antiqua"/>
          <w:b w:val="0"/>
          <w:bCs w:val="0"/>
        </w:rPr>
        <w:t>, respectively</w:t>
      </w:r>
      <w:r>
        <w:rPr>
          <w:rFonts w:ascii="Book Antiqua" w:hAnsi="Book Antiqua" w:cs="Book Antiqua"/>
          <w:b w:val="0"/>
          <w:bCs w:val="0"/>
        </w:rPr>
        <w:t xml:space="preserve">, </w:t>
      </w:r>
      <w:r w:rsidRPr="00572DEC">
        <w:rPr>
          <w:rFonts w:ascii="Book Antiqua" w:hAnsi="Book Antiqua" w:cs="Book Antiqua"/>
          <w:b w:val="0"/>
          <w:bCs w:val="0"/>
          <w:i/>
          <w:iCs/>
        </w:rPr>
        <w:t xml:space="preserve">P </w:t>
      </w:r>
      <w:r w:rsidRPr="00572DEC">
        <w:rPr>
          <w:rFonts w:ascii="Book Antiqua" w:hAnsi="Book Antiqua" w:cs="Book Antiqua"/>
          <w:b w:val="0"/>
          <w:bCs w:val="0"/>
        </w:rPr>
        <w:t>= 0.026) (Figure 1</w:t>
      </w:r>
      <w:r>
        <w:rPr>
          <w:rFonts w:ascii="Book Antiqua" w:hAnsi="Book Antiqua" w:cs="Book Antiqua"/>
          <w:b w:val="0"/>
          <w:bCs w:val="0"/>
          <w:lang w:eastAsia="zh-CN"/>
        </w:rPr>
        <w:t>A</w:t>
      </w:r>
      <w:r w:rsidRPr="00572DEC">
        <w:rPr>
          <w:rFonts w:ascii="Book Antiqua" w:hAnsi="Book Antiqua" w:cs="Book Antiqua"/>
          <w:b w:val="0"/>
          <w:bCs w:val="0"/>
        </w:rPr>
        <w:t xml:space="preserve">). </w:t>
      </w:r>
    </w:p>
    <w:p w:rsidR="003E7779" w:rsidRPr="00572DEC" w:rsidRDefault="003E7779" w:rsidP="00CD1A1A">
      <w:pPr>
        <w:pStyle w:val="1"/>
        <w:spacing w:line="360" w:lineRule="auto"/>
        <w:ind w:firstLineChars="250" w:firstLine="600"/>
        <w:rPr>
          <w:rFonts w:ascii="Book Antiqua" w:hAnsi="Book Antiqua" w:cs="Book Antiqua"/>
        </w:rPr>
      </w:pPr>
      <w:r w:rsidRPr="00572DEC">
        <w:rPr>
          <w:rFonts w:ascii="Book Antiqua" w:hAnsi="Book Antiqua" w:cs="Book Antiqua"/>
          <w:b w:val="0"/>
          <w:bCs w:val="0"/>
        </w:rPr>
        <w:t xml:space="preserve">GC patients with a second primary tumor were more commonly blood group O than those without a second primary tumor (56.2% </w:t>
      </w:r>
      <w:r w:rsidRPr="00572DEC">
        <w:rPr>
          <w:rFonts w:ascii="Book Antiqua" w:hAnsi="Book Antiqua" w:cs="Book Antiqua"/>
          <w:b w:val="0"/>
          <w:bCs w:val="0"/>
          <w:i/>
        </w:rPr>
        <w:t>vs</w:t>
      </w:r>
      <w:r w:rsidRPr="00572DEC">
        <w:rPr>
          <w:rFonts w:ascii="Book Antiqua" w:hAnsi="Book Antiqua" w:cs="Book Antiqua"/>
          <w:b w:val="0"/>
          <w:bCs w:val="0"/>
        </w:rPr>
        <w:t xml:space="preserve"> 31.6%, respectively</w:t>
      </w:r>
      <w:r>
        <w:rPr>
          <w:rFonts w:ascii="Book Antiqua" w:hAnsi="Book Antiqua" w:cs="Book Antiqua"/>
          <w:b w:val="0"/>
        </w:rPr>
        <w:t>,</w:t>
      </w:r>
      <w:r w:rsidRPr="00572DEC">
        <w:rPr>
          <w:rFonts w:ascii="Book Antiqua" w:hAnsi="Book Antiqua" w:cs="Book Antiqua"/>
        </w:rPr>
        <w:t xml:space="preserve"> </w:t>
      </w:r>
      <w:r w:rsidRPr="00572DEC">
        <w:rPr>
          <w:rFonts w:ascii="Book Antiqua" w:hAnsi="Book Antiqua" w:cs="Book Antiqua"/>
          <w:b w:val="0"/>
          <w:bCs w:val="0"/>
          <w:i/>
          <w:iCs/>
        </w:rPr>
        <w:t>P</w:t>
      </w:r>
      <w:r w:rsidRPr="00572DEC">
        <w:rPr>
          <w:rFonts w:ascii="Book Antiqua" w:hAnsi="Book Antiqua" w:cs="Book Antiqua"/>
          <w:b w:val="0"/>
          <w:bCs w:val="0"/>
        </w:rPr>
        <w:t xml:space="preserve"> = 0.002) (Figure </w:t>
      </w:r>
      <w:r>
        <w:rPr>
          <w:rFonts w:ascii="Book Antiqua" w:hAnsi="Book Antiqua" w:cs="Book Antiqua"/>
          <w:b w:val="0"/>
          <w:bCs w:val="0"/>
          <w:lang w:eastAsia="zh-CN"/>
        </w:rPr>
        <w:t>1B</w:t>
      </w:r>
      <w:r w:rsidRPr="00572DEC">
        <w:rPr>
          <w:rFonts w:ascii="Book Antiqua" w:hAnsi="Book Antiqua" w:cs="Book Antiqua"/>
          <w:b w:val="0"/>
          <w:bCs w:val="0"/>
        </w:rPr>
        <w:t xml:space="preserve">). The following characteristics were not significantly different between the two groups: sex, duration of symptoms, family history of cancer (negative history </w:t>
      </w:r>
      <w:r w:rsidRPr="00572DEC">
        <w:rPr>
          <w:rFonts w:ascii="Book Antiqua" w:hAnsi="Book Antiqua" w:cs="Book Antiqua"/>
          <w:b w:val="0"/>
          <w:bCs w:val="0"/>
          <w:i/>
        </w:rPr>
        <w:t>vs</w:t>
      </w:r>
      <w:r w:rsidRPr="00572DEC">
        <w:rPr>
          <w:rFonts w:ascii="Book Antiqua" w:hAnsi="Book Antiqua" w:cs="Book Antiqua"/>
          <w:b w:val="0"/>
          <w:bCs w:val="0"/>
        </w:rPr>
        <w:t xml:space="preserve"> positive history), disease stage (early </w:t>
      </w:r>
      <w:r w:rsidRPr="00572DEC">
        <w:rPr>
          <w:rFonts w:ascii="Book Antiqua" w:hAnsi="Book Antiqua" w:cs="Book Antiqua"/>
          <w:b w:val="0"/>
          <w:bCs w:val="0"/>
          <w:i/>
        </w:rPr>
        <w:t>vs</w:t>
      </w:r>
      <w:r w:rsidRPr="00572DEC">
        <w:rPr>
          <w:rFonts w:ascii="Book Antiqua" w:hAnsi="Book Antiqua" w:cs="Book Antiqua"/>
          <w:b w:val="0"/>
          <w:bCs w:val="0"/>
        </w:rPr>
        <w:t xml:space="preserve"> advanced), site of GC (proximal </w:t>
      </w:r>
      <w:r w:rsidRPr="00572DEC">
        <w:rPr>
          <w:rFonts w:ascii="Book Antiqua" w:hAnsi="Book Antiqua" w:cs="Book Antiqua"/>
          <w:b w:val="0"/>
          <w:bCs w:val="0"/>
          <w:i/>
        </w:rPr>
        <w:t>vs</w:t>
      </w:r>
      <w:r w:rsidRPr="00572DEC">
        <w:rPr>
          <w:rFonts w:ascii="Book Antiqua" w:hAnsi="Book Antiqua" w:cs="Book Antiqua"/>
          <w:b w:val="0"/>
          <w:bCs w:val="0"/>
        </w:rPr>
        <w:t xml:space="preserve"> other localization), and histology (Table 1).</w:t>
      </w:r>
    </w:p>
    <w:p w:rsidR="003E7779" w:rsidRPr="00572DEC" w:rsidRDefault="003E7779" w:rsidP="004517BA">
      <w:pPr>
        <w:spacing w:line="360" w:lineRule="auto"/>
        <w:jc w:val="both"/>
        <w:rPr>
          <w:rFonts w:ascii="Book Antiqua" w:hAnsi="Book Antiqua"/>
          <w:b/>
          <w:i/>
          <w:sz w:val="24"/>
          <w:szCs w:val="24"/>
        </w:rPr>
      </w:pPr>
    </w:p>
    <w:p w:rsidR="003E7779" w:rsidRPr="00572DEC" w:rsidRDefault="003E7779" w:rsidP="004517BA">
      <w:pPr>
        <w:spacing w:line="360" w:lineRule="auto"/>
        <w:jc w:val="both"/>
        <w:rPr>
          <w:rFonts w:ascii="Book Antiqua" w:hAnsi="Book Antiqua"/>
          <w:b/>
          <w:i/>
          <w:sz w:val="24"/>
          <w:szCs w:val="24"/>
        </w:rPr>
      </w:pPr>
      <w:r w:rsidRPr="00572DEC">
        <w:rPr>
          <w:rFonts w:ascii="Book Antiqua" w:hAnsi="Book Antiqua"/>
          <w:b/>
          <w:i/>
          <w:sz w:val="24"/>
          <w:szCs w:val="24"/>
        </w:rPr>
        <w:t>Characteristics of multiple gastric cancer patients</w:t>
      </w:r>
    </w:p>
    <w:p w:rsidR="003E7779" w:rsidRPr="00572DEC" w:rsidRDefault="003E7779" w:rsidP="004517BA">
      <w:pPr>
        <w:spacing w:line="360" w:lineRule="auto"/>
        <w:jc w:val="both"/>
        <w:rPr>
          <w:rFonts w:ascii="Book Antiqua" w:hAnsi="Book Antiqua"/>
          <w:sz w:val="24"/>
          <w:szCs w:val="24"/>
        </w:rPr>
      </w:pPr>
      <w:r w:rsidRPr="00572DEC">
        <w:rPr>
          <w:rFonts w:ascii="Book Antiqua" w:hAnsi="Book Antiqua" w:cs="Book Antiqua"/>
          <w:sz w:val="24"/>
          <w:szCs w:val="24"/>
        </w:rPr>
        <w:t>The baseline characteristics of the patients with multiple GC who participated in the study are shown in Table 1.</w:t>
      </w:r>
      <w:r w:rsidRPr="00572DEC">
        <w:rPr>
          <w:rFonts w:ascii="Book Antiqua" w:hAnsi="Book Antiqua" w:cs="Book Antiqua"/>
          <w:color w:val="FF0000"/>
          <w:sz w:val="24"/>
          <w:szCs w:val="24"/>
        </w:rPr>
        <w:t xml:space="preserve"> </w:t>
      </w:r>
      <w:r w:rsidRPr="00572DEC">
        <w:rPr>
          <w:rFonts w:ascii="Book Antiqua" w:hAnsi="Book Antiqua" w:cs="Book Antiqua"/>
          <w:sz w:val="24"/>
          <w:szCs w:val="24"/>
        </w:rPr>
        <w:t xml:space="preserve">Fifty-eight (6.7%) of the 862 GC patients developed another primary malignancy. </w:t>
      </w:r>
      <w:r w:rsidRPr="00572DEC">
        <w:rPr>
          <w:rFonts w:ascii="Book Antiqua" w:hAnsi="Book Antiqua"/>
          <w:sz w:val="24"/>
          <w:szCs w:val="24"/>
        </w:rPr>
        <w:t>Of the 58 multiple GC patients, 36 (62</w:t>
      </w:r>
      <w:r w:rsidRPr="00572DEC">
        <w:rPr>
          <w:rFonts w:ascii="Book Antiqua" w:hAnsi="Book Antiqua" w:cs="Book Antiqua"/>
          <w:sz w:val="24"/>
          <w:szCs w:val="24"/>
        </w:rPr>
        <w:t>.1</w:t>
      </w:r>
      <w:r w:rsidRPr="00572DEC">
        <w:rPr>
          <w:rFonts w:ascii="Book Antiqua" w:hAnsi="Book Antiqua"/>
          <w:sz w:val="24"/>
          <w:szCs w:val="24"/>
        </w:rPr>
        <w:t>%) were men and 22 (</w:t>
      </w:r>
      <w:r w:rsidRPr="00572DEC">
        <w:rPr>
          <w:rFonts w:ascii="Book Antiqua" w:hAnsi="Book Antiqua" w:cs="Book Antiqua"/>
          <w:sz w:val="24"/>
          <w:szCs w:val="24"/>
        </w:rPr>
        <w:t>37.9</w:t>
      </w:r>
      <w:r w:rsidRPr="00572DEC">
        <w:rPr>
          <w:rFonts w:ascii="Book Antiqua" w:hAnsi="Book Antiqua"/>
          <w:sz w:val="24"/>
          <w:szCs w:val="24"/>
        </w:rPr>
        <w:t xml:space="preserve">%) were women. The median age at diagnosis for these GC patients was 63.4 </w:t>
      </w:r>
      <w:r w:rsidRPr="00703269">
        <w:rPr>
          <w:rFonts w:ascii="Book Antiqua" w:hAnsi="Book Antiqua"/>
          <w:sz w:val="24"/>
          <w:szCs w:val="24"/>
        </w:rPr>
        <w:t>y</w:t>
      </w:r>
      <w:r w:rsidRPr="00703269">
        <w:rPr>
          <w:rFonts w:ascii="Book Antiqua" w:hAnsi="Book Antiqua"/>
          <w:sz w:val="24"/>
          <w:szCs w:val="24"/>
          <w:lang w:eastAsia="zh-CN"/>
        </w:rPr>
        <w:t>ears</w:t>
      </w:r>
      <w:r>
        <w:rPr>
          <w:rFonts w:ascii="Book Antiqua" w:hAnsi="Book Antiqua"/>
          <w:b/>
          <w:sz w:val="24"/>
          <w:szCs w:val="24"/>
          <w:lang w:eastAsia="zh-CN"/>
        </w:rPr>
        <w:t xml:space="preserve"> </w:t>
      </w:r>
      <w:r w:rsidRPr="00572DEC">
        <w:rPr>
          <w:rFonts w:ascii="Book Antiqua" w:hAnsi="Book Antiqua"/>
          <w:sz w:val="24"/>
          <w:szCs w:val="24"/>
        </w:rPr>
        <w:t>± 11.</w:t>
      </w:r>
      <w:r w:rsidRPr="00572DEC">
        <w:rPr>
          <w:rFonts w:ascii="Book Antiqua" w:hAnsi="Book Antiqua" w:cs="Book Antiqua"/>
          <w:sz w:val="24"/>
          <w:szCs w:val="24"/>
        </w:rPr>
        <w:t>4</w:t>
      </w:r>
      <w:r w:rsidRPr="00572DEC">
        <w:rPr>
          <w:rFonts w:ascii="Book Antiqua" w:hAnsi="Book Antiqua"/>
          <w:sz w:val="24"/>
          <w:szCs w:val="24"/>
        </w:rPr>
        <w:t xml:space="preserve"> </w:t>
      </w:r>
      <w:r w:rsidRPr="00703269">
        <w:rPr>
          <w:rFonts w:ascii="Book Antiqua" w:hAnsi="Book Antiqua"/>
          <w:sz w:val="24"/>
          <w:szCs w:val="24"/>
        </w:rPr>
        <w:t>y</w:t>
      </w:r>
      <w:r w:rsidRPr="00703269">
        <w:rPr>
          <w:rFonts w:ascii="Book Antiqua" w:hAnsi="Book Antiqua"/>
          <w:sz w:val="24"/>
          <w:szCs w:val="24"/>
          <w:lang w:eastAsia="zh-CN"/>
        </w:rPr>
        <w:t>ears</w:t>
      </w:r>
      <w:r w:rsidRPr="00572DEC">
        <w:rPr>
          <w:rFonts w:ascii="Book Antiqua" w:hAnsi="Book Antiqua"/>
          <w:sz w:val="24"/>
          <w:szCs w:val="24"/>
        </w:rPr>
        <w:t xml:space="preserve"> (range 33–89</w:t>
      </w:r>
      <w:r w:rsidRPr="00572DEC">
        <w:rPr>
          <w:rFonts w:ascii="Book Antiqua" w:hAnsi="Book Antiqua"/>
          <w:color w:val="FF0000"/>
          <w:sz w:val="24"/>
          <w:szCs w:val="24"/>
        </w:rPr>
        <w:t xml:space="preserve"> </w:t>
      </w:r>
      <w:r w:rsidRPr="00572DEC">
        <w:rPr>
          <w:rFonts w:ascii="Book Antiqua" w:hAnsi="Book Antiqua"/>
          <w:sz w:val="24"/>
          <w:szCs w:val="24"/>
        </w:rPr>
        <w:t>y</w:t>
      </w:r>
      <w:r>
        <w:rPr>
          <w:rFonts w:ascii="Book Antiqua" w:hAnsi="Book Antiqua"/>
          <w:sz w:val="24"/>
          <w:szCs w:val="24"/>
          <w:lang w:eastAsia="zh-CN"/>
        </w:rPr>
        <w:t>ear</w:t>
      </w:r>
      <w:r w:rsidRPr="00572DEC">
        <w:rPr>
          <w:rFonts w:ascii="Book Antiqua" w:hAnsi="Book Antiqua"/>
          <w:sz w:val="24"/>
          <w:szCs w:val="24"/>
        </w:rPr>
        <w:t xml:space="preserve">). Four (6.9%) of the 58 patients developed two or more additional neoplasms, yielding a total of 62 multiple primary tumors other than GC, including 39 (63%) metachronous and 23 (37%) synchronous neoplasms. Of the 58 cases, 22 (38%) had synchronous and 34 (58.6%) had metachronous malignancies, while two patients developed two metachronous neoplasms. Two patients (3.4%) were diagnosed with both metachronous and synchronous cancers. One was diagnosed with three tumors (synchronous skin </w:t>
      </w:r>
      <w:r w:rsidRPr="00572DEC">
        <w:rPr>
          <w:rFonts w:ascii="Book Antiqua" w:hAnsi="Book Antiqua"/>
          <w:sz w:val="24"/>
          <w:szCs w:val="24"/>
        </w:rPr>
        <w:lastRenderedPageBreak/>
        <w:t xml:space="preserve">cancer and metachronous colon cancer at two different sites), while the second patient developed synchronous lung cancer and metachronous prostate cancer. </w:t>
      </w:r>
    </w:p>
    <w:p w:rsidR="003E7779" w:rsidRPr="00572DEC" w:rsidRDefault="003E7779" w:rsidP="00F75DED">
      <w:pPr>
        <w:spacing w:line="360" w:lineRule="auto"/>
        <w:ind w:firstLineChars="300" w:firstLine="720"/>
        <w:jc w:val="both"/>
        <w:rPr>
          <w:rFonts w:ascii="Book Antiqua" w:hAnsi="Book Antiqua"/>
          <w:sz w:val="24"/>
          <w:szCs w:val="24"/>
        </w:rPr>
      </w:pPr>
      <w:r w:rsidRPr="00572DEC">
        <w:rPr>
          <w:rFonts w:ascii="Book Antiqua" w:hAnsi="Book Antiqua"/>
          <w:sz w:val="24"/>
          <w:szCs w:val="24"/>
        </w:rPr>
        <w:t>Of the 39 diagnosed metachronous neoplasms, 26 (66.7%) malignances were diagnosed before GC and 13 (33.3%) were diagnosed after GC. Of the patients with metachronous tumors, 25% developed a stomach malignancy after receiving chemotherapy or radiotherapy to treat the first primary neoplasm</w:t>
      </w:r>
      <w:r w:rsidRPr="00572DEC">
        <w:rPr>
          <w:rFonts w:ascii="Book Antiqua" w:hAnsi="Book Antiqua" w:cs="Book Antiqua"/>
          <w:sz w:val="24"/>
          <w:szCs w:val="24"/>
        </w:rPr>
        <w:t>. Seven patients</w:t>
      </w:r>
      <w:r w:rsidRPr="00572DEC">
        <w:rPr>
          <w:rFonts w:ascii="Book Antiqua" w:hAnsi="Book Antiqua"/>
          <w:sz w:val="24"/>
          <w:szCs w:val="24"/>
        </w:rPr>
        <w:t xml:space="preserve"> (19</w:t>
      </w:r>
      <w:r w:rsidRPr="00572DEC">
        <w:rPr>
          <w:rFonts w:ascii="Book Antiqua" w:hAnsi="Book Antiqua" w:cs="Book Antiqua"/>
          <w:sz w:val="24"/>
          <w:szCs w:val="24"/>
        </w:rPr>
        <w:t>%)</w:t>
      </w:r>
      <w:r w:rsidRPr="00572DEC">
        <w:rPr>
          <w:rFonts w:ascii="Book Antiqua" w:hAnsi="Book Antiqua"/>
          <w:sz w:val="24"/>
          <w:szCs w:val="24"/>
        </w:rPr>
        <w:t xml:space="preserve"> developed metachronous neoplasms after chemotherapy to treat GC</w:t>
      </w:r>
      <w:r w:rsidRPr="00572DEC">
        <w:rPr>
          <w:rFonts w:ascii="Book Antiqua" w:hAnsi="Book Antiqua" w:cs="Book Antiqua"/>
          <w:sz w:val="24"/>
          <w:szCs w:val="24"/>
        </w:rPr>
        <w:t>, and</w:t>
      </w:r>
      <w:r w:rsidRPr="00572DEC">
        <w:rPr>
          <w:rFonts w:ascii="Book Antiqua" w:hAnsi="Book Antiqua"/>
          <w:sz w:val="24"/>
          <w:szCs w:val="24"/>
        </w:rPr>
        <w:t xml:space="preserve"> one patient developed metachronous neoplasms </w:t>
      </w:r>
      <w:r w:rsidRPr="00572DEC">
        <w:rPr>
          <w:rFonts w:ascii="Book Antiqua" w:hAnsi="Book Antiqua" w:cs="Book Antiqua"/>
          <w:sz w:val="24"/>
          <w:szCs w:val="24"/>
        </w:rPr>
        <w:t>after radiotherapy alone</w:t>
      </w:r>
      <w:r w:rsidRPr="00572DEC">
        <w:rPr>
          <w:rFonts w:ascii="Book Antiqua" w:hAnsi="Book Antiqua"/>
          <w:sz w:val="24"/>
          <w:szCs w:val="24"/>
        </w:rPr>
        <w:t xml:space="preserve">. </w:t>
      </w:r>
    </w:p>
    <w:p w:rsidR="003E7779" w:rsidRPr="00572DEC" w:rsidRDefault="003E7779" w:rsidP="004517BA">
      <w:pPr>
        <w:spacing w:line="360" w:lineRule="auto"/>
        <w:jc w:val="both"/>
        <w:rPr>
          <w:rFonts w:ascii="Book Antiqua" w:hAnsi="Book Antiqua"/>
          <w:sz w:val="24"/>
          <w:szCs w:val="24"/>
        </w:rPr>
      </w:pPr>
      <w:r w:rsidRPr="00572DEC">
        <w:rPr>
          <w:rFonts w:ascii="Book Antiqua" w:hAnsi="Book Antiqua"/>
          <w:sz w:val="24"/>
          <w:szCs w:val="24"/>
        </w:rPr>
        <w:t xml:space="preserve"> </w:t>
      </w:r>
      <w:r w:rsidRPr="00572DEC">
        <w:rPr>
          <w:rFonts w:ascii="Book Antiqua" w:hAnsi="Book Antiqua"/>
          <w:sz w:val="24"/>
          <w:szCs w:val="24"/>
        </w:rPr>
        <w:tab/>
      </w:r>
      <w:r>
        <w:rPr>
          <w:rFonts w:ascii="Book Antiqua" w:hAnsi="Book Antiqua"/>
          <w:sz w:val="24"/>
          <w:szCs w:val="24"/>
          <w:lang w:eastAsia="zh-CN"/>
        </w:rPr>
        <w:t xml:space="preserve">  </w:t>
      </w:r>
      <w:r w:rsidRPr="00572DEC">
        <w:rPr>
          <w:rFonts w:ascii="Book Antiqua" w:hAnsi="Book Antiqua"/>
          <w:sz w:val="24"/>
          <w:szCs w:val="24"/>
        </w:rPr>
        <w:t xml:space="preserve">A comparison of the clinicopathological features of GC patients with synchronous and metachronous neoplasms yielded a statistically significant difference for patient age. GC patients with synchronous neoplasms were older than those with metachronous neoplasms (68.0 ± 10.3 </w:t>
      </w:r>
      <w:r w:rsidRPr="00703269">
        <w:rPr>
          <w:rFonts w:ascii="Book Antiqua" w:hAnsi="Book Antiqua"/>
          <w:sz w:val="24"/>
          <w:szCs w:val="24"/>
        </w:rPr>
        <w:t>y</w:t>
      </w:r>
      <w:r w:rsidRPr="00703269">
        <w:rPr>
          <w:rFonts w:ascii="Book Antiqua" w:hAnsi="Book Antiqua"/>
          <w:sz w:val="24"/>
          <w:szCs w:val="24"/>
          <w:lang w:eastAsia="zh-CN"/>
        </w:rPr>
        <w:t>ears</w:t>
      </w:r>
      <w:r w:rsidRPr="00572DEC">
        <w:rPr>
          <w:rFonts w:ascii="Book Antiqua" w:hAnsi="Book Antiqua"/>
          <w:sz w:val="24"/>
          <w:szCs w:val="24"/>
        </w:rPr>
        <w:t xml:space="preserve"> </w:t>
      </w:r>
      <w:r w:rsidRPr="00572DEC">
        <w:rPr>
          <w:rFonts w:ascii="Book Antiqua" w:hAnsi="Book Antiqua"/>
          <w:i/>
          <w:sz w:val="24"/>
          <w:szCs w:val="24"/>
        </w:rPr>
        <w:t>vs</w:t>
      </w:r>
      <w:r w:rsidRPr="00572DEC">
        <w:rPr>
          <w:rFonts w:ascii="Book Antiqua" w:hAnsi="Book Antiqua"/>
          <w:sz w:val="24"/>
          <w:szCs w:val="24"/>
        </w:rPr>
        <w:t xml:space="preserve"> 59.9 ± 11.1 </w:t>
      </w:r>
      <w:r w:rsidRPr="00703269">
        <w:rPr>
          <w:rFonts w:ascii="Book Antiqua" w:hAnsi="Book Antiqua"/>
          <w:sz w:val="24"/>
          <w:szCs w:val="24"/>
        </w:rPr>
        <w:t>y</w:t>
      </w:r>
      <w:r w:rsidRPr="00703269">
        <w:rPr>
          <w:rFonts w:ascii="Book Antiqua" w:hAnsi="Book Antiqua"/>
          <w:sz w:val="24"/>
          <w:szCs w:val="24"/>
          <w:lang w:eastAsia="zh-CN"/>
        </w:rPr>
        <w:t>ears</w:t>
      </w:r>
      <w:r w:rsidRPr="00572DEC">
        <w:rPr>
          <w:rFonts w:ascii="Book Antiqua" w:hAnsi="Book Antiqua"/>
          <w:sz w:val="24"/>
          <w:szCs w:val="24"/>
        </w:rPr>
        <w:t>, respectively</w:t>
      </w:r>
      <w:r>
        <w:rPr>
          <w:rFonts w:ascii="Book Antiqua" w:hAnsi="Book Antiqua"/>
          <w:sz w:val="24"/>
          <w:szCs w:val="24"/>
        </w:rPr>
        <w:t>,</w:t>
      </w:r>
      <w:r w:rsidRPr="00572DEC">
        <w:rPr>
          <w:rFonts w:ascii="Book Antiqua" w:hAnsi="Book Antiqua"/>
          <w:sz w:val="24"/>
          <w:szCs w:val="24"/>
        </w:rPr>
        <w:t xml:space="preserve"> </w:t>
      </w:r>
      <w:r w:rsidRPr="00572DEC">
        <w:rPr>
          <w:rFonts w:ascii="Book Antiqua" w:hAnsi="Book Antiqua"/>
          <w:i/>
          <w:sz w:val="24"/>
          <w:szCs w:val="24"/>
        </w:rPr>
        <w:t>P</w:t>
      </w:r>
      <w:r w:rsidRPr="00572DEC">
        <w:rPr>
          <w:rFonts w:ascii="Book Antiqua" w:hAnsi="Book Antiqua"/>
          <w:sz w:val="24"/>
          <w:szCs w:val="24"/>
        </w:rPr>
        <w:t xml:space="preserve"> = 0.008) (Fig</w:t>
      </w:r>
      <w:r>
        <w:rPr>
          <w:rFonts w:ascii="Book Antiqua" w:hAnsi="Book Antiqua"/>
          <w:sz w:val="24"/>
          <w:szCs w:val="24"/>
          <w:lang w:eastAsia="zh-CN"/>
        </w:rPr>
        <w:t>ure</w:t>
      </w:r>
      <w:r w:rsidRPr="00572DEC">
        <w:rPr>
          <w:rFonts w:ascii="Book Antiqua" w:hAnsi="Book Antiqua"/>
          <w:sz w:val="24"/>
          <w:szCs w:val="24"/>
        </w:rPr>
        <w:t xml:space="preserve"> </w:t>
      </w:r>
      <w:r>
        <w:rPr>
          <w:rFonts w:ascii="Book Antiqua" w:hAnsi="Book Antiqua" w:cs="Book Antiqua"/>
          <w:sz w:val="24"/>
          <w:szCs w:val="24"/>
          <w:lang w:eastAsia="zh-CN"/>
        </w:rPr>
        <w:t>2</w:t>
      </w:r>
      <w:r w:rsidRPr="00572DEC">
        <w:rPr>
          <w:rFonts w:ascii="Book Antiqua" w:hAnsi="Book Antiqua"/>
          <w:sz w:val="24"/>
          <w:szCs w:val="24"/>
        </w:rPr>
        <w:t>). The following characteristics were not significantly different between the synchronous and metachronous neoplasm groups: sex</w:t>
      </w:r>
      <w:r w:rsidRPr="00572DEC">
        <w:rPr>
          <w:rFonts w:ascii="Book Antiqua" w:hAnsi="Book Antiqua" w:cs="Book Antiqua"/>
          <w:sz w:val="24"/>
          <w:szCs w:val="24"/>
        </w:rPr>
        <w:t>,</w:t>
      </w:r>
      <w:r w:rsidRPr="00572DEC">
        <w:rPr>
          <w:rFonts w:ascii="Book Antiqua" w:hAnsi="Book Antiqua"/>
          <w:sz w:val="24"/>
          <w:szCs w:val="24"/>
        </w:rPr>
        <w:t xml:space="preserve"> duration of symptoms</w:t>
      </w:r>
      <w:r w:rsidRPr="00572DEC">
        <w:rPr>
          <w:rFonts w:ascii="Book Antiqua" w:hAnsi="Book Antiqua" w:cs="Book Antiqua"/>
          <w:sz w:val="24"/>
          <w:szCs w:val="24"/>
        </w:rPr>
        <w:t>,</w:t>
      </w:r>
      <w:r w:rsidRPr="00572DEC">
        <w:rPr>
          <w:rFonts w:ascii="Book Antiqua" w:hAnsi="Book Antiqua"/>
          <w:sz w:val="24"/>
          <w:szCs w:val="24"/>
        </w:rPr>
        <w:t xml:space="preserve"> family history of cancer (negative history </w:t>
      </w:r>
      <w:r w:rsidRPr="00572DEC">
        <w:rPr>
          <w:rFonts w:ascii="Book Antiqua" w:hAnsi="Book Antiqua"/>
          <w:i/>
          <w:sz w:val="24"/>
          <w:szCs w:val="24"/>
        </w:rPr>
        <w:t>vs</w:t>
      </w:r>
      <w:r w:rsidRPr="00572DEC">
        <w:rPr>
          <w:rFonts w:ascii="Book Antiqua" w:hAnsi="Book Antiqua"/>
          <w:sz w:val="24"/>
          <w:szCs w:val="24"/>
        </w:rPr>
        <w:t xml:space="preserve"> positive history), disease stage (early </w:t>
      </w:r>
      <w:r w:rsidRPr="00572DEC">
        <w:rPr>
          <w:rFonts w:ascii="Book Antiqua" w:hAnsi="Book Antiqua"/>
          <w:i/>
          <w:sz w:val="24"/>
          <w:szCs w:val="24"/>
        </w:rPr>
        <w:t>vs</w:t>
      </w:r>
      <w:r w:rsidRPr="00572DEC">
        <w:rPr>
          <w:rFonts w:ascii="Book Antiqua" w:hAnsi="Book Antiqua"/>
          <w:sz w:val="24"/>
          <w:szCs w:val="24"/>
        </w:rPr>
        <w:t xml:space="preserve"> advanced), site of GC (proximal </w:t>
      </w:r>
      <w:r w:rsidRPr="00572DEC">
        <w:rPr>
          <w:rFonts w:ascii="Book Antiqua" w:hAnsi="Book Antiqua"/>
          <w:i/>
          <w:sz w:val="24"/>
          <w:szCs w:val="24"/>
        </w:rPr>
        <w:t>vs</w:t>
      </w:r>
      <w:r w:rsidRPr="00572DEC">
        <w:rPr>
          <w:rFonts w:ascii="Book Antiqua" w:hAnsi="Book Antiqua"/>
          <w:sz w:val="24"/>
          <w:szCs w:val="24"/>
        </w:rPr>
        <w:t xml:space="preserve"> other localization</w:t>
      </w:r>
      <w:r w:rsidRPr="00572DEC">
        <w:rPr>
          <w:rFonts w:ascii="Book Antiqua" w:hAnsi="Book Antiqua" w:cs="Book Antiqua"/>
          <w:sz w:val="24"/>
          <w:szCs w:val="24"/>
        </w:rPr>
        <w:t xml:space="preserve">), </w:t>
      </w:r>
      <w:r w:rsidRPr="00572DEC">
        <w:rPr>
          <w:rFonts w:ascii="Book Antiqua" w:hAnsi="Book Antiqua"/>
          <w:sz w:val="24"/>
          <w:szCs w:val="24"/>
        </w:rPr>
        <w:t>histology</w:t>
      </w:r>
      <w:r w:rsidRPr="00572DEC">
        <w:rPr>
          <w:rFonts w:ascii="Book Antiqua" w:hAnsi="Book Antiqua" w:cs="Book Antiqua"/>
          <w:sz w:val="24"/>
          <w:szCs w:val="24"/>
        </w:rPr>
        <w:t>,</w:t>
      </w:r>
      <w:r w:rsidRPr="00572DEC">
        <w:rPr>
          <w:rFonts w:ascii="Book Antiqua" w:hAnsi="Book Antiqua"/>
          <w:sz w:val="24"/>
          <w:szCs w:val="24"/>
        </w:rPr>
        <w:t xml:space="preserve"> and blood group (Table 2).</w:t>
      </w:r>
    </w:p>
    <w:p w:rsidR="003E7779" w:rsidRPr="00572DEC" w:rsidRDefault="003E7779" w:rsidP="004517BA">
      <w:pPr>
        <w:spacing w:line="360" w:lineRule="auto"/>
        <w:jc w:val="both"/>
        <w:rPr>
          <w:rFonts w:ascii="Book Antiqua" w:hAnsi="Book Antiqua"/>
          <w:b/>
          <w:i/>
          <w:sz w:val="24"/>
          <w:szCs w:val="24"/>
        </w:rPr>
      </w:pPr>
    </w:p>
    <w:p w:rsidR="003E7779" w:rsidRPr="00572DEC" w:rsidRDefault="003E7779" w:rsidP="004517BA">
      <w:pPr>
        <w:spacing w:line="360" w:lineRule="auto"/>
        <w:jc w:val="both"/>
        <w:rPr>
          <w:rFonts w:ascii="Book Antiqua" w:hAnsi="Book Antiqua"/>
          <w:b/>
          <w:i/>
          <w:sz w:val="24"/>
          <w:szCs w:val="24"/>
        </w:rPr>
      </w:pPr>
      <w:r w:rsidRPr="00572DEC">
        <w:rPr>
          <w:rFonts w:ascii="Book Antiqua" w:hAnsi="Book Antiqua"/>
          <w:b/>
          <w:i/>
          <w:sz w:val="24"/>
          <w:szCs w:val="24"/>
        </w:rPr>
        <w:t>Site distribution of second cancer</w:t>
      </w:r>
    </w:p>
    <w:p w:rsidR="003E7779" w:rsidRPr="00572DEC" w:rsidRDefault="003E7779" w:rsidP="004517BA">
      <w:pPr>
        <w:spacing w:line="360" w:lineRule="auto"/>
        <w:jc w:val="both"/>
        <w:rPr>
          <w:rFonts w:ascii="Book Antiqua" w:hAnsi="Book Antiqua"/>
          <w:color w:val="0070C0"/>
          <w:sz w:val="24"/>
          <w:szCs w:val="24"/>
        </w:rPr>
      </w:pPr>
      <w:r w:rsidRPr="00572DEC">
        <w:rPr>
          <w:rFonts w:ascii="Book Antiqua" w:hAnsi="Book Antiqua"/>
          <w:sz w:val="24"/>
          <w:szCs w:val="24"/>
        </w:rPr>
        <w:t>An analysis of the site distribution in the 58 GC patients with multiple cancers (</w:t>
      </w:r>
      <w:r w:rsidRPr="00572DEC">
        <w:rPr>
          <w:rFonts w:ascii="Book Antiqua" w:hAnsi="Book Antiqua"/>
          <w:i/>
          <w:sz w:val="24"/>
          <w:szCs w:val="24"/>
        </w:rPr>
        <w:t>n</w:t>
      </w:r>
      <w:r w:rsidRPr="00572DEC">
        <w:rPr>
          <w:rFonts w:ascii="Book Antiqua" w:hAnsi="Book Antiqua"/>
          <w:sz w:val="24"/>
          <w:szCs w:val="24"/>
        </w:rPr>
        <w:t xml:space="preserve"> = 62) showed that the most common site was colorectal (</w:t>
      </w:r>
      <w:r w:rsidRPr="00572DEC">
        <w:rPr>
          <w:rFonts w:ascii="Book Antiqua" w:hAnsi="Book Antiqua" w:cs="Book Antiqua"/>
          <w:i/>
          <w:iCs/>
          <w:sz w:val="24"/>
          <w:szCs w:val="24"/>
        </w:rPr>
        <w:t xml:space="preserve">n </w:t>
      </w:r>
      <w:r w:rsidRPr="00572DEC">
        <w:rPr>
          <w:rFonts w:ascii="Book Antiqua" w:hAnsi="Book Antiqua" w:cs="Book Antiqua"/>
          <w:sz w:val="24"/>
          <w:szCs w:val="24"/>
        </w:rPr>
        <w:t xml:space="preserve">= 17, </w:t>
      </w:r>
      <w:r w:rsidRPr="00572DEC">
        <w:rPr>
          <w:rFonts w:ascii="Book Antiqua" w:hAnsi="Book Antiqua"/>
          <w:sz w:val="24"/>
          <w:szCs w:val="24"/>
        </w:rPr>
        <w:t>27.4%), followed by lung (</w:t>
      </w:r>
      <w:r w:rsidRPr="00572DEC">
        <w:rPr>
          <w:rFonts w:ascii="Book Antiqua" w:hAnsi="Book Antiqua" w:cs="Book Antiqua"/>
          <w:i/>
          <w:iCs/>
          <w:sz w:val="24"/>
          <w:szCs w:val="24"/>
        </w:rPr>
        <w:t xml:space="preserve">n </w:t>
      </w:r>
      <w:r w:rsidRPr="00572DEC">
        <w:rPr>
          <w:rFonts w:ascii="Book Antiqua" w:hAnsi="Book Antiqua" w:cs="Book Antiqua"/>
          <w:sz w:val="24"/>
          <w:szCs w:val="24"/>
        </w:rPr>
        <w:t xml:space="preserve">= 9, </w:t>
      </w:r>
      <w:r w:rsidRPr="00572DEC">
        <w:rPr>
          <w:rFonts w:ascii="Book Antiqua" w:hAnsi="Book Antiqua"/>
          <w:sz w:val="24"/>
          <w:szCs w:val="24"/>
        </w:rPr>
        <w:t>14.5%), breast (</w:t>
      </w:r>
      <w:r w:rsidRPr="00572DEC">
        <w:rPr>
          <w:rFonts w:ascii="Book Antiqua" w:hAnsi="Book Antiqua" w:cs="Book Antiqua"/>
          <w:i/>
          <w:iCs/>
          <w:sz w:val="24"/>
          <w:szCs w:val="24"/>
        </w:rPr>
        <w:t xml:space="preserve">n </w:t>
      </w:r>
      <w:r w:rsidRPr="00572DEC">
        <w:rPr>
          <w:rFonts w:ascii="Book Antiqua" w:hAnsi="Book Antiqua" w:cs="Book Antiqua"/>
          <w:sz w:val="24"/>
          <w:szCs w:val="24"/>
        </w:rPr>
        <w:t xml:space="preserve">= 8, </w:t>
      </w:r>
      <w:r w:rsidRPr="00572DEC">
        <w:rPr>
          <w:rFonts w:ascii="Book Antiqua" w:hAnsi="Book Antiqua"/>
          <w:sz w:val="24"/>
          <w:szCs w:val="24"/>
        </w:rPr>
        <w:t>12.9%), and prostate (</w:t>
      </w:r>
      <w:r w:rsidRPr="00572DEC">
        <w:rPr>
          <w:rFonts w:ascii="Book Antiqua" w:hAnsi="Book Antiqua" w:cs="Book Antiqua"/>
          <w:i/>
          <w:iCs/>
          <w:sz w:val="24"/>
          <w:szCs w:val="24"/>
        </w:rPr>
        <w:t xml:space="preserve">n </w:t>
      </w:r>
      <w:r w:rsidRPr="00572DEC">
        <w:rPr>
          <w:rFonts w:ascii="Book Antiqua" w:hAnsi="Book Antiqua" w:cs="Book Antiqua"/>
          <w:sz w:val="24"/>
          <w:szCs w:val="24"/>
        </w:rPr>
        <w:t xml:space="preserve">= 7, </w:t>
      </w:r>
      <w:r w:rsidRPr="00572DEC">
        <w:rPr>
          <w:rFonts w:ascii="Book Antiqua" w:hAnsi="Book Antiqua"/>
          <w:sz w:val="24"/>
          <w:szCs w:val="24"/>
        </w:rPr>
        <w:t>11.3%) (</w:t>
      </w:r>
      <w:r w:rsidRPr="00572DEC">
        <w:rPr>
          <w:rFonts w:ascii="Book Antiqua" w:hAnsi="Book Antiqua" w:cs="Book Antiqua"/>
          <w:sz w:val="24"/>
          <w:szCs w:val="24"/>
        </w:rPr>
        <w:t xml:space="preserve">Figure </w:t>
      </w:r>
      <w:r>
        <w:rPr>
          <w:rFonts w:ascii="Book Antiqua" w:hAnsi="Book Antiqua" w:cs="Book Antiqua"/>
          <w:sz w:val="24"/>
          <w:szCs w:val="24"/>
          <w:lang w:eastAsia="zh-CN"/>
        </w:rPr>
        <w:t>3</w:t>
      </w:r>
      <w:r w:rsidRPr="00572DEC">
        <w:rPr>
          <w:rFonts w:ascii="Book Antiqua" w:hAnsi="Book Antiqua" w:cs="Book Antiqua"/>
          <w:sz w:val="24"/>
          <w:szCs w:val="24"/>
        </w:rPr>
        <w:t>). In men, the most common site was colorectal (</w:t>
      </w:r>
      <w:r w:rsidRPr="00572DEC">
        <w:rPr>
          <w:rFonts w:ascii="Book Antiqua" w:hAnsi="Book Antiqua" w:cs="Book Antiqua"/>
          <w:i/>
          <w:iCs/>
          <w:sz w:val="24"/>
          <w:szCs w:val="24"/>
        </w:rPr>
        <w:t xml:space="preserve">n </w:t>
      </w:r>
      <w:r w:rsidRPr="00572DEC">
        <w:rPr>
          <w:rFonts w:ascii="Book Antiqua" w:hAnsi="Book Antiqua" w:cs="Book Antiqua"/>
          <w:sz w:val="24"/>
          <w:szCs w:val="24"/>
        </w:rPr>
        <w:t>= 10), lung (</w:t>
      </w:r>
      <w:r w:rsidRPr="00572DEC">
        <w:rPr>
          <w:rFonts w:ascii="Book Antiqua" w:hAnsi="Book Antiqua" w:cs="Book Antiqua"/>
          <w:i/>
          <w:iCs/>
          <w:sz w:val="24"/>
          <w:szCs w:val="24"/>
        </w:rPr>
        <w:t xml:space="preserve">n </w:t>
      </w:r>
      <w:r w:rsidRPr="00572DEC">
        <w:rPr>
          <w:rFonts w:ascii="Book Antiqua" w:hAnsi="Book Antiqua" w:cs="Book Antiqua"/>
          <w:sz w:val="24"/>
          <w:szCs w:val="24"/>
        </w:rPr>
        <w:t>= 8), and prostate (</w:t>
      </w:r>
      <w:r w:rsidRPr="00572DEC">
        <w:rPr>
          <w:rFonts w:ascii="Book Antiqua" w:hAnsi="Book Antiqua" w:cs="Book Antiqua"/>
          <w:i/>
          <w:iCs/>
          <w:sz w:val="24"/>
          <w:szCs w:val="24"/>
        </w:rPr>
        <w:t xml:space="preserve">n </w:t>
      </w:r>
      <w:r w:rsidRPr="00572DEC">
        <w:rPr>
          <w:rFonts w:ascii="Book Antiqua" w:hAnsi="Book Antiqua" w:cs="Book Antiqua"/>
          <w:sz w:val="24"/>
          <w:szCs w:val="24"/>
        </w:rPr>
        <w:t>= 7). In women, the most common site was breast (</w:t>
      </w:r>
      <w:r w:rsidRPr="00572DEC">
        <w:rPr>
          <w:rFonts w:ascii="Book Antiqua" w:hAnsi="Book Antiqua" w:cs="Book Antiqua"/>
          <w:i/>
          <w:iCs/>
          <w:sz w:val="24"/>
          <w:szCs w:val="24"/>
        </w:rPr>
        <w:t xml:space="preserve">n </w:t>
      </w:r>
      <w:r w:rsidRPr="00572DEC">
        <w:rPr>
          <w:rFonts w:ascii="Book Antiqua" w:hAnsi="Book Antiqua" w:cs="Book Antiqua"/>
          <w:sz w:val="24"/>
          <w:szCs w:val="24"/>
        </w:rPr>
        <w:t>= 8) and colorectal (</w:t>
      </w:r>
      <w:r w:rsidRPr="00572DEC">
        <w:rPr>
          <w:rFonts w:ascii="Book Antiqua" w:hAnsi="Book Antiqua" w:cs="Book Antiqua"/>
          <w:i/>
          <w:iCs/>
          <w:sz w:val="24"/>
          <w:szCs w:val="24"/>
        </w:rPr>
        <w:t xml:space="preserve">n </w:t>
      </w:r>
      <w:r w:rsidRPr="00572DEC">
        <w:rPr>
          <w:rFonts w:ascii="Book Antiqua" w:hAnsi="Book Antiqua" w:cs="Book Antiqua"/>
          <w:sz w:val="24"/>
          <w:szCs w:val="24"/>
        </w:rPr>
        <w:t>= 7).</w:t>
      </w:r>
      <w:r w:rsidRPr="00572DEC">
        <w:rPr>
          <w:rFonts w:ascii="Book Antiqua" w:hAnsi="Book Antiqua"/>
          <w:sz w:val="24"/>
          <w:szCs w:val="24"/>
        </w:rPr>
        <w:t xml:space="preserve"> Among the 23 synchronous tumors, the most common primary sites were colorectal (</w:t>
      </w:r>
      <w:r w:rsidRPr="00572DEC">
        <w:rPr>
          <w:rFonts w:ascii="Book Antiqua" w:hAnsi="Book Antiqua" w:cs="Book Antiqua"/>
          <w:i/>
          <w:iCs/>
          <w:sz w:val="24"/>
          <w:szCs w:val="24"/>
        </w:rPr>
        <w:t xml:space="preserve">n </w:t>
      </w:r>
      <w:r w:rsidRPr="00572DEC">
        <w:rPr>
          <w:rFonts w:ascii="Book Antiqua" w:hAnsi="Book Antiqua" w:cs="Book Antiqua"/>
          <w:sz w:val="24"/>
          <w:szCs w:val="24"/>
        </w:rPr>
        <w:t xml:space="preserve">= 10, </w:t>
      </w:r>
      <w:r w:rsidRPr="00572DEC">
        <w:rPr>
          <w:rFonts w:ascii="Book Antiqua" w:hAnsi="Book Antiqua"/>
          <w:sz w:val="24"/>
          <w:szCs w:val="24"/>
        </w:rPr>
        <w:t>43.5%), lung (</w:t>
      </w:r>
      <w:r w:rsidRPr="00572DEC">
        <w:rPr>
          <w:rFonts w:ascii="Book Antiqua" w:hAnsi="Book Antiqua" w:cs="Book Antiqua"/>
          <w:i/>
          <w:iCs/>
          <w:sz w:val="24"/>
          <w:szCs w:val="24"/>
        </w:rPr>
        <w:t xml:space="preserve">n </w:t>
      </w:r>
      <w:r w:rsidRPr="00572DEC">
        <w:rPr>
          <w:rFonts w:ascii="Book Antiqua" w:hAnsi="Book Antiqua" w:cs="Book Antiqua"/>
          <w:sz w:val="24"/>
          <w:szCs w:val="24"/>
        </w:rPr>
        <w:t xml:space="preserve">= 4, </w:t>
      </w:r>
      <w:r w:rsidRPr="00572DEC">
        <w:rPr>
          <w:rFonts w:ascii="Book Antiqua" w:hAnsi="Book Antiqua"/>
          <w:sz w:val="24"/>
          <w:szCs w:val="24"/>
        </w:rPr>
        <w:t>17.4%), and prostate (</w:t>
      </w:r>
      <w:r w:rsidRPr="00572DEC">
        <w:rPr>
          <w:rFonts w:ascii="Book Antiqua" w:hAnsi="Book Antiqua" w:cs="Book Antiqua"/>
          <w:i/>
          <w:iCs/>
          <w:sz w:val="24"/>
          <w:szCs w:val="24"/>
        </w:rPr>
        <w:t xml:space="preserve">n </w:t>
      </w:r>
      <w:r w:rsidRPr="00572DEC">
        <w:rPr>
          <w:rFonts w:ascii="Book Antiqua" w:hAnsi="Book Antiqua" w:cs="Book Antiqua"/>
          <w:sz w:val="24"/>
          <w:szCs w:val="24"/>
        </w:rPr>
        <w:t xml:space="preserve">= 3, </w:t>
      </w:r>
      <w:r w:rsidRPr="00572DEC">
        <w:rPr>
          <w:rFonts w:ascii="Book Antiqua" w:hAnsi="Book Antiqua"/>
          <w:sz w:val="24"/>
          <w:szCs w:val="24"/>
        </w:rPr>
        <w:t>13</w:t>
      </w:r>
      <w:r w:rsidRPr="00572DEC">
        <w:rPr>
          <w:rFonts w:ascii="Book Antiqua" w:hAnsi="Book Antiqua" w:cs="Book Antiqua"/>
          <w:sz w:val="24"/>
          <w:szCs w:val="24"/>
        </w:rPr>
        <w:t>.1</w:t>
      </w:r>
      <w:r w:rsidRPr="00572DEC">
        <w:rPr>
          <w:rFonts w:ascii="Book Antiqua" w:hAnsi="Book Antiqua"/>
          <w:sz w:val="24"/>
          <w:szCs w:val="24"/>
        </w:rPr>
        <w:t>%). For the 39 metachronous cancers, the dominant types were colorectal cancer (</w:t>
      </w:r>
      <w:r w:rsidRPr="00572DEC">
        <w:rPr>
          <w:rFonts w:ascii="Book Antiqua" w:hAnsi="Book Antiqua" w:cs="Book Antiqua"/>
          <w:i/>
          <w:iCs/>
          <w:sz w:val="24"/>
          <w:szCs w:val="24"/>
        </w:rPr>
        <w:t xml:space="preserve">n </w:t>
      </w:r>
      <w:r w:rsidRPr="00572DEC">
        <w:rPr>
          <w:rFonts w:ascii="Book Antiqua" w:hAnsi="Book Antiqua" w:cs="Book Antiqua"/>
          <w:sz w:val="24"/>
          <w:szCs w:val="24"/>
        </w:rPr>
        <w:t xml:space="preserve">= 7, </w:t>
      </w:r>
      <w:r w:rsidRPr="00572DEC">
        <w:rPr>
          <w:rFonts w:ascii="Book Antiqua" w:hAnsi="Book Antiqua"/>
          <w:sz w:val="24"/>
          <w:szCs w:val="24"/>
        </w:rPr>
        <w:t>17.9%) and breast cancer (</w:t>
      </w:r>
      <w:r w:rsidRPr="00572DEC">
        <w:rPr>
          <w:rFonts w:ascii="Book Antiqua" w:hAnsi="Book Antiqua" w:cs="Book Antiqua"/>
          <w:i/>
          <w:iCs/>
          <w:sz w:val="24"/>
          <w:szCs w:val="24"/>
        </w:rPr>
        <w:t xml:space="preserve">n </w:t>
      </w:r>
      <w:r w:rsidRPr="00572DEC">
        <w:rPr>
          <w:rFonts w:ascii="Book Antiqua" w:hAnsi="Book Antiqua" w:cs="Book Antiqua"/>
          <w:sz w:val="24"/>
          <w:szCs w:val="24"/>
        </w:rPr>
        <w:t xml:space="preserve">= 7, </w:t>
      </w:r>
      <w:r w:rsidRPr="00572DEC">
        <w:rPr>
          <w:rFonts w:ascii="Book Antiqua" w:hAnsi="Book Antiqua"/>
          <w:sz w:val="24"/>
          <w:szCs w:val="24"/>
        </w:rPr>
        <w:t>17.9%), followed by lung cancer (</w:t>
      </w:r>
      <w:r w:rsidRPr="00572DEC">
        <w:rPr>
          <w:rFonts w:ascii="Book Antiqua" w:hAnsi="Book Antiqua" w:cs="Book Antiqua"/>
          <w:i/>
          <w:iCs/>
          <w:sz w:val="24"/>
          <w:szCs w:val="24"/>
        </w:rPr>
        <w:t xml:space="preserve">n </w:t>
      </w:r>
      <w:r w:rsidRPr="00572DEC">
        <w:rPr>
          <w:rFonts w:ascii="Book Antiqua" w:hAnsi="Book Antiqua" w:cs="Book Antiqua"/>
          <w:sz w:val="24"/>
          <w:szCs w:val="24"/>
        </w:rPr>
        <w:t xml:space="preserve">= 5, </w:t>
      </w:r>
      <w:r w:rsidRPr="00572DEC">
        <w:rPr>
          <w:rFonts w:ascii="Book Antiqua" w:hAnsi="Book Antiqua"/>
          <w:sz w:val="24"/>
          <w:szCs w:val="24"/>
        </w:rPr>
        <w:t xml:space="preserve">12.8%) (Table 3). </w:t>
      </w:r>
    </w:p>
    <w:p w:rsidR="003E7779" w:rsidRPr="00572DEC" w:rsidRDefault="003E7779" w:rsidP="004517BA">
      <w:pPr>
        <w:pStyle w:val="1"/>
        <w:spacing w:line="360" w:lineRule="auto"/>
        <w:rPr>
          <w:rFonts w:ascii="Book Antiqua" w:hAnsi="Book Antiqua"/>
        </w:rPr>
      </w:pPr>
    </w:p>
    <w:p w:rsidR="003E7779" w:rsidRPr="00572DEC" w:rsidRDefault="003E7779" w:rsidP="004517BA">
      <w:pPr>
        <w:pStyle w:val="1"/>
        <w:spacing w:line="360" w:lineRule="auto"/>
        <w:rPr>
          <w:rFonts w:ascii="Book Antiqua" w:hAnsi="Book Antiqua" w:cs="Book Antiqua"/>
        </w:rPr>
      </w:pPr>
      <w:r w:rsidRPr="00572DEC">
        <w:rPr>
          <w:rFonts w:ascii="Book Antiqua" w:hAnsi="Book Antiqua" w:cs="Book Antiqua"/>
        </w:rPr>
        <w:t>DISCUSSION</w:t>
      </w:r>
    </w:p>
    <w:p w:rsidR="003E7779" w:rsidRPr="00572DEC" w:rsidRDefault="003E7779" w:rsidP="004517BA">
      <w:pPr>
        <w:pStyle w:val="1"/>
        <w:spacing w:line="360" w:lineRule="auto"/>
        <w:rPr>
          <w:rFonts w:ascii="Book Antiqua" w:hAnsi="Book Antiqua"/>
          <w:b w:val="0"/>
        </w:rPr>
      </w:pPr>
      <w:r w:rsidRPr="00572DEC">
        <w:rPr>
          <w:rFonts w:ascii="Book Antiqua" w:hAnsi="Book Antiqua"/>
          <w:b w:val="0"/>
        </w:rPr>
        <w:t>The main finding of the current study was a rate of 6.7% for the occurrence of multiple cancers in a group of GC patients in Poland. This rate is slightly higher than those reported by studies conducted in Italy, Portugal, and Sweden, in which the estimated rates were 1.9%–3.4%</w:t>
      </w:r>
      <w:r w:rsidRPr="00572DEC">
        <w:rPr>
          <w:rFonts w:ascii="Book Antiqua" w:hAnsi="Book Antiqua"/>
          <w:b w:val="0"/>
          <w:vertAlign w:val="superscript"/>
        </w:rPr>
        <w:t>[9,10,19]</w:t>
      </w:r>
      <w:r w:rsidRPr="00572DEC">
        <w:rPr>
          <w:rFonts w:ascii="Book Antiqua" w:hAnsi="Book Antiqua"/>
          <w:b w:val="0"/>
        </w:rPr>
        <w:t xml:space="preserve"> in analyses of groups that included more than 34,000 patients. In a study of more than 4,500 patients in Korea who underwent surgery for GC, Eom </w:t>
      </w:r>
      <w:r w:rsidRPr="00572DEC">
        <w:rPr>
          <w:rFonts w:ascii="Book Antiqua" w:hAnsi="Book Antiqua"/>
          <w:b w:val="0"/>
          <w:i/>
        </w:rPr>
        <w:t>et al</w:t>
      </w:r>
      <w:r w:rsidRPr="00572DEC">
        <w:rPr>
          <w:rFonts w:ascii="Book Antiqua" w:hAnsi="Book Antiqua"/>
          <w:b w:val="0"/>
          <w:vertAlign w:val="superscript"/>
        </w:rPr>
        <w:t>[8]</w:t>
      </w:r>
      <w:r w:rsidRPr="00572DEC">
        <w:rPr>
          <w:rFonts w:ascii="Book Antiqua" w:hAnsi="Book Antiqua"/>
          <w:b w:val="0"/>
        </w:rPr>
        <w:t xml:space="preserve"> reported an incidence of multiple cancers of approximately 3.4%. </w:t>
      </w:r>
      <w:r w:rsidRPr="00572DEC">
        <w:rPr>
          <w:rFonts w:ascii="Book Antiqua" w:hAnsi="Book Antiqua" w:cs="Book Antiqua"/>
          <w:b w:val="0"/>
          <w:bCs w:val="0"/>
        </w:rPr>
        <w:t xml:space="preserve">Luciani </w:t>
      </w:r>
      <w:r w:rsidRPr="00572DEC">
        <w:rPr>
          <w:rFonts w:ascii="Book Antiqua" w:hAnsi="Book Antiqua" w:cs="Book Antiqua"/>
          <w:b w:val="0"/>
          <w:bCs w:val="0"/>
          <w:i/>
        </w:rPr>
        <w:t>et al</w:t>
      </w:r>
      <w:r w:rsidRPr="00572DEC">
        <w:rPr>
          <w:rFonts w:ascii="Book Antiqua" w:hAnsi="Book Antiqua" w:cs="Book Antiqua"/>
          <w:b w:val="0"/>
          <w:bCs w:val="0"/>
          <w:vertAlign w:val="superscript"/>
        </w:rPr>
        <w:t>[3]</w:t>
      </w:r>
      <w:r w:rsidRPr="00572DEC">
        <w:rPr>
          <w:rFonts w:ascii="Book Antiqua" w:hAnsi="Book Antiqua"/>
          <w:b w:val="0"/>
        </w:rPr>
        <w:t xml:space="preserve"> looked at</w:t>
      </w:r>
      <w:r>
        <w:rPr>
          <w:rFonts w:ascii="Book Antiqua" w:hAnsi="Book Antiqua"/>
          <w:b w:val="0"/>
        </w:rPr>
        <w:t xml:space="preserve"> 1</w:t>
      </w:r>
      <w:r w:rsidRPr="00572DEC">
        <w:rPr>
          <w:rFonts w:ascii="Book Antiqua" w:hAnsi="Book Antiqua"/>
          <w:b w:val="0"/>
        </w:rPr>
        <w:t>503 consecutive GC patients and estimated that the overall prevalence of multiple malignances was 10% and that it was higher in patients ≥</w:t>
      </w:r>
      <w:r>
        <w:rPr>
          <w:rFonts w:ascii="Book Antiqua" w:hAnsi="Book Antiqua"/>
          <w:b w:val="0"/>
          <w:lang w:eastAsia="zh-CN"/>
        </w:rPr>
        <w:t xml:space="preserve"> </w:t>
      </w:r>
      <w:r w:rsidRPr="00572DEC">
        <w:rPr>
          <w:rFonts w:ascii="Book Antiqua" w:hAnsi="Book Antiqua"/>
          <w:b w:val="0"/>
        </w:rPr>
        <w:t>70 y</w:t>
      </w:r>
      <w:r>
        <w:rPr>
          <w:rFonts w:ascii="Book Antiqua" w:hAnsi="Book Antiqua"/>
          <w:b w:val="0"/>
          <w:lang w:eastAsia="zh-CN"/>
        </w:rPr>
        <w:t>ears</w:t>
      </w:r>
      <w:r w:rsidRPr="00572DEC">
        <w:rPr>
          <w:rFonts w:ascii="Book Antiqua" w:hAnsi="Book Antiqua"/>
          <w:b w:val="0"/>
        </w:rPr>
        <w:t xml:space="preserve"> old compared to younger patients (15% </w:t>
      </w:r>
      <w:r w:rsidRPr="00572DEC">
        <w:rPr>
          <w:rFonts w:ascii="Book Antiqua" w:hAnsi="Book Antiqua"/>
          <w:b w:val="0"/>
          <w:i/>
        </w:rPr>
        <w:t>vs</w:t>
      </w:r>
      <w:r w:rsidRPr="00572DEC">
        <w:rPr>
          <w:rFonts w:ascii="Book Antiqua" w:hAnsi="Book Antiqua"/>
          <w:b w:val="0"/>
        </w:rPr>
        <w:t xml:space="preserve"> 6%, respectively</w:t>
      </w:r>
      <w:r w:rsidRPr="00572DEC">
        <w:rPr>
          <w:rFonts w:ascii="Book Antiqua" w:hAnsi="Book Antiqua" w:cs="Book Antiqua"/>
          <w:b w:val="0"/>
          <w:bCs w:val="0"/>
        </w:rPr>
        <w:t>).</w:t>
      </w:r>
      <w:r w:rsidRPr="00572DEC">
        <w:rPr>
          <w:rFonts w:ascii="Book Antiqua" w:hAnsi="Book Antiqua"/>
          <w:b w:val="0"/>
        </w:rPr>
        <w:t xml:space="preserve"> Our findings are similar to those of Kim </w:t>
      </w:r>
      <w:r w:rsidRPr="00572DEC">
        <w:rPr>
          <w:rFonts w:ascii="Book Antiqua" w:hAnsi="Book Antiqua"/>
          <w:b w:val="0"/>
          <w:i/>
        </w:rPr>
        <w:t>et al</w:t>
      </w:r>
      <w:r w:rsidRPr="00572DEC">
        <w:rPr>
          <w:rFonts w:ascii="Book Antiqua" w:hAnsi="Book Antiqua"/>
          <w:b w:val="0"/>
          <w:vertAlign w:val="superscript"/>
        </w:rPr>
        <w:t>[20]</w:t>
      </w:r>
      <w:r w:rsidRPr="00572DEC">
        <w:rPr>
          <w:rFonts w:ascii="Book Antiqua" w:hAnsi="Book Antiqua"/>
          <w:b w:val="0"/>
        </w:rPr>
        <w:t>, who analyzed 5778 patients with GC in Korea and found that 423 (7.3%) had been diagnosed with synchronous and metachronous double primary cancers.</w:t>
      </w:r>
    </w:p>
    <w:p w:rsidR="003E7779" w:rsidRPr="00572DEC" w:rsidRDefault="003E7779" w:rsidP="00D2737B">
      <w:pPr>
        <w:spacing w:line="360" w:lineRule="auto"/>
        <w:ind w:firstLineChars="250" w:firstLine="600"/>
        <w:jc w:val="both"/>
        <w:rPr>
          <w:rFonts w:ascii="Book Antiqua" w:hAnsi="Book Antiqua"/>
          <w:sz w:val="24"/>
          <w:szCs w:val="24"/>
        </w:rPr>
      </w:pPr>
      <w:r w:rsidRPr="00572DEC">
        <w:rPr>
          <w:rFonts w:ascii="Book Antiqua" w:hAnsi="Book Antiqua"/>
          <w:sz w:val="24"/>
          <w:szCs w:val="24"/>
        </w:rPr>
        <w:t>A group of</w:t>
      </w:r>
      <w:r w:rsidRPr="00572DEC">
        <w:rPr>
          <w:rFonts w:ascii="Book Antiqua" w:hAnsi="Book Antiqua" w:cs="Book Antiqua"/>
          <w:sz w:val="24"/>
          <w:szCs w:val="24"/>
        </w:rPr>
        <w:t xml:space="preserve"> </w:t>
      </w:r>
      <w:r w:rsidRPr="00572DEC">
        <w:rPr>
          <w:rFonts w:ascii="Book Antiqua" w:hAnsi="Book Antiqua"/>
          <w:sz w:val="24"/>
          <w:szCs w:val="24"/>
        </w:rPr>
        <w:t>Japanese researchers</w:t>
      </w:r>
      <w:r w:rsidRPr="00572DEC">
        <w:rPr>
          <w:rFonts w:ascii="Book Antiqua" w:hAnsi="Book Antiqua"/>
          <w:sz w:val="24"/>
          <w:szCs w:val="24"/>
          <w:vertAlign w:val="superscript"/>
        </w:rPr>
        <w:t>[21]</w:t>
      </w:r>
      <w:r w:rsidRPr="00572DEC">
        <w:rPr>
          <w:rFonts w:ascii="Book Antiqua" w:hAnsi="Book Antiqua"/>
          <w:sz w:val="24"/>
          <w:szCs w:val="24"/>
        </w:rPr>
        <w:t xml:space="preserve"> reported that about 5% of 1070 early GC patients developed multiple malignancies after surgical treatment; however, the authors described only metachronous tumors in their prospective study. Similarly, other Japanese researchers</w:t>
      </w:r>
      <w:r w:rsidRPr="00572DEC">
        <w:rPr>
          <w:rFonts w:ascii="Book Antiqua" w:hAnsi="Book Antiqua"/>
          <w:sz w:val="24"/>
          <w:szCs w:val="24"/>
          <w:vertAlign w:val="superscript"/>
        </w:rPr>
        <w:t>[22]</w:t>
      </w:r>
      <w:r w:rsidRPr="00572DEC">
        <w:rPr>
          <w:rFonts w:ascii="Book Antiqua" w:hAnsi="Book Antiqua"/>
          <w:sz w:val="24"/>
          <w:szCs w:val="24"/>
        </w:rPr>
        <w:t xml:space="preserve"> reported ten (9.1%) patients who died due to primary cancers other than the original GC in a group of 109 early GC cases. We found that the incidence of multiple tumors in early GC cases was 10.9%, which remains consistent with data from Asia. Because early GC patients have a longer survival and thus are more likely to develop other neoplasms, it seems that multiple tumors would be expected to occur more frequently in early GC patients. The data from Green </w:t>
      </w:r>
      <w:r w:rsidRPr="00572DEC">
        <w:rPr>
          <w:rFonts w:ascii="Book Antiqua" w:hAnsi="Book Antiqua"/>
          <w:i/>
          <w:sz w:val="24"/>
          <w:szCs w:val="24"/>
        </w:rPr>
        <w:t>et al</w:t>
      </w:r>
      <w:r w:rsidRPr="00572DEC">
        <w:rPr>
          <w:rFonts w:ascii="Book Antiqua" w:hAnsi="Book Antiqua"/>
          <w:sz w:val="24"/>
          <w:szCs w:val="24"/>
          <w:vertAlign w:val="superscript"/>
        </w:rPr>
        <w:t>[13]</w:t>
      </w:r>
      <w:r w:rsidRPr="00572DEC">
        <w:rPr>
          <w:rFonts w:ascii="Book Antiqua" w:hAnsi="Book Antiqua"/>
          <w:sz w:val="24"/>
          <w:szCs w:val="24"/>
        </w:rPr>
        <w:t xml:space="preserve"> confirms this. The authors estimate that this phenomenon may affect up to 32% of early GC patients, which seems to be a very high percentage considering that the authors analyzed only 28 patients. </w:t>
      </w:r>
    </w:p>
    <w:p w:rsidR="003E7779" w:rsidRPr="00572DEC" w:rsidRDefault="003E7779" w:rsidP="004517BA">
      <w:pPr>
        <w:spacing w:line="360" w:lineRule="auto"/>
        <w:ind w:firstLine="432"/>
        <w:jc w:val="both"/>
        <w:rPr>
          <w:rFonts w:ascii="Book Antiqua" w:hAnsi="Book Antiqua"/>
          <w:sz w:val="24"/>
          <w:szCs w:val="24"/>
        </w:rPr>
      </w:pPr>
      <w:r w:rsidRPr="00572DEC">
        <w:rPr>
          <w:rFonts w:ascii="Book Antiqua" w:hAnsi="Book Antiqua"/>
          <w:sz w:val="24"/>
          <w:szCs w:val="24"/>
        </w:rPr>
        <w:t xml:space="preserve">Our data show that GC patients with synchronous neoplasms were older than those with metachronous neoplasms (68.0 </w:t>
      </w:r>
      <w:r w:rsidRPr="00572DEC">
        <w:rPr>
          <w:rFonts w:ascii="Book Antiqua" w:hAnsi="Book Antiqua" w:cs="Book Antiqua"/>
          <w:sz w:val="24"/>
          <w:szCs w:val="24"/>
        </w:rPr>
        <w:t xml:space="preserve">± </w:t>
      </w:r>
      <w:r w:rsidRPr="00572DEC">
        <w:rPr>
          <w:rFonts w:ascii="Book Antiqua" w:hAnsi="Book Antiqua"/>
          <w:sz w:val="24"/>
          <w:szCs w:val="24"/>
        </w:rPr>
        <w:t>10.3 y</w:t>
      </w:r>
      <w:r>
        <w:rPr>
          <w:rFonts w:ascii="Book Antiqua" w:hAnsi="Book Antiqua"/>
          <w:sz w:val="24"/>
          <w:szCs w:val="24"/>
          <w:lang w:eastAsia="zh-CN"/>
        </w:rPr>
        <w:t>ears</w:t>
      </w:r>
      <w:r w:rsidRPr="00572DEC">
        <w:rPr>
          <w:rFonts w:ascii="Book Antiqua" w:hAnsi="Book Antiqua"/>
          <w:sz w:val="24"/>
          <w:szCs w:val="24"/>
        </w:rPr>
        <w:t xml:space="preserve"> </w:t>
      </w:r>
      <w:r w:rsidRPr="00572DEC">
        <w:rPr>
          <w:rFonts w:ascii="Book Antiqua" w:hAnsi="Book Antiqua"/>
          <w:i/>
          <w:sz w:val="24"/>
          <w:szCs w:val="24"/>
        </w:rPr>
        <w:t>vs</w:t>
      </w:r>
      <w:r w:rsidRPr="00572DEC">
        <w:rPr>
          <w:rFonts w:ascii="Book Antiqua" w:hAnsi="Book Antiqua"/>
          <w:sz w:val="24"/>
          <w:szCs w:val="24"/>
        </w:rPr>
        <w:t xml:space="preserve"> 59.9 </w:t>
      </w:r>
      <w:r w:rsidRPr="00572DEC">
        <w:rPr>
          <w:rFonts w:ascii="Book Antiqua" w:hAnsi="Book Antiqua" w:cs="Book Antiqua"/>
          <w:sz w:val="24"/>
          <w:szCs w:val="24"/>
        </w:rPr>
        <w:t xml:space="preserve">± </w:t>
      </w:r>
      <w:r w:rsidRPr="00572DEC">
        <w:rPr>
          <w:rFonts w:ascii="Book Antiqua" w:hAnsi="Book Antiqua"/>
          <w:sz w:val="24"/>
          <w:szCs w:val="24"/>
        </w:rPr>
        <w:t>11.1 y</w:t>
      </w:r>
      <w:r>
        <w:rPr>
          <w:rFonts w:ascii="Book Antiqua" w:hAnsi="Book Antiqua"/>
          <w:sz w:val="24"/>
          <w:szCs w:val="24"/>
          <w:lang w:eastAsia="zh-CN"/>
        </w:rPr>
        <w:t>ears</w:t>
      </w:r>
      <w:r w:rsidRPr="00572DEC">
        <w:rPr>
          <w:rFonts w:ascii="Book Antiqua" w:hAnsi="Book Antiqua"/>
          <w:sz w:val="24"/>
          <w:szCs w:val="24"/>
        </w:rPr>
        <w:t xml:space="preserve">, respectively; </w:t>
      </w:r>
      <w:r w:rsidRPr="00572DEC">
        <w:rPr>
          <w:rFonts w:ascii="Book Antiqua" w:hAnsi="Book Antiqua"/>
          <w:i/>
          <w:sz w:val="24"/>
          <w:szCs w:val="24"/>
        </w:rPr>
        <w:t>P</w:t>
      </w:r>
      <w:r w:rsidRPr="00572DEC">
        <w:rPr>
          <w:rFonts w:ascii="Book Antiqua" w:hAnsi="Book Antiqua"/>
          <w:sz w:val="24"/>
          <w:szCs w:val="24"/>
        </w:rPr>
        <w:t xml:space="preserve"> = 0.008). However, there were no statistically significant differences between these two groups in terms of sex, family history of cancer, duration of symptoms, tumor site in the stomach, histology, disease stage (early </w:t>
      </w:r>
      <w:r w:rsidRPr="00572DEC">
        <w:rPr>
          <w:rFonts w:ascii="Book Antiqua" w:hAnsi="Book Antiqua"/>
          <w:i/>
          <w:sz w:val="24"/>
          <w:szCs w:val="24"/>
        </w:rPr>
        <w:t>vs</w:t>
      </w:r>
      <w:r w:rsidRPr="00572DEC">
        <w:rPr>
          <w:rFonts w:ascii="Book Antiqua" w:hAnsi="Book Antiqua"/>
          <w:sz w:val="24"/>
          <w:szCs w:val="24"/>
        </w:rPr>
        <w:t xml:space="preserve"> advanced), or </w:t>
      </w:r>
      <w:r w:rsidRPr="00572DEC">
        <w:rPr>
          <w:rFonts w:ascii="Book Antiqua" w:hAnsi="Book Antiqua"/>
          <w:sz w:val="24"/>
          <w:szCs w:val="24"/>
        </w:rPr>
        <w:lastRenderedPageBreak/>
        <w:t xml:space="preserve">blood </w:t>
      </w:r>
      <w:r w:rsidRPr="00572DEC">
        <w:rPr>
          <w:rFonts w:ascii="Book Antiqua" w:hAnsi="Book Antiqua" w:cs="Book Antiqua"/>
          <w:sz w:val="24"/>
          <w:szCs w:val="24"/>
        </w:rPr>
        <w:t>group</w:t>
      </w:r>
      <w:r w:rsidRPr="00572DEC">
        <w:rPr>
          <w:rFonts w:ascii="Book Antiqua" w:hAnsi="Book Antiqua"/>
          <w:sz w:val="24"/>
          <w:szCs w:val="24"/>
        </w:rPr>
        <w:t xml:space="preserve">. This finding is consistent with the findings of Dinis-Ribeiro </w:t>
      </w:r>
      <w:r w:rsidRPr="00572DEC">
        <w:rPr>
          <w:rFonts w:ascii="Book Antiqua" w:hAnsi="Book Antiqua"/>
          <w:i/>
          <w:sz w:val="24"/>
          <w:szCs w:val="24"/>
        </w:rPr>
        <w:t>et al</w:t>
      </w:r>
      <w:r w:rsidRPr="00572DEC">
        <w:rPr>
          <w:rFonts w:ascii="Book Antiqua" w:hAnsi="Book Antiqua"/>
          <w:sz w:val="24"/>
          <w:szCs w:val="24"/>
          <w:vertAlign w:val="superscript"/>
        </w:rPr>
        <w:t>[10]</w:t>
      </w:r>
      <w:r w:rsidRPr="00572DEC">
        <w:rPr>
          <w:rFonts w:ascii="Book Antiqua" w:hAnsi="Book Antiqua"/>
          <w:sz w:val="24"/>
          <w:szCs w:val="24"/>
        </w:rPr>
        <w:t xml:space="preserve">, who analyzed a group of 2668 GC patients and found 78 (3.4%) cases with primary tumors other than GC. They also found that patients with synchronous neoplasms were older than those with metachronous neoplasms. They, too, found no statistically significant differences with regard to sex, GC location, and TNM staging. Taken together, these results indicate that after a diagnosis of GC, older patients in particular should be investigated for second malignancies. </w:t>
      </w:r>
    </w:p>
    <w:p w:rsidR="003E7779" w:rsidRPr="00572DEC" w:rsidRDefault="003E7779" w:rsidP="004517BA">
      <w:pPr>
        <w:spacing w:line="360" w:lineRule="auto"/>
        <w:jc w:val="both"/>
        <w:rPr>
          <w:rFonts w:ascii="Book Antiqua" w:hAnsi="Book Antiqua"/>
          <w:sz w:val="24"/>
          <w:szCs w:val="24"/>
        </w:rPr>
      </w:pPr>
      <w:r w:rsidRPr="00572DEC">
        <w:rPr>
          <w:rFonts w:ascii="Book Antiqua" w:hAnsi="Book Antiqua"/>
          <w:sz w:val="24"/>
          <w:szCs w:val="24"/>
        </w:rPr>
        <w:tab/>
        <w:t>In our series, the most common types of synchronous and metachronous neoplasms were colorectal cancer, followed by cancers of the lung, breast, and prostate. Our data seems to be similar to the findings of others, who also reported that colorectal cancer is the most frequent neoplasm in GC patients with multiple malignancies</w:t>
      </w:r>
      <w:r w:rsidRPr="00572DEC">
        <w:rPr>
          <w:rFonts w:ascii="Book Antiqua" w:hAnsi="Book Antiqua"/>
          <w:sz w:val="24"/>
          <w:szCs w:val="24"/>
          <w:vertAlign w:val="superscript"/>
        </w:rPr>
        <w:t>[6,8,10,17,20,23]</w:t>
      </w:r>
      <w:r w:rsidRPr="00572DEC">
        <w:rPr>
          <w:rFonts w:ascii="Book Antiqua" w:hAnsi="Book Antiqua"/>
          <w:sz w:val="24"/>
          <w:szCs w:val="24"/>
        </w:rPr>
        <w:t>, followed by lung, uterus, breast, and prostate cancers</w:t>
      </w:r>
      <w:r w:rsidRPr="00572DEC">
        <w:rPr>
          <w:rFonts w:ascii="Book Antiqua" w:hAnsi="Book Antiqua"/>
          <w:sz w:val="24"/>
          <w:szCs w:val="24"/>
          <w:vertAlign w:val="superscript"/>
        </w:rPr>
        <w:t>[6, 8, 10, 11, 17, 24]</w:t>
      </w:r>
      <w:r w:rsidRPr="00572DEC">
        <w:rPr>
          <w:rFonts w:ascii="Book Antiqua" w:hAnsi="Book Antiqua"/>
          <w:sz w:val="24"/>
          <w:szCs w:val="24"/>
        </w:rPr>
        <w:t xml:space="preserve">. </w:t>
      </w:r>
    </w:p>
    <w:p w:rsidR="003E7779" w:rsidRPr="00572DEC" w:rsidRDefault="003E7779" w:rsidP="00592B13">
      <w:pPr>
        <w:spacing w:line="360" w:lineRule="auto"/>
        <w:ind w:firstLineChars="250" w:firstLine="600"/>
        <w:jc w:val="both"/>
        <w:rPr>
          <w:rFonts w:ascii="Book Antiqua" w:hAnsi="Book Antiqua"/>
          <w:sz w:val="24"/>
          <w:szCs w:val="24"/>
        </w:rPr>
      </w:pPr>
      <w:r w:rsidRPr="00572DEC">
        <w:rPr>
          <w:rFonts w:ascii="Book Antiqua" w:hAnsi="Book Antiqua"/>
          <w:sz w:val="24"/>
          <w:szCs w:val="24"/>
        </w:rPr>
        <w:t>Our</w:t>
      </w:r>
      <w:r w:rsidRPr="00572DEC">
        <w:rPr>
          <w:rFonts w:ascii="Book Antiqua" w:hAnsi="Book Antiqua"/>
          <w:b/>
          <w:sz w:val="24"/>
          <w:szCs w:val="24"/>
        </w:rPr>
        <w:t xml:space="preserve"> </w:t>
      </w:r>
      <w:r w:rsidRPr="00572DEC">
        <w:rPr>
          <w:rFonts w:ascii="Book Antiqua" w:hAnsi="Book Antiqua"/>
          <w:sz w:val="24"/>
          <w:szCs w:val="24"/>
        </w:rPr>
        <w:t>observations are somewhat surprising when one considers that in the Polish population, the most common type of cancer is lung cancer, while colon and rectal cancer are the fourth and seventh most common types (according to registration of new cases of cancer sites in men). However, in women, lung cancer is the second most common cancer after breast cancer, while colon cancer is the fifth and rectal is the eighth most common cancer (according to registration of new cases)</w:t>
      </w:r>
      <w:r w:rsidRPr="00572DEC">
        <w:rPr>
          <w:rFonts w:ascii="Book Antiqua" w:hAnsi="Book Antiqua"/>
          <w:sz w:val="24"/>
          <w:szCs w:val="24"/>
          <w:vertAlign w:val="superscript"/>
        </w:rPr>
        <w:t>[25]</w:t>
      </w:r>
      <w:r w:rsidRPr="00572DEC">
        <w:rPr>
          <w:rFonts w:ascii="Book Antiqua" w:hAnsi="Book Antiqua"/>
          <w:sz w:val="24"/>
          <w:szCs w:val="24"/>
        </w:rPr>
        <w:t>. The high incidence of colorectal cancer in GC patients may be due to the same environmental factors that affect the gastrointestinal tract; strikingly, however, in our study group, none of the GC patients had esophageal carcinoma. In contrast, other researchers have found that the esophagus is one of the more common sites for second primary tumors in GC patients</w:t>
      </w:r>
      <w:r w:rsidRPr="00572DEC">
        <w:rPr>
          <w:rFonts w:ascii="Book Antiqua" w:hAnsi="Book Antiqua"/>
          <w:sz w:val="24"/>
          <w:szCs w:val="24"/>
          <w:vertAlign w:val="superscript"/>
        </w:rPr>
        <w:t>[6,21,23]</w:t>
      </w:r>
      <w:r w:rsidRPr="00572DEC">
        <w:rPr>
          <w:rFonts w:ascii="Book Antiqua" w:hAnsi="Book Antiqua"/>
          <w:sz w:val="24"/>
          <w:szCs w:val="24"/>
        </w:rPr>
        <w:t xml:space="preserve">. It is difficult to interpret this difference in findings among studies, because carcinogenesis is such a complex and poorly understood process. Previous anticancer therapy is considered to predispose patients to developing additional malignancies. In the current study, 27.6% of the GC patients with multiple metachronous primary cancers had been treated with </w:t>
      </w:r>
      <w:r w:rsidRPr="00572DEC">
        <w:rPr>
          <w:rFonts w:ascii="Book Antiqua" w:hAnsi="Book Antiqua" w:cs="Book Antiqua"/>
          <w:sz w:val="24"/>
          <w:szCs w:val="24"/>
        </w:rPr>
        <w:t>cytotoxic</w:t>
      </w:r>
      <w:r w:rsidRPr="00572DEC">
        <w:rPr>
          <w:rFonts w:ascii="Book Antiqua" w:hAnsi="Book Antiqua"/>
          <w:sz w:val="24"/>
          <w:szCs w:val="24"/>
        </w:rPr>
        <w:t xml:space="preserve"> agents or radiation therapy for a first cancer regardless of whether GC was the first or second tumor. </w:t>
      </w:r>
    </w:p>
    <w:p w:rsidR="003E7779" w:rsidRPr="00572DEC" w:rsidRDefault="003E7779" w:rsidP="004517BA">
      <w:pPr>
        <w:spacing w:line="360" w:lineRule="auto"/>
        <w:ind w:firstLine="432"/>
        <w:jc w:val="both"/>
        <w:rPr>
          <w:rFonts w:ascii="Book Antiqua" w:hAnsi="Book Antiqua"/>
          <w:color w:val="C00000"/>
          <w:sz w:val="24"/>
          <w:szCs w:val="24"/>
        </w:rPr>
      </w:pPr>
      <w:r w:rsidRPr="00572DEC">
        <w:rPr>
          <w:rFonts w:ascii="Book Antiqua" w:hAnsi="Book Antiqua" w:cs="Book Antiqua"/>
          <w:sz w:val="24"/>
          <w:szCs w:val="24"/>
        </w:rPr>
        <w:lastRenderedPageBreak/>
        <w:t xml:space="preserve">A comparison between </w:t>
      </w:r>
      <w:r w:rsidRPr="00572DEC">
        <w:rPr>
          <w:rFonts w:ascii="Book Antiqua" w:hAnsi="Book Antiqua"/>
          <w:sz w:val="24"/>
          <w:szCs w:val="24"/>
        </w:rPr>
        <w:t xml:space="preserve">the </w:t>
      </w:r>
      <w:r w:rsidRPr="00572DEC">
        <w:rPr>
          <w:rFonts w:ascii="Book Antiqua" w:hAnsi="Book Antiqua" w:cs="Book Antiqua"/>
          <w:sz w:val="24"/>
          <w:szCs w:val="24"/>
        </w:rPr>
        <w:t>groups</w:t>
      </w:r>
      <w:r w:rsidRPr="00572DEC">
        <w:rPr>
          <w:rFonts w:ascii="Book Antiqua" w:hAnsi="Book Antiqua"/>
          <w:sz w:val="24"/>
          <w:szCs w:val="24"/>
        </w:rPr>
        <w:t xml:space="preserve"> of </w:t>
      </w:r>
      <w:r w:rsidRPr="00572DEC">
        <w:rPr>
          <w:rFonts w:ascii="Book Antiqua" w:hAnsi="Book Antiqua" w:cs="Book Antiqua"/>
          <w:sz w:val="24"/>
          <w:szCs w:val="24"/>
        </w:rPr>
        <w:t>patients with or without a second primary tumor indicated that the only</w:t>
      </w:r>
      <w:r w:rsidRPr="00572DEC">
        <w:rPr>
          <w:rFonts w:ascii="Book Antiqua" w:hAnsi="Book Antiqua"/>
          <w:sz w:val="24"/>
          <w:szCs w:val="24"/>
        </w:rPr>
        <w:t xml:space="preserve"> significant differences </w:t>
      </w:r>
      <w:r w:rsidRPr="00572DEC">
        <w:rPr>
          <w:rFonts w:ascii="Book Antiqua" w:hAnsi="Book Antiqua" w:cs="Book Antiqua"/>
          <w:sz w:val="24"/>
          <w:szCs w:val="24"/>
        </w:rPr>
        <w:t xml:space="preserve">were </w:t>
      </w:r>
      <w:r w:rsidRPr="00572DEC">
        <w:rPr>
          <w:rFonts w:ascii="Book Antiqua" w:hAnsi="Book Antiqua"/>
          <w:sz w:val="24"/>
          <w:szCs w:val="24"/>
        </w:rPr>
        <w:t>in blood group</w:t>
      </w:r>
      <w:r w:rsidRPr="00572DEC">
        <w:rPr>
          <w:rFonts w:ascii="Book Antiqua" w:hAnsi="Book Antiqua" w:cs="Book Antiqua"/>
          <w:sz w:val="24"/>
          <w:szCs w:val="24"/>
        </w:rPr>
        <w:t xml:space="preserve"> and age.</w:t>
      </w:r>
      <w:r w:rsidRPr="00572DEC">
        <w:rPr>
          <w:rFonts w:ascii="Book Antiqua" w:hAnsi="Book Antiqua" w:cs="Book Antiqua"/>
          <w:b/>
          <w:bCs/>
          <w:sz w:val="24"/>
          <w:szCs w:val="24"/>
        </w:rPr>
        <w:t xml:space="preserve"> </w:t>
      </w:r>
      <w:r w:rsidRPr="00572DEC">
        <w:rPr>
          <w:rFonts w:ascii="Book Antiqua" w:hAnsi="Book Antiqua" w:cs="Book Antiqua"/>
          <w:sz w:val="24"/>
          <w:szCs w:val="24"/>
        </w:rPr>
        <w:t xml:space="preserve">GC patients with second primary tumors were more commonly group O than those without (56.2% </w:t>
      </w:r>
      <w:r w:rsidRPr="00572DEC">
        <w:rPr>
          <w:rFonts w:ascii="Book Antiqua" w:hAnsi="Book Antiqua" w:cs="Book Antiqua"/>
          <w:i/>
          <w:sz w:val="24"/>
          <w:szCs w:val="24"/>
        </w:rPr>
        <w:t>vs</w:t>
      </w:r>
      <w:r w:rsidRPr="00572DEC">
        <w:rPr>
          <w:rFonts w:ascii="Book Antiqua" w:hAnsi="Book Antiqua" w:cs="Book Antiqua"/>
          <w:sz w:val="24"/>
          <w:szCs w:val="24"/>
        </w:rPr>
        <w:t xml:space="preserve"> 31.6%, respectively; </w:t>
      </w:r>
      <w:r w:rsidRPr="00572DEC">
        <w:rPr>
          <w:rFonts w:ascii="Book Antiqua" w:hAnsi="Book Antiqua" w:cs="Book Antiqua"/>
          <w:i/>
          <w:iCs/>
          <w:sz w:val="24"/>
          <w:szCs w:val="24"/>
        </w:rPr>
        <w:t xml:space="preserve">P </w:t>
      </w:r>
      <w:r w:rsidRPr="00572DEC">
        <w:rPr>
          <w:rFonts w:ascii="Book Antiqua" w:hAnsi="Book Antiqua" w:cs="Book Antiqua"/>
          <w:sz w:val="24"/>
          <w:szCs w:val="24"/>
        </w:rPr>
        <w:t>= 0.002).</w:t>
      </w:r>
      <w:r w:rsidRPr="00572DEC">
        <w:rPr>
          <w:rFonts w:ascii="Book Antiqua" w:hAnsi="Book Antiqua" w:cs="Book Antiqua"/>
          <w:color w:val="FF0000"/>
          <w:sz w:val="24"/>
          <w:szCs w:val="24"/>
        </w:rPr>
        <w:t xml:space="preserve"> </w:t>
      </w:r>
      <w:r w:rsidRPr="00572DEC">
        <w:rPr>
          <w:rFonts w:ascii="Book Antiqua" w:hAnsi="Book Antiqua" w:cs="Book Antiqua"/>
          <w:sz w:val="24"/>
          <w:szCs w:val="24"/>
        </w:rPr>
        <w:t>However, out of our entire group of patients with GC, only 4.8% had both blood group O and multiple tumors.</w:t>
      </w:r>
      <w:r w:rsidRPr="00572DEC">
        <w:rPr>
          <w:rFonts w:ascii="Book Antiqua" w:hAnsi="Book Antiqua"/>
          <w:sz w:val="24"/>
          <w:szCs w:val="24"/>
        </w:rPr>
        <w:t xml:space="preserve"> In GC patients with multiple malignancies, more than half were blood group </w:t>
      </w:r>
      <w:r w:rsidRPr="00572DEC">
        <w:rPr>
          <w:rFonts w:ascii="Book Antiqua" w:hAnsi="Book Antiqua" w:cs="Book Antiqua"/>
          <w:sz w:val="24"/>
          <w:szCs w:val="24"/>
        </w:rPr>
        <w:t xml:space="preserve">O, 27% were blood group </w:t>
      </w:r>
      <w:r w:rsidRPr="00572DEC">
        <w:rPr>
          <w:rFonts w:ascii="Book Antiqua" w:hAnsi="Book Antiqua"/>
          <w:sz w:val="24"/>
          <w:szCs w:val="24"/>
        </w:rPr>
        <w:t xml:space="preserve">A, and </w:t>
      </w:r>
      <w:r w:rsidRPr="00572DEC">
        <w:rPr>
          <w:rFonts w:ascii="Book Antiqua" w:hAnsi="Book Antiqua" w:cs="Book Antiqua"/>
          <w:sz w:val="24"/>
          <w:szCs w:val="24"/>
        </w:rPr>
        <w:t xml:space="preserve">almost </w:t>
      </w:r>
      <w:r w:rsidRPr="00572DEC">
        <w:rPr>
          <w:rFonts w:ascii="Book Antiqua" w:hAnsi="Book Antiqua"/>
          <w:sz w:val="24"/>
          <w:szCs w:val="24"/>
        </w:rPr>
        <w:t>17% were blood group B. None of the patients were AB, although 40% of the Polish population are blood group A, 32% are O, 19% are B, and 9% are AB. In a previous study, we found that of 195 GC patients, 45% were blood group A, 27% were blood group O, 18% were blood group B, and 10% were blood group AB</w:t>
      </w:r>
      <w:r w:rsidRPr="00572DEC">
        <w:rPr>
          <w:rFonts w:ascii="Book Antiqua" w:hAnsi="Book Antiqua" w:cs="Book Antiqua"/>
          <w:sz w:val="24"/>
          <w:szCs w:val="24"/>
          <w:vertAlign w:val="superscript"/>
        </w:rPr>
        <w:t>[26]</w:t>
      </w:r>
      <w:r w:rsidRPr="00572DEC">
        <w:rPr>
          <w:rFonts w:ascii="Book Antiqua" w:hAnsi="Book Antiqua" w:cs="Book Antiqua"/>
          <w:sz w:val="24"/>
          <w:szCs w:val="24"/>
        </w:rPr>
        <w:t>. Previous studies reported that blood group A is associated with GC</w:t>
      </w:r>
      <w:r w:rsidRPr="00572DEC">
        <w:rPr>
          <w:rFonts w:ascii="Book Antiqua" w:hAnsi="Book Antiqua" w:cs="Book Antiqua"/>
          <w:sz w:val="24"/>
          <w:szCs w:val="24"/>
          <w:vertAlign w:val="superscript"/>
        </w:rPr>
        <w:t>[27-29]</w:t>
      </w:r>
      <w:r w:rsidRPr="00572DEC">
        <w:rPr>
          <w:rFonts w:ascii="Book Antiqua" w:hAnsi="Book Antiqua" w:cs="Book Antiqua"/>
          <w:sz w:val="24"/>
          <w:szCs w:val="24"/>
        </w:rPr>
        <w:t xml:space="preserve">. Furthermore, Wang </w:t>
      </w:r>
      <w:r w:rsidRPr="00572DEC">
        <w:rPr>
          <w:rFonts w:ascii="Book Antiqua" w:hAnsi="Book Antiqua" w:cs="Book Antiqua"/>
          <w:i/>
          <w:sz w:val="24"/>
          <w:szCs w:val="24"/>
        </w:rPr>
        <w:t>et al</w:t>
      </w:r>
      <w:r w:rsidRPr="00572DEC">
        <w:rPr>
          <w:rFonts w:ascii="Book Antiqua" w:hAnsi="Book Antiqua" w:cs="Book Antiqua"/>
          <w:sz w:val="24"/>
          <w:szCs w:val="24"/>
          <w:vertAlign w:val="superscript"/>
        </w:rPr>
        <w:t>[30]</w:t>
      </w:r>
      <w:r w:rsidRPr="00572DEC">
        <w:rPr>
          <w:rFonts w:ascii="Book Antiqua" w:hAnsi="Book Antiqua" w:cs="Book Antiqua"/>
          <w:sz w:val="24"/>
          <w:szCs w:val="24"/>
        </w:rPr>
        <w:t xml:space="preserve"> indicated a significantly higher risk of GC in individuals with blood group A; moreover, these patients were more likely to be infected with </w:t>
      </w:r>
      <w:r w:rsidRPr="00572DEC">
        <w:rPr>
          <w:rFonts w:ascii="Book Antiqua" w:hAnsi="Book Antiqua" w:cs="Book Antiqua"/>
          <w:i/>
          <w:sz w:val="24"/>
          <w:szCs w:val="24"/>
        </w:rPr>
        <w:t>Helicobacter pylori</w:t>
      </w:r>
      <w:r w:rsidRPr="00572DEC">
        <w:rPr>
          <w:rFonts w:ascii="Book Antiqua" w:hAnsi="Book Antiqua" w:cs="Book Antiqua"/>
          <w:sz w:val="24"/>
          <w:szCs w:val="24"/>
        </w:rPr>
        <w:t xml:space="preserve"> than individuals with other ABO blood types.</w:t>
      </w:r>
      <w:r w:rsidRPr="00572DEC">
        <w:rPr>
          <w:rFonts w:ascii="Book Antiqua" w:hAnsi="Book Antiqua"/>
          <w:sz w:val="24"/>
          <w:szCs w:val="24"/>
        </w:rPr>
        <w:t xml:space="preserve"> Other studies have found associations between pancreatic cancer and breast cancer and blood groups</w:t>
      </w:r>
      <w:r w:rsidRPr="00572DEC">
        <w:rPr>
          <w:rFonts w:ascii="Book Antiqua" w:hAnsi="Book Antiqua"/>
          <w:sz w:val="24"/>
          <w:szCs w:val="24"/>
          <w:vertAlign w:val="superscript"/>
        </w:rPr>
        <w:t>[31,32]</w:t>
      </w:r>
      <w:r w:rsidRPr="00572DEC">
        <w:rPr>
          <w:rFonts w:ascii="Book Antiqua" w:hAnsi="Book Antiqua"/>
          <w:sz w:val="24"/>
          <w:szCs w:val="24"/>
        </w:rPr>
        <w:t xml:space="preserve">; thus, this may not be a random association, and it may merit further investigation. </w:t>
      </w:r>
      <w:r w:rsidRPr="00572DEC">
        <w:rPr>
          <w:rFonts w:ascii="Book Antiqua" w:hAnsi="Book Antiqua" w:cs="Book Antiqua"/>
          <w:sz w:val="24"/>
          <w:szCs w:val="24"/>
        </w:rPr>
        <w:t>To</w:t>
      </w:r>
      <w:r w:rsidRPr="00572DEC">
        <w:rPr>
          <w:rFonts w:ascii="Book Antiqua" w:hAnsi="Book Antiqua"/>
          <w:sz w:val="24"/>
          <w:szCs w:val="24"/>
        </w:rPr>
        <w:t xml:space="preserve"> the </w:t>
      </w:r>
      <w:r w:rsidRPr="00572DEC">
        <w:rPr>
          <w:rFonts w:ascii="Book Antiqua" w:hAnsi="Book Antiqua" w:cs="Book Antiqua"/>
          <w:sz w:val="24"/>
          <w:szCs w:val="24"/>
        </w:rPr>
        <w:t>best of our knowledge, our results represent the first investigation of these associations, and they indicate</w:t>
      </w:r>
      <w:r w:rsidRPr="00572DEC">
        <w:rPr>
          <w:rFonts w:ascii="Book Antiqua" w:hAnsi="Book Antiqua"/>
          <w:sz w:val="24"/>
          <w:szCs w:val="24"/>
        </w:rPr>
        <w:t xml:space="preserve"> that patients </w:t>
      </w:r>
      <w:r w:rsidRPr="00572DEC">
        <w:rPr>
          <w:rFonts w:ascii="Book Antiqua" w:hAnsi="Book Antiqua" w:cs="Book Antiqua"/>
          <w:sz w:val="24"/>
          <w:szCs w:val="24"/>
        </w:rPr>
        <w:t xml:space="preserve">with GC who have </w:t>
      </w:r>
      <w:r w:rsidRPr="00572DEC">
        <w:rPr>
          <w:rFonts w:ascii="Book Antiqua" w:hAnsi="Book Antiqua"/>
          <w:sz w:val="24"/>
          <w:szCs w:val="24"/>
        </w:rPr>
        <w:t xml:space="preserve">blood group O </w:t>
      </w:r>
      <w:r w:rsidRPr="00572DEC">
        <w:rPr>
          <w:rFonts w:ascii="Book Antiqua" w:hAnsi="Book Antiqua" w:cs="Book Antiqua"/>
          <w:sz w:val="24"/>
          <w:szCs w:val="24"/>
        </w:rPr>
        <w:t xml:space="preserve">should be controlled for the development of second </w:t>
      </w:r>
      <w:r w:rsidRPr="00572DEC">
        <w:rPr>
          <w:rFonts w:ascii="Book Antiqua" w:hAnsi="Book Antiqua"/>
          <w:sz w:val="24"/>
          <w:szCs w:val="24"/>
        </w:rPr>
        <w:t xml:space="preserve">primary </w:t>
      </w:r>
      <w:r w:rsidRPr="00572DEC">
        <w:rPr>
          <w:rFonts w:ascii="Book Antiqua" w:hAnsi="Book Antiqua" w:cs="Book Antiqua"/>
          <w:sz w:val="24"/>
          <w:szCs w:val="24"/>
        </w:rPr>
        <w:t>tumors.</w:t>
      </w:r>
      <w:r w:rsidRPr="00572DEC">
        <w:rPr>
          <w:rFonts w:ascii="Book Antiqua" w:hAnsi="Book Antiqua" w:cs="Book Antiqua"/>
          <w:color w:val="C00000"/>
          <w:sz w:val="24"/>
          <w:szCs w:val="24"/>
        </w:rPr>
        <w:t xml:space="preserve"> </w:t>
      </w:r>
    </w:p>
    <w:p w:rsidR="003E7779" w:rsidRPr="00572DEC" w:rsidRDefault="003E7779" w:rsidP="007002FB">
      <w:pPr>
        <w:spacing w:line="360" w:lineRule="auto"/>
        <w:ind w:firstLineChars="250" w:firstLine="600"/>
        <w:jc w:val="both"/>
        <w:rPr>
          <w:rFonts w:ascii="Book Antiqua" w:hAnsi="Book Antiqua" w:cs="Book Antiqua"/>
          <w:sz w:val="24"/>
          <w:szCs w:val="24"/>
        </w:rPr>
      </w:pPr>
      <w:r w:rsidRPr="00572DEC">
        <w:rPr>
          <w:rFonts w:ascii="Book Antiqua" w:hAnsi="Book Antiqua" w:cs="Book Antiqua"/>
          <w:sz w:val="24"/>
          <w:szCs w:val="24"/>
        </w:rPr>
        <w:t>The mean age</w:t>
      </w:r>
      <w:r w:rsidRPr="00572DEC">
        <w:rPr>
          <w:rFonts w:ascii="Book Antiqua" w:hAnsi="Book Antiqua"/>
          <w:sz w:val="24"/>
          <w:szCs w:val="24"/>
        </w:rPr>
        <w:t xml:space="preserve"> of patients with </w:t>
      </w:r>
      <w:r w:rsidRPr="00572DEC">
        <w:rPr>
          <w:rFonts w:ascii="Book Antiqua" w:hAnsi="Book Antiqua" w:cs="Book Antiqua"/>
          <w:sz w:val="24"/>
          <w:szCs w:val="24"/>
        </w:rPr>
        <w:t>multiple</w:t>
      </w:r>
      <w:r w:rsidRPr="00572DEC">
        <w:rPr>
          <w:rFonts w:ascii="Book Antiqua" w:hAnsi="Book Antiqua"/>
          <w:sz w:val="24"/>
          <w:szCs w:val="24"/>
        </w:rPr>
        <w:t xml:space="preserve"> tumors </w:t>
      </w:r>
      <w:r w:rsidRPr="00572DEC">
        <w:rPr>
          <w:rFonts w:ascii="Book Antiqua" w:hAnsi="Book Antiqua" w:cs="Book Antiqua"/>
          <w:sz w:val="24"/>
          <w:szCs w:val="24"/>
        </w:rPr>
        <w:t>was higher than that for patients</w:t>
      </w:r>
      <w:r w:rsidRPr="00572DEC">
        <w:rPr>
          <w:rFonts w:ascii="Book Antiqua" w:hAnsi="Book Antiqua"/>
          <w:sz w:val="24"/>
          <w:szCs w:val="24"/>
        </w:rPr>
        <w:t xml:space="preserve"> without a second </w:t>
      </w:r>
      <w:r w:rsidRPr="00572DEC">
        <w:rPr>
          <w:rFonts w:ascii="Book Antiqua" w:hAnsi="Book Antiqua" w:cs="Book Antiqua"/>
          <w:sz w:val="24"/>
          <w:szCs w:val="24"/>
        </w:rPr>
        <w:t>primary</w:t>
      </w:r>
      <w:r w:rsidRPr="00572DEC">
        <w:rPr>
          <w:rFonts w:ascii="Book Antiqua" w:hAnsi="Book Antiqua"/>
          <w:sz w:val="24"/>
          <w:szCs w:val="24"/>
        </w:rPr>
        <w:t xml:space="preserve"> tumor </w:t>
      </w:r>
      <w:r w:rsidRPr="00572DEC">
        <w:rPr>
          <w:rFonts w:ascii="Book Antiqua" w:hAnsi="Book Antiqua" w:cs="Book Antiqua"/>
          <w:sz w:val="24"/>
          <w:szCs w:val="24"/>
        </w:rPr>
        <w:t>(63.4 ± 11.4 y</w:t>
      </w:r>
      <w:r>
        <w:rPr>
          <w:rFonts w:ascii="Book Antiqua" w:hAnsi="Book Antiqua" w:cs="Book Antiqua"/>
          <w:sz w:val="24"/>
          <w:szCs w:val="24"/>
          <w:lang w:eastAsia="zh-CN"/>
        </w:rPr>
        <w:t>ears</w:t>
      </w:r>
      <w:r w:rsidRPr="00572DEC">
        <w:rPr>
          <w:rFonts w:ascii="Book Antiqua" w:hAnsi="Book Antiqua" w:cs="Book Antiqua"/>
          <w:i/>
          <w:sz w:val="24"/>
          <w:szCs w:val="24"/>
        </w:rPr>
        <w:t xml:space="preserve"> vs</w:t>
      </w:r>
      <w:r w:rsidRPr="00572DEC">
        <w:rPr>
          <w:rFonts w:ascii="Book Antiqua" w:hAnsi="Book Antiqua" w:cs="Book Antiqua"/>
          <w:sz w:val="24"/>
          <w:szCs w:val="24"/>
        </w:rPr>
        <w:t xml:space="preserve"> 59.5 ± 13.0 y</w:t>
      </w:r>
      <w:r>
        <w:rPr>
          <w:rFonts w:ascii="Book Antiqua" w:hAnsi="Book Antiqua" w:cs="Book Antiqua"/>
          <w:sz w:val="24"/>
          <w:szCs w:val="24"/>
          <w:lang w:eastAsia="zh-CN"/>
        </w:rPr>
        <w:t>ears</w:t>
      </w:r>
      <w:r w:rsidRPr="00572DEC">
        <w:rPr>
          <w:rFonts w:ascii="Book Antiqua" w:hAnsi="Book Antiqua" w:cs="Book Antiqua"/>
          <w:sz w:val="24"/>
          <w:szCs w:val="24"/>
        </w:rPr>
        <w:t xml:space="preserve">, respectively; </w:t>
      </w:r>
      <w:r w:rsidRPr="00572DEC">
        <w:rPr>
          <w:rFonts w:ascii="Book Antiqua" w:hAnsi="Book Antiqua" w:cs="Book Antiqua"/>
          <w:i/>
          <w:iCs/>
          <w:sz w:val="24"/>
          <w:szCs w:val="24"/>
        </w:rPr>
        <w:t xml:space="preserve">P </w:t>
      </w:r>
      <w:r w:rsidRPr="00572DEC">
        <w:rPr>
          <w:rFonts w:ascii="Book Antiqua" w:hAnsi="Book Antiqua" w:cs="Book Antiqua"/>
          <w:sz w:val="24"/>
          <w:szCs w:val="24"/>
        </w:rPr>
        <w:t>= 0.026).</w:t>
      </w:r>
    </w:p>
    <w:p w:rsidR="003E7779" w:rsidRPr="00572DEC" w:rsidRDefault="003E7779" w:rsidP="00C17344">
      <w:pPr>
        <w:spacing w:line="360" w:lineRule="auto"/>
        <w:ind w:firstLineChars="250" w:firstLine="600"/>
        <w:jc w:val="both"/>
        <w:rPr>
          <w:rFonts w:ascii="Book Antiqua" w:hAnsi="Book Antiqua"/>
          <w:sz w:val="24"/>
          <w:szCs w:val="24"/>
        </w:rPr>
      </w:pPr>
      <w:r w:rsidRPr="00572DEC">
        <w:rPr>
          <w:rFonts w:ascii="Book Antiqua" w:hAnsi="Book Antiqua"/>
          <w:sz w:val="24"/>
          <w:szCs w:val="24"/>
        </w:rPr>
        <w:t xml:space="preserve">Ikeda </w:t>
      </w:r>
      <w:r w:rsidRPr="00572DEC">
        <w:rPr>
          <w:rFonts w:ascii="Book Antiqua" w:hAnsi="Book Antiqua"/>
          <w:i/>
          <w:sz w:val="24"/>
          <w:szCs w:val="24"/>
        </w:rPr>
        <w:t>et al</w:t>
      </w:r>
      <w:r w:rsidRPr="00572DEC">
        <w:rPr>
          <w:rFonts w:ascii="Book Antiqua" w:hAnsi="Book Antiqua"/>
          <w:sz w:val="24"/>
          <w:szCs w:val="24"/>
          <w:vertAlign w:val="superscript"/>
        </w:rPr>
        <w:t>[17]</w:t>
      </w:r>
      <w:r w:rsidRPr="00572DEC">
        <w:rPr>
          <w:rFonts w:ascii="Book Antiqua" w:hAnsi="Book Antiqua"/>
          <w:sz w:val="24"/>
          <w:szCs w:val="24"/>
        </w:rPr>
        <w:t xml:space="preserve"> found that patients with a second tumor tended more frequently to be males and elderly than those without a second tumor. Eom </w:t>
      </w:r>
      <w:r w:rsidRPr="00511EF2">
        <w:rPr>
          <w:rFonts w:ascii="Book Antiqua" w:hAnsi="Book Antiqua"/>
          <w:i/>
          <w:sz w:val="24"/>
          <w:szCs w:val="24"/>
          <w:lang w:eastAsia="zh-CN"/>
        </w:rPr>
        <w:t>e</w:t>
      </w:r>
      <w:r w:rsidRPr="00511EF2">
        <w:rPr>
          <w:rFonts w:ascii="Book Antiqua" w:hAnsi="Book Antiqua"/>
          <w:i/>
          <w:sz w:val="24"/>
          <w:szCs w:val="24"/>
        </w:rPr>
        <w:t>t al</w:t>
      </w:r>
      <w:r w:rsidRPr="00572DEC">
        <w:rPr>
          <w:rFonts w:ascii="Book Antiqua" w:hAnsi="Book Antiqua"/>
          <w:sz w:val="24"/>
          <w:szCs w:val="24"/>
          <w:vertAlign w:val="superscript"/>
        </w:rPr>
        <w:t>[8]</w:t>
      </w:r>
      <w:r w:rsidRPr="00572DEC">
        <w:rPr>
          <w:rFonts w:ascii="Book Antiqua" w:hAnsi="Book Antiqua"/>
          <w:sz w:val="24"/>
          <w:szCs w:val="24"/>
        </w:rPr>
        <w:t xml:space="preserve"> indicated that the mean age of patients and the proportion who had early GC were both higher in patients with a second cancer than in those without. Both studies were conducted in Asia and were carried out in larger groups. </w:t>
      </w:r>
    </w:p>
    <w:p w:rsidR="003E7779" w:rsidRPr="00572DEC" w:rsidRDefault="003E7779" w:rsidP="007002FB">
      <w:pPr>
        <w:spacing w:line="360" w:lineRule="auto"/>
        <w:ind w:firstLineChars="300" w:firstLine="720"/>
        <w:jc w:val="both"/>
        <w:rPr>
          <w:rFonts w:ascii="Book Antiqua" w:hAnsi="Book Antiqua" w:cs="Book Antiqua"/>
          <w:sz w:val="24"/>
          <w:szCs w:val="24"/>
        </w:rPr>
      </w:pPr>
      <w:r w:rsidRPr="00572DEC">
        <w:rPr>
          <w:rFonts w:ascii="Book Antiqua" w:hAnsi="Book Antiqua" w:cs="Book Antiqua"/>
          <w:sz w:val="24"/>
          <w:szCs w:val="24"/>
        </w:rPr>
        <w:t xml:space="preserve">Comparisons of clinicopathological features other than age and blood groups indicated that GC patients with and without a second cancer did not differ in terms of sex, tumor site, family history of cancer, stage, and histology. Despite the lack of statistically significant differences between GC patients with and without a second </w:t>
      </w:r>
      <w:r w:rsidRPr="00572DEC">
        <w:rPr>
          <w:rFonts w:ascii="Book Antiqua" w:hAnsi="Book Antiqua" w:cs="Book Antiqua"/>
          <w:sz w:val="24"/>
          <w:szCs w:val="24"/>
        </w:rPr>
        <w:lastRenderedPageBreak/>
        <w:t xml:space="preserve">tumor in terms of family history of cancer, one observation is noteworthy: Almost half (49%) of the GC patients with multiple malignancies reported cancer in their first- or second-degree relatives; almost half (46.2%) of these relatives had GC. The only previous report of a similar finding came from Muela Molinero </w:t>
      </w:r>
      <w:r w:rsidRPr="00572DEC">
        <w:rPr>
          <w:rFonts w:ascii="Book Antiqua" w:hAnsi="Book Antiqua" w:cs="Book Antiqua"/>
          <w:i/>
          <w:sz w:val="24"/>
          <w:szCs w:val="24"/>
        </w:rPr>
        <w:t>et al</w:t>
      </w:r>
      <w:r w:rsidRPr="00572DEC">
        <w:rPr>
          <w:rFonts w:ascii="Book Antiqua" w:hAnsi="Book Antiqua" w:cs="Book Antiqua"/>
          <w:sz w:val="24"/>
          <w:szCs w:val="24"/>
          <w:vertAlign w:val="superscript"/>
        </w:rPr>
        <w:t>[19]</w:t>
      </w:r>
      <w:r w:rsidRPr="00572DEC">
        <w:rPr>
          <w:rFonts w:ascii="Book Antiqua" w:hAnsi="Book Antiqua" w:cs="Book Antiqua"/>
          <w:sz w:val="24"/>
          <w:szCs w:val="24"/>
        </w:rPr>
        <w:t>, who observed that 56% of GC patients diagnosed with multiple malignant primary neoplasms had a history of cancer in first-degree relatives. In our previous study of a group of 218 GC patients, a positive family history of cancer was noted in 36% of cases; of these cases, 46% had GC</w:t>
      </w:r>
      <w:r w:rsidRPr="00572DEC">
        <w:rPr>
          <w:rFonts w:ascii="Book Antiqua" w:hAnsi="Book Antiqua" w:cs="Book Antiqua"/>
          <w:sz w:val="24"/>
          <w:szCs w:val="24"/>
          <w:vertAlign w:val="superscript"/>
        </w:rPr>
        <w:t>[26]</w:t>
      </w:r>
      <w:r w:rsidRPr="00572DEC">
        <w:rPr>
          <w:rFonts w:ascii="Book Antiqua" w:hAnsi="Book Antiqua" w:cs="Book Antiqua"/>
          <w:sz w:val="24"/>
          <w:szCs w:val="24"/>
        </w:rPr>
        <w:t>.</w:t>
      </w:r>
    </w:p>
    <w:p w:rsidR="003E7779" w:rsidRPr="00572DEC" w:rsidRDefault="003E7779" w:rsidP="00C000FF">
      <w:pPr>
        <w:spacing w:line="360" w:lineRule="auto"/>
        <w:ind w:firstLineChars="300" w:firstLine="720"/>
        <w:jc w:val="both"/>
        <w:rPr>
          <w:rFonts w:ascii="Book Antiqua" w:hAnsi="Book Antiqua" w:cs="Book Antiqua"/>
          <w:sz w:val="24"/>
          <w:szCs w:val="24"/>
          <w:lang w:eastAsia="zh-CN"/>
        </w:rPr>
      </w:pPr>
      <w:r w:rsidRPr="00572DEC">
        <w:rPr>
          <w:rFonts w:ascii="Book Antiqua" w:hAnsi="Book Antiqua"/>
          <w:sz w:val="24"/>
          <w:szCs w:val="24"/>
        </w:rPr>
        <w:t xml:space="preserve">In conclusion, we confirmed the phenomenon of multiple malignancies in a group of GC patients in Poland. Specifically, we found that almost 7% of GC patients in our population had additional neoplasms. The most common additional malignancies were colorectal, breast, lung, and prostate cancers. Based on our findings, we believe that after a diagnosis of GC, the attending physician should be vigilant and perform additional procedures as appropriate, such as colonoscopy, mammography, chest x-ray, and abdominopelvic </w:t>
      </w:r>
      <w:r w:rsidRPr="00572DEC">
        <w:rPr>
          <w:rFonts w:ascii="Book Antiqua" w:hAnsi="Book Antiqua" w:cs="Book Antiqua"/>
          <w:sz w:val="24"/>
          <w:szCs w:val="24"/>
        </w:rPr>
        <w:t>computed tomography.</w:t>
      </w:r>
      <w:r w:rsidRPr="00572DEC">
        <w:rPr>
          <w:rFonts w:ascii="Book Antiqua" w:hAnsi="Book Antiqua"/>
          <w:sz w:val="24"/>
          <w:szCs w:val="24"/>
        </w:rPr>
        <w:t xml:space="preserve"> This may be particularly relevant for GC patients who are blood group O</w:t>
      </w:r>
      <w:r w:rsidRPr="00572DEC">
        <w:rPr>
          <w:rFonts w:ascii="Book Antiqua" w:hAnsi="Book Antiqua" w:cs="Book Antiqua"/>
          <w:sz w:val="24"/>
          <w:szCs w:val="24"/>
        </w:rPr>
        <w:t xml:space="preserve"> and are older. </w:t>
      </w:r>
    </w:p>
    <w:p w:rsidR="003E7779" w:rsidRPr="00572DEC" w:rsidRDefault="003E7779" w:rsidP="004517BA">
      <w:pPr>
        <w:spacing w:line="360" w:lineRule="auto"/>
        <w:jc w:val="both"/>
        <w:rPr>
          <w:rFonts w:ascii="Book Antiqua" w:hAnsi="Book Antiqua" w:cs="Book Antiqua"/>
          <w:sz w:val="24"/>
          <w:szCs w:val="24"/>
          <w:lang w:eastAsia="zh-CN"/>
        </w:rPr>
      </w:pPr>
    </w:p>
    <w:p w:rsidR="003E7779" w:rsidRPr="00D408D2" w:rsidRDefault="003E7779" w:rsidP="004517BA">
      <w:pPr>
        <w:spacing w:line="360" w:lineRule="auto"/>
        <w:jc w:val="both"/>
        <w:rPr>
          <w:rFonts w:ascii="Book Antiqua" w:hAnsi="Book Antiqua" w:cs="Book Antiqua"/>
          <w:b/>
          <w:bCs/>
          <w:sz w:val="24"/>
          <w:szCs w:val="24"/>
        </w:rPr>
      </w:pPr>
      <w:bookmarkStart w:id="9" w:name="OLE_LINK14"/>
      <w:bookmarkStart w:id="10" w:name="OLE_LINK15"/>
      <w:bookmarkStart w:id="11" w:name="OLE_LINK23"/>
      <w:bookmarkStart w:id="12" w:name="OLE_LINK119"/>
      <w:bookmarkStart w:id="13" w:name="OLE_LINK180"/>
      <w:bookmarkStart w:id="14" w:name="OLE_LINK200"/>
      <w:bookmarkStart w:id="15" w:name="OLE_LINK30"/>
      <w:bookmarkStart w:id="16" w:name="OLE_LINK31"/>
      <w:bookmarkStart w:id="17" w:name="OLE_LINK46"/>
      <w:bookmarkStart w:id="18" w:name="OLE_LINK50"/>
      <w:bookmarkStart w:id="19" w:name="OLE_LINK168"/>
      <w:bookmarkStart w:id="20" w:name="OLE_LINK201"/>
      <w:r w:rsidRPr="00572DEC">
        <w:rPr>
          <w:rFonts w:ascii="Book Antiqua" w:hAnsi="Book Antiqua" w:cs="Book Antiqua"/>
          <w:b/>
          <w:bCs/>
          <w:sz w:val="24"/>
          <w:szCs w:val="24"/>
        </w:rPr>
        <w:t>COMMENTS</w:t>
      </w:r>
    </w:p>
    <w:bookmarkEnd w:id="9"/>
    <w:bookmarkEnd w:id="10"/>
    <w:bookmarkEnd w:id="11"/>
    <w:bookmarkEnd w:id="12"/>
    <w:bookmarkEnd w:id="13"/>
    <w:bookmarkEnd w:id="14"/>
    <w:bookmarkEnd w:id="15"/>
    <w:bookmarkEnd w:id="16"/>
    <w:bookmarkEnd w:id="17"/>
    <w:bookmarkEnd w:id="18"/>
    <w:bookmarkEnd w:id="19"/>
    <w:bookmarkEnd w:id="20"/>
    <w:p w:rsidR="003E7779" w:rsidRPr="00572DEC" w:rsidRDefault="003E7779" w:rsidP="004517BA">
      <w:pPr>
        <w:pStyle w:val="1"/>
        <w:spacing w:line="360" w:lineRule="auto"/>
        <w:rPr>
          <w:rFonts w:ascii="Book Antiqua" w:hAnsi="Book Antiqua" w:cs="Book Antiqua"/>
          <w:i/>
        </w:rPr>
      </w:pPr>
      <w:r w:rsidRPr="00572DEC">
        <w:rPr>
          <w:rFonts w:ascii="Book Antiqua" w:hAnsi="Book Antiqua"/>
          <w:i/>
        </w:rPr>
        <w:t>Background</w:t>
      </w:r>
    </w:p>
    <w:p w:rsidR="003E7779" w:rsidRPr="00572DEC" w:rsidRDefault="003E7779" w:rsidP="004517BA">
      <w:pPr>
        <w:spacing w:line="360" w:lineRule="auto"/>
        <w:jc w:val="both"/>
        <w:rPr>
          <w:rFonts w:ascii="Book Antiqua" w:hAnsi="Book Antiqua"/>
          <w:sz w:val="24"/>
          <w:szCs w:val="24"/>
        </w:rPr>
      </w:pPr>
      <w:r w:rsidRPr="00572DEC">
        <w:rPr>
          <w:rFonts w:ascii="Book Antiqua" w:hAnsi="Book Antiqua"/>
          <w:sz w:val="24"/>
          <w:szCs w:val="24"/>
        </w:rPr>
        <w:t>The phenomenon of multiple primary neoplasms is increasingly being discussed due to the increased survival time of cancer patients after treatment and because of advances in diagnostic methods. It is estimated that multiple neoplasms affect about 10% of all cancer patients. In our study,</w:t>
      </w:r>
      <w:r w:rsidRPr="00572DEC">
        <w:rPr>
          <w:rFonts w:ascii="Book Antiqua" w:hAnsi="Book Antiqua" w:cs="Book Antiqua"/>
          <w:sz w:val="24"/>
          <w:szCs w:val="24"/>
        </w:rPr>
        <w:t xml:space="preserve"> 6.7% developed a total of 62 multiple primary tumors. The predominant tumor type of the secondary neoplasms was</w:t>
      </w:r>
      <w:r w:rsidRPr="00572DEC">
        <w:rPr>
          <w:rFonts w:ascii="Book Antiqua" w:hAnsi="Book Antiqua"/>
          <w:sz w:val="24"/>
          <w:szCs w:val="24"/>
        </w:rPr>
        <w:t xml:space="preserve"> colorectal</w:t>
      </w:r>
      <w:r w:rsidRPr="00572DEC">
        <w:rPr>
          <w:rFonts w:ascii="Book Antiqua" w:hAnsi="Book Antiqua" w:cs="Book Antiqua"/>
          <w:sz w:val="24"/>
          <w:szCs w:val="24"/>
        </w:rPr>
        <w:t xml:space="preserve">, followed by lung, breast, and prostate. </w:t>
      </w:r>
      <w:r w:rsidRPr="00572DEC">
        <w:rPr>
          <w:rFonts w:ascii="Book Antiqua" w:hAnsi="Book Antiqua"/>
          <w:sz w:val="24"/>
          <w:szCs w:val="24"/>
        </w:rPr>
        <w:t xml:space="preserve">The present paper is one of only a few European reports, and to the best of our knowledge, it is the only study from Poland to explore this subject. </w:t>
      </w:r>
    </w:p>
    <w:p w:rsidR="003E7779" w:rsidRPr="00572DEC" w:rsidRDefault="003E7779" w:rsidP="004517BA">
      <w:pPr>
        <w:spacing w:line="360" w:lineRule="auto"/>
        <w:jc w:val="both"/>
        <w:rPr>
          <w:rFonts w:ascii="Book Antiqua" w:hAnsi="Book Antiqua"/>
          <w:sz w:val="24"/>
          <w:szCs w:val="24"/>
        </w:rPr>
      </w:pPr>
    </w:p>
    <w:p w:rsidR="003E7779" w:rsidRPr="00572DEC" w:rsidRDefault="003E7779" w:rsidP="004517BA">
      <w:pPr>
        <w:spacing w:line="360" w:lineRule="auto"/>
        <w:jc w:val="both"/>
        <w:rPr>
          <w:rFonts w:ascii="Book Antiqua" w:hAnsi="Book Antiqua" w:cs="Book Antiqua"/>
          <w:b/>
          <w:bCs/>
          <w:i/>
          <w:sz w:val="24"/>
          <w:szCs w:val="24"/>
        </w:rPr>
      </w:pPr>
      <w:r w:rsidRPr="00572DEC">
        <w:rPr>
          <w:rFonts w:ascii="Book Antiqua" w:hAnsi="Book Antiqua" w:cs="Book Antiqua"/>
          <w:b/>
          <w:bCs/>
          <w:i/>
          <w:sz w:val="24"/>
          <w:szCs w:val="24"/>
        </w:rPr>
        <w:t>Research frontiers</w:t>
      </w:r>
    </w:p>
    <w:p w:rsidR="003E7779" w:rsidRPr="00572DEC" w:rsidRDefault="003E7779" w:rsidP="007463CC">
      <w:pPr>
        <w:spacing w:line="360" w:lineRule="auto"/>
        <w:jc w:val="both"/>
        <w:rPr>
          <w:rFonts w:ascii="Book Antiqua" w:hAnsi="Book Antiqua" w:cs="Arial"/>
          <w:sz w:val="24"/>
          <w:szCs w:val="24"/>
        </w:rPr>
      </w:pPr>
      <w:r w:rsidRPr="00572DEC">
        <w:rPr>
          <w:rFonts w:ascii="Book Antiqua" w:hAnsi="Book Antiqua" w:cs="Book Antiqua"/>
          <w:sz w:val="24"/>
          <w:szCs w:val="24"/>
        </w:rPr>
        <w:t xml:space="preserve">Gastric cancer patients may develop other primary cancers; appropriate preoperative and postoperative diagnostic modalities, such as colonoscopy, mammography, chest </w:t>
      </w:r>
      <w:r w:rsidRPr="00572DEC">
        <w:rPr>
          <w:rFonts w:ascii="Book Antiqua" w:hAnsi="Book Antiqua" w:cs="Book Antiqua"/>
          <w:sz w:val="24"/>
          <w:szCs w:val="24"/>
        </w:rPr>
        <w:lastRenderedPageBreak/>
        <w:t xml:space="preserve">x-ray, and abdominopelvic computed tomography are thus required, particularly if patients are older and blood group O. It seems that future investigation </w:t>
      </w:r>
      <w:r w:rsidRPr="00572DEC">
        <w:rPr>
          <w:rFonts w:ascii="Book Antiqua" w:hAnsi="Book Antiqua" w:cs="Arial"/>
          <w:sz w:val="24"/>
          <w:szCs w:val="24"/>
        </w:rPr>
        <w:t>will decide on their clinical suitability.</w:t>
      </w:r>
    </w:p>
    <w:p w:rsidR="003E7779" w:rsidRPr="00572DEC" w:rsidRDefault="003E7779" w:rsidP="004517BA">
      <w:pPr>
        <w:spacing w:line="360" w:lineRule="auto"/>
        <w:jc w:val="both"/>
        <w:rPr>
          <w:rFonts w:ascii="Book Antiqua" w:hAnsi="Book Antiqua" w:cs="Book Antiqua"/>
          <w:sz w:val="24"/>
          <w:szCs w:val="24"/>
        </w:rPr>
      </w:pPr>
    </w:p>
    <w:p w:rsidR="003E7779" w:rsidRPr="00572DEC" w:rsidRDefault="003E7779" w:rsidP="004517BA">
      <w:pPr>
        <w:pStyle w:val="1"/>
        <w:spacing w:line="360" w:lineRule="auto"/>
        <w:rPr>
          <w:rFonts w:ascii="Book Antiqua" w:hAnsi="Book Antiqua"/>
          <w:i/>
        </w:rPr>
      </w:pPr>
      <w:r w:rsidRPr="00572DEC">
        <w:rPr>
          <w:rFonts w:ascii="Book Antiqua" w:hAnsi="Book Antiqua"/>
          <w:i/>
        </w:rPr>
        <w:t>Innovations and breakthroughs:</w:t>
      </w:r>
    </w:p>
    <w:p w:rsidR="003E7779" w:rsidRPr="00572DEC" w:rsidRDefault="003E7779" w:rsidP="004517BA">
      <w:pPr>
        <w:spacing w:line="360" w:lineRule="auto"/>
        <w:jc w:val="both"/>
        <w:rPr>
          <w:rFonts w:ascii="Book Antiqua" w:hAnsi="Book Antiqua"/>
          <w:sz w:val="24"/>
          <w:szCs w:val="24"/>
        </w:rPr>
      </w:pPr>
      <w:r w:rsidRPr="00572DEC">
        <w:rPr>
          <w:rFonts w:ascii="Book Antiqua" w:hAnsi="Book Antiqua"/>
          <w:sz w:val="24"/>
          <w:szCs w:val="24"/>
        </w:rPr>
        <w:t>The current study shows not only the occurrence of multiple tumors in patients with gastric cancer, as has been reported by others, but also investigates associations between this phenomenon and the following clinical features: blood groups, duration of symptoms, and family history of cancer. To the best of our knowledge, our results represent the first investigation of these associations, and they indicate that patients with gastric cancer who have blood group O should be controlled for the development of second primary tumors.</w:t>
      </w:r>
    </w:p>
    <w:p w:rsidR="003E7779" w:rsidRPr="00572DEC" w:rsidRDefault="003E7779" w:rsidP="004517BA">
      <w:pPr>
        <w:spacing w:line="360" w:lineRule="auto"/>
        <w:jc w:val="both"/>
        <w:rPr>
          <w:rFonts w:ascii="Book Antiqua" w:hAnsi="Book Antiqua"/>
          <w:i/>
          <w:sz w:val="24"/>
          <w:szCs w:val="24"/>
        </w:rPr>
      </w:pPr>
    </w:p>
    <w:p w:rsidR="003E7779" w:rsidRPr="00572DEC" w:rsidRDefault="003E7779" w:rsidP="004517BA">
      <w:pPr>
        <w:spacing w:line="360" w:lineRule="auto"/>
        <w:jc w:val="both"/>
        <w:rPr>
          <w:rFonts w:ascii="Book Antiqua" w:hAnsi="Book Antiqua"/>
          <w:b/>
          <w:i/>
          <w:sz w:val="24"/>
          <w:szCs w:val="24"/>
        </w:rPr>
      </w:pPr>
      <w:r w:rsidRPr="00572DEC">
        <w:rPr>
          <w:rFonts w:ascii="Book Antiqua" w:hAnsi="Book Antiqua"/>
          <w:b/>
          <w:i/>
          <w:sz w:val="24"/>
          <w:szCs w:val="24"/>
        </w:rPr>
        <w:t>Applications:</w:t>
      </w:r>
    </w:p>
    <w:p w:rsidR="003E7779" w:rsidRPr="00572DEC" w:rsidRDefault="003E7779" w:rsidP="004517BA">
      <w:pPr>
        <w:spacing w:line="360" w:lineRule="auto"/>
        <w:jc w:val="both"/>
        <w:rPr>
          <w:rFonts w:ascii="Book Antiqua" w:hAnsi="Book Antiqua"/>
          <w:sz w:val="24"/>
          <w:szCs w:val="24"/>
        </w:rPr>
      </w:pPr>
      <w:r w:rsidRPr="00572DEC">
        <w:rPr>
          <w:rFonts w:ascii="Book Antiqua" w:hAnsi="Book Antiqua"/>
          <w:sz w:val="24"/>
          <w:szCs w:val="24"/>
        </w:rPr>
        <w:t xml:space="preserve">Patients with gastric cancer patients may develop other primary tumors, particularly those who are blood group O and of advanced age. Appropriate additional preoperative and postoperative diagnostic modalities may be needed for patients with gastic cancer who have a higher likelihood of developing synchronous and metachronous tumors. </w:t>
      </w:r>
    </w:p>
    <w:p w:rsidR="003E7779" w:rsidRPr="00572DEC" w:rsidRDefault="003E7779" w:rsidP="004517BA">
      <w:pPr>
        <w:spacing w:line="360" w:lineRule="auto"/>
        <w:jc w:val="both"/>
        <w:rPr>
          <w:rFonts w:ascii="Book Antiqua" w:hAnsi="Book Antiqua"/>
          <w:b/>
          <w:sz w:val="24"/>
          <w:szCs w:val="24"/>
        </w:rPr>
      </w:pPr>
    </w:p>
    <w:p w:rsidR="003E7779" w:rsidRPr="00572DEC" w:rsidRDefault="003E7779" w:rsidP="004517BA">
      <w:pPr>
        <w:spacing w:line="360" w:lineRule="auto"/>
        <w:jc w:val="both"/>
        <w:rPr>
          <w:rFonts w:ascii="Book Antiqua" w:hAnsi="Book Antiqua"/>
          <w:b/>
          <w:i/>
          <w:sz w:val="24"/>
          <w:szCs w:val="24"/>
        </w:rPr>
      </w:pPr>
      <w:r w:rsidRPr="00572DEC">
        <w:rPr>
          <w:rFonts w:ascii="Book Antiqua" w:hAnsi="Book Antiqua"/>
          <w:b/>
          <w:i/>
          <w:sz w:val="24"/>
          <w:szCs w:val="24"/>
        </w:rPr>
        <w:t xml:space="preserve">Peer review </w:t>
      </w:r>
    </w:p>
    <w:p w:rsidR="003E7779" w:rsidRPr="00572DEC" w:rsidRDefault="003E7779" w:rsidP="004517BA">
      <w:pPr>
        <w:spacing w:line="360" w:lineRule="auto"/>
        <w:jc w:val="both"/>
        <w:rPr>
          <w:rFonts w:ascii="Book Antiqua" w:hAnsi="Book Antiqua"/>
          <w:sz w:val="24"/>
          <w:szCs w:val="24"/>
        </w:rPr>
      </w:pPr>
      <w:r w:rsidRPr="00572DEC">
        <w:rPr>
          <w:rFonts w:ascii="Book Antiqua" w:hAnsi="Book Antiqua"/>
          <w:sz w:val="24"/>
          <w:szCs w:val="24"/>
        </w:rPr>
        <w:t xml:space="preserve">The authors presented the data of prevalence and clinical characteristics of gastric cancer patients with additional primary malignancies and found that patients with older age and blood O were more likely to develop other primary cancers beyond gastric cancers. Those findings were not reported in other similar articles. This is an interesting observations and study has been performed nicely. However, it would be more useful for clinical practice to find more clinical parameters valuable in identifying gastric cancer patients with multiple cancers.  </w:t>
      </w:r>
    </w:p>
    <w:p w:rsidR="003E7779" w:rsidRPr="00572DEC" w:rsidRDefault="003E7779" w:rsidP="004517BA">
      <w:pPr>
        <w:spacing w:line="360" w:lineRule="auto"/>
        <w:jc w:val="both"/>
        <w:rPr>
          <w:rFonts w:ascii="Book Antiqua" w:hAnsi="Book Antiqua"/>
          <w:b/>
          <w:sz w:val="24"/>
          <w:szCs w:val="24"/>
        </w:rPr>
      </w:pPr>
    </w:p>
    <w:p w:rsidR="003E7779" w:rsidRPr="00572DEC" w:rsidRDefault="003E7779" w:rsidP="004517BA">
      <w:pPr>
        <w:spacing w:line="360" w:lineRule="auto"/>
        <w:jc w:val="both"/>
        <w:rPr>
          <w:rFonts w:ascii="Book Antiqua" w:hAnsi="Book Antiqua"/>
          <w:b/>
          <w:sz w:val="24"/>
          <w:szCs w:val="24"/>
        </w:rPr>
      </w:pPr>
      <w:bookmarkStart w:id="21" w:name="_GoBack"/>
      <w:bookmarkEnd w:id="21"/>
    </w:p>
    <w:p w:rsidR="003E7779" w:rsidRDefault="003E7779" w:rsidP="004517BA">
      <w:pPr>
        <w:spacing w:line="360" w:lineRule="auto"/>
        <w:jc w:val="both"/>
        <w:rPr>
          <w:rFonts w:ascii="Book Antiqua" w:hAnsi="Book Antiqua" w:cs="Book Antiqua"/>
          <w:b/>
          <w:bCs/>
          <w:sz w:val="24"/>
          <w:szCs w:val="24"/>
        </w:rPr>
      </w:pPr>
      <w:r>
        <w:rPr>
          <w:rFonts w:ascii="Book Antiqua" w:hAnsi="Book Antiqua" w:cs="Book Antiqua"/>
          <w:b/>
          <w:bCs/>
          <w:sz w:val="24"/>
          <w:szCs w:val="24"/>
        </w:rPr>
        <w:br w:type="page"/>
      </w:r>
    </w:p>
    <w:p w:rsidR="003E7779" w:rsidRPr="00572DEC" w:rsidRDefault="003E7779" w:rsidP="004517BA">
      <w:pPr>
        <w:spacing w:line="360" w:lineRule="auto"/>
        <w:jc w:val="both"/>
        <w:rPr>
          <w:rFonts w:ascii="Book Antiqua" w:hAnsi="Book Antiqua" w:cs="Book Antiqua"/>
          <w:b/>
          <w:bCs/>
          <w:sz w:val="24"/>
          <w:szCs w:val="24"/>
        </w:rPr>
      </w:pPr>
      <w:r w:rsidRPr="00572DEC">
        <w:rPr>
          <w:rFonts w:ascii="Book Antiqua" w:hAnsi="Book Antiqua" w:cs="Book Antiqua"/>
          <w:b/>
          <w:bCs/>
          <w:sz w:val="24"/>
          <w:szCs w:val="24"/>
        </w:rPr>
        <w:t>REFERENCES</w:t>
      </w:r>
    </w:p>
    <w:p w:rsidR="003E7779" w:rsidRPr="00272666" w:rsidRDefault="003E7779" w:rsidP="00C16B6C">
      <w:pPr>
        <w:spacing w:line="360" w:lineRule="auto"/>
        <w:jc w:val="both"/>
        <w:rPr>
          <w:rFonts w:ascii="Book Antiqua" w:hAnsi="Book Antiqua" w:cs="宋体"/>
          <w:sz w:val="24"/>
          <w:szCs w:val="24"/>
        </w:rPr>
      </w:pPr>
      <w:r w:rsidRPr="00272666">
        <w:rPr>
          <w:rFonts w:ascii="Book Antiqua" w:hAnsi="Book Antiqua" w:cs="宋体"/>
          <w:sz w:val="24"/>
          <w:szCs w:val="24"/>
        </w:rPr>
        <w:t xml:space="preserve">1 </w:t>
      </w:r>
      <w:r w:rsidRPr="00272666">
        <w:rPr>
          <w:rFonts w:ascii="Book Antiqua" w:hAnsi="Book Antiqua" w:cs="宋体"/>
          <w:b/>
          <w:sz w:val="24"/>
          <w:szCs w:val="24"/>
        </w:rPr>
        <w:t>Warren S</w:t>
      </w:r>
      <w:r w:rsidRPr="00272666">
        <w:rPr>
          <w:rFonts w:ascii="Book Antiqua" w:hAnsi="Book Antiqua" w:cs="宋体"/>
          <w:sz w:val="24"/>
          <w:szCs w:val="24"/>
        </w:rPr>
        <w:t xml:space="preserve">, Gates O. Multiple primary malignant tumors: a survey of the literature and statistical study. </w:t>
      </w:r>
      <w:r w:rsidRPr="00272666">
        <w:rPr>
          <w:rFonts w:ascii="Book Antiqua" w:hAnsi="Book Antiqua" w:cs="宋体"/>
          <w:i/>
          <w:sz w:val="24"/>
          <w:szCs w:val="24"/>
        </w:rPr>
        <w:t>Am J Cancer</w:t>
      </w:r>
      <w:r w:rsidRPr="00272666">
        <w:rPr>
          <w:rFonts w:ascii="Book Antiqua" w:hAnsi="Book Antiqua" w:cs="宋体"/>
          <w:sz w:val="24"/>
          <w:szCs w:val="24"/>
        </w:rPr>
        <w:t xml:space="preserve"> 1932; </w:t>
      </w:r>
      <w:r w:rsidRPr="00272666">
        <w:rPr>
          <w:rFonts w:ascii="Book Antiqua" w:hAnsi="Book Antiqua" w:cs="宋体"/>
          <w:b/>
          <w:sz w:val="24"/>
          <w:szCs w:val="24"/>
        </w:rPr>
        <w:t>16</w:t>
      </w:r>
      <w:r w:rsidRPr="00272666">
        <w:rPr>
          <w:rFonts w:ascii="Book Antiqua" w:hAnsi="Book Antiqua" w:cs="宋体"/>
          <w:sz w:val="24"/>
          <w:szCs w:val="24"/>
        </w:rPr>
        <w:t>: 1358–1414</w:t>
      </w:r>
    </w:p>
    <w:p w:rsidR="003E7779" w:rsidRPr="00272666" w:rsidRDefault="003E7779" w:rsidP="00C16B6C">
      <w:pPr>
        <w:spacing w:line="360" w:lineRule="auto"/>
        <w:jc w:val="both"/>
        <w:rPr>
          <w:rFonts w:ascii="Book Antiqua" w:hAnsi="Book Antiqua" w:cs="宋体"/>
          <w:sz w:val="24"/>
          <w:szCs w:val="24"/>
        </w:rPr>
      </w:pPr>
      <w:r w:rsidRPr="00272666">
        <w:rPr>
          <w:rFonts w:ascii="Book Antiqua" w:hAnsi="Book Antiqua" w:cs="宋体"/>
          <w:sz w:val="24"/>
          <w:szCs w:val="24"/>
        </w:rPr>
        <w:t xml:space="preserve">2 </w:t>
      </w:r>
      <w:r w:rsidRPr="00272666">
        <w:rPr>
          <w:rFonts w:ascii="Book Antiqua" w:hAnsi="Book Antiqua" w:cs="宋体"/>
          <w:b/>
          <w:sz w:val="24"/>
          <w:szCs w:val="24"/>
        </w:rPr>
        <w:t>Neugut AI</w:t>
      </w:r>
      <w:r w:rsidRPr="00272666">
        <w:rPr>
          <w:rFonts w:ascii="Book Antiqua" w:hAnsi="Book Antiqua" w:cs="宋体"/>
          <w:sz w:val="24"/>
          <w:szCs w:val="24"/>
        </w:rPr>
        <w:t xml:space="preserve">, Robinson E. Multiple primary neoplasms. </w:t>
      </w:r>
      <w:r w:rsidRPr="00272666">
        <w:rPr>
          <w:rFonts w:ascii="Book Antiqua" w:hAnsi="Book Antiqua" w:cs="宋体"/>
          <w:i/>
          <w:sz w:val="24"/>
          <w:szCs w:val="24"/>
        </w:rPr>
        <w:t xml:space="preserve">Cancer J </w:t>
      </w:r>
      <w:r w:rsidRPr="00272666">
        <w:rPr>
          <w:rFonts w:ascii="Book Antiqua" w:hAnsi="Book Antiqua" w:cs="宋体"/>
          <w:sz w:val="24"/>
          <w:szCs w:val="24"/>
        </w:rPr>
        <w:t xml:space="preserve">1992; </w:t>
      </w:r>
      <w:r w:rsidRPr="00272666">
        <w:rPr>
          <w:rFonts w:ascii="Book Antiqua" w:hAnsi="Book Antiqua" w:cs="宋体"/>
          <w:b/>
          <w:sz w:val="24"/>
          <w:szCs w:val="24"/>
        </w:rPr>
        <w:t>5</w:t>
      </w:r>
      <w:r w:rsidRPr="00272666">
        <w:rPr>
          <w:rFonts w:ascii="Book Antiqua" w:hAnsi="Book Antiqua" w:cs="宋体"/>
          <w:sz w:val="24"/>
          <w:szCs w:val="24"/>
        </w:rPr>
        <w:t>: 245–248</w:t>
      </w:r>
    </w:p>
    <w:p w:rsidR="003E7779" w:rsidRPr="00272666" w:rsidRDefault="003E7779" w:rsidP="00C16B6C">
      <w:pPr>
        <w:spacing w:line="360" w:lineRule="auto"/>
        <w:jc w:val="both"/>
        <w:rPr>
          <w:rFonts w:ascii="Book Antiqua" w:hAnsi="Book Antiqua" w:cs="宋体"/>
          <w:sz w:val="24"/>
          <w:szCs w:val="24"/>
        </w:rPr>
      </w:pPr>
      <w:r w:rsidRPr="00272666">
        <w:rPr>
          <w:rFonts w:ascii="Book Antiqua" w:hAnsi="Book Antiqua" w:cs="宋体"/>
          <w:sz w:val="24"/>
          <w:szCs w:val="24"/>
        </w:rPr>
        <w:t>3 </w:t>
      </w:r>
      <w:r w:rsidRPr="00272666">
        <w:rPr>
          <w:rFonts w:ascii="Book Antiqua" w:hAnsi="Book Antiqua" w:cs="宋体"/>
          <w:b/>
          <w:bCs/>
          <w:sz w:val="24"/>
          <w:szCs w:val="24"/>
        </w:rPr>
        <w:t>Luciani A</w:t>
      </w:r>
      <w:r w:rsidRPr="00272666">
        <w:rPr>
          <w:rFonts w:ascii="Book Antiqua" w:hAnsi="Book Antiqua" w:cs="宋体"/>
          <w:sz w:val="24"/>
          <w:szCs w:val="24"/>
        </w:rPr>
        <w:t>, Ascione G, Marussi D, Oldani S, Caldiera S, Bozzoni S, Codecà C, Zonato S, Ferrari D, Foa P. Clinical analysis of multiple primary malignancies in the elderly. </w:t>
      </w:r>
      <w:r w:rsidRPr="00272666">
        <w:rPr>
          <w:rFonts w:ascii="Book Antiqua" w:hAnsi="Book Antiqua" w:cs="宋体"/>
          <w:i/>
          <w:iCs/>
          <w:sz w:val="24"/>
          <w:szCs w:val="24"/>
        </w:rPr>
        <w:t>Med Oncol</w:t>
      </w:r>
      <w:r w:rsidRPr="00272666">
        <w:rPr>
          <w:rFonts w:ascii="Book Antiqua" w:hAnsi="Book Antiqua" w:cs="宋体"/>
          <w:sz w:val="24"/>
          <w:szCs w:val="24"/>
        </w:rPr>
        <w:t> 2009; </w:t>
      </w:r>
      <w:r w:rsidRPr="00272666">
        <w:rPr>
          <w:rFonts w:ascii="Book Antiqua" w:hAnsi="Book Antiqua" w:cs="宋体"/>
          <w:b/>
          <w:bCs/>
          <w:sz w:val="24"/>
          <w:szCs w:val="24"/>
        </w:rPr>
        <w:t>26</w:t>
      </w:r>
      <w:r w:rsidRPr="00272666">
        <w:rPr>
          <w:rFonts w:ascii="Book Antiqua" w:hAnsi="Book Antiqua" w:cs="宋体"/>
          <w:sz w:val="24"/>
          <w:szCs w:val="24"/>
        </w:rPr>
        <w:t>: 27-31 [PMID: 18483884 DOI: 10.1007/s12032-008-9075-x]</w:t>
      </w:r>
    </w:p>
    <w:p w:rsidR="003E7779" w:rsidRPr="00272666" w:rsidRDefault="003E7779" w:rsidP="00C16B6C">
      <w:pPr>
        <w:spacing w:line="360" w:lineRule="auto"/>
        <w:jc w:val="both"/>
        <w:rPr>
          <w:rFonts w:ascii="Book Antiqua" w:hAnsi="Book Antiqua" w:cs="宋体"/>
          <w:sz w:val="24"/>
          <w:szCs w:val="24"/>
        </w:rPr>
      </w:pPr>
      <w:r w:rsidRPr="00272666">
        <w:rPr>
          <w:rFonts w:ascii="Book Antiqua" w:hAnsi="Book Antiqua" w:cs="宋体"/>
          <w:sz w:val="24"/>
          <w:szCs w:val="24"/>
        </w:rPr>
        <w:t>4 </w:t>
      </w:r>
      <w:r w:rsidRPr="00272666">
        <w:rPr>
          <w:rFonts w:ascii="Book Antiqua" w:hAnsi="Book Antiqua" w:cs="宋体"/>
          <w:b/>
          <w:bCs/>
          <w:sz w:val="24"/>
          <w:szCs w:val="24"/>
        </w:rPr>
        <w:t>Frödin JE</w:t>
      </w:r>
      <w:r w:rsidRPr="00272666">
        <w:rPr>
          <w:rFonts w:ascii="Book Antiqua" w:hAnsi="Book Antiqua" w:cs="宋体"/>
          <w:sz w:val="24"/>
          <w:szCs w:val="24"/>
        </w:rPr>
        <w:t>, Ericsson J, Barlow L. Multiple primary malignant tumors in a national cancer registry--reliability of reporting. </w:t>
      </w:r>
      <w:r w:rsidRPr="00272666">
        <w:rPr>
          <w:rFonts w:ascii="Book Antiqua" w:hAnsi="Book Antiqua" w:cs="宋体"/>
          <w:i/>
          <w:iCs/>
          <w:sz w:val="24"/>
          <w:szCs w:val="24"/>
        </w:rPr>
        <w:t>Acta Oncol</w:t>
      </w:r>
      <w:r w:rsidRPr="00272666">
        <w:rPr>
          <w:rFonts w:ascii="Book Antiqua" w:hAnsi="Book Antiqua" w:cs="宋体"/>
          <w:sz w:val="24"/>
          <w:szCs w:val="24"/>
        </w:rPr>
        <w:t> 1997; </w:t>
      </w:r>
      <w:r w:rsidRPr="00272666">
        <w:rPr>
          <w:rFonts w:ascii="Book Antiqua" w:hAnsi="Book Antiqua" w:cs="宋体"/>
          <w:b/>
          <w:bCs/>
          <w:sz w:val="24"/>
          <w:szCs w:val="24"/>
        </w:rPr>
        <w:t>36</w:t>
      </w:r>
      <w:r w:rsidRPr="00272666">
        <w:rPr>
          <w:rFonts w:ascii="Book Antiqua" w:hAnsi="Book Antiqua" w:cs="宋体"/>
          <w:sz w:val="24"/>
          <w:szCs w:val="24"/>
        </w:rPr>
        <w:t>: 465-469 [PMID: 9292741 DOI: 10.3109/02841869709001300]</w:t>
      </w:r>
    </w:p>
    <w:p w:rsidR="003E7779" w:rsidRPr="00272666" w:rsidRDefault="003E7779" w:rsidP="00C16B6C">
      <w:pPr>
        <w:spacing w:line="360" w:lineRule="auto"/>
        <w:jc w:val="both"/>
        <w:rPr>
          <w:rFonts w:ascii="Book Antiqua" w:hAnsi="Book Antiqua" w:cs="宋体"/>
          <w:sz w:val="24"/>
          <w:szCs w:val="24"/>
        </w:rPr>
      </w:pPr>
      <w:r w:rsidRPr="00272666">
        <w:rPr>
          <w:rFonts w:ascii="Book Antiqua" w:hAnsi="Book Antiqua" w:cs="宋体"/>
          <w:sz w:val="24"/>
          <w:szCs w:val="24"/>
        </w:rPr>
        <w:t>5 </w:t>
      </w:r>
      <w:r w:rsidRPr="00272666">
        <w:rPr>
          <w:rFonts w:ascii="Book Antiqua" w:hAnsi="Book Antiqua" w:cs="宋体"/>
          <w:b/>
          <w:bCs/>
          <w:sz w:val="24"/>
          <w:szCs w:val="24"/>
        </w:rPr>
        <w:t>Hiyama T</w:t>
      </w:r>
      <w:r w:rsidRPr="00272666">
        <w:rPr>
          <w:rFonts w:ascii="Book Antiqua" w:hAnsi="Book Antiqua" w:cs="宋体"/>
          <w:sz w:val="24"/>
          <w:szCs w:val="24"/>
        </w:rPr>
        <w:t>, Hanai A, Fujimoto I. Second primary cancer after diagnosis of stomach cancer in Osaka, Japan. </w:t>
      </w:r>
      <w:r w:rsidRPr="00272666">
        <w:rPr>
          <w:rFonts w:ascii="Book Antiqua" w:hAnsi="Book Antiqua" w:cs="宋体"/>
          <w:i/>
          <w:iCs/>
          <w:sz w:val="24"/>
          <w:szCs w:val="24"/>
        </w:rPr>
        <w:t>Jpn J Cancer Res</w:t>
      </w:r>
      <w:r w:rsidRPr="00272666">
        <w:rPr>
          <w:rFonts w:ascii="Book Antiqua" w:hAnsi="Book Antiqua" w:cs="宋体"/>
          <w:sz w:val="24"/>
          <w:szCs w:val="24"/>
        </w:rPr>
        <w:t> 1991; </w:t>
      </w:r>
      <w:r w:rsidRPr="00272666">
        <w:rPr>
          <w:rFonts w:ascii="Book Antiqua" w:hAnsi="Book Antiqua" w:cs="宋体"/>
          <w:b/>
          <w:bCs/>
          <w:sz w:val="24"/>
          <w:szCs w:val="24"/>
        </w:rPr>
        <w:t>82</w:t>
      </w:r>
      <w:r w:rsidRPr="00272666">
        <w:rPr>
          <w:rFonts w:ascii="Book Antiqua" w:hAnsi="Book Antiqua" w:cs="宋体"/>
          <w:sz w:val="24"/>
          <w:szCs w:val="24"/>
        </w:rPr>
        <w:t>: 762-770 [PMID: 1908843]</w:t>
      </w:r>
    </w:p>
    <w:p w:rsidR="003E7779" w:rsidRPr="00272666" w:rsidRDefault="003E7779" w:rsidP="00C16B6C">
      <w:pPr>
        <w:spacing w:line="360" w:lineRule="auto"/>
        <w:jc w:val="both"/>
        <w:rPr>
          <w:rFonts w:ascii="Book Antiqua" w:hAnsi="Book Antiqua" w:cs="宋体"/>
          <w:sz w:val="24"/>
          <w:szCs w:val="24"/>
        </w:rPr>
      </w:pPr>
      <w:r w:rsidRPr="00272666">
        <w:rPr>
          <w:rFonts w:ascii="Book Antiqua" w:hAnsi="Book Antiqua" w:cs="宋体"/>
          <w:sz w:val="24"/>
          <w:szCs w:val="24"/>
        </w:rPr>
        <w:t>6 </w:t>
      </w:r>
      <w:r w:rsidRPr="00272666">
        <w:rPr>
          <w:rFonts w:ascii="Book Antiqua" w:hAnsi="Book Antiqua" w:cs="宋体"/>
          <w:b/>
          <w:bCs/>
          <w:sz w:val="24"/>
          <w:szCs w:val="24"/>
        </w:rPr>
        <w:t>Lee JH</w:t>
      </w:r>
      <w:r w:rsidRPr="00272666">
        <w:rPr>
          <w:rFonts w:ascii="Book Antiqua" w:hAnsi="Book Antiqua" w:cs="宋体"/>
          <w:sz w:val="24"/>
          <w:szCs w:val="24"/>
        </w:rPr>
        <w:t>, Bae JS, Ryu KW, Lee JS, Park SR, Kim CG, Kook MC, Choi IJ, Kim YW, Park JG, Bae JM. Gastric cancer patients at high-risk of having synchronous cancer. </w:t>
      </w:r>
      <w:r w:rsidRPr="00272666">
        <w:rPr>
          <w:rFonts w:ascii="Book Antiqua" w:hAnsi="Book Antiqua" w:cs="宋体"/>
          <w:i/>
          <w:iCs/>
          <w:sz w:val="24"/>
          <w:szCs w:val="24"/>
        </w:rPr>
        <w:t>World J Gastroenterol</w:t>
      </w:r>
      <w:r w:rsidRPr="00272666">
        <w:rPr>
          <w:rFonts w:ascii="Book Antiqua" w:hAnsi="Book Antiqua" w:cs="宋体"/>
          <w:sz w:val="24"/>
          <w:szCs w:val="24"/>
        </w:rPr>
        <w:t> 2006; </w:t>
      </w:r>
      <w:r w:rsidRPr="00272666">
        <w:rPr>
          <w:rFonts w:ascii="Book Antiqua" w:hAnsi="Book Antiqua" w:cs="宋体"/>
          <w:b/>
          <w:bCs/>
          <w:sz w:val="24"/>
          <w:szCs w:val="24"/>
        </w:rPr>
        <w:t>12</w:t>
      </w:r>
      <w:r w:rsidRPr="00272666">
        <w:rPr>
          <w:rFonts w:ascii="Book Antiqua" w:hAnsi="Book Antiqua" w:cs="宋体"/>
          <w:sz w:val="24"/>
          <w:szCs w:val="24"/>
        </w:rPr>
        <w:t>: 2588-2592 [PMID: 16688807 DOI: 10.3748/wjg.v12.i16.2588]</w:t>
      </w:r>
    </w:p>
    <w:p w:rsidR="003E7779" w:rsidRPr="00272666" w:rsidRDefault="003E7779" w:rsidP="00C16B6C">
      <w:pPr>
        <w:spacing w:line="360" w:lineRule="auto"/>
        <w:jc w:val="both"/>
        <w:rPr>
          <w:rFonts w:ascii="Book Antiqua" w:hAnsi="Book Antiqua" w:cs="宋体"/>
          <w:sz w:val="24"/>
          <w:szCs w:val="24"/>
        </w:rPr>
      </w:pPr>
      <w:r w:rsidRPr="00272666">
        <w:rPr>
          <w:rFonts w:ascii="Book Antiqua" w:hAnsi="Book Antiqua" w:cs="宋体"/>
          <w:sz w:val="24"/>
          <w:szCs w:val="24"/>
        </w:rPr>
        <w:t>7 </w:t>
      </w:r>
      <w:r w:rsidRPr="00272666">
        <w:rPr>
          <w:rFonts w:ascii="Book Antiqua" w:hAnsi="Book Antiqua" w:cs="宋体"/>
          <w:b/>
          <w:bCs/>
          <w:sz w:val="24"/>
          <w:szCs w:val="24"/>
        </w:rPr>
        <w:t>Park YK</w:t>
      </w:r>
      <w:r w:rsidRPr="00272666">
        <w:rPr>
          <w:rFonts w:ascii="Book Antiqua" w:hAnsi="Book Antiqua" w:cs="宋体"/>
          <w:sz w:val="24"/>
          <w:szCs w:val="24"/>
        </w:rPr>
        <w:t>, Kim DY, Joo JK, Kim JC, Koh YS, Ryu SY, Kim YJ, Kim SK. Clinicopathological features of gastric carcinoma patients with other primary carcinomas. </w:t>
      </w:r>
      <w:r w:rsidRPr="00272666">
        <w:rPr>
          <w:rFonts w:ascii="Book Antiqua" w:hAnsi="Book Antiqua" w:cs="宋体"/>
          <w:i/>
          <w:iCs/>
          <w:sz w:val="24"/>
          <w:szCs w:val="24"/>
        </w:rPr>
        <w:t>Langenbecks Arch Surg</w:t>
      </w:r>
      <w:r w:rsidRPr="00272666">
        <w:rPr>
          <w:rFonts w:ascii="Book Antiqua" w:hAnsi="Book Antiqua" w:cs="宋体"/>
          <w:sz w:val="24"/>
          <w:szCs w:val="24"/>
        </w:rPr>
        <w:t> 2005; </w:t>
      </w:r>
      <w:r w:rsidRPr="00272666">
        <w:rPr>
          <w:rFonts w:ascii="Book Antiqua" w:hAnsi="Book Antiqua" w:cs="宋体"/>
          <w:b/>
          <w:bCs/>
          <w:sz w:val="24"/>
          <w:szCs w:val="24"/>
        </w:rPr>
        <w:t>390</w:t>
      </w:r>
      <w:r w:rsidRPr="00272666">
        <w:rPr>
          <w:rFonts w:ascii="Book Antiqua" w:hAnsi="Book Antiqua" w:cs="宋体"/>
          <w:sz w:val="24"/>
          <w:szCs w:val="24"/>
        </w:rPr>
        <w:t>: 300-305 [PMID: 15599757 DOI: 10.1007/s00423-004-0525-4]</w:t>
      </w:r>
    </w:p>
    <w:p w:rsidR="003E7779" w:rsidRPr="00272666" w:rsidRDefault="003E7779" w:rsidP="00C16B6C">
      <w:pPr>
        <w:spacing w:line="360" w:lineRule="auto"/>
        <w:jc w:val="both"/>
        <w:rPr>
          <w:rFonts w:ascii="Book Antiqua" w:hAnsi="Book Antiqua" w:cs="宋体"/>
          <w:sz w:val="24"/>
          <w:szCs w:val="24"/>
        </w:rPr>
      </w:pPr>
      <w:r w:rsidRPr="00272666">
        <w:rPr>
          <w:rFonts w:ascii="Book Antiqua" w:hAnsi="Book Antiqua" w:cs="宋体"/>
          <w:sz w:val="24"/>
          <w:szCs w:val="24"/>
        </w:rPr>
        <w:t>8 </w:t>
      </w:r>
      <w:r w:rsidRPr="00272666">
        <w:rPr>
          <w:rFonts w:ascii="Book Antiqua" w:hAnsi="Book Antiqua" w:cs="宋体"/>
          <w:b/>
          <w:bCs/>
          <w:sz w:val="24"/>
          <w:szCs w:val="24"/>
        </w:rPr>
        <w:t>Eom BW</w:t>
      </w:r>
      <w:r w:rsidRPr="00272666">
        <w:rPr>
          <w:rFonts w:ascii="Book Antiqua" w:hAnsi="Book Antiqua" w:cs="宋体"/>
          <w:sz w:val="24"/>
          <w:szCs w:val="24"/>
        </w:rPr>
        <w:t>, Lee HJ, Yoo MW, Cho JJ, Kim WH, Yang HK, Lee KU. Synchronous and metachronous cancers in patients with gastric cancer. </w:t>
      </w:r>
      <w:r w:rsidRPr="00272666">
        <w:rPr>
          <w:rFonts w:ascii="Book Antiqua" w:hAnsi="Book Antiqua" w:cs="宋体"/>
          <w:i/>
          <w:iCs/>
          <w:sz w:val="24"/>
          <w:szCs w:val="24"/>
        </w:rPr>
        <w:t>J Surg Oncol</w:t>
      </w:r>
      <w:r w:rsidRPr="00272666">
        <w:rPr>
          <w:rFonts w:ascii="Book Antiqua" w:hAnsi="Book Antiqua" w:cs="宋体"/>
          <w:sz w:val="24"/>
          <w:szCs w:val="24"/>
        </w:rPr>
        <w:t> 2008; </w:t>
      </w:r>
      <w:r w:rsidRPr="00272666">
        <w:rPr>
          <w:rFonts w:ascii="Book Antiqua" w:hAnsi="Book Antiqua" w:cs="宋体"/>
          <w:b/>
          <w:bCs/>
          <w:sz w:val="24"/>
          <w:szCs w:val="24"/>
        </w:rPr>
        <w:t>98</w:t>
      </w:r>
      <w:r w:rsidRPr="00272666">
        <w:rPr>
          <w:rFonts w:ascii="Book Antiqua" w:hAnsi="Book Antiqua" w:cs="宋体"/>
          <w:sz w:val="24"/>
          <w:szCs w:val="24"/>
        </w:rPr>
        <w:t>: 106-110 [PMID: 18452218 DOI: 10.1002/jso.21027]</w:t>
      </w:r>
    </w:p>
    <w:p w:rsidR="003E7779" w:rsidRPr="00272666" w:rsidRDefault="003E7779" w:rsidP="00C16B6C">
      <w:pPr>
        <w:spacing w:line="360" w:lineRule="auto"/>
        <w:jc w:val="both"/>
        <w:rPr>
          <w:rFonts w:ascii="Book Antiqua" w:hAnsi="Book Antiqua" w:cs="宋体"/>
          <w:sz w:val="24"/>
          <w:szCs w:val="24"/>
        </w:rPr>
      </w:pPr>
      <w:r w:rsidRPr="00272666">
        <w:rPr>
          <w:rFonts w:ascii="Book Antiqua" w:hAnsi="Book Antiqua" w:cs="宋体"/>
          <w:sz w:val="24"/>
          <w:szCs w:val="24"/>
        </w:rPr>
        <w:t>9 </w:t>
      </w:r>
      <w:r w:rsidRPr="00272666">
        <w:rPr>
          <w:rFonts w:ascii="Book Antiqua" w:hAnsi="Book Antiqua" w:cs="宋体"/>
          <w:b/>
          <w:bCs/>
          <w:sz w:val="24"/>
          <w:szCs w:val="24"/>
        </w:rPr>
        <w:t>Lundegårdh G</w:t>
      </w:r>
      <w:r w:rsidRPr="00272666">
        <w:rPr>
          <w:rFonts w:ascii="Book Antiqua" w:hAnsi="Book Antiqua" w:cs="宋体"/>
          <w:sz w:val="24"/>
          <w:szCs w:val="24"/>
        </w:rPr>
        <w:t>, Hansson LE, Nyrén O, Adami HO, Krusemo UB. The risk of gastrointestinal and other primary malignant diseases following gastric cancer. </w:t>
      </w:r>
      <w:r w:rsidRPr="00272666">
        <w:rPr>
          <w:rFonts w:ascii="Book Antiqua" w:hAnsi="Book Antiqua" w:cs="宋体"/>
          <w:i/>
          <w:iCs/>
          <w:sz w:val="24"/>
          <w:szCs w:val="24"/>
        </w:rPr>
        <w:t>Acta Oncol</w:t>
      </w:r>
      <w:r w:rsidRPr="00272666">
        <w:rPr>
          <w:rFonts w:ascii="Book Antiqua" w:hAnsi="Book Antiqua" w:cs="宋体"/>
          <w:sz w:val="24"/>
          <w:szCs w:val="24"/>
        </w:rPr>
        <w:t> 1991; </w:t>
      </w:r>
      <w:r w:rsidRPr="00272666">
        <w:rPr>
          <w:rFonts w:ascii="Book Antiqua" w:hAnsi="Book Antiqua" w:cs="宋体"/>
          <w:b/>
          <w:bCs/>
          <w:sz w:val="24"/>
          <w:szCs w:val="24"/>
        </w:rPr>
        <w:t>30</w:t>
      </w:r>
      <w:r w:rsidRPr="00272666">
        <w:rPr>
          <w:rFonts w:ascii="Book Antiqua" w:hAnsi="Book Antiqua" w:cs="宋体"/>
          <w:sz w:val="24"/>
          <w:szCs w:val="24"/>
        </w:rPr>
        <w:t>: 1-6 [PMID: 2009177]</w:t>
      </w:r>
    </w:p>
    <w:p w:rsidR="003E7779" w:rsidRPr="00272666" w:rsidRDefault="003E7779" w:rsidP="00C16B6C">
      <w:pPr>
        <w:spacing w:line="360" w:lineRule="auto"/>
        <w:jc w:val="both"/>
        <w:rPr>
          <w:rFonts w:ascii="Book Antiqua" w:hAnsi="Book Antiqua" w:cs="宋体"/>
          <w:sz w:val="24"/>
          <w:szCs w:val="24"/>
        </w:rPr>
      </w:pPr>
      <w:r w:rsidRPr="00272666">
        <w:rPr>
          <w:rFonts w:ascii="Book Antiqua" w:hAnsi="Book Antiqua" w:cs="宋体"/>
          <w:sz w:val="24"/>
          <w:szCs w:val="24"/>
        </w:rPr>
        <w:t>10 </w:t>
      </w:r>
      <w:r w:rsidRPr="00272666">
        <w:rPr>
          <w:rFonts w:ascii="Book Antiqua" w:hAnsi="Book Antiqua" w:cs="宋体"/>
          <w:b/>
          <w:bCs/>
          <w:sz w:val="24"/>
          <w:szCs w:val="24"/>
        </w:rPr>
        <w:t>Dinis-Ribeiro M</w:t>
      </w:r>
      <w:r w:rsidRPr="00272666">
        <w:rPr>
          <w:rFonts w:ascii="Book Antiqua" w:hAnsi="Book Antiqua" w:cs="宋体"/>
          <w:sz w:val="24"/>
          <w:szCs w:val="24"/>
        </w:rPr>
        <w:t>, Lomba-Viana H, Silva R, Moreira-Dias L, Lomba-Viana R. Associated primary tumors in patients with gastric cancer. </w:t>
      </w:r>
      <w:r w:rsidRPr="00272666">
        <w:rPr>
          <w:rFonts w:ascii="Book Antiqua" w:hAnsi="Book Antiqua" w:cs="宋体"/>
          <w:i/>
          <w:iCs/>
          <w:sz w:val="24"/>
          <w:szCs w:val="24"/>
        </w:rPr>
        <w:t>J Clin Gastroenterol</w:t>
      </w:r>
      <w:r w:rsidRPr="00272666">
        <w:rPr>
          <w:rFonts w:ascii="Book Antiqua" w:hAnsi="Book Antiqua" w:cs="宋体"/>
          <w:sz w:val="24"/>
          <w:szCs w:val="24"/>
        </w:rPr>
        <w:t> ; </w:t>
      </w:r>
      <w:r w:rsidRPr="00272666">
        <w:rPr>
          <w:rFonts w:ascii="Book Antiqua" w:hAnsi="Book Antiqua" w:cs="宋体"/>
          <w:b/>
          <w:bCs/>
          <w:sz w:val="24"/>
          <w:szCs w:val="24"/>
        </w:rPr>
        <w:t>34</w:t>
      </w:r>
      <w:r w:rsidRPr="00272666">
        <w:rPr>
          <w:rFonts w:ascii="Book Antiqua" w:hAnsi="Book Antiqua" w:cs="宋体"/>
          <w:sz w:val="24"/>
          <w:szCs w:val="24"/>
        </w:rPr>
        <w:t>: 533-535 [PMID: 11960064 DOI: 10.1097/01.MCG..0000012424.19363.CD]</w:t>
      </w:r>
    </w:p>
    <w:p w:rsidR="003E7779" w:rsidRPr="00272666" w:rsidRDefault="003E7779" w:rsidP="00C16B6C">
      <w:pPr>
        <w:spacing w:line="360" w:lineRule="auto"/>
        <w:jc w:val="both"/>
        <w:rPr>
          <w:rFonts w:ascii="Book Antiqua" w:hAnsi="Book Antiqua" w:cs="宋体"/>
          <w:sz w:val="24"/>
          <w:szCs w:val="24"/>
        </w:rPr>
      </w:pPr>
      <w:r w:rsidRPr="00272666">
        <w:rPr>
          <w:rFonts w:ascii="Book Antiqua" w:hAnsi="Book Antiqua" w:cs="宋体"/>
          <w:sz w:val="24"/>
          <w:szCs w:val="24"/>
        </w:rPr>
        <w:lastRenderedPageBreak/>
        <w:t>11 </w:t>
      </w:r>
      <w:r w:rsidRPr="00272666">
        <w:rPr>
          <w:rFonts w:ascii="Book Antiqua" w:hAnsi="Book Antiqua" w:cs="宋体"/>
          <w:b/>
          <w:bCs/>
          <w:sz w:val="24"/>
          <w:szCs w:val="24"/>
        </w:rPr>
        <w:t>Wu CW</w:t>
      </w:r>
      <w:r w:rsidRPr="00272666">
        <w:rPr>
          <w:rFonts w:ascii="Book Antiqua" w:hAnsi="Book Antiqua" w:cs="宋体"/>
          <w:sz w:val="24"/>
          <w:szCs w:val="24"/>
        </w:rPr>
        <w:t>, Lo SS, Chen JH, Hsieh MC, Li AF, Lui WY. Multiple primary cancers in patients with gastric cancer. </w:t>
      </w:r>
      <w:r w:rsidRPr="00272666">
        <w:rPr>
          <w:rFonts w:ascii="Book Antiqua" w:hAnsi="Book Antiqua" w:cs="宋体"/>
          <w:i/>
          <w:iCs/>
          <w:sz w:val="24"/>
          <w:szCs w:val="24"/>
        </w:rPr>
        <w:t>Hepatogastroenterology</w:t>
      </w:r>
      <w:r w:rsidRPr="00272666">
        <w:rPr>
          <w:rFonts w:ascii="Book Antiqua" w:hAnsi="Book Antiqua" w:cs="宋体"/>
          <w:sz w:val="24"/>
          <w:szCs w:val="24"/>
        </w:rPr>
        <w:t> </w:t>
      </w:r>
      <w:r w:rsidRPr="00572DEC">
        <w:rPr>
          <w:rFonts w:ascii="Book Antiqua" w:hAnsi="Book Antiqua"/>
          <w:sz w:val="24"/>
          <w:szCs w:val="24"/>
        </w:rPr>
        <w:t>2006</w:t>
      </w:r>
      <w:r w:rsidRPr="00272666">
        <w:rPr>
          <w:rFonts w:ascii="Book Antiqua" w:hAnsi="Book Antiqua" w:cs="宋体"/>
          <w:sz w:val="24"/>
          <w:szCs w:val="24"/>
        </w:rPr>
        <w:t>; </w:t>
      </w:r>
      <w:r w:rsidRPr="00272666">
        <w:rPr>
          <w:rFonts w:ascii="Book Antiqua" w:hAnsi="Book Antiqua" w:cs="宋体"/>
          <w:b/>
          <w:bCs/>
          <w:sz w:val="24"/>
          <w:szCs w:val="24"/>
        </w:rPr>
        <w:t>53</w:t>
      </w:r>
      <w:r w:rsidRPr="00272666">
        <w:rPr>
          <w:rFonts w:ascii="Book Antiqua" w:hAnsi="Book Antiqua" w:cs="宋体"/>
          <w:sz w:val="24"/>
          <w:szCs w:val="24"/>
        </w:rPr>
        <w:t>: 463-467 [PMID: 16795993]</w:t>
      </w:r>
    </w:p>
    <w:p w:rsidR="003E7779" w:rsidRPr="00272666" w:rsidRDefault="003E7779" w:rsidP="00C16B6C">
      <w:pPr>
        <w:spacing w:line="360" w:lineRule="auto"/>
        <w:jc w:val="both"/>
        <w:rPr>
          <w:rFonts w:ascii="Book Antiqua" w:hAnsi="Book Antiqua" w:cs="宋体"/>
          <w:sz w:val="24"/>
          <w:szCs w:val="24"/>
        </w:rPr>
      </w:pPr>
      <w:r w:rsidRPr="00272666">
        <w:rPr>
          <w:rFonts w:ascii="Book Antiqua" w:hAnsi="Book Antiqua" w:cs="宋体"/>
          <w:sz w:val="24"/>
          <w:szCs w:val="24"/>
        </w:rPr>
        <w:t>12 </w:t>
      </w:r>
      <w:r w:rsidRPr="00272666">
        <w:rPr>
          <w:rFonts w:ascii="Book Antiqua" w:hAnsi="Book Antiqua" w:cs="宋体"/>
          <w:b/>
          <w:bCs/>
          <w:sz w:val="24"/>
          <w:szCs w:val="24"/>
        </w:rPr>
        <w:t>Buyukasik O</w:t>
      </w:r>
      <w:r w:rsidRPr="00272666">
        <w:rPr>
          <w:rFonts w:ascii="Book Antiqua" w:hAnsi="Book Antiqua" w:cs="宋体"/>
          <w:sz w:val="24"/>
          <w:szCs w:val="24"/>
        </w:rPr>
        <w:t>, Hasdemir AO, Gulnerman Y, Col C, Ikiz O. Second primary cancers in patients with gastric cancer. </w:t>
      </w:r>
      <w:r w:rsidRPr="00272666">
        <w:rPr>
          <w:rFonts w:ascii="Book Antiqua" w:hAnsi="Book Antiqua" w:cs="宋体"/>
          <w:i/>
          <w:iCs/>
          <w:sz w:val="24"/>
          <w:szCs w:val="24"/>
        </w:rPr>
        <w:t>Radiol Oncol</w:t>
      </w:r>
      <w:r w:rsidRPr="00272666">
        <w:rPr>
          <w:rFonts w:ascii="Book Antiqua" w:hAnsi="Book Antiqua" w:cs="宋体"/>
          <w:sz w:val="24"/>
          <w:szCs w:val="24"/>
        </w:rPr>
        <w:t> 2010; </w:t>
      </w:r>
      <w:r w:rsidRPr="00272666">
        <w:rPr>
          <w:rFonts w:ascii="Book Antiqua" w:hAnsi="Book Antiqua" w:cs="宋体"/>
          <w:b/>
          <w:bCs/>
          <w:sz w:val="24"/>
          <w:szCs w:val="24"/>
        </w:rPr>
        <w:t>44</w:t>
      </w:r>
      <w:r w:rsidRPr="00272666">
        <w:rPr>
          <w:rFonts w:ascii="Book Antiqua" w:hAnsi="Book Antiqua" w:cs="宋体"/>
          <w:sz w:val="24"/>
          <w:szCs w:val="24"/>
        </w:rPr>
        <w:t>: 239-243 [PMID: 22933922 DOI: 10.2478/v10019-010-0048-2]</w:t>
      </w:r>
    </w:p>
    <w:p w:rsidR="003E7779" w:rsidRPr="00272666" w:rsidRDefault="003E7779" w:rsidP="00C16B6C">
      <w:pPr>
        <w:spacing w:line="360" w:lineRule="auto"/>
        <w:jc w:val="both"/>
        <w:rPr>
          <w:rFonts w:ascii="Book Antiqua" w:hAnsi="Book Antiqua" w:cs="宋体"/>
          <w:sz w:val="24"/>
          <w:szCs w:val="24"/>
        </w:rPr>
      </w:pPr>
      <w:r w:rsidRPr="00272666">
        <w:rPr>
          <w:rFonts w:ascii="Book Antiqua" w:hAnsi="Book Antiqua" w:cs="宋体"/>
          <w:sz w:val="24"/>
          <w:szCs w:val="24"/>
        </w:rPr>
        <w:t>13 </w:t>
      </w:r>
      <w:r w:rsidRPr="00272666">
        <w:rPr>
          <w:rFonts w:ascii="Book Antiqua" w:hAnsi="Book Antiqua" w:cs="宋体"/>
          <w:b/>
          <w:bCs/>
          <w:sz w:val="24"/>
          <w:szCs w:val="24"/>
        </w:rPr>
        <w:t>Green PH</w:t>
      </w:r>
      <w:r w:rsidRPr="00272666">
        <w:rPr>
          <w:rFonts w:ascii="Book Antiqua" w:hAnsi="Book Antiqua" w:cs="宋体"/>
          <w:sz w:val="24"/>
          <w:szCs w:val="24"/>
        </w:rPr>
        <w:t>, O'Toole KM, Weinberg LM, Goldfarb JP. Early gastric cancer. </w:t>
      </w:r>
      <w:r w:rsidRPr="00272666">
        <w:rPr>
          <w:rFonts w:ascii="Book Antiqua" w:hAnsi="Book Antiqua" w:cs="宋体"/>
          <w:i/>
          <w:iCs/>
          <w:sz w:val="24"/>
          <w:szCs w:val="24"/>
        </w:rPr>
        <w:t>Gastroenterology</w:t>
      </w:r>
      <w:r w:rsidRPr="00272666">
        <w:rPr>
          <w:rFonts w:ascii="Book Antiqua" w:hAnsi="Book Antiqua" w:cs="宋体"/>
          <w:sz w:val="24"/>
          <w:szCs w:val="24"/>
        </w:rPr>
        <w:t> 1981; </w:t>
      </w:r>
      <w:r w:rsidRPr="00272666">
        <w:rPr>
          <w:rFonts w:ascii="Book Antiqua" w:hAnsi="Book Antiqua" w:cs="宋体"/>
          <w:b/>
          <w:bCs/>
          <w:sz w:val="24"/>
          <w:szCs w:val="24"/>
        </w:rPr>
        <w:t>81</w:t>
      </w:r>
      <w:r w:rsidRPr="00272666">
        <w:rPr>
          <w:rFonts w:ascii="Book Antiqua" w:hAnsi="Book Antiqua" w:cs="宋体"/>
          <w:sz w:val="24"/>
          <w:szCs w:val="24"/>
        </w:rPr>
        <w:t>: 247-256 [PMID: 7239133]</w:t>
      </w:r>
    </w:p>
    <w:p w:rsidR="003E7779" w:rsidRPr="00272666" w:rsidRDefault="003E7779" w:rsidP="00C16B6C">
      <w:pPr>
        <w:spacing w:line="360" w:lineRule="auto"/>
        <w:jc w:val="both"/>
        <w:rPr>
          <w:rFonts w:ascii="Book Antiqua" w:hAnsi="Book Antiqua" w:cs="宋体"/>
          <w:sz w:val="24"/>
          <w:szCs w:val="24"/>
        </w:rPr>
      </w:pPr>
      <w:r w:rsidRPr="00272666">
        <w:rPr>
          <w:rFonts w:ascii="Book Antiqua" w:hAnsi="Book Antiqua" w:cs="宋体"/>
          <w:sz w:val="24"/>
          <w:szCs w:val="24"/>
        </w:rPr>
        <w:t>14 </w:t>
      </w:r>
      <w:r w:rsidRPr="00272666">
        <w:rPr>
          <w:rFonts w:ascii="Book Antiqua" w:hAnsi="Book Antiqua" w:cs="宋体"/>
          <w:b/>
          <w:bCs/>
          <w:sz w:val="24"/>
          <w:szCs w:val="24"/>
        </w:rPr>
        <w:t>Ikeguchi M</w:t>
      </w:r>
      <w:r w:rsidRPr="00272666">
        <w:rPr>
          <w:rFonts w:ascii="Book Antiqua" w:hAnsi="Book Antiqua" w:cs="宋体"/>
          <w:sz w:val="24"/>
          <w:szCs w:val="24"/>
        </w:rPr>
        <w:t>, Ohfuji S, Oka A, Tsujitani S, Maeda M, Kaibara N. Synchronous and metachronous primary malignancies in organs other than the stomach in patients with early gastric cancer. </w:t>
      </w:r>
      <w:r w:rsidRPr="00272666">
        <w:rPr>
          <w:rFonts w:ascii="Book Antiqua" w:hAnsi="Book Antiqua" w:cs="宋体"/>
          <w:i/>
          <w:iCs/>
          <w:sz w:val="24"/>
          <w:szCs w:val="24"/>
        </w:rPr>
        <w:t>Hepatogastroenterology</w:t>
      </w:r>
      <w:r w:rsidRPr="00272666">
        <w:rPr>
          <w:rFonts w:ascii="Book Antiqua" w:hAnsi="Book Antiqua" w:cs="宋体"/>
          <w:sz w:val="24"/>
          <w:szCs w:val="24"/>
        </w:rPr>
        <w:t> </w:t>
      </w:r>
      <w:r w:rsidRPr="00572DEC">
        <w:rPr>
          <w:rFonts w:ascii="Book Antiqua" w:hAnsi="Book Antiqua"/>
          <w:sz w:val="24"/>
          <w:szCs w:val="24"/>
        </w:rPr>
        <w:t>1995</w:t>
      </w:r>
      <w:r w:rsidRPr="00272666">
        <w:rPr>
          <w:rFonts w:ascii="Book Antiqua" w:hAnsi="Book Antiqua" w:cs="宋体"/>
          <w:sz w:val="24"/>
          <w:szCs w:val="24"/>
        </w:rPr>
        <w:t>; </w:t>
      </w:r>
      <w:r w:rsidRPr="00272666">
        <w:rPr>
          <w:rFonts w:ascii="Book Antiqua" w:hAnsi="Book Antiqua" w:cs="宋体"/>
          <w:b/>
          <w:bCs/>
          <w:sz w:val="24"/>
          <w:szCs w:val="24"/>
        </w:rPr>
        <w:t>42</w:t>
      </w:r>
      <w:r w:rsidRPr="00272666">
        <w:rPr>
          <w:rFonts w:ascii="Book Antiqua" w:hAnsi="Book Antiqua" w:cs="宋体"/>
          <w:sz w:val="24"/>
          <w:szCs w:val="24"/>
        </w:rPr>
        <w:t>: 672-676 [PMID: 8751233]</w:t>
      </w:r>
    </w:p>
    <w:p w:rsidR="003E7779" w:rsidRPr="00272666" w:rsidRDefault="003E7779" w:rsidP="00C16B6C">
      <w:pPr>
        <w:spacing w:line="360" w:lineRule="auto"/>
        <w:jc w:val="both"/>
        <w:rPr>
          <w:rFonts w:ascii="Book Antiqua" w:hAnsi="Book Antiqua" w:cs="宋体"/>
          <w:sz w:val="24"/>
          <w:szCs w:val="24"/>
        </w:rPr>
      </w:pPr>
      <w:r w:rsidRPr="00272666">
        <w:rPr>
          <w:rFonts w:ascii="Book Antiqua" w:hAnsi="Book Antiqua" w:cs="宋体"/>
          <w:sz w:val="24"/>
          <w:szCs w:val="24"/>
        </w:rPr>
        <w:t>15 </w:t>
      </w:r>
      <w:r w:rsidRPr="00272666">
        <w:rPr>
          <w:rFonts w:ascii="Book Antiqua" w:hAnsi="Book Antiqua" w:cs="宋体"/>
          <w:b/>
          <w:bCs/>
          <w:sz w:val="24"/>
          <w:szCs w:val="24"/>
        </w:rPr>
        <w:t>Bozzetti F</w:t>
      </w:r>
      <w:r w:rsidRPr="00272666">
        <w:rPr>
          <w:rFonts w:ascii="Book Antiqua" w:hAnsi="Book Antiqua" w:cs="宋体"/>
          <w:sz w:val="24"/>
          <w:szCs w:val="24"/>
        </w:rPr>
        <w:t>, Bonfanti G, Mariani L, Miceli R, Andreola S. Early gastric cancer: unrecognized indicator of multiple malignancies. </w:t>
      </w:r>
      <w:r w:rsidRPr="00272666">
        <w:rPr>
          <w:rFonts w:ascii="Book Antiqua" w:hAnsi="Book Antiqua" w:cs="宋体"/>
          <w:i/>
          <w:iCs/>
          <w:sz w:val="24"/>
          <w:szCs w:val="24"/>
        </w:rPr>
        <w:t>World J Surg</w:t>
      </w:r>
      <w:r w:rsidRPr="00272666">
        <w:rPr>
          <w:rFonts w:ascii="Book Antiqua" w:hAnsi="Book Antiqua" w:cs="宋体"/>
          <w:sz w:val="24"/>
          <w:szCs w:val="24"/>
        </w:rPr>
        <w:t> 2000; </w:t>
      </w:r>
      <w:r w:rsidRPr="00272666">
        <w:rPr>
          <w:rFonts w:ascii="Book Antiqua" w:hAnsi="Book Antiqua" w:cs="宋体"/>
          <w:b/>
          <w:bCs/>
          <w:sz w:val="24"/>
          <w:szCs w:val="24"/>
        </w:rPr>
        <w:t>24</w:t>
      </w:r>
      <w:r w:rsidRPr="00272666">
        <w:rPr>
          <w:rFonts w:ascii="Book Antiqua" w:hAnsi="Book Antiqua" w:cs="宋体"/>
          <w:sz w:val="24"/>
          <w:szCs w:val="24"/>
        </w:rPr>
        <w:t>: 583-587 [PMID: 10787081 DOI: 10.1007/s002689910097]</w:t>
      </w:r>
    </w:p>
    <w:p w:rsidR="003E7779" w:rsidRPr="00272666" w:rsidRDefault="003E7779" w:rsidP="00C16B6C">
      <w:pPr>
        <w:spacing w:line="360" w:lineRule="auto"/>
        <w:jc w:val="both"/>
        <w:rPr>
          <w:rFonts w:ascii="Book Antiqua" w:hAnsi="Book Antiqua" w:cs="宋体"/>
          <w:sz w:val="24"/>
          <w:szCs w:val="24"/>
        </w:rPr>
      </w:pPr>
      <w:r w:rsidRPr="00272666">
        <w:rPr>
          <w:rFonts w:ascii="Book Antiqua" w:hAnsi="Book Antiqua" w:cs="宋体"/>
          <w:sz w:val="24"/>
          <w:szCs w:val="24"/>
        </w:rPr>
        <w:t>16 </w:t>
      </w:r>
      <w:r w:rsidRPr="00272666">
        <w:rPr>
          <w:rFonts w:ascii="Book Antiqua" w:hAnsi="Book Antiqua" w:cs="宋体"/>
          <w:b/>
          <w:bCs/>
          <w:sz w:val="24"/>
          <w:szCs w:val="24"/>
        </w:rPr>
        <w:t>Kim JH</w:t>
      </w:r>
      <w:r w:rsidRPr="00272666">
        <w:rPr>
          <w:rFonts w:ascii="Book Antiqua" w:hAnsi="Book Antiqua" w:cs="宋体"/>
          <w:sz w:val="24"/>
          <w:szCs w:val="24"/>
        </w:rPr>
        <w:t>, Rha SY, Kim C, Kim GM, Yoon SH, Kim KH, Kim MJ, Ahn JB, Chung HC, Roh JK, Kim HS. Clinicopathologic features of metachronous or synchronous gastric cancer patients with three or more primary sites. </w:t>
      </w:r>
      <w:r w:rsidRPr="00272666">
        <w:rPr>
          <w:rFonts w:ascii="Book Antiqua" w:hAnsi="Book Antiqua" w:cs="宋体"/>
          <w:i/>
          <w:iCs/>
          <w:sz w:val="24"/>
          <w:szCs w:val="24"/>
        </w:rPr>
        <w:t>Cancer Res Treat</w:t>
      </w:r>
      <w:r w:rsidRPr="00272666">
        <w:rPr>
          <w:rFonts w:ascii="Book Antiqua" w:hAnsi="Book Antiqua" w:cs="宋体"/>
          <w:sz w:val="24"/>
          <w:szCs w:val="24"/>
        </w:rPr>
        <w:t> 2010; </w:t>
      </w:r>
      <w:r w:rsidRPr="00272666">
        <w:rPr>
          <w:rFonts w:ascii="Book Antiqua" w:hAnsi="Book Antiqua" w:cs="宋体"/>
          <w:b/>
          <w:bCs/>
          <w:sz w:val="24"/>
          <w:szCs w:val="24"/>
        </w:rPr>
        <w:t>42</w:t>
      </w:r>
      <w:r w:rsidRPr="00272666">
        <w:rPr>
          <w:rFonts w:ascii="Book Antiqua" w:hAnsi="Book Antiqua" w:cs="宋体"/>
          <w:sz w:val="24"/>
          <w:szCs w:val="24"/>
        </w:rPr>
        <w:t>: 217-224 [PMID: 21253324 DOI: 10.4143/crt.2010.42.4.217]</w:t>
      </w:r>
    </w:p>
    <w:p w:rsidR="003E7779" w:rsidRPr="00272666" w:rsidRDefault="003E7779" w:rsidP="00C16B6C">
      <w:pPr>
        <w:spacing w:line="360" w:lineRule="auto"/>
        <w:jc w:val="both"/>
        <w:rPr>
          <w:rFonts w:ascii="Book Antiqua" w:hAnsi="Book Antiqua" w:cs="宋体"/>
          <w:sz w:val="24"/>
          <w:szCs w:val="24"/>
        </w:rPr>
      </w:pPr>
      <w:r w:rsidRPr="00272666">
        <w:rPr>
          <w:rFonts w:ascii="Book Antiqua" w:hAnsi="Book Antiqua" w:cs="宋体"/>
          <w:sz w:val="24"/>
          <w:szCs w:val="24"/>
        </w:rPr>
        <w:t>17 </w:t>
      </w:r>
      <w:r w:rsidRPr="00272666">
        <w:rPr>
          <w:rFonts w:ascii="Book Antiqua" w:hAnsi="Book Antiqua" w:cs="宋体"/>
          <w:b/>
          <w:bCs/>
          <w:sz w:val="24"/>
          <w:szCs w:val="24"/>
        </w:rPr>
        <w:t>Ikeda Y</w:t>
      </w:r>
      <w:r w:rsidRPr="00272666">
        <w:rPr>
          <w:rFonts w:ascii="Book Antiqua" w:hAnsi="Book Antiqua" w:cs="宋体"/>
          <w:sz w:val="24"/>
          <w:szCs w:val="24"/>
        </w:rPr>
        <w:t>, Saku M, Kawanaka H, Nonaka M, Yoshida K. Features of second primary cancer in patients with gastric cancer. </w:t>
      </w:r>
      <w:r w:rsidRPr="00272666">
        <w:rPr>
          <w:rFonts w:ascii="Book Antiqua" w:hAnsi="Book Antiqua" w:cs="宋体"/>
          <w:i/>
          <w:iCs/>
          <w:sz w:val="24"/>
          <w:szCs w:val="24"/>
        </w:rPr>
        <w:t>Oncology</w:t>
      </w:r>
      <w:r w:rsidRPr="00272666">
        <w:rPr>
          <w:rFonts w:ascii="Book Antiqua" w:hAnsi="Book Antiqua" w:cs="宋体"/>
          <w:sz w:val="24"/>
          <w:szCs w:val="24"/>
        </w:rPr>
        <w:t> 2003; </w:t>
      </w:r>
      <w:r w:rsidRPr="00272666">
        <w:rPr>
          <w:rFonts w:ascii="Book Antiqua" w:hAnsi="Book Antiqua" w:cs="宋体"/>
          <w:b/>
          <w:bCs/>
          <w:sz w:val="24"/>
          <w:szCs w:val="24"/>
        </w:rPr>
        <w:t>65</w:t>
      </w:r>
      <w:r w:rsidRPr="00272666">
        <w:rPr>
          <w:rFonts w:ascii="Book Antiqua" w:hAnsi="Book Antiqua" w:cs="宋体"/>
          <w:sz w:val="24"/>
          <w:szCs w:val="24"/>
        </w:rPr>
        <w:t>: 113-117 [PMID: 12931016 DOI: 10.1159/000072335]</w:t>
      </w:r>
    </w:p>
    <w:p w:rsidR="003E7779" w:rsidRPr="00272666" w:rsidRDefault="003E7779" w:rsidP="00C16B6C">
      <w:pPr>
        <w:spacing w:line="360" w:lineRule="auto"/>
        <w:jc w:val="both"/>
        <w:rPr>
          <w:rFonts w:ascii="Book Antiqua" w:hAnsi="Book Antiqua" w:cs="宋体"/>
          <w:sz w:val="24"/>
          <w:szCs w:val="24"/>
        </w:rPr>
      </w:pPr>
      <w:r w:rsidRPr="00272666">
        <w:rPr>
          <w:rFonts w:ascii="Book Antiqua" w:hAnsi="Book Antiqua" w:cs="宋体"/>
          <w:sz w:val="24"/>
          <w:szCs w:val="24"/>
        </w:rPr>
        <w:t xml:space="preserve">18 </w:t>
      </w:r>
      <w:r w:rsidRPr="00272666">
        <w:rPr>
          <w:rFonts w:ascii="Book Antiqua" w:hAnsi="Book Antiqua" w:cs="宋体"/>
          <w:b/>
          <w:sz w:val="24"/>
          <w:szCs w:val="24"/>
        </w:rPr>
        <w:t>Lauren P</w:t>
      </w:r>
      <w:r w:rsidRPr="00272666">
        <w:rPr>
          <w:rFonts w:ascii="Book Antiqua" w:hAnsi="Book Antiqua" w:cs="宋体"/>
          <w:sz w:val="24"/>
          <w:szCs w:val="24"/>
        </w:rPr>
        <w:t>. The two histological main types of gastric carcinoma: diffuse and so-colled intestinal type carcinoma. An attempt at histo-clinical classification.</w:t>
      </w:r>
      <w:r w:rsidRPr="00272666">
        <w:rPr>
          <w:rFonts w:ascii="Book Antiqua" w:hAnsi="Book Antiqua" w:cs="宋体"/>
          <w:i/>
          <w:sz w:val="24"/>
          <w:szCs w:val="24"/>
        </w:rPr>
        <w:t xml:space="preserve"> Acta Path. et Microbiol. Scandinav</w:t>
      </w:r>
      <w:r w:rsidRPr="00272666">
        <w:rPr>
          <w:rFonts w:ascii="Book Antiqua" w:hAnsi="Book Antiqua" w:cs="宋体"/>
          <w:sz w:val="24"/>
          <w:szCs w:val="24"/>
        </w:rPr>
        <w:t xml:space="preserve">. 1965; </w:t>
      </w:r>
      <w:r w:rsidRPr="00272666">
        <w:rPr>
          <w:rFonts w:ascii="Book Antiqua" w:hAnsi="Book Antiqua" w:cs="宋体"/>
          <w:b/>
          <w:sz w:val="24"/>
          <w:szCs w:val="24"/>
        </w:rPr>
        <w:t>64</w:t>
      </w:r>
      <w:r w:rsidRPr="00272666">
        <w:rPr>
          <w:rFonts w:ascii="Book Antiqua" w:hAnsi="Book Antiqua" w:cs="宋体"/>
          <w:sz w:val="24"/>
          <w:szCs w:val="24"/>
        </w:rPr>
        <w:t>: 31-49</w:t>
      </w:r>
    </w:p>
    <w:p w:rsidR="003E7779" w:rsidRPr="00272666" w:rsidRDefault="003E7779" w:rsidP="00C16B6C">
      <w:pPr>
        <w:spacing w:line="360" w:lineRule="auto"/>
        <w:jc w:val="both"/>
        <w:rPr>
          <w:rFonts w:ascii="Book Antiqua" w:hAnsi="Book Antiqua" w:cs="宋体"/>
          <w:sz w:val="24"/>
          <w:szCs w:val="24"/>
        </w:rPr>
      </w:pPr>
      <w:r w:rsidRPr="00272666">
        <w:rPr>
          <w:rFonts w:ascii="Book Antiqua" w:hAnsi="Book Antiqua" w:cs="宋体"/>
          <w:sz w:val="24"/>
          <w:szCs w:val="24"/>
        </w:rPr>
        <w:t>19 </w:t>
      </w:r>
      <w:r w:rsidRPr="00272666">
        <w:rPr>
          <w:rFonts w:ascii="Book Antiqua" w:hAnsi="Book Antiqua" w:cs="宋体"/>
          <w:b/>
          <w:bCs/>
          <w:sz w:val="24"/>
          <w:szCs w:val="24"/>
        </w:rPr>
        <w:t>Muela Molinero A</w:t>
      </w:r>
      <w:r w:rsidRPr="00272666">
        <w:rPr>
          <w:rFonts w:ascii="Book Antiqua" w:hAnsi="Book Antiqua" w:cs="宋体"/>
          <w:sz w:val="24"/>
          <w:szCs w:val="24"/>
        </w:rPr>
        <w:t>, Jorquera Plaza F, Ribas Ariño T, Malagón Rojo R, Espinel Diez V, Ballesteros del Río B, Olcoz Goñi JL, Santos Calderón JA. Multiple malignant primary neoplasms in patients with gatric neoplasms in the health district of León. </w:t>
      </w:r>
      <w:r w:rsidRPr="00272666">
        <w:rPr>
          <w:rFonts w:ascii="Book Antiqua" w:hAnsi="Book Antiqua" w:cs="宋体"/>
          <w:i/>
          <w:iCs/>
          <w:sz w:val="24"/>
          <w:szCs w:val="24"/>
        </w:rPr>
        <w:t>Rev Esp Enferm Dig</w:t>
      </w:r>
      <w:r w:rsidRPr="00272666">
        <w:rPr>
          <w:rFonts w:ascii="Book Antiqua" w:hAnsi="Book Antiqua" w:cs="宋体"/>
          <w:sz w:val="24"/>
          <w:szCs w:val="24"/>
        </w:rPr>
        <w:t> 2006; </w:t>
      </w:r>
      <w:r w:rsidRPr="00272666">
        <w:rPr>
          <w:rFonts w:ascii="Book Antiqua" w:hAnsi="Book Antiqua" w:cs="宋体"/>
          <w:b/>
          <w:bCs/>
          <w:sz w:val="24"/>
          <w:szCs w:val="24"/>
        </w:rPr>
        <w:t>98</w:t>
      </w:r>
      <w:r w:rsidRPr="00272666">
        <w:rPr>
          <w:rFonts w:ascii="Book Antiqua" w:hAnsi="Book Antiqua" w:cs="宋体"/>
          <w:sz w:val="24"/>
          <w:szCs w:val="24"/>
        </w:rPr>
        <w:t>: 907-916 [PMID: 17274696 DOI: 10.432/S1130-01082006001200003]</w:t>
      </w:r>
    </w:p>
    <w:p w:rsidR="003E7779" w:rsidRPr="00272666" w:rsidRDefault="003E7779" w:rsidP="00C16B6C">
      <w:pPr>
        <w:spacing w:line="360" w:lineRule="auto"/>
        <w:jc w:val="both"/>
        <w:rPr>
          <w:rFonts w:ascii="Book Antiqua" w:hAnsi="Book Antiqua" w:cs="宋体"/>
          <w:sz w:val="24"/>
          <w:szCs w:val="24"/>
        </w:rPr>
      </w:pPr>
      <w:r w:rsidRPr="00272666">
        <w:rPr>
          <w:rFonts w:ascii="Book Antiqua" w:hAnsi="Book Antiqua" w:cs="宋体"/>
          <w:sz w:val="24"/>
          <w:szCs w:val="24"/>
        </w:rPr>
        <w:lastRenderedPageBreak/>
        <w:t>20 </w:t>
      </w:r>
      <w:r w:rsidRPr="00272666">
        <w:rPr>
          <w:rFonts w:ascii="Book Antiqua" w:hAnsi="Book Antiqua" w:cs="宋体"/>
          <w:b/>
          <w:bCs/>
          <w:sz w:val="24"/>
          <w:szCs w:val="24"/>
        </w:rPr>
        <w:t>Kim JY</w:t>
      </w:r>
      <w:r w:rsidRPr="00272666">
        <w:rPr>
          <w:rFonts w:ascii="Book Antiqua" w:hAnsi="Book Antiqua" w:cs="宋体"/>
          <w:sz w:val="24"/>
          <w:szCs w:val="24"/>
        </w:rPr>
        <w:t>, Jang WY, Heo MH, Lee KK, Do YR, Park KU, Song HS, Kim YN. Metachronous double primary cancer after diagnosis of gastric cancer. </w:t>
      </w:r>
      <w:r w:rsidRPr="00272666">
        <w:rPr>
          <w:rFonts w:ascii="Book Antiqua" w:hAnsi="Book Antiqua" w:cs="宋体"/>
          <w:i/>
          <w:iCs/>
          <w:sz w:val="24"/>
          <w:szCs w:val="24"/>
        </w:rPr>
        <w:t>Cancer Res Treat</w:t>
      </w:r>
      <w:r w:rsidRPr="00272666">
        <w:rPr>
          <w:rFonts w:ascii="Book Antiqua" w:hAnsi="Book Antiqua" w:cs="宋体"/>
          <w:sz w:val="24"/>
          <w:szCs w:val="24"/>
        </w:rPr>
        <w:t> 2012; </w:t>
      </w:r>
      <w:r w:rsidRPr="00272666">
        <w:rPr>
          <w:rFonts w:ascii="Book Antiqua" w:hAnsi="Book Antiqua" w:cs="宋体"/>
          <w:b/>
          <w:bCs/>
          <w:sz w:val="24"/>
          <w:szCs w:val="24"/>
        </w:rPr>
        <w:t>44</w:t>
      </w:r>
      <w:r w:rsidRPr="00272666">
        <w:rPr>
          <w:rFonts w:ascii="Book Antiqua" w:hAnsi="Book Antiqua" w:cs="宋体"/>
          <w:sz w:val="24"/>
          <w:szCs w:val="24"/>
        </w:rPr>
        <w:t>: 173-178 [PMID: 23091443 DOI: 10.4143/crt.2012.44.3.173]</w:t>
      </w:r>
    </w:p>
    <w:p w:rsidR="003E7779" w:rsidRPr="00272666" w:rsidRDefault="003E7779" w:rsidP="00C16B6C">
      <w:pPr>
        <w:spacing w:line="360" w:lineRule="auto"/>
        <w:jc w:val="both"/>
        <w:rPr>
          <w:rFonts w:ascii="Book Antiqua" w:hAnsi="Book Antiqua" w:cs="宋体"/>
          <w:sz w:val="24"/>
          <w:szCs w:val="24"/>
        </w:rPr>
      </w:pPr>
      <w:r w:rsidRPr="00272666">
        <w:rPr>
          <w:rFonts w:ascii="Book Antiqua" w:hAnsi="Book Antiqua" w:cs="宋体"/>
          <w:sz w:val="24"/>
          <w:szCs w:val="24"/>
        </w:rPr>
        <w:t>21 </w:t>
      </w:r>
      <w:r w:rsidRPr="00272666">
        <w:rPr>
          <w:rFonts w:ascii="Book Antiqua" w:hAnsi="Book Antiqua" w:cs="宋体"/>
          <w:b/>
          <w:bCs/>
          <w:sz w:val="24"/>
          <w:szCs w:val="24"/>
        </w:rPr>
        <w:t>Ikeda Y</w:t>
      </w:r>
      <w:r w:rsidRPr="00272666">
        <w:rPr>
          <w:rFonts w:ascii="Book Antiqua" w:hAnsi="Book Antiqua" w:cs="宋体"/>
          <w:sz w:val="24"/>
          <w:szCs w:val="24"/>
        </w:rPr>
        <w:t>, Saku M, Kishihara F, Maehara Y. Effective follow-up for recurrence or a second primary cancer in patients with early gastric cancer. </w:t>
      </w:r>
      <w:r w:rsidRPr="00272666">
        <w:rPr>
          <w:rFonts w:ascii="Book Antiqua" w:hAnsi="Book Antiqua" w:cs="宋体"/>
          <w:i/>
          <w:iCs/>
          <w:sz w:val="24"/>
          <w:szCs w:val="24"/>
        </w:rPr>
        <w:t>Br J Surg</w:t>
      </w:r>
      <w:r w:rsidRPr="00272666">
        <w:rPr>
          <w:rFonts w:ascii="Book Antiqua" w:hAnsi="Book Antiqua" w:cs="宋体"/>
          <w:sz w:val="24"/>
          <w:szCs w:val="24"/>
        </w:rPr>
        <w:t> 2005; </w:t>
      </w:r>
      <w:r w:rsidRPr="00272666">
        <w:rPr>
          <w:rFonts w:ascii="Book Antiqua" w:hAnsi="Book Antiqua" w:cs="宋体"/>
          <w:b/>
          <w:bCs/>
          <w:sz w:val="24"/>
          <w:szCs w:val="24"/>
        </w:rPr>
        <w:t>92</w:t>
      </w:r>
      <w:r w:rsidRPr="00272666">
        <w:rPr>
          <w:rFonts w:ascii="Book Antiqua" w:hAnsi="Book Antiqua" w:cs="宋体"/>
          <w:sz w:val="24"/>
          <w:szCs w:val="24"/>
        </w:rPr>
        <w:t>: 235-239 [PMID: 15609385 DOI: 10.1002/bjs.4758]</w:t>
      </w:r>
    </w:p>
    <w:p w:rsidR="003E7779" w:rsidRPr="00272666" w:rsidRDefault="003E7779" w:rsidP="00C16B6C">
      <w:pPr>
        <w:spacing w:line="360" w:lineRule="auto"/>
        <w:jc w:val="both"/>
        <w:rPr>
          <w:rFonts w:ascii="Book Antiqua" w:hAnsi="Book Antiqua" w:cs="宋体"/>
          <w:sz w:val="24"/>
          <w:szCs w:val="24"/>
        </w:rPr>
      </w:pPr>
      <w:r w:rsidRPr="00272666">
        <w:rPr>
          <w:rFonts w:ascii="Book Antiqua" w:hAnsi="Book Antiqua" w:cs="宋体"/>
          <w:sz w:val="24"/>
          <w:szCs w:val="24"/>
        </w:rPr>
        <w:t>22 </w:t>
      </w:r>
      <w:r w:rsidRPr="00272666">
        <w:rPr>
          <w:rFonts w:ascii="Book Antiqua" w:hAnsi="Book Antiqua" w:cs="宋体"/>
          <w:b/>
          <w:bCs/>
          <w:sz w:val="24"/>
          <w:szCs w:val="24"/>
        </w:rPr>
        <w:t>Itoh H</w:t>
      </w:r>
      <w:r w:rsidRPr="00272666">
        <w:rPr>
          <w:rFonts w:ascii="Book Antiqua" w:hAnsi="Book Antiqua" w:cs="宋体"/>
          <w:sz w:val="24"/>
          <w:szCs w:val="24"/>
        </w:rPr>
        <w:t>, Oohata Y, Nakamura K, Nagata T, Mibu R, Nakayama F. Complete ten-year postgastrectomy follow-up of early gastric cancer. </w:t>
      </w:r>
      <w:r w:rsidRPr="00272666">
        <w:rPr>
          <w:rFonts w:ascii="Book Antiqua" w:hAnsi="Book Antiqua" w:cs="宋体"/>
          <w:i/>
          <w:iCs/>
          <w:sz w:val="24"/>
          <w:szCs w:val="24"/>
        </w:rPr>
        <w:t>Am J Surg</w:t>
      </w:r>
      <w:r w:rsidRPr="00272666">
        <w:rPr>
          <w:rFonts w:ascii="Book Antiqua" w:hAnsi="Book Antiqua" w:cs="宋体"/>
          <w:sz w:val="24"/>
          <w:szCs w:val="24"/>
        </w:rPr>
        <w:t> 1989; </w:t>
      </w:r>
      <w:r w:rsidRPr="00272666">
        <w:rPr>
          <w:rFonts w:ascii="Book Antiqua" w:hAnsi="Book Antiqua" w:cs="宋体"/>
          <w:b/>
          <w:bCs/>
          <w:sz w:val="24"/>
          <w:szCs w:val="24"/>
        </w:rPr>
        <w:t>158</w:t>
      </w:r>
      <w:r w:rsidRPr="00272666">
        <w:rPr>
          <w:rFonts w:ascii="Book Antiqua" w:hAnsi="Book Antiqua" w:cs="宋体"/>
          <w:sz w:val="24"/>
          <w:szCs w:val="24"/>
        </w:rPr>
        <w:t>: 14-16 [PMID: 2742043 DOI: 10.1016/0002-9610(89)90305-X]</w:t>
      </w:r>
    </w:p>
    <w:p w:rsidR="003E7779" w:rsidRPr="00272666" w:rsidRDefault="003E7779" w:rsidP="00C16B6C">
      <w:pPr>
        <w:spacing w:line="360" w:lineRule="auto"/>
        <w:jc w:val="both"/>
        <w:rPr>
          <w:rFonts w:ascii="Book Antiqua" w:hAnsi="Book Antiqua" w:cs="宋体"/>
          <w:sz w:val="24"/>
          <w:szCs w:val="24"/>
        </w:rPr>
      </w:pPr>
      <w:r w:rsidRPr="00272666">
        <w:rPr>
          <w:rFonts w:ascii="Book Antiqua" w:hAnsi="Book Antiqua" w:cs="宋体"/>
          <w:sz w:val="24"/>
          <w:szCs w:val="24"/>
        </w:rPr>
        <w:t>23 </w:t>
      </w:r>
      <w:r w:rsidRPr="00272666">
        <w:rPr>
          <w:rFonts w:ascii="Book Antiqua" w:hAnsi="Book Antiqua" w:cs="宋体"/>
          <w:b/>
          <w:bCs/>
          <w:sz w:val="24"/>
          <w:szCs w:val="24"/>
        </w:rPr>
        <w:t>Furukawa H</w:t>
      </w:r>
      <w:r w:rsidRPr="00272666">
        <w:rPr>
          <w:rFonts w:ascii="Book Antiqua" w:hAnsi="Book Antiqua" w:cs="宋体"/>
          <w:sz w:val="24"/>
          <w:szCs w:val="24"/>
        </w:rPr>
        <w:t>, Hiratsuka M, Iwanaga T, Imaoka S, Kabuto T, Ishikawa O, Sasaki Y, Kameyama M, Ohigashi H, Nakamori S. Treatments for second malignancies after gastrectomy for stomach cancer. </w:t>
      </w:r>
      <w:r w:rsidRPr="00272666">
        <w:rPr>
          <w:rFonts w:ascii="Book Antiqua" w:hAnsi="Book Antiqua" w:cs="宋体"/>
          <w:i/>
          <w:iCs/>
          <w:sz w:val="24"/>
          <w:szCs w:val="24"/>
        </w:rPr>
        <w:t>Hepatogastroenterology</w:t>
      </w:r>
      <w:r w:rsidRPr="00272666">
        <w:rPr>
          <w:rFonts w:ascii="Book Antiqua" w:hAnsi="Book Antiqua" w:cs="宋体"/>
          <w:sz w:val="24"/>
          <w:szCs w:val="24"/>
        </w:rPr>
        <w:t> </w:t>
      </w:r>
      <w:r w:rsidRPr="00572DEC">
        <w:rPr>
          <w:rFonts w:ascii="Book Antiqua" w:hAnsi="Book Antiqua"/>
          <w:sz w:val="24"/>
          <w:szCs w:val="24"/>
        </w:rPr>
        <w:t>1996</w:t>
      </w:r>
      <w:r w:rsidRPr="00272666">
        <w:rPr>
          <w:rFonts w:ascii="Book Antiqua" w:hAnsi="Book Antiqua" w:cs="宋体"/>
          <w:sz w:val="24"/>
          <w:szCs w:val="24"/>
        </w:rPr>
        <w:t>; </w:t>
      </w:r>
      <w:r w:rsidRPr="00272666">
        <w:rPr>
          <w:rFonts w:ascii="Book Antiqua" w:hAnsi="Book Antiqua" w:cs="宋体"/>
          <w:b/>
          <w:bCs/>
          <w:sz w:val="24"/>
          <w:szCs w:val="24"/>
        </w:rPr>
        <w:t>43</w:t>
      </w:r>
      <w:r w:rsidRPr="00272666">
        <w:rPr>
          <w:rFonts w:ascii="Book Antiqua" w:hAnsi="Book Antiqua" w:cs="宋体"/>
          <w:sz w:val="24"/>
          <w:szCs w:val="24"/>
        </w:rPr>
        <w:t>: 194-198 [PMID: 8682461]</w:t>
      </w:r>
    </w:p>
    <w:p w:rsidR="003E7779" w:rsidRPr="00272666" w:rsidRDefault="003E7779" w:rsidP="00C16B6C">
      <w:pPr>
        <w:spacing w:line="360" w:lineRule="auto"/>
        <w:jc w:val="both"/>
        <w:rPr>
          <w:rFonts w:ascii="Book Antiqua" w:hAnsi="Book Antiqua" w:cs="宋体"/>
          <w:sz w:val="24"/>
          <w:szCs w:val="24"/>
        </w:rPr>
      </w:pPr>
      <w:r w:rsidRPr="00272666">
        <w:rPr>
          <w:rFonts w:ascii="Book Antiqua" w:hAnsi="Book Antiqua" w:cs="宋体"/>
          <w:sz w:val="24"/>
          <w:szCs w:val="24"/>
        </w:rPr>
        <w:t>24 </w:t>
      </w:r>
      <w:r w:rsidRPr="00272666">
        <w:rPr>
          <w:rFonts w:ascii="Book Antiqua" w:hAnsi="Book Antiqua" w:cs="宋体"/>
          <w:b/>
          <w:bCs/>
          <w:sz w:val="24"/>
          <w:szCs w:val="24"/>
        </w:rPr>
        <w:t>Bae JS</w:t>
      </w:r>
      <w:r w:rsidRPr="00272666">
        <w:rPr>
          <w:rFonts w:ascii="Book Antiqua" w:hAnsi="Book Antiqua" w:cs="宋体"/>
          <w:sz w:val="24"/>
          <w:szCs w:val="24"/>
        </w:rPr>
        <w:t>, Lee JH, Ryu KW, Kim YW, Bae JM. Characteristics of synchronous cancers in gastric cancer patients. </w:t>
      </w:r>
      <w:r w:rsidRPr="00272666">
        <w:rPr>
          <w:rFonts w:ascii="Book Antiqua" w:hAnsi="Book Antiqua" w:cs="宋体"/>
          <w:i/>
          <w:iCs/>
          <w:sz w:val="24"/>
          <w:szCs w:val="24"/>
        </w:rPr>
        <w:t>Cancer Res Treat</w:t>
      </w:r>
      <w:r w:rsidRPr="00272666">
        <w:rPr>
          <w:rFonts w:ascii="Book Antiqua" w:hAnsi="Book Antiqua" w:cs="宋体"/>
          <w:sz w:val="24"/>
          <w:szCs w:val="24"/>
        </w:rPr>
        <w:t> 2006; </w:t>
      </w:r>
      <w:r w:rsidRPr="00272666">
        <w:rPr>
          <w:rFonts w:ascii="Book Antiqua" w:hAnsi="Book Antiqua" w:cs="宋体"/>
          <w:b/>
          <w:bCs/>
          <w:sz w:val="24"/>
          <w:szCs w:val="24"/>
        </w:rPr>
        <w:t>38</w:t>
      </w:r>
      <w:r w:rsidRPr="00272666">
        <w:rPr>
          <w:rFonts w:ascii="Book Antiqua" w:hAnsi="Book Antiqua" w:cs="宋体"/>
          <w:sz w:val="24"/>
          <w:szCs w:val="24"/>
        </w:rPr>
        <w:t>: 25-29 [PMID: 19771255 DOI: 10.4143/crt.2006.38.1.25]</w:t>
      </w:r>
    </w:p>
    <w:p w:rsidR="003E7779" w:rsidRPr="00272666" w:rsidRDefault="003E7779" w:rsidP="00C16B6C">
      <w:pPr>
        <w:spacing w:line="360" w:lineRule="auto"/>
        <w:jc w:val="both"/>
        <w:rPr>
          <w:rFonts w:ascii="Book Antiqua" w:hAnsi="Book Antiqua" w:cs="宋体"/>
          <w:sz w:val="24"/>
          <w:szCs w:val="24"/>
        </w:rPr>
      </w:pPr>
      <w:r w:rsidRPr="00272666">
        <w:rPr>
          <w:rFonts w:ascii="Book Antiqua" w:hAnsi="Book Antiqua" w:cs="宋体"/>
          <w:sz w:val="24"/>
          <w:szCs w:val="24"/>
        </w:rPr>
        <w:t xml:space="preserve">25 </w:t>
      </w:r>
      <w:r w:rsidRPr="00272666">
        <w:rPr>
          <w:rFonts w:ascii="Book Antiqua" w:hAnsi="Book Antiqua" w:cs="宋体"/>
          <w:b/>
          <w:sz w:val="24"/>
          <w:szCs w:val="24"/>
        </w:rPr>
        <w:t>Didkowska J</w:t>
      </w:r>
      <w:r w:rsidRPr="00272666">
        <w:rPr>
          <w:rFonts w:ascii="Book Antiqua" w:hAnsi="Book Antiqua" w:cs="宋体"/>
          <w:sz w:val="24"/>
          <w:szCs w:val="24"/>
        </w:rPr>
        <w:t>, Wojciechowska U, Zatoński W. Cancers in Poland in 2009. Warsaw 2011; pp. 60-61</w:t>
      </w:r>
    </w:p>
    <w:p w:rsidR="003E7779" w:rsidRPr="00272666" w:rsidRDefault="003E7779" w:rsidP="00C16B6C">
      <w:pPr>
        <w:spacing w:line="360" w:lineRule="auto"/>
        <w:jc w:val="both"/>
        <w:rPr>
          <w:rFonts w:ascii="Book Antiqua" w:hAnsi="Book Antiqua" w:cs="宋体"/>
          <w:sz w:val="24"/>
          <w:szCs w:val="24"/>
        </w:rPr>
      </w:pPr>
      <w:r w:rsidRPr="00272666">
        <w:rPr>
          <w:rFonts w:ascii="Book Antiqua" w:hAnsi="Book Antiqua" w:cs="宋体"/>
          <w:sz w:val="24"/>
          <w:szCs w:val="24"/>
        </w:rPr>
        <w:t>26 </w:t>
      </w:r>
      <w:r w:rsidRPr="00272666">
        <w:rPr>
          <w:rFonts w:ascii="Book Antiqua" w:eastAsia="MS Mincho" w:hAnsi="Book Antiqua" w:cs="MS Mincho"/>
          <w:b/>
          <w:bCs/>
          <w:sz w:val="24"/>
          <w:szCs w:val="24"/>
        </w:rPr>
        <w:t>Ł</w:t>
      </w:r>
      <w:r w:rsidRPr="00272666">
        <w:rPr>
          <w:rFonts w:ascii="Book Antiqua" w:hAnsi="Book Antiqua" w:cs="宋体"/>
          <w:b/>
          <w:bCs/>
          <w:sz w:val="24"/>
          <w:szCs w:val="24"/>
        </w:rPr>
        <w:t>awniczak M</w:t>
      </w:r>
      <w:r w:rsidRPr="00272666">
        <w:rPr>
          <w:rFonts w:ascii="Book Antiqua" w:hAnsi="Book Antiqua" w:cs="宋体"/>
          <w:sz w:val="24"/>
          <w:szCs w:val="24"/>
        </w:rPr>
        <w:t>, Starzyńska T. [Helicobacter pylori infection in gastric cancer patients]. </w:t>
      </w:r>
      <w:r w:rsidRPr="00272666">
        <w:rPr>
          <w:rFonts w:ascii="Book Antiqua" w:hAnsi="Book Antiqua" w:cs="宋体"/>
          <w:i/>
          <w:iCs/>
          <w:sz w:val="24"/>
          <w:szCs w:val="24"/>
        </w:rPr>
        <w:t>Pol Merkur Lekarski</w:t>
      </w:r>
      <w:r w:rsidRPr="00272666">
        <w:rPr>
          <w:rFonts w:ascii="Book Antiqua" w:hAnsi="Book Antiqua" w:cs="宋体"/>
          <w:sz w:val="24"/>
          <w:szCs w:val="24"/>
        </w:rPr>
        <w:t> 2002; </w:t>
      </w:r>
      <w:r w:rsidRPr="00272666">
        <w:rPr>
          <w:rFonts w:ascii="Book Antiqua" w:hAnsi="Book Antiqua" w:cs="宋体"/>
          <w:b/>
          <w:bCs/>
          <w:sz w:val="24"/>
          <w:szCs w:val="24"/>
        </w:rPr>
        <w:t>13</w:t>
      </w:r>
      <w:r w:rsidRPr="00272666">
        <w:rPr>
          <w:rFonts w:ascii="Book Antiqua" w:hAnsi="Book Antiqua" w:cs="宋体"/>
          <w:sz w:val="24"/>
          <w:szCs w:val="24"/>
        </w:rPr>
        <w:t>: 103-106 [PMID: 12420337]</w:t>
      </w:r>
    </w:p>
    <w:p w:rsidR="003E7779" w:rsidRPr="00272666" w:rsidRDefault="003E7779" w:rsidP="00C16B6C">
      <w:pPr>
        <w:spacing w:line="360" w:lineRule="auto"/>
        <w:jc w:val="both"/>
        <w:rPr>
          <w:rFonts w:ascii="Book Antiqua" w:hAnsi="Book Antiqua" w:cs="宋体"/>
          <w:sz w:val="24"/>
          <w:szCs w:val="24"/>
        </w:rPr>
      </w:pPr>
      <w:r w:rsidRPr="00272666">
        <w:rPr>
          <w:rFonts w:ascii="Book Antiqua" w:hAnsi="Book Antiqua" w:cs="宋体"/>
          <w:sz w:val="24"/>
          <w:szCs w:val="24"/>
        </w:rPr>
        <w:t>27 </w:t>
      </w:r>
      <w:r w:rsidRPr="00272666">
        <w:rPr>
          <w:rFonts w:ascii="Book Antiqua" w:hAnsi="Book Antiqua" w:cs="宋体"/>
          <w:b/>
          <w:bCs/>
          <w:sz w:val="24"/>
          <w:szCs w:val="24"/>
        </w:rPr>
        <w:t>AIRD I</w:t>
      </w:r>
      <w:r w:rsidRPr="00272666">
        <w:rPr>
          <w:rFonts w:ascii="Book Antiqua" w:hAnsi="Book Antiqua" w:cs="宋体"/>
          <w:sz w:val="24"/>
          <w:szCs w:val="24"/>
        </w:rPr>
        <w:t>, BENTALL HH, ROBERTS JA. A relationship between cancer of stomach and the ABO blood groups. </w:t>
      </w:r>
      <w:r w:rsidRPr="00272666">
        <w:rPr>
          <w:rFonts w:ascii="Book Antiqua" w:hAnsi="Book Antiqua" w:cs="宋体"/>
          <w:i/>
          <w:iCs/>
          <w:sz w:val="24"/>
          <w:szCs w:val="24"/>
        </w:rPr>
        <w:t>Br Med J</w:t>
      </w:r>
      <w:r w:rsidRPr="00272666">
        <w:rPr>
          <w:rFonts w:ascii="Book Antiqua" w:hAnsi="Book Antiqua" w:cs="宋体"/>
          <w:sz w:val="24"/>
          <w:szCs w:val="24"/>
        </w:rPr>
        <w:t> 1953; </w:t>
      </w:r>
      <w:r w:rsidRPr="00272666">
        <w:rPr>
          <w:rFonts w:ascii="Book Antiqua" w:hAnsi="Book Antiqua" w:cs="宋体"/>
          <w:b/>
          <w:bCs/>
          <w:sz w:val="24"/>
          <w:szCs w:val="24"/>
        </w:rPr>
        <w:t>1</w:t>
      </w:r>
      <w:r w:rsidRPr="00272666">
        <w:rPr>
          <w:rFonts w:ascii="Book Antiqua" w:hAnsi="Book Antiqua" w:cs="宋体"/>
          <w:sz w:val="24"/>
          <w:szCs w:val="24"/>
        </w:rPr>
        <w:t>: 799-801 [PMID: 13032504]</w:t>
      </w:r>
    </w:p>
    <w:p w:rsidR="003E7779" w:rsidRPr="00272666" w:rsidRDefault="003E7779" w:rsidP="00C16B6C">
      <w:pPr>
        <w:spacing w:line="360" w:lineRule="auto"/>
        <w:jc w:val="both"/>
        <w:rPr>
          <w:rFonts w:ascii="Book Antiqua" w:hAnsi="Book Antiqua" w:cs="宋体"/>
          <w:sz w:val="24"/>
          <w:szCs w:val="24"/>
        </w:rPr>
      </w:pPr>
      <w:r w:rsidRPr="00272666">
        <w:rPr>
          <w:rFonts w:ascii="Book Antiqua" w:hAnsi="Book Antiqua" w:cs="宋体"/>
          <w:sz w:val="24"/>
          <w:szCs w:val="24"/>
        </w:rPr>
        <w:t>28 </w:t>
      </w:r>
      <w:r w:rsidRPr="00272666">
        <w:rPr>
          <w:rFonts w:ascii="Book Antiqua" w:hAnsi="Book Antiqua" w:cs="宋体"/>
          <w:b/>
          <w:bCs/>
          <w:sz w:val="24"/>
          <w:szCs w:val="24"/>
        </w:rPr>
        <w:t>Edgren G</w:t>
      </w:r>
      <w:r w:rsidRPr="00272666">
        <w:rPr>
          <w:rFonts w:ascii="Book Antiqua" w:hAnsi="Book Antiqua" w:cs="宋体"/>
          <w:sz w:val="24"/>
          <w:szCs w:val="24"/>
        </w:rPr>
        <w:t>, Hjalgrim H, Rostgaard K, Norda R, Wikman A, Melbye M, Nyrén O. Risk of gastric cancer and peptic ulcers in relation to ABO blood type: a cohort study. </w:t>
      </w:r>
      <w:r w:rsidRPr="00272666">
        <w:rPr>
          <w:rFonts w:ascii="Book Antiqua" w:hAnsi="Book Antiqua" w:cs="宋体"/>
          <w:i/>
          <w:iCs/>
          <w:sz w:val="24"/>
          <w:szCs w:val="24"/>
        </w:rPr>
        <w:t>Am J Epidemiol</w:t>
      </w:r>
      <w:r w:rsidRPr="00272666">
        <w:rPr>
          <w:rFonts w:ascii="Book Antiqua" w:hAnsi="Book Antiqua" w:cs="宋体"/>
          <w:sz w:val="24"/>
          <w:szCs w:val="24"/>
        </w:rPr>
        <w:t> 2010; </w:t>
      </w:r>
      <w:r w:rsidRPr="00272666">
        <w:rPr>
          <w:rFonts w:ascii="Book Antiqua" w:hAnsi="Book Antiqua" w:cs="宋体"/>
          <w:b/>
          <w:bCs/>
          <w:sz w:val="24"/>
          <w:szCs w:val="24"/>
        </w:rPr>
        <w:t>172</w:t>
      </w:r>
      <w:r w:rsidRPr="00272666">
        <w:rPr>
          <w:rFonts w:ascii="Book Antiqua" w:hAnsi="Book Antiqua" w:cs="宋体"/>
          <w:sz w:val="24"/>
          <w:szCs w:val="24"/>
        </w:rPr>
        <w:t>: 1280-1285 [PMID: 20937632 DOI: 10.1093/aje/kwq299]</w:t>
      </w:r>
    </w:p>
    <w:p w:rsidR="003E7779" w:rsidRPr="00272666" w:rsidRDefault="003E7779" w:rsidP="00C16B6C">
      <w:pPr>
        <w:spacing w:line="360" w:lineRule="auto"/>
        <w:jc w:val="both"/>
        <w:rPr>
          <w:rFonts w:ascii="Book Antiqua" w:hAnsi="Book Antiqua" w:cs="宋体"/>
          <w:sz w:val="24"/>
          <w:szCs w:val="24"/>
        </w:rPr>
      </w:pPr>
      <w:r w:rsidRPr="00272666">
        <w:rPr>
          <w:rFonts w:ascii="Book Antiqua" w:hAnsi="Book Antiqua" w:cs="宋体"/>
          <w:sz w:val="24"/>
          <w:szCs w:val="24"/>
        </w:rPr>
        <w:t>29 </w:t>
      </w:r>
      <w:r w:rsidRPr="00272666">
        <w:rPr>
          <w:rFonts w:ascii="Book Antiqua" w:hAnsi="Book Antiqua" w:cs="宋体"/>
          <w:b/>
          <w:bCs/>
          <w:sz w:val="24"/>
          <w:szCs w:val="24"/>
        </w:rPr>
        <w:t>Gong Y</w:t>
      </w:r>
      <w:r w:rsidRPr="00272666">
        <w:rPr>
          <w:rFonts w:ascii="Book Antiqua" w:hAnsi="Book Antiqua" w:cs="宋体"/>
          <w:sz w:val="24"/>
          <w:szCs w:val="24"/>
        </w:rPr>
        <w:t>, Yang YS, Zhang XM, Su M, Wang J, Han JD, Guo MZ. ABO blood type, diabetes and risk of gastrointestinal cancer in northern China. </w:t>
      </w:r>
      <w:r w:rsidRPr="00272666">
        <w:rPr>
          <w:rFonts w:ascii="Book Antiqua" w:hAnsi="Book Antiqua" w:cs="宋体"/>
          <w:i/>
          <w:iCs/>
          <w:sz w:val="24"/>
          <w:szCs w:val="24"/>
        </w:rPr>
        <w:t>World J Gastroenterol</w:t>
      </w:r>
      <w:r w:rsidRPr="00272666">
        <w:rPr>
          <w:rFonts w:ascii="Book Antiqua" w:hAnsi="Book Antiqua" w:cs="宋体"/>
          <w:sz w:val="24"/>
          <w:szCs w:val="24"/>
        </w:rPr>
        <w:t> 2012; </w:t>
      </w:r>
      <w:r w:rsidRPr="00272666">
        <w:rPr>
          <w:rFonts w:ascii="Book Antiqua" w:hAnsi="Book Antiqua" w:cs="宋体"/>
          <w:b/>
          <w:bCs/>
          <w:sz w:val="24"/>
          <w:szCs w:val="24"/>
        </w:rPr>
        <w:t>18</w:t>
      </w:r>
      <w:r w:rsidRPr="00272666">
        <w:rPr>
          <w:rFonts w:ascii="Book Antiqua" w:hAnsi="Book Antiqua" w:cs="宋体"/>
          <w:sz w:val="24"/>
          <w:szCs w:val="24"/>
        </w:rPr>
        <w:t>: 563-569 [PMID: 22363124 DOI: 10.3748/wjg.v18.i6.563]</w:t>
      </w:r>
    </w:p>
    <w:p w:rsidR="003E7779" w:rsidRPr="00272666" w:rsidRDefault="003E7779" w:rsidP="00C16B6C">
      <w:pPr>
        <w:spacing w:line="360" w:lineRule="auto"/>
        <w:jc w:val="both"/>
        <w:rPr>
          <w:rFonts w:ascii="Book Antiqua" w:hAnsi="Book Antiqua" w:cs="宋体"/>
          <w:sz w:val="24"/>
          <w:szCs w:val="24"/>
        </w:rPr>
      </w:pPr>
      <w:r w:rsidRPr="00272666">
        <w:rPr>
          <w:rFonts w:ascii="Book Antiqua" w:hAnsi="Book Antiqua" w:cs="宋体"/>
          <w:sz w:val="24"/>
          <w:szCs w:val="24"/>
        </w:rPr>
        <w:lastRenderedPageBreak/>
        <w:t>30 </w:t>
      </w:r>
      <w:r w:rsidRPr="00272666">
        <w:rPr>
          <w:rFonts w:ascii="Book Antiqua" w:hAnsi="Book Antiqua" w:cs="宋体"/>
          <w:b/>
          <w:bCs/>
          <w:sz w:val="24"/>
          <w:szCs w:val="24"/>
        </w:rPr>
        <w:t>Wang Z</w:t>
      </w:r>
      <w:r w:rsidRPr="00272666">
        <w:rPr>
          <w:rFonts w:ascii="Book Antiqua" w:hAnsi="Book Antiqua" w:cs="宋体"/>
          <w:sz w:val="24"/>
          <w:szCs w:val="24"/>
        </w:rPr>
        <w:t>, Liu L, Ji J, Zhang J, Yan M, Zhang J, Liu B, Zhu Z, Yu Y. ABO Blood Group System and Gastric Cancer: A Case-Control Study and Meta-Analysis. </w:t>
      </w:r>
      <w:r w:rsidRPr="00272666">
        <w:rPr>
          <w:rFonts w:ascii="Book Antiqua" w:hAnsi="Book Antiqua" w:cs="宋体"/>
          <w:i/>
          <w:iCs/>
          <w:sz w:val="24"/>
          <w:szCs w:val="24"/>
        </w:rPr>
        <w:t>Int J Mol Sci</w:t>
      </w:r>
      <w:r w:rsidRPr="00272666">
        <w:rPr>
          <w:rFonts w:ascii="Book Antiqua" w:hAnsi="Book Antiqua" w:cs="宋体"/>
          <w:sz w:val="24"/>
          <w:szCs w:val="24"/>
        </w:rPr>
        <w:t> 2012; </w:t>
      </w:r>
      <w:r w:rsidRPr="00272666">
        <w:rPr>
          <w:rFonts w:ascii="Book Antiqua" w:hAnsi="Book Antiqua" w:cs="宋体"/>
          <w:b/>
          <w:bCs/>
          <w:sz w:val="24"/>
          <w:szCs w:val="24"/>
        </w:rPr>
        <w:t>13</w:t>
      </w:r>
      <w:r w:rsidRPr="00272666">
        <w:rPr>
          <w:rFonts w:ascii="Book Antiqua" w:hAnsi="Book Antiqua" w:cs="宋体"/>
          <w:sz w:val="24"/>
          <w:szCs w:val="24"/>
        </w:rPr>
        <w:t>: 13308-13321 [PMID: 23202954 DOI: 10.3390/ijms131013308]</w:t>
      </w:r>
    </w:p>
    <w:p w:rsidR="003E7779" w:rsidRPr="00272666" w:rsidRDefault="003E7779" w:rsidP="00C16B6C">
      <w:pPr>
        <w:spacing w:line="360" w:lineRule="auto"/>
        <w:jc w:val="both"/>
        <w:rPr>
          <w:rFonts w:ascii="Book Antiqua" w:hAnsi="Book Antiqua" w:cs="宋体"/>
          <w:sz w:val="24"/>
          <w:szCs w:val="24"/>
        </w:rPr>
      </w:pPr>
      <w:r w:rsidRPr="00272666">
        <w:rPr>
          <w:rFonts w:ascii="Book Antiqua" w:hAnsi="Book Antiqua" w:cs="宋体"/>
          <w:sz w:val="24"/>
          <w:szCs w:val="24"/>
        </w:rPr>
        <w:t>31 </w:t>
      </w:r>
      <w:r w:rsidRPr="00272666">
        <w:rPr>
          <w:rFonts w:ascii="Book Antiqua" w:hAnsi="Book Antiqua" w:cs="宋体"/>
          <w:b/>
          <w:bCs/>
          <w:sz w:val="24"/>
          <w:szCs w:val="24"/>
        </w:rPr>
        <w:t>Wolpin BM</w:t>
      </w:r>
      <w:r w:rsidRPr="00272666">
        <w:rPr>
          <w:rFonts w:ascii="Book Antiqua" w:hAnsi="Book Antiqua" w:cs="宋体"/>
          <w:sz w:val="24"/>
          <w:szCs w:val="24"/>
        </w:rPr>
        <w:t>, Chan AT, Hartge P, Chanock SJ, Kraft P, Hunter DJ, Giovannucci EL, Fuchs CS. ABO blood group and the risk of pancreatic cancer. </w:t>
      </w:r>
      <w:r w:rsidRPr="00272666">
        <w:rPr>
          <w:rFonts w:ascii="Book Antiqua" w:hAnsi="Book Antiqua" w:cs="宋体"/>
          <w:i/>
          <w:iCs/>
          <w:sz w:val="24"/>
          <w:szCs w:val="24"/>
        </w:rPr>
        <w:t>J Natl Cancer Inst</w:t>
      </w:r>
      <w:r w:rsidRPr="00272666">
        <w:rPr>
          <w:rFonts w:ascii="Book Antiqua" w:hAnsi="Book Antiqua" w:cs="宋体"/>
          <w:sz w:val="24"/>
          <w:szCs w:val="24"/>
        </w:rPr>
        <w:t> 2009; </w:t>
      </w:r>
      <w:r w:rsidRPr="00272666">
        <w:rPr>
          <w:rFonts w:ascii="Book Antiqua" w:hAnsi="Book Antiqua" w:cs="宋体"/>
          <w:b/>
          <w:bCs/>
          <w:sz w:val="24"/>
          <w:szCs w:val="24"/>
        </w:rPr>
        <w:t>101</w:t>
      </w:r>
      <w:r w:rsidRPr="00272666">
        <w:rPr>
          <w:rFonts w:ascii="Book Antiqua" w:hAnsi="Book Antiqua" w:cs="宋体"/>
          <w:sz w:val="24"/>
          <w:szCs w:val="24"/>
        </w:rPr>
        <w:t>: 424-431 [PMID: 19276450 DOI: 10.1093/jnci/djp020]</w:t>
      </w:r>
    </w:p>
    <w:p w:rsidR="003E7779" w:rsidRPr="00272666" w:rsidRDefault="003E7779" w:rsidP="00C16B6C">
      <w:pPr>
        <w:spacing w:line="360" w:lineRule="auto"/>
        <w:jc w:val="both"/>
        <w:rPr>
          <w:rFonts w:ascii="Book Antiqua" w:hAnsi="Book Antiqua" w:cs="宋体"/>
          <w:sz w:val="24"/>
          <w:szCs w:val="24"/>
        </w:rPr>
      </w:pPr>
      <w:r w:rsidRPr="00272666">
        <w:rPr>
          <w:rFonts w:ascii="Book Antiqua" w:hAnsi="Book Antiqua" w:cs="宋体"/>
          <w:sz w:val="24"/>
          <w:szCs w:val="24"/>
        </w:rPr>
        <w:t>32 </w:t>
      </w:r>
      <w:r w:rsidRPr="00272666">
        <w:rPr>
          <w:rFonts w:ascii="Book Antiqua" w:hAnsi="Book Antiqua" w:cs="宋体"/>
          <w:b/>
          <w:bCs/>
          <w:sz w:val="24"/>
          <w:szCs w:val="24"/>
        </w:rPr>
        <w:t>Stamatakos M</w:t>
      </w:r>
      <w:r w:rsidRPr="00272666">
        <w:rPr>
          <w:rFonts w:ascii="Book Antiqua" w:hAnsi="Book Antiqua" w:cs="宋体"/>
          <w:sz w:val="24"/>
          <w:szCs w:val="24"/>
        </w:rPr>
        <w:t>, Kontzoglou K, Safioleas P, Safioleas C, Manti C, Safioleas M. Breast cancer incidence in Greek women in relation to ABO blood groups and Rh factor. </w:t>
      </w:r>
      <w:r w:rsidRPr="00272666">
        <w:rPr>
          <w:rFonts w:ascii="Book Antiqua" w:hAnsi="Book Antiqua" w:cs="宋体"/>
          <w:i/>
          <w:iCs/>
          <w:sz w:val="24"/>
          <w:szCs w:val="24"/>
        </w:rPr>
        <w:t>Int Semin Surg Oncol</w:t>
      </w:r>
      <w:r w:rsidRPr="00272666">
        <w:rPr>
          <w:rFonts w:ascii="Book Antiqua" w:hAnsi="Book Antiqua" w:cs="宋体"/>
          <w:sz w:val="24"/>
          <w:szCs w:val="24"/>
        </w:rPr>
        <w:t> 2009; </w:t>
      </w:r>
      <w:r w:rsidRPr="00272666">
        <w:rPr>
          <w:rFonts w:ascii="Book Antiqua" w:hAnsi="Book Antiqua" w:cs="宋体"/>
          <w:b/>
          <w:bCs/>
          <w:sz w:val="24"/>
          <w:szCs w:val="24"/>
        </w:rPr>
        <w:t>6</w:t>
      </w:r>
      <w:r w:rsidRPr="00272666">
        <w:rPr>
          <w:rFonts w:ascii="Book Antiqua" w:hAnsi="Book Antiqua" w:cs="宋体"/>
          <w:sz w:val="24"/>
          <w:szCs w:val="24"/>
        </w:rPr>
        <w:t>: 14 [PMID: 19689811 DOI: 10.1186/1447-7800-6]</w:t>
      </w:r>
    </w:p>
    <w:p w:rsidR="003E7779" w:rsidRPr="00272666" w:rsidRDefault="003E7779" w:rsidP="00C16B6C">
      <w:pPr>
        <w:spacing w:line="360" w:lineRule="auto"/>
        <w:jc w:val="both"/>
        <w:rPr>
          <w:rFonts w:ascii="Book Antiqua" w:hAnsi="Book Antiqua"/>
        </w:rPr>
      </w:pPr>
    </w:p>
    <w:p w:rsidR="003E7779" w:rsidRPr="00CE4867" w:rsidRDefault="003E7779" w:rsidP="007463CC">
      <w:pPr>
        <w:spacing w:line="360" w:lineRule="auto"/>
        <w:jc w:val="right"/>
        <w:rPr>
          <w:rFonts w:ascii="Book Antiqua" w:hAnsi="Book Antiqua"/>
          <w:b/>
          <w:bCs/>
          <w:color w:val="000000"/>
          <w:sz w:val="24"/>
        </w:rPr>
      </w:pPr>
      <w:bookmarkStart w:id="22" w:name="OLE_LINK11"/>
      <w:bookmarkStart w:id="23" w:name="OLE_LINK12"/>
      <w:bookmarkStart w:id="24" w:name="OLE_LINK36"/>
      <w:bookmarkStart w:id="25" w:name="OLE_LINK37"/>
      <w:bookmarkStart w:id="26" w:name="OLE_LINK20"/>
      <w:bookmarkStart w:id="27" w:name="OLE_LINK80"/>
      <w:bookmarkStart w:id="28" w:name="OLE_LINK85"/>
      <w:bookmarkStart w:id="29" w:name="OLE_LINK194"/>
      <w:bookmarkStart w:id="30" w:name="OLE_LINK118"/>
      <w:bookmarkStart w:id="31" w:name="OLE_LINK159"/>
      <w:r w:rsidRPr="00CE4867">
        <w:rPr>
          <w:rStyle w:val="af4"/>
          <w:rFonts w:ascii="Book Antiqua" w:hAnsi="Book Antiqua"/>
          <w:bCs/>
          <w:noProof/>
          <w:color w:val="000000"/>
          <w:sz w:val="24"/>
          <w:szCs w:val="24"/>
        </w:rPr>
        <w:t>P-Reviewer</w:t>
      </w:r>
      <w:bookmarkEnd w:id="22"/>
      <w:bookmarkEnd w:id="23"/>
      <w:r>
        <w:rPr>
          <w:rStyle w:val="af4"/>
          <w:rFonts w:ascii="Book Antiqua" w:hAnsi="Book Antiqua"/>
          <w:bCs/>
          <w:noProof/>
          <w:color w:val="000000"/>
          <w:sz w:val="24"/>
          <w:szCs w:val="24"/>
          <w:lang w:eastAsia="zh-CN"/>
        </w:rPr>
        <w:t>s</w:t>
      </w:r>
      <w:r>
        <w:rPr>
          <w:rStyle w:val="af4"/>
          <w:rFonts w:ascii="Book Antiqua" w:hAnsi="Book Antiqua"/>
          <w:bCs/>
          <w:noProof/>
          <w:color w:val="000000"/>
          <w:sz w:val="24"/>
          <w:szCs w:val="24"/>
        </w:rPr>
        <w:t>:</w:t>
      </w:r>
      <w:r w:rsidRPr="00CE4867">
        <w:rPr>
          <w:rFonts w:ascii="Book Antiqua" w:hAnsi="Book Antiqua"/>
          <w:b/>
          <w:bCs/>
          <w:color w:val="000000"/>
          <w:sz w:val="24"/>
        </w:rPr>
        <w:t xml:space="preserve"> </w:t>
      </w:r>
      <w:r w:rsidRPr="00B917FE">
        <w:rPr>
          <w:rFonts w:ascii="Book Antiqua" w:hAnsi="Book Antiqua"/>
          <w:bCs/>
          <w:color w:val="000000"/>
          <w:sz w:val="24"/>
        </w:rPr>
        <w:t>Ao R</w:t>
      </w:r>
      <w:r w:rsidRPr="00B917FE">
        <w:rPr>
          <w:rFonts w:ascii="Book Antiqua" w:hAnsi="Book Antiqua"/>
          <w:bCs/>
          <w:color w:val="000000"/>
          <w:sz w:val="24"/>
          <w:lang w:eastAsia="zh-CN"/>
        </w:rPr>
        <w:t xml:space="preserve">, </w:t>
      </w:r>
      <w:r w:rsidRPr="00B917FE">
        <w:rPr>
          <w:rFonts w:ascii="Book Antiqua" w:hAnsi="Book Antiqua"/>
          <w:bCs/>
          <w:color w:val="000000"/>
          <w:sz w:val="24"/>
        </w:rPr>
        <w:t>Shinoto M</w:t>
      </w:r>
      <w:r w:rsidRPr="00B917FE">
        <w:rPr>
          <w:rFonts w:ascii="Book Antiqua" w:hAnsi="Book Antiqua"/>
          <w:bCs/>
          <w:color w:val="000000"/>
          <w:sz w:val="24"/>
          <w:lang w:eastAsia="zh-CN"/>
        </w:rPr>
        <w:t xml:space="preserve">, Singh SR, </w:t>
      </w:r>
      <w:r w:rsidRPr="00B917FE">
        <w:rPr>
          <w:rFonts w:ascii="Book Antiqua" w:hAnsi="Book Antiqua"/>
          <w:bCs/>
          <w:color w:val="000000"/>
          <w:sz w:val="24"/>
        </w:rPr>
        <w:t>Yadav</w:t>
      </w:r>
      <w:r w:rsidRPr="00B917FE">
        <w:rPr>
          <w:rFonts w:ascii="Book Antiqua" w:hAnsi="Book Antiqua"/>
          <w:bCs/>
          <w:color w:val="000000"/>
          <w:sz w:val="24"/>
          <w:lang w:eastAsia="zh-CN"/>
        </w:rPr>
        <w:t xml:space="preserve"> BS, Zhang</w:t>
      </w:r>
      <w:r w:rsidRPr="00B917FE">
        <w:rPr>
          <w:rFonts w:ascii="Book Antiqua" w:hAnsi="Book Antiqua"/>
          <w:bCs/>
          <w:color w:val="000000"/>
          <w:sz w:val="24"/>
        </w:rPr>
        <w:t xml:space="preserve"> </w:t>
      </w:r>
      <w:r w:rsidRPr="00B917FE">
        <w:rPr>
          <w:rFonts w:ascii="Book Antiqua" w:hAnsi="Book Antiqua"/>
          <w:bCs/>
          <w:color w:val="000000"/>
          <w:sz w:val="24"/>
          <w:lang w:eastAsia="zh-CN"/>
        </w:rPr>
        <w:t>KH</w:t>
      </w:r>
      <w:r w:rsidRPr="00B917FE">
        <w:rPr>
          <w:rFonts w:ascii="Book Antiqua" w:hAnsi="Book Antiqua"/>
          <w:bCs/>
          <w:color w:val="000000"/>
          <w:sz w:val="24"/>
        </w:rPr>
        <w:t xml:space="preserve"> </w:t>
      </w:r>
      <w:r w:rsidRPr="00CE4867">
        <w:rPr>
          <w:rFonts w:ascii="Book Antiqua" w:hAnsi="Book Antiqua"/>
          <w:b/>
          <w:bCs/>
          <w:color w:val="000000"/>
          <w:sz w:val="24"/>
        </w:rPr>
        <w:t xml:space="preserve">       S-Editor</w:t>
      </w:r>
      <w:r>
        <w:rPr>
          <w:rFonts w:ascii="Book Antiqua" w:hAnsi="Book Antiqu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b/>
          <w:bCs/>
          <w:color w:val="000000"/>
          <w:sz w:val="24"/>
        </w:rPr>
        <w:t>:</w:t>
      </w:r>
    </w:p>
    <w:bookmarkEnd w:id="24"/>
    <w:bookmarkEnd w:id="25"/>
    <w:bookmarkEnd w:id="26"/>
    <w:bookmarkEnd w:id="27"/>
    <w:bookmarkEnd w:id="28"/>
    <w:bookmarkEnd w:id="29"/>
    <w:bookmarkEnd w:id="30"/>
    <w:bookmarkEnd w:id="31"/>
    <w:p w:rsidR="003E7779" w:rsidRPr="00AD7699" w:rsidRDefault="003E7779" w:rsidP="004517BA">
      <w:pPr>
        <w:spacing w:line="360" w:lineRule="auto"/>
        <w:jc w:val="both"/>
        <w:rPr>
          <w:rFonts w:ascii="Book Antiqua" w:hAnsi="Book Antiqua"/>
          <w:b/>
          <w:sz w:val="24"/>
          <w:szCs w:val="24"/>
          <w:lang w:eastAsia="zh-CN"/>
        </w:rPr>
      </w:pPr>
    </w:p>
    <w:p w:rsidR="003E7779" w:rsidRDefault="003E7779" w:rsidP="004517BA">
      <w:pPr>
        <w:spacing w:line="360" w:lineRule="auto"/>
        <w:jc w:val="both"/>
        <w:rPr>
          <w:rFonts w:ascii="Book Antiqua" w:hAnsi="Book Antiqua"/>
          <w:b/>
          <w:sz w:val="24"/>
          <w:szCs w:val="24"/>
          <w:lang w:eastAsia="zh-CN"/>
        </w:rPr>
      </w:pPr>
    </w:p>
    <w:p w:rsidR="003E7779" w:rsidRPr="00572DEC" w:rsidRDefault="003E7779" w:rsidP="004517BA">
      <w:pPr>
        <w:spacing w:line="360" w:lineRule="auto"/>
        <w:jc w:val="both"/>
        <w:rPr>
          <w:rFonts w:ascii="Book Antiqua" w:hAnsi="Book Antiqua"/>
          <w:b/>
          <w:sz w:val="24"/>
          <w:szCs w:val="24"/>
        </w:rPr>
      </w:pPr>
      <w:r w:rsidRPr="00572DEC">
        <w:rPr>
          <w:rFonts w:ascii="Book Antiqua" w:hAnsi="Book Antiqua"/>
          <w:b/>
          <w:sz w:val="24"/>
          <w:szCs w:val="24"/>
        </w:rPr>
        <w:br w:type="page"/>
      </w:r>
    </w:p>
    <w:p w:rsidR="003E7779" w:rsidRPr="00572DEC" w:rsidRDefault="003E7779" w:rsidP="007F1176">
      <w:pPr>
        <w:spacing w:line="360" w:lineRule="auto"/>
        <w:jc w:val="both"/>
        <w:rPr>
          <w:rFonts w:ascii="Book Antiqua" w:hAnsi="Book Antiqua" w:cs="Book Antiqua"/>
          <w:sz w:val="24"/>
          <w:szCs w:val="24"/>
        </w:rPr>
      </w:pPr>
    </w:p>
    <w:p w:rsidR="003E7779" w:rsidRPr="00572DEC" w:rsidRDefault="00ED1372" w:rsidP="007F1176">
      <w:pPr>
        <w:spacing w:line="360" w:lineRule="auto"/>
        <w:jc w:val="both"/>
        <w:rPr>
          <w:rFonts w:ascii="Book Antiqua" w:hAnsi="Book Antiqua" w:cs="Book Antiqua"/>
          <w:sz w:val="24"/>
          <w:szCs w:val="24"/>
        </w:rPr>
      </w:pPr>
      <w:r>
        <w:rPr>
          <w:rFonts w:ascii="Book Antiqua" w:hAnsi="Book Antiqua" w:cs="Book Antiqua"/>
          <w:noProof/>
          <w:sz w:val="24"/>
          <w:szCs w:val="24"/>
          <w:lang w:eastAsia="zh-CN"/>
        </w:rPr>
        <w:drawing>
          <wp:inline distT="0" distB="0" distL="0" distR="0">
            <wp:extent cx="5596890" cy="3941445"/>
            <wp:effectExtent l="0" t="0" r="22860" b="20955"/>
            <wp:docPr id="1"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E7779" w:rsidRDefault="003E7779" w:rsidP="007F1176">
      <w:pPr>
        <w:spacing w:line="360" w:lineRule="auto"/>
        <w:jc w:val="both"/>
        <w:rPr>
          <w:rFonts w:ascii="Book Antiqua" w:hAnsi="Book Antiqua" w:cs="Book Antiqua"/>
          <w:sz w:val="24"/>
          <w:szCs w:val="24"/>
          <w:lang w:eastAsia="zh-CN"/>
        </w:rPr>
      </w:pPr>
      <w:r>
        <w:rPr>
          <w:rFonts w:ascii="Book Antiqua" w:hAnsi="Book Antiqua" w:cs="Book Antiqua"/>
          <w:sz w:val="24"/>
          <w:szCs w:val="24"/>
          <w:lang w:eastAsia="zh-CN"/>
        </w:rPr>
        <w:t>A</w:t>
      </w:r>
    </w:p>
    <w:p w:rsidR="003E7779" w:rsidRPr="003D3A33" w:rsidRDefault="00ED1372" w:rsidP="007F1176">
      <w:pPr>
        <w:spacing w:line="360" w:lineRule="auto"/>
        <w:jc w:val="both"/>
        <w:rPr>
          <w:rFonts w:ascii="Book Antiqua" w:hAnsi="Book Antiqua" w:cs="Book Antiqua"/>
          <w:b/>
          <w:sz w:val="24"/>
          <w:szCs w:val="24"/>
          <w:lang w:eastAsia="zh-CN"/>
        </w:rPr>
      </w:pPr>
      <w:r>
        <w:rPr>
          <w:rFonts w:ascii="Book Antiqua" w:hAnsi="Book Antiqua" w:cs="Book Antiqua"/>
          <w:noProof/>
          <w:sz w:val="24"/>
          <w:szCs w:val="24"/>
          <w:lang w:eastAsia="zh-CN"/>
        </w:rPr>
        <w:drawing>
          <wp:inline distT="0" distB="0" distL="0" distR="0">
            <wp:extent cx="5177790" cy="3116580"/>
            <wp:effectExtent l="0" t="0" r="22860" b="26670"/>
            <wp:docPr id="2" name="Wykres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E7779" w:rsidRDefault="003E7779" w:rsidP="007F1176">
      <w:pPr>
        <w:spacing w:line="360" w:lineRule="auto"/>
        <w:jc w:val="both"/>
        <w:rPr>
          <w:rFonts w:ascii="Book Antiqua" w:hAnsi="Book Antiqua" w:cs="Book Antiqua"/>
          <w:sz w:val="24"/>
          <w:szCs w:val="24"/>
          <w:lang w:eastAsia="zh-CN"/>
        </w:rPr>
      </w:pPr>
    </w:p>
    <w:p w:rsidR="003E7779" w:rsidRPr="00572DEC" w:rsidRDefault="003E7779" w:rsidP="007F1176">
      <w:pPr>
        <w:spacing w:line="360" w:lineRule="auto"/>
        <w:jc w:val="both"/>
        <w:rPr>
          <w:rFonts w:ascii="Book Antiqua" w:hAnsi="Book Antiqua" w:cs="Book Antiqua"/>
          <w:sz w:val="24"/>
          <w:szCs w:val="24"/>
          <w:lang w:eastAsia="zh-CN"/>
        </w:rPr>
      </w:pPr>
      <w:r>
        <w:rPr>
          <w:rFonts w:ascii="Book Antiqua" w:hAnsi="Book Antiqua" w:cs="Book Antiqua"/>
          <w:sz w:val="24"/>
          <w:szCs w:val="24"/>
          <w:lang w:eastAsia="zh-CN"/>
        </w:rPr>
        <w:t>B</w:t>
      </w:r>
    </w:p>
    <w:p w:rsidR="003E7779" w:rsidRPr="00572DEC" w:rsidRDefault="003E7779" w:rsidP="007F1176">
      <w:pPr>
        <w:spacing w:line="360" w:lineRule="auto"/>
        <w:jc w:val="both"/>
        <w:rPr>
          <w:rFonts w:ascii="Book Antiqua" w:hAnsi="Book Antiqua"/>
          <w:sz w:val="24"/>
          <w:szCs w:val="24"/>
          <w:lang w:eastAsia="zh-CN"/>
        </w:rPr>
      </w:pPr>
      <w:r w:rsidRPr="001370B5">
        <w:rPr>
          <w:rFonts w:ascii="Book Antiqua" w:hAnsi="Book Antiqua" w:cs="Book Antiqua"/>
          <w:b/>
          <w:bCs/>
          <w:sz w:val="24"/>
          <w:szCs w:val="24"/>
        </w:rPr>
        <w:lastRenderedPageBreak/>
        <w:t>Figure 1</w:t>
      </w:r>
      <w:r w:rsidRPr="001370B5">
        <w:rPr>
          <w:rFonts w:ascii="Book Antiqua" w:hAnsi="Book Antiqua" w:cs="Book Antiqua"/>
          <w:b/>
          <w:sz w:val="24"/>
          <w:szCs w:val="24"/>
        </w:rPr>
        <w:t xml:space="preserve"> Mean ages </w:t>
      </w:r>
      <w:r w:rsidRPr="001370B5">
        <w:rPr>
          <w:rFonts w:ascii="Book Antiqua" w:hAnsi="Book Antiqua" w:cs="Book Antiqua"/>
          <w:b/>
          <w:sz w:val="24"/>
          <w:szCs w:val="24"/>
          <w:lang w:eastAsia="zh-CN"/>
        </w:rPr>
        <w:t xml:space="preserve">(A) and </w:t>
      </w:r>
      <w:r w:rsidRPr="001370B5">
        <w:rPr>
          <w:rFonts w:ascii="Book Antiqua" w:hAnsi="Book Antiqua" w:cs="Book Antiqua"/>
          <w:b/>
          <w:sz w:val="24"/>
          <w:szCs w:val="24"/>
        </w:rPr>
        <w:t>blood groups</w:t>
      </w:r>
      <w:r w:rsidRPr="001370B5">
        <w:rPr>
          <w:rFonts w:ascii="Book Antiqua" w:hAnsi="Book Antiqua" w:cs="Book Antiqua"/>
          <w:b/>
          <w:sz w:val="24"/>
          <w:szCs w:val="24"/>
          <w:lang w:eastAsia="zh-CN"/>
        </w:rPr>
        <w:t xml:space="preserve"> (B)</w:t>
      </w:r>
      <w:r w:rsidRPr="001370B5">
        <w:rPr>
          <w:rFonts w:ascii="Book Antiqua" w:hAnsi="Book Antiqua" w:cs="Book Antiqua"/>
          <w:b/>
          <w:sz w:val="24"/>
          <w:szCs w:val="24"/>
        </w:rPr>
        <w:t xml:space="preserve"> </w:t>
      </w:r>
      <w:r w:rsidRPr="003D5E5A">
        <w:rPr>
          <w:rFonts w:ascii="Book Antiqua" w:hAnsi="Book Antiqua" w:cs="Book Antiqua"/>
          <w:b/>
          <w:sz w:val="24"/>
          <w:szCs w:val="24"/>
        </w:rPr>
        <w:t>of the gastric cancer patients with (</w:t>
      </w:r>
      <w:r w:rsidRPr="003D5E5A">
        <w:rPr>
          <w:rFonts w:ascii="Book Antiqua" w:hAnsi="Book Antiqua"/>
          <w:b/>
          <w:sz w:val="24"/>
          <w:szCs w:val="24"/>
        </w:rPr>
        <w:t>multiple gastric cancer</w:t>
      </w:r>
      <w:r w:rsidRPr="003D5E5A">
        <w:rPr>
          <w:rFonts w:ascii="Book Antiqua" w:hAnsi="Book Antiqua" w:cs="Book Antiqua"/>
          <w:b/>
          <w:sz w:val="24"/>
          <w:szCs w:val="24"/>
        </w:rPr>
        <w:t>) and without (gastric cancer) multiple tumors</w:t>
      </w:r>
      <w:r>
        <w:rPr>
          <w:rFonts w:ascii="Book Antiqua" w:hAnsi="Book Antiqua" w:cs="Book Antiqua"/>
          <w:b/>
          <w:sz w:val="24"/>
          <w:szCs w:val="24"/>
          <w:lang w:eastAsia="zh-CN"/>
        </w:rPr>
        <w:t xml:space="preserve">. </w:t>
      </w:r>
      <w:r w:rsidRPr="00572DEC">
        <w:rPr>
          <w:rFonts w:ascii="Book Antiqua" w:hAnsi="Book Antiqua"/>
          <w:sz w:val="24"/>
          <w:szCs w:val="24"/>
        </w:rPr>
        <w:t>GC: Gastric cancer</w:t>
      </w:r>
      <w:r>
        <w:rPr>
          <w:rFonts w:ascii="Book Antiqua" w:hAnsi="Book Antiqua"/>
          <w:sz w:val="24"/>
          <w:szCs w:val="24"/>
          <w:lang w:eastAsia="zh-CN"/>
        </w:rPr>
        <w:t>;</w:t>
      </w:r>
      <w:r w:rsidRPr="00572DEC">
        <w:rPr>
          <w:rFonts w:ascii="Book Antiqua" w:hAnsi="Book Antiqua"/>
          <w:sz w:val="24"/>
          <w:szCs w:val="24"/>
        </w:rPr>
        <w:t xml:space="preserve"> MGC: Multiple gastric cancer</w:t>
      </w:r>
      <w:r>
        <w:rPr>
          <w:rFonts w:ascii="Book Antiqua" w:hAnsi="Book Antiqua"/>
          <w:sz w:val="24"/>
          <w:szCs w:val="24"/>
          <w:lang w:eastAsia="zh-CN"/>
        </w:rPr>
        <w:t>.</w:t>
      </w:r>
    </w:p>
    <w:p w:rsidR="003E7779" w:rsidRPr="00A80D4C" w:rsidRDefault="003E7779" w:rsidP="007F1176">
      <w:pPr>
        <w:spacing w:line="360" w:lineRule="auto"/>
        <w:jc w:val="both"/>
        <w:rPr>
          <w:rFonts w:ascii="Book Antiqua" w:hAnsi="Book Antiqua" w:cs="Book Antiqua"/>
          <w:b/>
          <w:sz w:val="24"/>
          <w:szCs w:val="24"/>
          <w:lang w:eastAsia="zh-CN"/>
        </w:rPr>
      </w:pPr>
    </w:p>
    <w:p w:rsidR="003E7779" w:rsidRPr="00A80D4C" w:rsidRDefault="003E7779" w:rsidP="007F1176">
      <w:pPr>
        <w:spacing w:line="360" w:lineRule="auto"/>
        <w:jc w:val="both"/>
        <w:rPr>
          <w:rFonts w:ascii="Book Antiqua" w:hAnsi="Book Antiqua" w:cs="Book Antiqua"/>
          <w:sz w:val="24"/>
          <w:szCs w:val="24"/>
        </w:rPr>
      </w:pPr>
    </w:p>
    <w:p w:rsidR="003E7779" w:rsidRPr="00572DEC" w:rsidRDefault="003E7779" w:rsidP="007F1176">
      <w:pPr>
        <w:spacing w:line="360" w:lineRule="auto"/>
        <w:jc w:val="both"/>
        <w:rPr>
          <w:rFonts w:ascii="Book Antiqua" w:hAnsi="Book Antiqua" w:cs="Book Antiqua"/>
          <w:b/>
          <w:bCs/>
          <w:sz w:val="24"/>
          <w:szCs w:val="24"/>
        </w:rPr>
      </w:pPr>
    </w:p>
    <w:p w:rsidR="003E7779" w:rsidRPr="00572DEC" w:rsidRDefault="003E7779" w:rsidP="007F1176">
      <w:pPr>
        <w:spacing w:line="360" w:lineRule="auto"/>
        <w:jc w:val="both"/>
        <w:rPr>
          <w:rFonts w:ascii="Book Antiqua" w:hAnsi="Book Antiqua" w:cs="Book Antiqua"/>
          <w:b/>
          <w:bCs/>
          <w:sz w:val="24"/>
          <w:szCs w:val="24"/>
        </w:rPr>
      </w:pPr>
      <w:r w:rsidRPr="00572DEC">
        <w:rPr>
          <w:rFonts w:ascii="Book Antiqua" w:hAnsi="Book Antiqua" w:cs="Book Antiqua"/>
          <w:b/>
          <w:bCs/>
          <w:sz w:val="24"/>
          <w:szCs w:val="24"/>
        </w:rPr>
        <w:br w:type="page"/>
      </w:r>
    </w:p>
    <w:p w:rsidR="003E7779" w:rsidRPr="00B46BB7" w:rsidRDefault="003E7779" w:rsidP="007F1176">
      <w:pPr>
        <w:spacing w:line="360" w:lineRule="auto"/>
        <w:ind w:left="77"/>
        <w:jc w:val="both"/>
        <w:rPr>
          <w:rFonts w:ascii="Book Antiqua" w:hAnsi="Book Antiqua" w:cs="Book Antiqua"/>
          <w:sz w:val="24"/>
          <w:szCs w:val="24"/>
        </w:rPr>
      </w:pPr>
    </w:p>
    <w:p w:rsidR="003E7779" w:rsidRPr="00572DEC" w:rsidRDefault="00ED1372" w:rsidP="007F1176">
      <w:pPr>
        <w:spacing w:line="360" w:lineRule="auto"/>
        <w:ind w:left="77"/>
        <w:jc w:val="both"/>
        <w:rPr>
          <w:rFonts w:ascii="Book Antiqua" w:hAnsi="Book Antiqua" w:cs="Book Antiqua"/>
          <w:sz w:val="24"/>
          <w:szCs w:val="24"/>
        </w:rPr>
      </w:pPr>
      <w:r>
        <w:rPr>
          <w:rFonts w:ascii="Book Antiqua" w:hAnsi="Book Antiqua" w:cs="Book Antiqua"/>
          <w:noProof/>
          <w:sz w:val="24"/>
          <w:szCs w:val="24"/>
          <w:lang w:eastAsia="zh-CN"/>
        </w:rPr>
        <w:drawing>
          <wp:inline distT="0" distB="0" distL="0" distR="0">
            <wp:extent cx="5607050" cy="3957320"/>
            <wp:effectExtent l="0" t="0" r="12700" b="24130"/>
            <wp:docPr id="3" name="图片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E7779" w:rsidRPr="00517B4C" w:rsidRDefault="003E7779" w:rsidP="007F1176">
      <w:pPr>
        <w:spacing w:line="360" w:lineRule="auto"/>
        <w:ind w:left="77"/>
        <w:jc w:val="both"/>
        <w:rPr>
          <w:rFonts w:ascii="Book Antiqua" w:hAnsi="Book Antiqua" w:cs="Book Antiqua"/>
          <w:b/>
          <w:sz w:val="24"/>
          <w:szCs w:val="24"/>
        </w:rPr>
      </w:pPr>
    </w:p>
    <w:p w:rsidR="003E7779" w:rsidRPr="007463CC" w:rsidRDefault="003E7779" w:rsidP="007F1176">
      <w:pPr>
        <w:spacing w:line="360" w:lineRule="auto"/>
        <w:jc w:val="both"/>
        <w:rPr>
          <w:rFonts w:ascii="Book Antiqua" w:hAnsi="Book Antiqua" w:cs="Book Antiqua"/>
          <w:sz w:val="24"/>
          <w:szCs w:val="24"/>
          <w:lang w:eastAsia="zh-CN"/>
        </w:rPr>
      </w:pPr>
      <w:r w:rsidRPr="00517B4C">
        <w:rPr>
          <w:rFonts w:ascii="Book Antiqua" w:hAnsi="Book Antiqua" w:cs="Book Antiqua"/>
          <w:b/>
          <w:bCs/>
          <w:sz w:val="24"/>
          <w:szCs w:val="24"/>
        </w:rPr>
        <w:t xml:space="preserve">Figure </w:t>
      </w:r>
      <w:r>
        <w:rPr>
          <w:rFonts w:ascii="Book Antiqua" w:hAnsi="Book Antiqua" w:cs="Book Antiqua"/>
          <w:b/>
          <w:bCs/>
          <w:sz w:val="24"/>
          <w:szCs w:val="24"/>
          <w:lang w:eastAsia="zh-CN"/>
        </w:rPr>
        <w:t>2</w:t>
      </w:r>
      <w:r w:rsidRPr="00517B4C">
        <w:rPr>
          <w:rFonts w:ascii="Book Antiqua" w:hAnsi="Book Antiqua" w:cs="Book Antiqua"/>
          <w:b/>
          <w:sz w:val="24"/>
          <w:szCs w:val="24"/>
        </w:rPr>
        <w:t xml:space="preserve"> Mean ages of the gastric cancer patients with metachronous (M) and synchronous (S) neoplasms. </w:t>
      </w:r>
      <w:r w:rsidRPr="007463CC">
        <w:rPr>
          <w:rFonts w:ascii="Book Antiqua" w:hAnsi="Book Antiqua" w:cs="Book Antiqua"/>
          <w:sz w:val="24"/>
          <w:szCs w:val="24"/>
        </w:rPr>
        <w:t>M</w:t>
      </w:r>
      <w:r w:rsidRPr="007463CC">
        <w:rPr>
          <w:rFonts w:ascii="Book Antiqua" w:hAnsi="Book Antiqua" w:cs="Book Antiqua"/>
          <w:sz w:val="24"/>
          <w:szCs w:val="24"/>
          <w:lang w:eastAsia="zh-CN"/>
        </w:rPr>
        <w:t xml:space="preserve">: </w:t>
      </w:r>
      <w:r w:rsidRPr="007463CC">
        <w:rPr>
          <w:rFonts w:ascii="Book Antiqua" w:hAnsi="Book Antiqua" w:cs="Book Antiqua"/>
          <w:sz w:val="24"/>
          <w:szCs w:val="24"/>
        </w:rPr>
        <w:t>Metachronous</w:t>
      </w:r>
      <w:r w:rsidRPr="007463CC">
        <w:rPr>
          <w:rFonts w:ascii="Book Antiqua" w:hAnsi="Book Antiqua" w:cs="Book Antiqua"/>
          <w:sz w:val="24"/>
          <w:szCs w:val="24"/>
          <w:lang w:eastAsia="zh-CN"/>
        </w:rPr>
        <w:t xml:space="preserve">; </w:t>
      </w:r>
      <w:r w:rsidRPr="007463CC">
        <w:rPr>
          <w:rFonts w:ascii="Book Antiqua" w:hAnsi="Book Antiqua" w:cs="Book Antiqua"/>
          <w:sz w:val="24"/>
          <w:szCs w:val="24"/>
        </w:rPr>
        <w:t>S</w:t>
      </w:r>
      <w:r w:rsidRPr="007463CC">
        <w:rPr>
          <w:rFonts w:ascii="Book Antiqua" w:hAnsi="Book Antiqua" w:cs="Book Antiqua"/>
          <w:sz w:val="24"/>
          <w:szCs w:val="24"/>
          <w:lang w:eastAsia="zh-CN"/>
        </w:rPr>
        <w:t xml:space="preserve">: </w:t>
      </w:r>
      <w:r w:rsidRPr="007463CC">
        <w:rPr>
          <w:rFonts w:ascii="Book Antiqua" w:hAnsi="Book Antiqua" w:cs="Book Antiqua"/>
          <w:sz w:val="24"/>
          <w:szCs w:val="24"/>
        </w:rPr>
        <w:t>Synchronous</w:t>
      </w:r>
      <w:r w:rsidRPr="007463CC">
        <w:rPr>
          <w:rFonts w:ascii="Book Antiqua" w:hAnsi="Book Antiqua" w:cs="Book Antiqua"/>
          <w:sz w:val="24"/>
          <w:szCs w:val="24"/>
          <w:lang w:eastAsia="zh-CN"/>
        </w:rPr>
        <w:t>.</w:t>
      </w:r>
    </w:p>
    <w:p w:rsidR="003E7779" w:rsidRPr="00517B4C" w:rsidRDefault="003E7779" w:rsidP="007F1176">
      <w:pPr>
        <w:shd w:val="clear" w:color="auto" w:fill="FFFFFF"/>
        <w:spacing w:line="360" w:lineRule="auto"/>
        <w:jc w:val="both"/>
        <w:rPr>
          <w:rFonts w:ascii="Book Antiqua" w:hAnsi="Book Antiqua" w:cs="Book Antiqua"/>
          <w:b/>
          <w:sz w:val="24"/>
          <w:szCs w:val="24"/>
        </w:rPr>
      </w:pPr>
    </w:p>
    <w:p w:rsidR="003E7779" w:rsidRPr="00517B4C" w:rsidRDefault="003E7779" w:rsidP="007F1176">
      <w:pPr>
        <w:spacing w:line="360" w:lineRule="auto"/>
        <w:ind w:left="77"/>
        <w:jc w:val="both"/>
        <w:rPr>
          <w:rFonts w:ascii="Book Antiqua" w:hAnsi="Book Antiqua" w:cs="Book Antiqua"/>
          <w:sz w:val="24"/>
          <w:szCs w:val="24"/>
        </w:rPr>
      </w:pPr>
    </w:p>
    <w:p w:rsidR="003E7779" w:rsidRPr="00572DEC" w:rsidRDefault="003E7779" w:rsidP="007F1176">
      <w:pPr>
        <w:spacing w:line="360" w:lineRule="auto"/>
        <w:ind w:left="77"/>
        <w:jc w:val="both"/>
        <w:rPr>
          <w:rFonts w:ascii="Book Antiqua" w:hAnsi="Book Antiqua" w:cs="Book Antiqua"/>
          <w:sz w:val="24"/>
          <w:szCs w:val="24"/>
        </w:rPr>
      </w:pPr>
    </w:p>
    <w:p w:rsidR="003E7779" w:rsidRPr="00572DEC" w:rsidRDefault="003E7779" w:rsidP="007F1176">
      <w:pPr>
        <w:spacing w:line="360" w:lineRule="auto"/>
        <w:ind w:left="77"/>
        <w:jc w:val="both"/>
        <w:rPr>
          <w:rFonts w:ascii="Book Antiqua" w:hAnsi="Book Antiqua" w:cs="Book Antiqua"/>
          <w:sz w:val="24"/>
          <w:szCs w:val="24"/>
        </w:rPr>
      </w:pPr>
    </w:p>
    <w:p w:rsidR="003E7779" w:rsidRPr="00572DEC" w:rsidRDefault="003E7779" w:rsidP="007F1176">
      <w:pPr>
        <w:spacing w:line="360" w:lineRule="auto"/>
        <w:ind w:left="77"/>
        <w:jc w:val="both"/>
        <w:rPr>
          <w:rFonts w:ascii="Book Antiqua" w:hAnsi="Book Antiqua" w:cs="Book Antiqua"/>
          <w:sz w:val="24"/>
          <w:szCs w:val="24"/>
        </w:rPr>
      </w:pPr>
    </w:p>
    <w:p w:rsidR="003E7779" w:rsidRPr="00572DEC" w:rsidRDefault="003E7779" w:rsidP="007F1176">
      <w:pPr>
        <w:spacing w:line="360" w:lineRule="auto"/>
        <w:jc w:val="both"/>
        <w:rPr>
          <w:rFonts w:ascii="Book Antiqua" w:hAnsi="Book Antiqua" w:cs="Book Antiqua"/>
          <w:sz w:val="24"/>
          <w:szCs w:val="24"/>
        </w:rPr>
      </w:pPr>
      <w:r w:rsidRPr="00572DEC">
        <w:rPr>
          <w:rFonts w:ascii="Book Antiqua" w:hAnsi="Book Antiqua" w:cs="Book Antiqua"/>
          <w:sz w:val="24"/>
          <w:szCs w:val="24"/>
        </w:rPr>
        <w:br w:type="page"/>
      </w:r>
    </w:p>
    <w:p w:rsidR="003E7779" w:rsidRPr="00572DEC" w:rsidRDefault="003E7779" w:rsidP="007F1176">
      <w:pPr>
        <w:spacing w:line="360" w:lineRule="auto"/>
        <w:ind w:left="77"/>
        <w:jc w:val="both"/>
        <w:rPr>
          <w:rFonts w:ascii="Book Antiqua" w:hAnsi="Book Antiqua" w:cs="Book Antiqua"/>
          <w:sz w:val="24"/>
          <w:szCs w:val="24"/>
        </w:rPr>
      </w:pPr>
    </w:p>
    <w:p w:rsidR="003E7779" w:rsidRPr="00572DEC" w:rsidRDefault="003E7779" w:rsidP="007F1176">
      <w:pPr>
        <w:spacing w:line="360" w:lineRule="auto"/>
        <w:ind w:left="77"/>
        <w:jc w:val="both"/>
        <w:rPr>
          <w:rFonts w:ascii="Book Antiqua" w:hAnsi="Book Antiqua" w:cs="Book Antiqua"/>
          <w:sz w:val="24"/>
          <w:szCs w:val="24"/>
        </w:rPr>
      </w:pPr>
    </w:p>
    <w:p w:rsidR="003E7779" w:rsidRPr="00572DEC" w:rsidRDefault="00ED1372" w:rsidP="007F1176">
      <w:pPr>
        <w:spacing w:line="360" w:lineRule="auto"/>
        <w:ind w:left="77"/>
        <w:jc w:val="both"/>
        <w:rPr>
          <w:rFonts w:ascii="Book Antiqua" w:hAnsi="Book Antiqua" w:cs="Book Antiqua"/>
          <w:sz w:val="24"/>
          <w:szCs w:val="24"/>
        </w:rPr>
      </w:pPr>
      <w:r>
        <w:rPr>
          <w:rFonts w:ascii="Book Antiqua" w:hAnsi="Book Antiqua" w:cs="Book Antiqua"/>
          <w:noProof/>
          <w:sz w:val="24"/>
          <w:szCs w:val="24"/>
          <w:lang w:eastAsia="zh-CN"/>
        </w:rPr>
        <w:drawing>
          <wp:inline distT="0" distB="0" distL="0" distR="0">
            <wp:extent cx="4575810" cy="2744470"/>
            <wp:effectExtent l="0" t="0" r="15240" b="17780"/>
            <wp:docPr id="4" name="Wykres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7779" w:rsidRPr="00572DEC" w:rsidRDefault="003E7779" w:rsidP="007F1176">
      <w:pPr>
        <w:spacing w:line="360" w:lineRule="auto"/>
        <w:ind w:left="77"/>
        <w:jc w:val="both"/>
        <w:rPr>
          <w:rFonts w:ascii="Book Antiqua" w:hAnsi="Book Antiqua" w:cs="Book Antiqua"/>
          <w:sz w:val="24"/>
          <w:szCs w:val="24"/>
        </w:rPr>
      </w:pPr>
    </w:p>
    <w:p w:rsidR="003E7779" w:rsidRPr="00BE0748" w:rsidRDefault="003E7779" w:rsidP="007F1176">
      <w:pPr>
        <w:spacing w:line="360" w:lineRule="auto"/>
        <w:ind w:left="77"/>
        <w:jc w:val="both"/>
        <w:rPr>
          <w:rFonts w:ascii="Book Antiqua" w:hAnsi="Book Antiqua" w:cs="Book Antiqua"/>
          <w:b/>
          <w:sz w:val="24"/>
          <w:szCs w:val="24"/>
        </w:rPr>
      </w:pPr>
      <w:r w:rsidRPr="00BE0748">
        <w:rPr>
          <w:rFonts w:ascii="Book Antiqua" w:hAnsi="Book Antiqua" w:cs="Book Antiqua"/>
          <w:b/>
          <w:bCs/>
          <w:sz w:val="24"/>
          <w:szCs w:val="24"/>
        </w:rPr>
        <w:t xml:space="preserve">Figure </w:t>
      </w:r>
      <w:r w:rsidRPr="00BE0748">
        <w:rPr>
          <w:rFonts w:ascii="Book Antiqua" w:hAnsi="Book Antiqua" w:cs="Book Antiqua"/>
          <w:b/>
          <w:bCs/>
          <w:sz w:val="24"/>
          <w:szCs w:val="24"/>
          <w:lang w:eastAsia="zh-CN"/>
        </w:rPr>
        <w:t>3</w:t>
      </w:r>
      <w:r w:rsidRPr="00BE0748">
        <w:rPr>
          <w:rFonts w:ascii="Book Antiqua" w:hAnsi="Book Antiqua" w:cs="Book Antiqua"/>
          <w:b/>
          <w:sz w:val="24"/>
          <w:szCs w:val="24"/>
        </w:rPr>
        <w:t xml:space="preserve"> Site distribution of additional primary cancers in 58 gastric cancer patients.</w:t>
      </w:r>
    </w:p>
    <w:p w:rsidR="003E7779" w:rsidRPr="00BE0748" w:rsidRDefault="003E7779" w:rsidP="007F1176">
      <w:pPr>
        <w:spacing w:line="360" w:lineRule="auto"/>
        <w:ind w:left="77"/>
        <w:jc w:val="both"/>
        <w:rPr>
          <w:rFonts w:ascii="Book Antiqua" w:hAnsi="Book Antiqua" w:cs="Book Antiqua"/>
          <w:sz w:val="24"/>
          <w:szCs w:val="24"/>
        </w:rPr>
      </w:pPr>
    </w:p>
    <w:p w:rsidR="003E7779" w:rsidRDefault="003E7779" w:rsidP="004517BA">
      <w:pPr>
        <w:spacing w:line="360" w:lineRule="auto"/>
        <w:jc w:val="both"/>
        <w:rPr>
          <w:rFonts w:ascii="Book Antiqua" w:hAnsi="Book Antiqua" w:cs="Book Antiqua"/>
          <w:b/>
          <w:bCs/>
          <w:sz w:val="24"/>
          <w:szCs w:val="24"/>
        </w:rPr>
      </w:pPr>
      <w:r>
        <w:rPr>
          <w:rFonts w:ascii="Book Antiqua" w:hAnsi="Book Antiqua" w:cs="Book Antiqua"/>
          <w:b/>
          <w:bCs/>
          <w:sz w:val="24"/>
          <w:szCs w:val="24"/>
        </w:rPr>
        <w:br w:type="page"/>
      </w:r>
    </w:p>
    <w:p w:rsidR="003E7779" w:rsidRDefault="003E7779" w:rsidP="004517BA">
      <w:pPr>
        <w:spacing w:line="360" w:lineRule="auto"/>
        <w:jc w:val="both"/>
        <w:rPr>
          <w:rFonts w:ascii="Book Antiqua" w:hAnsi="Book Antiqua" w:cs="Book Antiqua"/>
          <w:b/>
          <w:sz w:val="24"/>
          <w:szCs w:val="24"/>
          <w:lang w:eastAsia="zh-CN"/>
        </w:rPr>
      </w:pPr>
      <w:r w:rsidRPr="00572DEC">
        <w:rPr>
          <w:rFonts w:ascii="Book Antiqua" w:hAnsi="Book Antiqua" w:cs="Book Antiqua"/>
          <w:b/>
          <w:bCs/>
          <w:sz w:val="24"/>
          <w:szCs w:val="24"/>
        </w:rPr>
        <w:t>Table 1 Comparison of clinicopathological features of</w:t>
      </w:r>
      <w:r w:rsidRPr="00572DEC">
        <w:rPr>
          <w:rFonts w:ascii="Book Antiqua" w:hAnsi="Book Antiqua"/>
          <w:b/>
          <w:sz w:val="24"/>
          <w:szCs w:val="24"/>
        </w:rPr>
        <w:t xml:space="preserve"> </w:t>
      </w:r>
      <w:r w:rsidRPr="00141BED">
        <w:rPr>
          <w:rFonts w:ascii="Book Antiqua" w:hAnsi="Book Antiqua"/>
          <w:b/>
          <w:sz w:val="24"/>
          <w:szCs w:val="24"/>
        </w:rPr>
        <w:t>gastric cancer</w:t>
      </w:r>
      <w:r w:rsidRPr="00572DEC">
        <w:rPr>
          <w:rFonts w:ascii="Book Antiqua" w:hAnsi="Book Antiqua" w:cs="Book Antiqua"/>
          <w:b/>
          <w:bCs/>
          <w:sz w:val="24"/>
          <w:szCs w:val="24"/>
        </w:rPr>
        <w:t xml:space="preserve"> patients with and without a second primary cancer</w:t>
      </w:r>
      <w:r>
        <w:rPr>
          <w:rFonts w:ascii="Book Antiqua" w:hAnsi="Book Antiqua" w:cs="Book Antiqua"/>
          <w:b/>
          <w:bCs/>
          <w:sz w:val="24"/>
          <w:szCs w:val="24"/>
          <w:lang w:eastAsia="zh-CN"/>
        </w:rPr>
        <w:t xml:space="preserve"> </w:t>
      </w:r>
      <w:r w:rsidRPr="00740BDC">
        <w:rPr>
          <w:rFonts w:ascii="Book Antiqua" w:hAnsi="Book Antiqua" w:cs="Book Antiqua"/>
          <w:b/>
          <w:i/>
          <w:sz w:val="24"/>
          <w:szCs w:val="24"/>
        </w:rPr>
        <w:t>n</w:t>
      </w:r>
      <w:r w:rsidRPr="00740BDC">
        <w:rPr>
          <w:rFonts w:ascii="Book Antiqua" w:hAnsi="Book Antiqua" w:cs="Book Antiqua"/>
          <w:b/>
          <w:i/>
          <w:sz w:val="24"/>
          <w:szCs w:val="24"/>
          <w:lang w:eastAsia="zh-CN"/>
        </w:rPr>
        <w:t xml:space="preserve"> </w:t>
      </w:r>
      <w:r w:rsidRPr="00740BDC">
        <w:rPr>
          <w:rFonts w:ascii="Book Antiqua" w:hAnsi="Book Antiqua" w:cs="Book Antiqua"/>
          <w:b/>
          <w:sz w:val="24"/>
          <w:szCs w:val="24"/>
        </w:rPr>
        <w:t>(%)</w:t>
      </w:r>
    </w:p>
    <w:p w:rsidR="003E7779" w:rsidRDefault="003E7779" w:rsidP="004517BA">
      <w:pPr>
        <w:spacing w:line="360" w:lineRule="auto"/>
        <w:jc w:val="both"/>
        <w:rPr>
          <w:rFonts w:ascii="Book Antiqua" w:hAnsi="Book Antiqua" w:cs="Book Antiqua"/>
          <w:b/>
          <w:sz w:val="24"/>
          <w:szCs w:val="24"/>
          <w:lang w:eastAsia="zh-CN"/>
        </w:rPr>
      </w:pPr>
    </w:p>
    <w:tbl>
      <w:tblPr>
        <w:tblW w:w="5980" w:type="dxa"/>
        <w:tblInd w:w="93" w:type="dxa"/>
        <w:tblBorders>
          <w:top w:val="single" w:sz="4" w:space="0" w:color="auto"/>
          <w:bottom w:val="single" w:sz="4" w:space="0" w:color="auto"/>
        </w:tblBorders>
        <w:tblLook w:val="00A0" w:firstRow="1" w:lastRow="0" w:firstColumn="1" w:lastColumn="0" w:noHBand="0" w:noVBand="0"/>
      </w:tblPr>
      <w:tblGrid>
        <w:gridCol w:w="1722"/>
        <w:gridCol w:w="1188"/>
        <w:gridCol w:w="1188"/>
        <w:gridCol w:w="1189"/>
        <w:gridCol w:w="816"/>
      </w:tblGrid>
      <w:tr w:rsidR="003E7779" w:rsidRPr="00261E7E" w:rsidTr="00AD5DB8">
        <w:trPr>
          <w:trHeight w:val="660"/>
        </w:trPr>
        <w:tc>
          <w:tcPr>
            <w:tcW w:w="1660" w:type="dxa"/>
            <w:vMerge w:val="restart"/>
            <w:tcBorders>
              <w:top w:val="single" w:sz="4" w:space="0" w:color="auto"/>
            </w:tcBorders>
            <w:vAlign w:val="center"/>
          </w:tcPr>
          <w:p w:rsidR="003E7779" w:rsidRPr="00231C79" w:rsidRDefault="003E7779" w:rsidP="00231C79">
            <w:pPr>
              <w:jc w:val="center"/>
              <w:rPr>
                <w:rFonts w:ascii="Book Antiqua" w:hAnsi="Book Antiqua" w:cs="宋体"/>
                <w:b/>
                <w:bCs/>
                <w:color w:val="000000"/>
                <w:sz w:val="24"/>
                <w:szCs w:val="24"/>
                <w:lang w:eastAsia="zh-CN"/>
              </w:rPr>
            </w:pPr>
            <w:r w:rsidRPr="00231C79">
              <w:rPr>
                <w:rFonts w:ascii="Book Antiqua" w:hAnsi="Book Antiqua" w:cs="宋体"/>
                <w:b/>
                <w:bCs/>
                <w:color w:val="000000"/>
                <w:sz w:val="24"/>
                <w:szCs w:val="24"/>
                <w:lang w:eastAsia="zh-CN"/>
              </w:rPr>
              <w:t>Characteristic</w:t>
            </w:r>
          </w:p>
        </w:tc>
        <w:tc>
          <w:tcPr>
            <w:tcW w:w="1080" w:type="dxa"/>
            <w:vMerge w:val="restart"/>
            <w:tcBorders>
              <w:top w:val="single" w:sz="4" w:space="0" w:color="auto"/>
            </w:tcBorders>
            <w:vAlign w:val="center"/>
          </w:tcPr>
          <w:p w:rsidR="003E7779" w:rsidRPr="00231C79" w:rsidRDefault="003E7779" w:rsidP="00231C79">
            <w:pPr>
              <w:jc w:val="center"/>
              <w:rPr>
                <w:rFonts w:ascii="Book Antiqua" w:hAnsi="Book Antiqua" w:cs="宋体"/>
                <w:b/>
                <w:bCs/>
                <w:color w:val="000000"/>
                <w:sz w:val="24"/>
                <w:szCs w:val="24"/>
                <w:lang w:eastAsia="zh-CN"/>
              </w:rPr>
            </w:pPr>
            <w:r w:rsidRPr="00231C79">
              <w:rPr>
                <w:rFonts w:ascii="Book Antiqua" w:hAnsi="Book Antiqua" w:cs="宋体"/>
                <w:b/>
                <w:bCs/>
                <w:color w:val="000000"/>
                <w:sz w:val="24"/>
                <w:szCs w:val="24"/>
                <w:lang w:eastAsia="zh-CN"/>
              </w:rPr>
              <w:t xml:space="preserve">Total </w:t>
            </w:r>
          </w:p>
        </w:tc>
        <w:tc>
          <w:tcPr>
            <w:tcW w:w="1080" w:type="dxa"/>
            <w:vMerge w:val="restart"/>
            <w:tcBorders>
              <w:top w:val="single" w:sz="4" w:space="0" w:color="auto"/>
            </w:tcBorders>
            <w:vAlign w:val="center"/>
          </w:tcPr>
          <w:p w:rsidR="003E7779" w:rsidRPr="00231C79" w:rsidRDefault="003E7779" w:rsidP="00231C79">
            <w:pPr>
              <w:jc w:val="center"/>
              <w:rPr>
                <w:rFonts w:ascii="Book Antiqua" w:hAnsi="Book Antiqua" w:cs="宋体"/>
                <w:b/>
                <w:bCs/>
                <w:color w:val="000000"/>
                <w:sz w:val="24"/>
                <w:szCs w:val="24"/>
                <w:lang w:eastAsia="zh-CN"/>
              </w:rPr>
            </w:pPr>
            <w:r w:rsidRPr="00231C79">
              <w:rPr>
                <w:rFonts w:ascii="Book Antiqua" w:hAnsi="Book Antiqua" w:cs="宋体"/>
                <w:b/>
                <w:bCs/>
                <w:color w:val="000000"/>
                <w:sz w:val="24"/>
                <w:szCs w:val="24"/>
                <w:lang w:eastAsia="zh-CN"/>
              </w:rPr>
              <w:t xml:space="preserve"> Gastric cancer</w:t>
            </w:r>
          </w:p>
        </w:tc>
        <w:tc>
          <w:tcPr>
            <w:tcW w:w="1080" w:type="dxa"/>
            <w:tcBorders>
              <w:top w:val="single" w:sz="4" w:space="0" w:color="auto"/>
            </w:tcBorders>
            <w:vAlign w:val="center"/>
          </w:tcPr>
          <w:p w:rsidR="003E7779" w:rsidRPr="00231C79" w:rsidRDefault="003E7779" w:rsidP="00231C79">
            <w:pPr>
              <w:jc w:val="center"/>
              <w:rPr>
                <w:rFonts w:ascii="Book Antiqua" w:hAnsi="Book Antiqua" w:cs="宋体"/>
                <w:b/>
                <w:bCs/>
                <w:color w:val="000000"/>
                <w:sz w:val="24"/>
                <w:szCs w:val="24"/>
                <w:lang w:eastAsia="zh-CN"/>
              </w:rPr>
            </w:pPr>
            <w:r w:rsidRPr="00231C79">
              <w:rPr>
                <w:rFonts w:ascii="Book Antiqua" w:hAnsi="Book Antiqua" w:cs="宋体"/>
                <w:b/>
                <w:bCs/>
                <w:color w:val="000000"/>
                <w:sz w:val="24"/>
                <w:szCs w:val="24"/>
                <w:lang w:eastAsia="zh-CN"/>
              </w:rPr>
              <w:t>Multiple gastric</w:t>
            </w:r>
          </w:p>
        </w:tc>
        <w:tc>
          <w:tcPr>
            <w:tcW w:w="1080" w:type="dxa"/>
            <w:vMerge w:val="restart"/>
            <w:tcBorders>
              <w:top w:val="single" w:sz="4" w:space="0" w:color="auto"/>
              <w:bottom w:val="single" w:sz="4" w:space="0" w:color="auto"/>
            </w:tcBorders>
            <w:vAlign w:val="center"/>
          </w:tcPr>
          <w:p w:rsidR="003E7779" w:rsidRPr="00231C79" w:rsidRDefault="003E7779" w:rsidP="00231C79">
            <w:pPr>
              <w:jc w:val="center"/>
              <w:rPr>
                <w:rFonts w:ascii="Book Antiqua" w:hAnsi="Book Antiqua" w:cs="宋体"/>
                <w:b/>
                <w:bCs/>
                <w:i/>
                <w:iCs/>
                <w:color w:val="000000"/>
                <w:sz w:val="24"/>
                <w:szCs w:val="24"/>
                <w:lang w:eastAsia="zh-CN"/>
              </w:rPr>
            </w:pPr>
            <w:r w:rsidRPr="00231C79">
              <w:rPr>
                <w:rFonts w:ascii="Book Antiqua" w:hAnsi="Book Antiqua" w:cs="宋体"/>
                <w:b/>
                <w:bCs/>
                <w:i/>
                <w:iCs/>
                <w:color w:val="000000"/>
                <w:sz w:val="24"/>
                <w:szCs w:val="24"/>
                <w:lang w:eastAsia="zh-CN"/>
              </w:rPr>
              <w:t>P</w:t>
            </w:r>
            <w:r w:rsidRPr="00231C79">
              <w:rPr>
                <w:rFonts w:ascii="Book Antiqua" w:hAnsi="Book Antiqua" w:cs="宋体"/>
                <w:b/>
                <w:bCs/>
                <w:color w:val="000000"/>
                <w:sz w:val="24"/>
                <w:szCs w:val="24"/>
                <w:lang w:eastAsia="zh-CN"/>
              </w:rPr>
              <w:t xml:space="preserve"> value</w:t>
            </w:r>
          </w:p>
        </w:tc>
      </w:tr>
      <w:tr w:rsidR="003E7779" w:rsidRPr="00261E7E" w:rsidTr="00AD5DB8">
        <w:trPr>
          <w:trHeight w:val="345"/>
        </w:trPr>
        <w:tc>
          <w:tcPr>
            <w:tcW w:w="1660" w:type="dxa"/>
            <w:vMerge/>
            <w:tcBorders>
              <w:bottom w:val="single" w:sz="4" w:space="0" w:color="auto"/>
            </w:tcBorders>
            <w:vAlign w:val="center"/>
          </w:tcPr>
          <w:p w:rsidR="003E7779" w:rsidRPr="00231C79" w:rsidRDefault="003E7779" w:rsidP="00231C79">
            <w:pPr>
              <w:rPr>
                <w:rFonts w:ascii="Book Antiqua" w:hAnsi="Book Antiqua" w:cs="宋体"/>
                <w:b/>
                <w:bCs/>
                <w:color w:val="000000"/>
                <w:sz w:val="24"/>
                <w:szCs w:val="24"/>
                <w:lang w:eastAsia="zh-CN"/>
              </w:rPr>
            </w:pPr>
          </w:p>
        </w:tc>
        <w:tc>
          <w:tcPr>
            <w:tcW w:w="1080" w:type="dxa"/>
            <w:vMerge/>
            <w:tcBorders>
              <w:bottom w:val="single" w:sz="4" w:space="0" w:color="auto"/>
            </w:tcBorders>
            <w:vAlign w:val="center"/>
          </w:tcPr>
          <w:p w:rsidR="003E7779" w:rsidRPr="00231C79" w:rsidRDefault="003E7779" w:rsidP="00231C79">
            <w:pPr>
              <w:rPr>
                <w:rFonts w:ascii="Book Antiqua" w:hAnsi="Book Antiqua" w:cs="宋体"/>
                <w:b/>
                <w:bCs/>
                <w:color w:val="000000"/>
                <w:sz w:val="24"/>
                <w:szCs w:val="24"/>
                <w:lang w:eastAsia="zh-CN"/>
              </w:rPr>
            </w:pPr>
          </w:p>
        </w:tc>
        <w:tc>
          <w:tcPr>
            <w:tcW w:w="1080" w:type="dxa"/>
            <w:vMerge/>
            <w:tcBorders>
              <w:bottom w:val="single" w:sz="4" w:space="0" w:color="auto"/>
            </w:tcBorders>
            <w:vAlign w:val="center"/>
          </w:tcPr>
          <w:p w:rsidR="003E7779" w:rsidRPr="00231C79" w:rsidRDefault="003E7779" w:rsidP="00231C79">
            <w:pPr>
              <w:rPr>
                <w:rFonts w:ascii="Book Antiqua" w:hAnsi="Book Antiqua" w:cs="宋体"/>
                <w:b/>
                <w:bCs/>
                <w:color w:val="000000"/>
                <w:sz w:val="24"/>
                <w:szCs w:val="24"/>
                <w:lang w:eastAsia="zh-CN"/>
              </w:rPr>
            </w:pPr>
          </w:p>
        </w:tc>
        <w:tc>
          <w:tcPr>
            <w:tcW w:w="1080" w:type="dxa"/>
            <w:tcBorders>
              <w:bottom w:val="single" w:sz="4" w:space="0" w:color="auto"/>
            </w:tcBorders>
            <w:vAlign w:val="center"/>
          </w:tcPr>
          <w:p w:rsidR="003E7779" w:rsidRPr="00231C79" w:rsidRDefault="003E7779" w:rsidP="00231C79">
            <w:pPr>
              <w:jc w:val="center"/>
              <w:rPr>
                <w:rFonts w:ascii="Book Antiqua" w:hAnsi="Book Antiqua" w:cs="宋体"/>
                <w:b/>
                <w:bCs/>
                <w:color w:val="000000"/>
                <w:sz w:val="24"/>
                <w:szCs w:val="24"/>
                <w:lang w:eastAsia="zh-CN"/>
              </w:rPr>
            </w:pPr>
            <w:r w:rsidRPr="00231C79">
              <w:rPr>
                <w:rFonts w:ascii="Book Antiqua" w:hAnsi="Book Antiqua" w:cs="宋体"/>
                <w:b/>
                <w:bCs/>
                <w:color w:val="000000"/>
                <w:sz w:val="24"/>
                <w:szCs w:val="24"/>
                <w:lang w:eastAsia="zh-CN"/>
              </w:rPr>
              <w:t xml:space="preserve"> cancer </w:t>
            </w:r>
          </w:p>
        </w:tc>
        <w:tc>
          <w:tcPr>
            <w:tcW w:w="1080" w:type="dxa"/>
            <w:vMerge/>
            <w:tcBorders>
              <w:top w:val="nil"/>
              <w:bottom w:val="single" w:sz="4" w:space="0" w:color="auto"/>
            </w:tcBorders>
            <w:vAlign w:val="center"/>
          </w:tcPr>
          <w:p w:rsidR="003E7779" w:rsidRPr="00231C79" w:rsidRDefault="003E7779" w:rsidP="00231C79">
            <w:pPr>
              <w:rPr>
                <w:rFonts w:ascii="Book Antiqua" w:hAnsi="Book Antiqua" w:cs="宋体"/>
                <w:b/>
                <w:bCs/>
                <w:i/>
                <w:iCs/>
                <w:color w:val="000000"/>
                <w:sz w:val="24"/>
                <w:szCs w:val="24"/>
                <w:lang w:eastAsia="zh-CN"/>
              </w:rPr>
            </w:pPr>
          </w:p>
        </w:tc>
      </w:tr>
      <w:tr w:rsidR="003E7779" w:rsidRPr="00261E7E" w:rsidTr="00AD5DB8">
        <w:trPr>
          <w:trHeight w:val="315"/>
        </w:trPr>
        <w:tc>
          <w:tcPr>
            <w:tcW w:w="1660" w:type="dxa"/>
            <w:tcBorders>
              <w:top w:val="single" w:sz="4" w:space="0" w:color="auto"/>
              <w:bottom w:val="nil"/>
            </w:tcBorders>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Gender</w:t>
            </w:r>
          </w:p>
        </w:tc>
        <w:tc>
          <w:tcPr>
            <w:tcW w:w="1080" w:type="dxa"/>
            <w:tcBorders>
              <w:top w:val="single" w:sz="4" w:space="0" w:color="auto"/>
              <w:bottom w:val="nil"/>
            </w:tcBorders>
            <w:vAlign w:val="center"/>
          </w:tcPr>
          <w:p w:rsidR="003E7779" w:rsidRPr="00231C79" w:rsidRDefault="003E7779" w:rsidP="00231C79">
            <w:pPr>
              <w:jc w:val="center"/>
              <w:rPr>
                <w:rFonts w:ascii="Book Antiqua" w:hAnsi="Book Antiqua" w:cs="宋体"/>
                <w:color w:val="000000"/>
                <w:sz w:val="24"/>
                <w:szCs w:val="24"/>
                <w:lang w:eastAsia="zh-CN"/>
              </w:rPr>
            </w:pPr>
          </w:p>
        </w:tc>
        <w:tc>
          <w:tcPr>
            <w:tcW w:w="1080" w:type="dxa"/>
            <w:tcBorders>
              <w:top w:val="single" w:sz="4" w:space="0" w:color="auto"/>
              <w:bottom w:val="nil"/>
            </w:tcBorders>
            <w:vAlign w:val="center"/>
          </w:tcPr>
          <w:p w:rsidR="003E7779" w:rsidRPr="00231C79" w:rsidRDefault="003E7779" w:rsidP="00231C79">
            <w:pPr>
              <w:jc w:val="center"/>
              <w:rPr>
                <w:rFonts w:ascii="Book Antiqua" w:hAnsi="Book Antiqua" w:cs="宋体"/>
                <w:color w:val="000000"/>
                <w:sz w:val="24"/>
                <w:szCs w:val="24"/>
                <w:lang w:eastAsia="zh-CN"/>
              </w:rPr>
            </w:pPr>
          </w:p>
        </w:tc>
        <w:tc>
          <w:tcPr>
            <w:tcW w:w="1080" w:type="dxa"/>
            <w:tcBorders>
              <w:top w:val="single" w:sz="4" w:space="0" w:color="auto"/>
              <w:bottom w:val="nil"/>
            </w:tcBorders>
            <w:vAlign w:val="center"/>
          </w:tcPr>
          <w:p w:rsidR="003E7779" w:rsidRPr="00231C79" w:rsidRDefault="003E7779" w:rsidP="00231C79">
            <w:pPr>
              <w:jc w:val="center"/>
              <w:rPr>
                <w:rFonts w:ascii="Book Antiqua" w:hAnsi="Book Antiqua" w:cs="宋体"/>
                <w:color w:val="000000"/>
                <w:sz w:val="24"/>
                <w:szCs w:val="24"/>
                <w:lang w:eastAsia="zh-CN"/>
              </w:rPr>
            </w:pPr>
          </w:p>
        </w:tc>
        <w:tc>
          <w:tcPr>
            <w:tcW w:w="1080" w:type="dxa"/>
            <w:vMerge w:val="restart"/>
            <w:tcBorders>
              <w:top w:val="single" w:sz="4" w:space="0" w:color="auto"/>
            </w:tcBorders>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0.499</w:t>
            </w:r>
          </w:p>
        </w:tc>
      </w:tr>
      <w:tr w:rsidR="003E7779" w:rsidRPr="00261E7E" w:rsidTr="00AD5DB8">
        <w:trPr>
          <w:trHeight w:val="630"/>
        </w:trPr>
        <w:tc>
          <w:tcPr>
            <w:tcW w:w="1660" w:type="dxa"/>
            <w:tcBorders>
              <w:top w:val="nil"/>
            </w:tcBorders>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Male</w:t>
            </w:r>
          </w:p>
        </w:tc>
        <w:tc>
          <w:tcPr>
            <w:tcW w:w="1080" w:type="dxa"/>
            <w:tcBorders>
              <w:top w:val="nil"/>
            </w:tcBorders>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570 (66.1)</w:t>
            </w:r>
          </w:p>
        </w:tc>
        <w:tc>
          <w:tcPr>
            <w:tcW w:w="1080" w:type="dxa"/>
            <w:tcBorders>
              <w:top w:val="nil"/>
            </w:tcBorders>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 xml:space="preserve"> 534 (66.4)</w:t>
            </w:r>
          </w:p>
        </w:tc>
        <w:tc>
          <w:tcPr>
            <w:tcW w:w="1080" w:type="dxa"/>
            <w:tcBorders>
              <w:top w:val="nil"/>
            </w:tcBorders>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 xml:space="preserve"> 36 (62.1)</w:t>
            </w:r>
          </w:p>
        </w:tc>
        <w:tc>
          <w:tcPr>
            <w:tcW w:w="1080" w:type="dxa"/>
            <w:vMerge/>
            <w:vAlign w:val="center"/>
          </w:tcPr>
          <w:p w:rsidR="003E7779" w:rsidRPr="00231C79" w:rsidRDefault="003E7779" w:rsidP="00231C79">
            <w:pPr>
              <w:rPr>
                <w:rFonts w:ascii="Book Antiqua" w:hAnsi="Book Antiqua" w:cs="宋体"/>
                <w:color w:val="000000"/>
                <w:sz w:val="24"/>
                <w:szCs w:val="24"/>
                <w:lang w:eastAsia="zh-CN"/>
              </w:rPr>
            </w:pPr>
          </w:p>
        </w:tc>
      </w:tr>
      <w:tr w:rsidR="003E7779" w:rsidRPr="00261E7E" w:rsidTr="00AD5DB8">
        <w:trPr>
          <w:trHeight w:val="630"/>
        </w:trPr>
        <w:tc>
          <w:tcPr>
            <w:tcW w:w="166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Female</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292 (33.9)</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 xml:space="preserve"> 270 (33.6)</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 xml:space="preserve"> 22 (37.9)</w:t>
            </w:r>
          </w:p>
        </w:tc>
        <w:tc>
          <w:tcPr>
            <w:tcW w:w="1080" w:type="dxa"/>
            <w:vMerge/>
            <w:vAlign w:val="center"/>
          </w:tcPr>
          <w:p w:rsidR="003E7779" w:rsidRPr="00231C79" w:rsidRDefault="003E7779" w:rsidP="00231C79">
            <w:pPr>
              <w:rPr>
                <w:rFonts w:ascii="Book Antiqua" w:hAnsi="Book Antiqua" w:cs="宋体"/>
                <w:color w:val="000000"/>
                <w:sz w:val="24"/>
                <w:szCs w:val="24"/>
                <w:lang w:eastAsia="zh-CN"/>
              </w:rPr>
            </w:pPr>
          </w:p>
        </w:tc>
      </w:tr>
      <w:tr w:rsidR="003E7779" w:rsidRPr="00261E7E" w:rsidTr="00AD5DB8">
        <w:trPr>
          <w:trHeight w:val="330"/>
        </w:trPr>
        <w:tc>
          <w:tcPr>
            <w:tcW w:w="166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Total</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862</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804</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58</w:t>
            </w:r>
          </w:p>
        </w:tc>
        <w:tc>
          <w:tcPr>
            <w:tcW w:w="1080" w:type="dxa"/>
            <w:vMerge/>
            <w:vAlign w:val="center"/>
          </w:tcPr>
          <w:p w:rsidR="003E7779" w:rsidRPr="00231C79" w:rsidRDefault="003E7779" w:rsidP="00231C79">
            <w:pPr>
              <w:rPr>
                <w:rFonts w:ascii="Book Antiqua" w:hAnsi="Book Antiqua" w:cs="宋体"/>
                <w:color w:val="000000"/>
                <w:sz w:val="24"/>
                <w:szCs w:val="24"/>
                <w:lang w:eastAsia="zh-CN"/>
              </w:rPr>
            </w:pPr>
          </w:p>
        </w:tc>
      </w:tr>
      <w:tr w:rsidR="003E7779" w:rsidRPr="00261E7E" w:rsidTr="00AD5DB8">
        <w:trPr>
          <w:trHeight w:val="360"/>
        </w:trPr>
        <w:tc>
          <w:tcPr>
            <w:tcW w:w="1660" w:type="dxa"/>
            <w:vMerge w:val="restart"/>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 xml:space="preserve"> Age</w:t>
            </w:r>
            <w:r w:rsidRPr="00261E7E">
              <w:rPr>
                <w:rFonts w:ascii="Book Antiqua" w:hAnsi="Book Antiqua" w:cs="Book Antiqua"/>
                <w:sz w:val="24"/>
                <w:szCs w:val="24"/>
                <w:vertAlign w:val="superscript"/>
                <w:lang w:eastAsia="zh-CN"/>
              </w:rPr>
              <w:t>1</w:t>
            </w:r>
            <w:r w:rsidRPr="00231C79">
              <w:rPr>
                <w:rFonts w:ascii="Book Antiqua" w:hAnsi="Book Antiqua" w:cs="宋体"/>
                <w:b/>
                <w:bCs/>
                <w:color w:val="000000"/>
                <w:sz w:val="24"/>
                <w:szCs w:val="24"/>
                <w:lang w:eastAsia="zh-CN"/>
              </w:rPr>
              <w:t xml:space="preserve"> </w:t>
            </w:r>
            <w:r w:rsidRPr="00231C79">
              <w:rPr>
                <w:rFonts w:ascii="Book Antiqua" w:hAnsi="Book Antiqua" w:cs="宋体"/>
                <w:color w:val="000000"/>
                <w:sz w:val="24"/>
                <w:szCs w:val="24"/>
                <w:lang w:eastAsia="zh-CN"/>
              </w:rPr>
              <w:t>( yr)</w:t>
            </w:r>
          </w:p>
        </w:tc>
        <w:tc>
          <w:tcPr>
            <w:tcW w:w="1080" w:type="dxa"/>
            <w:vMerge w:val="restart"/>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59.8±12.8</w:t>
            </w:r>
          </w:p>
        </w:tc>
        <w:tc>
          <w:tcPr>
            <w:tcW w:w="1080" w:type="dxa"/>
            <w:vMerge w:val="restart"/>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59.5 ±13.0</w:t>
            </w:r>
          </w:p>
        </w:tc>
        <w:tc>
          <w:tcPr>
            <w:tcW w:w="1080" w:type="dxa"/>
            <w:vMerge w:val="restart"/>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 xml:space="preserve"> 63.4±11.4</w:t>
            </w:r>
          </w:p>
        </w:tc>
        <w:tc>
          <w:tcPr>
            <w:tcW w:w="1080" w:type="dxa"/>
            <w:vMerge w:val="restart"/>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0.026</w:t>
            </w:r>
          </w:p>
        </w:tc>
      </w:tr>
      <w:tr w:rsidR="003E7779" w:rsidRPr="00261E7E" w:rsidTr="00AD5DB8">
        <w:trPr>
          <w:trHeight w:val="298"/>
        </w:trPr>
        <w:tc>
          <w:tcPr>
            <w:tcW w:w="1660" w:type="dxa"/>
            <w:vMerge/>
            <w:vAlign w:val="center"/>
          </w:tcPr>
          <w:p w:rsidR="003E7779" w:rsidRPr="00231C79" w:rsidRDefault="003E7779" w:rsidP="00231C79">
            <w:pPr>
              <w:rPr>
                <w:rFonts w:ascii="Book Antiqua" w:hAnsi="Book Antiqua" w:cs="宋体"/>
                <w:color w:val="000000"/>
                <w:sz w:val="24"/>
                <w:szCs w:val="24"/>
                <w:lang w:eastAsia="zh-CN"/>
              </w:rPr>
            </w:pPr>
          </w:p>
        </w:tc>
        <w:tc>
          <w:tcPr>
            <w:tcW w:w="1080" w:type="dxa"/>
            <w:vMerge/>
            <w:vAlign w:val="center"/>
          </w:tcPr>
          <w:p w:rsidR="003E7779" w:rsidRPr="00231C79" w:rsidRDefault="003E7779" w:rsidP="00231C79">
            <w:pPr>
              <w:rPr>
                <w:rFonts w:ascii="Book Antiqua" w:hAnsi="Book Antiqua" w:cs="宋体"/>
                <w:color w:val="000000"/>
                <w:sz w:val="24"/>
                <w:szCs w:val="24"/>
                <w:lang w:eastAsia="zh-CN"/>
              </w:rPr>
            </w:pPr>
          </w:p>
        </w:tc>
        <w:tc>
          <w:tcPr>
            <w:tcW w:w="1080" w:type="dxa"/>
            <w:vMerge/>
            <w:vAlign w:val="center"/>
          </w:tcPr>
          <w:p w:rsidR="003E7779" w:rsidRPr="00231C79" w:rsidRDefault="003E7779" w:rsidP="00231C79">
            <w:pPr>
              <w:rPr>
                <w:rFonts w:ascii="Book Antiqua" w:hAnsi="Book Antiqua" w:cs="宋体"/>
                <w:color w:val="000000"/>
                <w:sz w:val="24"/>
                <w:szCs w:val="24"/>
                <w:lang w:eastAsia="zh-CN"/>
              </w:rPr>
            </w:pPr>
          </w:p>
        </w:tc>
        <w:tc>
          <w:tcPr>
            <w:tcW w:w="1080" w:type="dxa"/>
            <w:vMerge/>
            <w:vAlign w:val="center"/>
          </w:tcPr>
          <w:p w:rsidR="003E7779" w:rsidRPr="00231C79" w:rsidRDefault="003E7779" w:rsidP="00231C79">
            <w:pPr>
              <w:rPr>
                <w:rFonts w:ascii="Book Antiqua" w:hAnsi="Book Antiqua" w:cs="宋体"/>
                <w:color w:val="000000"/>
                <w:sz w:val="24"/>
                <w:szCs w:val="24"/>
                <w:lang w:eastAsia="zh-CN"/>
              </w:rPr>
            </w:pPr>
          </w:p>
        </w:tc>
        <w:tc>
          <w:tcPr>
            <w:tcW w:w="1080" w:type="dxa"/>
            <w:vMerge/>
            <w:vAlign w:val="center"/>
          </w:tcPr>
          <w:p w:rsidR="003E7779" w:rsidRPr="00231C79" w:rsidRDefault="003E7779" w:rsidP="00231C79">
            <w:pPr>
              <w:rPr>
                <w:rFonts w:ascii="Book Antiqua" w:hAnsi="Book Antiqua" w:cs="宋体"/>
                <w:color w:val="000000"/>
                <w:sz w:val="24"/>
                <w:szCs w:val="24"/>
                <w:lang w:eastAsia="zh-CN"/>
              </w:rPr>
            </w:pPr>
          </w:p>
        </w:tc>
      </w:tr>
      <w:tr w:rsidR="003E7779" w:rsidRPr="00261E7E" w:rsidTr="00AD5DB8">
        <w:trPr>
          <w:trHeight w:val="345"/>
        </w:trPr>
        <w:tc>
          <w:tcPr>
            <w:tcW w:w="1660" w:type="dxa"/>
            <w:vMerge w:val="restart"/>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DS  (mo)</w:t>
            </w:r>
          </w:p>
        </w:tc>
        <w:tc>
          <w:tcPr>
            <w:tcW w:w="1080" w:type="dxa"/>
            <w:vMerge w:val="restart"/>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25.1±46.4</w:t>
            </w:r>
          </w:p>
        </w:tc>
        <w:tc>
          <w:tcPr>
            <w:tcW w:w="1080" w:type="dxa"/>
            <w:vMerge w:val="restart"/>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 xml:space="preserve"> 25.1±46.5</w:t>
            </w:r>
          </w:p>
        </w:tc>
        <w:tc>
          <w:tcPr>
            <w:tcW w:w="1080" w:type="dxa"/>
            <w:vMerge w:val="restart"/>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 xml:space="preserve"> 26.3±46.3 </w:t>
            </w:r>
          </w:p>
        </w:tc>
        <w:tc>
          <w:tcPr>
            <w:tcW w:w="1080" w:type="dxa"/>
            <w:vMerge w:val="restart"/>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0.433</w:t>
            </w:r>
          </w:p>
        </w:tc>
      </w:tr>
      <w:tr w:rsidR="003E7779" w:rsidRPr="00261E7E" w:rsidTr="00AD5DB8">
        <w:trPr>
          <w:trHeight w:val="298"/>
        </w:trPr>
        <w:tc>
          <w:tcPr>
            <w:tcW w:w="1660" w:type="dxa"/>
            <w:vMerge/>
            <w:vAlign w:val="center"/>
          </w:tcPr>
          <w:p w:rsidR="003E7779" w:rsidRPr="00231C79" w:rsidRDefault="003E7779" w:rsidP="00231C79">
            <w:pPr>
              <w:rPr>
                <w:rFonts w:ascii="Book Antiqua" w:hAnsi="Book Antiqua" w:cs="宋体"/>
                <w:color w:val="000000"/>
                <w:sz w:val="24"/>
                <w:szCs w:val="24"/>
                <w:lang w:eastAsia="zh-CN"/>
              </w:rPr>
            </w:pPr>
          </w:p>
        </w:tc>
        <w:tc>
          <w:tcPr>
            <w:tcW w:w="1080" w:type="dxa"/>
            <w:vMerge/>
            <w:vAlign w:val="center"/>
          </w:tcPr>
          <w:p w:rsidR="003E7779" w:rsidRPr="00231C79" w:rsidRDefault="003E7779" w:rsidP="00231C79">
            <w:pPr>
              <w:rPr>
                <w:rFonts w:ascii="Book Antiqua" w:hAnsi="Book Antiqua" w:cs="宋体"/>
                <w:color w:val="000000"/>
                <w:sz w:val="24"/>
                <w:szCs w:val="24"/>
                <w:lang w:eastAsia="zh-CN"/>
              </w:rPr>
            </w:pPr>
          </w:p>
        </w:tc>
        <w:tc>
          <w:tcPr>
            <w:tcW w:w="1080" w:type="dxa"/>
            <w:vMerge/>
            <w:vAlign w:val="center"/>
          </w:tcPr>
          <w:p w:rsidR="003E7779" w:rsidRPr="00231C79" w:rsidRDefault="003E7779" w:rsidP="00231C79">
            <w:pPr>
              <w:rPr>
                <w:rFonts w:ascii="Book Antiqua" w:hAnsi="Book Antiqua" w:cs="宋体"/>
                <w:color w:val="000000"/>
                <w:sz w:val="24"/>
                <w:szCs w:val="24"/>
                <w:lang w:eastAsia="zh-CN"/>
              </w:rPr>
            </w:pPr>
          </w:p>
        </w:tc>
        <w:tc>
          <w:tcPr>
            <w:tcW w:w="1080" w:type="dxa"/>
            <w:vMerge/>
            <w:vAlign w:val="center"/>
          </w:tcPr>
          <w:p w:rsidR="003E7779" w:rsidRPr="00231C79" w:rsidRDefault="003E7779" w:rsidP="00231C79">
            <w:pPr>
              <w:rPr>
                <w:rFonts w:ascii="Book Antiqua" w:hAnsi="Book Antiqua" w:cs="宋体"/>
                <w:color w:val="000000"/>
                <w:sz w:val="24"/>
                <w:szCs w:val="24"/>
                <w:lang w:eastAsia="zh-CN"/>
              </w:rPr>
            </w:pPr>
          </w:p>
        </w:tc>
        <w:tc>
          <w:tcPr>
            <w:tcW w:w="1080" w:type="dxa"/>
            <w:vMerge/>
            <w:vAlign w:val="center"/>
          </w:tcPr>
          <w:p w:rsidR="003E7779" w:rsidRPr="00231C79" w:rsidRDefault="003E7779" w:rsidP="00231C79">
            <w:pPr>
              <w:rPr>
                <w:rFonts w:ascii="Book Antiqua" w:hAnsi="Book Antiqua" w:cs="宋体"/>
                <w:color w:val="000000"/>
                <w:sz w:val="24"/>
                <w:szCs w:val="24"/>
                <w:lang w:eastAsia="zh-CN"/>
              </w:rPr>
            </w:pPr>
          </w:p>
        </w:tc>
      </w:tr>
      <w:tr w:rsidR="003E7779" w:rsidRPr="00261E7E" w:rsidTr="00AD5DB8">
        <w:trPr>
          <w:trHeight w:val="315"/>
        </w:trPr>
        <w:tc>
          <w:tcPr>
            <w:tcW w:w="166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FHC</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 xml:space="preserve"> </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p>
        </w:tc>
        <w:tc>
          <w:tcPr>
            <w:tcW w:w="1080" w:type="dxa"/>
            <w:vMerge w:val="restart"/>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0.806</w:t>
            </w:r>
          </w:p>
        </w:tc>
      </w:tr>
      <w:tr w:rsidR="003E7779" w:rsidRPr="00261E7E" w:rsidTr="00AD5DB8">
        <w:trPr>
          <w:trHeight w:val="630"/>
        </w:trPr>
        <w:tc>
          <w:tcPr>
            <w:tcW w:w="166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No</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 xml:space="preserve">369 (52.6) </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 xml:space="preserve"> 342 (52.7)</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 xml:space="preserve"> 27 (50.9)</w:t>
            </w:r>
          </w:p>
        </w:tc>
        <w:tc>
          <w:tcPr>
            <w:tcW w:w="1080" w:type="dxa"/>
            <w:vMerge/>
            <w:vAlign w:val="center"/>
          </w:tcPr>
          <w:p w:rsidR="003E7779" w:rsidRPr="00231C79" w:rsidRDefault="003E7779" w:rsidP="00231C79">
            <w:pPr>
              <w:rPr>
                <w:rFonts w:ascii="Book Antiqua" w:hAnsi="Book Antiqua" w:cs="宋体"/>
                <w:color w:val="000000"/>
                <w:sz w:val="24"/>
                <w:szCs w:val="24"/>
                <w:lang w:eastAsia="zh-CN"/>
              </w:rPr>
            </w:pPr>
          </w:p>
        </w:tc>
      </w:tr>
      <w:tr w:rsidR="003E7779" w:rsidRPr="00261E7E" w:rsidTr="00AD5DB8">
        <w:trPr>
          <w:trHeight w:val="630"/>
        </w:trPr>
        <w:tc>
          <w:tcPr>
            <w:tcW w:w="166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Yes</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 xml:space="preserve">333 (47.4) </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 xml:space="preserve"> 307 (47.3)</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 xml:space="preserve"> 26 (49.1)</w:t>
            </w:r>
          </w:p>
        </w:tc>
        <w:tc>
          <w:tcPr>
            <w:tcW w:w="1080" w:type="dxa"/>
            <w:vMerge/>
            <w:vAlign w:val="center"/>
          </w:tcPr>
          <w:p w:rsidR="003E7779" w:rsidRPr="00231C79" w:rsidRDefault="003E7779" w:rsidP="00231C79">
            <w:pPr>
              <w:rPr>
                <w:rFonts w:ascii="Book Antiqua" w:hAnsi="Book Antiqua" w:cs="宋体"/>
                <w:color w:val="000000"/>
                <w:sz w:val="24"/>
                <w:szCs w:val="24"/>
                <w:lang w:eastAsia="zh-CN"/>
              </w:rPr>
            </w:pPr>
          </w:p>
        </w:tc>
      </w:tr>
      <w:tr w:rsidR="003E7779" w:rsidRPr="00261E7E" w:rsidTr="00AD5DB8">
        <w:trPr>
          <w:trHeight w:val="330"/>
        </w:trPr>
        <w:tc>
          <w:tcPr>
            <w:tcW w:w="166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Total</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702</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 xml:space="preserve"> </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 xml:space="preserve">   </w:t>
            </w:r>
          </w:p>
        </w:tc>
        <w:tc>
          <w:tcPr>
            <w:tcW w:w="1080" w:type="dxa"/>
            <w:vMerge/>
            <w:vAlign w:val="center"/>
          </w:tcPr>
          <w:p w:rsidR="003E7779" w:rsidRPr="00231C79" w:rsidRDefault="003E7779" w:rsidP="00231C79">
            <w:pPr>
              <w:rPr>
                <w:rFonts w:ascii="Book Antiqua" w:hAnsi="Book Antiqua" w:cs="宋体"/>
                <w:color w:val="000000"/>
                <w:sz w:val="24"/>
                <w:szCs w:val="24"/>
                <w:lang w:eastAsia="zh-CN"/>
              </w:rPr>
            </w:pPr>
          </w:p>
        </w:tc>
      </w:tr>
      <w:tr w:rsidR="003E7779" w:rsidRPr="00261E7E" w:rsidTr="00AD5DB8">
        <w:trPr>
          <w:trHeight w:val="315"/>
        </w:trPr>
        <w:tc>
          <w:tcPr>
            <w:tcW w:w="1660" w:type="dxa"/>
            <w:vAlign w:val="center"/>
          </w:tcPr>
          <w:p w:rsidR="003E7779" w:rsidRPr="00231C79" w:rsidRDefault="003E7779" w:rsidP="00443362">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Location</w:t>
            </w:r>
            <w:r w:rsidRPr="00443362">
              <w:rPr>
                <w:rFonts w:ascii="Book Antiqua" w:hAnsi="Book Antiqua" w:cs="宋体"/>
                <w:color w:val="000000"/>
                <w:sz w:val="24"/>
                <w:szCs w:val="24"/>
                <w:vertAlign w:val="superscript"/>
                <w:lang w:eastAsia="zh-CN"/>
              </w:rPr>
              <w:t>2</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 xml:space="preserve"> </w:t>
            </w:r>
          </w:p>
        </w:tc>
        <w:tc>
          <w:tcPr>
            <w:tcW w:w="1080" w:type="dxa"/>
            <w:vMerge w:val="restart"/>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0.467</w:t>
            </w:r>
          </w:p>
        </w:tc>
      </w:tr>
      <w:tr w:rsidR="003E7779" w:rsidRPr="00261E7E" w:rsidTr="00AD5DB8">
        <w:trPr>
          <w:trHeight w:val="315"/>
        </w:trPr>
        <w:tc>
          <w:tcPr>
            <w:tcW w:w="166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Proximal</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181 (21)</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171 (21.3)</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 xml:space="preserve"> 10 (17.2)</w:t>
            </w:r>
          </w:p>
        </w:tc>
        <w:tc>
          <w:tcPr>
            <w:tcW w:w="1080" w:type="dxa"/>
            <w:vMerge/>
            <w:vAlign w:val="center"/>
          </w:tcPr>
          <w:p w:rsidR="003E7779" w:rsidRPr="00231C79" w:rsidRDefault="003E7779" w:rsidP="00231C79">
            <w:pPr>
              <w:rPr>
                <w:rFonts w:ascii="Book Antiqua" w:hAnsi="Book Antiqua" w:cs="宋体"/>
                <w:color w:val="000000"/>
                <w:sz w:val="24"/>
                <w:szCs w:val="24"/>
                <w:lang w:eastAsia="zh-CN"/>
              </w:rPr>
            </w:pPr>
          </w:p>
        </w:tc>
      </w:tr>
      <w:tr w:rsidR="003E7779" w:rsidRPr="00261E7E" w:rsidTr="00AD5DB8">
        <w:trPr>
          <w:trHeight w:val="315"/>
        </w:trPr>
        <w:tc>
          <w:tcPr>
            <w:tcW w:w="166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Other location</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681 (79)</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633 (78.7)</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 xml:space="preserve"> 48 (82.8)</w:t>
            </w:r>
          </w:p>
        </w:tc>
        <w:tc>
          <w:tcPr>
            <w:tcW w:w="1080" w:type="dxa"/>
            <w:vMerge/>
            <w:vAlign w:val="center"/>
          </w:tcPr>
          <w:p w:rsidR="003E7779" w:rsidRPr="00231C79" w:rsidRDefault="003E7779" w:rsidP="00231C79">
            <w:pPr>
              <w:rPr>
                <w:rFonts w:ascii="Book Antiqua" w:hAnsi="Book Antiqua" w:cs="宋体"/>
                <w:color w:val="000000"/>
                <w:sz w:val="24"/>
                <w:szCs w:val="24"/>
                <w:lang w:eastAsia="zh-CN"/>
              </w:rPr>
            </w:pPr>
          </w:p>
        </w:tc>
      </w:tr>
      <w:tr w:rsidR="003E7779" w:rsidRPr="00261E7E" w:rsidTr="00AD5DB8">
        <w:trPr>
          <w:trHeight w:val="330"/>
        </w:trPr>
        <w:tc>
          <w:tcPr>
            <w:tcW w:w="166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Total</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862</w:t>
            </w:r>
          </w:p>
        </w:tc>
        <w:tc>
          <w:tcPr>
            <w:tcW w:w="1080" w:type="dxa"/>
          </w:tcPr>
          <w:p w:rsidR="003E7779" w:rsidRPr="00231C79" w:rsidRDefault="003E7779" w:rsidP="00231C79">
            <w:pPr>
              <w:jc w:val="center"/>
              <w:rPr>
                <w:rFonts w:ascii="宋体" w:cs="宋体"/>
                <w:color w:val="000000"/>
                <w:sz w:val="22"/>
                <w:szCs w:val="22"/>
                <w:lang w:eastAsia="zh-CN"/>
              </w:rPr>
            </w:pPr>
            <w:r w:rsidRPr="00231C79">
              <w:rPr>
                <w:rFonts w:ascii="宋体" w:hAnsi="宋体" w:cs="宋体" w:hint="eastAsia"/>
                <w:color w:val="000000"/>
                <w:sz w:val="22"/>
                <w:szCs w:val="22"/>
                <w:lang w:eastAsia="zh-CN"/>
              </w:rPr>
              <w:t xml:space="preserve">　</w:t>
            </w:r>
          </w:p>
        </w:tc>
        <w:tc>
          <w:tcPr>
            <w:tcW w:w="1080" w:type="dxa"/>
          </w:tcPr>
          <w:p w:rsidR="003E7779" w:rsidRPr="00231C79" w:rsidRDefault="003E7779" w:rsidP="00231C79">
            <w:pPr>
              <w:jc w:val="center"/>
              <w:rPr>
                <w:rFonts w:ascii="宋体" w:cs="宋体"/>
                <w:color w:val="000000"/>
                <w:sz w:val="22"/>
                <w:szCs w:val="22"/>
                <w:lang w:eastAsia="zh-CN"/>
              </w:rPr>
            </w:pPr>
            <w:r w:rsidRPr="00231C79">
              <w:rPr>
                <w:rFonts w:ascii="宋体" w:hAnsi="宋体" w:cs="宋体" w:hint="eastAsia"/>
                <w:color w:val="000000"/>
                <w:sz w:val="22"/>
                <w:szCs w:val="22"/>
                <w:lang w:eastAsia="zh-CN"/>
              </w:rPr>
              <w:t xml:space="preserve">　</w:t>
            </w:r>
          </w:p>
        </w:tc>
        <w:tc>
          <w:tcPr>
            <w:tcW w:w="1080" w:type="dxa"/>
            <w:vMerge/>
            <w:vAlign w:val="center"/>
          </w:tcPr>
          <w:p w:rsidR="003E7779" w:rsidRPr="00231C79" w:rsidRDefault="003E7779" w:rsidP="00231C79">
            <w:pPr>
              <w:rPr>
                <w:rFonts w:ascii="Book Antiqua" w:hAnsi="Book Antiqua" w:cs="宋体"/>
                <w:color w:val="000000"/>
                <w:sz w:val="24"/>
                <w:szCs w:val="24"/>
                <w:lang w:eastAsia="zh-CN"/>
              </w:rPr>
            </w:pPr>
          </w:p>
        </w:tc>
      </w:tr>
      <w:tr w:rsidR="003E7779" w:rsidRPr="00261E7E" w:rsidTr="00AD5DB8">
        <w:trPr>
          <w:trHeight w:val="315"/>
        </w:trPr>
        <w:tc>
          <w:tcPr>
            <w:tcW w:w="166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Histology</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p>
        </w:tc>
        <w:tc>
          <w:tcPr>
            <w:tcW w:w="1080" w:type="dxa"/>
            <w:vMerge w:val="restart"/>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0.116</w:t>
            </w:r>
          </w:p>
        </w:tc>
      </w:tr>
      <w:tr w:rsidR="003E7779" w:rsidRPr="00261E7E" w:rsidTr="00AD5DB8">
        <w:trPr>
          <w:trHeight w:val="630"/>
        </w:trPr>
        <w:tc>
          <w:tcPr>
            <w:tcW w:w="166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Intestinal</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260 (43.4)</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 xml:space="preserve"> 234 (42.2)</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 xml:space="preserve"> 26 (57.8)</w:t>
            </w:r>
          </w:p>
        </w:tc>
        <w:tc>
          <w:tcPr>
            <w:tcW w:w="1080" w:type="dxa"/>
            <w:vMerge/>
            <w:vAlign w:val="center"/>
          </w:tcPr>
          <w:p w:rsidR="003E7779" w:rsidRPr="00231C79" w:rsidRDefault="003E7779" w:rsidP="00231C79">
            <w:pPr>
              <w:rPr>
                <w:rFonts w:ascii="Book Antiqua" w:hAnsi="Book Antiqua" w:cs="宋体"/>
                <w:color w:val="000000"/>
                <w:sz w:val="24"/>
                <w:szCs w:val="24"/>
                <w:lang w:eastAsia="zh-CN"/>
              </w:rPr>
            </w:pPr>
          </w:p>
        </w:tc>
      </w:tr>
      <w:tr w:rsidR="003E7779" w:rsidRPr="00261E7E" w:rsidTr="00AD5DB8">
        <w:trPr>
          <w:trHeight w:val="630"/>
        </w:trPr>
        <w:tc>
          <w:tcPr>
            <w:tcW w:w="166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Diffuse</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 xml:space="preserve">289 (48.3) </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 xml:space="preserve"> 272 (49.1)</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 xml:space="preserve"> 17 (37.8)</w:t>
            </w:r>
          </w:p>
        </w:tc>
        <w:tc>
          <w:tcPr>
            <w:tcW w:w="1080" w:type="dxa"/>
            <w:vMerge/>
            <w:vAlign w:val="center"/>
          </w:tcPr>
          <w:p w:rsidR="003E7779" w:rsidRPr="00231C79" w:rsidRDefault="003E7779" w:rsidP="00231C79">
            <w:pPr>
              <w:rPr>
                <w:rFonts w:ascii="Book Antiqua" w:hAnsi="Book Antiqua" w:cs="宋体"/>
                <w:color w:val="000000"/>
                <w:sz w:val="24"/>
                <w:szCs w:val="24"/>
                <w:lang w:eastAsia="zh-CN"/>
              </w:rPr>
            </w:pPr>
          </w:p>
        </w:tc>
      </w:tr>
      <w:tr w:rsidR="003E7779" w:rsidRPr="00261E7E" w:rsidTr="00AD5DB8">
        <w:trPr>
          <w:trHeight w:val="315"/>
        </w:trPr>
        <w:tc>
          <w:tcPr>
            <w:tcW w:w="166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Mixed</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 xml:space="preserve"> 50  (8.3)</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 xml:space="preserve">   48 (8.7)</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 xml:space="preserve">  2  (4.4)</w:t>
            </w:r>
          </w:p>
        </w:tc>
        <w:tc>
          <w:tcPr>
            <w:tcW w:w="1080" w:type="dxa"/>
            <w:vMerge/>
            <w:vAlign w:val="center"/>
          </w:tcPr>
          <w:p w:rsidR="003E7779" w:rsidRPr="00231C79" w:rsidRDefault="003E7779" w:rsidP="00231C79">
            <w:pPr>
              <w:rPr>
                <w:rFonts w:ascii="Book Antiqua" w:hAnsi="Book Antiqua" w:cs="宋体"/>
                <w:color w:val="000000"/>
                <w:sz w:val="24"/>
                <w:szCs w:val="24"/>
                <w:lang w:eastAsia="zh-CN"/>
              </w:rPr>
            </w:pPr>
          </w:p>
        </w:tc>
      </w:tr>
      <w:tr w:rsidR="003E7779" w:rsidRPr="00261E7E" w:rsidTr="00AD5DB8">
        <w:trPr>
          <w:trHeight w:val="330"/>
        </w:trPr>
        <w:tc>
          <w:tcPr>
            <w:tcW w:w="166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Total</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599</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hint="eastAsia"/>
                <w:color w:val="000000"/>
                <w:sz w:val="24"/>
                <w:szCs w:val="24"/>
                <w:lang w:eastAsia="zh-CN"/>
              </w:rPr>
              <w:t xml:space="preserve">　</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hint="eastAsia"/>
                <w:color w:val="000000"/>
                <w:sz w:val="24"/>
                <w:szCs w:val="24"/>
                <w:lang w:eastAsia="zh-CN"/>
              </w:rPr>
              <w:t xml:space="preserve">　</w:t>
            </w:r>
          </w:p>
        </w:tc>
        <w:tc>
          <w:tcPr>
            <w:tcW w:w="1080" w:type="dxa"/>
            <w:vMerge/>
            <w:vAlign w:val="center"/>
          </w:tcPr>
          <w:p w:rsidR="003E7779" w:rsidRPr="00231C79" w:rsidRDefault="003E7779" w:rsidP="00231C79">
            <w:pPr>
              <w:rPr>
                <w:rFonts w:ascii="Book Antiqua" w:hAnsi="Book Antiqua" w:cs="宋体"/>
                <w:color w:val="000000"/>
                <w:sz w:val="24"/>
                <w:szCs w:val="24"/>
                <w:lang w:eastAsia="zh-CN"/>
              </w:rPr>
            </w:pPr>
          </w:p>
        </w:tc>
      </w:tr>
      <w:tr w:rsidR="003E7779" w:rsidRPr="00261E7E" w:rsidTr="00AD5DB8">
        <w:trPr>
          <w:trHeight w:val="315"/>
        </w:trPr>
        <w:tc>
          <w:tcPr>
            <w:tcW w:w="166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Stage</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p>
        </w:tc>
        <w:tc>
          <w:tcPr>
            <w:tcW w:w="1080" w:type="dxa"/>
            <w:vMerge w:val="restart"/>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0.1</w:t>
            </w:r>
          </w:p>
        </w:tc>
      </w:tr>
      <w:tr w:rsidR="003E7779" w:rsidRPr="00261E7E" w:rsidTr="00AD5DB8">
        <w:trPr>
          <w:trHeight w:val="315"/>
        </w:trPr>
        <w:tc>
          <w:tcPr>
            <w:tcW w:w="166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Early</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119 (16.4)</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106 (15.7)</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 xml:space="preserve"> 13 (24.5)</w:t>
            </w:r>
          </w:p>
        </w:tc>
        <w:tc>
          <w:tcPr>
            <w:tcW w:w="1080" w:type="dxa"/>
            <w:vMerge/>
            <w:vAlign w:val="center"/>
          </w:tcPr>
          <w:p w:rsidR="003E7779" w:rsidRPr="00231C79" w:rsidRDefault="003E7779" w:rsidP="00231C79">
            <w:pPr>
              <w:rPr>
                <w:rFonts w:ascii="Book Antiqua" w:hAnsi="Book Antiqua" w:cs="宋体"/>
                <w:color w:val="000000"/>
                <w:sz w:val="24"/>
                <w:szCs w:val="24"/>
                <w:lang w:eastAsia="zh-CN"/>
              </w:rPr>
            </w:pPr>
          </w:p>
        </w:tc>
      </w:tr>
      <w:tr w:rsidR="003E7779" w:rsidRPr="00261E7E" w:rsidTr="00AD5DB8">
        <w:trPr>
          <w:trHeight w:val="630"/>
        </w:trPr>
        <w:tc>
          <w:tcPr>
            <w:tcW w:w="166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Advanced</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608 (83.6)</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 xml:space="preserve"> 568 (84.3)</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 xml:space="preserve"> 40 (75.5)</w:t>
            </w:r>
          </w:p>
        </w:tc>
        <w:tc>
          <w:tcPr>
            <w:tcW w:w="1080" w:type="dxa"/>
            <w:vMerge/>
            <w:vAlign w:val="center"/>
          </w:tcPr>
          <w:p w:rsidR="003E7779" w:rsidRPr="00231C79" w:rsidRDefault="003E7779" w:rsidP="00231C79">
            <w:pPr>
              <w:rPr>
                <w:rFonts w:ascii="Book Antiqua" w:hAnsi="Book Antiqua" w:cs="宋体"/>
                <w:color w:val="000000"/>
                <w:sz w:val="24"/>
                <w:szCs w:val="24"/>
                <w:lang w:eastAsia="zh-CN"/>
              </w:rPr>
            </w:pPr>
          </w:p>
        </w:tc>
      </w:tr>
      <w:tr w:rsidR="003E7779" w:rsidRPr="00261E7E" w:rsidTr="00AD5DB8">
        <w:trPr>
          <w:trHeight w:val="330"/>
        </w:trPr>
        <w:tc>
          <w:tcPr>
            <w:tcW w:w="166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Total</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727</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hint="eastAsia"/>
                <w:color w:val="000000"/>
                <w:sz w:val="24"/>
                <w:szCs w:val="24"/>
                <w:lang w:eastAsia="zh-CN"/>
              </w:rPr>
              <w:t xml:space="preserve">　</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hint="eastAsia"/>
                <w:color w:val="000000"/>
                <w:sz w:val="24"/>
                <w:szCs w:val="24"/>
                <w:lang w:eastAsia="zh-CN"/>
              </w:rPr>
              <w:t xml:space="preserve">　</w:t>
            </w:r>
          </w:p>
        </w:tc>
        <w:tc>
          <w:tcPr>
            <w:tcW w:w="1080" w:type="dxa"/>
            <w:vMerge/>
            <w:vAlign w:val="center"/>
          </w:tcPr>
          <w:p w:rsidR="003E7779" w:rsidRPr="00231C79" w:rsidRDefault="003E7779" w:rsidP="00231C79">
            <w:pPr>
              <w:rPr>
                <w:rFonts w:ascii="Book Antiqua" w:hAnsi="Book Antiqua" w:cs="宋体"/>
                <w:color w:val="000000"/>
                <w:sz w:val="24"/>
                <w:szCs w:val="24"/>
                <w:lang w:eastAsia="zh-CN"/>
              </w:rPr>
            </w:pPr>
          </w:p>
        </w:tc>
      </w:tr>
      <w:tr w:rsidR="003E7779" w:rsidRPr="00261E7E" w:rsidTr="00AD5DB8">
        <w:trPr>
          <w:trHeight w:val="315"/>
        </w:trPr>
        <w:tc>
          <w:tcPr>
            <w:tcW w:w="166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lastRenderedPageBreak/>
              <w:t>Blood group</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p>
        </w:tc>
        <w:tc>
          <w:tcPr>
            <w:tcW w:w="1080" w:type="dxa"/>
            <w:vMerge w:val="restart"/>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0.002</w:t>
            </w:r>
          </w:p>
        </w:tc>
      </w:tr>
      <w:tr w:rsidR="003E7779" w:rsidRPr="00261E7E" w:rsidTr="00AD5DB8">
        <w:trPr>
          <w:trHeight w:val="315"/>
        </w:trPr>
        <w:tc>
          <w:tcPr>
            <w:tcW w:w="166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A</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211 (37.2)</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198 (38.1)</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 xml:space="preserve"> 13 (27.1)</w:t>
            </w:r>
          </w:p>
        </w:tc>
        <w:tc>
          <w:tcPr>
            <w:tcW w:w="1080" w:type="dxa"/>
            <w:vMerge/>
            <w:vAlign w:val="center"/>
          </w:tcPr>
          <w:p w:rsidR="003E7779" w:rsidRPr="00231C79" w:rsidRDefault="003E7779" w:rsidP="00231C79">
            <w:pPr>
              <w:rPr>
                <w:rFonts w:ascii="Book Antiqua" w:hAnsi="Book Antiqua" w:cs="宋体"/>
                <w:color w:val="000000"/>
                <w:sz w:val="24"/>
                <w:szCs w:val="24"/>
                <w:lang w:eastAsia="zh-CN"/>
              </w:rPr>
            </w:pPr>
          </w:p>
        </w:tc>
      </w:tr>
      <w:tr w:rsidR="003E7779" w:rsidRPr="00261E7E" w:rsidTr="00AD5DB8">
        <w:trPr>
          <w:trHeight w:val="315"/>
        </w:trPr>
        <w:tc>
          <w:tcPr>
            <w:tcW w:w="166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B</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106 (18.7)</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 xml:space="preserve"> 98 (18.9)</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 xml:space="preserve">  8 (16.7)</w:t>
            </w:r>
          </w:p>
        </w:tc>
        <w:tc>
          <w:tcPr>
            <w:tcW w:w="1080" w:type="dxa"/>
            <w:vMerge/>
            <w:vAlign w:val="center"/>
          </w:tcPr>
          <w:p w:rsidR="003E7779" w:rsidRPr="00231C79" w:rsidRDefault="003E7779" w:rsidP="00231C79">
            <w:pPr>
              <w:rPr>
                <w:rFonts w:ascii="Book Antiqua" w:hAnsi="Book Antiqua" w:cs="宋体"/>
                <w:color w:val="000000"/>
                <w:sz w:val="24"/>
                <w:szCs w:val="24"/>
                <w:lang w:eastAsia="zh-CN"/>
              </w:rPr>
            </w:pPr>
          </w:p>
        </w:tc>
      </w:tr>
      <w:tr w:rsidR="003E7779" w:rsidRPr="00261E7E" w:rsidTr="00AD5DB8">
        <w:trPr>
          <w:trHeight w:val="315"/>
        </w:trPr>
        <w:tc>
          <w:tcPr>
            <w:tcW w:w="166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O</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191 (33.7)</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164 (31.6)</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 xml:space="preserve"> 27 (56.2)</w:t>
            </w:r>
          </w:p>
        </w:tc>
        <w:tc>
          <w:tcPr>
            <w:tcW w:w="1080" w:type="dxa"/>
            <w:vMerge/>
            <w:vAlign w:val="center"/>
          </w:tcPr>
          <w:p w:rsidR="003E7779" w:rsidRPr="00231C79" w:rsidRDefault="003E7779" w:rsidP="00231C79">
            <w:pPr>
              <w:rPr>
                <w:rFonts w:ascii="Book Antiqua" w:hAnsi="Book Antiqua" w:cs="宋体"/>
                <w:color w:val="000000"/>
                <w:sz w:val="24"/>
                <w:szCs w:val="24"/>
                <w:lang w:eastAsia="zh-CN"/>
              </w:rPr>
            </w:pPr>
          </w:p>
        </w:tc>
      </w:tr>
      <w:tr w:rsidR="003E7779" w:rsidRPr="00261E7E" w:rsidTr="00AD5DB8">
        <w:trPr>
          <w:trHeight w:val="315"/>
        </w:trPr>
        <w:tc>
          <w:tcPr>
            <w:tcW w:w="166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AB</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 xml:space="preserve"> 59 (10.4)</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 xml:space="preserve"> 59 (11.4)</w:t>
            </w:r>
          </w:p>
        </w:tc>
        <w:tc>
          <w:tcPr>
            <w:tcW w:w="1080" w:type="dxa"/>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 xml:space="preserve"> None</w:t>
            </w:r>
          </w:p>
        </w:tc>
        <w:tc>
          <w:tcPr>
            <w:tcW w:w="1080" w:type="dxa"/>
            <w:vMerge/>
            <w:vAlign w:val="center"/>
          </w:tcPr>
          <w:p w:rsidR="003E7779" w:rsidRPr="00231C79" w:rsidRDefault="003E7779" w:rsidP="00231C79">
            <w:pPr>
              <w:rPr>
                <w:rFonts w:ascii="Book Antiqua" w:hAnsi="Book Antiqua" w:cs="宋体"/>
                <w:color w:val="000000"/>
                <w:sz w:val="24"/>
                <w:szCs w:val="24"/>
                <w:lang w:eastAsia="zh-CN"/>
              </w:rPr>
            </w:pPr>
          </w:p>
        </w:tc>
      </w:tr>
      <w:tr w:rsidR="003E7779" w:rsidRPr="00261E7E" w:rsidTr="00AD5DB8">
        <w:trPr>
          <w:trHeight w:val="330"/>
        </w:trPr>
        <w:tc>
          <w:tcPr>
            <w:tcW w:w="1660" w:type="dxa"/>
            <w:tcBorders>
              <w:bottom w:val="single" w:sz="4" w:space="0" w:color="auto"/>
            </w:tcBorders>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Total</w:t>
            </w:r>
          </w:p>
        </w:tc>
        <w:tc>
          <w:tcPr>
            <w:tcW w:w="1080" w:type="dxa"/>
            <w:tcBorders>
              <w:bottom w:val="single" w:sz="4" w:space="0" w:color="auto"/>
            </w:tcBorders>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color w:val="000000"/>
                <w:sz w:val="24"/>
                <w:szCs w:val="24"/>
                <w:lang w:eastAsia="zh-CN"/>
              </w:rPr>
              <w:t>567</w:t>
            </w:r>
          </w:p>
        </w:tc>
        <w:tc>
          <w:tcPr>
            <w:tcW w:w="1080" w:type="dxa"/>
            <w:tcBorders>
              <w:bottom w:val="single" w:sz="4" w:space="0" w:color="auto"/>
            </w:tcBorders>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hint="eastAsia"/>
                <w:color w:val="000000"/>
                <w:sz w:val="24"/>
                <w:szCs w:val="24"/>
                <w:lang w:eastAsia="zh-CN"/>
              </w:rPr>
              <w:t xml:space="preserve">　</w:t>
            </w:r>
          </w:p>
        </w:tc>
        <w:tc>
          <w:tcPr>
            <w:tcW w:w="1080" w:type="dxa"/>
            <w:tcBorders>
              <w:bottom w:val="single" w:sz="4" w:space="0" w:color="auto"/>
            </w:tcBorders>
            <w:vAlign w:val="center"/>
          </w:tcPr>
          <w:p w:rsidR="003E7779" w:rsidRPr="00231C79" w:rsidRDefault="003E7779" w:rsidP="00231C79">
            <w:pPr>
              <w:jc w:val="center"/>
              <w:rPr>
                <w:rFonts w:ascii="Book Antiqua" w:hAnsi="Book Antiqua" w:cs="宋体"/>
                <w:color w:val="000000"/>
                <w:sz w:val="24"/>
                <w:szCs w:val="24"/>
                <w:lang w:eastAsia="zh-CN"/>
              </w:rPr>
            </w:pPr>
            <w:r w:rsidRPr="00231C79">
              <w:rPr>
                <w:rFonts w:ascii="Book Antiqua" w:hAnsi="Book Antiqua" w:cs="宋体" w:hint="eastAsia"/>
                <w:color w:val="000000"/>
                <w:sz w:val="24"/>
                <w:szCs w:val="24"/>
                <w:lang w:eastAsia="zh-CN"/>
              </w:rPr>
              <w:t xml:space="preserve">　</w:t>
            </w:r>
          </w:p>
        </w:tc>
        <w:tc>
          <w:tcPr>
            <w:tcW w:w="1080" w:type="dxa"/>
            <w:vMerge/>
            <w:tcBorders>
              <w:bottom w:val="single" w:sz="4" w:space="0" w:color="auto"/>
            </w:tcBorders>
            <w:vAlign w:val="center"/>
          </w:tcPr>
          <w:p w:rsidR="003E7779" w:rsidRPr="00231C79" w:rsidRDefault="003E7779" w:rsidP="00231C79">
            <w:pPr>
              <w:rPr>
                <w:rFonts w:ascii="Book Antiqua" w:hAnsi="Book Antiqua" w:cs="宋体"/>
                <w:color w:val="000000"/>
                <w:sz w:val="24"/>
                <w:szCs w:val="24"/>
                <w:lang w:eastAsia="zh-CN"/>
              </w:rPr>
            </w:pPr>
          </w:p>
        </w:tc>
      </w:tr>
    </w:tbl>
    <w:p w:rsidR="003E7779" w:rsidRDefault="003E7779" w:rsidP="004517BA">
      <w:pPr>
        <w:spacing w:line="360" w:lineRule="auto"/>
        <w:jc w:val="both"/>
        <w:rPr>
          <w:rFonts w:ascii="Book Antiqua" w:hAnsi="Book Antiqua" w:cs="Book Antiqua"/>
          <w:b/>
          <w:sz w:val="24"/>
          <w:szCs w:val="24"/>
          <w:lang w:eastAsia="zh-CN"/>
        </w:rPr>
      </w:pPr>
    </w:p>
    <w:p w:rsidR="003E7779" w:rsidRPr="00572DEC" w:rsidRDefault="003E7779" w:rsidP="004517BA">
      <w:pPr>
        <w:spacing w:line="360" w:lineRule="auto"/>
        <w:jc w:val="both"/>
        <w:rPr>
          <w:rFonts w:ascii="Book Antiqua" w:hAnsi="Book Antiqua" w:cs="Book Antiqua"/>
          <w:sz w:val="24"/>
          <w:szCs w:val="24"/>
          <w:lang w:eastAsia="zh-CN"/>
        </w:rPr>
      </w:pPr>
      <w:r w:rsidRPr="00443362">
        <w:rPr>
          <w:rFonts w:ascii="Book Antiqua" w:hAnsi="Book Antiqua" w:cs="Book Antiqua"/>
          <w:sz w:val="24"/>
          <w:szCs w:val="24"/>
          <w:vertAlign w:val="superscript"/>
          <w:lang w:eastAsia="zh-CN"/>
        </w:rPr>
        <w:t>1</w:t>
      </w:r>
      <w:r w:rsidRPr="00572DEC">
        <w:rPr>
          <w:rFonts w:ascii="Book Antiqua" w:hAnsi="Book Antiqua" w:cs="Book Antiqua"/>
          <w:sz w:val="24"/>
          <w:szCs w:val="24"/>
        </w:rPr>
        <w:t>Data are expressed as mean± SD</w:t>
      </w:r>
      <w:r>
        <w:rPr>
          <w:rFonts w:ascii="Book Antiqua" w:hAnsi="Book Antiqua" w:cs="Book Antiqua"/>
          <w:sz w:val="24"/>
          <w:szCs w:val="24"/>
          <w:lang w:eastAsia="zh-CN"/>
        </w:rPr>
        <w:t xml:space="preserve">; </w:t>
      </w:r>
      <w:r w:rsidRPr="00443362">
        <w:rPr>
          <w:rFonts w:ascii="Book Antiqua" w:hAnsi="Book Antiqua" w:cs="宋体"/>
          <w:color w:val="000000"/>
          <w:sz w:val="24"/>
          <w:szCs w:val="24"/>
          <w:vertAlign w:val="superscript"/>
          <w:lang w:eastAsia="zh-CN"/>
        </w:rPr>
        <w:t>2</w:t>
      </w:r>
      <w:r w:rsidRPr="00572DEC">
        <w:rPr>
          <w:rFonts w:ascii="Book Antiqua" w:hAnsi="Book Antiqua" w:cs="Book Antiqua"/>
          <w:sz w:val="24"/>
          <w:szCs w:val="24"/>
        </w:rPr>
        <w:t xml:space="preserve">Tumor location </w:t>
      </w:r>
      <w:r>
        <w:rPr>
          <w:rFonts w:ascii="Book Antiqua" w:hAnsi="Book Antiqua" w:cs="Book Antiqua"/>
          <w:sz w:val="24"/>
          <w:szCs w:val="24"/>
          <w:lang w:eastAsia="zh-CN"/>
        </w:rPr>
        <w:t xml:space="preserve">; </w:t>
      </w:r>
      <w:r w:rsidRPr="00572DEC">
        <w:rPr>
          <w:rFonts w:ascii="Book Antiqua" w:hAnsi="Book Antiqua" w:cs="Book Antiqua"/>
          <w:sz w:val="24"/>
          <w:szCs w:val="24"/>
        </w:rPr>
        <w:t>DS</w:t>
      </w:r>
      <w:r>
        <w:rPr>
          <w:rFonts w:ascii="Book Antiqua" w:hAnsi="Book Antiqua" w:cs="Book Antiqua"/>
          <w:sz w:val="24"/>
          <w:szCs w:val="24"/>
          <w:lang w:eastAsia="zh-CN"/>
        </w:rPr>
        <w:t>:</w:t>
      </w:r>
      <w:r w:rsidRPr="00572DEC">
        <w:rPr>
          <w:rFonts w:ascii="Book Antiqua" w:hAnsi="Book Antiqua" w:cs="Book Antiqua"/>
          <w:sz w:val="24"/>
          <w:szCs w:val="24"/>
        </w:rPr>
        <w:t xml:space="preserve"> Duration of symptoms</w:t>
      </w:r>
      <w:r>
        <w:rPr>
          <w:rFonts w:ascii="Book Antiqua" w:hAnsi="Book Antiqua" w:cs="Book Antiqua"/>
          <w:sz w:val="24"/>
          <w:szCs w:val="24"/>
          <w:lang w:eastAsia="zh-CN"/>
        </w:rPr>
        <w:t xml:space="preserve">; </w:t>
      </w:r>
      <w:r w:rsidRPr="00572DEC">
        <w:rPr>
          <w:rFonts w:ascii="Book Antiqua" w:hAnsi="Book Antiqua" w:cs="Book Antiqua"/>
          <w:sz w:val="24"/>
          <w:szCs w:val="24"/>
        </w:rPr>
        <w:t>FHC</w:t>
      </w:r>
      <w:r>
        <w:rPr>
          <w:rFonts w:ascii="Book Antiqua" w:hAnsi="Book Antiqua" w:cs="Book Antiqua"/>
          <w:sz w:val="24"/>
          <w:szCs w:val="24"/>
          <w:lang w:eastAsia="zh-CN"/>
        </w:rPr>
        <w:t>:</w:t>
      </w:r>
      <w:r w:rsidRPr="00572DEC">
        <w:rPr>
          <w:rFonts w:ascii="Book Antiqua" w:hAnsi="Book Antiqua" w:cs="Book Antiqua"/>
          <w:sz w:val="24"/>
          <w:szCs w:val="24"/>
        </w:rPr>
        <w:t xml:space="preserve"> Family history of cancer</w:t>
      </w:r>
      <w:r>
        <w:rPr>
          <w:rFonts w:ascii="Book Antiqua" w:hAnsi="Book Antiqua" w:cs="Book Antiqua"/>
          <w:sz w:val="24"/>
          <w:szCs w:val="24"/>
          <w:lang w:eastAsia="zh-CN"/>
        </w:rPr>
        <w:t>.</w:t>
      </w:r>
    </w:p>
    <w:p w:rsidR="003E7779" w:rsidRPr="00572DEC" w:rsidRDefault="003E7779" w:rsidP="004517BA">
      <w:pPr>
        <w:spacing w:line="360" w:lineRule="auto"/>
        <w:jc w:val="both"/>
        <w:rPr>
          <w:rFonts w:ascii="Book Antiqua" w:hAnsi="Book Antiqua" w:cs="Book Antiqua"/>
          <w:b/>
          <w:bCs/>
          <w:sz w:val="24"/>
          <w:szCs w:val="24"/>
        </w:rPr>
      </w:pPr>
    </w:p>
    <w:p w:rsidR="003E7779" w:rsidRPr="00572DEC" w:rsidRDefault="003E7779" w:rsidP="004517BA">
      <w:pPr>
        <w:spacing w:line="360" w:lineRule="auto"/>
        <w:jc w:val="both"/>
        <w:rPr>
          <w:rFonts w:ascii="Book Antiqua" w:hAnsi="Book Antiqua" w:cs="Book Antiqua"/>
          <w:b/>
          <w:bCs/>
          <w:sz w:val="24"/>
          <w:szCs w:val="24"/>
        </w:rPr>
      </w:pPr>
    </w:p>
    <w:p w:rsidR="003E7779" w:rsidRPr="00572DEC" w:rsidRDefault="003E7779" w:rsidP="004517BA">
      <w:pPr>
        <w:spacing w:line="360" w:lineRule="auto"/>
        <w:jc w:val="both"/>
        <w:rPr>
          <w:rFonts w:ascii="Book Antiqua" w:hAnsi="Book Antiqua" w:cs="Book Antiqua"/>
          <w:b/>
          <w:bCs/>
          <w:sz w:val="24"/>
          <w:szCs w:val="24"/>
        </w:rPr>
      </w:pPr>
    </w:p>
    <w:p w:rsidR="003E7779" w:rsidRPr="00572DEC" w:rsidRDefault="003E7779" w:rsidP="004517BA">
      <w:pPr>
        <w:spacing w:line="360" w:lineRule="auto"/>
        <w:jc w:val="both"/>
        <w:rPr>
          <w:rFonts w:ascii="Book Antiqua" w:hAnsi="Book Antiqua" w:cs="Book Antiqua"/>
          <w:b/>
          <w:bCs/>
          <w:sz w:val="24"/>
          <w:szCs w:val="24"/>
        </w:rPr>
      </w:pPr>
    </w:p>
    <w:p w:rsidR="003E7779" w:rsidRDefault="003E7779" w:rsidP="004517BA">
      <w:pPr>
        <w:spacing w:line="360" w:lineRule="auto"/>
        <w:jc w:val="both"/>
        <w:rPr>
          <w:rFonts w:ascii="Book Antiqua" w:hAnsi="Book Antiqua" w:cs="Book Antiqua"/>
          <w:b/>
          <w:bCs/>
          <w:sz w:val="24"/>
          <w:szCs w:val="24"/>
        </w:rPr>
      </w:pPr>
      <w:r>
        <w:rPr>
          <w:rFonts w:ascii="Book Antiqua" w:hAnsi="Book Antiqua" w:cs="Book Antiqua"/>
          <w:b/>
          <w:bCs/>
          <w:sz w:val="24"/>
          <w:szCs w:val="24"/>
        </w:rPr>
        <w:br w:type="page"/>
      </w:r>
    </w:p>
    <w:p w:rsidR="003E7779" w:rsidRDefault="003E7779" w:rsidP="004517BA">
      <w:pPr>
        <w:spacing w:line="360" w:lineRule="auto"/>
        <w:jc w:val="both"/>
        <w:rPr>
          <w:rFonts w:ascii="Book Antiqua" w:hAnsi="Book Antiqua" w:cs="Book Antiqua"/>
          <w:b/>
          <w:bCs/>
          <w:sz w:val="24"/>
          <w:szCs w:val="24"/>
          <w:lang w:eastAsia="zh-CN"/>
        </w:rPr>
      </w:pPr>
      <w:r w:rsidRPr="00572DEC">
        <w:rPr>
          <w:rFonts w:ascii="Book Antiqua" w:hAnsi="Book Antiqua" w:cs="Book Antiqua"/>
          <w:b/>
          <w:bCs/>
          <w:sz w:val="24"/>
          <w:szCs w:val="24"/>
        </w:rPr>
        <w:t>Table 2</w:t>
      </w:r>
      <w:r>
        <w:rPr>
          <w:rFonts w:ascii="Book Antiqua" w:hAnsi="Book Antiqua" w:cs="Book Antiqua"/>
          <w:b/>
          <w:bCs/>
          <w:sz w:val="24"/>
          <w:szCs w:val="24"/>
          <w:lang w:eastAsia="zh-CN"/>
        </w:rPr>
        <w:t xml:space="preserve"> </w:t>
      </w:r>
      <w:r w:rsidRPr="00572DEC">
        <w:rPr>
          <w:rFonts w:ascii="Book Antiqua" w:hAnsi="Book Antiqua" w:cs="Book Antiqua"/>
          <w:b/>
          <w:bCs/>
          <w:sz w:val="24"/>
          <w:szCs w:val="24"/>
        </w:rPr>
        <w:t xml:space="preserve">Comparision of the clinicopathological features of </w:t>
      </w:r>
      <w:r w:rsidRPr="00CA527F">
        <w:rPr>
          <w:rFonts w:ascii="Book Antiqua" w:hAnsi="Book Antiqua" w:cs="Book Antiqua"/>
          <w:b/>
          <w:bCs/>
          <w:sz w:val="24"/>
          <w:szCs w:val="24"/>
        </w:rPr>
        <w:t>gastric cancer</w:t>
      </w:r>
      <w:r>
        <w:rPr>
          <w:rFonts w:ascii="Book Antiqua" w:hAnsi="Book Antiqua" w:cs="Book Antiqua"/>
          <w:b/>
          <w:bCs/>
          <w:sz w:val="24"/>
          <w:szCs w:val="24"/>
          <w:lang w:eastAsia="zh-CN"/>
        </w:rPr>
        <w:t xml:space="preserve"> </w:t>
      </w:r>
      <w:r w:rsidRPr="00572DEC">
        <w:rPr>
          <w:rFonts w:ascii="Book Antiqua" w:hAnsi="Book Antiqua" w:cs="Book Antiqua"/>
          <w:b/>
          <w:bCs/>
          <w:sz w:val="24"/>
          <w:szCs w:val="24"/>
        </w:rPr>
        <w:t>patients with metachronous and synchronous tumors</w:t>
      </w:r>
      <w:r>
        <w:rPr>
          <w:rFonts w:ascii="Book Antiqua" w:hAnsi="Book Antiqua" w:cs="Book Antiqua"/>
          <w:b/>
          <w:bCs/>
          <w:sz w:val="24"/>
          <w:szCs w:val="24"/>
          <w:lang w:eastAsia="zh-CN"/>
        </w:rPr>
        <w:t xml:space="preserve"> </w:t>
      </w:r>
      <w:r w:rsidRPr="00CA527F">
        <w:rPr>
          <w:rFonts w:ascii="Book Antiqua" w:hAnsi="Book Antiqua" w:cs="宋体"/>
          <w:b/>
          <w:i/>
          <w:iCs/>
          <w:color w:val="000000"/>
          <w:sz w:val="24"/>
          <w:szCs w:val="24"/>
          <w:lang w:val="pl-PL" w:eastAsia="zh-CN"/>
        </w:rPr>
        <w:t>n</w:t>
      </w:r>
      <w:r w:rsidRPr="00CA527F">
        <w:rPr>
          <w:rFonts w:ascii="Book Antiqua" w:hAnsi="Book Antiqua" w:cs="宋体"/>
          <w:b/>
          <w:color w:val="000000"/>
          <w:sz w:val="24"/>
          <w:szCs w:val="24"/>
          <w:lang w:val="pl-PL" w:eastAsia="zh-CN"/>
        </w:rPr>
        <w:t xml:space="preserve"> (%)</w:t>
      </w:r>
    </w:p>
    <w:p w:rsidR="003E7779" w:rsidRDefault="003E7779" w:rsidP="004517BA">
      <w:pPr>
        <w:spacing w:line="360" w:lineRule="auto"/>
        <w:jc w:val="both"/>
        <w:rPr>
          <w:rFonts w:ascii="Book Antiqua" w:hAnsi="Book Antiqua" w:cs="Book Antiqua"/>
          <w:b/>
          <w:bCs/>
          <w:sz w:val="24"/>
          <w:szCs w:val="24"/>
          <w:lang w:eastAsia="zh-CN"/>
        </w:rPr>
      </w:pPr>
    </w:p>
    <w:tbl>
      <w:tblPr>
        <w:tblW w:w="7520" w:type="dxa"/>
        <w:tblInd w:w="93" w:type="dxa"/>
        <w:tblBorders>
          <w:top w:val="single" w:sz="4" w:space="0" w:color="auto"/>
          <w:bottom w:val="single" w:sz="4" w:space="0" w:color="auto"/>
        </w:tblBorders>
        <w:tblLook w:val="00A0" w:firstRow="1" w:lastRow="0" w:firstColumn="1" w:lastColumn="0" w:noHBand="0" w:noVBand="0"/>
      </w:tblPr>
      <w:tblGrid>
        <w:gridCol w:w="1722"/>
        <w:gridCol w:w="1188"/>
        <w:gridCol w:w="1790"/>
        <w:gridCol w:w="1862"/>
        <w:gridCol w:w="958"/>
      </w:tblGrid>
      <w:tr w:rsidR="003E7779" w:rsidRPr="00261E7E" w:rsidTr="00B04205">
        <w:trPr>
          <w:trHeight w:val="630"/>
        </w:trPr>
        <w:tc>
          <w:tcPr>
            <w:tcW w:w="1660" w:type="dxa"/>
            <w:vMerge w:val="restart"/>
            <w:tcBorders>
              <w:top w:val="single" w:sz="4" w:space="0" w:color="auto"/>
            </w:tcBorders>
            <w:vAlign w:val="center"/>
          </w:tcPr>
          <w:p w:rsidR="003E7779" w:rsidRPr="00CA527F" w:rsidRDefault="003E7779" w:rsidP="00CA527F">
            <w:pPr>
              <w:jc w:val="both"/>
              <w:rPr>
                <w:rFonts w:ascii="Book Antiqua" w:hAnsi="Book Antiqua" w:cs="宋体"/>
                <w:b/>
                <w:color w:val="000000"/>
                <w:sz w:val="24"/>
                <w:szCs w:val="24"/>
                <w:lang w:eastAsia="zh-CN"/>
              </w:rPr>
            </w:pPr>
            <w:r w:rsidRPr="00CA527F">
              <w:rPr>
                <w:rFonts w:ascii="Book Antiqua" w:hAnsi="Book Antiqua" w:cs="宋体"/>
                <w:b/>
                <w:color w:val="000000"/>
                <w:sz w:val="24"/>
                <w:szCs w:val="24"/>
                <w:lang w:eastAsia="zh-CN"/>
              </w:rPr>
              <w:t>Characteristic</w:t>
            </w:r>
          </w:p>
        </w:tc>
        <w:tc>
          <w:tcPr>
            <w:tcW w:w="1080" w:type="dxa"/>
            <w:tcBorders>
              <w:top w:val="single" w:sz="4" w:space="0" w:color="auto"/>
            </w:tcBorders>
            <w:vAlign w:val="center"/>
          </w:tcPr>
          <w:p w:rsidR="003E7779" w:rsidRPr="00CA527F" w:rsidRDefault="003E7779" w:rsidP="00CA527F">
            <w:pPr>
              <w:jc w:val="both"/>
              <w:rPr>
                <w:rFonts w:ascii="Book Antiqua" w:hAnsi="Book Antiqua" w:cs="宋体"/>
                <w:b/>
                <w:color w:val="000000"/>
                <w:sz w:val="24"/>
                <w:szCs w:val="24"/>
                <w:lang w:eastAsia="zh-CN"/>
              </w:rPr>
            </w:pPr>
            <w:r w:rsidRPr="00CA527F">
              <w:rPr>
                <w:rFonts w:ascii="Book Antiqua" w:hAnsi="Book Antiqua" w:cs="宋体"/>
                <w:b/>
                <w:color w:val="000000"/>
                <w:sz w:val="24"/>
                <w:szCs w:val="24"/>
                <w:lang w:eastAsia="zh-CN"/>
              </w:rPr>
              <w:t>Total</w:t>
            </w:r>
          </w:p>
        </w:tc>
        <w:tc>
          <w:tcPr>
            <w:tcW w:w="1660" w:type="dxa"/>
            <w:tcBorders>
              <w:top w:val="single" w:sz="4" w:space="0" w:color="auto"/>
            </w:tcBorders>
            <w:vAlign w:val="center"/>
          </w:tcPr>
          <w:p w:rsidR="003E7779" w:rsidRPr="00CA527F" w:rsidRDefault="003E7779" w:rsidP="00CA527F">
            <w:pPr>
              <w:jc w:val="both"/>
              <w:rPr>
                <w:rFonts w:ascii="Book Antiqua" w:hAnsi="Book Antiqua" w:cs="宋体"/>
                <w:b/>
                <w:color w:val="000000"/>
                <w:sz w:val="24"/>
                <w:szCs w:val="24"/>
                <w:lang w:eastAsia="zh-CN"/>
              </w:rPr>
            </w:pPr>
            <w:r w:rsidRPr="00CA527F">
              <w:rPr>
                <w:rFonts w:ascii="Book Antiqua" w:hAnsi="Book Antiqua" w:cs="宋体"/>
                <w:b/>
                <w:color w:val="000000"/>
                <w:sz w:val="24"/>
                <w:szCs w:val="24"/>
                <w:lang w:val="pl-PL" w:eastAsia="zh-CN"/>
              </w:rPr>
              <w:t>Metachronous</w:t>
            </w:r>
          </w:p>
        </w:tc>
        <w:tc>
          <w:tcPr>
            <w:tcW w:w="2040" w:type="dxa"/>
            <w:tcBorders>
              <w:top w:val="single" w:sz="4" w:space="0" w:color="auto"/>
            </w:tcBorders>
            <w:vAlign w:val="center"/>
          </w:tcPr>
          <w:p w:rsidR="003E7779" w:rsidRPr="00CA527F" w:rsidRDefault="003E7779" w:rsidP="00CA527F">
            <w:pPr>
              <w:jc w:val="both"/>
              <w:rPr>
                <w:rFonts w:ascii="Book Antiqua" w:hAnsi="Book Antiqua" w:cs="宋体"/>
                <w:b/>
                <w:color w:val="000000"/>
                <w:sz w:val="24"/>
                <w:szCs w:val="24"/>
                <w:lang w:eastAsia="zh-CN"/>
              </w:rPr>
            </w:pPr>
            <w:r w:rsidRPr="00CA527F">
              <w:rPr>
                <w:rFonts w:ascii="Book Antiqua" w:hAnsi="Book Antiqua" w:cs="宋体"/>
                <w:b/>
                <w:color w:val="000000"/>
                <w:sz w:val="24"/>
                <w:szCs w:val="24"/>
                <w:lang w:val="pl-PL" w:eastAsia="zh-CN"/>
              </w:rPr>
              <w:t>Synchronous</w:t>
            </w:r>
          </w:p>
        </w:tc>
        <w:tc>
          <w:tcPr>
            <w:tcW w:w="1080" w:type="dxa"/>
            <w:vMerge w:val="restart"/>
            <w:tcBorders>
              <w:top w:val="single" w:sz="4" w:space="0" w:color="auto"/>
              <w:bottom w:val="single" w:sz="4" w:space="0" w:color="auto"/>
            </w:tcBorders>
            <w:vAlign w:val="center"/>
          </w:tcPr>
          <w:p w:rsidR="003E7779" w:rsidRPr="00CA527F" w:rsidRDefault="003E7779" w:rsidP="00CA527F">
            <w:pPr>
              <w:jc w:val="both"/>
              <w:rPr>
                <w:rFonts w:ascii="Book Antiqua" w:hAnsi="Book Antiqua" w:cs="宋体"/>
                <w:b/>
                <w:i/>
                <w:iCs/>
                <w:color w:val="000000"/>
                <w:sz w:val="24"/>
                <w:szCs w:val="24"/>
                <w:lang w:eastAsia="zh-CN"/>
              </w:rPr>
            </w:pPr>
            <w:r w:rsidRPr="00CA527F">
              <w:rPr>
                <w:rFonts w:ascii="Book Antiqua" w:hAnsi="Book Antiqua" w:cs="宋体"/>
                <w:b/>
                <w:i/>
                <w:iCs/>
                <w:color w:val="000000"/>
                <w:sz w:val="24"/>
                <w:szCs w:val="24"/>
                <w:lang w:eastAsia="zh-CN"/>
              </w:rPr>
              <w:t>P</w:t>
            </w:r>
            <w:r w:rsidRPr="00CA527F">
              <w:rPr>
                <w:rFonts w:ascii="Book Antiqua" w:hAnsi="Book Antiqua" w:cs="宋体"/>
                <w:b/>
                <w:color w:val="000000"/>
                <w:sz w:val="24"/>
                <w:szCs w:val="24"/>
                <w:lang w:eastAsia="zh-CN"/>
              </w:rPr>
              <w:t xml:space="preserve"> value</w:t>
            </w:r>
          </w:p>
        </w:tc>
      </w:tr>
      <w:tr w:rsidR="003E7779" w:rsidRPr="00261E7E" w:rsidTr="00B04205">
        <w:trPr>
          <w:trHeight w:val="330"/>
        </w:trPr>
        <w:tc>
          <w:tcPr>
            <w:tcW w:w="1660" w:type="dxa"/>
            <w:vMerge/>
            <w:tcBorders>
              <w:bottom w:val="single" w:sz="4" w:space="0" w:color="auto"/>
            </w:tcBorders>
            <w:vAlign w:val="center"/>
          </w:tcPr>
          <w:p w:rsidR="003E7779" w:rsidRPr="00CA527F" w:rsidRDefault="003E7779" w:rsidP="00CA527F">
            <w:pPr>
              <w:rPr>
                <w:rFonts w:ascii="Book Antiqua" w:hAnsi="Book Antiqua" w:cs="宋体"/>
                <w:color w:val="000000"/>
                <w:sz w:val="24"/>
                <w:szCs w:val="24"/>
                <w:lang w:eastAsia="zh-CN"/>
              </w:rPr>
            </w:pPr>
          </w:p>
        </w:tc>
        <w:tc>
          <w:tcPr>
            <w:tcW w:w="1080" w:type="dxa"/>
            <w:tcBorders>
              <w:bottom w:val="single" w:sz="4" w:space="0" w:color="auto"/>
            </w:tcBorders>
            <w:vAlign w:val="center"/>
          </w:tcPr>
          <w:p w:rsidR="003E7779" w:rsidRPr="00CA527F" w:rsidRDefault="003E7779" w:rsidP="00CA527F">
            <w:pPr>
              <w:jc w:val="both"/>
              <w:rPr>
                <w:rFonts w:ascii="Book Antiqua" w:hAnsi="Book Antiqua" w:cs="宋体"/>
                <w:color w:val="000000"/>
                <w:sz w:val="24"/>
                <w:szCs w:val="24"/>
                <w:lang w:eastAsia="zh-CN"/>
              </w:rPr>
            </w:pPr>
          </w:p>
        </w:tc>
        <w:tc>
          <w:tcPr>
            <w:tcW w:w="1660" w:type="dxa"/>
            <w:tcBorders>
              <w:bottom w:val="single" w:sz="4" w:space="0" w:color="auto"/>
            </w:tcBorders>
            <w:vAlign w:val="center"/>
          </w:tcPr>
          <w:p w:rsidR="003E7779" w:rsidRPr="00CA527F" w:rsidRDefault="003E7779" w:rsidP="00CA527F">
            <w:pPr>
              <w:jc w:val="both"/>
              <w:rPr>
                <w:rFonts w:ascii="Book Antiqua" w:hAnsi="Book Antiqua" w:cs="宋体"/>
                <w:i/>
                <w:iCs/>
                <w:color w:val="000000"/>
                <w:sz w:val="24"/>
                <w:szCs w:val="24"/>
                <w:lang w:eastAsia="zh-CN"/>
              </w:rPr>
            </w:pPr>
          </w:p>
        </w:tc>
        <w:tc>
          <w:tcPr>
            <w:tcW w:w="2040" w:type="dxa"/>
            <w:tcBorders>
              <w:bottom w:val="single" w:sz="4" w:space="0" w:color="auto"/>
            </w:tcBorders>
            <w:vAlign w:val="center"/>
          </w:tcPr>
          <w:p w:rsidR="003E7779" w:rsidRPr="00CA527F" w:rsidRDefault="003E7779" w:rsidP="00CA527F">
            <w:pPr>
              <w:jc w:val="both"/>
              <w:rPr>
                <w:rFonts w:ascii="Book Antiqua" w:hAnsi="Book Antiqua" w:cs="宋体"/>
                <w:i/>
                <w:iCs/>
                <w:color w:val="000000"/>
                <w:sz w:val="24"/>
                <w:szCs w:val="24"/>
                <w:lang w:eastAsia="zh-CN"/>
              </w:rPr>
            </w:pPr>
          </w:p>
        </w:tc>
        <w:tc>
          <w:tcPr>
            <w:tcW w:w="1080" w:type="dxa"/>
            <w:vMerge/>
            <w:tcBorders>
              <w:top w:val="nil"/>
              <w:bottom w:val="single" w:sz="4" w:space="0" w:color="auto"/>
            </w:tcBorders>
            <w:vAlign w:val="center"/>
          </w:tcPr>
          <w:p w:rsidR="003E7779" w:rsidRPr="00CA527F" w:rsidRDefault="003E7779" w:rsidP="00CA527F">
            <w:pPr>
              <w:rPr>
                <w:rFonts w:ascii="Book Antiqua" w:hAnsi="Book Antiqua" w:cs="宋体"/>
                <w:i/>
                <w:iCs/>
                <w:color w:val="000000"/>
                <w:sz w:val="24"/>
                <w:szCs w:val="24"/>
                <w:lang w:eastAsia="zh-CN"/>
              </w:rPr>
            </w:pPr>
          </w:p>
        </w:tc>
      </w:tr>
      <w:tr w:rsidR="003E7779" w:rsidRPr="00261E7E" w:rsidTr="00B04205">
        <w:trPr>
          <w:trHeight w:val="315"/>
        </w:trPr>
        <w:tc>
          <w:tcPr>
            <w:tcW w:w="1660" w:type="dxa"/>
            <w:tcBorders>
              <w:top w:val="single" w:sz="4" w:space="0" w:color="auto"/>
              <w:bottom w:val="nil"/>
            </w:tcBorders>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Gender</w:t>
            </w:r>
          </w:p>
        </w:tc>
        <w:tc>
          <w:tcPr>
            <w:tcW w:w="1080" w:type="dxa"/>
            <w:tcBorders>
              <w:top w:val="single" w:sz="4" w:space="0" w:color="auto"/>
              <w:bottom w:val="nil"/>
            </w:tcBorders>
            <w:vAlign w:val="center"/>
          </w:tcPr>
          <w:p w:rsidR="003E7779" w:rsidRPr="00CA527F" w:rsidRDefault="003E7779" w:rsidP="00CA527F">
            <w:pPr>
              <w:jc w:val="both"/>
              <w:rPr>
                <w:rFonts w:ascii="Book Antiqua" w:hAnsi="Book Antiqua" w:cs="宋体"/>
                <w:color w:val="000000"/>
                <w:sz w:val="24"/>
                <w:szCs w:val="24"/>
                <w:lang w:eastAsia="zh-CN"/>
              </w:rPr>
            </w:pPr>
          </w:p>
        </w:tc>
        <w:tc>
          <w:tcPr>
            <w:tcW w:w="1660" w:type="dxa"/>
            <w:tcBorders>
              <w:top w:val="single" w:sz="4" w:space="0" w:color="auto"/>
              <w:bottom w:val="nil"/>
            </w:tcBorders>
            <w:vAlign w:val="center"/>
          </w:tcPr>
          <w:p w:rsidR="003E7779" w:rsidRPr="00CA527F" w:rsidRDefault="003E7779" w:rsidP="00CA527F">
            <w:pPr>
              <w:jc w:val="both"/>
              <w:rPr>
                <w:rFonts w:ascii="Book Antiqua" w:hAnsi="Book Antiqua" w:cs="宋体"/>
                <w:color w:val="000000"/>
                <w:sz w:val="24"/>
                <w:szCs w:val="24"/>
                <w:lang w:eastAsia="zh-CN"/>
              </w:rPr>
            </w:pPr>
          </w:p>
        </w:tc>
        <w:tc>
          <w:tcPr>
            <w:tcW w:w="2040" w:type="dxa"/>
            <w:tcBorders>
              <w:top w:val="single" w:sz="4" w:space="0" w:color="auto"/>
              <w:bottom w:val="nil"/>
            </w:tcBorders>
            <w:vAlign w:val="center"/>
          </w:tcPr>
          <w:p w:rsidR="003E7779" w:rsidRPr="00CA527F" w:rsidRDefault="003E7779" w:rsidP="00CA527F">
            <w:pPr>
              <w:jc w:val="both"/>
              <w:rPr>
                <w:rFonts w:ascii="Book Antiqua" w:hAnsi="Book Antiqua" w:cs="宋体"/>
                <w:color w:val="000000"/>
                <w:sz w:val="24"/>
                <w:szCs w:val="24"/>
                <w:lang w:eastAsia="zh-CN"/>
              </w:rPr>
            </w:pPr>
          </w:p>
        </w:tc>
        <w:tc>
          <w:tcPr>
            <w:tcW w:w="1080" w:type="dxa"/>
            <w:vMerge w:val="restart"/>
            <w:tcBorders>
              <w:top w:val="single" w:sz="4" w:space="0" w:color="auto"/>
            </w:tcBorders>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0.139</w:t>
            </w:r>
          </w:p>
        </w:tc>
      </w:tr>
      <w:tr w:rsidR="003E7779" w:rsidRPr="00261E7E" w:rsidTr="00B04205">
        <w:trPr>
          <w:trHeight w:val="315"/>
        </w:trPr>
        <w:tc>
          <w:tcPr>
            <w:tcW w:w="1660" w:type="dxa"/>
            <w:tcBorders>
              <w:top w:val="nil"/>
            </w:tcBorders>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Male</w:t>
            </w:r>
          </w:p>
        </w:tc>
        <w:tc>
          <w:tcPr>
            <w:tcW w:w="1080" w:type="dxa"/>
            <w:tcBorders>
              <w:top w:val="nil"/>
            </w:tcBorders>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34</w:t>
            </w:r>
          </w:p>
        </w:tc>
        <w:tc>
          <w:tcPr>
            <w:tcW w:w="1660" w:type="dxa"/>
            <w:tcBorders>
              <w:top w:val="nil"/>
            </w:tcBorders>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18 (52.9)</w:t>
            </w:r>
          </w:p>
        </w:tc>
        <w:tc>
          <w:tcPr>
            <w:tcW w:w="2040" w:type="dxa"/>
            <w:tcBorders>
              <w:top w:val="nil"/>
            </w:tcBorders>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16 (72.7)</w:t>
            </w:r>
          </w:p>
        </w:tc>
        <w:tc>
          <w:tcPr>
            <w:tcW w:w="1080" w:type="dxa"/>
            <w:vMerge/>
            <w:vAlign w:val="center"/>
          </w:tcPr>
          <w:p w:rsidR="003E7779" w:rsidRPr="00CA527F" w:rsidRDefault="003E7779" w:rsidP="00CA527F">
            <w:pPr>
              <w:rPr>
                <w:rFonts w:ascii="Book Antiqua" w:hAnsi="Book Antiqua" w:cs="宋体"/>
                <w:color w:val="000000"/>
                <w:sz w:val="24"/>
                <w:szCs w:val="24"/>
                <w:lang w:eastAsia="zh-CN"/>
              </w:rPr>
            </w:pPr>
          </w:p>
        </w:tc>
      </w:tr>
      <w:tr w:rsidR="003E7779" w:rsidRPr="00261E7E" w:rsidTr="00B04205">
        <w:trPr>
          <w:trHeight w:val="315"/>
        </w:trPr>
        <w:tc>
          <w:tcPr>
            <w:tcW w:w="166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Female</w:t>
            </w:r>
          </w:p>
        </w:tc>
        <w:tc>
          <w:tcPr>
            <w:tcW w:w="108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22</w:t>
            </w:r>
          </w:p>
        </w:tc>
        <w:tc>
          <w:tcPr>
            <w:tcW w:w="166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16 (47.1)</w:t>
            </w:r>
          </w:p>
        </w:tc>
        <w:tc>
          <w:tcPr>
            <w:tcW w:w="204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 xml:space="preserve"> 6 (27.3)</w:t>
            </w:r>
          </w:p>
        </w:tc>
        <w:tc>
          <w:tcPr>
            <w:tcW w:w="1080" w:type="dxa"/>
            <w:vMerge/>
            <w:vAlign w:val="center"/>
          </w:tcPr>
          <w:p w:rsidR="003E7779" w:rsidRPr="00CA527F" w:rsidRDefault="003E7779" w:rsidP="00CA527F">
            <w:pPr>
              <w:rPr>
                <w:rFonts w:ascii="Book Antiqua" w:hAnsi="Book Antiqua" w:cs="宋体"/>
                <w:color w:val="000000"/>
                <w:sz w:val="24"/>
                <w:szCs w:val="24"/>
                <w:lang w:eastAsia="zh-CN"/>
              </w:rPr>
            </w:pPr>
          </w:p>
        </w:tc>
      </w:tr>
      <w:tr w:rsidR="003E7779" w:rsidRPr="00261E7E" w:rsidTr="00B04205">
        <w:trPr>
          <w:trHeight w:val="330"/>
        </w:trPr>
        <w:tc>
          <w:tcPr>
            <w:tcW w:w="166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Total</w:t>
            </w:r>
            <w:r w:rsidRPr="00261E7E">
              <w:rPr>
                <w:rFonts w:ascii="Book Antiqua" w:hAnsi="Book Antiqua" w:cs="Book Antiqua"/>
                <w:sz w:val="24"/>
                <w:szCs w:val="24"/>
                <w:vertAlign w:val="superscript"/>
                <w:lang w:eastAsia="zh-CN"/>
              </w:rPr>
              <w:t>1</w:t>
            </w:r>
          </w:p>
        </w:tc>
        <w:tc>
          <w:tcPr>
            <w:tcW w:w="108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56</w:t>
            </w:r>
          </w:p>
        </w:tc>
        <w:tc>
          <w:tcPr>
            <w:tcW w:w="166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34</w:t>
            </w:r>
          </w:p>
        </w:tc>
        <w:tc>
          <w:tcPr>
            <w:tcW w:w="204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22</w:t>
            </w:r>
          </w:p>
        </w:tc>
        <w:tc>
          <w:tcPr>
            <w:tcW w:w="1080" w:type="dxa"/>
            <w:vMerge/>
            <w:vAlign w:val="center"/>
          </w:tcPr>
          <w:p w:rsidR="003E7779" w:rsidRPr="00CA527F" w:rsidRDefault="003E7779" w:rsidP="00CA527F">
            <w:pPr>
              <w:rPr>
                <w:rFonts w:ascii="Book Antiqua" w:hAnsi="Book Antiqua" w:cs="宋体"/>
                <w:color w:val="000000"/>
                <w:sz w:val="24"/>
                <w:szCs w:val="24"/>
                <w:lang w:eastAsia="zh-CN"/>
              </w:rPr>
            </w:pPr>
          </w:p>
        </w:tc>
      </w:tr>
      <w:tr w:rsidR="003E7779" w:rsidRPr="00261E7E" w:rsidTr="00B04205">
        <w:trPr>
          <w:trHeight w:val="345"/>
        </w:trPr>
        <w:tc>
          <w:tcPr>
            <w:tcW w:w="1660" w:type="dxa"/>
            <w:vMerge w:val="restart"/>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Age</w:t>
            </w:r>
            <w:r w:rsidRPr="00261E7E">
              <w:rPr>
                <w:rFonts w:ascii="Book Antiqua" w:hAnsi="Book Antiqua" w:cs="Book Antiqua"/>
                <w:sz w:val="24"/>
                <w:szCs w:val="24"/>
                <w:vertAlign w:val="superscript"/>
                <w:lang w:eastAsia="zh-CN"/>
              </w:rPr>
              <w:t>2</w:t>
            </w:r>
            <w:r w:rsidRPr="00CA527F">
              <w:rPr>
                <w:rFonts w:ascii="Book Antiqua" w:hAnsi="Book Antiqua" w:cs="宋体"/>
                <w:b/>
                <w:bCs/>
                <w:color w:val="000000"/>
                <w:sz w:val="24"/>
                <w:szCs w:val="24"/>
                <w:lang w:eastAsia="zh-CN"/>
              </w:rPr>
              <w:t xml:space="preserve"> </w:t>
            </w:r>
            <w:r w:rsidRPr="00CA527F">
              <w:rPr>
                <w:rFonts w:ascii="Book Antiqua" w:hAnsi="Book Antiqua" w:cs="宋体"/>
                <w:color w:val="000000"/>
                <w:sz w:val="24"/>
                <w:szCs w:val="24"/>
                <w:lang w:eastAsia="zh-CN"/>
              </w:rPr>
              <w:t>( yr)</w:t>
            </w:r>
          </w:p>
        </w:tc>
        <w:tc>
          <w:tcPr>
            <w:tcW w:w="1080" w:type="dxa"/>
            <w:vMerge w:val="restart"/>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63.1±11.3</w:t>
            </w:r>
          </w:p>
        </w:tc>
        <w:tc>
          <w:tcPr>
            <w:tcW w:w="1660" w:type="dxa"/>
            <w:vMerge w:val="restart"/>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59.9±11.1</w:t>
            </w:r>
          </w:p>
        </w:tc>
        <w:tc>
          <w:tcPr>
            <w:tcW w:w="2040" w:type="dxa"/>
            <w:vMerge w:val="restart"/>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68. 0±10.3</w:t>
            </w:r>
          </w:p>
        </w:tc>
        <w:tc>
          <w:tcPr>
            <w:tcW w:w="1080" w:type="dxa"/>
            <w:vMerge w:val="restart"/>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0.008</w:t>
            </w:r>
          </w:p>
        </w:tc>
      </w:tr>
      <w:tr w:rsidR="003E7779" w:rsidRPr="00261E7E" w:rsidTr="00B04205">
        <w:trPr>
          <w:trHeight w:val="298"/>
        </w:trPr>
        <w:tc>
          <w:tcPr>
            <w:tcW w:w="1660" w:type="dxa"/>
            <w:vMerge/>
            <w:vAlign w:val="center"/>
          </w:tcPr>
          <w:p w:rsidR="003E7779" w:rsidRPr="00CA527F" w:rsidRDefault="003E7779" w:rsidP="00CA527F">
            <w:pPr>
              <w:rPr>
                <w:rFonts w:ascii="Book Antiqua" w:hAnsi="Book Antiqua" w:cs="宋体"/>
                <w:color w:val="000000"/>
                <w:sz w:val="24"/>
                <w:szCs w:val="24"/>
                <w:lang w:eastAsia="zh-CN"/>
              </w:rPr>
            </w:pPr>
          </w:p>
        </w:tc>
        <w:tc>
          <w:tcPr>
            <w:tcW w:w="1080" w:type="dxa"/>
            <w:vMerge/>
            <w:vAlign w:val="center"/>
          </w:tcPr>
          <w:p w:rsidR="003E7779" w:rsidRPr="00CA527F" w:rsidRDefault="003E7779" w:rsidP="00CA527F">
            <w:pPr>
              <w:rPr>
                <w:rFonts w:ascii="Book Antiqua" w:hAnsi="Book Antiqua" w:cs="宋体"/>
                <w:color w:val="000000"/>
                <w:sz w:val="24"/>
                <w:szCs w:val="24"/>
                <w:lang w:eastAsia="zh-CN"/>
              </w:rPr>
            </w:pPr>
          </w:p>
        </w:tc>
        <w:tc>
          <w:tcPr>
            <w:tcW w:w="1660" w:type="dxa"/>
            <w:vMerge/>
            <w:vAlign w:val="center"/>
          </w:tcPr>
          <w:p w:rsidR="003E7779" w:rsidRPr="00CA527F" w:rsidRDefault="003E7779" w:rsidP="00CA527F">
            <w:pPr>
              <w:rPr>
                <w:rFonts w:ascii="Book Antiqua" w:hAnsi="Book Antiqua" w:cs="宋体"/>
                <w:color w:val="000000"/>
                <w:sz w:val="24"/>
                <w:szCs w:val="24"/>
                <w:lang w:eastAsia="zh-CN"/>
              </w:rPr>
            </w:pPr>
          </w:p>
        </w:tc>
        <w:tc>
          <w:tcPr>
            <w:tcW w:w="2040" w:type="dxa"/>
            <w:vMerge/>
            <w:vAlign w:val="center"/>
          </w:tcPr>
          <w:p w:rsidR="003E7779" w:rsidRPr="00CA527F" w:rsidRDefault="003E7779" w:rsidP="00CA527F">
            <w:pPr>
              <w:rPr>
                <w:rFonts w:ascii="Book Antiqua" w:hAnsi="Book Antiqua" w:cs="宋体"/>
                <w:color w:val="000000"/>
                <w:sz w:val="24"/>
                <w:szCs w:val="24"/>
                <w:lang w:eastAsia="zh-CN"/>
              </w:rPr>
            </w:pPr>
          </w:p>
        </w:tc>
        <w:tc>
          <w:tcPr>
            <w:tcW w:w="1080" w:type="dxa"/>
            <w:vMerge/>
            <w:vAlign w:val="center"/>
          </w:tcPr>
          <w:p w:rsidR="003E7779" w:rsidRPr="00CA527F" w:rsidRDefault="003E7779" w:rsidP="00CA527F">
            <w:pPr>
              <w:rPr>
                <w:rFonts w:ascii="Book Antiqua" w:hAnsi="Book Antiqua" w:cs="宋体"/>
                <w:color w:val="000000"/>
                <w:sz w:val="24"/>
                <w:szCs w:val="24"/>
                <w:lang w:eastAsia="zh-CN"/>
              </w:rPr>
            </w:pPr>
          </w:p>
        </w:tc>
      </w:tr>
      <w:tr w:rsidR="003E7779" w:rsidRPr="00261E7E" w:rsidTr="00B04205">
        <w:trPr>
          <w:trHeight w:val="298"/>
        </w:trPr>
        <w:tc>
          <w:tcPr>
            <w:tcW w:w="1660" w:type="dxa"/>
            <w:vMerge w:val="restart"/>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DS(mo)</w:t>
            </w:r>
          </w:p>
        </w:tc>
        <w:tc>
          <w:tcPr>
            <w:tcW w:w="1080" w:type="dxa"/>
            <w:vMerge w:val="restart"/>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27.3±46.9</w:t>
            </w:r>
          </w:p>
        </w:tc>
        <w:tc>
          <w:tcPr>
            <w:tcW w:w="1660" w:type="dxa"/>
            <w:vMerge w:val="restart"/>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31.7±44.0</w:t>
            </w:r>
          </w:p>
        </w:tc>
        <w:tc>
          <w:tcPr>
            <w:tcW w:w="2040" w:type="dxa"/>
            <w:vMerge w:val="restart"/>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 xml:space="preserve">22.1±54.0  </w:t>
            </w:r>
          </w:p>
        </w:tc>
        <w:tc>
          <w:tcPr>
            <w:tcW w:w="1080" w:type="dxa"/>
            <w:vMerge w:val="restart"/>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0.217</w:t>
            </w:r>
          </w:p>
        </w:tc>
      </w:tr>
      <w:tr w:rsidR="003E7779" w:rsidRPr="00261E7E" w:rsidTr="00B04205">
        <w:trPr>
          <w:trHeight w:val="298"/>
        </w:trPr>
        <w:tc>
          <w:tcPr>
            <w:tcW w:w="1660" w:type="dxa"/>
            <w:vMerge/>
            <w:vAlign w:val="center"/>
          </w:tcPr>
          <w:p w:rsidR="003E7779" w:rsidRPr="00CA527F" w:rsidRDefault="003E7779" w:rsidP="00CA527F">
            <w:pPr>
              <w:rPr>
                <w:rFonts w:ascii="Book Antiqua" w:hAnsi="Book Antiqua" w:cs="宋体"/>
                <w:color w:val="000000"/>
                <w:sz w:val="24"/>
                <w:szCs w:val="24"/>
                <w:lang w:eastAsia="zh-CN"/>
              </w:rPr>
            </w:pPr>
          </w:p>
        </w:tc>
        <w:tc>
          <w:tcPr>
            <w:tcW w:w="1080" w:type="dxa"/>
            <w:vMerge/>
            <w:vAlign w:val="center"/>
          </w:tcPr>
          <w:p w:rsidR="003E7779" w:rsidRPr="00CA527F" w:rsidRDefault="003E7779" w:rsidP="00CA527F">
            <w:pPr>
              <w:rPr>
                <w:rFonts w:ascii="Book Antiqua" w:hAnsi="Book Antiqua" w:cs="宋体"/>
                <w:color w:val="000000"/>
                <w:sz w:val="24"/>
                <w:szCs w:val="24"/>
                <w:lang w:eastAsia="zh-CN"/>
              </w:rPr>
            </w:pPr>
          </w:p>
        </w:tc>
        <w:tc>
          <w:tcPr>
            <w:tcW w:w="1660" w:type="dxa"/>
            <w:vMerge/>
            <w:vAlign w:val="center"/>
          </w:tcPr>
          <w:p w:rsidR="003E7779" w:rsidRPr="00CA527F" w:rsidRDefault="003E7779" w:rsidP="00CA527F">
            <w:pPr>
              <w:rPr>
                <w:rFonts w:ascii="Book Antiqua" w:hAnsi="Book Antiqua" w:cs="宋体"/>
                <w:color w:val="000000"/>
                <w:sz w:val="24"/>
                <w:szCs w:val="24"/>
                <w:lang w:eastAsia="zh-CN"/>
              </w:rPr>
            </w:pPr>
          </w:p>
        </w:tc>
        <w:tc>
          <w:tcPr>
            <w:tcW w:w="2040" w:type="dxa"/>
            <w:vMerge/>
            <w:vAlign w:val="center"/>
          </w:tcPr>
          <w:p w:rsidR="003E7779" w:rsidRPr="00CA527F" w:rsidRDefault="003E7779" w:rsidP="00CA527F">
            <w:pPr>
              <w:rPr>
                <w:rFonts w:ascii="Book Antiqua" w:hAnsi="Book Antiqua" w:cs="宋体"/>
                <w:color w:val="000000"/>
                <w:sz w:val="24"/>
                <w:szCs w:val="24"/>
                <w:lang w:eastAsia="zh-CN"/>
              </w:rPr>
            </w:pPr>
          </w:p>
        </w:tc>
        <w:tc>
          <w:tcPr>
            <w:tcW w:w="1080" w:type="dxa"/>
            <w:vMerge/>
            <w:vAlign w:val="center"/>
          </w:tcPr>
          <w:p w:rsidR="003E7779" w:rsidRPr="00CA527F" w:rsidRDefault="003E7779" w:rsidP="00CA527F">
            <w:pPr>
              <w:rPr>
                <w:rFonts w:ascii="Book Antiqua" w:hAnsi="Book Antiqua" w:cs="宋体"/>
                <w:color w:val="000000"/>
                <w:sz w:val="24"/>
                <w:szCs w:val="24"/>
                <w:lang w:eastAsia="zh-CN"/>
              </w:rPr>
            </w:pPr>
          </w:p>
        </w:tc>
      </w:tr>
      <w:tr w:rsidR="003E7779" w:rsidRPr="00261E7E" w:rsidTr="00B04205">
        <w:trPr>
          <w:trHeight w:val="315"/>
        </w:trPr>
        <w:tc>
          <w:tcPr>
            <w:tcW w:w="166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FHC</w:t>
            </w:r>
          </w:p>
        </w:tc>
        <w:tc>
          <w:tcPr>
            <w:tcW w:w="108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 xml:space="preserve"> </w:t>
            </w:r>
          </w:p>
        </w:tc>
        <w:tc>
          <w:tcPr>
            <w:tcW w:w="1660" w:type="dxa"/>
            <w:vAlign w:val="center"/>
          </w:tcPr>
          <w:p w:rsidR="003E7779" w:rsidRPr="00CA527F" w:rsidRDefault="003E7779" w:rsidP="00CA527F">
            <w:pPr>
              <w:jc w:val="both"/>
              <w:rPr>
                <w:rFonts w:ascii="Book Antiqua" w:hAnsi="Book Antiqua" w:cs="宋体"/>
                <w:color w:val="000000"/>
                <w:sz w:val="24"/>
                <w:szCs w:val="24"/>
                <w:lang w:eastAsia="zh-CN"/>
              </w:rPr>
            </w:pPr>
          </w:p>
        </w:tc>
        <w:tc>
          <w:tcPr>
            <w:tcW w:w="2040" w:type="dxa"/>
            <w:vAlign w:val="center"/>
          </w:tcPr>
          <w:p w:rsidR="003E7779" w:rsidRPr="00CA527F" w:rsidRDefault="003E7779" w:rsidP="00CA527F">
            <w:pPr>
              <w:jc w:val="both"/>
              <w:rPr>
                <w:rFonts w:ascii="Book Antiqua" w:hAnsi="Book Antiqua" w:cs="宋体"/>
                <w:color w:val="000000"/>
                <w:sz w:val="24"/>
                <w:szCs w:val="24"/>
                <w:lang w:eastAsia="zh-CN"/>
              </w:rPr>
            </w:pPr>
          </w:p>
        </w:tc>
        <w:tc>
          <w:tcPr>
            <w:tcW w:w="1080" w:type="dxa"/>
            <w:vMerge w:val="restart"/>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0.249</w:t>
            </w:r>
          </w:p>
        </w:tc>
      </w:tr>
      <w:tr w:rsidR="003E7779" w:rsidRPr="00261E7E" w:rsidTr="00B04205">
        <w:trPr>
          <w:trHeight w:val="315"/>
        </w:trPr>
        <w:tc>
          <w:tcPr>
            <w:tcW w:w="166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No</w:t>
            </w:r>
          </w:p>
        </w:tc>
        <w:tc>
          <w:tcPr>
            <w:tcW w:w="108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26</w:t>
            </w:r>
          </w:p>
        </w:tc>
        <w:tc>
          <w:tcPr>
            <w:tcW w:w="166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14 (53.8)</w:t>
            </w:r>
          </w:p>
        </w:tc>
        <w:tc>
          <w:tcPr>
            <w:tcW w:w="204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12 (46.2)</w:t>
            </w:r>
          </w:p>
        </w:tc>
        <w:tc>
          <w:tcPr>
            <w:tcW w:w="1080" w:type="dxa"/>
            <w:vMerge/>
            <w:vAlign w:val="center"/>
          </w:tcPr>
          <w:p w:rsidR="003E7779" w:rsidRPr="00CA527F" w:rsidRDefault="003E7779" w:rsidP="00CA527F">
            <w:pPr>
              <w:rPr>
                <w:rFonts w:ascii="Book Antiqua" w:hAnsi="Book Antiqua" w:cs="宋体"/>
                <w:color w:val="000000"/>
                <w:sz w:val="24"/>
                <w:szCs w:val="24"/>
                <w:lang w:eastAsia="zh-CN"/>
              </w:rPr>
            </w:pPr>
          </w:p>
        </w:tc>
      </w:tr>
      <w:tr w:rsidR="003E7779" w:rsidRPr="00261E7E" w:rsidTr="00B04205">
        <w:trPr>
          <w:trHeight w:val="315"/>
        </w:trPr>
        <w:tc>
          <w:tcPr>
            <w:tcW w:w="166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Yes</w:t>
            </w:r>
          </w:p>
        </w:tc>
        <w:tc>
          <w:tcPr>
            <w:tcW w:w="108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25</w:t>
            </w:r>
          </w:p>
        </w:tc>
        <w:tc>
          <w:tcPr>
            <w:tcW w:w="166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 xml:space="preserve">18 (72.0) </w:t>
            </w:r>
          </w:p>
        </w:tc>
        <w:tc>
          <w:tcPr>
            <w:tcW w:w="204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 xml:space="preserve"> 7 (28.0) </w:t>
            </w:r>
          </w:p>
        </w:tc>
        <w:tc>
          <w:tcPr>
            <w:tcW w:w="1080" w:type="dxa"/>
            <w:vMerge/>
            <w:vAlign w:val="center"/>
          </w:tcPr>
          <w:p w:rsidR="003E7779" w:rsidRPr="00CA527F" w:rsidRDefault="003E7779" w:rsidP="00CA527F">
            <w:pPr>
              <w:rPr>
                <w:rFonts w:ascii="Book Antiqua" w:hAnsi="Book Antiqua" w:cs="宋体"/>
                <w:color w:val="000000"/>
                <w:sz w:val="24"/>
                <w:szCs w:val="24"/>
                <w:lang w:eastAsia="zh-CN"/>
              </w:rPr>
            </w:pPr>
          </w:p>
        </w:tc>
      </w:tr>
      <w:tr w:rsidR="003E7779" w:rsidRPr="00261E7E" w:rsidTr="00B04205">
        <w:trPr>
          <w:trHeight w:val="330"/>
        </w:trPr>
        <w:tc>
          <w:tcPr>
            <w:tcW w:w="166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Total</w:t>
            </w:r>
          </w:p>
        </w:tc>
        <w:tc>
          <w:tcPr>
            <w:tcW w:w="108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51</w:t>
            </w:r>
          </w:p>
        </w:tc>
        <w:tc>
          <w:tcPr>
            <w:tcW w:w="166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 xml:space="preserve"> </w:t>
            </w:r>
          </w:p>
        </w:tc>
        <w:tc>
          <w:tcPr>
            <w:tcW w:w="204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hint="eastAsia"/>
                <w:color w:val="000000"/>
                <w:sz w:val="24"/>
                <w:szCs w:val="24"/>
                <w:lang w:eastAsia="zh-CN"/>
              </w:rPr>
              <w:t xml:space="preserve">　</w:t>
            </w:r>
          </w:p>
        </w:tc>
        <w:tc>
          <w:tcPr>
            <w:tcW w:w="1080" w:type="dxa"/>
            <w:vMerge/>
            <w:vAlign w:val="center"/>
          </w:tcPr>
          <w:p w:rsidR="003E7779" w:rsidRPr="00CA527F" w:rsidRDefault="003E7779" w:rsidP="00CA527F">
            <w:pPr>
              <w:rPr>
                <w:rFonts w:ascii="Book Antiqua" w:hAnsi="Book Antiqua" w:cs="宋体"/>
                <w:color w:val="000000"/>
                <w:sz w:val="24"/>
                <w:szCs w:val="24"/>
                <w:lang w:eastAsia="zh-CN"/>
              </w:rPr>
            </w:pPr>
          </w:p>
        </w:tc>
      </w:tr>
      <w:tr w:rsidR="003E7779" w:rsidRPr="00261E7E" w:rsidTr="00B04205">
        <w:trPr>
          <w:trHeight w:val="315"/>
        </w:trPr>
        <w:tc>
          <w:tcPr>
            <w:tcW w:w="166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Location</w:t>
            </w:r>
            <w:r w:rsidRPr="00261E7E">
              <w:rPr>
                <w:rFonts w:ascii="Book Antiqua" w:hAnsi="Book Antiqua" w:cs="Book Antiqua"/>
                <w:sz w:val="24"/>
                <w:szCs w:val="24"/>
                <w:vertAlign w:val="superscript"/>
                <w:lang w:eastAsia="zh-CN"/>
              </w:rPr>
              <w:t>3</w:t>
            </w:r>
          </w:p>
        </w:tc>
        <w:tc>
          <w:tcPr>
            <w:tcW w:w="1080" w:type="dxa"/>
            <w:vAlign w:val="center"/>
          </w:tcPr>
          <w:p w:rsidR="003E7779" w:rsidRPr="00CA527F" w:rsidRDefault="003E7779" w:rsidP="00CA527F">
            <w:pPr>
              <w:jc w:val="both"/>
              <w:rPr>
                <w:rFonts w:ascii="Book Antiqua" w:hAnsi="Book Antiqua" w:cs="宋体"/>
                <w:color w:val="000000"/>
                <w:sz w:val="24"/>
                <w:szCs w:val="24"/>
                <w:lang w:eastAsia="zh-CN"/>
              </w:rPr>
            </w:pPr>
          </w:p>
        </w:tc>
        <w:tc>
          <w:tcPr>
            <w:tcW w:w="1660" w:type="dxa"/>
            <w:vAlign w:val="center"/>
          </w:tcPr>
          <w:p w:rsidR="003E7779" w:rsidRPr="00CA527F" w:rsidRDefault="003E7779" w:rsidP="00CA527F">
            <w:pPr>
              <w:jc w:val="both"/>
              <w:rPr>
                <w:rFonts w:ascii="Book Antiqua" w:hAnsi="Book Antiqua" w:cs="宋体"/>
                <w:color w:val="000000"/>
                <w:sz w:val="24"/>
                <w:szCs w:val="24"/>
                <w:lang w:eastAsia="zh-CN"/>
              </w:rPr>
            </w:pPr>
          </w:p>
        </w:tc>
        <w:tc>
          <w:tcPr>
            <w:tcW w:w="2040" w:type="dxa"/>
            <w:vAlign w:val="center"/>
          </w:tcPr>
          <w:p w:rsidR="003E7779" w:rsidRPr="00CA527F" w:rsidRDefault="003E7779" w:rsidP="00CA527F">
            <w:pPr>
              <w:jc w:val="both"/>
              <w:rPr>
                <w:rFonts w:ascii="Book Antiqua" w:hAnsi="Book Antiqua" w:cs="宋体"/>
                <w:color w:val="000000"/>
                <w:sz w:val="24"/>
                <w:szCs w:val="24"/>
                <w:lang w:eastAsia="zh-CN"/>
              </w:rPr>
            </w:pPr>
          </w:p>
        </w:tc>
        <w:tc>
          <w:tcPr>
            <w:tcW w:w="1080" w:type="dxa"/>
            <w:vMerge w:val="restart"/>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0.724</w:t>
            </w:r>
          </w:p>
        </w:tc>
      </w:tr>
      <w:tr w:rsidR="003E7779" w:rsidRPr="00261E7E" w:rsidTr="00B04205">
        <w:trPr>
          <w:trHeight w:val="315"/>
        </w:trPr>
        <w:tc>
          <w:tcPr>
            <w:tcW w:w="166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Proximal</w:t>
            </w:r>
          </w:p>
        </w:tc>
        <w:tc>
          <w:tcPr>
            <w:tcW w:w="108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10</w:t>
            </w:r>
          </w:p>
        </w:tc>
        <w:tc>
          <w:tcPr>
            <w:tcW w:w="166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 xml:space="preserve"> 7 (70.0)</w:t>
            </w:r>
          </w:p>
        </w:tc>
        <w:tc>
          <w:tcPr>
            <w:tcW w:w="204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 xml:space="preserve"> 3 (30.0)</w:t>
            </w:r>
          </w:p>
        </w:tc>
        <w:tc>
          <w:tcPr>
            <w:tcW w:w="1080" w:type="dxa"/>
            <w:vMerge/>
            <w:vAlign w:val="center"/>
          </w:tcPr>
          <w:p w:rsidR="003E7779" w:rsidRPr="00CA527F" w:rsidRDefault="003E7779" w:rsidP="00CA527F">
            <w:pPr>
              <w:rPr>
                <w:rFonts w:ascii="Book Antiqua" w:hAnsi="Book Antiqua" w:cs="宋体"/>
                <w:color w:val="000000"/>
                <w:sz w:val="24"/>
                <w:szCs w:val="24"/>
                <w:lang w:eastAsia="zh-CN"/>
              </w:rPr>
            </w:pPr>
          </w:p>
        </w:tc>
      </w:tr>
      <w:tr w:rsidR="003E7779" w:rsidRPr="00261E7E" w:rsidTr="00B04205">
        <w:trPr>
          <w:trHeight w:val="315"/>
        </w:trPr>
        <w:tc>
          <w:tcPr>
            <w:tcW w:w="166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Other location</w:t>
            </w:r>
          </w:p>
        </w:tc>
        <w:tc>
          <w:tcPr>
            <w:tcW w:w="108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46</w:t>
            </w:r>
          </w:p>
        </w:tc>
        <w:tc>
          <w:tcPr>
            <w:tcW w:w="166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27 (58.7)</w:t>
            </w:r>
          </w:p>
        </w:tc>
        <w:tc>
          <w:tcPr>
            <w:tcW w:w="204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19 (41.3)</w:t>
            </w:r>
          </w:p>
        </w:tc>
        <w:tc>
          <w:tcPr>
            <w:tcW w:w="1080" w:type="dxa"/>
            <w:vMerge/>
            <w:vAlign w:val="center"/>
          </w:tcPr>
          <w:p w:rsidR="003E7779" w:rsidRPr="00CA527F" w:rsidRDefault="003E7779" w:rsidP="00CA527F">
            <w:pPr>
              <w:rPr>
                <w:rFonts w:ascii="Book Antiqua" w:hAnsi="Book Antiqua" w:cs="宋体"/>
                <w:color w:val="000000"/>
                <w:sz w:val="24"/>
                <w:szCs w:val="24"/>
                <w:lang w:eastAsia="zh-CN"/>
              </w:rPr>
            </w:pPr>
          </w:p>
        </w:tc>
      </w:tr>
      <w:tr w:rsidR="003E7779" w:rsidRPr="00261E7E" w:rsidTr="00B04205">
        <w:trPr>
          <w:trHeight w:val="330"/>
        </w:trPr>
        <w:tc>
          <w:tcPr>
            <w:tcW w:w="166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Total</w:t>
            </w:r>
          </w:p>
        </w:tc>
        <w:tc>
          <w:tcPr>
            <w:tcW w:w="108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56</w:t>
            </w:r>
          </w:p>
        </w:tc>
        <w:tc>
          <w:tcPr>
            <w:tcW w:w="1660" w:type="dxa"/>
          </w:tcPr>
          <w:p w:rsidR="003E7779" w:rsidRPr="00CA527F" w:rsidRDefault="003E7779" w:rsidP="00CA527F">
            <w:pPr>
              <w:rPr>
                <w:rFonts w:ascii="宋体" w:cs="宋体"/>
                <w:color w:val="000000"/>
                <w:sz w:val="22"/>
                <w:szCs w:val="22"/>
                <w:lang w:eastAsia="zh-CN"/>
              </w:rPr>
            </w:pPr>
            <w:r w:rsidRPr="00CA527F">
              <w:rPr>
                <w:rFonts w:ascii="宋体" w:hAnsi="宋体" w:cs="宋体" w:hint="eastAsia"/>
                <w:color w:val="000000"/>
                <w:sz w:val="22"/>
                <w:szCs w:val="22"/>
                <w:lang w:eastAsia="zh-CN"/>
              </w:rPr>
              <w:t xml:space="preserve">　</w:t>
            </w:r>
          </w:p>
        </w:tc>
        <w:tc>
          <w:tcPr>
            <w:tcW w:w="2040" w:type="dxa"/>
          </w:tcPr>
          <w:p w:rsidR="003E7779" w:rsidRPr="00CA527F" w:rsidRDefault="003E7779" w:rsidP="00CA527F">
            <w:pPr>
              <w:rPr>
                <w:rFonts w:ascii="宋体" w:cs="宋体"/>
                <w:color w:val="000000"/>
                <w:sz w:val="22"/>
                <w:szCs w:val="22"/>
                <w:lang w:eastAsia="zh-CN"/>
              </w:rPr>
            </w:pPr>
            <w:r w:rsidRPr="00CA527F">
              <w:rPr>
                <w:rFonts w:ascii="宋体" w:hAnsi="宋体" w:cs="宋体" w:hint="eastAsia"/>
                <w:color w:val="000000"/>
                <w:sz w:val="22"/>
                <w:szCs w:val="22"/>
                <w:lang w:eastAsia="zh-CN"/>
              </w:rPr>
              <w:t xml:space="preserve">　</w:t>
            </w:r>
          </w:p>
        </w:tc>
        <w:tc>
          <w:tcPr>
            <w:tcW w:w="1080" w:type="dxa"/>
            <w:vMerge/>
            <w:vAlign w:val="center"/>
          </w:tcPr>
          <w:p w:rsidR="003E7779" w:rsidRPr="00CA527F" w:rsidRDefault="003E7779" w:rsidP="00CA527F">
            <w:pPr>
              <w:rPr>
                <w:rFonts w:ascii="Book Antiqua" w:hAnsi="Book Antiqua" w:cs="宋体"/>
                <w:color w:val="000000"/>
                <w:sz w:val="24"/>
                <w:szCs w:val="24"/>
                <w:lang w:eastAsia="zh-CN"/>
              </w:rPr>
            </w:pPr>
          </w:p>
        </w:tc>
      </w:tr>
      <w:tr w:rsidR="003E7779" w:rsidRPr="00261E7E" w:rsidTr="00B04205">
        <w:trPr>
          <w:trHeight w:val="315"/>
        </w:trPr>
        <w:tc>
          <w:tcPr>
            <w:tcW w:w="166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Histology</w:t>
            </w:r>
          </w:p>
        </w:tc>
        <w:tc>
          <w:tcPr>
            <w:tcW w:w="1080" w:type="dxa"/>
            <w:vAlign w:val="center"/>
          </w:tcPr>
          <w:p w:rsidR="003E7779" w:rsidRPr="00CA527F" w:rsidRDefault="003E7779" w:rsidP="00CA527F">
            <w:pPr>
              <w:jc w:val="both"/>
              <w:rPr>
                <w:rFonts w:ascii="Book Antiqua" w:hAnsi="Book Antiqua" w:cs="宋体"/>
                <w:color w:val="000000"/>
                <w:sz w:val="24"/>
                <w:szCs w:val="24"/>
                <w:lang w:eastAsia="zh-CN"/>
              </w:rPr>
            </w:pPr>
          </w:p>
        </w:tc>
        <w:tc>
          <w:tcPr>
            <w:tcW w:w="1660" w:type="dxa"/>
            <w:vAlign w:val="center"/>
          </w:tcPr>
          <w:p w:rsidR="003E7779" w:rsidRPr="00CA527F" w:rsidRDefault="003E7779" w:rsidP="00CA527F">
            <w:pPr>
              <w:jc w:val="both"/>
              <w:rPr>
                <w:rFonts w:ascii="Book Antiqua" w:hAnsi="Book Antiqua" w:cs="宋体"/>
                <w:color w:val="000000"/>
                <w:sz w:val="24"/>
                <w:szCs w:val="24"/>
                <w:lang w:eastAsia="zh-CN"/>
              </w:rPr>
            </w:pPr>
          </w:p>
        </w:tc>
        <w:tc>
          <w:tcPr>
            <w:tcW w:w="204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 xml:space="preserve"> </w:t>
            </w:r>
          </w:p>
        </w:tc>
        <w:tc>
          <w:tcPr>
            <w:tcW w:w="1080" w:type="dxa"/>
            <w:vMerge w:val="restart"/>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0.835</w:t>
            </w:r>
          </w:p>
        </w:tc>
      </w:tr>
      <w:tr w:rsidR="003E7779" w:rsidRPr="00261E7E" w:rsidTr="00B04205">
        <w:trPr>
          <w:trHeight w:val="315"/>
        </w:trPr>
        <w:tc>
          <w:tcPr>
            <w:tcW w:w="166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Intestinal</w:t>
            </w:r>
          </w:p>
        </w:tc>
        <w:tc>
          <w:tcPr>
            <w:tcW w:w="108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24</w:t>
            </w:r>
          </w:p>
        </w:tc>
        <w:tc>
          <w:tcPr>
            <w:tcW w:w="166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16 (66.7)</w:t>
            </w:r>
          </w:p>
        </w:tc>
        <w:tc>
          <w:tcPr>
            <w:tcW w:w="204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 xml:space="preserve"> 8 (33.3)</w:t>
            </w:r>
          </w:p>
        </w:tc>
        <w:tc>
          <w:tcPr>
            <w:tcW w:w="1080" w:type="dxa"/>
            <w:vMerge/>
            <w:vAlign w:val="center"/>
          </w:tcPr>
          <w:p w:rsidR="003E7779" w:rsidRPr="00CA527F" w:rsidRDefault="003E7779" w:rsidP="00CA527F">
            <w:pPr>
              <w:rPr>
                <w:rFonts w:ascii="Book Antiqua" w:hAnsi="Book Antiqua" w:cs="宋体"/>
                <w:color w:val="000000"/>
                <w:sz w:val="24"/>
                <w:szCs w:val="24"/>
                <w:lang w:eastAsia="zh-CN"/>
              </w:rPr>
            </w:pPr>
          </w:p>
        </w:tc>
      </w:tr>
      <w:tr w:rsidR="003E7779" w:rsidRPr="00261E7E" w:rsidTr="00B04205">
        <w:trPr>
          <w:trHeight w:val="315"/>
        </w:trPr>
        <w:tc>
          <w:tcPr>
            <w:tcW w:w="166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Diffuse</w:t>
            </w:r>
          </w:p>
        </w:tc>
        <w:tc>
          <w:tcPr>
            <w:tcW w:w="108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17</w:t>
            </w:r>
          </w:p>
        </w:tc>
        <w:tc>
          <w:tcPr>
            <w:tcW w:w="166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12 (70.6)</w:t>
            </w:r>
          </w:p>
        </w:tc>
        <w:tc>
          <w:tcPr>
            <w:tcW w:w="204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 xml:space="preserve"> 5 (29.4)</w:t>
            </w:r>
          </w:p>
        </w:tc>
        <w:tc>
          <w:tcPr>
            <w:tcW w:w="1080" w:type="dxa"/>
            <w:vMerge/>
            <w:vAlign w:val="center"/>
          </w:tcPr>
          <w:p w:rsidR="003E7779" w:rsidRPr="00CA527F" w:rsidRDefault="003E7779" w:rsidP="00CA527F">
            <w:pPr>
              <w:rPr>
                <w:rFonts w:ascii="Book Antiqua" w:hAnsi="Book Antiqua" w:cs="宋体"/>
                <w:color w:val="000000"/>
                <w:sz w:val="24"/>
                <w:szCs w:val="24"/>
                <w:lang w:eastAsia="zh-CN"/>
              </w:rPr>
            </w:pPr>
          </w:p>
        </w:tc>
      </w:tr>
      <w:tr w:rsidR="003E7779" w:rsidRPr="00261E7E" w:rsidTr="00B04205">
        <w:trPr>
          <w:trHeight w:val="315"/>
        </w:trPr>
        <w:tc>
          <w:tcPr>
            <w:tcW w:w="166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Mixed</w:t>
            </w:r>
          </w:p>
        </w:tc>
        <w:tc>
          <w:tcPr>
            <w:tcW w:w="108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2</w:t>
            </w:r>
          </w:p>
        </w:tc>
        <w:tc>
          <w:tcPr>
            <w:tcW w:w="166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 xml:space="preserve"> 1 (50.0)</w:t>
            </w:r>
          </w:p>
        </w:tc>
        <w:tc>
          <w:tcPr>
            <w:tcW w:w="204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 xml:space="preserve"> 1 (50.0)</w:t>
            </w:r>
          </w:p>
        </w:tc>
        <w:tc>
          <w:tcPr>
            <w:tcW w:w="1080" w:type="dxa"/>
            <w:vMerge/>
            <w:vAlign w:val="center"/>
          </w:tcPr>
          <w:p w:rsidR="003E7779" w:rsidRPr="00CA527F" w:rsidRDefault="003E7779" w:rsidP="00CA527F">
            <w:pPr>
              <w:rPr>
                <w:rFonts w:ascii="Book Antiqua" w:hAnsi="Book Antiqua" w:cs="宋体"/>
                <w:color w:val="000000"/>
                <w:sz w:val="24"/>
                <w:szCs w:val="24"/>
                <w:lang w:eastAsia="zh-CN"/>
              </w:rPr>
            </w:pPr>
          </w:p>
        </w:tc>
      </w:tr>
      <w:tr w:rsidR="003E7779" w:rsidRPr="00261E7E" w:rsidTr="00B04205">
        <w:trPr>
          <w:trHeight w:val="330"/>
        </w:trPr>
        <w:tc>
          <w:tcPr>
            <w:tcW w:w="166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Total</w:t>
            </w:r>
          </w:p>
        </w:tc>
        <w:tc>
          <w:tcPr>
            <w:tcW w:w="108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43</w:t>
            </w:r>
          </w:p>
        </w:tc>
        <w:tc>
          <w:tcPr>
            <w:tcW w:w="166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 xml:space="preserve"> </w:t>
            </w:r>
          </w:p>
        </w:tc>
        <w:tc>
          <w:tcPr>
            <w:tcW w:w="204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 xml:space="preserve"> </w:t>
            </w:r>
          </w:p>
        </w:tc>
        <w:tc>
          <w:tcPr>
            <w:tcW w:w="1080" w:type="dxa"/>
            <w:vMerge/>
            <w:vAlign w:val="center"/>
          </w:tcPr>
          <w:p w:rsidR="003E7779" w:rsidRPr="00CA527F" w:rsidRDefault="003E7779" w:rsidP="00CA527F">
            <w:pPr>
              <w:rPr>
                <w:rFonts w:ascii="Book Antiqua" w:hAnsi="Book Antiqua" w:cs="宋体"/>
                <w:color w:val="000000"/>
                <w:sz w:val="24"/>
                <w:szCs w:val="24"/>
                <w:lang w:eastAsia="zh-CN"/>
              </w:rPr>
            </w:pPr>
          </w:p>
        </w:tc>
      </w:tr>
      <w:tr w:rsidR="003E7779" w:rsidRPr="00261E7E" w:rsidTr="00B04205">
        <w:trPr>
          <w:trHeight w:val="315"/>
        </w:trPr>
        <w:tc>
          <w:tcPr>
            <w:tcW w:w="166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Stage</w:t>
            </w:r>
          </w:p>
        </w:tc>
        <w:tc>
          <w:tcPr>
            <w:tcW w:w="1080" w:type="dxa"/>
            <w:vAlign w:val="center"/>
          </w:tcPr>
          <w:p w:rsidR="003E7779" w:rsidRPr="00CA527F" w:rsidRDefault="003E7779" w:rsidP="00CA527F">
            <w:pPr>
              <w:jc w:val="both"/>
              <w:rPr>
                <w:rFonts w:ascii="Book Antiqua" w:hAnsi="Book Antiqua" w:cs="宋体"/>
                <w:color w:val="000000"/>
                <w:sz w:val="24"/>
                <w:szCs w:val="24"/>
                <w:lang w:eastAsia="zh-CN"/>
              </w:rPr>
            </w:pPr>
          </w:p>
        </w:tc>
        <w:tc>
          <w:tcPr>
            <w:tcW w:w="1660" w:type="dxa"/>
            <w:vAlign w:val="center"/>
          </w:tcPr>
          <w:p w:rsidR="003E7779" w:rsidRPr="00CA527F" w:rsidRDefault="003E7779" w:rsidP="00CA527F">
            <w:pPr>
              <w:jc w:val="both"/>
              <w:rPr>
                <w:rFonts w:ascii="Book Antiqua" w:hAnsi="Book Antiqua" w:cs="宋体"/>
                <w:color w:val="000000"/>
                <w:sz w:val="24"/>
                <w:szCs w:val="24"/>
                <w:lang w:eastAsia="zh-CN"/>
              </w:rPr>
            </w:pPr>
          </w:p>
        </w:tc>
        <w:tc>
          <w:tcPr>
            <w:tcW w:w="204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 xml:space="preserve"> </w:t>
            </w:r>
          </w:p>
        </w:tc>
        <w:tc>
          <w:tcPr>
            <w:tcW w:w="1080" w:type="dxa"/>
            <w:vMerge w:val="restart"/>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0.553</w:t>
            </w:r>
          </w:p>
        </w:tc>
      </w:tr>
      <w:tr w:rsidR="003E7779" w:rsidRPr="00261E7E" w:rsidTr="00B04205">
        <w:trPr>
          <w:trHeight w:val="315"/>
        </w:trPr>
        <w:tc>
          <w:tcPr>
            <w:tcW w:w="166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Early</w:t>
            </w:r>
          </w:p>
        </w:tc>
        <w:tc>
          <w:tcPr>
            <w:tcW w:w="108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13</w:t>
            </w:r>
          </w:p>
        </w:tc>
        <w:tc>
          <w:tcPr>
            <w:tcW w:w="166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 xml:space="preserve"> 7 (53.8)</w:t>
            </w:r>
          </w:p>
        </w:tc>
        <w:tc>
          <w:tcPr>
            <w:tcW w:w="204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 xml:space="preserve"> 6 (46.2)</w:t>
            </w:r>
          </w:p>
        </w:tc>
        <w:tc>
          <w:tcPr>
            <w:tcW w:w="1080" w:type="dxa"/>
            <w:vMerge/>
            <w:vAlign w:val="center"/>
          </w:tcPr>
          <w:p w:rsidR="003E7779" w:rsidRPr="00CA527F" w:rsidRDefault="003E7779" w:rsidP="00CA527F">
            <w:pPr>
              <w:rPr>
                <w:rFonts w:ascii="Book Antiqua" w:hAnsi="Book Antiqua" w:cs="宋体"/>
                <w:color w:val="000000"/>
                <w:sz w:val="24"/>
                <w:szCs w:val="24"/>
                <w:lang w:eastAsia="zh-CN"/>
              </w:rPr>
            </w:pPr>
          </w:p>
        </w:tc>
      </w:tr>
      <w:tr w:rsidR="003E7779" w:rsidRPr="00261E7E" w:rsidTr="00B04205">
        <w:trPr>
          <w:trHeight w:val="315"/>
        </w:trPr>
        <w:tc>
          <w:tcPr>
            <w:tcW w:w="166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Advanced</w:t>
            </w:r>
          </w:p>
        </w:tc>
        <w:tc>
          <w:tcPr>
            <w:tcW w:w="108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38</w:t>
            </w:r>
          </w:p>
        </w:tc>
        <w:tc>
          <w:tcPr>
            <w:tcW w:w="166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24 (63.2)</w:t>
            </w:r>
          </w:p>
        </w:tc>
        <w:tc>
          <w:tcPr>
            <w:tcW w:w="204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14 (36.8)</w:t>
            </w:r>
          </w:p>
        </w:tc>
        <w:tc>
          <w:tcPr>
            <w:tcW w:w="1080" w:type="dxa"/>
            <w:vMerge/>
            <w:vAlign w:val="center"/>
          </w:tcPr>
          <w:p w:rsidR="003E7779" w:rsidRPr="00CA527F" w:rsidRDefault="003E7779" w:rsidP="00CA527F">
            <w:pPr>
              <w:rPr>
                <w:rFonts w:ascii="Book Antiqua" w:hAnsi="Book Antiqua" w:cs="宋体"/>
                <w:color w:val="000000"/>
                <w:sz w:val="24"/>
                <w:szCs w:val="24"/>
                <w:lang w:eastAsia="zh-CN"/>
              </w:rPr>
            </w:pPr>
          </w:p>
        </w:tc>
      </w:tr>
      <w:tr w:rsidR="003E7779" w:rsidRPr="00261E7E" w:rsidTr="00B04205">
        <w:trPr>
          <w:trHeight w:val="330"/>
        </w:trPr>
        <w:tc>
          <w:tcPr>
            <w:tcW w:w="166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Total</w:t>
            </w:r>
          </w:p>
        </w:tc>
        <w:tc>
          <w:tcPr>
            <w:tcW w:w="108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51</w:t>
            </w:r>
          </w:p>
        </w:tc>
        <w:tc>
          <w:tcPr>
            <w:tcW w:w="166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 xml:space="preserve"> </w:t>
            </w:r>
          </w:p>
        </w:tc>
        <w:tc>
          <w:tcPr>
            <w:tcW w:w="204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 xml:space="preserve">  </w:t>
            </w:r>
          </w:p>
        </w:tc>
        <w:tc>
          <w:tcPr>
            <w:tcW w:w="1080" w:type="dxa"/>
            <w:vMerge/>
            <w:vAlign w:val="center"/>
          </w:tcPr>
          <w:p w:rsidR="003E7779" w:rsidRPr="00CA527F" w:rsidRDefault="003E7779" w:rsidP="00CA527F">
            <w:pPr>
              <w:rPr>
                <w:rFonts w:ascii="Book Antiqua" w:hAnsi="Book Antiqua" w:cs="宋体"/>
                <w:color w:val="000000"/>
                <w:sz w:val="24"/>
                <w:szCs w:val="24"/>
                <w:lang w:eastAsia="zh-CN"/>
              </w:rPr>
            </w:pPr>
          </w:p>
        </w:tc>
      </w:tr>
      <w:tr w:rsidR="003E7779" w:rsidRPr="00261E7E" w:rsidTr="00B04205">
        <w:trPr>
          <w:trHeight w:val="315"/>
        </w:trPr>
        <w:tc>
          <w:tcPr>
            <w:tcW w:w="166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Blood group</w:t>
            </w:r>
          </w:p>
        </w:tc>
        <w:tc>
          <w:tcPr>
            <w:tcW w:w="1080" w:type="dxa"/>
            <w:vAlign w:val="center"/>
          </w:tcPr>
          <w:p w:rsidR="003E7779" w:rsidRPr="00CA527F" w:rsidRDefault="003E7779" w:rsidP="00CA527F">
            <w:pPr>
              <w:jc w:val="both"/>
              <w:rPr>
                <w:rFonts w:ascii="Book Antiqua" w:hAnsi="Book Antiqua" w:cs="宋体"/>
                <w:color w:val="000000"/>
                <w:sz w:val="24"/>
                <w:szCs w:val="24"/>
                <w:lang w:eastAsia="zh-CN"/>
              </w:rPr>
            </w:pPr>
          </w:p>
        </w:tc>
        <w:tc>
          <w:tcPr>
            <w:tcW w:w="1660" w:type="dxa"/>
            <w:vAlign w:val="center"/>
          </w:tcPr>
          <w:p w:rsidR="003E7779" w:rsidRPr="00CA527F" w:rsidRDefault="003E7779" w:rsidP="00CA527F">
            <w:pPr>
              <w:jc w:val="both"/>
              <w:rPr>
                <w:rFonts w:ascii="Book Antiqua" w:hAnsi="Book Antiqua" w:cs="宋体"/>
                <w:color w:val="000000"/>
                <w:sz w:val="24"/>
                <w:szCs w:val="24"/>
                <w:lang w:eastAsia="zh-CN"/>
              </w:rPr>
            </w:pPr>
          </w:p>
        </w:tc>
        <w:tc>
          <w:tcPr>
            <w:tcW w:w="2040" w:type="dxa"/>
            <w:vAlign w:val="center"/>
          </w:tcPr>
          <w:p w:rsidR="003E7779" w:rsidRPr="00CA527F" w:rsidRDefault="003E7779" w:rsidP="00CA527F">
            <w:pPr>
              <w:jc w:val="both"/>
              <w:rPr>
                <w:rFonts w:ascii="Book Antiqua" w:hAnsi="Book Antiqua" w:cs="宋体"/>
                <w:color w:val="000000"/>
                <w:sz w:val="24"/>
                <w:szCs w:val="24"/>
                <w:lang w:eastAsia="zh-CN"/>
              </w:rPr>
            </w:pPr>
          </w:p>
        </w:tc>
        <w:tc>
          <w:tcPr>
            <w:tcW w:w="1080" w:type="dxa"/>
            <w:vMerge w:val="restart"/>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0.675</w:t>
            </w:r>
          </w:p>
        </w:tc>
      </w:tr>
      <w:tr w:rsidR="003E7779" w:rsidRPr="00261E7E" w:rsidTr="00B04205">
        <w:trPr>
          <w:trHeight w:val="315"/>
        </w:trPr>
        <w:tc>
          <w:tcPr>
            <w:tcW w:w="166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A</w:t>
            </w:r>
          </w:p>
        </w:tc>
        <w:tc>
          <w:tcPr>
            <w:tcW w:w="108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13</w:t>
            </w:r>
          </w:p>
        </w:tc>
        <w:tc>
          <w:tcPr>
            <w:tcW w:w="166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 xml:space="preserve"> 9 (69.2)</w:t>
            </w:r>
          </w:p>
        </w:tc>
        <w:tc>
          <w:tcPr>
            <w:tcW w:w="204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 xml:space="preserve"> 4 (30.8)</w:t>
            </w:r>
          </w:p>
        </w:tc>
        <w:tc>
          <w:tcPr>
            <w:tcW w:w="1080" w:type="dxa"/>
            <w:vMerge/>
            <w:vAlign w:val="center"/>
          </w:tcPr>
          <w:p w:rsidR="003E7779" w:rsidRPr="00CA527F" w:rsidRDefault="003E7779" w:rsidP="00CA527F">
            <w:pPr>
              <w:rPr>
                <w:rFonts w:ascii="Book Antiqua" w:hAnsi="Book Antiqua" w:cs="宋体"/>
                <w:color w:val="000000"/>
                <w:sz w:val="24"/>
                <w:szCs w:val="24"/>
                <w:lang w:eastAsia="zh-CN"/>
              </w:rPr>
            </w:pPr>
          </w:p>
        </w:tc>
      </w:tr>
      <w:tr w:rsidR="003E7779" w:rsidRPr="00261E7E" w:rsidTr="00B04205">
        <w:trPr>
          <w:trHeight w:val="315"/>
        </w:trPr>
        <w:tc>
          <w:tcPr>
            <w:tcW w:w="166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B</w:t>
            </w:r>
          </w:p>
        </w:tc>
        <w:tc>
          <w:tcPr>
            <w:tcW w:w="108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8</w:t>
            </w:r>
          </w:p>
        </w:tc>
        <w:tc>
          <w:tcPr>
            <w:tcW w:w="166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 xml:space="preserve"> 4 (50.0)</w:t>
            </w:r>
          </w:p>
        </w:tc>
        <w:tc>
          <w:tcPr>
            <w:tcW w:w="204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 xml:space="preserve"> 4 (50.0)</w:t>
            </w:r>
          </w:p>
        </w:tc>
        <w:tc>
          <w:tcPr>
            <w:tcW w:w="1080" w:type="dxa"/>
            <w:vMerge/>
            <w:vAlign w:val="center"/>
          </w:tcPr>
          <w:p w:rsidR="003E7779" w:rsidRPr="00CA527F" w:rsidRDefault="003E7779" w:rsidP="00CA527F">
            <w:pPr>
              <w:rPr>
                <w:rFonts w:ascii="Book Antiqua" w:hAnsi="Book Antiqua" w:cs="宋体"/>
                <w:color w:val="000000"/>
                <w:sz w:val="24"/>
                <w:szCs w:val="24"/>
                <w:lang w:eastAsia="zh-CN"/>
              </w:rPr>
            </w:pPr>
          </w:p>
        </w:tc>
      </w:tr>
      <w:tr w:rsidR="003E7779" w:rsidRPr="00261E7E" w:rsidTr="00B04205">
        <w:trPr>
          <w:trHeight w:val="315"/>
        </w:trPr>
        <w:tc>
          <w:tcPr>
            <w:tcW w:w="166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O</w:t>
            </w:r>
          </w:p>
        </w:tc>
        <w:tc>
          <w:tcPr>
            <w:tcW w:w="108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25</w:t>
            </w:r>
          </w:p>
        </w:tc>
        <w:tc>
          <w:tcPr>
            <w:tcW w:w="166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15 (60.0)</w:t>
            </w:r>
          </w:p>
        </w:tc>
        <w:tc>
          <w:tcPr>
            <w:tcW w:w="204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10 (40.0)</w:t>
            </w:r>
          </w:p>
        </w:tc>
        <w:tc>
          <w:tcPr>
            <w:tcW w:w="1080" w:type="dxa"/>
            <w:vMerge/>
            <w:vAlign w:val="center"/>
          </w:tcPr>
          <w:p w:rsidR="003E7779" w:rsidRPr="00CA527F" w:rsidRDefault="003E7779" w:rsidP="00CA527F">
            <w:pPr>
              <w:rPr>
                <w:rFonts w:ascii="Book Antiqua" w:hAnsi="Book Antiqua" w:cs="宋体"/>
                <w:color w:val="000000"/>
                <w:sz w:val="24"/>
                <w:szCs w:val="24"/>
                <w:lang w:eastAsia="zh-CN"/>
              </w:rPr>
            </w:pPr>
          </w:p>
        </w:tc>
      </w:tr>
      <w:tr w:rsidR="003E7779" w:rsidRPr="00261E7E" w:rsidTr="00B04205">
        <w:trPr>
          <w:trHeight w:val="315"/>
        </w:trPr>
        <w:tc>
          <w:tcPr>
            <w:tcW w:w="166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AB</w:t>
            </w:r>
          </w:p>
        </w:tc>
        <w:tc>
          <w:tcPr>
            <w:tcW w:w="108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None</w:t>
            </w:r>
          </w:p>
        </w:tc>
        <w:tc>
          <w:tcPr>
            <w:tcW w:w="166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None</w:t>
            </w:r>
          </w:p>
        </w:tc>
        <w:tc>
          <w:tcPr>
            <w:tcW w:w="2040" w:type="dxa"/>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None</w:t>
            </w:r>
          </w:p>
        </w:tc>
        <w:tc>
          <w:tcPr>
            <w:tcW w:w="1080" w:type="dxa"/>
            <w:vMerge/>
            <w:vAlign w:val="center"/>
          </w:tcPr>
          <w:p w:rsidR="003E7779" w:rsidRPr="00CA527F" w:rsidRDefault="003E7779" w:rsidP="00CA527F">
            <w:pPr>
              <w:rPr>
                <w:rFonts w:ascii="Book Antiqua" w:hAnsi="Book Antiqua" w:cs="宋体"/>
                <w:color w:val="000000"/>
                <w:sz w:val="24"/>
                <w:szCs w:val="24"/>
                <w:lang w:eastAsia="zh-CN"/>
              </w:rPr>
            </w:pPr>
          </w:p>
        </w:tc>
      </w:tr>
      <w:tr w:rsidR="003E7779" w:rsidRPr="00261E7E" w:rsidTr="00B04205">
        <w:trPr>
          <w:trHeight w:val="330"/>
        </w:trPr>
        <w:tc>
          <w:tcPr>
            <w:tcW w:w="1660" w:type="dxa"/>
            <w:tcBorders>
              <w:bottom w:val="single" w:sz="4" w:space="0" w:color="auto"/>
            </w:tcBorders>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Total</w:t>
            </w:r>
          </w:p>
        </w:tc>
        <w:tc>
          <w:tcPr>
            <w:tcW w:w="1080" w:type="dxa"/>
            <w:tcBorders>
              <w:bottom w:val="single" w:sz="4" w:space="0" w:color="auto"/>
            </w:tcBorders>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46</w:t>
            </w:r>
          </w:p>
        </w:tc>
        <w:tc>
          <w:tcPr>
            <w:tcW w:w="1660" w:type="dxa"/>
            <w:tcBorders>
              <w:bottom w:val="single" w:sz="4" w:space="0" w:color="auto"/>
            </w:tcBorders>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 xml:space="preserve">  </w:t>
            </w:r>
          </w:p>
        </w:tc>
        <w:tc>
          <w:tcPr>
            <w:tcW w:w="2040" w:type="dxa"/>
            <w:tcBorders>
              <w:bottom w:val="single" w:sz="4" w:space="0" w:color="auto"/>
            </w:tcBorders>
            <w:vAlign w:val="center"/>
          </w:tcPr>
          <w:p w:rsidR="003E7779" w:rsidRPr="00CA527F" w:rsidRDefault="003E7779" w:rsidP="00CA527F">
            <w:pPr>
              <w:jc w:val="both"/>
              <w:rPr>
                <w:rFonts w:ascii="Book Antiqua" w:hAnsi="Book Antiqua" w:cs="宋体"/>
                <w:color w:val="000000"/>
                <w:sz w:val="24"/>
                <w:szCs w:val="24"/>
                <w:lang w:eastAsia="zh-CN"/>
              </w:rPr>
            </w:pPr>
            <w:r w:rsidRPr="00CA527F">
              <w:rPr>
                <w:rFonts w:ascii="Book Antiqua" w:hAnsi="Book Antiqua" w:cs="宋体"/>
                <w:color w:val="000000"/>
                <w:sz w:val="24"/>
                <w:szCs w:val="24"/>
                <w:lang w:eastAsia="zh-CN"/>
              </w:rPr>
              <w:t xml:space="preserve"> </w:t>
            </w:r>
          </w:p>
        </w:tc>
        <w:tc>
          <w:tcPr>
            <w:tcW w:w="1080" w:type="dxa"/>
            <w:vMerge/>
            <w:tcBorders>
              <w:bottom w:val="single" w:sz="4" w:space="0" w:color="auto"/>
            </w:tcBorders>
            <w:vAlign w:val="center"/>
          </w:tcPr>
          <w:p w:rsidR="003E7779" w:rsidRPr="00CA527F" w:rsidRDefault="003E7779" w:rsidP="00CA527F">
            <w:pPr>
              <w:rPr>
                <w:rFonts w:ascii="Book Antiqua" w:hAnsi="Book Antiqua" w:cs="宋体"/>
                <w:color w:val="000000"/>
                <w:sz w:val="24"/>
                <w:szCs w:val="24"/>
                <w:lang w:eastAsia="zh-CN"/>
              </w:rPr>
            </w:pPr>
          </w:p>
        </w:tc>
      </w:tr>
    </w:tbl>
    <w:p w:rsidR="003E7779" w:rsidRDefault="003E7779" w:rsidP="004517BA">
      <w:pPr>
        <w:spacing w:line="360" w:lineRule="auto"/>
        <w:jc w:val="both"/>
        <w:rPr>
          <w:rFonts w:ascii="Book Antiqua" w:hAnsi="Book Antiqua" w:cs="Book Antiqua"/>
          <w:b/>
          <w:bCs/>
          <w:sz w:val="24"/>
          <w:szCs w:val="24"/>
          <w:lang w:eastAsia="zh-CN"/>
        </w:rPr>
      </w:pPr>
    </w:p>
    <w:p w:rsidR="003E7779" w:rsidRPr="00572DEC" w:rsidRDefault="003E7779" w:rsidP="004517BA">
      <w:pPr>
        <w:spacing w:line="360" w:lineRule="auto"/>
        <w:jc w:val="both"/>
        <w:rPr>
          <w:rFonts w:ascii="Book Antiqua" w:hAnsi="Book Antiqua" w:cs="Book Antiqua"/>
          <w:sz w:val="24"/>
          <w:szCs w:val="24"/>
          <w:lang w:eastAsia="zh-CN"/>
        </w:rPr>
      </w:pPr>
      <w:r w:rsidRPr="009A7DCE">
        <w:rPr>
          <w:rFonts w:ascii="Book Antiqua" w:hAnsi="Book Antiqua" w:cs="Book Antiqua"/>
          <w:sz w:val="24"/>
          <w:szCs w:val="24"/>
          <w:vertAlign w:val="superscript"/>
          <w:lang w:eastAsia="zh-CN"/>
        </w:rPr>
        <w:lastRenderedPageBreak/>
        <w:t>1</w:t>
      </w:r>
      <w:r w:rsidRPr="00572DEC">
        <w:rPr>
          <w:rFonts w:ascii="Book Antiqua" w:hAnsi="Book Antiqua" w:cs="Book Antiqua"/>
          <w:sz w:val="24"/>
          <w:szCs w:val="24"/>
        </w:rPr>
        <w:t>Two patients were excluded from this comparison because they developed</w:t>
      </w:r>
      <w:r>
        <w:rPr>
          <w:rFonts w:ascii="Book Antiqua" w:hAnsi="Book Antiqua" w:cs="Book Antiqua"/>
          <w:sz w:val="24"/>
          <w:szCs w:val="24"/>
          <w:lang w:eastAsia="zh-CN"/>
        </w:rPr>
        <w:t xml:space="preserve"> </w:t>
      </w:r>
      <w:r w:rsidRPr="00572DEC">
        <w:rPr>
          <w:rFonts w:ascii="Book Antiqua" w:hAnsi="Book Antiqua" w:cs="Book Antiqua"/>
          <w:sz w:val="24"/>
          <w:szCs w:val="24"/>
        </w:rPr>
        <w:t>both metachronous and synchronous cancers</w:t>
      </w:r>
      <w:r>
        <w:rPr>
          <w:rFonts w:ascii="Book Antiqua" w:hAnsi="Book Antiqua" w:cs="Book Antiqua"/>
          <w:sz w:val="24"/>
          <w:szCs w:val="24"/>
          <w:lang w:eastAsia="zh-CN"/>
        </w:rPr>
        <w:t xml:space="preserve">; </w:t>
      </w:r>
      <w:r w:rsidRPr="00257852">
        <w:rPr>
          <w:rFonts w:ascii="Book Antiqua" w:hAnsi="Book Antiqua" w:cs="Book Antiqua"/>
          <w:sz w:val="24"/>
          <w:szCs w:val="24"/>
          <w:vertAlign w:val="superscript"/>
          <w:lang w:eastAsia="zh-CN"/>
        </w:rPr>
        <w:t>2</w:t>
      </w:r>
      <w:r w:rsidRPr="00572DEC">
        <w:rPr>
          <w:rFonts w:ascii="Book Antiqua" w:hAnsi="Book Antiqua" w:cs="Book Antiqua"/>
          <w:sz w:val="24"/>
          <w:szCs w:val="24"/>
        </w:rPr>
        <w:t>Data are expressed as mean± SD</w:t>
      </w:r>
      <w:r>
        <w:rPr>
          <w:rFonts w:ascii="Book Antiqua" w:hAnsi="Book Antiqua" w:cs="Book Antiqua"/>
          <w:sz w:val="24"/>
          <w:szCs w:val="24"/>
          <w:lang w:eastAsia="zh-CN"/>
        </w:rPr>
        <w:t xml:space="preserve">; </w:t>
      </w:r>
      <w:r w:rsidRPr="00FF5C0C">
        <w:rPr>
          <w:rFonts w:ascii="Book Antiqua" w:hAnsi="Book Antiqua" w:cs="Book Antiqua"/>
          <w:sz w:val="24"/>
          <w:szCs w:val="24"/>
          <w:vertAlign w:val="superscript"/>
          <w:lang w:eastAsia="zh-CN"/>
        </w:rPr>
        <w:t>3</w:t>
      </w:r>
      <w:r w:rsidRPr="00572DEC">
        <w:rPr>
          <w:rFonts w:ascii="Book Antiqua" w:hAnsi="Book Antiqua" w:cs="Book Antiqua"/>
          <w:sz w:val="24"/>
          <w:szCs w:val="24"/>
        </w:rPr>
        <w:t xml:space="preserve">Tumor </w:t>
      </w:r>
      <w:r>
        <w:rPr>
          <w:rFonts w:ascii="Book Antiqua" w:hAnsi="Book Antiqua" w:cs="Book Antiqua"/>
          <w:sz w:val="24"/>
          <w:szCs w:val="24"/>
        </w:rPr>
        <w:t>location.</w:t>
      </w:r>
      <w:r>
        <w:rPr>
          <w:rFonts w:ascii="Book Antiqua" w:hAnsi="Book Antiqua" w:cs="Book Antiqua"/>
          <w:sz w:val="24"/>
          <w:szCs w:val="24"/>
          <w:lang w:eastAsia="zh-CN"/>
        </w:rPr>
        <w:t xml:space="preserve"> </w:t>
      </w:r>
      <w:r w:rsidRPr="00572DEC">
        <w:rPr>
          <w:rFonts w:ascii="Book Antiqua" w:hAnsi="Book Antiqua" w:cs="Book Antiqua"/>
          <w:sz w:val="24"/>
          <w:szCs w:val="24"/>
        </w:rPr>
        <w:t>DS</w:t>
      </w:r>
      <w:r>
        <w:rPr>
          <w:rFonts w:ascii="Book Antiqua" w:hAnsi="Book Antiqua" w:cs="Book Antiqua"/>
          <w:sz w:val="24"/>
          <w:szCs w:val="24"/>
          <w:lang w:eastAsia="zh-CN"/>
        </w:rPr>
        <w:t>:</w:t>
      </w:r>
      <w:r w:rsidRPr="00572DEC">
        <w:rPr>
          <w:rFonts w:ascii="Book Antiqua" w:hAnsi="Book Antiqua" w:cs="Book Antiqua"/>
          <w:sz w:val="24"/>
          <w:szCs w:val="24"/>
        </w:rPr>
        <w:t xml:space="preserve"> Duration of symptoms</w:t>
      </w:r>
      <w:r>
        <w:rPr>
          <w:rFonts w:ascii="Book Antiqua" w:hAnsi="Book Antiqua" w:cs="Book Antiqua"/>
          <w:sz w:val="24"/>
          <w:szCs w:val="24"/>
          <w:lang w:eastAsia="zh-CN"/>
        </w:rPr>
        <w:t xml:space="preserve">; </w:t>
      </w:r>
      <w:r w:rsidRPr="00572DEC">
        <w:rPr>
          <w:rFonts w:ascii="Book Antiqua" w:hAnsi="Book Antiqua" w:cs="Book Antiqua"/>
          <w:sz w:val="24"/>
          <w:szCs w:val="24"/>
        </w:rPr>
        <w:t>FHC</w:t>
      </w:r>
      <w:r>
        <w:rPr>
          <w:rFonts w:ascii="Book Antiqua" w:hAnsi="Book Antiqua" w:cs="Book Antiqua"/>
          <w:sz w:val="24"/>
          <w:szCs w:val="24"/>
          <w:lang w:eastAsia="zh-CN"/>
        </w:rPr>
        <w:t>:</w:t>
      </w:r>
      <w:r w:rsidRPr="00572DEC">
        <w:rPr>
          <w:rFonts w:ascii="Book Antiqua" w:hAnsi="Book Antiqua" w:cs="Book Antiqua"/>
          <w:sz w:val="24"/>
          <w:szCs w:val="24"/>
        </w:rPr>
        <w:t xml:space="preserve"> Family history of cancer</w:t>
      </w:r>
      <w:r>
        <w:rPr>
          <w:rFonts w:ascii="Book Antiqua" w:hAnsi="Book Antiqua" w:cs="Book Antiqua"/>
          <w:sz w:val="24"/>
          <w:szCs w:val="24"/>
          <w:lang w:eastAsia="zh-CN"/>
        </w:rPr>
        <w:t>.</w:t>
      </w:r>
    </w:p>
    <w:p w:rsidR="003E7779" w:rsidRPr="00572DEC" w:rsidRDefault="003E7779" w:rsidP="004517BA">
      <w:pPr>
        <w:spacing w:line="360" w:lineRule="auto"/>
        <w:jc w:val="both"/>
        <w:rPr>
          <w:rFonts w:ascii="Book Antiqua" w:hAnsi="Book Antiqua" w:cs="Book Antiqua"/>
          <w:b/>
          <w:bCs/>
          <w:sz w:val="24"/>
          <w:szCs w:val="24"/>
        </w:rPr>
      </w:pPr>
    </w:p>
    <w:p w:rsidR="003E7779" w:rsidRPr="00572DEC" w:rsidRDefault="003E7779" w:rsidP="004517BA">
      <w:pPr>
        <w:spacing w:line="360" w:lineRule="auto"/>
        <w:jc w:val="both"/>
        <w:rPr>
          <w:rFonts w:ascii="Book Antiqua" w:hAnsi="Book Antiqua" w:cs="Book Antiqua"/>
          <w:b/>
          <w:bCs/>
          <w:sz w:val="24"/>
          <w:szCs w:val="24"/>
        </w:rPr>
      </w:pPr>
    </w:p>
    <w:p w:rsidR="003E7779" w:rsidRPr="00572DEC" w:rsidRDefault="003E7779" w:rsidP="004517BA">
      <w:pPr>
        <w:spacing w:line="360" w:lineRule="auto"/>
        <w:jc w:val="both"/>
        <w:rPr>
          <w:rFonts w:ascii="Book Antiqua" w:hAnsi="Book Antiqua" w:cs="Book Antiqua"/>
          <w:sz w:val="24"/>
          <w:szCs w:val="24"/>
        </w:rPr>
      </w:pPr>
      <w:r w:rsidRPr="00572DEC">
        <w:rPr>
          <w:rFonts w:ascii="Book Antiqua" w:hAnsi="Book Antiqua" w:cs="Book Antiqua"/>
          <w:b/>
          <w:bCs/>
          <w:sz w:val="24"/>
          <w:szCs w:val="24"/>
        </w:rPr>
        <w:br w:type="page"/>
      </w:r>
    </w:p>
    <w:p w:rsidR="003E7779" w:rsidRPr="00572DEC" w:rsidRDefault="003E7779" w:rsidP="00CA527F">
      <w:pPr>
        <w:spacing w:line="360" w:lineRule="auto"/>
        <w:jc w:val="both"/>
        <w:rPr>
          <w:rFonts w:ascii="Book Antiqua" w:hAnsi="Book Antiqua"/>
          <w:b/>
          <w:sz w:val="24"/>
          <w:szCs w:val="24"/>
          <w:lang w:eastAsia="zh-CN"/>
        </w:rPr>
      </w:pPr>
      <w:r w:rsidRPr="00572DEC">
        <w:rPr>
          <w:rFonts w:ascii="Book Antiqua" w:hAnsi="Book Antiqua"/>
          <w:b/>
          <w:sz w:val="24"/>
          <w:szCs w:val="24"/>
        </w:rPr>
        <w:t>Table 3 Sites of additional synchronous and metachronous cancers</w:t>
      </w:r>
      <w:r>
        <w:rPr>
          <w:rFonts w:ascii="Book Antiqua" w:hAnsi="Book Antiqua"/>
          <w:b/>
          <w:sz w:val="24"/>
          <w:szCs w:val="24"/>
          <w:lang w:eastAsia="zh-CN"/>
        </w:rPr>
        <w:t xml:space="preserve"> </w:t>
      </w:r>
      <w:r w:rsidRPr="00572DEC">
        <w:rPr>
          <w:rFonts w:ascii="Book Antiqua" w:hAnsi="Book Antiqua"/>
          <w:b/>
          <w:sz w:val="24"/>
          <w:szCs w:val="24"/>
        </w:rPr>
        <w:t xml:space="preserve">in </w:t>
      </w:r>
      <w:r w:rsidRPr="00CA527F">
        <w:rPr>
          <w:rFonts w:ascii="Book Antiqua" w:hAnsi="Book Antiqua"/>
          <w:b/>
          <w:sz w:val="24"/>
          <w:szCs w:val="24"/>
        </w:rPr>
        <w:t>gastric cancer</w:t>
      </w:r>
      <w:r>
        <w:rPr>
          <w:rFonts w:ascii="Book Antiqua" w:hAnsi="Book Antiqua"/>
          <w:b/>
          <w:sz w:val="24"/>
          <w:szCs w:val="24"/>
        </w:rPr>
        <w:t xml:space="preserve"> patients</w:t>
      </w:r>
      <w:r>
        <w:rPr>
          <w:rFonts w:ascii="Book Antiqua" w:hAnsi="Book Antiqua"/>
          <w:b/>
          <w:sz w:val="24"/>
          <w:szCs w:val="24"/>
          <w:lang w:eastAsia="zh-CN"/>
        </w:rPr>
        <w:t xml:space="preserve"> </w:t>
      </w:r>
      <w:r w:rsidRPr="0025615A">
        <w:rPr>
          <w:rFonts w:ascii="Book Antiqua" w:hAnsi="Book Antiqua"/>
          <w:b/>
          <w:i/>
          <w:sz w:val="24"/>
          <w:szCs w:val="24"/>
          <w:lang w:eastAsia="zh-CN"/>
        </w:rPr>
        <w:t>n</w:t>
      </w:r>
      <w:r w:rsidRPr="0025615A">
        <w:rPr>
          <w:rFonts w:ascii="Book Antiqua" w:hAnsi="Book Antiqua"/>
          <w:b/>
          <w:sz w:val="24"/>
          <w:szCs w:val="24"/>
          <w:lang w:eastAsia="zh-CN"/>
        </w:rPr>
        <w:t xml:space="preserve"> </w:t>
      </w:r>
      <w:r w:rsidRPr="0025615A">
        <w:rPr>
          <w:rFonts w:ascii="Book Antiqua" w:hAnsi="Book Antiqua"/>
          <w:b/>
          <w:sz w:val="24"/>
          <w:szCs w:val="24"/>
        </w:rPr>
        <w:t>(%)</w:t>
      </w:r>
    </w:p>
    <w:tbl>
      <w:tblPr>
        <w:tblpPr w:leftFromText="141" w:rightFromText="141" w:vertAnchor="text" w:tblpY="1"/>
        <w:tblOverlap w:val="never"/>
        <w:tblW w:w="0" w:type="auto"/>
        <w:tblInd w:w="708" w:type="dxa"/>
        <w:tblLook w:val="00A0" w:firstRow="1" w:lastRow="0" w:firstColumn="1" w:lastColumn="0" w:noHBand="0" w:noVBand="0"/>
      </w:tblPr>
      <w:tblGrid>
        <w:gridCol w:w="1941"/>
        <w:gridCol w:w="1454"/>
        <w:gridCol w:w="1790"/>
        <w:gridCol w:w="1656"/>
      </w:tblGrid>
      <w:tr w:rsidR="003E7779" w:rsidRPr="00261E7E" w:rsidTr="00261E7E">
        <w:tc>
          <w:tcPr>
            <w:tcW w:w="0" w:type="auto"/>
            <w:tcBorders>
              <w:top w:val="single" w:sz="4" w:space="0" w:color="auto"/>
              <w:bottom w:val="single" w:sz="4" w:space="0" w:color="auto"/>
            </w:tcBorders>
            <w:vAlign w:val="center"/>
          </w:tcPr>
          <w:p w:rsidR="003E7779" w:rsidRPr="00261E7E" w:rsidRDefault="003E7779" w:rsidP="00261E7E">
            <w:pPr>
              <w:spacing w:line="360" w:lineRule="auto"/>
              <w:jc w:val="both"/>
              <w:rPr>
                <w:rFonts w:ascii="Book Antiqua" w:hAnsi="Book Antiqua"/>
                <w:b/>
                <w:sz w:val="24"/>
                <w:szCs w:val="24"/>
              </w:rPr>
            </w:pPr>
            <w:r w:rsidRPr="00261E7E">
              <w:rPr>
                <w:rFonts w:ascii="Book Antiqua" w:hAnsi="Book Antiqua"/>
                <w:b/>
                <w:sz w:val="24"/>
                <w:szCs w:val="24"/>
              </w:rPr>
              <w:t>Site</w:t>
            </w:r>
          </w:p>
        </w:tc>
        <w:tc>
          <w:tcPr>
            <w:tcW w:w="1454" w:type="dxa"/>
            <w:tcBorders>
              <w:top w:val="single" w:sz="4" w:space="0" w:color="auto"/>
              <w:bottom w:val="single" w:sz="4" w:space="0" w:color="auto"/>
            </w:tcBorders>
            <w:vAlign w:val="center"/>
          </w:tcPr>
          <w:p w:rsidR="003E7779" w:rsidRPr="00261E7E" w:rsidRDefault="003E7779" w:rsidP="00261E7E">
            <w:pPr>
              <w:spacing w:line="360" w:lineRule="auto"/>
              <w:jc w:val="both"/>
              <w:rPr>
                <w:rFonts w:ascii="Book Antiqua" w:hAnsi="Book Antiqua"/>
                <w:b/>
                <w:sz w:val="24"/>
                <w:szCs w:val="24"/>
              </w:rPr>
            </w:pPr>
          </w:p>
          <w:p w:rsidR="003E7779" w:rsidRPr="00261E7E" w:rsidRDefault="003E7779" w:rsidP="00261E7E">
            <w:pPr>
              <w:spacing w:line="360" w:lineRule="auto"/>
              <w:jc w:val="both"/>
              <w:rPr>
                <w:rFonts w:ascii="Book Antiqua" w:hAnsi="Book Antiqua"/>
                <w:b/>
                <w:sz w:val="24"/>
                <w:szCs w:val="24"/>
              </w:rPr>
            </w:pPr>
            <w:r w:rsidRPr="00261E7E">
              <w:rPr>
                <w:rFonts w:ascii="Book Antiqua" w:hAnsi="Book Antiqua"/>
                <w:b/>
                <w:sz w:val="24"/>
                <w:szCs w:val="24"/>
              </w:rPr>
              <w:t>No. tumors</w:t>
            </w:r>
          </w:p>
          <w:p w:rsidR="003E7779" w:rsidRPr="00261E7E" w:rsidRDefault="003E7779" w:rsidP="00261E7E">
            <w:pPr>
              <w:spacing w:line="360" w:lineRule="auto"/>
              <w:jc w:val="both"/>
              <w:rPr>
                <w:rFonts w:ascii="Book Antiqua" w:hAnsi="Book Antiqua"/>
                <w:b/>
                <w:sz w:val="24"/>
                <w:szCs w:val="24"/>
              </w:rPr>
            </w:pPr>
            <w:r w:rsidRPr="00261E7E">
              <w:rPr>
                <w:rFonts w:ascii="Book Antiqua" w:hAnsi="Book Antiqua"/>
                <w:b/>
                <w:i/>
                <w:sz w:val="24"/>
                <w:szCs w:val="24"/>
              </w:rPr>
              <w:t xml:space="preserve">n = </w:t>
            </w:r>
            <w:r w:rsidRPr="00261E7E">
              <w:rPr>
                <w:rFonts w:ascii="Book Antiqua" w:hAnsi="Book Antiqua"/>
                <w:b/>
                <w:sz w:val="24"/>
                <w:szCs w:val="24"/>
              </w:rPr>
              <w:t>62</w:t>
            </w:r>
          </w:p>
        </w:tc>
        <w:tc>
          <w:tcPr>
            <w:tcW w:w="1589" w:type="dxa"/>
            <w:tcBorders>
              <w:top w:val="single" w:sz="4" w:space="0" w:color="auto"/>
              <w:bottom w:val="single" w:sz="4" w:space="0" w:color="auto"/>
            </w:tcBorders>
            <w:vAlign w:val="center"/>
          </w:tcPr>
          <w:p w:rsidR="003E7779" w:rsidRPr="00261E7E" w:rsidRDefault="003E7779" w:rsidP="00261E7E">
            <w:pPr>
              <w:spacing w:line="360" w:lineRule="auto"/>
              <w:jc w:val="both"/>
              <w:rPr>
                <w:rFonts w:ascii="Book Antiqua" w:hAnsi="Book Antiqua"/>
                <w:b/>
                <w:sz w:val="24"/>
                <w:szCs w:val="24"/>
              </w:rPr>
            </w:pPr>
          </w:p>
          <w:p w:rsidR="003E7779" w:rsidRPr="00261E7E" w:rsidRDefault="003E7779" w:rsidP="00261E7E">
            <w:pPr>
              <w:spacing w:line="360" w:lineRule="auto"/>
              <w:jc w:val="both"/>
              <w:rPr>
                <w:rFonts w:ascii="Book Antiqua" w:hAnsi="Book Antiqua"/>
                <w:b/>
                <w:sz w:val="24"/>
                <w:szCs w:val="24"/>
              </w:rPr>
            </w:pPr>
            <w:r w:rsidRPr="00261E7E">
              <w:rPr>
                <w:rFonts w:ascii="Book Antiqua" w:hAnsi="Book Antiqua"/>
                <w:b/>
                <w:sz w:val="24"/>
                <w:szCs w:val="24"/>
              </w:rPr>
              <w:t>Metachronous</w:t>
            </w:r>
          </w:p>
          <w:p w:rsidR="003E7779" w:rsidRPr="00261E7E" w:rsidRDefault="003E7779" w:rsidP="00261E7E">
            <w:pPr>
              <w:spacing w:line="360" w:lineRule="auto"/>
              <w:jc w:val="both"/>
              <w:rPr>
                <w:rFonts w:ascii="Book Antiqua" w:hAnsi="Book Antiqua"/>
                <w:b/>
                <w:sz w:val="24"/>
                <w:szCs w:val="24"/>
              </w:rPr>
            </w:pPr>
            <w:r w:rsidRPr="00261E7E">
              <w:rPr>
                <w:rFonts w:ascii="Book Antiqua" w:hAnsi="Book Antiqua"/>
                <w:b/>
                <w:sz w:val="24"/>
                <w:szCs w:val="24"/>
              </w:rPr>
              <w:t xml:space="preserve"> </w:t>
            </w:r>
            <w:r w:rsidRPr="00261E7E">
              <w:rPr>
                <w:rFonts w:ascii="Book Antiqua" w:hAnsi="Book Antiqua"/>
                <w:b/>
                <w:i/>
                <w:sz w:val="24"/>
                <w:szCs w:val="24"/>
              </w:rPr>
              <w:t xml:space="preserve">n = </w:t>
            </w:r>
            <w:r w:rsidRPr="00261E7E">
              <w:rPr>
                <w:rFonts w:ascii="Book Antiqua" w:hAnsi="Book Antiqua"/>
                <w:b/>
                <w:sz w:val="24"/>
                <w:szCs w:val="24"/>
              </w:rPr>
              <w:t>39(%)</w:t>
            </w:r>
          </w:p>
        </w:tc>
        <w:tc>
          <w:tcPr>
            <w:tcW w:w="1552" w:type="dxa"/>
            <w:tcBorders>
              <w:top w:val="single" w:sz="4" w:space="0" w:color="auto"/>
              <w:bottom w:val="single" w:sz="4" w:space="0" w:color="auto"/>
            </w:tcBorders>
            <w:vAlign w:val="center"/>
          </w:tcPr>
          <w:p w:rsidR="003E7779" w:rsidRPr="00261E7E" w:rsidRDefault="003E7779" w:rsidP="00261E7E">
            <w:pPr>
              <w:spacing w:line="360" w:lineRule="auto"/>
              <w:jc w:val="both"/>
              <w:rPr>
                <w:rFonts w:ascii="Book Antiqua" w:hAnsi="Book Antiqua"/>
                <w:b/>
                <w:sz w:val="24"/>
                <w:szCs w:val="24"/>
              </w:rPr>
            </w:pPr>
          </w:p>
          <w:p w:rsidR="003E7779" w:rsidRPr="00261E7E" w:rsidRDefault="003E7779" w:rsidP="00261E7E">
            <w:pPr>
              <w:spacing w:line="360" w:lineRule="auto"/>
              <w:jc w:val="both"/>
              <w:rPr>
                <w:rFonts w:ascii="Book Antiqua" w:hAnsi="Book Antiqua"/>
                <w:b/>
                <w:sz w:val="24"/>
                <w:szCs w:val="24"/>
              </w:rPr>
            </w:pPr>
            <w:r w:rsidRPr="00261E7E">
              <w:rPr>
                <w:rFonts w:ascii="Book Antiqua" w:hAnsi="Book Antiqua"/>
                <w:b/>
                <w:sz w:val="24"/>
                <w:szCs w:val="24"/>
              </w:rPr>
              <w:t>Synchronous</w:t>
            </w:r>
          </w:p>
          <w:p w:rsidR="003E7779" w:rsidRPr="00261E7E" w:rsidRDefault="003E7779" w:rsidP="00261E7E">
            <w:pPr>
              <w:spacing w:line="360" w:lineRule="auto"/>
              <w:jc w:val="both"/>
              <w:rPr>
                <w:rFonts w:ascii="Book Antiqua" w:hAnsi="Book Antiqua"/>
                <w:b/>
                <w:sz w:val="24"/>
                <w:szCs w:val="24"/>
              </w:rPr>
            </w:pPr>
            <w:r w:rsidRPr="00261E7E">
              <w:rPr>
                <w:rFonts w:ascii="Book Antiqua" w:hAnsi="Book Antiqua"/>
                <w:b/>
                <w:i/>
                <w:sz w:val="24"/>
                <w:szCs w:val="24"/>
              </w:rPr>
              <w:t xml:space="preserve">n = </w:t>
            </w:r>
            <w:r w:rsidRPr="00261E7E">
              <w:rPr>
                <w:rFonts w:ascii="Book Antiqua" w:hAnsi="Book Antiqua"/>
                <w:b/>
                <w:sz w:val="24"/>
                <w:szCs w:val="24"/>
              </w:rPr>
              <w:t>23(%)</w:t>
            </w:r>
            <w:r w:rsidRPr="00261E7E">
              <w:rPr>
                <w:rFonts w:ascii="Book Antiqua" w:hAnsi="Book Antiqua"/>
                <w:b/>
                <w:sz w:val="24"/>
                <w:szCs w:val="24"/>
              </w:rPr>
              <w:tab/>
            </w:r>
          </w:p>
        </w:tc>
      </w:tr>
      <w:tr w:rsidR="003E7779" w:rsidRPr="00261E7E" w:rsidTr="00261E7E">
        <w:tc>
          <w:tcPr>
            <w:tcW w:w="0" w:type="auto"/>
            <w:tcBorders>
              <w:top w:val="single" w:sz="4" w:space="0" w:color="auto"/>
            </w:tcBorders>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Colorectal</w:t>
            </w:r>
            <w:r w:rsidRPr="00261E7E">
              <w:rPr>
                <w:rFonts w:ascii="Book Antiqua" w:hAnsi="Book Antiqua"/>
                <w:sz w:val="24"/>
                <w:szCs w:val="24"/>
              </w:rPr>
              <w:tab/>
            </w:r>
          </w:p>
        </w:tc>
        <w:tc>
          <w:tcPr>
            <w:tcW w:w="1454" w:type="dxa"/>
            <w:tcBorders>
              <w:top w:val="single" w:sz="4" w:space="0" w:color="auto"/>
            </w:tcBorders>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17 (27.4)</w:t>
            </w:r>
          </w:p>
        </w:tc>
        <w:tc>
          <w:tcPr>
            <w:tcW w:w="1589" w:type="dxa"/>
            <w:tcBorders>
              <w:top w:val="single" w:sz="4" w:space="0" w:color="auto"/>
            </w:tcBorders>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7 (17.9)</w:t>
            </w:r>
          </w:p>
        </w:tc>
        <w:tc>
          <w:tcPr>
            <w:tcW w:w="1552" w:type="dxa"/>
            <w:tcBorders>
              <w:top w:val="single" w:sz="4" w:space="0" w:color="auto"/>
            </w:tcBorders>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10 (43.5)</w:t>
            </w:r>
          </w:p>
        </w:tc>
      </w:tr>
      <w:tr w:rsidR="003E7779" w:rsidRPr="00261E7E" w:rsidTr="00261E7E">
        <w:tc>
          <w:tcPr>
            <w:tcW w:w="0" w:type="auto"/>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Lung</w:t>
            </w:r>
          </w:p>
        </w:tc>
        <w:tc>
          <w:tcPr>
            <w:tcW w:w="1454" w:type="dxa"/>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9 (14.5)</w:t>
            </w:r>
          </w:p>
        </w:tc>
        <w:tc>
          <w:tcPr>
            <w:tcW w:w="1589" w:type="dxa"/>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5 (12.8)</w:t>
            </w:r>
          </w:p>
        </w:tc>
        <w:tc>
          <w:tcPr>
            <w:tcW w:w="1552" w:type="dxa"/>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 xml:space="preserve"> 4 (17.4)</w:t>
            </w:r>
          </w:p>
        </w:tc>
      </w:tr>
      <w:tr w:rsidR="003E7779" w:rsidRPr="00261E7E" w:rsidTr="00261E7E">
        <w:tc>
          <w:tcPr>
            <w:tcW w:w="0" w:type="auto"/>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Breast</w:t>
            </w:r>
            <w:r w:rsidRPr="00261E7E">
              <w:rPr>
                <w:rFonts w:ascii="Book Antiqua" w:hAnsi="Book Antiqua"/>
                <w:sz w:val="24"/>
                <w:szCs w:val="24"/>
              </w:rPr>
              <w:tab/>
            </w:r>
          </w:p>
        </w:tc>
        <w:tc>
          <w:tcPr>
            <w:tcW w:w="1454" w:type="dxa"/>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8 (12.9)</w:t>
            </w:r>
          </w:p>
        </w:tc>
        <w:tc>
          <w:tcPr>
            <w:tcW w:w="1589" w:type="dxa"/>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7 (17.9)</w:t>
            </w:r>
          </w:p>
        </w:tc>
        <w:tc>
          <w:tcPr>
            <w:tcW w:w="1552" w:type="dxa"/>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 xml:space="preserve"> 1 (4.3)</w:t>
            </w:r>
          </w:p>
        </w:tc>
      </w:tr>
      <w:tr w:rsidR="003E7779" w:rsidRPr="00261E7E" w:rsidTr="00261E7E">
        <w:tc>
          <w:tcPr>
            <w:tcW w:w="0" w:type="auto"/>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Prostate</w:t>
            </w:r>
            <w:r w:rsidRPr="00261E7E">
              <w:rPr>
                <w:rFonts w:ascii="Book Antiqua" w:hAnsi="Book Antiqua"/>
                <w:sz w:val="24"/>
                <w:szCs w:val="24"/>
              </w:rPr>
              <w:tab/>
            </w:r>
          </w:p>
        </w:tc>
        <w:tc>
          <w:tcPr>
            <w:tcW w:w="1454" w:type="dxa"/>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7 (11.3)</w:t>
            </w:r>
          </w:p>
        </w:tc>
        <w:tc>
          <w:tcPr>
            <w:tcW w:w="1589" w:type="dxa"/>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4 (10.3)</w:t>
            </w:r>
          </w:p>
        </w:tc>
        <w:tc>
          <w:tcPr>
            <w:tcW w:w="1552" w:type="dxa"/>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 xml:space="preserve"> 3 (13.1)</w:t>
            </w:r>
          </w:p>
        </w:tc>
      </w:tr>
      <w:tr w:rsidR="003E7779" w:rsidRPr="00261E7E" w:rsidTr="00261E7E">
        <w:tc>
          <w:tcPr>
            <w:tcW w:w="0" w:type="auto"/>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Lymphoma</w:t>
            </w:r>
            <w:r w:rsidRPr="00261E7E">
              <w:rPr>
                <w:rFonts w:ascii="Book Antiqua" w:hAnsi="Book Antiqua"/>
                <w:sz w:val="24"/>
                <w:szCs w:val="24"/>
              </w:rPr>
              <w:tab/>
            </w:r>
          </w:p>
        </w:tc>
        <w:tc>
          <w:tcPr>
            <w:tcW w:w="1454" w:type="dxa"/>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4 (6.5)</w:t>
            </w:r>
          </w:p>
        </w:tc>
        <w:tc>
          <w:tcPr>
            <w:tcW w:w="1589" w:type="dxa"/>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2 (5.1)</w:t>
            </w:r>
          </w:p>
        </w:tc>
        <w:tc>
          <w:tcPr>
            <w:tcW w:w="1552" w:type="dxa"/>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 xml:space="preserve"> 2 (8.7)</w:t>
            </w:r>
          </w:p>
        </w:tc>
      </w:tr>
      <w:tr w:rsidR="003E7779" w:rsidRPr="00261E7E" w:rsidTr="00261E7E">
        <w:tc>
          <w:tcPr>
            <w:tcW w:w="0" w:type="auto"/>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Skin</w:t>
            </w:r>
          </w:p>
        </w:tc>
        <w:tc>
          <w:tcPr>
            <w:tcW w:w="1454" w:type="dxa"/>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4 (6.5)</w:t>
            </w:r>
          </w:p>
        </w:tc>
        <w:tc>
          <w:tcPr>
            <w:tcW w:w="1589" w:type="dxa"/>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2 (5.1)</w:t>
            </w:r>
          </w:p>
        </w:tc>
        <w:tc>
          <w:tcPr>
            <w:tcW w:w="1552" w:type="dxa"/>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 xml:space="preserve"> 2 (8.7)</w:t>
            </w:r>
          </w:p>
        </w:tc>
      </w:tr>
      <w:tr w:rsidR="003E7779" w:rsidRPr="00261E7E" w:rsidTr="00261E7E">
        <w:tc>
          <w:tcPr>
            <w:tcW w:w="0" w:type="auto"/>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 xml:space="preserve">Urinary bladder </w:t>
            </w:r>
          </w:p>
        </w:tc>
        <w:tc>
          <w:tcPr>
            <w:tcW w:w="1454" w:type="dxa"/>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3 (4.9)</w:t>
            </w:r>
          </w:p>
        </w:tc>
        <w:tc>
          <w:tcPr>
            <w:tcW w:w="1589" w:type="dxa"/>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3 (7.7)</w:t>
            </w:r>
          </w:p>
        </w:tc>
        <w:tc>
          <w:tcPr>
            <w:tcW w:w="1552" w:type="dxa"/>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 xml:space="preserve"> -</w:t>
            </w:r>
          </w:p>
        </w:tc>
      </w:tr>
      <w:tr w:rsidR="003E7779" w:rsidRPr="00261E7E" w:rsidTr="00261E7E">
        <w:tc>
          <w:tcPr>
            <w:tcW w:w="0" w:type="auto"/>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Kidney</w:t>
            </w:r>
            <w:r w:rsidRPr="00261E7E">
              <w:rPr>
                <w:rFonts w:ascii="Book Antiqua" w:hAnsi="Book Antiqua"/>
                <w:sz w:val="24"/>
                <w:szCs w:val="24"/>
              </w:rPr>
              <w:tab/>
            </w:r>
          </w:p>
        </w:tc>
        <w:tc>
          <w:tcPr>
            <w:tcW w:w="1454" w:type="dxa"/>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2 (3.2)</w:t>
            </w:r>
          </w:p>
        </w:tc>
        <w:tc>
          <w:tcPr>
            <w:tcW w:w="1589" w:type="dxa"/>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1 (2.6)</w:t>
            </w:r>
          </w:p>
        </w:tc>
        <w:tc>
          <w:tcPr>
            <w:tcW w:w="1552" w:type="dxa"/>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 xml:space="preserve"> 1 (4.3)</w:t>
            </w:r>
          </w:p>
        </w:tc>
      </w:tr>
      <w:tr w:rsidR="003E7779" w:rsidRPr="00261E7E" w:rsidTr="00261E7E">
        <w:tc>
          <w:tcPr>
            <w:tcW w:w="0" w:type="auto"/>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Larynx</w:t>
            </w:r>
          </w:p>
        </w:tc>
        <w:tc>
          <w:tcPr>
            <w:tcW w:w="1454" w:type="dxa"/>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2 (3.2)</w:t>
            </w:r>
          </w:p>
        </w:tc>
        <w:tc>
          <w:tcPr>
            <w:tcW w:w="1589" w:type="dxa"/>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2 (5.1)</w:t>
            </w:r>
          </w:p>
        </w:tc>
        <w:tc>
          <w:tcPr>
            <w:tcW w:w="1552" w:type="dxa"/>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 xml:space="preserve"> -</w:t>
            </w:r>
          </w:p>
        </w:tc>
      </w:tr>
      <w:tr w:rsidR="003E7779" w:rsidRPr="00261E7E" w:rsidTr="00261E7E">
        <w:tc>
          <w:tcPr>
            <w:tcW w:w="0" w:type="auto"/>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Non Hodgkin</w:t>
            </w:r>
          </w:p>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Lymphoma</w:t>
            </w:r>
            <w:r w:rsidRPr="00261E7E">
              <w:rPr>
                <w:rFonts w:ascii="Book Antiqua" w:hAnsi="Book Antiqua"/>
                <w:sz w:val="24"/>
                <w:szCs w:val="24"/>
              </w:rPr>
              <w:tab/>
            </w:r>
          </w:p>
        </w:tc>
        <w:tc>
          <w:tcPr>
            <w:tcW w:w="1454" w:type="dxa"/>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2 (3.2)</w:t>
            </w:r>
          </w:p>
        </w:tc>
        <w:tc>
          <w:tcPr>
            <w:tcW w:w="1589" w:type="dxa"/>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2 (5.1)</w:t>
            </w:r>
          </w:p>
        </w:tc>
        <w:tc>
          <w:tcPr>
            <w:tcW w:w="1552" w:type="dxa"/>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 xml:space="preserve"> -</w:t>
            </w:r>
          </w:p>
        </w:tc>
      </w:tr>
      <w:tr w:rsidR="003E7779" w:rsidRPr="00261E7E" w:rsidTr="00261E7E">
        <w:tc>
          <w:tcPr>
            <w:tcW w:w="0" w:type="auto"/>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Head</w:t>
            </w:r>
          </w:p>
        </w:tc>
        <w:tc>
          <w:tcPr>
            <w:tcW w:w="1454" w:type="dxa"/>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1 (1.6)</w:t>
            </w:r>
          </w:p>
        </w:tc>
        <w:tc>
          <w:tcPr>
            <w:tcW w:w="1589" w:type="dxa"/>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1 (2.6)</w:t>
            </w:r>
          </w:p>
        </w:tc>
        <w:tc>
          <w:tcPr>
            <w:tcW w:w="1552" w:type="dxa"/>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 xml:space="preserve"> -</w:t>
            </w:r>
          </w:p>
        </w:tc>
      </w:tr>
      <w:tr w:rsidR="003E7779" w:rsidRPr="00261E7E" w:rsidTr="00261E7E">
        <w:tc>
          <w:tcPr>
            <w:tcW w:w="0" w:type="auto"/>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Ovary</w:t>
            </w:r>
            <w:r w:rsidRPr="00261E7E">
              <w:rPr>
                <w:rFonts w:ascii="Book Antiqua" w:hAnsi="Book Antiqua"/>
                <w:sz w:val="24"/>
                <w:szCs w:val="24"/>
              </w:rPr>
              <w:tab/>
            </w:r>
          </w:p>
        </w:tc>
        <w:tc>
          <w:tcPr>
            <w:tcW w:w="1454" w:type="dxa"/>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1 (1.6)</w:t>
            </w:r>
          </w:p>
        </w:tc>
        <w:tc>
          <w:tcPr>
            <w:tcW w:w="1589" w:type="dxa"/>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1 (2.6)</w:t>
            </w:r>
          </w:p>
        </w:tc>
        <w:tc>
          <w:tcPr>
            <w:tcW w:w="1552" w:type="dxa"/>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 xml:space="preserve"> -</w:t>
            </w:r>
          </w:p>
        </w:tc>
      </w:tr>
      <w:tr w:rsidR="003E7779" w:rsidRPr="00261E7E" w:rsidTr="00261E7E">
        <w:tc>
          <w:tcPr>
            <w:tcW w:w="0" w:type="auto"/>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Pancreas</w:t>
            </w:r>
            <w:r w:rsidRPr="00261E7E">
              <w:rPr>
                <w:rFonts w:ascii="Book Antiqua" w:hAnsi="Book Antiqua"/>
                <w:sz w:val="24"/>
                <w:szCs w:val="24"/>
              </w:rPr>
              <w:tab/>
            </w:r>
          </w:p>
        </w:tc>
        <w:tc>
          <w:tcPr>
            <w:tcW w:w="1454" w:type="dxa"/>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1 (1.6)</w:t>
            </w:r>
          </w:p>
        </w:tc>
        <w:tc>
          <w:tcPr>
            <w:tcW w:w="1589" w:type="dxa"/>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1 (2.6)</w:t>
            </w:r>
          </w:p>
        </w:tc>
        <w:tc>
          <w:tcPr>
            <w:tcW w:w="1552" w:type="dxa"/>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 xml:space="preserve"> -</w:t>
            </w:r>
          </w:p>
        </w:tc>
      </w:tr>
      <w:tr w:rsidR="003E7779" w:rsidRPr="00261E7E" w:rsidTr="00261E7E">
        <w:tc>
          <w:tcPr>
            <w:tcW w:w="0" w:type="auto"/>
            <w:tcBorders>
              <w:bottom w:val="single" w:sz="4" w:space="0" w:color="auto"/>
            </w:tcBorders>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Uterus</w:t>
            </w:r>
            <w:r w:rsidRPr="00261E7E">
              <w:rPr>
                <w:rFonts w:ascii="Book Antiqua" w:hAnsi="Book Antiqua"/>
                <w:sz w:val="24"/>
                <w:szCs w:val="24"/>
              </w:rPr>
              <w:tab/>
            </w:r>
            <w:r w:rsidRPr="00261E7E">
              <w:rPr>
                <w:rFonts w:ascii="Book Antiqua" w:hAnsi="Book Antiqua"/>
                <w:sz w:val="24"/>
                <w:szCs w:val="24"/>
              </w:rPr>
              <w:tab/>
            </w:r>
          </w:p>
        </w:tc>
        <w:tc>
          <w:tcPr>
            <w:tcW w:w="1454" w:type="dxa"/>
            <w:tcBorders>
              <w:bottom w:val="single" w:sz="4" w:space="0" w:color="auto"/>
            </w:tcBorders>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1 (1.6)</w:t>
            </w:r>
          </w:p>
        </w:tc>
        <w:tc>
          <w:tcPr>
            <w:tcW w:w="1589" w:type="dxa"/>
            <w:tcBorders>
              <w:bottom w:val="single" w:sz="4" w:space="0" w:color="auto"/>
            </w:tcBorders>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1 (2.6)</w:t>
            </w:r>
          </w:p>
        </w:tc>
        <w:tc>
          <w:tcPr>
            <w:tcW w:w="1552" w:type="dxa"/>
            <w:tcBorders>
              <w:bottom w:val="single" w:sz="4" w:space="0" w:color="auto"/>
            </w:tcBorders>
            <w:vAlign w:val="center"/>
          </w:tcPr>
          <w:p w:rsidR="003E7779" w:rsidRPr="00261E7E" w:rsidRDefault="003E7779" w:rsidP="00261E7E">
            <w:pPr>
              <w:spacing w:line="360" w:lineRule="auto"/>
              <w:jc w:val="both"/>
              <w:rPr>
                <w:rFonts w:ascii="Book Antiqua" w:hAnsi="Book Antiqua"/>
                <w:sz w:val="24"/>
                <w:szCs w:val="24"/>
              </w:rPr>
            </w:pPr>
            <w:r w:rsidRPr="00261E7E">
              <w:rPr>
                <w:rFonts w:ascii="Book Antiqua" w:hAnsi="Book Antiqua"/>
                <w:sz w:val="24"/>
                <w:szCs w:val="24"/>
              </w:rPr>
              <w:t xml:space="preserve"> -</w:t>
            </w:r>
          </w:p>
        </w:tc>
      </w:tr>
    </w:tbl>
    <w:p w:rsidR="003E7779" w:rsidRPr="00572DEC" w:rsidRDefault="003E7779" w:rsidP="004517BA">
      <w:pPr>
        <w:spacing w:line="360" w:lineRule="auto"/>
        <w:jc w:val="both"/>
        <w:rPr>
          <w:rFonts w:ascii="Book Antiqua" w:hAnsi="Book Antiqua"/>
          <w:sz w:val="24"/>
          <w:szCs w:val="24"/>
        </w:rPr>
      </w:pPr>
      <w:r w:rsidRPr="00572DEC">
        <w:rPr>
          <w:rFonts w:ascii="Book Antiqua" w:hAnsi="Book Antiqua"/>
          <w:sz w:val="24"/>
          <w:szCs w:val="24"/>
        </w:rPr>
        <w:br w:type="textWrapping" w:clear="all"/>
      </w:r>
    </w:p>
    <w:p w:rsidR="003E7779" w:rsidRPr="00572DEC" w:rsidRDefault="003E7779" w:rsidP="004517BA">
      <w:pPr>
        <w:spacing w:line="360" w:lineRule="auto"/>
        <w:jc w:val="both"/>
        <w:rPr>
          <w:rFonts w:ascii="Book Antiqua" w:hAnsi="Book Antiqua" w:cs="Book Antiqua"/>
          <w:b/>
          <w:bCs/>
          <w:sz w:val="24"/>
          <w:szCs w:val="24"/>
        </w:rPr>
      </w:pPr>
    </w:p>
    <w:p w:rsidR="003E7779" w:rsidRPr="00572DEC" w:rsidRDefault="003E7779" w:rsidP="004517BA">
      <w:pPr>
        <w:spacing w:line="360" w:lineRule="auto"/>
        <w:jc w:val="both"/>
        <w:rPr>
          <w:rFonts w:ascii="Book Antiqua" w:hAnsi="Book Antiqua" w:cs="Book Antiqua"/>
          <w:b/>
          <w:bCs/>
          <w:sz w:val="24"/>
          <w:szCs w:val="24"/>
        </w:rPr>
      </w:pPr>
    </w:p>
    <w:p w:rsidR="003E7779" w:rsidRPr="00572DEC" w:rsidRDefault="003E7779" w:rsidP="004517BA">
      <w:pPr>
        <w:spacing w:line="360" w:lineRule="auto"/>
        <w:jc w:val="both"/>
        <w:rPr>
          <w:rFonts w:ascii="Book Antiqua" w:hAnsi="Book Antiqua" w:cs="Book Antiqua"/>
          <w:b/>
          <w:bCs/>
          <w:sz w:val="24"/>
          <w:szCs w:val="24"/>
        </w:rPr>
      </w:pPr>
    </w:p>
    <w:p w:rsidR="003E7779" w:rsidRPr="00572DEC" w:rsidRDefault="003E7779" w:rsidP="004517BA">
      <w:pPr>
        <w:spacing w:line="360" w:lineRule="auto"/>
        <w:jc w:val="both"/>
        <w:rPr>
          <w:rFonts w:ascii="Book Antiqua" w:hAnsi="Book Antiqua" w:cs="Book Antiqua"/>
          <w:b/>
          <w:bCs/>
          <w:sz w:val="24"/>
          <w:szCs w:val="24"/>
        </w:rPr>
      </w:pPr>
    </w:p>
    <w:p w:rsidR="003E7779" w:rsidRPr="00572DEC" w:rsidRDefault="003E7779" w:rsidP="004517BA">
      <w:pPr>
        <w:spacing w:line="360" w:lineRule="auto"/>
        <w:jc w:val="both"/>
        <w:rPr>
          <w:rFonts w:ascii="Book Antiqua" w:hAnsi="Book Antiqua" w:cs="Book Antiqua"/>
          <w:b/>
          <w:bCs/>
          <w:sz w:val="24"/>
          <w:szCs w:val="24"/>
        </w:rPr>
      </w:pPr>
    </w:p>
    <w:p w:rsidR="003E7779" w:rsidRPr="00572DEC" w:rsidRDefault="003E7779" w:rsidP="004517BA">
      <w:pPr>
        <w:spacing w:line="360" w:lineRule="auto"/>
        <w:jc w:val="both"/>
        <w:rPr>
          <w:rFonts w:ascii="Book Antiqua" w:hAnsi="Book Antiqua" w:cs="Book Antiqua"/>
          <w:b/>
          <w:bCs/>
          <w:sz w:val="24"/>
          <w:szCs w:val="24"/>
        </w:rPr>
      </w:pPr>
    </w:p>
    <w:p w:rsidR="003E7779" w:rsidRPr="00572DEC" w:rsidRDefault="003E7779" w:rsidP="004517BA">
      <w:pPr>
        <w:spacing w:line="360" w:lineRule="auto"/>
        <w:jc w:val="both"/>
        <w:rPr>
          <w:rFonts w:ascii="Book Antiqua" w:hAnsi="Book Antiqua" w:cs="Book Antiqua"/>
          <w:b/>
          <w:bCs/>
          <w:sz w:val="24"/>
          <w:szCs w:val="24"/>
        </w:rPr>
      </w:pPr>
    </w:p>
    <w:p w:rsidR="003E7779" w:rsidRPr="00572DEC" w:rsidRDefault="003E7779" w:rsidP="004517BA">
      <w:pPr>
        <w:spacing w:line="360" w:lineRule="auto"/>
        <w:jc w:val="both"/>
        <w:rPr>
          <w:rFonts w:ascii="Book Antiqua" w:hAnsi="Book Antiqua" w:cs="Book Antiqua"/>
          <w:b/>
          <w:bCs/>
          <w:sz w:val="24"/>
          <w:szCs w:val="24"/>
        </w:rPr>
      </w:pPr>
    </w:p>
    <w:p w:rsidR="003E7779" w:rsidRPr="00572DEC" w:rsidRDefault="003E7779" w:rsidP="004517BA">
      <w:pPr>
        <w:spacing w:line="360" w:lineRule="auto"/>
        <w:jc w:val="both"/>
        <w:rPr>
          <w:rFonts w:ascii="Book Antiqua" w:hAnsi="Book Antiqua" w:cs="Book Antiqua"/>
          <w:b/>
          <w:bCs/>
          <w:sz w:val="24"/>
          <w:szCs w:val="24"/>
        </w:rPr>
      </w:pPr>
    </w:p>
    <w:p w:rsidR="003E7779" w:rsidRPr="00572DEC" w:rsidRDefault="003E7779" w:rsidP="004517BA">
      <w:pPr>
        <w:spacing w:line="360" w:lineRule="auto"/>
        <w:jc w:val="both"/>
        <w:rPr>
          <w:rFonts w:ascii="Book Antiqua" w:hAnsi="Book Antiqua" w:cs="Book Antiqua"/>
          <w:b/>
          <w:bCs/>
          <w:sz w:val="24"/>
          <w:szCs w:val="24"/>
        </w:rPr>
      </w:pPr>
    </w:p>
    <w:p w:rsidR="003E7779" w:rsidRPr="00572DEC" w:rsidRDefault="003E7779" w:rsidP="004517BA">
      <w:pPr>
        <w:spacing w:line="360" w:lineRule="auto"/>
        <w:jc w:val="both"/>
        <w:rPr>
          <w:rFonts w:ascii="Book Antiqua" w:hAnsi="Book Antiqua" w:cs="Book Antiqua"/>
          <w:b/>
          <w:bCs/>
          <w:sz w:val="24"/>
          <w:szCs w:val="24"/>
        </w:rPr>
      </w:pPr>
    </w:p>
    <w:sectPr w:rsidR="003E7779" w:rsidRPr="00572DEC" w:rsidSect="003C4746">
      <w:headerReference w:type="default" r:id="rId12"/>
      <w:footerReference w:type="defaul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B25" w:rsidRDefault="00F50B25">
      <w:r>
        <w:separator/>
      </w:r>
    </w:p>
  </w:endnote>
  <w:endnote w:type="continuationSeparator" w:id="0">
    <w:p w:rsidR="00F50B25" w:rsidRDefault="00F50B25">
      <w:r>
        <w:continuationSeparator/>
      </w:r>
    </w:p>
  </w:endnote>
  <w:endnote w:type="continuationNotice" w:id="1">
    <w:p w:rsidR="00F50B25" w:rsidRDefault="00F50B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779" w:rsidRDefault="00F50B25">
    <w:pPr>
      <w:pStyle w:val="a7"/>
      <w:jc w:val="right"/>
    </w:pPr>
    <w:r>
      <w:fldChar w:fldCharType="begin"/>
    </w:r>
    <w:r>
      <w:instrText xml:space="preserve"> PAGE   \* MERGEFORMAT </w:instrText>
    </w:r>
    <w:r>
      <w:fldChar w:fldCharType="separate"/>
    </w:r>
    <w:r w:rsidR="00ED1372">
      <w:rPr>
        <w:noProof/>
      </w:rPr>
      <w:t>28</w:t>
    </w:r>
    <w:r>
      <w:rPr>
        <w:noProof/>
      </w:rPr>
      <w:fldChar w:fldCharType="end"/>
    </w:r>
  </w:p>
  <w:p w:rsidR="003E7779" w:rsidRDefault="003E777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B25" w:rsidRDefault="00F50B25">
      <w:r>
        <w:separator/>
      </w:r>
    </w:p>
  </w:footnote>
  <w:footnote w:type="continuationSeparator" w:id="0">
    <w:p w:rsidR="00F50B25" w:rsidRDefault="00F50B25">
      <w:r>
        <w:continuationSeparator/>
      </w:r>
    </w:p>
  </w:footnote>
  <w:footnote w:type="continuationNotice" w:id="1">
    <w:p w:rsidR="00F50B25" w:rsidRDefault="00F50B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779" w:rsidRDefault="003E7779" w:rsidP="002A53CA">
    <w:pPr>
      <w:pStyle w:val="a6"/>
      <w:tabs>
        <w:tab w:val="clear" w:pos="4536"/>
        <w:tab w:val="clear" w:pos="9072"/>
        <w:tab w:val="left" w:pos="617"/>
      </w:tabs>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984AA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BBD0C946"/>
    <w:lvl w:ilvl="0">
      <w:start w:val="1"/>
      <w:numFmt w:val="bullet"/>
      <w:pStyle w:val="a"/>
      <w:lvlText w:val=""/>
      <w:lvlJc w:val="left"/>
      <w:pPr>
        <w:tabs>
          <w:tab w:val="num" w:pos="360"/>
        </w:tabs>
        <w:ind w:left="360" w:hanging="360"/>
      </w:pPr>
      <w:rPr>
        <w:rFonts w:ascii="Symbol" w:hAnsi="Symbol" w:hint="default"/>
      </w:rPr>
    </w:lvl>
  </w:abstractNum>
  <w:abstractNum w:abstractNumId="2">
    <w:nsid w:val="45D42565"/>
    <w:multiLevelType w:val="hybridMultilevel"/>
    <w:tmpl w:val="6D446164"/>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
    <w:nsid w:val="7C4375E2"/>
    <w:multiLevelType w:val="hybridMultilevel"/>
    <w:tmpl w:val="055020CC"/>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432"/>
  <w:hyphenationZone w:val="425"/>
  <w:doNotHyphenateCaps/>
  <w:displayHorizontalDrawingGridEvery w:val="0"/>
  <w:displayVerticalDrawingGridEvery w:val="0"/>
  <w:doNotUseMarginsForDrawingGridOrigin/>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46"/>
    <w:rsid w:val="00000403"/>
    <w:rsid w:val="0000085D"/>
    <w:rsid w:val="00001E95"/>
    <w:rsid w:val="0000287E"/>
    <w:rsid w:val="00006493"/>
    <w:rsid w:val="000068D9"/>
    <w:rsid w:val="0000772A"/>
    <w:rsid w:val="00010B60"/>
    <w:rsid w:val="00012C24"/>
    <w:rsid w:val="00013A9E"/>
    <w:rsid w:val="00016DAA"/>
    <w:rsid w:val="00021FF7"/>
    <w:rsid w:val="0002203A"/>
    <w:rsid w:val="000226D0"/>
    <w:rsid w:val="000237DD"/>
    <w:rsid w:val="00023A17"/>
    <w:rsid w:val="000245C8"/>
    <w:rsid w:val="000247ED"/>
    <w:rsid w:val="0002536F"/>
    <w:rsid w:val="00025EA2"/>
    <w:rsid w:val="00026611"/>
    <w:rsid w:val="000323AB"/>
    <w:rsid w:val="00032E8D"/>
    <w:rsid w:val="00033E2E"/>
    <w:rsid w:val="00034186"/>
    <w:rsid w:val="00040317"/>
    <w:rsid w:val="0004101C"/>
    <w:rsid w:val="00042F8E"/>
    <w:rsid w:val="00043321"/>
    <w:rsid w:val="00044A6C"/>
    <w:rsid w:val="00047DEA"/>
    <w:rsid w:val="0005091D"/>
    <w:rsid w:val="00051BF8"/>
    <w:rsid w:val="00055186"/>
    <w:rsid w:val="00055C7B"/>
    <w:rsid w:val="00055E40"/>
    <w:rsid w:val="00057EC0"/>
    <w:rsid w:val="00060269"/>
    <w:rsid w:val="00061380"/>
    <w:rsid w:val="00062E5D"/>
    <w:rsid w:val="00066092"/>
    <w:rsid w:val="000662E6"/>
    <w:rsid w:val="00067205"/>
    <w:rsid w:val="000673C9"/>
    <w:rsid w:val="00067D7E"/>
    <w:rsid w:val="0007014E"/>
    <w:rsid w:val="00072B7F"/>
    <w:rsid w:val="000731F2"/>
    <w:rsid w:val="000734A2"/>
    <w:rsid w:val="000747B0"/>
    <w:rsid w:val="00074D01"/>
    <w:rsid w:val="0007542A"/>
    <w:rsid w:val="00075CB2"/>
    <w:rsid w:val="000765AA"/>
    <w:rsid w:val="000765DC"/>
    <w:rsid w:val="00077A1A"/>
    <w:rsid w:val="00080D1F"/>
    <w:rsid w:val="000816AB"/>
    <w:rsid w:val="00082455"/>
    <w:rsid w:val="00084EC9"/>
    <w:rsid w:val="000856DB"/>
    <w:rsid w:val="000859D8"/>
    <w:rsid w:val="000864C4"/>
    <w:rsid w:val="00090443"/>
    <w:rsid w:val="00093D72"/>
    <w:rsid w:val="00094A63"/>
    <w:rsid w:val="00096DFD"/>
    <w:rsid w:val="000A054B"/>
    <w:rsid w:val="000A33A8"/>
    <w:rsid w:val="000A3957"/>
    <w:rsid w:val="000A5928"/>
    <w:rsid w:val="000A6501"/>
    <w:rsid w:val="000A6525"/>
    <w:rsid w:val="000A6688"/>
    <w:rsid w:val="000A6C0C"/>
    <w:rsid w:val="000A77E3"/>
    <w:rsid w:val="000B0B18"/>
    <w:rsid w:val="000B184E"/>
    <w:rsid w:val="000B21DD"/>
    <w:rsid w:val="000B3D8C"/>
    <w:rsid w:val="000B5851"/>
    <w:rsid w:val="000B6A54"/>
    <w:rsid w:val="000B72BC"/>
    <w:rsid w:val="000C4285"/>
    <w:rsid w:val="000C6E82"/>
    <w:rsid w:val="000C7250"/>
    <w:rsid w:val="000D08D4"/>
    <w:rsid w:val="000D1220"/>
    <w:rsid w:val="000D2587"/>
    <w:rsid w:val="000D2D12"/>
    <w:rsid w:val="000D37BE"/>
    <w:rsid w:val="000D4F34"/>
    <w:rsid w:val="000D6D4C"/>
    <w:rsid w:val="000E090D"/>
    <w:rsid w:val="000E29C2"/>
    <w:rsid w:val="000E487A"/>
    <w:rsid w:val="000E6056"/>
    <w:rsid w:val="000E690A"/>
    <w:rsid w:val="000E75B3"/>
    <w:rsid w:val="000E75D8"/>
    <w:rsid w:val="000E77EC"/>
    <w:rsid w:val="000F050C"/>
    <w:rsid w:val="000F055A"/>
    <w:rsid w:val="000F229F"/>
    <w:rsid w:val="000F67B8"/>
    <w:rsid w:val="000F6E36"/>
    <w:rsid w:val="000F7E0B"/>
    <w:rsid w:val="001004CD"/>
    <w:rsid w:val="001008A7"/>
    <w:rsid w:val="0010203A"/>
    <w:rsid w:val="00104BC3"/>
    <w:rsid w:val="0010616E"/>
    <w:rsid w:val="0010732F"/>
    <w:rsid w:val="00107FA8"/>
    <w:rsid w:val="00110184"/>
    <w:rsid w:val="00110EC8"/>
    <w:rsid w:val="00113D47"/>
    <w:rsid w:val="00113EE7"/>
    <w:rsid w:val="001152E5"/>
    <w:rsid w:val="00115479"/>
    <w:rsid w:val="00117A84"/>
    <w:rsid w:val="00117DA4"/>
    <w:rsid w:val="00121F6B"/>
    <w:rsid w:val="00123859"/>
    <w:rsid w:val="001247C4"/>
    <w:rsid w:val="00125CF2"/>
    <w:rsid w:val="0012796E"/>
    <w:rsid w:val="00130513"/>
    <w:rsid w:val="00133A1A"/>
    <w:rsid w:val="00134115"/>
    <w:rsid w:val="00135169"/>
    <w:rsid w:val="00136A67"/>
    <w:rsid w:val="00136DFB"/>
    <w:rsid w:val="001370B5"/>
    <w:rsid w:val="00137A27"/>
    <w:rsid w:val="00137C60"/>
    <w:rsid w:val="00141BED"/>
    <w:rsid w:val="00141D42"/>
    <w:rsid w:val="00142312"/>
    <w:rsid w:val="00142D9B"/>
    <w:rsid w:val="00144134"/>
    <w:rsid w:val="00144D49"/>
    <w:rsid w:val="00145ED8"/>
    <w:rsid w:val="00146E7C"/>
    <w:rsid w:val="001470A5"/>
    <w:rsid w:val="00152242"/>
    <w:rsid w:val="001522FA"/>
    <w:rsid w:val="00152ACD"/>
    <w:rsid w:val="00152B92"/>
    <w:rsid w:val="001553AC"/>
    <w:rsid w:val="00155A6B"/>
    <w:rsid w:val="0016032E"/>
    <w:rsid w:val="00162EA9"/>
    <w:rsid w:val="00162EFD"/>
    <w:rsid w:val="00163491"/>
    <w:rsid w:val="00163930"/>
    <w:rsid w:val="00163BB1"/>
    <w:rsid w:val="00165BEF"/>
    <w:rsid w:val="00167093"/>
    <w:rsid w:val="00170A86"/>
    <w:rsid w:val="0017573C"/>
    <w:rsid w:val="00175884"/>
    <w:rsid w:val="00175972"/>
    <w:rsid w:val="00175C68"/>
    <w:rsid w:val="00175DF7"/>
    <w:rsid w:val="00177A40"/>
    <w:rsid w:val="00177CEB"/>
    <w:rsid w:val="00177E94"/>
    <w:rsid w:val="00180791"/>
    <w:rsid w:val="001818DA"/>
    <w:rsid w:val="00181956"/>
    <w:rsid w:val="00182C00"/>
    <w:rsid w:val="001834AD"/>
    <w:rsid w:val="001840D4"/>
    <w:rsid w:val="00184DDC"/>
    <w:rsid w:val="00185551"/>
    <w:rsid w:val="0018694C"/>
    <w:rsid w:val="00186F0C"/>
    <w:rsid w:val="00190798"/>
    <w:rsid w:val="00193091"/>
    <w:rsid w:val="00193803"/>
    <w:rsid w:val="0019502B"/>
    <w:rsid w:val="001950D2"/>
    <w:rsid w:val="00196060"/>
    <w:rsid w:val="00197796"/>
    <w:rsid w:val="00197F12"/>
    <w:rsid w:val="001A0750"/>
    <w:rsid w:val="001A0D54"/>
    <w:rsid w:val="001A11A8"/>
    <w:rsid w:val="001A134D"/>
    <w:rsid w:val="001A4C4C"/>
    <w:rsid w:val="001A5014"/>
    <w:rsid w:val="001A577C"/>
    <w:rsid w:val="001A794B"/>
    <w:rsid w:val="001B1E20"/>
    <w:rsid w:val="001B1F24"/>
    <w:rsid w:val="001B32DC"/>
    <w:rsid w:val="001B41D4"/>
    <w:rsid w:val="001B5F04"/>
    <w:rsid w:val="001B6736"/>
    <w:rsid w:val="001B6DC9"/>
    <w:rsid w:val="001B74A7"/>
    <w:rsid w:val="001B7B54"/>
    <w:rsid w:val="001C2A0B"/>
    <w:rsid w:val="001C2A88"/>
    <w:rsid w:val="001C2DC9"/>
    <w:rsid w:val="001C72A9"/>
    <w:rsid w:val="001D0379"/>
    <w:rsid w:val="001D200E"/>
    <w:rsid w:val="001D31E5"/>
    <w:rsid w:val="001D4DD1"/>
    <w:rsid w:val="001D5815"/>
    <w:rsid w:val="001D6882"/>
    <w:rsid w:val="001D6E47"/>
    <w:rsid w:val="001E01AF"/>
    <w:rsid w:val="001E30D8"/>
    <w:rsid w:val="001E322D"/>
    <w:rsid w:val="001E36DD"/>
    <w:rsid w:val="001E375E"/>
    <w:rsid w:val="001E3B73"/>
    <w:rsid w:val="001E43B3"/>
    <w:rsid w:val="001E45F3"/>
    <w:rsid w:val="001E4B1D"/>
    <w:rsid w:val="001E4F2E"/>
    <w:rsid w:val="001E6206"/>
    <w:rsid w:val="001E6D5C"/>
    <w:rsid w:val="001E6FEA"/>
    <w:rsid w:val="001F089F"/>
    <w:rsid w:val="001F12A1"/>
    <w:rsid w:val="001F195C"/>
    <w:rsid w:val="001F1993"/>
    <w:rsid w:val="001F34D8"/>
    <w:rsid w:val="001F399D"/>
    <w:rsid w:val="001F3A2F"/>
    <w:rsid w:val="001F3C1E"/>
    <w:rsid w:val="00200B10"/>
    <w:rsid w:val="00200D25"/>
    <w:rsid w:val="002033B4"/>
    <w:rsid w:val="0020367E"/>
    <w:rsid w:val="002051E2"/>
    <w:rsid w:val="00205CC2"/>
    <w:rsid w:val="00205DDA"/>
    <w:rsid w:val="00205FCB"/>
    <w:rsid w:val="00206A83"/>
    <w:rsid w:val="002103C5"/>
    <w:rsid w:val="00213A75"/>
    <w:rsid w:val="00214082"/>
    <w:rsid w:val="002164A0"/>
    <w:rsid w:val="00217AB1"/>
    <w:rsid w:val="0022344E"/>
    <w:rsid w:val="00224EB6"/>
    <w:rsid w:val="002263E2"/>
    <w:rsid w:val="00226BCF"/>
    <w:rsid w:val="0022700A"/>
    <w:rsid w:val="00230B50"/>
    <w:rsid w:val="0023173F"/>
    <w:rsid w:val="00231C79"/>
    <w:rsid w:val="00231D56"/>
    <w:rsid w:val="00233797"/>
    <w:rsid w:val="002338E6"/>
    <w:rsid w:val="0023682C"/>
    <w:rsid w:val="00236B4A"/>
    <w:rsid w:val="002407FE"/>
    <w:rsid w:val="00241DAD"/>
    <w:rsid w:val="00244DD5"/>
    <w:rsid w:val="0025225B"/>
    <w:rsid w:val="00254244"/>
    <w:rsid w:val="002551A9"/>
    <w:rsid w:val="00255328"/>
    <w:rsid w:val="0025615A"/>
    <w:rsid w:val="002573B2"/>
    <w:rsid w:val="00257501"/>
    <w:rsid w:val="00257852"/>
    <w:rsid w:val="00261E7E"/>
    <w:rsid w:val="00263357"/>
    <w:rsid w:val="00264DA5"/>
    <w:rsid w:val="0026562C"/>
    <w:rsid w:val="00266AF1"/>
    <w:rsid w:val="00267D86"/>
    <w:rsid w:val="002701FC"/>
    <w:rsid w:val="002720CD"/>
    <w:rsid w:val="00272666"/>
    <w:rsid w:val="00277B5B"/>
    <w:rsid w:val="00280853"/>
    <w:rsid w:val="0028096B"/>
    <w:rsid w:val="002814F4"/>
    <w:rsid w:val="002852B8"/>
    <w:rsid w:val="00285669"/>
    <w:rsid w:val="00285931"/>
    <w:rsid w:val="00287E48"/>
    <w:rsid w:val="002906BD"/>
    <w:rsid w:val="002A1279"/>
    <w:rsid w:val="002A1F7F"/>
    <w:rsid w:val="002A2F02"/>
    <w:rsid w:val="002A3A49"/>
    <w:rsid w:val="002A4BE5"/>
    <w:rsid w:val="002A5274"/>
    <w:rsid w:val="002A53CA"/>
    <w:rsid w:val="002A6006"/>
    <w:rsid w:val="002A60C2"/>
    <w:rsid w:val="002A614C"/>
    <w:rsid w:val="002A72C0"/>
    <w:rsid w:val="002A76BD"/>
    <w:rsid w:val="002B3401"/>
    <w:rsid w:val="002B38DF"/>
    <w:rsid w:val="002B4309"/>
    <w:rsid w:val="002B5C17"/>
    <w:rsid w:val="002C00FB"/>
    <w:rsid w:val="002C026C"/>
    <w:rsid w:val="002C0F3C"/>
    <w:rsid w:val="002C1423"/>
    <w:rsid w:val="002C2F80"/>
    <w:rsid w:val="002C5563"/>
    <w:rsid w:val="002D0E01"/>
    <w:rsid w:val="002D1367"/>
    <w:rsid w:val="002D2432"/>
    <w:rsid w:val="002D3128"/>
    <w:rsid w:val="002D4F0C"/>
    <w:rsid w:val="002D69D6"/>
    <w:rsid w:val="002D6D97"/>
    <w:rsid w:val="002E144D"/>
    <w:rsid w:val="002E2821"/>
    <w:rsid w:val="002E36D6"/>
    <w:rsid w:val="002E445B"/>
    <w:rsid w:val="002E4B74"/>
    <w:rsid w:val="002E61F6"/>
    <w:rsid w:val="002E73CC"/>
    <w:rsid w:val="002F0D3B"/>
    <w:rsid w:val="002F13C1"/>
    <w:rsid w:val="002F55BA"/>
    <w:rsid w:val="002F5906"/>
    <w:rsid w:val="002F754A"/>
    <w:rsid w:val="0030032E"/>
    <w:rsid w:val="0030076E"/>
    <w:rsid w:val="003008DF"/>
    <w:rsid w:val="00300BA2"/>
    <w:rsid w:val="00301C87"/>
    <w:rsid w:val="00304075"/>
    <w:rsid w:val="0030493A"/>
    <w:rsid w:val="00305007"/>
    <w:rsid w:val="00305857"/>
    <w:rsid w:val="003066D6"/>
    <w:rsid w:val="0031392B"/>
    <w:rsid w:val="003157BF"/>
    <w:rsid w:val="0031592E"/>
    <w:rsid w:val="00316C15"/>
    <w:rsid w:val="003203E2"/>
    <w:rsid w:val="00321BCE"/>
    <w:rsid w:val="0032200C"/>
    <w:rsid w:val="003226E2"/>
    <w:rsid w:val="00324C0F"/>
    <w:rsid w:val="00325706"/>
    <w:rsid w:val="0033618D"/>
    <w:rsid w:val="00337A95"/>
    <w:rsid w:val="00337E65"/>
    <w:rsid w:val="00337EE0"/>
    <w:rsid w:val="00340C7A"/>
    <w:rsid w:val="00343A5C"/>
    <w:rsid w:val="00344D3F"/>
    <w:rsid w:val="0034510B"/>
    <w:rsid w:val="00345494"/>
    <w:rsid w:val="00350035"/>
    <w:rsid w:val="003501AA"/>
    <w:rsid w:val="00350871"/>
    <w:rsid w:val="00351510"/>
    <w:rsid w:val="00351D4A"/>
    <w:rsid w:val="00353552"/>
    <w:rsid w:val="00353A1B"/>
    <w:rsid w:val="00355E0D"/>
    <w:rsid w:val="003621B2"/>
    <w:rsid w:val="003641A9"/>
    <w:rsid w:val="00364715"/>
    <w:rsid w:val="003659CB"/>
    <w:rsid w:val="00365AC1"/>
    <w:rsid w:val="003660D3"/>
    <w:rsid w:val="00366384"/>
    <w:rsid w:val="00367379"/>
    <w:rsid w:val="00370FC4"/>
    <w:rsid w:val="00371CB5"/>
    <w:rsid w:val="003749DB"/>
    <w:rsid w:val="00374D6F"/>
    <w:rsid w:val="003753B9"/>
    <w:rsid w:val="00377ABD"/>
    <w:rsid w:val="0038043F"/>
    <w:rsid w:val="00381D1D"/>
    <w:rsid w:val="00382E01"/>
    <w:rsid w:val="0038301B"/>
    <w:rsid w:val="00383494"/>
    <w:rsid w:val="00384A0E"/>
    <w:rsid w:val="00386266"/>
    <w:rsid w:val="003904AC"/>
    <w:rsid w:val="00390AB5"/>
    <w:rsid w:val="00393478"/>
    <w:rsid w:val="0039427E"/>
    <w:rsid w:val="00394773"/>
    <w:rsid w:val="00395B58"/>
    <w:rsid w:val="00397506"/>
    <w:rsid w:val="003A1BFC"/>
    <w:rsid w:val="003A1C19"/>
    <w:rsid w:val="003A253D"/>
    <w:rsid w:val="003A3378"/>
    <w:rsid w:val="003A4834"/>
    <w:rsid w:val="003A5212"/>
    <w:rsid w:val="003A7C6D"/>
    <w:rsid w:val="003B4542"/>
    <w:rsid w:val="003C019F"/>
    <w:rsid w:val="003C0F37"/>
    <w:rsid w:val="003C15A9"/>
    <w:rsid w:val="003C1ABC"/>
    <w:rsid w:val="003C22B0"/>
    <w:rsid w:val="003C246F"/>
    <w:rsid w:val="003C2DD2"/>
    <w:rsid w:val="003C45ED"/>
    <w:rsid w:val="003C4746"/>
    <w:rsid w:val="003C4A94"/>
    <w:rsid w:val="003C7173"/>
    <w:rsid w:val="003D02C8"/>
    <w:rsid w:val="003D07E4"/>
    <w:rsid w:val="003D0E4D"/>
    <w:rsid w:val="003D16E7"/>
    <w:rsid w:val="003D27AF"/>
    <w:rsid w:val="003D2BE8"/>
    <w:rsid w:val="003D3A33"/>
    <w:rsid w:val="003D4394"/>
    <w:rsid w:val="003D4E12"/>
    <w:rsid w:val="003D5E5A"/>
    <w:rsid w:val="003D672F"/>
    <w:rsid w:val="003E09F0"/>
    <w:rsid w:val="003E1670"/>
    <w:rsid w:val="003E5FB9"/>
    <w:rsid w:val="003E6253"/>
    <w:rsid w:val="003E7779"/>
    <w:rsid w:val="003F3A74"/>
    <w:rsid w:val="003F3B82"/>
    <w:rsid w:val="003F508B"/>
    <w:rsid w:val="003F50DA"/>
    <w:rsid w:val="003F540F"/>
    <w:rsid w:val="003F604D"/>
    <w:rsid w:val="003F60E4"/>
    <w:rsid w:val="00401A38"/>
    <w:rsid w:val="0040542C"/>
    <w:rsid w:val="00406A2D"/>
    <w:rsid w:val="00412316"/>
    <w:rsid w:val="00412A72"/>
    <w:rsid w:val="00414E06"/>
    <w:rsid w:val="00416133"/>
    <w:rsid w:val="00416685"/>
    <w:rsid w:val="004175BC"/>
    <w:rsid w:val="00420C86"/>
    <w:rsid w:val="00421328"/>
    <w:rsid w:val="00421656"/>
    <w:rsid w:val="00421E83"/>
    <w:rsid w:val="00427823"/>
    <w:rsid w:val="00427E94"/>
    <w:rsid w:val="00430067"/>
    <w:rsid w:val="00430E2C"/>
    <w:rsid w:val="004314CE"/>
    <w:rsid w:val="00432665"/>
    <w:rsid w:val="00434037"/>
    <w:rsid w:val="00434359"/>
    <w:rsid w:val="00440A62"/>
    <w:rsid w:val="00443362"/>
    <w:rsid w:val="00443BE3"/>
    <w:rsid w:val="00445F1B"/>
    <w:rsid w:val="00446313"/>
    <w:rsid w:val="00446B3F"/>
    <w:rsid w:val="00447E78"/>
    <w:rsid w:val="00450402"/>
    <w:rsid w:val="00450730"/>
    <w:rsid w:val="004517BA"/>
    <w:rsid w:val="004519BF"/>
    <w:rsid w:val="00454503"/>
    <w:rsid w:val="004569BF"/>
    <w:rsid w:val="00460714"/>
    <w:rsid w:val="00461A11"/>
    <w:rsid w:val="0046334F"/>
    <w:rsid w:val="00463542"/>
    <w:rsid w:val="00464996"/>
    <w:rsid w:val="00464B0D"/>
    <w:rsid w:val="00464D14"/>
    <w:rsid w:val="0047391C"/>
    <w:rsid w:val="004754B2"/>
    <w:rsid w:val="0047591B"/>
    <w:rsid w:val="0047665B"/>
    <w:rsid w:val="00476BDA"/>
    <w:rsid w:val="004821E8"/>
    <w:rsid w:val="00482639"/>
    <w:rsid w:val="00484041"/>
    <w:rsid w:val="00484637"/>
    <w:rsid w:val="0048567F"/>
    <w:rsid w:val="00485C0F"/>
    <w:rsid w:val="00485C27"/>
    <w:rsid w:val="00485EF4"/>
    <w:rsid w:val="004901A0"/>
    <w:rsid w:val="004902B5"/>
    <w:rsid w:val="0049120E"/>
    <w:rsid w:val="004916DC"/>
    <w:rsid w:val="004925EC"/>
    <w:rsid w:val="00492AC2"/>
    <w:rsid w:val="004950C2"/>
    <w:rsid w:val="0049615A"/>
    <w:rsid w:val="004963DC"/>
    <w:rsid w:val="00496758"/>
    <w:rsid w:val="00497411"/>
    <w:rsid w:val="0049786B"/>
    <w:rsid w:val="004A0C08"/>
    <w:rsid w:val="004A1C7E"/>
    <w:rsid w:val="004A3134"/>
    <w:rsid w:val="004A34D1"/>
    <w:rsid w:val="004A3831"/>
    <w:rsid w:val="004A57E8"/>
    <w:rsid w:val="004A6CFF"/>
    <w:rsid w:val="004B4C40"/>
    <w:rsid w:val="004B4D75"/>
    <w:rsid w:val="004B5507"/>
    <w:rsid w:val="004B5AD3"/>
    <w:rsid w:val="004B663A"/>
    <w:rsid w:val="004C1DDC"/>
    <w:rsid w:val="004C1EA1"/>
    <w:rsid w:val="004C342C"/>
    <w:rsid w:val="004C6FE0"/>
    <w:rsid w:val="004D1364"/>
    <w:rsid w:val="004D4E0B"/>
    <w:rsid w:val="004D51CF"/>
    <w:rsid w:val="004E0E28"/>
    <w:rsid w:val="004E1703"/>
    <w:rsid w:val="004E2FF8"/>
    <w:rsid w:val="004E313D"/>
    <w:rsid w:val="004E5AEA"/>
    <w:rsid w:val="004E5EB8"/>
    <w:rsid w:val="004E681C"/>
    <w:rsid w:val="004E7084"/>
    <w:rsid w:val="004F08F3"/>
    <w:rsid w:val="004F197D"/>
    <w:rsid w:val="004F24FC"/>
    <w:rsid w:val="004F2ABC"/>
    <w:rsid w:val="004F30A8"/>
    <w:rsid w:val="004F4388"/>
    <w:rsid w:val="004F4E6E"/>
    <w:rsid w:val="004F53FA"/>
    <w:rsid w:val="004F5B75"/>
    <w:rsid w:val="004F60C2"/>
    <w:rsid w:val="004F70CD"/>
    <w:rsid w:val="004F75C9"/>
    <w:rsid w:val="00500231"/>
    <w:rsid w:val="005008AE"/>
    <w:rsid w:val="00502315"/>
    <w:rsid w:val="00502563"/>
    <w:rsid w:val="0050385C"/>
    <w:rsid w:val="00503D67"/>
    <w:rsid w:val="00507F0C"/>
    <w:rsid w:val="00510221"/>
    <w:rsid w:val="00511EF2"/>
    <w:rsid w:val="00511F34"/>
    <w:rsid w:val="005130CF"/>
    <w:rsid w:val="005153D3"/>
    <w:rsid w:val="00516424"/>
    <w:rsid w:val="0051719E"/>
    <w:rsid w:val="0051770B"/>
    <w:rsid w:val="00517930"/>
    <w:rsid w:val="00517B4C"/>
    <w:rsid w:val="00521247"/>
    <w:rsid w:val="00521AD5"/>
    <w:rsid w:val="00522B11"/>
    <w:rsid w:val="00522C2F"/>
    <w:rsid w:val="00523511"/>
    <w:rsid w:val="005244F7"/>
    <w:rsid w:val="00524FC6"/>
    <w:rsid w:val="0052630F"/>
    <w:rsid w:val="005279DE"/>
    <w:rsid w:val="00527A34"/>
    <w:rsid w:val="00531F70"/>
    <w:rsid w:val="0053277C"/>
    <w:rsid w:val="00532829"/>
    <w:rsid w:val="005331A9"/>
    <w:rsid w:val="00537078"/>
    <w:rsid w:val="00540835"/>
    <w:rsid w:val="005434DE"/>
    <w:rsid w:val="0054536A"/>
    <w:rsid w:val="0054540C"/>
    <w:rsid w:val="005458E1"/>
    <w:rsid w:val="00545CEF"/>
    <w:rsid w:val="00546003"/>
    <w:rsid w:val="005561AD"/>
    <w:rsid w:val="00560325"/>
    <w:rsid w:val="00561466"/>
    <w:rsid w:val="0056204B"/>
    <w:rsid w:val="00563A7E"/>
    <w:rsid w:val="00566F26"/>
    <w:rsid w:val="00572762"/>
    <w:rsid w:val="0057278D"/>
    <w:rsid w:val="00572DEC"/>
    <w:rsid w:val="00574A51"/>
    <w:rsid w:val="005807AA"/>
    <w:rsid w:val="00581A10"/>
    <w:rsid w:val="00581C50"/>
    <w:rsid w:val="005827DE"/>
    <w:rsid w:val="00583E56"/>
    <w:rsid w:val="00584028"/>
    <w:rsid w:val="00585A0A"/>
    <w:rsid w:val="00586ECF"/>
    <w:rsid w:val="00590A47"/>
    <w:rsid w:val="00590F92"/>
    <w:rsid w:val="005914F0"/>
    <w:rsid w:val="00592B13"/>
    <w:rsid w:val="00595103"/>
    <w:rsid w:val="00595C7A"/>
    <w:rsid w:val="005A0990"/>
    <w:rsid w:val="005A6531"/>
    <w:rsid w:val="005A67F8"/>
    <w:rsid w:val="005A7001"/>
    <w:rsid w:val="005A722F"/>
    <w:rsid w:val="005B15AC"/>
    <w:rsid w:val="005B1CD4"/>
    <w:rsid w:val="005B31F4"/>
    <w:rsid w:val="005B3A63"/>
    <w:rsid w:val="005B3D24"/>
    <w:rsid w:val="005B6240"/>
    <w:rsid w:val="005B6383"/>
    <w:rsid w:val="005B6A17"/>
    <w:rsid w:val="005C0040"/>
    <w:rsid w:val="005C205A"/>
    <w:rsid w:val="005C24BF"/>
    <w:rsid w:val="005C2EAB"/>
    <w:rsid w:val="005C35AB"/>
    <w:rsid w:val="005C394B"/>
    <w:rsid w:val="005C3D95"/>
    <w:rsid w:val="005C672E"/>
    <w:rsid w:val="005C7D1A"/>
    <w:rsid w:val="005C7D23"/>
    <w:rsid w:val="005D0488"/>
    <w:rsid w:val="005D1B66"/>
    <w:rsid w:val="005D1C88"/>
    <w:rsid w:val="005D25D9"/>
    <w:rsid w:val="005D263D"/>
    <w:rsid w:val="005D2FC9"/>
    <w:rsid w:val="005D4F43"/>
    <w:rsid w:val="005D7D2F"/>
    <w:rsid w:val="005E014D"/>
    <w:rsid w:val="005E07D7"/>
    <w:rsid w:val="005E22BA"/>
    <w:rsid w:val="005E2D75"/>
    <w:rsid w:val="005E3911"/>
    <w:rsid w:val="005E6A79"/>
    <w:rsid w:val="005E7210"/>
    <w:rsid w:val="005F237E"/>
    <w:rsid w:val="005F2C91"/>
    <w:rsid w:val="005F3BBC"/>
    <w:rsid w:val="005F512B"/>
    <w:rsid w:val="005F515C"/>
    <w:rsid w:val="005F5B1B"/>
    <w:rsid w:val="005F6C76"/>
    <w:rsid w:val="00601F35"/>
    <w:rsid w:val="00602B0E"/>
    <w:rsid w:val="00602BA4"/>
    <w:rsid w:val="006042F9"/>
    <w:rsid w:val="00605206"/>
    <w:rsid w:val="00605823"/>
    <w:rsid w:val="00605E89"/>
    <w:rsid w:val="00606C10"/>
    <w:rsid w:val="0060765A"/>
    <w:rsid w:val="00607BE0"/>
    <w:rsid w:val="00611CF5"/>
    <w:rsid w:val="006127D3"/>
    <w:rsid w:val="0061355E"/>
    <w:rsid w:val="006139B1"/>
    <w:rsid w:val="00615506"/>
    <w:rsid w:val="00622424"/>
    <w:rsid w:val="00622B95"/>
    <w:rsid w:val="00623033"/>
    <w:rsid w:val="00624D4E"/>
    <w:rsid w:val="00625983"/>
    <w:rsid w:val="0063208A"/>
    <w:rsid w:val="0063251B"/>
    <w:rsid w:val="00635A80"/>
    <w:rsid w:val="00636B8E"/>
    <w:rsid w:val="00637357"/>
    <w:rsid w:val="00640977"/>
    <w:rsid w:val="006410D0"/>
    <w:rsid w:val="00642A60"/>
    <w:rsid w:val="00643C89"/>
    <w:rsid w:val="006453CD"/>
    <w:rsid w:val="006456A5"/>
    <w:rsid w:val="0064585B"/>
    <w:rsid w:val="006466B1"/>
    <w:rsid w:val="0064689E"/>
    <w:rsid w:val="00647A53"/>
    <w:rsid w:val="006532C5"/>
    <w:rsid w:val="00654BC0"/>
    <w:rsid w:val="00655A9D"/>
    <w:rsid w:val="0065629F"/>
    <w:rsid w:val="00656F03"/>
    <w:rsid w:val="006579ED"/>
    <w:rsid w:val="00662C78"/>
    <w:rsid w:val="0066470F"/>
    <w:rsid w:val="006662AA"/>
    <w:rsid w:val="00666CCD"/>
    <w:rsid w:val="00667000"/>
    <w:rsid w:val="00667652"/>
    <w:rsid w:val="00667B3C"/>
    <w:rsid w:val="00667E44"/>
    <w:rsid w:val="00672DAC"/>
    <w:rsid w:val="00673D27"/>
    <w:rsid w:val="00676257"/>
    <w:rsid w:val="006825AC"/>
    <w:rsid w:val="00682FF4"/>
    <w:rsid w:val="00683B9B"/>
    <w:rsid w:val="00685469"/>
    <w:rsid w:val="00690353"/>
    <w:rsid w:val="00691B7A"/>
    <w:rsid w:val="00695643"/>
    <w:rsid w:val="00696739"/>
    <w:rsid w:val="006A0E3D"/>
    <w:rsid w:val="006A21F9"/>
    <w:rsid w:val="006A25CA"/>
    <w:rsid w:val="006A2B86"/>
    <w:rsid w:val="006A4141"/>
    <w:rsid w:val="006A47B4"/>
    <w:rsid w:val="006B2369"/>
    <w:rsid w:val="006B5485"/>
    <w:rsid w:val="006B75A2"/>
    <w:rsid w:val="006C1DA4"/>
    <w:rsid w:val="006C2577"/>
    <w:rsid w:val="006C2AC5"/>
    <w:rsid w:val="006C31DE"/>
    <w:rsid w:val="006C547F"/>
    <w:rsid w:val="006C5D69"/>
    <w:rsid w:val="006D17C9"/>
    <w:rsid w:val="006D379D"/>
    <w:rsid w:val="006D3CBA"/>
    <w:rsid w:val="006D62F7"/>
    <w:rsid w:val="006D636C"/>
    <w:rsid w:val="006E0F5D"/>
    <w:rsid w:val="006E1B80"/>
    <w:rsid w:val="006E3D55"/>
    <w:rsid w:val="006E40C3"/>
    <w:rsid w:val="006E6630"/>
    <w:rsid w:val="006E689C"/>
    <w:rsid w:val="006F269D"/>
    <w:rsid w:val="006F6360"/>
    <w:rsid w:val="006F6D74"/>
    <w:rsid w:val="007002FB"/>
    <w:rsid w:val="0070066C"/>
    <w:rsid w:val="00700886"/>
    <w:rsid w:val="0070113D"/>
    <w:rsid w:val="007012FF"/>
    <w:rsid w:val="00702D92"/>
    <w:rsid w:val="00703269"/>
    <w:rsid w:val="007034AA"/>
    <w:rsid w:val="00703D51"/>
    <w:rsid w:val="00703F7B"/>
    <w:rsid w:val="00705BEB"/>
    <w:rsid w:val="00706232"/>
    <w:rsid w:val="00706807"/>
    <w:rsid w:val="00707072"/>
    <w:rsid w:val="007073D6"/>
    <w:rsid w:val="0071186A"/>
    <w:rsid w:val="007128A1"/>
    <w:rsid w:val="007133FD"/>
    <w:rsid w:val="007149EE"/>
    <w:rsid w:val="00714BD1"/>
    <w:rsid w:val="007169F7"/>
    <w:rsid w:val="007171A0"/>
    <w:rsid w:val="00722861"/>
    <w:rsid w:val="00723323"/>
    <w:rsid w:val="007245D3"/>
    <w:rsid w:val="00726FEA"/>
    <w:rsid w:val="007270D8"/>
    <w:rsid w:val="00727203"/>
    <w:rsid w:val="00732E62"/>
    <w:rsid w:val="007334A9"/>
    <w:rsid w:val="00733F00"/>
    <w:rsid w:val="0073635D"/>
    <w:rsid w:val="00736395"/>
    <w:rsid w:val="007365F4"/>
    <w:rsid w:val="00736B28"/>
    <w:rsid w:val="00740BDC"/>
    <w:rsid w:val="007435A0"/>
    <w:rsid w:val="00743DCF"/>
    <w:rsid w:val="00746120"/>
    <w:rsid w:val="007463CC"/>
    <w:rsid w:val="00746F1D"/>
    <w:rsid w:val="00752A72"/>
    <w:rsid w:val="00752D3D"/>
    <w:rsid w:val="007540BF"/>
    <w:rsid w:val="007555CB"/>
    <w:rsid w:val="00757FA2"/>
    <w:rsid w:val="00762F96"/>
    <w:rsid w:val="00763600"/>
    <w:rsid w:val="00763AD0"/>
    <w:rsid w:val="00764DF1"/>
    <w:rsid w:val="00766628"/>
    <w:rsid w:val="00766B3F"/>
    <w:rsid w:val="0077105D"/>
    <w:rsid w:val="00774B05"/>
    <w:rsid w:val="00775C5E"/>
    <w:rsid w:val="00775D0D"/>
    <w:rsid w:val="00776856"/>
    <w:rsid w:val="00777045"/>
    <w:rsid w:val="00777ACD"/>
    <w:rsid w:val="00780C9E"/>
    <w:rsid w:val="00781051"/>
    <w:rsid w:val="00783123"/>
    <w:rsid w:val="00783C49"/>
    <w:rsid w:val="00784A23"/>
    <w:rsid w:val="0078543A"/>
    <w:rsid w:val="007857E2"/>
    <w:rsid w:val="0078651F"/>
    <w:rsid w:val="007867B8"/>
    <w:rsid w:val="00787F4F"/>
    <w:rsid w:val="00791C3E"/>
    <w:rsid w:val="0079624F"/>
    <w:rsid w:val="007971AB"/>
    <w:rsid w:val="007A13B8"/>
    <w:rsid w:val="007A307D"/>
    <w:rsid w:val="007A47D1"/>
    <w:rsid w:val="007A4B75"/>
    <w:rsid w:val="007A51B0"/>
    <w:rsid w:val="007A7A48"/>
    <w:rsid w:val="007B14EA"/>
    <w:rsid w:val="007B1E41"/>
    <w:rsid w:val="007B419C"/>
    <w:rsid w:val="007B4254"/>
    <w:rsid w:val="007B5A7C"/>
    <w:rsid w:val="007B5EF9"/>
    <w:rsid w:val="007B6BE9"/>
    <w:rsid w:val="007B7065"/>
    <w:rsid w:val="007C06F8"/>
    <w:rsid w:val="007C09EB"/>
    <w:rsid w:val="007C0CAC"/>
    <w:rsid w:val="007C28C0"/>
    <w:rsid w:val="007C4715"/>
    <w:rsid w:val="007C68A5"/>
    <w:rsid w:val="007D099D"/>
    <w:rsid w:val="007D1BEB"/>
    <w:rsid w:val="007D229C"/>
    <w:rsid w:val="007D27CD"/>
    <w:rsid w:val="007D5EA4"/>
    <w:rsid w:val="007D65A4"/>
    <w:rsid w:val="007D7362"/>
    <w:rsid w:val="007D77F3"/>
    <w:rsid w:val="007E3D5D"/>
    <w:rsid w:val="007E6BD7"/>
    <w:rsid w:val="007E75E6"/>
    <w:rsid w:val="007F0AFB"/>
    <w:rsid w:val="007F1176"/>
    <w:rsid w:val="007F1229"/>
    <w:rsid w:val="007F166D"/>
    <w:rsid w:val="007F2415"/>
    <w:rsid w:val="007F335F"/>
    <w:rsid w:val="007F3535"/>
    <w:rsid w:val="007F37E7"/>
    <w:rsid w:val="007F3D49"/>
    <w:rsid w:val="007F3E39"/>
    <w:rsid w:val="007F436E"/>
    <w:rsid w:val="007F5B94"/>
    <w:rsid w:val="00800C15"/>
    <w:rsid w:val="00800C63"/>
    <w:rsid w:val="008013CC"/>
    <w:rsid w:val="0080201F"/>
    <w:rsid w:val="00803218"/>
    <w:rsid w:val="00803527"/>
    <w:rsid w:val="00804300"/>
    <w:rsid w:val="008049BF"/>
    <w:rsid w:val="0080759E"/>
    <w:rsid w:val="008075D4"/>
    <w:rsid w:val="00807E63"/>
    <w:rsid w:val="0081155B"/>
    <w:rsid w:val="00813919"/>
    <w:rsid w:val="00815904"/>
    <w:rsid w:val="008168F9"/>
    <w:rsid w:val="00816A27"/>
    <w:rsid w:val="00816F83"/>
    <w:rsid w:val="00822082"/>
    <w:rsid w:val="00822A78"/>
    <w:rsid w:val="00824132"/>
    <w:rsid w:val="008254A6"/>
    <w:rsid w:val="008261E9"/>
    <w:rsid w:val="00826204"/>
    <w:rsid w:val="00826F60"/>
    <w:rsid w:val="008279E0"/>
    <w:rsid w:val="00835AE0"/>
    <w:rsid w:val="00836118"/>
    <w:rsid w:val="00841EBA"/>
    <w:rsid w:val="00846EE7"/>
    <w:rsid w:val="008501E7"/>
    <w:rsid w:val="0085041C"/>
    <w:rsid w:val="0085518B"/>
    <w:rsid w:val="0085650F"/>
    <w:rsid w:val="008609C9"/>
    <w:rsid w:val="00861A7F"/>
    <w:rsid w:val="00861B78"/>
    <w:rsid w:val="00861BA5"/>
    <w:rsid w:val="00867852"/>
    <w:rsid w:val="0087485F"/>
    <w:rsid w:val="00874B11"/>
    <w:rsid w:val="00874D2B"/>
    <w:rsid w:val="00880152"/>
    <w:rsid w:val="00880DA5"/>
    <w:rsid w:val="00883EFE"/>
    <w:rsid w:val="008851BE"/>
    <w:rsid w:val="0088523B"/>
    <w:rsid w:val="00886905"/>
    <w:rsid w:val="00886BDF"/>
    <w:rsid w:val="008900D9"/>
    <w:rsid w:val="008960B9"/>
    <w:rsid w:val="00897378"/>
    <w:rsid w:val="008A05DC"/>
    <w:rsid w:val="008A295B"/>
    <w:rsid w:val="008A2A57"/>
    <w:rsid w:val="008A30D9"/>
    <w:rsid w:val="008A5025"/>
    <w:rsid w:val="008A713C"/>
    <w:rsid w:val="008B0AC8"/>
    <w:rsid w:val="008B3D58"/>
    <w:rsid w:val="008B4729"/>
    <w:rsid w:val="008B5311"/>
    <w:rsid w:val="008B622A"/>
    <w:rsid w:val="008B73FE"/>
    <w:rsid w:val="008C2709"/>
    <w:rsid w:val="008C3120"/>
    <w:rsid w:val="008C4886"/>
    <w:rsid w:val="008C57BA"/>
    <w:rsid w:val="008C6C74"/>
    <w:rsid w:val="008C6D09"/>
    <w:rsid w:val="008D1992"/>
    <w:rsid w:val="008D3C5E"/>
    <w:rsid w:val="008D4D60"/>
    <w:rsid w:val="008D6186"/>
    <w:rsid w:val="008E0022"/>
    <w:rsid w:val="008E09D1"/>
    <w:rsid w:val="008F108B"/>
    <w:rsid w:val="008F1347"/>
    <w:rsid w:val="008F182E"/>
    <w:rsid w:val="008F2EF8"/>
    <w:rsid w:val="008F38A5"/>
    <w:rsid w:val="008F693E"/>
    <w:rsid w:val="008F74D9"/>
    <w:rsid w:val="008F7752"/>
    <w:rsid w:val="00900A68"/>
    <w:rsid w:val="00901B1D"/>
    <w:rsid w:val="00903C29"/>
    <w:rsid w:val="00905C29"/>
    <w:rsid w:val="00907069"/>
    <w:rsid w:val="009073B5"/>
    <w:rsid w:val="00907FB2"/>
    <w:rsid w:val="009111F6"/>
    <w:rsid w:val="00911FD2"/>
    <w:rsid w:val="00912B09"/>
    <w:rsid w:val="00914E7C"/>
    <w:rsid w:val="00916C07"/>
    <w:rsid w:val="00920B01"/>
    <w:rsid w:val="009226A3"/>
    <w:rsid w:val="00923558"/>
    <w:rsid w:val="00925AA9"/>
    <w:rsid w:val="00927FBB"/>
    <w:rsid w:val="00930062"/>
    <w:rsid w:val="00932715"/>
    <w:rsid w:val="009331DF"/>
    <w:rsid w:val="009335D3"/>
    <w:rsid w:val="00940576"/>
    <w:rsid w:val="00940AFA"/>
    <w:rsid w:val="00943CE3"/>
    <w:rsid w:val="00943EB7"/>
    <w:rsid w:val="009452F2"/>
    <w:rsid w:val="009479E9"/>
    <w:rsid w:val="00952127"/>
    <w:rsid w:val="00952CBF"/>
    <w:rsid w:val="00953F8F"/>
    <w:rsid w:val="009547E5"/>
    <w:rsid w:val="009567A4"/>
    <w:rsid w:val="009567EF"/>
    <w:rsid w:val="009570C0"/>
    <w:rsid w:val="00960341"/>
    <w:rsid w:val="00960DFF"/>
    <w:rsid w:val="00960EE4"/>
    <w:rsid w:val="00961B21"/>
    <w:rsid w:val="0096284B"/>
    <w:rsid w:val="00963861"/>
    <w:rsid w:val="0096486B"/>
    <w:rsid w:val="00965910"/>
    <w:rsid w:val="009665E8"/>
    <w:rsid w:val="00967982"/>
    <w:rsid w:val="00970255"/>
    <w:rsid w:val="00972748"/>
    <w:rsid w:val="00972F50"/>
    <w:rsid w:val="00973CC4"/>
    <w:rsid w:val="00975022"/>
    <w:rsid w:val="00975BD5"/>
    <w:rsid w:val="009779AB"/>
    <w:rsid w:val="00980258"/>
    <w:rsid w:val="009821B7"/>
    <w:rsid w:val="009825F3"/>
    <w:rsid w:val="009826BD"/>
    <w:rsid w:val="009864FE"/>
    <w:rsid w:val="00990B37"/>
    <w:rsid w:val="00991DE6"/>
    <w:rsid w:val="00992BF5"/>
    <w:rsid w:val="009945F4"/>
    <w:rsid w:val="0099606A"/>
    <w:rsid w:val="009966A6"/>
    <w:rsid w:val="00996D67"/>
    <w:rsid w:val="00997C23"/>
    <w:rsid w:val="009A0B20"/>
    <w:rsid w:val="009A17DB"/>
    <w:rsid w:val="009A21C9"/>
    <w:rsid w:val="009A3D94"/>
    <w:rsid w:val="009A434B"/>
    <w:rsid w:val="009A6111"/>
    <w:rsid w:val="009A7DCE"/>
    <w:rsid w:val="009A7EB2"/>
    <w:rsid w:val="009A7F63"/>
    <w:rsid w:val="009B00EE"/>
    <w:rsid w:val="009B03CE"/>
    <w:rsid w:val="009B2895"/>
    <w:rsid w:val="009B29B7"/>
    <w:rsid w:val="009B412A"/>
    <w:rsid w:val="009B5CEA"/>
    <w:rsid w:val="009B6E30"/>
    <w:rsid w:val="009B7D32"/>
    <w:rsid w:val="009B7D66"/>
    <w:rsid w:val="009C061C"/>
    <w:rsid w:val="009C39B7"/>
    <w:rsid w:val="009C5659"/>
    <w:rsid w:val="009C78F7"/>
    <w:rsid w:val="009C7AA6"/>
    <w:rsid w:val="009D0251"/>
    <w:rsid w:val="009D0842"/>
    <w:rsid w:val="009D1FAF"/>
    <w:rsid w:val="009D2BB2"/>
    <w:rsid w:val="009D4167"/>
    <w:rsid w:val="009D4D38"/>
    <w:rsid w:val="009D6A8A"/>
    <w:rsid w:val="009E126B"/>
    <w:rsid w:val="009E138B"/>
    <w:rsid w:val="009E2F59"/>
    <w:rsid w:val="009E7B01"/>
    <w:rsid w:val="009F12E4"/>
    <w:rsid w:val="009F34A6"/>
    <w:rsid w:val="009F46BC"/>
    <w:rsid w:val="009F478B"/>
    <w:rsid w:val="009F5390"/>
    <w:rsid w:val="00A00752"/>
    <w:rsid w:val="00A030FE"/>
    <w:rsid w:val="00A03AC7"/>
    <w:rsid w:val="00A03C3E"/>
    <w:rsid w:val="00A040A9"/>
    <w:rsid w:val="00A047A0"/>
    <w:rsid w:val="00A05EFE"/>
    <w:rsid w:val="00A0655C"/>
    <w:rsid w:val="00A06829"/>
    <w:rsid w:val="00A06D9C"/>
    <w:rsid w:val="00A06E50"/>
    <w:rsid w:val="00A07285"/>
    <w:rsid w:val="00A0743D"/>
    <w:rsid w:val="00A1059D"/>
    <w:rsid w:val="00A119AC"/>
    <w:rsid w:val="00A124AB"/>
    <w:rsid w:val="00A133C6"/>
    <w:rsid w:val="00A150F7"/>
    <w:rsid w:val="00A15F07"/>
    <w:rsid w:val="00A17F73"/>
    <w:rsid w:val="00A21A79"/>
    <w:rsid w:val="00A2222D"/>
    <w:rsid w:val="00A24389"/>
    <w:rsid w:val="00A24E79"/>
    <w:rsid w:val="00A25092"/>
    <w:rsid w:val="00A262E6"/>
    <w:rsid w:val="00A2749D"/>
    <w:rsid w:val="00A307F5"/>
    <w:rsid w:val="00A34725"/>
    <w:rsid w:val="00A3726B"/>
    <w:rsid w:val="00A373DE"/>
    <w:rsid w:val="00A40534"/>
    <w:rsid w:val="00A40649"/>
    <w:rsid w:val="00A40C1C"/>
    <w:rsid w:val="00A442DB"/>
    <w:rsid w:val="00A447FC"/>
    <w:rsid w:val="00A5056C"/>
    <w:rsid w:val="00A51543"/>
    <w:rsid w:val="00A53840"/>
    <w:rsid w:val="00A54126"/>
    <w:rsid w:val="00A55790"/>
    <w:rsid w:val="00A57C42"/>
    <w:rsid w:val="00A57FDE"/>
    <w:rsid w:val="00A607BB"/>
    <w:rsid w:val="00A6280C"/>
    <w:rsid w:val="00A64571"/>
    <w:rsid w:val="00A678F5"/>
    <w:rsid w:val="00A6790D"/>
    <w:rsid w:val="00A724B0"/>
    <w:rsid w:val="00A74DD6"/>
    <w:rsid w:val="00A76C86"/>
    <w:rsid w:val="00A771C4"/>
    <w:rsid w:val="00A80D4C"/>
    <w:rsid w:val="00A80F47"/>
    <w:rsid w:val="00A82365"/>
    <w:rsid w:val="00A82498"/>
    <w:rsid w:val="00A834FC"/>
    <w:rsid w:val="00A83DC3"/>
    <w:rsid w:val="00A865BD"/>
    <w:rsid w:val="00A87379"/>
    <w:rsid w:val="00A94343"/>
    <w:rsid w:val="00A944E3"/>
    <w:rsid w:val="00A95C46"/>
    <w:rsid w:val="00A962D4"/>
    <w:rsid w:val="00A96ED3"/>
    <w:rsid w:val="00AA3875"/>
    <w:rsid w:val="00AA3AA5"/>
    <w:rsid w:val="00AA3B15"/>
    <w:rsid w:val="00AA45BE"/>
    <w:rsid w:val="00AA5D04"/>
    <w:rsid w:val="00AA5EE2"/>
    <w:rsid w:val="00AA6D19"/>
    <w:rsid w:val="00AB178A"/>
    <w:rsid w:val="00AB23AA"/>
    <w:rsid w:val="00AB4F3C"/>
    <w:rsid w:val="00AB5234"/>
    <w:rsid w:val="00AB5FDA"/>
    <w:rsid w:val="00AB62E2"/>
    <w:rsid w:val="00AC0413"/>
    <w:rsid w:val="00AC10C1"/>
    <w:rsid w:val="00AC3184"/>
    <w:rsid w:val="00AC3C70"/>
    <w:rsid w:val="00AC6AE5"/>
    <w:rsid w:val="00AD244D"/>
    <w:rsid w:val="00AD332E"/>
    <w:rsid w:val="00AD394F"/>
    <w:rsid w:val="00AD429B"/>
    <w:rsid w:val="00AD5DB8"/>
    <w:rsid w:val="00AD6620"/>
    <w:rsid w:val="00AD694A"/>
    <w:rsid w:val="00AD7699"/>
    <w:rsid w:val="00AD7DA1"/>
    <w:rsid w:val="00AD7E97"/>
    <w:rsid w:val="00AE141B"/>
    <w:rsid w:val="00AE1E8D"/>
    <w:rsid w:val="00AE22BB"/>
    <w:rsid w:val="00AE23BC"/>
    <w:rsid w:val="00AE2D58"/>
    <w:rsid w:val="00AE4338"/>
    <w:rsid w:val="00AE75ED"/>
    <w:rsid w:val="00AE7871"/>
    <w:rsid w:val="00AF1976"/>
    <w:rsid w:val="00AF6F4D"/>
    <w:rsid w:val="00B00185"/>
    <w:rsid w:val="00B00941"/>
    <w:rsid w:val="00B01F4A"/>
    <w:rsid w:val="00B02979"/>
    <w:rsid w:val="00B03BF0"/>
    <w:rsid w:val="00B04205"/>
    <w:rsid w:val="00B05AB2"/>
    <w:rsid w:val="00B07AC1"/>
    <w:rsid w:val="00B07C22"/>
    <w:rsid w:val="00B11265"/>
    <w:rsid w:val="00B1262C"/>
    <w:rsid w:val="00B1404D"/>
    <w:rsid w:val="00B14D26"/>
    <w:rsid w:val="00B156A9"/>
    <w:rsid w:val="00B16C19"/>
    <w:rsid w:val="00B17D4A"/>
    <w:rsid w:val="00B2035B"/>
    <w:rsid w:val="00B2074B"/>
    <w:rsid w:val="00B20F64"/>
    <w:rsid w:val="00B2227E"/>
    <w:rsid w:val="00B23B12"/>
    <w:rsid w:val="00B24B5A"/>
    <w:rsid w:val="00B321B1"/>
    <w:rsid w:val="00B32BBF"/>
    <w:rsid w:val="00B32F1E"/>
    <w:rsid w:val="00B33E32"/>
    <w:rsid w:val="00B34A66"/>
    <w:rsid w:val="00B34B82"/>
    <w:rsid w:val="00B3564A"/>
    <w:rsid w:val="00B35E14"/>
    <w:rsid w:val="00B35F95"/>
    <w:rsid w:val="00B3619D"/>
    <w:rsid w:val="00B3655A"/>
    <w:rsid w:val="00B378E5"/>
    <w:rsid w:val="00B37BB6"/>
    <w:rsid w:val="00B44626"/>
    <w:rsid w:val="00B451E7"/>
    <w:rsid w:val="00B46BB7"/>
    <w:rsid w:val="00B510B3"/>
    <w:rsid w:val="00B54403"/>
    <w:rsid w:val="00B54CA7"/>
    <w:rsid w:val="00B5568F"/>
    <w:rsid w:val="00B562C2"/>
    <w:rsid w:val="00B56955"/>
    <w:rsid w:val="00B6018C"/>
    <w:rsid w:val="00B615F0"/>
    <w:rsid w:val="00B6198F"/>
    <w:rsid w:val="00B65436"/>
    <w:rsid w:val="00B65E45"/>
    <w:rsid w:val="00B66384"/>
    <w:rsid w:val="00B67F24"/>
    <w:rsid w:val="00B714F4"/>
    <w:rsid w:val="00B71B5D"/>
    <w:rsid w:val="00B74202"/>
    <w:rsid w:val="00B7534A"/>
    <w:rsid w:val="00B755B2"/>
    <w:rsid w:val="00B7621E"/>
    <w:rsid w:val="00B766BB"/>
    <w:rsid w:val="00B777C4"/>
    <w:rsid w:val="00B814A3"/>
    <w:rsid w:val="00B81DE1"/>
    <w:rsid w:val="00B82CF4"/>
    <w:rsid w:val="00B836D5"/>
    <w:rsid w:val="00B8391D"/>
    <w:rsid w:val="00B90381"/>
    <w:rsid w:val="00B90729"/>
    <w:rsid w:val="00B917FE"/>
    <w:rsid w:val="00B91848"/>
    <w:rsid w:val="00B93AE3"/>
    <w:rsid w:val="00B94D2E"/>
    <w:rsid w:val="00B97AC2"/>
    <w:rsid w:val="00BA0A41"/>
    <w:rsid w:val="00BA0A66"/>
    <w:rsid w:val="00BA24E1"/>
    <w:rsid w:val="00BA39FA"/>
    <w:rsid w:val="00BA765B"/>
    <w:rsid w:val="00BA7EAB"/>
    <w:rsid w:val="00BB093D"/>
    <w:rsid w:val="00BB23F6"/>
    <w:rsid w:val="00BB2E35"/>
    <w:rsid w:val="00BB36AD"/>
    <w:rsid w:val="00BB3E68"/>
    <w:rsid w:val="00BB4F03"/>
    <w:rsid w:val="00BB70B3"/>
    <w:rsid w:val="00BB72FD"/>
    <w:rsid w:val="00BC00D8"/>
    <w:rsid w:val="00BC228F"/>
    <w:rsid w:val="00BC4286"/>
    <w:rsid w:val="00BC6FFF"/>
    <w:rsid w:val="00BC7216"/>
    <w:rsid w:val="00BC757B"/>
    <w:rsid w:val="00BC786A"/>
    <w:rsid w:val="00BD23E7"/>
    <w:rsid w:val="00BD4F1E"/>
    <w:rsid w:val="00BD5D4B"/>
    <w:rsid w:val="00BD65C3"/>
    <w:rsid w:val="00BD674E"/>
    <w:rsid w:val="00BD6B17"/>
    <w:rsid w:val="00BD770E"/>
    <w:rsid w:val="00BD7C94"/>
    <w:rsid w:val="00BD7DC0"/>
    <w:rsid w:val="00BE0748"/>
    <w:rsid w:val="00BE0968"/>
    <w:rsid w:val="00BE26AF"/>
    <w:rsid w:val="00BE2D0B"/>
    <w:rsid w:val="00BE42AC"/>
    <w:rsid w:val="00BE5E6F"/>
    <w:rsid w:val="00BE6F24"/>
    <w:rsid w:val="00BF187F"/>
    <w:rsid w:val="00BF2749"/>
    <w:rsid w:val="00BF281A"/>
    <w:rsid w:val="00BF5DAF"/>
    <w:rsid w:val="00BF5E6E"/>
    <w:rsid w:val="00BF7E68"/>
    <w:rsid w:val="00C000FF"/>
    <w:rsid w:val="00C00E05"/>
    <w:rsid w:val="00C01902"/>
    <w:rsid w:val="00C01BD9"/>
    <w:rsid w:val="00C01DDA"/>
    <w:rsid w:val="00C02E3C"/>
    <w:rsid w:val="00C03080"/>
    <w:rsid w:val="00C05CC0"/>
    <w:rsid w:val="00C067FF"/>
    <w:rsid w:val="00C06C9E"/>
    <w:rsid w:val="00C12D72"/>
    <w:rsid w:val="00C16B6C"/>
    <w:rsid w:val="00C17344"/>
    <w:rsid w:val="00C20F56"/>
    <w:rsid w:val="00C23720"/>
    <w:rsid w:val="00C237E0"/>
    <w:rsid w:val="00C23B50"/>
    <w:rsid w:val="00C241C7"/>
    <w:rsid w:val="00C24E0A"/>
    <w:rsid w:val="00C2708B"/>
    <w:rsid w:val="00C30375"/>
    <w:rsid w:val="00C31107"/>
    <w:rsid w:val="00C343F8"/>
    <w:rsid w:val="00C35817"/>
    <w:rsid w:val="00C36B27"/>
    <w:rsid w:val="00C36BA2"/>
    <w:rsid w:val="00C372D8"/>
    <w:rsid w:val="00C40822"/>
    <w:rsid w:val="00C43D04"/>
    <w:rsid w:val="00C457C3"/>
    <w:rsid w:val="00C47A01"/>
    <w:rsid w:val="00C522ED"/>
    <w:rsid w:val="00C567BB"/>
    <w:rsid w:val="00C56A55"/>
    <w:rsid w:val="00C575B6"/>
    <w:rsid w:val="00C66801"/>
    <w:rsid w:val="00C670E5"/>
    <w:rsid w:val="00C704DC"/>
    <w:rsid w:val="00C7131D"/>
    <w:rsid w:val="00C74358"/>
    <w:rsid w:val="00C81DBA"/>
    <w:rsid w:val="00C8204C"/>
    <w:rsid w:val="00C82DE1"/>
    <w:rsid w:val="00C83A29"/>
    <w:rsid w:val="00C85BC9"/>
    <w:rsid w:val="00C85D2B"/>
    <w:rsid w:val="00C85EFC"/>
    <w:rsid w:val="00C85F81"/>
    <w:rsid w:val="00C86AAF"/>
    <w:rsid w:val="00C86F05"/>
    <w:rsid w:val="00C87042"/>
    <w:rsid w:val="00C87631"/>
    <w:rsid w:val="00C908E2"/>
    <w:rsid w:val="00C92A47"/>
    <w:rsid w:val="00C934DC"/>
    <w:rsid w:val="00C93CAB"/>
    <w:rsid w:val="00C945E3"/>
    <w:rsid w:val="00C947FC"/>
    <w:rsid w:val="00C9576C"/>
    <w:rsid w:val="00C96675"/>
    <w:rsid w:val="00C96953"/>
    <w:rsid w:val="00C9731F"/>
    <w:rsid w:val="00C977FF"/>
    <w:rsid w:val="00CA0CC6"/>
    <w:rsid w:val="00CA1617"/>
    <w:rsid w:val="00CA4836"/>
    <w:rsid w:val="00CA527F"/>
    <w:rsid w:val="00CA52B7"/>
    <w:rsid w:val="00CA605A"/>
    <w:rsid w:val="00CA7BA4"/>
    <w:rsid w:val="00CA7BC4"/>
    <w:rsid w:val="00CA7D0E"/>
    <w:rsid w:val="00CA7D38"/>
    <w:rsid w:val="00CB3C37"/>
    <w:rsid w:val="00CB4156"/>
    <w:rsid w:val="00CB4AE5"/>
    <w:rsid w:val="00CB6AC0"/>
    <w:rsid w:val="00CB6B72"/>
    <w:rsid w:val="00CB6F84"/>
    <w:rsid w:val="00CB7FCF"/>
    <w:rsid w:val="00CC0E7F"/>
    <w:rsid w:val="00CC19CF"/>
    <w:rsid w:val="00CC1DEB"/>
    <w:rsid w:val="00CC2021"/>
    <w:rsid w:val="00CC21F5"/>
    <w:rsid w:val="00CC261A"/>
    <w:rsid w:val="00CC610C"/>
    <w:rsid w:val="00CC6CAB"/>
    <w:rsid w:val="00CC750B"/>
    <w:rsid w:val="00CC799C"/>
    <w:rsid w:val="00CC7BB2"/>
    <w:rsid w:val="00CD1A1A"/>
    <w:rsid w:val="00CD25C7"/>
    <w:rsid w:val="00CD25EC"/>
    <w:rsid w:val="00CD307B"/>
    <w:rsid w:val="00CD3152"/>
    <w:rsid w:val="00CD43A5"/>
    <w:rsid w:val="00CD76F5"/>
    <w:rsid w:val="00CE05D0"/>
    <w:rsid w:val="00CE069D"/>
    <w:rsid w:val="00CE10B7"/>
    <w:rsid w:val="00CE2555"/>
    <w:rsid w:val="00CE3E63"/>
    <w:rsid w:val="00CE4867"/>
    <w:rsid w:val="00CE5E01"/>
    <w:rsid w:val="00CE6326"/>
    <w:rsid w:val="00CE77F0"/>
    <w:rsid w:val="00CF12BC"/>
    <w:rsid w:val="00CF1FF3"/>
    <w:rsid w:val="00CF368F"/>
    <w:rsid w:val="00CF4102"/>
    <w:rsid w:val="00CF6E03"/>
    <w:rsid w:val="00CF79AF"/>
    <w:rsid w:val="00D00193"/>
    <w:rsid w:val="00D027FF"/>
    <w:rsid w:val="00D04475"/>
    <w:rsid w:val="00D05C3D"/>
    <w:rsid w:val="00D06B29"/>
    <w:rsid w:val="00D104B6"/>
    <w:rsid w:val="00D11353"/>
    <w:rsid w:val="00D132A4"/>
    <w:rsid w:val="00D14499"/>
    <w:rsid w:val="00D14751"/>
    <w:rsid w:val="00D15CF6"/>
    <w:rsid w:val="00D16A1A"/>
    <w:rsid w:val="00D17604"/>
    <w:rsid w:val="00D20BDE"/>
    <w:rsid w:val="00D22588"/>
    <w:rsid w:val="00D225D2"/>
    <w:rsid w:val="00D22F0F"/>
    <w:rsid w:val="00D2397D"/>
    <w:rsid w:val="00D2737B"/>
    <w:rsid w:val="00D3117A"/>
    <w:rsid w:val="00D330E3"/>
    <w:rsid w:val="00D3390A"/>
    <w:rsid w:val="00D35693"/>
    <w:rsid w:val="00D3575B"/>
    <w:rsid w:val="00D408D2"/>
    <w:rsid w:val="00D40EC7"/>
    <w:rsid w:val="00D4112F"/>
    <w:rsid w:val="00D42A36"/>
    <w:rsid w:val="00D42F6C"/>
    <w:rsid w:val="00D434B7"/>
    <w:rsid w:val="00D43F15"/>
    <w:rsid w:val="00D45765"/>
    <w:rsid w:val="00D4670C"/>
    <w:rsid w:val="00D46741"/>
    <w:rsid w:val="00D4768F"/>
    <w:rsid w:val="00D5130E"/>
    <w:rsid w:val="00D51F8C"/>
    <w:rsid w:val="00D51FD3"/>
    <w:rsid w:val="00D55C8F"/>
    <w:rsid w:val="00D56271"/>
    <w:rsid w:val="00D565E4"/>
    <w:rsid w:val="00D57469"/>
    <w:rsid w:val="00D57C60"/>
    <w:rsid w:val="00D60EE0"/>
    <w:rsid w:val="00D62064"/>
    <w:rsid w:val="00D631FB"/>
    <w:rsid w:val="00D6354A"/>
    <w:rsid w:val="00D642C2"/>
    <w:rsid w:val="00D6589C"/>
    <w:rsid w:val="00D67F28"/>
    <w:rsid w:val="00D70C0C"/>
    <w:rsid w:val="00D70C6D"/>
    <w:rsid w:val="00D711CC"/>
    <w:rsid w:val="00D730D7"/>
    <w:rsid w:val="00D73B75"/>
    <w:rsid w:val="00D76A53"/>
    <w:rsid w:val="00D77CBF"/>
    <w:rsid w:val="00D810B1"/>
    <w:rsid w:val="00D8289B"/>
    <w:rsid w:val="00D852FB"/>
    <w:rsid w:val="00D854F9"/>
    <w:rsid w:val="00D86AB6"/>
    <w:rsid w:val="00D934D3"/>
    <w:rsid w:val="00D9514B"/>
    <w:rsid w:val="00D95BD5"/>
    <w:rsid w:val="00DA5D16"/>
    <w:rsid w:val="00DA677E"/>
    <w:rsid w:val="00DA78A2"/>
    <w:rsid w:val="00DB1C93"/>
    <w:rsid w:val="00DB2BC8"/>
    <w:rsid w:val="00DB33EE"/>
    <w:rsid w:val="00DC0784"/>
    <w:rsid w:val="00DC2DA1"/>
    <w:rsid w:val="00DC3CB2"/>
    <w:rsid w:val="00DC480E"/>
    <w:rsid w:val="00DC648E"/>
    <w:rsid w:val="00DC6D52"/>
    <w:rsid w:val="00DD26B5"/>
    <w:rsid w:val="00DE0115"/>
    <w:rsid w:val="00DE1B08"/>
    <w:rsid w:val="00DE68E0"/>
    <w:rsid w:val="00DE73BF"/>
    <w:rsid w:val="00DF027D"/>
    <w:rsid w:val="00DF0A44"/>
    <w:rsid w:val="00DF25D5"/>
    <w:rsid w:val="00DF5463"/>
    <w:rsid w:val="00DF6B6A"/>
    <w:rsid w:val="00DF7194"/>
    <w:rsid w:val="00DF74A6"/>
    <w:rsid w:val="00E04569"/>
    <w:rsid w:val="00E073EB"/>
    <w:rsid w:val="00E11CDA"/>
    <w:rsid w:val="00E11DEF"/>
    <w:rsid w:val="00E12CB6"/>
    <w:rsid w:val="00E13C0A"/>
    <w:rsid w:val="00E155CA"/>
    <w:rsid w:val="00E17B2E"/>
    <w:rsid w:val="00E20CA3"/>
    <w:rsid w:val="00E23C9A"/>
    <w:rsid w:val="00E24747"/>
    <w:rsid w:val="00E254D7"/>
    <w:rsid w:val="00E2550A"/>
    <w:rsid w:val="00E3055D"/>
    <w:rsid w:val="00E31975"/>
    <w:rsid w:val="00E3369A"/>
    <w:rsid w:val="00E3416F"/>
    <w:rsid w:val="00E36722"/>
    <w:rsid w:val="00E37C3E"/>
    <w:rsid w:val="00E40E60"/>
    <w:rsid w:val="00E41C52"/>
    <w:rsid w:val="00E44509"/>
    <w:rsid w:val="00E44D9F"/>
    <w:rsid w:val="00E45DA7"/>
    <w:rsid w:val="00E46352"/>
    <w:rsid w:val="00E46883"/>
    <w:rsid w:val="00E46EEF"/>
    <w:rsid w:val="00E476BE"/>
    <w:rsid w:val="00E47A62"/>
    <w:rsid w:val="00E50973"/>
    <w:rsid w:val="00E51D09"/>
    <w:rsid w:val="00E53971"/>
    <w:rsid w:val="00E56FDE"/>
    <w:rsid w:val="00E574AA"/>
    <w:rsid w:val="00E601A7"/>
    <w:rsid w:val="00E601EF"/>
    <w:rsid w:val="00E61898"/>
    <w:rsid w:val="00E63230"/>
    <w:rsid w:val="00E63357"/>
    <w:rsid w:val="00E63958"/>
    <w:rsid w:val="00E664C1"/>
    <w:rsid w:val="00E6664A"/>
    <w:rsid w:val="00E70432"/>
    <w:rsid w:val="00E70ECB"/>
    <w:rsid w:val="00E7135D"/>
    <w:rsid w:val="00E732AE"/>
    <w:rsid w:val="00E75E9F"/>
    <w:rsid w:val="00E75FBF"/>
    <w:rsid w:val="00E772B5"/>
    <w:rsid w:val="00E77EC2"/>
    <w:rsid w:val="00E82BDB"/>
    <w:rsid w:val="00E82FB5"/>
    <w:rsid w:val="00E84610"/>
    <w:rsid w:val="00E85943"/>
    <w:rsid w:val="00E87FDD"/>
    <w:rsid w:val="00E90CAD"/>
    <w:rsid w:val="00E91F69"/>
    <w:rsid w:val="00E921A5"/>
    <w:rsid w:val="00E95620"/>
    <w:rsid w:val="00E95C06"/>
    <w:rsid w:val="00EA0C83"/>
    <w:rsid w:val="00EA33FC"/>
    <w:rsid w:val="00EB0936"/>
    <w:rsid w:val="00EB0EE1"/>
    <w:rsid w:val="00EB20D1"/>
    <w:rsid w:val="00EB4175"/>
    <w:rsid w:val="00EB45A2"/>
    <w:rsid w:val="00EB5D40"/>
    <w:rsid w:val="00EB5FA8"/>
    <w:rsid w:val="00EB6AE8"/>
    <w:rsid w:val="00EB7915"/>
    <w:rsid w:val="00EB7D6A"/>
    <w:rsid w:val="00EC0FDD"/>
    <w:rsid w:val="00EC1766"/>
    <w:rsid w:val="00EC1985"/>
    <w:rsid w:val="00EC2BF4"/>
    <w:rsid w:val="00EC4733"/>
    <w:rsid w:val="00EC48AB"/>
    <w:rsid w:val="00EC499F"/>
    <w:rsid w:val="00EC682C"/>
    <w:rsid w:val="00EC692A"/>
    <w:rsid w:val="00EC6A00"/>
    <w:rsid w:val="00EC7069"/>
    <w:rsid w:val="00ED1372"/>
    <w:rsid w:val="00ED3C2C"/>
    <w:rsid w:val="00ED5C44"/>
    <w:rsid w:val="00ED6E5A"/>
    <w:rsid w:val="00ED7ACC"/>
    <w:rsid w:val="00EE099C"/>
    <w:rsid w:val="00EE0DE1"/>
    <w:rsid w:val="00EE2339"/>
    <w:rsid w:val="00EE2E26"/>
    <w:rsid w:val="00EE54E0"/>
    <w:rsid w:val="00EE564F"/>
    <w:rsid w:val="00EE5715"/>
    <w:rsid w:val="00EE5E95"/>
    <w:rsid w:val="00EE663C"/>
    <w:rsid w:val="00EF2D11"/>
    <w:rsid w:val="00EF3526"/>
    <w:rsid w:val="00EF5862"/>
    <w:rsid w:val="00EF761A"/>
    <w:rsid w:val="00F00152"/>
    <w:rsid w:val="00F05F7D"/>
    <w:rsid w:val="00F063B6"/>
    <w:rsid w:val="00F10248"/>
    <w:rsid w:val="00F10A3A"/>
    <w:rsid w:val="00F10F9C"/>
    <w:rsid w:val="00F12319"/>
    <w:rsid w:val="00F14926"/>
    <w:rsid w:val="00F15ACC"/>
    <w:rsid w:val="00F172C2"/>
    <w:rsid w:val="00F173B6"/>
    <w:rsid w:val="00F21A27"/>
    <w:rsid w:val="00F23989"/>
    <w:rsid w:val="00F2419C"/>
    <w:rsid w:val="00F249E2"/>
    <w:rsid w:val="00F251D3"/>
    <w:rsid w:val="00F27F9F"/>
    <w:rsid w:val="00F316F4"/>
    <w:rsid w:val="00F31700"/>
    <w:rsid w:val="00F32937"/>
    <w:rsid w:val="00F34608"/>
    <w:rsid w:val="00F35A7B"/>
    <w:rsid w:val="00F361A4"/>
    <w:rsid w:val="00F3769C"/>
    <w:rsid w:val="00F37AD9"/>
    <w:rsid w:val="00F41337"/>
    <w:rsid w:val="00F43D47"/>
    <w:rsid w:val="00F4409E"/>
    <w:rsid w:val="00F446FA"/>
    <w:rsid w:val="00F45771"/>
    <w:rsid w:val="00F47565"/>
    <w:rsid w:val="00F50B25"/>
    <w:rsid w:val="00F50CFA"/>
    <w:rsid w:val="00F51BB2"/>
    <w:rsid w:val="00F546F0"/>
    <w:rsid w:val="00F54EC6"/>
    <w:rsid w:val="00F552B9"/>
    <w:rsid w:val="00F55B55"/>
    <w:rsid w:val="00F57C56"/>
    <w:rsid w:val="00F60319"/>
    <w:rsid w:val="00F60500"/>
    <w:rsid w:val="00F6117F"/>
    <w:rsid w:val="00F6148E"/>
    <w:rsid w:val="00F61AEF"/>
    <w:rsid w:val="00F635FE"/>
    <w:rsid w:val="00F65FF9"/>
    <w:rsid w:val="00F70130"/>
    <w:rsid w:val="00F70869"/>
    <w:rsid w:val="00F7301B"/>
    <w:rsid w:val="00F75DED"/>
    <w:rsid w:val="00F76138"/>
    <w:rsid w:val="00F76D7A"/>
    <w:rsid w:val="00F76F15"/>
    <w:rsid w:val="00F77507"/>
    <w:rsid w:val="00F77EE7"/>
    <w:rsid w:val="00F83002"/>
    <w:rsid w:val="00F854D0"/>
    <w:rsid w:val="00F86347"/>
    <w:rsid w:val="00F86536"/>
    <w:rsid w:val="00F9177B"/>
    <w:rsid w:val="00F921AE"/>
    <w:rsid w:val="00F93181"/>
    <w:rsid w:val="00F93E28"/>
    <w:rsid w:val="00F944B2"/>
    <w:rsid w:val="00F94937"/>
    <w:rsid w:val="00F97203"/>
    <w:rsid w:val="00F97771"/>
    <w:rsid w:val="00F978C0"/>
    <w:rsid w:val="00FA17C9"/>
    <w:rsid w:val="00FA4195"/>
    <w:rsid w:val="00FA42D6"/>
    <w:rsid w:val="00FA5AEA"/>
    <w:rsid w:val="00FA6082"/>
    <w:rsid w:val="00FA62C2"/>
    <w:rsid w:val="00FA7DA3"/>
    <w:rsid w:val="00FB19CB"/>
    <w:rsid w:val="00FB3E0A"/>
    <w:rsid w:val="00FB64B9"/>
    <w:rsid w:val="00FC0F11"/>
    <w:rsid w:val="00FC420D"/>
    <w:rsid w:val="00FC517A"/>
    <w:rsid w:val="00FC5DC3"/>
    <w:rsid w:val="00FC65C9"/>
    <w:rsid w:val="00FC74EB"/>
    <w:rsid w:val="00FD1397"/>
    <w:rsid w:val="00FD218B"/>
    <w:rsid w:val="00FD4323"/>
    <w:rsid w:val="00FD6531"/>
    <w:rsid w:val="00FE14F2"/>
    <w:rsid w:val="00FE161A"/>
    <w:rsid w:val="00FE291B"/>
    <w:rsid w:val="00FE29D7"/>
    <w:rsid w:val="00FE4C6C"/>
    <w:rsid w:val="00FE5430"/>
    <w:rsid w:val="00FE7835"/>
    <w:rsid w:val="00FF24D5"/>
    <w:rsid w:val="00FF4060"/>
    <w:rsid w:val="00FF46C2"/>
    <w:rsid w:val="00FF5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semiHidden="0" w:uiPriority="0" w:unhideWhenUsed="0"/>
    <w:lsdException w:name="header" w:locked="0" w:semiHidden="0" w:uiPriority="0" w:unhideWhenUsed="0"/>
    <w:lsdException w:name="footer" w:locked="0" w:semiHidden="0" w:uiPriority="0" w:unhideWhenUsed="0"/>
    <w:lsdException w:name="caption" w:semiHidden="0" w:uiPriority="35" w:unhideWhenUsed="0" w:qFormat="1"/>
    <w:lsdException w:name="annotation reference" w:locked="0" w:semiHidden="0" w:uiPriority="0" w:unhideWhenUsed="0"/>
    <w:lsdException w:name="List" w:locked="0" w:semiHidden="0" w:uiPriority="0" w:unhideWhenUsed="0"/>
    <w:lsdException w:name="List Bullet" w:locked="0" w:semiHidden="0" w:uiPriority="0" w:unhideWhenUsed="0"/>
    <w:lsdException w:name="Title" w:semiHidden="0" w:uiPriority="10" w:unhideWhenUsed="0" w:qFormat="1"/>
    <w:lsdException w:name="Default Paragraph Font" w:uiPriority="1"/>
    <w:lsdException w:name="Subtitle" w:semiHidden="0" w:uiPriority="11" w:unhideWhenUsed="0" w:qFormat="1"/>
    <w:lsdException w:name="Body Text First Indent" w:locked="0" w:semiHidden="0" w:uiPriority="0" w:unhideWhenUsed="0"/>
    <w:lsdException w:name="Hyperlink" w:locked="0" w:semiHidden="0" w:uiPriority="0" w:unhideWhenUsed="0"/>
    <w:lsdException w:name="FollowedHyperlink" w:locked="0" w:semiHidden="0" w:uiPriority="0" w:unhideWhenUsed="0"/>
    <w:lsdException w:name="Strong" w:semiHidden="0" w:uiPriority="22" w:unhideWhenUsed="0" w:qFormat="1"/>
    <w:lsdException w:name="Emphasis" w:semiHidden="0" w:uiPriority="20" w:unhideWhenUsed="0" w:qFormat="1"/>
    <w:lsdException w:name="annotation subject" w:locked="0" w:semiHidden="0" w:uiPriority="0" w:unhideWhenUsed="0"/>
    <w:lsdException w:name="Balloon Text" w:locked="0" w:semiHidden="0" w:uiPriority="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8F2EF8"/>
    <w:rPr>
      <w:rFonts w:ascii="Times New Roman" w:hAnsi="Times New Roman"/>
      <w:kern w:val="0"/>
      <w:sz w:val="20"/>
      <w:szCs w:val="20"/>
      <w:lang w:eastAsia="pl-PL"/>
    </w:rPr>
  </w:style>
  <w:style w:type="paragraph" w:styleId="1">
    <w:name w:val="heading 1"/>
    <w:basedOn w:val="a0"/>
    <w:next w:val="a0"/>
    <w:link w:val="1Char"/>
    <w:uiPriority w:val="99"/>
    <w:qFormat/>
    <w:rsid w:val="008F2EF8"/>
    <w:pPr>
      <w:keepNext/>
      <w:jc w:val="both"/>
      <w:outlineLvl w:val="0"/>
    </w:pPr>
    <w:rPr>
      <w:b/>
      <w:bCs/>
      <w:sz w:val="24"/>
      <w:szCs w:val="24"/>
    </w:rPr>
  </w:style>
  <w:style w:type="paragraph" w:styleId="2">
    <w:name w:val="heading 2"/>
    <w:basedOn w:val="a0"/>
    <w:next w:val="a0"/>
    <w:link w:val="2Char"/>
    <w:uiPriority w:val="99"/>
    <w:qFormat/>
    <w:rsid w:val="008F2EF8"/>
    <w:pPr>
      <w:keepNext/>
      <w:spacing w:before="240" w:after="60"/>
      <w:outlineLvl w:val="1"/>
    </w:pPr>
    <w:rPr>
      <w:rFonts w:ascii="Cambria" w:hAnsi="Cambria" w:cs="Cambria"/>
      <w:b/>
      <w:bCs/>
      <w:i/>
      <w:iCs/>
      <w:sz w:val="28"/>
      <w:szCs w:val="28"/>
      <w:lang w:val="pl-PL"/>
    </w:rPr>
  </w:style>
  <w:style w:type="paragraph" w:styleId="3">
    <w:name w:val="heading 3"/>
    <w:basedOn w:val="a0"/>
    <w:next w:val="a0"/>
    <w:link w:val="3Char"/>
    <w:uiPriority w:val="99"/>
    <w:qFormat/>
    <w:rsid w:val="00763AD0"/>
    <w:pPr>
      <w:keepNext/>
      <w:keepLines/>
      <w:spacing w:before="200"/>
      <w:outlineLvl w:val="2"/>
    </w:pPr>
    <w:rPr>
      <w:rFonts w:ascii="Cambria" w:hAnsi="Cambria" w:cs="Cambria"/>
      <w:b/>
      <w:bCs/>
    </w:rPr>
  </w:style>
  <w:style w:type="paragraph" w:styleId="4">
    <w:name w:val="heading 4"/>
    <w:basedOn w:val="a0"/>
    <w:next w:val="a0"/>
    <w:link w:val="4Char"/>
    <w:uiPriority w:val="99"/>
    <w:qFormat/>
    <w:rsid w:val="00763AD0"/>
    <w:pPr>
      <w:keepNext/>
      <w:keepLines/>
      <w:spacing w:before="200"/>
      <w:outlineLvl w:val="3"/>
    </w:pPr>
    <w:rPr>
      <w:rFonts w:ascii="Cambria" w:hAnsi="Cambria" w:cs="Cambria"/>
      <w:b/>
      <w:bCs/>
      <w:i/>
      <w:iCs/>
    </w:rPr>
  </w:style>
  <w:style w:type="paragraph" w:styleId="5">
    <w:name w:val="heading 5"/>
    <w:basedOn w:val="a0"/>
    <w:next w:val="a0"/>
    <w:link w:val="5Char"/>
    <w:uiPriority w:val="99"/>
    <w:qFormat/>
    <w:rsid w:val="00763AD0"/>
    <w:pPr>
      <w:keepNext/>
      <w:keepLines/>
      <w:spacing w:before="200"/>
      <w:outlineLvl w:val="4"/>
    </w:pPr>
    <w:rPr>
      <w:rFonts w:ascii="Cambria" w:hAnsi="Cambria" w:cs="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8F2EF8"/>
    <w:rPr>
      <w:rFonts w:ascii="Times New Roman" w:hAnsi="Times New Roman" w:cs="Times New Roman"/>
      <w:b/>
      <w:bCs/>
      <w:sz w:val="24"/>
      <w:szCs w:val="24"/>
      <w:lang w:val="en-US"/>
    </w:rPr>
  </w:style>
  <w:style w:type="character" w:customStyle="1" w:styleId="2Char">
    <w:name w:val="标题 2 Char"/>
    <w:basedOn w:val="a1"/>
    <w:link w:val="2"/>
    <w:uiPriority w:val="99"/>
    <w:locked/>
    <w:rsid w:val="008F2EF8"/>
    <w:rPr>
      <w:rFonts w:ascii="Cambria" w:hAnsi="Cambria" w:cs="Cambria"/>
      <w:b/>
      <w:bCs/>
      <w:i/>
      <w:iCs/>
      <w:sz w:val="28"/>
      <w:szCs w:val="28"/>
    </w:rPr>
  </w:style>
  <w:style w:type="character" w:customStyle="1" w:styleId="3Char">
    <w:name w:val="标题 3 Char"/>
    <w:basedOn w:val="a1"/>
    <w:link w:val="3"/>
    <w:uiPriority w:val="99"/>
    <w:locked/>
    <w:rsid w:val="008F2EF8"/>
    <w:rPr>
      <w:rFonts w:ascii="Cambria" w:hAnsi="Cambria" w:cs="Cambria"/>
      <w:b/>
      <w:bCs/>
      <w:lang w:val="en-US"/>
    </w:rPr>
  </w:style>
  <w:style w:type="character" w:customStyle="1" w:styleId="4Char">
    <w:name w:val="标题 4 Char"/>
    <w:basedOn w:val="a1"/>
    <w:link w:val="4"/>
    <w:uiPriority w:val="99"/>
    <w:locked/>
    <w:rsid w:val="008F2EF8"/>
    <w:rPr>
      <w:rFonts w:ascii="Cambria" w:hAnsi="Cambria" w:cs="Cambria"/>
      <w:b/>
      <w:bCs/>
      <w:i/>
      <w:iCs/>
      <w:lang w:val="en-US"/>
    </w:rPr>
  </w:style>
  <w:style w:type="character" w:customStyle="1" w:styleId="5Char">
    <w:name w:val="标题 5 Char"/>
    <w:basedOn w:val="a1"/>
    <w:link w:val="5"/>
    <w:uiPriority w:val="99"/>
    <w:locked/>
    <w:rsid w:val="008F2EF8"/>
    <w:rPr>
      <w:rFonts w:ascii="Cambria" w:hAnsi="Cambria" w:cs="Cambria"/>
      <w:lang w:val="en-US"/>
    </w:rPr>
  </w:style>
  <w:style w:type="paragraph" w:styleId="a4">
    <w:name w:val="Body Text"/>
    <w:basedOn w:val="a0"/>
    <w:link w:val="Char"/>
    <w:uiPriority w:val="99"/>
    <w:rsid w:val="00763AD0"/>
    <w:rPr>
      <w:sz w:val="24"/>
      <w:szCs w:val="24"/>
      <w:lang w:val="pl-PL"/>
    </w:rPr>
  </w:style>
  <w:style w:type="character" w:customStyle="1" w:styleId="Char">
    <w:name w:val="正文文本 Char"/>
    <w:basedOn w:val="a1"/>
    <w:link w:val="a4"/>
    <w:uiPriority w:val="99"/>
    <w:locked/>
    <w:rsid w:val="008F2EF8"/>
    <w:rPr>
      <w:rFonts w:ascii="Times New Roman" w:hAnsi="Times New Roman" w:cs="Times New Roman"/>
      <w:sz w:val="24"/>
      <w:szCs w:val="24"/>
    </w:rPr>
  </w:style>
  <w:style w:type="paragraph" w:styleId="a5">
    <w:name w:val="Body Text Indent"/>
    <w:basedOn w:val="a0"/>
    <w:link w:val="Char0"/>
    <w:uiPriority w:val="99"/>
    <w:rsid w:val="00763AD0"/>
    <w:pPr>
      <w:jc w:val="both"/>
    </w:pPr>
    <w:rPr>
      <w:sz w:val="24"/>
      <w:szCs w:val="24"/>
    </w:rPr>
  </w:style>
  <w:style w:type="character" w:customStyle="1" w:styleId="Char0">
    <w:name w:val="正文文本缩进 Char"/>
    <w:basedOn w:val="a1"/>
    <w:link w:val="a5"/>
    <w:uiPriority w:val="99"/>
    <w:locked/>
    <w:rsid w:val="008F2EF8"/>
    <w:rPr>
      <w:rFonts w:ascii="Times New Roman" w:hAnsi="Times New Roman" w:cs="Times New Roman"/>
      <w:sz w:val="24"/>
      <w:szCs w:val="24"/>
      <w:lang w:val="en-US"/>
    </w:rPr>
  </w:style>
  <w:style w:type="paragraph" w:styleId="a6">
    <w:name w:val="header"/>
    <w:basedOn w:val="a0"/>
    <w:link w:val="Char1"/>
    <w:uiPriority w:val="99"/>
    <w:rsid w:val="00763AD0"/>
    <w:pPr>
      <w:tabs>
        <w:tab w:val="center" w:pos="4536"/>
        <w:tab w:val="right" w:pos="9072"/>
      </w:tabs>
    </w:pPr>
  </w:style>
  <w:style w:type="character" w:customStyle="1" w:styleId="Char1">
    <w:name w:val="页眉 Char"/>
    <w:basedOn w:val="a1"/>
    <w:link w:val="a6"/>
    <w:uiPriority w:val="99"/>
    <w:locked/>
    <w:rsid w:val="008F2EF8"/>
    <w:rPr>
      <w:rFonts w:ascii="Times New Roman" w:hAnsi="Times New Roman" w:cs="Times New Roman"/>
      <w:lang w:val="en-US"/>
    </w:rPr>
  </w:style>
  <w:style w:type="paragraph" w:styleId="a7">
    <w:name w:val="footer"/>
    <w:basedOn w:val="a0"/>
    <w:link w:val="Char2"/>
    <w:uiPriority w:val="99"/>
    <w:rsid w:val="00763AD0"/>
    <w:pPr>
      <w:tabs>
        <w:tab w:val="center" w:pos="4536"/>
        <w:tab w:val="right" w:pos="9072"/>
      </w:tabs>
    </w:pPr>
  </w:style>
  <w:style w:type="character" w:customStyle="1" w:styleId="Char2">
    <w:name w:val="页脚 Char"/>
    <w:basedOn w:val="a1"/>
    <w:link w:val="a7"/>
    <w:uiPriority w:val="99"/>
    <w:locked/>
    <w:rsid w:val="008F2EF8"/>
    <w:rPr>
      <w:rFonts w:ascii="Times New Roman" w:hAnsi="Times New Roman" w:cs="Times New Roman"/>
      <w:lang w:val="en-US"/>
    </w:rPr>
  </w:style>
  <w:style w:type="paragraph" w:styleId="a8">
    <w:name w:val="List"/>
    <w:basedOn w:val="a0"/>
    <w:uiPriority w:val="99"/>
    <w:rsid w:val="00763AD0"/>
    <w:pPr>
      <w:ind w:left="283" w:hanging="283"/>
    </w:pPr>
  </w:style>
  <w:style w:type="paragraph" w:styleId="a">
    <w:name w:val="List Bullet"/>
    <w:basedOn w:val="a0"/>
    <w:autoRedefine/>
    <w:uiPriority w:val="99"/>
    <w:rsid w:val="00763AD0"/>
    <w:pPr>
      <w:numPr>
        <w:numId w:val="3"/>
      </w:numPr>
    </w:pPr>
  </w:style>
  <w:style w:type="paragraph" w:styleId="a9">
    <w:name w:val="Body Text First Indent"/>
    <w:basedOn w:val="a4"/>
    <w:link w:val="Char3"/>
    <w:uiPriority w:val="99"/>
    <w:rsid w:val="00763AD0"/>
    <w:pPr>
      <w:spacing w:after="120"/>
      <w:ind w:firstLine="210"/>
    </w:pPr>
    <w:rPr>
      <w:sz w:val="20"/>
      <w:szCs w:val="20"/>
    </w:rPr>
  </w:style>
  <w:style w:type="character" w:customStyle="1" w:styleId="Char3">
    <w:name w:val="正文首行缩进 Char"/>
    <w:basedOn w:val="Char"/>
    <w:link w:val="a9"/>
    <w:uiPriority w:val="99"/>
    <w:locked/>
    <w:rsid w:val="008F2EF8"/>
    <w:rPr>
      <w:rFonts w:ascii="Times New Roman" w:hAnsi="Times New Roman" w:cs="Times New Roman"/>
      <w:sz w:val="24"/>
      <w:szCs w:val="24"/>
    </w:rPr>
  </w:style>
  <w:style w:type="character" w:styleId="aa">
    <w:name w:val="Hyperlink"/>
    <w:basedOn w:val="a1"/>
    <w:uiPriority w:val="99"/>
    <w:rsid w:val="00763AD0"/>
    <w:rPr>
      <w:rFonts w:ascii="Times New Roman" w:hAnsi="Times New Roman" w:cs="Times New Roman"/>
      <w:color w:val="0000FF"/>
      <w:u w:val="single"/>
    </w:rPr>
  </w:style>
  <w:style w:type="paragraph" w:styleId="ab">
    <w:name w:val="Balloon Text"/>
    <w:basedOn w:val="a0"/>
    <w:link w:val="Char4"/>
    <w:uiPriority w:val="99"/>
    <w:rsid w:val="00763AD0"/>
    <w:rPr>
      <w:rFonts w:ascii="Lucida Grande" w:hAnsi="Lucida Grande" w:cs="Lucida Grande"/>
      <w:sz w:val="18"/>
      <w:szCs w:val="18"/>
      <w:lang w:val="pl-PL"/>
    </w:rPr>
  </w:style>
  <w:style w:type="character" w:customStyle="1" w:styleId="Char4">
    <w:name w:val="批注框文本 Char"/>
    <w:basedOn w:val="a1"/>
    <w:link w:val="ab"/>
    <w:uiPriority w:val="99"/>
    <w:locked/>
    <w:rsid w:val="008F2EF8"/>
    <w:rPr>
      <w:rFonts w:ascii="Lucida Grande" w:hAnsi="Lucida Grande" w:cs="Lucida Grande"/>
      <w:sz w:val="18"/>
      <w:szCs w:val="18"/>
    </w:rPr>
  </w:style>
  <w:style w:type="character" w:styleId="ac">
    <w:name w:val="annotation reference"/>
    <w:basedOn w:val="a1"/>
    <w:uiPriority w:val="99"/>
    <w:rsid w:val="00763AD0"/>
    <w:rPr>
      <w:rFonts w:ascii="Times New Roman" w:hAnsi="Times New Roman" w:cs="Times New Roman"/>
      <w:sz w:val="18"/>
      <w:szCs w:val="18"/>
    </w:rPr>
  </w:style>
  <w:style w:type="paragraph" w:styleId="ad">
    <w:name w:val="annotation text"/>
    <w:basedOn w:val="a0"/>
    <w:link w:val="Char5"/>
    <w:uiPriority w:val="99"/>
    <w:rsid w:val="00763AD0"/>
    <w:rPr>
      <w:sz w:val="24"/>
      <w:szCs w:val="24"/>
      <w:lang w:val="pl-PL"/>
    </w:rPr>
  </w:style>
  <w:style w:type="character" w:customStyle="1" w:styleId="Char5">
    <w:name w:val="批注文字 Char"/>
    <w:basedOn w:val="a1"/>
    <w:link w:val="ad"/>
    <w:uiPriority w:val="99"/>
    <w:locked/>
    <w:rsid w:val="008F2EF8"/>
    <w:rPr>
      <w:rFonts w:ascii="Times New Roman" w:hAnsi="Times New Roman" w:cs="Times New Roman"/>
      <w:sz w:val="24"/>
      <w:szCs w:val="24"/>
    </w:rPr>
  </w:style>
  <w:style w:type="paragraph" w:styleId="ae">
    <w:name w:val="annotation subject"/>
    <w:basedOn w:val="ad"/>
    <w:next w:val="ad"/>
    <w:link w:val="Char6"/>
    <w:uiPriority w:val="99"/>
    <w:rsid w:val="00763AD0"/>
    <w:rPr>
      <w:b/>
      <w:bCs/>
    </w:rPr>
  </w:style>
  <w:style w:type="character" w:customStyle="1" w:styleId="Char6">
    <w:name w:val="批注主题 Char"/>
    <w:basedOn w:val="Char5"/>
    <w:link w:val="ae"/>
    <w:uiPriority w:val="99"/>
    <w:locked/>
    <w:rsid w:val="008F2EF8"/>
    <w:rPr>
      <w:rFonts w:ascii="Times New Roman" w:hAnsi="Times New Roman" w:cs="Times New Roman"/>
      <w:b/>
      <w:bCs/>
      <w:sz w:val="24"/>
      <w:szCs w:val="24"/>
    </w:rPr>
  </w:style>
  <w:style w:type="character" w:styleId="af">
    <w:name w:val="FollowedHyperlink"/>
    <w:basedOn w:val="a1"/>
    <w:uiPriority w:val="99"/>
    <w:rsid w:val="00763AD0"/>
    <w:rPr>
      <w:rFonts w:ascii="Times New Roman" w:hAnsi="Times New Roman" w:cs="Times New Roman"/>
      <w:color w:val="800080"/>
      <w:u w:val="single"/>
    </w:rPr>
  </w:style>
  <w:style w:type="paragraph" w:styleId="af0">
    <w:name w:val="Revision"/>
    <w:hidden/>
    <w:uiPriority w:val="99"/>
    <w:rsid w:val="00763AD0"/>
    <w:rPr>
      <w:rFonts w:ascii="Times New Roman" w:hAnsi="Times New Roman"/>
      <w:kern w:val="0"/>
      <w:sz w:val="20"/>
      <w:szCs w:val="20"/>
      <w:lang w:eastAsia="pl-PL"/>
    </w:rPr>
  </w:style>
  <w:style w:type="paragraph" w:styleId="af1">
    <w:name w:val="List Paragraph"/>
    <w:basedOn w:val="a0"/>
    <w:uiPriority w:val="99"/>
    <w:qFormat/>
    <w:rsid w:val="00763AD0"/>
    <w:pPr>
      <w:ind w:left="720"/>
    </w:pPr>
  </w:style>
  <w:style w:type="character" w:customStyle="1" w:styleId="slug-doi">
    <w:name w:val="slug-doi"/>
    <w:basedOn w:val="a1"/>
    <w:uiPriority w:val="99"/>
    <w:rsid w:val="008F2EF8"/>
    <w:rPr>
      <w:rFonts w:ascii="Times New Roman" w:hAnsi="Times New Roman" w:cs="Times New Roman"/>
    </w:rPr>
  </w:style>
  <w:style w:type="paragraph" w:styleId="af2">
    <w:name w:val="caption"/>
    <w:basedOn w:val="a0"/>
    <w:next w:val="a0"/>
    <w:uiPriority w:val="99"/>
    <w:qFormat/>
    <w:rsid w:val="008F2EF8"/>
    <w:pPr>
      <w:spacing w:after="200"/>
    </w:pPr>
    <w:rPr>
      <w:b/>
      <w:bCs/>
      <w:sz w:val="18"/>
      <w:szCs w:val="18"/>
    </w:rPr>
  </w:style>
  <w:style w:type="table" w:styleId="af3">
    <w:name w:val="Table Grid"/>
    <w:basedOn w:val="a2"/>
    <w:uiPriority w:val="99"/>
    <w:rsid w:val="00763AD0"/>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1"/>
    <w:uiPriority w:val="99"/>
    <w:qFormat/>
    <w:rsid w:val="006C547F"/>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semiHidden="0" w:uiPriority="0" w:unhideWhenUsed="0"/>
    <w:lsdException w:name="header" w:locked="0" w:semiHidden="0" w:uiPriority="0" w:unhideWhenUsed="0"/>
    <w:lsdException w:name="footer" w:locked="0" w:semiHidden="0" w:uiPriority="0" w:unhideWhenUsed="0"/>
    <w:lsdException w:name="caption" w:semiHidden="0" w:uiPriority="35" w:unhideWhenUsed="0" w:qFormat="1"/>
    <w:lsdException w:name="annotation reference" w:locked="0" w:semiHidden="0" w:uiPriority="0" w:unhideWhenUsed="0"/>
    <w:lsdException w:name="List" w:locked="0" w:semiHidden="0" w:uiPriority="0" w:unhideWhenUsed="0"/>
    <w:lsdException w:name="List Bullet" w:locked="0" w:semiHidden="0" w:uiPriority="0" w:unhideWhenUsed="0"/>
    <w:lsdException w:name="Title" w:semiHidden="0" w:uiPriority="10" w:unhideWhenUsed="0" w:qFormat="1"/>
    <w:lsdException w:name="Default Paragraph Font" w:uiPriority="1"/>
    <w:lsdException w:name="Subtitle" w:semiHidden="0" w:uiPriority="11" w:unhideWhenUsed="0" w:qFormat="1"/>
    <w:lsdException w:name="Body Text First Indent" w:locked="0" w:semiHidden="0" w:uiPriority="0" w:unhideWhenUsed="0"/>
    <w:lsdException w:name="Hyperlink" w:locked="0" w:semiHidden="0" w:uiPriority="0" w:unhideWhenUsed="0"/>
    <w:lsdException w:name="FollowedHyperlink" w:locked="0" w:semiHidden="0" w:uiPriority="0" w:unhideWhenUsed="0"/>
    <w:lsdException w:name="Strong" w:semiHidden="0" w:uiPriority="22" w:unhideWhenUsed="0" w:qFormat="1"/>
    <w:lsdException w:name="Emphasis" w:semiHidden="0" w:uiPriority="20" w:unhideWhenUsed="0" w:qFormat="1"/>
    <w:lsdException w:name="annotation subject" w:locked="0" w:semiHidden="0" w:uiPriority="0" w:unhideWhenUsed="0"/>
    <w:lsdException w:name="Balloon Text" w:locked="0" w:semiHidden="0" w:uiPriority="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8F2EF8"/>
    <w:rPr>
      <w:rFonts w:ascii="Times New Roman" w:hAnsi="Times New Roman"/>
      <w:kern w:val="0"/>
      <w:sz w:val="20"/>
      <w:szCs w:val="20"/>
      <w:lang w:eastAsia="pl-PL"/>
    </w:rPr>
  </w:style>
  <w:style w:type="paragraph" w:styleId="1">
    <w:name w:val="heading 1"/>
    <w:basedOn w:val="a0"/>
    <w:next w:val="a0"/>
    <w:link w:val="1Char"/>
    <w:uiPriority w:val="99"/>
    <w:qFormat/>
    <w:rsid w:val="008F2EF8"/>
    <w:pPr>
      <w:keepNext/>
      <w:jc w:val="both"/>
      <w:outlineLvl w:val="0"/>
    </w:pPr>
    <w:rPr>
      <w:b/>
      <w:bCs/>
      <w:sz w:val="24"/>
      <w:szCs w:val="24"/>
    </w:rPr>
  </w:style>
  <w:style w:type="paragraph" w:styleId="2">
    <w:name w:val="heading 2"/>
    <w:basedOn w:val="a0"/>
    <w:next w:val="a0"/>
    <w:link w:val="2Char"/>
    <w:uiPriority w:val="99"/>
    <w:qFormat/>
    <w:rsid w:val="008F2EF8"/>
    <w:pPr>
      <w:keepNext/>
      <w:spacing w:before="240" w:after="60"/>
      <w:outlineLvl w:val="1"/>
    </w:pPr>
    <w:rPr>
      <w:rFonts w:ascii="Cambria" w:hAnsi="Cambria" w:cs="Cambria"/>
      <w:b/>
      <w:bCs/>
      <w:i/>
      <w:iCs/>
      <w:sz w:val="28"/>
      <w:szCs w:val="28"/>
      <w:lang w:val="pl-PL"/>
    </w:rPr>
  </w:style>
  <w:style w:type="paragraph" w:styleId="3">
    <w:name w:val="heading 3"/>
    <w:basedOn w:val="a0"/>
    <w:next w:val="a0"/>
    <w:link w:val="3Char"/>
    <w:uiPriority w:val="99"/>
    <w:qFormat/>
    <w:rsid w:val="00763AD0"/>
    <w:pPr>
      <w:keepNext/>
      <w:keepLines/>
      <w:spacing w:before="200"/>
      <w:outlineLvl w:val="2"/>
    </w:pPr>
    <w:rPr>
      <w:rFonts w:ascii="Cambria" w:hAnsi="Cambria" w:cs="Cambria"/>
      <w:b/>
      <w:bCs/>
    </w:rPr>
  </w:style>
  <w:style w:type="paragraph" w:styleId="4">
    <w:name w:val="heading 4"/>
    <w:basedOn w:val="a0"/>
    <w:next w:val="a0"/>
    <w:link w:val="4Char"/>
    <w:uiPriority w:val="99"/>
    <w:qFormat/>
    <w:rsid w:val="00763AD0"/>
    <w:pPr>
      <w:keepNext/>
      <w:keepLines/>
      <w:spacing w:before="200"/>
      <w:outlineLvl w:val="3"/>
    </w:pPr>
    <w:rPr>
      <w:rFonts w:ascii="Cambria" w:hAnsi="Cambria" w:cs="Cambria"/>
      <w:b/>
      <w:bCs/>
      <w:i/>
      <w:iCs/>
    </w:rPr>
  </w:style>
  <w:style w:type="paragraph" w:styleId="5">
    <w:name w:val="heading 5"/>
    <w:basedOn w:val="a0"/>
    <w:next w:val="a0"/>
    <w:link w:val="5Char"/>
    <w:uiPriority w:val="99"/>
    <w:qFormat/>
    <w:rsid w:val="00763AD0"/>
    <w:pPr>
      <w:keepNext/>
      <w:keepLines/>
      <w:spacing w:before="200"/>
      <w:outlineLvl w:val="4"/>
    </w:pPr>
    <w:rPr>
      <w:rFonts w:ascii="Cambria" w:hAnsi="Cambria" w:cs="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8F2EF8"/>
    <w:rPr>
      <w:rFonts w:ascii="Times New Roman" w:hAnsi="Times New Roman" w:cs="Times New Roman"/>
      <w:b/>
      <w:bCs/>
      <w:sz w:val="24"/>
      <w:szCs w:val="24"/>
      <w:lang w:val="en-US"/>
    </w:rPr>
  </w:style>
  <w:style w:type="character" w:customStyle="1" w:styleId="2Char">
    <w:name w:val="标题 2 Char"/>
    <w:basedOn w:val="a1"/>
    <w:link w:val="2"/>
    <w:uiPriority w:val="99"/>
    <w:locked/>
    <w:rsid w:val="008F2EF8"/>
    <w:rPr>
      <w:rFonts w:ascii="Cambria" w:hAnsi="Cambria" w:cs="Cambria"/>
      <w:b/>
      <w:bCs/>
      <w:i/>
      <w:iCs/>
      <w:sz w:val="28"/>
      <w:szCs w:val="28"/>
    </w:rPr>
  </w:style>
  <w:style w:type="character" w:customStyle="1" w:styleId="3Char">
    <w:name w:val="标题 3 Char"/>
    <w:basedOn w:val="a1"/>
    <w:link w:val="3"/>
    <w:uiPriority w:val="99"/>
    <w:locked/>
    <w:rsid w:val="008F2EF8"/>
    <w:rPr>
      <w:rFonts w:ascii="Cambria" w:hAnsi="Cambria" w:cs="Cambria"/>
      <w:b/>
      <w:bCs/>
      <w:lang w:val="en-US"/>
    </w:rPr>
  </w:style>
  <w:style w:type="character" w:customStyle="1" w:styleId="4Char">
    <w:name w:val="标题 4 Char"/>
    <w:basedOn w:val="a1"/>
    <w:link w:val="4"/>
    <w:uiPriority w:val="99"/>
    <w:locked/>
    <w:rsid w:val="008F2EF8"/>
    <w:rPr>
      <w:rFonts w:ascii="Cambria" w:hAnsi="Cambria" w:cs="Cambria"/>
      <w:b/>
      <w:bCs/>
      <w:i/>
      <w:iCs/>
      <w:lang w:val="en-US"/>
    </w:rPr>
  </w:style>
  <w:style w:type="character" w:customStyle="1" w:styleId="5Char">
    <w:name w:val="标题 5 Char"/>
    <w:basedOn w:val="a1"/>
    <w:link w:val="5"/>
    <w:uiPriority w:val="99"/>
    <w:locked/>
    <w:rsid w:val="008F2EF8"/>
    <w:rPr>
      <w:rFonts w:ascii="Cambria" w:hAnsi="Cambria" w:cs="Cambria"/>
      <w:lang w:val="en-US"/>
    </w:rPr>
  </w:style>
  <w:style w:type="paragraph" w:styleId="a4">
    <w:name w:val="Body Text"/>
    <w:basedOn w:val="a0"/>
    <w:link w:val="Char"/>
    <w:uiPriority w:val="99"/>
    <w:rsid w:val="00763AD0"/>
    <w:rPr>
      <w:sz w:val="24"/>
      <w:szCs w:val="24"/>
      <w:lang w:val="pl-PL"/>
    </w:rPr>
  </w:style>
  <w:style w:type="character" w:customStyle="1" w:styleId="Char">
    <w:name w:val="正文文本 Char"/>
    <w:basedOn w:val="a1"/>
    <w:link w:val="a4"/>
    <w:uiPriority w:val="99"/>
    <w:locked/>
    <w:rsid w:val="008F2EF8"/>
    <w:rPr>
      <w:rFonts w:ascii="Times New Roman" w:hAnsi="Times New Roman" w:cs="Times New Roman"/>
      <w:sz w:val="24"/>
      <w:szCs w:val="24"/>
    </w:rPr>
  </w:style>
  <w:style w:type="paragraph" w:styleId="a5">
    <w:name w:val="Body Text Indent"/>
    <w:basedOn w:val="a0"/>
    <w:link w:val="Char0"/>
    <w:uiPriority w:val="99"/>
    <w:rsid w:val="00763AD0"/>
    <w:pPr>
      <w:jc w:val="both"/>
    </w:pPr>
    <w:rPr>
      <w:sz w:val="24"/>
      <w:szCs w:val="24"/>
    </w:rPr>
  </w:style>
  <w:style w:type="character" w:customStyle="1" w:styleId="Char0">
    <w:name w:val="正文文本缩进 Char"/>
    <w:basedOn w:val="a1"/>
    <w:link w:val="a5"/>
    <w:uiPriority w:val="99"/>
    <w:locked/>
    <w:rsid w:val="008F2EF8"/>
    <w:rPr>
      <w:rFonts w:ascii="Times New Roman" w:hAnsi="Times New Roman" w:cs="Times New Roman"/>
      <w:sz w:val="24"/>
      <w:szCs w:val="24"/>
      <w:lang w:val="en-US"/>
    </w:rPr>
  </w:style>
  <w:style w:type="paragraph" w:styleId="a6">
    <w:name w:val="header"/>
    <w:basedOn w:val="a0"/>
    <w:link w:val="Char1"/>
    <w:uiPriority w:val="99"/>
    <w:rsid w:val="00763AD0"/>
    <w:pPr>
      <w:tabs>
        <w:tab w:val="center" w:pos="4536"/>
        <w:tab w:val="right" w:pos="9072"/>
      </w:tabs>
    </w:pPr>
  </w:style>
  <w:style w:type="character" w:customStyle="1" w:styleId="Char1">
    <w:name w:val="页眉 Char"/>
    <w:basedOn w:val="a1"/>
    <w:link w:val="a6"/>
    <w:uiPriority w:val="99"/>
    <w:locked/>
    <w:rsid w:val="008F2EF8"/>
    <w:rPr>
      <w:rFonts w:ascii="Times New Roman" w:hAnsi="Times New Roman" w:cs="Times New Roman"/>
      <w:lang w:val="en-US"/>
    </w:rPr>
  </w:style>
  <w:style w:type="paragraph" w:styleId="a7">
    <w:name w:val="footer"/>
    <w:basedOn w:val="a0"/>
    <w:link w:val="Char2"/>
    <w:uiPriority w:val="99"/>
    <w:rsid w:val="00763AD0"/>
    <w:pPr>
      <w:tabs>
        <w:tab w:val="center" w:pos="4536"/>
        <w:tab w:val="right" w:pos="9072"/>
      </w:tabs>
    </w:pPr>
  </w:style>
  <w:style w:type="character" w:customStyle="1" w:styleId="Char2">
    <w:name w:val="页脚 Char"/>
    <w:basedOn w:val="a1"/>
    <w:link w:val="a7"/>
    <w:uiPriority w:val="99"/>
    <w:locked/>
    <w:rsid w:val="008F2EF8"/>
    <w:rPr>
      <w:rFonts w:ascii="Times New Roman" w:hAnsi="Times New Roman" w:cs="Times New Roman"/>
      <w:lang w:val="en-US"/>
    </w:rPr>
  </w:style>
  <w:style w:type="paragraph" w:styleId="a8">
    <w:name w:val="List"/>
    <w:basedOn w:val="a0"/>
    <w:uiPriority w:val="99"/>
    <w:rsid w:val="00763AD0"/>
    <w:pPr>
      <w:ind w:left="283" w:hanging="283"/>
    </w:pPr>
  </w:style>
  <w:style w:type="paragraph" w:styleId="a">
    <w:name w:val="List Bullet"/>
    <w:basedOn w:val="a0"/>
    <w:autoRedefine/>
    <w:uiPriority w:val="99"/>
    <w:rsid w:val="00763AD0"/>
    <w:pPr>
      <w:numPr>
        <w:numId w:val="3"/>
      </w:numPr>
    </w:pPr>
  </w:style>
  <w:style w:type="paragraph" w:styleId="a9">
    <w:name w:val="Body Text First Indent"/>
    <w:basedOn w:val="a4"/>
    <w:link w:val="Char3"/>
    <w:uiPriority w:val="99"/>
    <w:rsid w:val="00763AD0"/>
    <w:pPr>
      <w:spacing w:after="120"/>
      <w:ind w:firstLine="210"/>
    </w:pPr>
    <w:rPr>
      <w:sz w:val="20"/>
      <w:szCs w:val="20"/>
    </w:rPr>
  </w:style>
  <w:style w:type="character" w:customStyle="1" w:styleId="Char3">
    <w:name w:val="正文首行缩进 Char"/>
    <w:basedOn w:val="Char"/>
    <w:link w:val="a9"/>
    <w:uiPriority w:val="99"/>
    <w:locked/>
    <w:rsid w:val="008F2EF8"/>
    <w:rPr>
      <w:rFonts w:ascii="Times New Roman" w:hAnsi="Times New Roman" w:cs="Times New Roman"/>
      <w:sz w:val="24"/>
      <w:szCs w:val="24"/>
    </w:rPr>
  </w:style>
  <w:style w:type="character" w:styleId="aa">
    <w:name w:val="Hyperlink"/>
    <w:basedOn w:val="a1"/>
    <w:uiPriority w:val="99"/>
    <w:rsid w:val="00763AD0"/>
    <w:rPr>
      <w:rFonts w:ascii="Times New Roman" w:hAnsi="Times New Roman" w:cs="Times New Roman"/>
      <w:color w:val="0000FF"/>
      <w:u w:val="single"/>
    </w:rPr>
  </w:style>
  <w:style w:type="paragraph" w:styleId="ab">
    <w:name w:val="Balloon Text"/>
    <w:basedOn w:val="a0"/>
    <w:link w:val="Char4"/>
    <w:uiPriority w:val="99"/>
    <w:rsid w:val="00763AD0"/>
    <w:rPr>
      <w:rFonts w:ascii="Lucida Grande" w:hAnsi="Lucida Grande" w:cs="Lucida Grande"/>
      <w:sz w:val="18"/>
      <w:szCs w:val="18"/>
      <w:lang w:val="pl-PL"/>
    </w:rPr>
  </w:style>
  <w:style w:type="character" w:customStyle="1" w:styleId="Char4">
    <w:name w:val="批注框文本 Char"/>
    <w:basedOn w:val="a1"/>
    <w:link w:val="ab"/>
    <w:uiPriority w:val="99"/>
    <w:locked/>
    <w:rsid w:val="008F2EF8"/>
    <w:rPr>
      <w:rFonts w:ascii="Lucida Grande" w:hAnsi="Lucida Grande" w:cs="Lucida Grande"/>
      <w:sz w:val="18"/>
      <w:szCs w:val="18"/>
    </w:rPr>
  </w:style>
  <w:style w:type="character" w:styleId="ac">
    <w:name w:val="annotation reference"/>
    <w:basedOn w:val="a1"/>
    <w:uiPriority w:val="99"/>
    <w:rsid w:val="00763AD0"/>
    <w:rPr>
      <w:rFonts w:ascii="Times New Roman" w:hAnsi="Times New Roman" w:cs="Times New Roman"/>
      <w:sz w:val="18"/>
      <w:szCs w:val="18"/>
    </w:rPr>
  </w:style>
  <w:style w:type="paragraph" w:styleId="ad">
    <w:name w:val="annotation text"/>
    <w:basedOn w:val="a0"/>
    <w:link w:val="Char5"/>
    <w:uiPriority w:val="99"/>
    <w:rsid w:val="00763AD0"/>
    <w:rPr>
      <w:sz w:val="24"/>
      <w:szCs w:val="24"/>
      <w:lang w:val="pl-PL"/>
    </w:rPr>
  </w:style>
  <w:style w:type="character" w:customStyle="1" w:styleId="Char5">
    <w:name w:val="批注文字 Char"/>
    <w:basedOn w:val="a1"/>
    <w:link w:val="ad"/>
    <w:uiPriority w:val="99"/>
    <w:locked/>
    <w:rsid w:val="008F2EF8"/>
    <w:rPr>
      <w:rFonts w:ascii="Times New Roman" w:hAnsi="Times New Roman" w:cs="Times New Roman"/>
      <w:sz w:val="24"/>
      <w:szCs w:val="24"/>
    </w:rPr>
  </w:style>
  <w:style w:type="paragraph" w:styleId="ae">
    <w:name w:val="annotation subject"/>
    <w:basedOn w:val="ad"/>
    <w:next w:val="ad"/>
    <w:link w:val="Char6"/>
    <w:uiPriority w:val="99"/>
    <w:rsid w:val="00763AD0"/>
    <w:rPr>
      <w:b/>
      <w:bCs/>
    </w:rPr>
  </w:style>
  <w:style w:type="character" w:customStyle="1" w:styleId="Char6">
    <w:name w:val="批注主题 Char"/>
    <w:basedOn w:val="Char5"/>
    <w:link w:val="ae"/>
    <w:uiPriority w:val="99"/>
    <w:locked/>
    <w:rsid w:val="008F2EF8"/>
    <w:rPr>
      <w:rFonts w:ascii="Times New Roman" w:hAnsi="Times New Roman" w:cs="Times New Roman"/>
      <w:b/>
      <w:bCs/>
      <w:sz w:val="24"/>
      <w:szCs w:val="24"/>
    </w:rPr>
  </w:style>
  <w:style w:type="character" w:styleId="af">
    <w:name w:val="FollowedHyperlink"/>
    <w:basedOn w:val="a1"/>
    <w:uiPriority w:val="99"/>
    <w:rsid w:val="00763AD0"/>
    <w:rPr>
      <w:rFonts w:ascii="Times New Roman" w:hAnsi="Times New Roman" w:cs="Times New Roman"/>
      <w:color w:val="800080"/>
      <w:u w:val="single"/>
    </w:rPr>
  </w:style>
  <w:style w:type="paragraph" w:styleId="af0">
    <w:name w:val="Revision"/>
    <w:hidden/>
    <w:uiPriority w:val="99"/>
    <w:rsid w:val="00763AD0"/>
    <w:rPr>
      <w:rFonts w:ascii="Times New Roman" w:hAnsi="Times New Roman"/>
      <w:kern w:val="0"/>
      <w:sz w:val="20"/>
      <w:szCs w:val="20"/>
      <w:lang w:eastAsia="pl-PL"/>
    </w:rPr>
  </w:style>
  <w:style w:type="paragraph" w:styleId="af1">
    <w:name w:val="List Paragraph"/>
    <w:basedOn w:val="a0"/>
    <w:uiPriority w:val="99"/>
    <w:qFormat/>
    <w:rsid w:val="00763AD0"/>
    <w:pPr>
      <w:ind w:left="720"/>
    </w:pPr>
  </w:style>
  <w:style w:type="character" w:customStyle="1" w:styleId="slug-doi">
    <w:name w:val="slug-doi"/>
    <w:basedOn w:val="a1"/>
    <w:uiPriority w:val="99"/>
    <w:rsid w:val="008F2EF8"/>
    <w:rPr>
      <w:rFonts w:ascii="Times New Roman" w:hAnsi="Times New Roman" w:cs="Times New Roman"/>
    </w:rPr>
  </w:style>
  <w:style w:type="paragraph" w:styleId="af2">
    <w:name w:val="caption"/>
    <w:basedOn w:val="a0"/>
    <w:next w:val="a0"/>
    <w:uiPriority w:val="99"/>
    <w:qFormat/>
    <w:rsid w:val="008F2EF8"/>
    <w:pPr>
      <w:spacing w:after="200"/>
    </w:pPr>
    <w:rPr>
      <w:b/>
      <w:bCs/>
      <w:sz w:val="18"/>
      <w:szCs w:val="18"/>
    </w:rPr>
  </w:style>
  <w:style w:type="table" w:styleId="af3">
    <w:name w:val="Table Grid"/>
    <w:basedOn w:val="a2"/>
    <w:uiPriority w:val="99"/>
    <w:rsid w:val="00763AD0"/>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1"/>
    <w:uiPriority w:val="99"/>
    <w:qFormat/>
    <w:rsid w:val="006C547F"/>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013996">
      <w:marLeft w:val="0"/>
      <w:marRight w:val="0"/>
      <w:marTop w:val="0"/>
      <w:marBottom w:val="0"/>
      <w:divBdr>
        <w:top w:val="none" w:sz="0" w:space="0" w:color="auto"/>
        <w:left w:val="none" w:sz="0" w:space="0" w:color="auto"/>
        <w:bottom w:val="none" w:sz="0" w:space="0" w:color="auto"/>
        <w:right w:val="none" w:sz="0" w:space="0" w:color="auto"/>
      </w:divBdr>
      <w:divsChild>
        <w:div w:id="1597014108">
          <w:marLeft w:val="0"/>
          <w:marRight w:val="1"/>
          <w:marTop w:val="0"/>
          <w:marBottom w:val="0"/>
          <w:divBdr>
            <w:top w:val="none" w:sz="0" w:space="0" w:color="auto"/>
            <w:left w:val="none" w:sz="0" w:space="0" w:color="auto"/>
            <w:bottom w:val="none" w:sz="0" w:space="0" w:color="auto"/>
            <w:right w:val="none" w:sz="0" w:space="0" w:color="auto"/>
          </w:divBdr>
          <w:divsChild>
            <w:div w:id="1597014227">
              <w:marLeft w:val="0"/>
              <w:marRight w:val="0"/>
              <w:marTop w:val="0"/>
              <w:marBottom w:val="0"/>
              <w:divBdr>
                <w:top w:val="none" w:sz="0" w:space="0" w:color="auto"/>
                <w:left w:val="none" w:sz="0" w:space="0" w:color="auto"/>
                <w:bottom w:val="none" w:sz="0" w:space="0" w:color="auto"/>
                <w:right w:val="none" w:sz="0" w:space="0" w:color="auto"/>
              </w:divBdr>
              <w:divsChild>
                <w:div w:id="1597014267">
                  <w:marLeft w:val="0"/>
                  <w:marRight w:val="1"/>
                  <w:marTop w:val="0"/>
                  <w:marBottom w:val="0"/>
                  <w:divBdr>
                    <w:top w:val="none" w:sz="0" w:space="0" w:color="auto"/>
                    <w:left w:val="none" w:sz="0" w:space="0" w:color="auto"/>
                    <w:bottom w:val="none" w:sz="0" w:space="0" w:color="auto"/>
                    <w:right w:val="none" w:sz="0" w:space="0" w:color="auto"/>
                  </w:divBdr>
                  <w:divsChild>
                    <w:div w:id="1597014119">
                      <w:marLeft w:val="0"/>
                      <w:marRight w:val="0"/>
                      <w:marTop w:val="0"/>
                      <w:marBottom w:val="0"/>
                      <w:divBdr>
                        <w:top w:val="none" w:sz="0" w:space="0" w:color="auto"/>
                        <w:left w:val="none" w:sz="0" w:space="0" w:color="auto"/>
                        <w:bottom w:val="none" w:sz="0" w:space="0" w:color="auto"/>
                        <w:right w:val="none" w:sz="0" w:space="0" w:color="auto"/>
                      </w:divBdr>
                      <w:divsChild>
                        <w:div w:id="1597014072">
                          <w:marLeft w:val="0"/>
                          <w:marRight w:val="0"/>
                          <w:marTop w:val="0"/>
                          <w:marBottom w:val="0"/>
                          <w:divBdr>
                            <w:top w:val="none" w:sz="0" w:space="0" w:color="auto"/>
                            <w:left w:val="none" w:sz="0" w:space="0" w:color="auto"/>
                            <w:bottom w:val="none" w:sz="0" w:space="0" w:color="auto"/>
                            <w:right w:val="none" w:sz="0" w:space="0" w:color="auto"/>
                          </w:divBdr>
                          <w:divsChild>
                            <w:div w:id="1597014037">
                              <w:marLeft w:val="0"/>
                              <w:marRight w:val="0"/>
                              <w:marTop w:val="120"/>
                              <w:marBottom w:val="360"/>
                              <w:divBdr>
                                <w:top w:val="none" w:sz="0" w:space="0" w:color="auto"/>
                                <w:left w:val="none" w:sz="0" w:space="0" w:color="auto"/>
                                <w:bottom w:val="none" w:sz="0" w:space="0" w:color="auto"/>
                                <w:right w:val="none" w:sz="0" w:space="0" w:color="auto"/>
                              </w:divBdr>
                              <w:divsChild>
                                <w:div w:id="1597014199">
                                  <w:marLeft w:val="0"/>
                                  <w:marRight w:val="0"/>
                                  <w:marTop w:val="0"/>
                                  <w:marBottom w:val="0"/>
                                  <w:divBdr>
                                    <w:top w:val="none" w:sz="0" w:space="0" w:color="auto"/>
                                    <w:left w:val="none" w:sz="0" w:space="0" w:color="auto"/>
                                    <w:bottom w:val="none" w:sz="0" w:space="0" w:color="auto"/>
                                    <w:right w:val="none" w:sz="0" w:space="0" w:color="auto"/>
                                  </w:divBdr>
                                  <w:divsChild>
                                    <w:div w:id="15970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014001">
      <w:marLeft w:val="0"/>
      <w:marRight w:val="0"/>
      <w:marTop w:val="0"/>
      <w:marBottom w:val="0"/>
      <w:divBdr>
        <w:top w:val="none" w:sz="0" w:space="0" w:color="auto"/>
        <w:left w:val="none" w:sz="0" w:space="0" w:color="auto"/>
        <w:bottom w:val="none" w:sz="0" w:space="0" w:color="auto"/>
        <w:right w:val="none" w:sz="0" w:space="0" w:color="auto"/>
      </w:divBdr>
      <w:divsChild>
        <w:div w:id="1597014118">
          <w:marLeft w:val="0"/>
          <w:marRight w:val="1"/>
          <w:marTop w:val="0"/>
          <w:marBottom w:val="0"/>
          <w:divBdr>
            <w:top w:val="none" w:sz="0" w:space="0" w:color="auto"/>
            <w:left w:val="none" w:sz="0" w:space="0" w:color="auto"/>
            <w:bottom w:val="none" w:sz="0" w:space="0" w:color="auto"/>
            <w:right w:val="none" w:sz="0" w:space="0" w:color="auto"/>
          </w:divBdr>
          <w:divsChild>
            <w:div w:id="1597014141">
              <w:marLeft w:val="0"/>
              <w:marRight w:val="0"/>
              <w:marTop w:val="0"/>
              <w:marBottom w:val="0"/>
              <w:divBdr>
                <w:top w:val="none" w:sz="0" w:space="0" w:color="auto"/>
                <w:left w:val="none" w:sz="0" w:space="0" w:color="auto"/>
                <w:bottom w:val="none" w:sz="0" w:space="0" w:color="auto"/>
                <w:right w:val="none" w:sz="0" w:space="0" w:color="auto"/>
              </w:divBdr>
              <w:divsChild>
                <w:div w:id="1597014248">
                  <w:marLeft w:val="0"/>
                  <w:marRight w:val="1"/>
                  <w:marTop w:val="0"/>
                  <w:marBottom w:val="0"/>
                  <w:divBdr>
                    <w:top w:val="none" w:sz="0" w:space="0" w:color="auto"/>
                    <w:left w:val="none" w:sz="0" w:space="0" w:color="auto"/>
                    <w:bottom w:val="none" w:sz="0" w:space="0" w:color="auto"/>
                    <w:right w:val="none" w:sz="0" w:space="0" w:color="auto"/>
                  </w:divBdr>
                  <w:divsChild>
                    <w:div w:id="1597014008">
                      <w:marLeft w:val="0"/>
                      <w:marRight w:val="0"/>
                      <w:marTop w:val="0"/>
                      <w:marBottom w:val="0"/>
                      <w:divBdr>
                        <w:top w:val="none" w:sz="0" w:space="0" w:color="auto"/>
                        <w:left w:val="none" w:sz="0" w:space="0" w:color="auto"/>
                        <w:bottom w:val="none" w:sz="0" w:space="0" w:color="auto"/>
                        <w:right w:val="none" w:sz="0" w:space="0" w:color="auto"/>
                      </w:divBdr>
                      <w:divsChild>
                        <w:div w:id="1597014133">
                          <w:marLeft w:val="0"/>
                          <w:marRight w:val="0"/>
                          <w:marTop w:val="0"/>
                          <w:marBottom w:val="0"/>
                          <w:divBdr>
                            <w:top w:val="none" w:sz="0" w:space="0" w:color="auto"/>
                            <w:left w:val="none" w:sz="0" w:space="0" w:color="auto"/>
                            <w:bottom w:val="none" w:sz="0" w:space="0" w:color="auto"/>
                            <w:right w:val="none" w:sz="0" w:space="0" w:color="auto"/>
                          </w:divBdr>
                          <w:divsChild>
                            <w:div w:id="1597014116">
                              <w:marLeft w:val="0"/>
                              <w:marRight w:val="0"/>
                              <w:marTop w:val="120"/>
                              <w:marBottom w:val="360"/>
                              <w:divBdr>
                                <w:top w:val="none" w:sz="0" w:space="0" w:color="auto"/>
                                <w:left w:val="none" w:sz="0" w:space="0" w:color="auto"/>
                                <w:bottom w:val="none" w:sz="0" w:space="0" w:color="auto"/>
                                <w:right w:val="none" w:sz="0" w:space="0" w:color="auto"/>
                              </w:divBdr>
                              <w:divsChild>
                                <w:div w:id="1597014087">
                                  <w:marLeft w:val="0"/>
                                  <w:marRight w:val="0"/>
                                  <w:marTop w:val="0"/>
                                  <w:marBottom w:val="0"/>
                                  <w:divBdr>
                                    <w:top w:val="none" w:sz="0" w:space="0" w:color="auto"/>
                                    <w:left w:val="none" w:sz="0" w:space="0" w:color="auto"/>
                                    <w:bottom w:val="none" w:sz="0" w:space="0" w:color="auto"/>
                                    <w:right w:val="none" w:sz="0" w:space="0" w:color="auto"/>
                                  </w:divBdr>
                                  <w:divsChild>
                                    <w:div w:id="15970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014005">
      <w:marLeft w:val="0"/>
      <w:marRight w:val="0"/>
      <w:marTop w:val="0"/>
      <w:marBottom w:val="0"/>
      <w:divBdr>
        <w:top w:val="none" w:sz="0" w:space="0" w:color="auto"/>
        <w:left w:val="none" w:sz="0" w:space="0" w:color="auto"/>
        <w:bottom w:val="none" w:sz="0" w:space="0" w:color="auto"/>
        <w:right w:val="none" w:sz="0" w:space="0" w:color="auto"/>
      </w:divBdr>
      <w:divsChild>
        <w:div w:id="1597014078">
          <w:marLeft w:val="0"/>
          <w:marRight w:val="0"/>
          <w:marTop w:val="0"/>
          <w:marBottom w:val="0"/>
          <w:divBdr>
            <w:top w:val="none" w:sz="0" w:space="0" w:color="auto"/>
            <w:left w:val="none" w:sz="0" w:space="0" w:color="auto"/>
            <w:bottom w:val="none" w:sz="0" w:space="0" w:color="auto"/>
            <w:right w:val="none" w:sz="0" w:space="0" w:color="auto"/>
          </w:divBdr>
          <w:divsChild>
            <w:div w:id="1597014031">
              <w:marLeft w:val="0"/>
              <w:marRight w:val="0"/>
              <w:marTop w:val="0"/>
              <w:marBottom w:val="0"/>
              <w:divBdr>
                <w:top w:val="none" w:sz="0" w:space="0" w:color="auto"/>
                <w:left w:val="none" w:sz="0" w:space="0" w:color="auto"/>
                <w:bottom w:val="none" w:sz="0" w:space="0" w:color="auto"/>
                <w:right w:val="none" w:sz="0" w:space="0" w:color="auto"/>
              </w:divBdr>
              <w:divsChild>
                <w:div w:id="1597014093">
                  <w:marLeft w:val="0"/>
                  <w:marRight w:val="0"/>
                  <w:marTop w:val="0"/>
                  <w:marBottom w:val="0"/>
                  <w:divBdr>
                    <w:top w:val="none" w:sz="0" w:space="0" w:color="auto"/>
                    <w:left w:val="none" w:sz="0" w:space="0" w:color="auto"/>
                    <w:bottom w:val="none" w:sz="0" w:space="0" w:color="auto"/>
                    <w:right w:val="none" w:sz="0" w:space="0" w:color="auto"/>
                  </w:divBdr>
                  <w:divsChild>
                    <w:div w:id="1597014208">
                      <w:marLeft w:val="0"/>
                      <w:marRight w:val="0"/>
                      <w:marTop w:val="0"/>
                      <w:marBottom w:val="0"/>
                      <w:divBdr>
                        <w:top w:val="none" w:sz="0" w:space="0" w:color="auto"/>
                        <w:left w:val="none" w:sz="0" w:space="0" w:color="auto"/>
                        <w:bottom w:val="none" w:sz="0" w:space="0" w:color="auto"/>
                        <w:right w:val="none" w:sz="0" w:space="0" w:color="auto"/>
                      </w:divBdr>
                      <w:divsChild>
                        <w:div w:id="1597014127">
                          <w:marLeft w:val="0"/>
                          <w:marRight w:val="0"/>
                          <w:marTop w:val="0"/>
                          <w:marBottom w:val="0"/>
                          <w:divBdr>
                            <w:top w:val="none" w:sz="0" w:space="0" w:color="auto"/>
                            <w:left w:val="none" w:sz="0" w:space="0" w:color="auto"/>
                            <w:bottom w:val="none" w:sz="0" w:space="0" w:color="auto"/>
                            <w:right w:val="none" w:sz="0" w:space="0" w:color="auto"/>
                          </w:divBdr>
                          <w:divsChild>
                            <w:div w:id="1597013994">
                              <w:marLeft w:val="0"/>
                              <w:marRight w:val="0"/>
                              <w:marTop w:val="0"/>
                              <w:marBottom w:val="0"/>
                              <w:divBdr>
                                <w:top w:val="none" w:sz="0" w:space="0" w:color="auto"/>
                                <w:left w:val="none" w:sz="0" w:space="0" w:color="auto"/>
                                <w:bottom w:val="none" w:sz="0" w:space="0" w:color="auto"/>
                                <w:right w:val="none" w:sz="0" w:space="0" w:color="auto"/>
                              </w:divBdr>
                              <w:divsChild>
                                <w:div w:id="1597014066">
                                  <w:marLeft w:val="0"/>
                                  <w:marRight w:val="0"/>
                                  <w:marTop w:val="0"/>
                                  <w:marBottom w:val="0"/>
                                  <w:divBdr>
                                    <w:top w:val="none" w:sz="0" w:space="0" w:color="auto"/>
                                    <w:left w:val="none" w:sz="0" w:space="0" w:color="auto"/>
                                    <w:bottom w:val="none" w:sz="0" w:space="0" w:color="auto"/>
                                    <w:right w:val="none" w:sz="0" w:space="0" w:color="auto"/>
                                  </w:divBdr>
                                  <w:divsChild>
                                    <w:div w:id="1597014106">
                                      <w:marLeft w:val="0"/>
                                      <w:marRight w:val="0"/>
                                      <w:marTop w:val="0"/>
                                      <w:marBottom w:val="0"/>
                                      <w:divBdr>
                                        <w:top w:val="none" w:sz="0" w:space="0" w:color="auto"/>
                                        <w:left w:val="none" w:sz="0" w:space="0" w:color="auto"/>
                                        <w:bottom w:val="none" w:sz="0" w:space="0" w:color="auto"/>
                                        <w:right w:val="none" w:sz="0" w:space="0" w:color="auto"/>
                                      </w:divBdr>
                                      <w:divsChild>
                                        <w:div w:id="159701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014014">
      <w:marLeft w:val="0"/>
      <w:marRight w:val="0"/>
      <w:marTop w:val="0"/>
      <w:marBottom w:val="0"/>
      <w:divBdr>
        <w:top w:val="none" w:sz="0" w:space="0" w:color="auto"/>
        <w:left w:val="none" w:sz="0" w:space="0" w:color="auto"/>
        <w:bottom w:val="none" w:sz="0" w:space="0" w:color="auto"/>
        <w:right w:val="none" w:sz="0" w:space="0" w:color="auto"/>
      </w:divBdr>
      <w:divsChild>
        <w:div w:id="1597014230">
          <w:marLeft w:val="0"/>
          <w:marRight w:val="1"/>
          <w:marTop w:val="0"/>
          <w:marBottom w:val="0"/>
          <w:divBdr>
            <w:top w:val="none" w:sz="0" w:space="0" w:color="auto"/>
            <w:left w:val="none" w:sz="0" w:space="0" w:color="auto"/>
            <w:bottom w:val="none" w:sz="0" w:space="0" w:color="auto"/>
            <w:right w:val="none" w:sz="0" w:space="0" w:color="auto"/>
          </w:divBdr>
          <w:divsChild>
            <w:div w:id="1597014246">
              <w:marLeft w:val="0"/>
              <w:marRight w:val="0"/>
              <w:marTop w:val="0"/>
              <w:marBottom w:val="0"/>
              <w:divBdr>
                <w:top w:val="none" w:sz="0" w:space="0" w:color="auto"/>
                <w:left w:val="none" w:sz="0" w:space="0" w:color="auto"/>
                <w:bottom w:val="none" w:sz="0" w:space="0" w:color="auto"/>
                <w:right w:val="none" w:sz="0" w:space="0" w:color="auto"/>
              </w:divBdr>
              <w:divsChild>
                <w:div w:id="1597014165">
                  <w:marLeft w:val="0"/>
                  <w:marRight w:val="1"/>
                  <w:marTop w:val="0"/>
                  <w:marBottom w:val="0"/>
                  <w:divBdr>
                    <w:top w:val="none" w:sz="0" w:space="0" w:color="auto"/>
                    <w:left w:val="none" w:sz="0" w:space="0" w:color="auto"/>
                    <w:bottom w:val="none" w:sz="0" w:space="0" w:color="auto"/>
                    <w:right w:val="none" w:sz="0" w:space="0" w:color="auto"/>
                  </w:divBdr>
                  <w:divsChild>
                    <w:div w:id="1597014085">
                      <w:marLeft w:val="0"/>
                      <w:marRight w:val="0"/>
                      <w:marTop w:val="0"/>
                      <w:marBottom w:val="0"/>
                      <w:divBdr>
                        <w:top w:val="none" w:sz="0" w:space="0" w:color="auto"/>
                        <w:left w:val="none" w:sz="0" w:space="0" w:color="auto"/>
                        <w:bottom w:val="none" w:sz="0" w:space="0" w:color="auto"/>
                        <w:right w:val="none" w:sz="0" w:space="0" w:color="auto"/>
                      </w:divBdr>
                      <w:divsChild>
                        <w:div w:id="1597014274">
                          <w:marLeft w:val="0"/>
                          <w:marRight w:val="0"/>
                          <w:marTop w:val="0"/>
                          <w:marBottom w:val="0"/>
                          <w:divBdr>
                            <w:top w:val="none" w:sz="0" w:space="0" w:color="auto"/>
                            <w:left w:val="none" w:sz="0" w:space="0" w:color="auto"/>
                            <w:bottom w:val="none" w:sz="0" w:space="0" w:color="auto"/>
                            <w:right w:val="none" w:sz="0" w:space="0" w:color="auto"/>
                          </w:divBdr>
                          <w:divsChild>
                            <w:div w:id="1597014026">
                              <w:marLeft w:val="0"/>
                              <w:marRight w:val="0"/>
                              <w:marTop w:val="120"/>
                              <w:marBottom w:val="360"/>
                              <w:divBdr>
                                <w:top w:val="none" w:sz="0" w:space="0" w:color="auto"/>
                                <w:left w:val="none" w:sz="0" w:space="0" w:color="auto"/>
                                <w:bottom w:val="none" w:sz="0" w:space="0" w:color="auto"/>
                                <w:right w:val="none" w:sz="0" w:space="0" w:color="auto"/>
                              </w:divBdr>
                              <w:divsChild>
                                <w:div w:id="1597014027">
                                  <w:marLeft w:val="0"/>
                                  <w:marRight w:val="0"/>
                                  <w:marTop w:val="0"/>
                                  <w:marBottom w:val="0"/>
                                  <w:divBdr>
                                    <w:top w:val="none" w:sz="0" w:space="0" w:color="auto"/>
                                    <w:left w:val="none" w:sz="0" w:space="0" w:color="auto"/>
                                    <w:bottom w:val="none" w:sz="0" w:space="0" w:color="auto"/>
                                    <w:right w:val="none" w:sz="0" w:space="0" w:color="auto"/>
                                  </w:divBdr>
                                  <w:divsChild>
                                    <w:div w:id="15970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014017">
      <w:marLeft w:val="0"/>
      <w:marRight w:val="0"/>
      <w:marTop w:val="0"/>
      <w:marBottom w:val="0"/>
      <w:divBdr>
        <w:top w:val="none" w:sz="0" w:space="0" w:color="auto"/>
        <w:left w:val="none" w:sz="0" w:space="0" w:color="auto"/>
        <w:bottom w:val="none" w:sz="0" w:space="0" w:color="auto"/>
        <w:right w:val="none" w:sz="0" w:space="0" w:color="auto"/>
      </w:divBdr>
      <w:divsChild>
        <w:div w:id="1597014039">
          <w:marLeft w:val="0"/>
          <w:marRight w:val="1"/>
          <w:marTop w:val="0"/>
          <w:marBottom w:val="0"/>
          <w:divBdr>
            <w:top w:val="none" w:sz="0" w:space="0" w:color="auto"/>
            <w:left w:val="none" w:sz="0" w:space="0" w:color="auto"/>
            <w:bottom w:val="none" w:sz="0" w:space="0" w:color="auto"/>
            <w:right w:val="none" w:sz="0" w:space="0" w:color="auto"/>
          </w:divBdr>
          <w:divsChild>
            <w:div w:id="1597014152">
              <w:marLeft w:val="0"/>
              <w:marRight w:val="0"/>
              <w:marTop w:val="0"/>
              <w:marBottom w:val="0"/>
              <w:divBdr>
                <w:top w:val="none" w:sz="0" w:space="0" w:color="auto"/>
                <w:left w:val="none" w:sz="0" w:space="0" w:color="auto"/>
                <w:bottom w:val="none" w:sz="0" w:space="0" w:color="auto"/>
                <w:right w:val="none" w:sz="0" w:space="0" w:color="auto"/>
              </w:divBdr>
              <w:divsChild>
                <w:div w:id="1597014258">
                  <w:marLeft w:val="0"/>
                  <w:marRight w:val="1"/>
                  <w:marTop w:val="0"/>
                  <w:marBottom w:val="0"/>
                  <w:divBdr>
                    <w:top w:val="none" w:sz="0" w:space="0" w:color="auto"/>
                    <w:left w:val="none" w:sz="0" w:space="0" w:color="auto"/>
                    <w:bottom w:val="none" w:sz="0" w:space="0" w:color="auto"/>
                    <w:right w:val="none" w:sz="0" w:space="0" w:color="auto"/>
                  </w:divBdr>
                  <w:divsChild>
                    <w:div w:id="1597014206">
                      <w:marLeft w:val="0"/>
                      <w:marRight w:val="0"/>
                      <w:marTop w:val="0"/>
                      <w:marBottom w:val="0"/>
                      <w:divBdr>
                        <w:top w:val="none" w:sz="0" w:space="0" w:color="auto"/>
                        <w:left w:val="none" w:sz="0" w:space="0" w:color="auto"/>
                        <w:bottom w:val="none" w:sz="0" w:space="0" w:color="auto"/>
                        <w:right w:val="none" w:sz="0" w:space="0" w:color="auto"/>
                      </w:divBdr>
                      <w:divsChild>
                        <w:div w:id="1597014179">
                          <w:marLeft w:val="0"/>
                          <w:marRight w:val="0"/>
                          <w:marTop w:val="0"/>
                          <w:marBottom w:val="0"/>
                          <w:divBdr>
                            <w:top w:val="none" w:sz="0" w:space="0" w:color="auto"/>
                            <w:left w:val="none" w:sz="0" w:space="0" w:color="auto"/>
                            <w:bottom w:val="none" w:sz="0" w:space="0" w:color="auto"/>
                            <w:right w:val="none" w:sz="0" w:space="0" w:color="auto"/>
                          </w:divBdr>
                          <w:divsChild>
                            <w:div w:id="1597014159">
                              <w:marLeft w:val="0"/>
                              <w:marRight w:val="0"/>
                              <w:marTop w:val="120"/>
                              <w:marBottom w:val="360"/>
                              <w:divBdr>
                                <w:top w:val="none" w:sz="0" w:space="0" w:color="auto"/>
                                <w:left w:val="none" w:sz="0" w:space="0" w:color="auto"/>
                                <w:bottom w:val="none" w:sz="0" w:space="0" w:color="auto"/>
                                <w:right w:val="none" w:sz="0" w:space="0" w:color="auto"/>
                              </w:divBdr>
                              <w:divsChild>
                                <w:div w:id="1597014250">
                                  <w:marLeft w:val="420"/>
                                  <w:marRight w:val="0"/>
                                  <w:marTop w:val="0"/>
                                  <w:marBottom w:val="0"/>
                                  <w:divBdr>
                                    <w:top w:val="none" w:sz="0" w:space="0" w:color="auto"/>
                                    <w:left w:val="none" w:sz="0" w:space="0" w:color="auto"/>
                                    <w:bottom w:val="none" w:sz="0" w:space="0" w:color="auto"/>
                                    <w:right w:val="none" w:sz="0" w:space="0" w:color="auto"/>
                                  </w:divBdr>
                                  <w:divsChild>
                                    <w:div w:id="1597014233">
                                      <w:marLeft w:val="0"/>
                                      <w:marRight w:val="0"/>
                                      <w:marTop w:val="0"/>
                                      <w:marBottom w:val="0"/>
                                      <w:divBdr>
                                        <w:top w:val="none" w:sz="0" w:space="0" w:color="auto"/>
                                        <w:left w:val="none" w:sz="0" w:space="0" w:color="auto"/>
                                        <w:bottom w:val="none" w:sz="0" w:space="0" w:color="auto"/>
                                        <w:right w:val="none" w:sz="0" w:space="0" w:color="auto"/>
                                      </w:divBdr>
                                      <w:divsChild>
                                        <w:div w:id="159701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014023">
      <w:marLeft w:val="0"/>
      <w:marRight w:val="0"/>
      <w:marTop w:val="0"/>
      <w:marBottom w:val="0"/>
      <w:divBdr>
        <w:top w:val="none" w:sz="0" w:space="0" w:color="auto"/>
        <w:left w:val="none" w:sz="0" w:space="0" w:color="auto"/>
        <w:bottom w:val="none" w:sz="0" w:space="0" w:color="auto"/>
        <w:right w:val="none" w:sz="0" w:space="0" w:color="auto"/>
      </w:divBdr>
      <w:divsChild>
        <w:div w:id="1597014240">
          <w:marLeft w:val="0"/>
          <w:marRight w:val="0"/>
          <w:marTop w:val="0"/>
          <w:marBottom w:val="0"/>
          <w:divBdr>
            <w:top w:val="none" w:sz="0" w:space="0" w:color="auto"/>
            <w:left w:val="none" w:sz="0" w:space="0" w:color="auto"/>
            <w:bottom w:val="none" w:sz="0" w:space="0" w:color="auto"/>
            <w:right w:val="none" w:sz="0" w:space="0" w:color="auto"/>
          </w:divBdr>
          <w:divsChild>
            <w:div w:id="1597014053">
              <w:marLeft w:val="0"/>
              <w:marRight w:val="0"/>
              <w:marTop w:val="0"/>
              <w:marBottom w:val="0"/>
              <w:divBdr>
                <w:top w:val="none" w:sz="0" w:space="0" w:color="auto"/>
                <w:left w:val="none" w:sz="0" w:space="0" w:color="auto"/>
                <w:bottom w:val="none" w:sz="0" w:space="0" w:color="auto"/>
                <w:right w:val="none" w:sz="0" w:space="0" w:color="auto"/>
              </w:divBdr>
              <w:divsChild>
                <w:div w:id="1597014094">
                  <w:marLeft w:val="0"/>
                  <w:marRight w:val="0"/>
                  <w:marTop w:val="0"/>
                  <w:marBottom w:val="0"/>
                  <w:divBdr>
                    <w:top w:val="none" w:sz="0" w:space="0" w:color="auto"/>
                    <w:left w:val="none" w:sz="0" w:space="0" w:color="auto"/>
                    <w:bottom w:val="none" w:sz="0" w:space="0" w:color="auto"/>
                    <w:right w:val="none" w:sz="0" w:space="0" w:color="auto"/>
                  </w:divBdr>
                  <w:divsChild>
                    <w:div w:id="1597014088">
                      <w:marLeft w:val="0"/>
                      <w:marRight w:val="0"/>
                      <w:marTop w:val="0"/>
                      <w:marBottom w:val="0"/>
                      <w:divBdr>
                        <w:top w:val="none" w:sz="0" w:space="0" w:color="auto"/>
                        <w:left w:val="none" w:sz="0" w:space="0" w:color="auto"/>
                        <w:bottom w:val="none" w:sz="0" w:space="0" w:color="auto"/>
                        <w:right w:val="none" w:sz="0" w:space="0" w:color="auto"/>
                      </w:divBdr>
                      <w:divsChild>
                        <w:div w:id="1597014129">
                          <w:marLeft w:val="0"/>
                          <w:marRight w:val="0"/>
                          <w:marTop w:val="0"/>
                          <w:marBottom w:val="0"/>
                          <w:divBdr>
                            <w:top w:val="none" w:sz="0" w:space="0" w:color="auto"/>
                            <w:left w:val="none" w:sz="0" w:space="0" w:color="auto"/>
                            <w:bottom w:val="none" w:sz="0" w:space="0" w:color="auto"/>
                            <w:right w:val="none" w:sz="0" w:space="0" w:color="auto"/>
                          </w:divBdr>
                          <w:divsChild>
                            <w:div w:id="1597013993">
                              <w:marLeft w:val="0"/>
                              <w:marRight w:val="0"/>
                              <w:marTop w:val="0"/>
                              <w:marBottom w:val="0"/>
                              <w:divBdr>
                                <w:top w:val="none" w:sz="0" w:space="0" w:color="auto"/>
                                <w:left w:val="none" w:sz="0" w:space="0" w:color="auto"/>
                                <w:bottom w:val="none" w:sz="0" w:space="0" w:color="auto"/>
                                <w:right w:val="none" w:sz="0" w:space="0" w:color="auto"/>
                              </w:divBdr>
                              <w:divsChild>
                                <w:div w:id="1597014084">
                                  <w:marLeft w:val="0"/>
                                  <w:marRight w:val="0"/>
                                  <w:marTop w:val="0"/>
                                  <w:marBottom w:val="0"/>
                                  <w:divBdr>
                                    <w:top w:val="none" w:sz="0" w:space="0" w:color="auto"/>
                                    <w:left w:val="none" w:sz="0" w:space="0" w:color="auto"/>
                                    <w:bottom w:val="none" w:sz="0" w:space="0" w:color="auto"/>
                                    <w:right w:val="none" w:sz="0" w:space="0" w:color="auto"/>
                                  </w:divBdr>
                                  <w:divsChild>
                                    <w:div w:id="1597014259">
                                      <w:marLeft w:val="0"/>
                                      <w:marRight w:val="0"/>
                                      <w:marTop w:val="0"/>
                                      <w:marBottom w:val="0"/>
                                      <w:divBdr>
                                        <w:top w:val="none" w:sz="0" w:space="0" w:color="auto"/>
                                        <w:left w:val="none" w:sz="0" w:space="0" w:color="auto"/>
                                        <w:bottom w:val="none" w:sz="0" w:space="0" w:color="auto"/>
                                        <w:right w:val="none" w:sz="0" w:space="0" w:color="auto"/>
                                      </w:divBdr>
                                      <w:divsChild>
                                        <w:div w:id="159701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014028">
      <w:marLeft w:val="0"/>
      <w:marRight w:val="0"/>
      <w:marTop w:val="0"/>
      <w:marBottom w:val="0"/>
      <w:divBdr>
        <w:top w:val="none" w:sz="0" w:space="0" w:color="auto"/>
        <w:left w:val="none" w:sz="0" w:space="0" w:color="auto"/>
        <w:bottom w:val="none" w:sz="0" w:space="0" w:color="auto"/>
        <w:right w:val="none" w:sz="0" w:space="0" w:color="auto"/>
      </w:divBdr>
      <w:divsChild>
        <w:div w:id="1597014044">
          <w:marLeft w:val="0"/>
          <w:marRight w:val="0"/>
          <w:marTop w:val="0"/>
          <w:marBottom w:val="0"/>
          <w:divBdr>
            <w:top w:val="none" w:sz="0" w:space="0" w:color="auto"/>
            <w:left w:val="none" w:sz="0" w:space="0" w:color="auto"/>
            <w:bottom w:val="none" w:sz="0" w:space="0" w:color="auto"/>
            <w:right w:val="none" w:sz="0" w:space="0" w:color="auto"/>
          </w:divBdr>
          <w:divsChild>
            <w:div w:id="1597014097">
              <w:marLeft w:val="0"/>
              <w:marRight w:val="0"/>
              <w:marTop w:val="0"/>
              <w:marBottom w:val="0"/>
              <w:divBdr>
                <w:top w:val="none" w:sz="0" w:space="0" w:color="auto"/>
                <w:left w:val="none" w:sz="0" w:space="0" w:color="auto"/>
                <w:bottom w:val="none" w:sz="0" w:space="0" w:color="auto"/>
                <w:right w:val="none" w:sz="0" w:space="0" w:color="auto"/>
              </w:divBdr>
              <w:divsChild>
                <w:div w:id="1597014077">
                  <w:marLeft w:val="0"/>
                  <w:marRight w:val="0"/>
                  <w:marTop w:val="0"/>
                  <w:marBottom w:val="0"/>
                  <w:divBdr>
                    <w:top w:val="none" w:sz="0" w:space="0" w:color="auto"/>
                    <w:left w:val="none" w:sz="0" w:space="0" w:color="auto"/>
                    <w:bottom w:val="none" w:sz="0" w:space="0" w:color="auto"/>
                    <w:right w:val="none" w:sz="0" w:space="0" w:color="auto"/>
                  </w:divBdr>
                  <w:divsChild>
                    <w:div w:id="1597014073">
                      <w:marLeft w:val="0"/>
                      <w:marRight w:val="0"/>
                      <w:marTop w:val="0"/>
                      <w:marBottom w:val="0"/>
                      <w:divBdr>
                        <w:top w:val="none" w:sz="0" w:space="0" w:color="auto"/>
                        <w:left w:val="none" w:sz="0" w:space="0" w:color="auto"/>
                        <w:bottom w:val="none" w:sz="0" w:space="0" w:color="auto"/>
                        <w:right w:val="none" w:sz="0" w:space="0" w:color="auto"/>
                      </w:divBdr>
                      <w:divsChild>
                        <w:div w:id="1597014172">
                          <w:marLeft w:val="0"/>
                          <w:marRight w:val="0"/>
                          <w:marTop w:val="0"/>
                          <w:marBottom w:val="0"/>
                          <w:divBdr>
                            <w:top w:val="none" w:sz="0" w:space="0" w:color="auto"/>
                            <w:left w:val="none" w:sz="0" w:space="0" w:color="auto"/>
                            <w:bottom w:val="none" w:sz="0" w:space="0" w:color="auto"/>
                            <w:right w:val="none" w:sz="0" w:space="0" w:color="auto"/>
                          </w:divBdr>
                          <w:divsChild>
                            <w:div w:id="1597014185">
                              <w:marLeft w:val="0"/>
                              <w:marRight w:val="0"/>
                              <w:marTop w:val="0"/>
                              <w:marBottom w:val="0"/>
                              <w:divBdr>
                                <w:top w:val="none" w:sz="0" w:space="0" w:color="auto"/>
                                <w:left w:val="none" w:sz="0" w:space="0" w:color="auto"/>
                                <w:bottom w:val="none" w:sz="0" w:space="0" w:color="auto"/>
                                <w:right w:val="none" w:sz="0" w:space="0" w:color="auto"/>
                              </w:divBdr>
                              <w:divsChild>
                                <w:div w:id="1597014204">
                                  <w:marLeft w:val="0"/>
                                  <w:marRight w:val="0"/>
                                  <w:marTop w:val="0"/>
                                  <w:marBottom w:val="0"/>
                                  <w:divBdr>
                                    <w:top w:val="none" w:sz="0" w:space="0" w:color="auto"/>
                                    <w:left w:val="none" w:sz="0" w:space="0" w:color="auto"/>
                                    <w:bottom w:val="none" w:sz="0" w:space="0" w:color="auto"/>
                                    <w:right w:val="none" w:sz="0" w:space="0" w:color="auto"/>
                                  </w:divBdr>
                                  <w:divsChild>
                                    <w:div w:id="1597014269">
                                      <w:marLeft w:val="0"/>
                                      <w:marRight w:val="0"/>
                                      <w:marTop w:val="0"/>
                                      <w:marBottom w:val="0"/>
                                      <w:divBdr>
                                        <w:top w:val="none" w:sz="0" w:space="0" w:color="auto"/>
                                        <w:left w:val="none" w:sz="0" w:space="0" w:color="auto"/>
                                        <w:bottom w:val="none" w:sz="0" w:space="0" w:color="auto"/>
                                        <w:right w:val="none" w:sz="0" w:space="0" w:color="auto"/>
                                      </w:divBdr>
                                      <w:divsChild>
                                        <w:div w:id="15970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014029">
      <w:marLeft w:val="0"/>
      <w:marRight w:val="0"/>
      <w:marTop w:val="0"/>
      <w:marBottom w:val="0"/>
      <w:divBdr>
        <w:top w:val="none" w:sz="0" w:space="0" w:color="auto"/>
        <w:left w:val="none" w:sz="0" w:space="0" w:color="auto"/>
        <w:bottom w:val="none" w:sz="0" w:space="0" w:color="auto"/>
        <w:right w:val="none" w:sz="0" w:space="0" w:color="auto"/>
      </w:divBdr>
      <w:divsChild>
        <w:div w:id="1597014189">
          <w:marLeft w:val="0"/>
          <w:marRight w:val="0"/>
          <w:marTop w:val="0"/>
          <w:marBottom w:val="288"/>
          <w:divBdr>
            <w:top w:val="none" w:sz="0" w:space="0" w:color="auto"/>
            <w:left w:val="none" w:sz="0" w:space="0" w:color="auto"/>
            <w:bottom w:val="none" w:sz="0" w:space="0" w:color="auto"/>
            <w:right w:val="none" w:sz="0" w:space="0" w:color="auto"/>
          </w:divBdr>
          <w:divsChild>
            <w:div w:id="1597014271">
              <w:marLeft w:val="0"/>
              <w:marRight w:val="0"/>
              <w:marTop w:val="0"/>
              <w:marBottom w:val="0"/>
              <w:divBdr>
                <w:top w:val="none" w:sz="0" w:space="0" w:color="auto"/>
                <w:left w:val="none" w:sz="0" w:space="0" w:color="auto"/>
                <w:bottom w:val="none" w:sz="0" w:space="0" w:color="auto"/>
                <w:right w:val="none" w:sz="0" w:space="0" w:color="auto"/>
              </w:divBdr>
              <w:divsChild>
                <w:div w:id="1597014167">
                  <w:marLeft w:val="0"/>
                  <w:marRight w:val="0"/>
                  <w:marTop w:val="0"/>
                  <w:marBottom w:val="0"/>
                  <w:divBdr>
                    <w:top w:val="none" w:sz="0" w:space="0" w:color="auto"/>
                    <w:left w:val="none" w:sz="0" w:space="0" w:color="auto"/>
                    <w:bottom w:val="none" w:sz="0" w:space="0" w:color="auto"/>
                    <w:right w:val="none" w:sz="0" w:space="0" w:color="auto"/>
                  </w:divBdr>
                  <w:divsChild>
                    <w:div w:id="1597014144">
                      <w:marLeft w:val="0"/>
                      <w:marRight w:val="0"/>
                      <w:marTop w:val="0"/>
                      <w:marBottom w:val="0"/>
                      <w:divBdr>
                        <w:top w:val="none" w:sz="0" w:space="0" w:color="auto"/>
                        <w:left w:val="none" w:sz="0" w:space="0" w:color="auto"/>
                        <w:bottom w:val="none" w:sz="0" w:space="0" w:color="auto"/>
                        <w:right w:val="none" w:sz="0" w:space="0" w:color="auto"/>
                      </w:divBdr>
                      <w:divsChild>
                        <w:div w:id="1597014035">
                          <w:marLeft w:val="0"/>
                          <w:marRight w:val="0"/>
                          <w:marTop w:val="0"/>
                          <w:marBottom w:val="0"/>
                          <w:divBdr>
                            <w:top w:val="none" w:sz="0" w:space="0" w:color="auto"/>
                            <w:left w:val="none" w:sz="0" w:space="0" w:color="auto"/>
                            <w:bottom w:val="none" w:sz="0" w:space="0" w:color="auto"/>
                            <w:right w:val="none" w:sz="0" w:space="0" w:color="auto"/>
                          </w:divBdr>
                          <w:divsChild>
                            <w:div w:id="159701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014032">
      <w:marLeft w:val="0"/>
      <w:marRight w:val="0"/>
      <w:marTop w:val="0"/>
      <w:marBottom w:val="0"/>
      <w:divBdr>
        <w:top w:val="none" w:sz="0" w:space="0" w:color="auto"/>
        <w:left w:val="none" w:sz="0" w:space="0" w:color="auto"/>
        <w:bottom w:val="none" w:sz="0" w:space="0" w:color="auto"/>
        <w:right w:val="none" w:sz="0" w:space="0" w:color="auto"/>
      </w:divBdr>
      <w:divsChild>
        <w:div w:id="1597014060">
          <w:marLeft w:val="0"/>
          <w:marRight w:val="1"/>
          <w:marTop w:val="0"/>
          <w:marBottom w:val="0"/>
          <w:divBdr>
            <w:top w:val="none" w:sz="0" w:space="0" w:color="auto"/>
            <w:left w:val="none" w:sz="0" w:space="0" w:color="auto"/>
            <w:bottom w:val="none" w:sz="0" w:space="0" w:color="auto"/>
            <w:right w:val="none" w:sz="0" w:space="0" w:color="auto"/>
          </w:divBdr>
          <w:divsChild>
            <w:div w:id="1597014003">
              <w:marLeft w:val="0"/>
              <w:marRight w:val="0"/>
              <w:marTop w:val="0"/>
              <w:marBottom w:val="0"/>
              <w:divBdr>
                <w:top w:val="none" w:sz="0" w:space="0" w:color="auto"/>
                <w:left w:val="none" w:sz="0" w:space="0" w:color="auto"/>
                <w:bottom w:val="none" w:sz="0" w:space="0" w:color="auto"/>
                <w:right w:val="none" w:sz="0" w:space="0" w:color="auto"/>
              </w:divBdr>
              <w:divsChild>
                <w:div w:id="1597014211">
                  <w:marLeft w:val="0"/>
                  <w:marRight w:val="1"/>
                  <w:marTop w:val="0"/>
                  <w:marBottom w:val="0"/>
                  <w:divBdr>
                    <w:top w:val="none" w:sz="0" w:space="0" w:color="auto"/>
                    <w:left w:val="none" w:sz="0" w:space="0" w:color="auto"/>
                    <w:bottom w:val="none" w:sz="0" w:space="0" w:color="auto"/>
                    <w:right w:val="none" w:sz="0" w:space="0" w:color="auto"/>
                  </w:divBdr>
                  <w:divsChild>
                    <w:div w:id="1597014062">
                      <w:marLeft w:val="0"/>
                      <w:marRight w:val="0"/>
                      <w:marTop w:val="0"/>
                      <w:marBottom w:val="0"/>
                      <w:divBdr>
                        <w:top w:val="none" w:sz="0" w:space="0" w:color="auto"/>
                        <w:left w:val="none" w:sz="0" w:space="0" w:color="auto"/>
                        <w:bottom w:val="none" w:sz="0" w:space="0" w:color="auto"/>
                        <w:right w:val="none" w:sz="0" w:space="0" w:color="auto"/>
                      </w:divBdr>
                      <w:divsChild>
                        <w:div w:id="1597014000">
                          <w:marLeft w:val="0"/>
                          <w:marRight w:val="0"/>
                          <w:marTop w:val="0"/>
                          <w:marBottom w:val="0"/>
                          <w:divBdr>
                            <w:top w:val="none" w:sz="0" w:space="0" w:color="auto"/>
                            <w:left w:val="none" w:sz="0" w:space="0" w:color="auto"/>
                            <w:bottom w:val="none" w:sz="0" w:space="0" w:color="auto"/>
                            <w:right w:val="none" w:sz="0" w:space="0" w:color="auto"/>
                          </w:divBdr>
                          <w:divsChild>
                            <w:div w:id="1597014131">
                              <w:marLeft w:val="0"/>
                              <w:marRight w:val="0"/>
                              <w:marTop w:val="120"/>
                              <w:marBottom w:val="360"/>
                              <w:divBdr>
                                <w:top w:val="none" w:sz="0" w:space="0" w:color="auto"/>
                                <w:left w:val="none" w:sz="0" w:space="0" w:color="auto"/>
                                <w:bottom w:val="none" w:sz="0" w:space="0" w:color="auto"/>
                                <w:right w:val="none" w:sz="0" w:space="0" w:color="auto"/>
                              </w:divBdr>
                              <w:divsChild>
                                <w:div w:id="1597014130">
                                  <w:marLeft w:val="0"/>
                                  <w:marRight w:val="0"/>
                                  <w:marTop w:val="0"/>
                                  <w:marBottom w:val="0"/>
                                  <w:divBdr>
                                    <w:top w:val="none" w:sz="0" w:space="0" w:color="auto"/>
                                    <w:left w:val="none" w:sz="0" w:space="0" w:color="auto"/>
                                    <w:bottom w:val="none" w:sz="0" w:space="0" w:color="auto"/>
                                    <w:right w:val="none" w:sz="0" w:space="0" w:color="auto"/>
                                  </w:divBdr>
                                  <w:divsChild>
                                    <w:div w:id="159701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014033">
      <w:marLeft w:val="0"/>
      <w:marRight w:val="0"/>
      <w:marTop w:val="0"/>
      <w:marBottom w:val="0"/>
      <w:divBdr>
        <w:top w:val="none" w:sz="0" w:space="0" w:color="auto"/>
        <w:left w:val="none" w:sz="0" w:space="0" w:color="auto"/>
        <w:bottom w:val="none" w:sz="0" w:space="0" w:color="auto"/>
        <w:right w:val="none" w:sz="0" w:space="0" w:color="auto"/>
      </w:divBdr>
      <w:divsChild>
        <w:div w:id="1597014192">
          <w:marLeft w:val="0"/>
          <w:marRight w:val="1"/>
          <w:marTop w:val="0"/>
          <w:marBottom w:val="0"/>
          <w:divBdr>
            <w:top w:val="none" w:sz="0" w:space="0" w:color="auto"/>
            <w:left w:val="none" w:sz="0" w:space="0" w:color="auto"/>
            <w:bottom w:val="none" w:sz="0" w:space="0" w:color="auto"/>
            <w:right w:val="none" w:sz="0" w:space="0" w:color="auto"/>
          </w:divBdr>
          <w:divsChild>
            <w:div w:id="1597013997">
              <w:marLeft w:val="0"/>
              <w:marRight w:val="0"/>
              <w:marTop w:val="0"/>
              <w:marBottom w:val="0"/>
              <w:divBdr>
                <w:top w:val="none" w:sz="0" w:space="0" w:color="auto"/>
                <w:left w:val="none" w:sz="0" w:space="0" w:color="auto"/>
                <w:bottom w:val="none" w:sz="0" w:space="0" w:color="auto"/>
                <w:right w:val="none" w:sz="0" w:space="0" w:color="auto"/>
              </w:divBdr>
              <w:divsChild>
                <w:div w:id="1597014148">
                  <w:marLeft w:val="0"/>
                  <w:marRight w:val="1"/>
                  <w:marTop w:val="0"/>
                  <w:marBottom w:val="0"/>
                  <w:divBdr>
                    <w:top w:val="none" w:sz="0" w:space="0" w:color="auto"/>
                    <w:left w:val="none" w:sz="0" w:space="0" w:color="auto"/>
                    <w:bottom w:val="none" w:sz="0" w:space="0" w:color="auto"/>
                    <w:right w:val="none" w:sz="0" w:space="0" w:color="auto"/>
                  </w:divBdr>
                  <w:divsChild>
                    <w:div w:id="1597014235">
                      <w:marLeft w:val="0"/>
                      <w:marRight w:val="0"/>
                      <w:marTop w:val="0"/>
                      <w:marBottom w:val="0"/>
                      <w:divBdr>
                        <w:top w:val="none" w:sz="0" w:space="0" w:color="auto"/>
                        <w:left w:val="none" w:sz="0" w:space="0" w:color="auto"/>
                        <w:bottom w:val="none" w:sz="0" w:space="0" w:color="auto"/>
                        <w:right w:val="none" w:sz="0" w:space="0" w:color="auto"/>
                      </w:divBdr>
                      <w:divsChild>
                        <w:div w:id="1597014139">
                          <w:marLeft w:val="0"/>
                          <w:marRight w:val="0"/>
                          <w:marTop w:val="0"/>
                          <w:marBottom w:val="0"/>
                          <w:divBdr>
                            <w:top w:val="none" w:sz="0" w:space="0" w:color="auto"/>
                            <w:left w:val="none" w:sz="0" w:space="0" w:color="auto"/>
                            <w:bottom w:val="none" w:sz="0" w:space="0" w:color="auto"/>
                            <w:right w:val="none" w:sz="0" w:space="0" w:color="auto"/>
                          </w:divBdr>
                          <w:divsChild>
                            <w:div w:id="1597014121">
                              <w:marLeft w:val="0"/>
                              <w:marRight w:val="0"/>
                              <w:marTop w:val="120"/>
                              <w:marBottom w:val="360"/>
                              <w:divBdr>
                                <w:top w:val="none" w:sz="0" w:space="0" w:color="auto"/>
                                <w:left w:val="none" w:sz="0" w:space="0" w:color="auto"/>
                                <w:bottom w:val="none" w:sz="0" w:space="0" w:color="auto"/>
                                <w:right w:val="none" w:sz="0" w:space="0" w:color="auto"/>
                              </w:divBdr>
                              <w:divsChild>
                                <w:div w:id="1597014175">
                                  <w:marLeft w:val="0"/>
                                  <w:marRight w:val="0"/>
                                  <w:marTop w:val="0"/>
                                  <w:marBottom w:val="0"/>
                                  <w:divBdr>
                                    <w:top w:val="none" w:sz="0" w:space="0" w:color="auto"/>
                                    <w:left w:val="none" w:sz="0" w:space="0" w:color="auto"/>
                                    <w:bottom w:val="none" w:sz="0" w:space="0" w:color="auto"/>
                                    <w:right w:val="none" w:sz="0" w:space="0" w:color="auto"/>
                                  </w:divBdr>
                                  <w:divsChild>
                                    <w:div w:id="159701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014034">
      <w:marLeft w:val="0"/>
      <w:marRight w:val="0"/>
      <w:marTop w:val="0"/>
      <w:marBottom w:val="0"/>
      <w:divBdr>
        <w:top w:val="none" w:sz="0" w:space="0" w:color="auto"/>
        <w:left w:val="none" w:sz="0" w:space="0" w:color="auto"/>
        <w:bottom w:val="none" w:sz="0" w:space="0" w:color="auto"/>
        <w:right w:val="none" w:sz="0" w:space="0" w:color="auto"/>
      </w:divBdr>
      <w:divsChild>
        <w:div w:id="1597014114">
          <w:marLeft w:val="0"/>
          <w:marRight w:val="1"/>
          <w:marTop w:val="0"/>
          <w:marBottom w:val="0"/>
          <w:divBdr>
            <w:top w:val="none" w:sz="0" w:space="0" w:color="auto"/>
            <w:left w:val="none" w:sz="0" w:space="0" w:color="auto"/>
            <w:bottom w:val="none" w:sz="0" w:space="0" w:color="auto"/>
            <w:right w:val="none" w:sz="0" w:space="0" w:color="auto"/>
          </w:divBdr>
          <w:divsChild>
            <w:div w:id="1597014241">
              <w:marLeft w:val="0"/>
              <w:marRight w:val="0"/>
              <w:marTop w:val="0"/>
              <w:marBottom w:val="0"/>
              <w:divBdr>
                <w:top w:val="none" w:sz="0" w:space="0" w:color="auto"/>
                <w:left w:val="none" w:sz="0" w:space="0" w:color="auto"/>
                <w:bottom w:val="none" w:sz="0" w:space="0" w:color="auto"/>
                <w:right w:val="none" w:sz="0" w:space="0" w:color="auto"/>
              </w:divBdr>
              <w:divsChild>
                <w:div w:id="1597014011">
                  <w:marLeft w:val="0"/>
                  <w:marRight w:val="1"/>
                  <w:marTop w:val="0"/>
                  <w:marBottom w:val="0"/>
                  <w:divBdr>
                    <w:top w:val="none" w:sz="0" w:space="0" w:color="auto"/>
                    <w:left w:val="none" w:sz="0" w:space="0" w:color="auto"/>
                    <w:bottom w:val="none" w:sz="0" w:space="0" w:color="auto"/>
                    <w:right w:val="none" w:sz="0" w:space="0" w:color="auto"/>
                  </w:divBdr>
                  <w:divsChild>
                    <w:div w:id="1597014155">
                      <w:marLeft w:val="0"/>
                      <w:marRight w:val="0"/>
                      <w:marTop w:val="0"/>
                      <w:marBottom w:val="0"/>
                      <w:divBdr>
                        <w:top w:val="none" w:sz="0" w:space="0" w:color="auto"/>
                        <w:left w:val="none" w:sz="0" w:space="0" w:color="auto"/>
                        <w:bottom w:val="none" w:sz="0" w:space="0" w:color="auto"/>
                        <w:right w:val="none" w:sz="0" w:space="0" w:color="auto"/>
                      </w:divBdr>
                      <w:divsChild>
                        <w:div w:id="1597014040">
                          <w:marLeft w:val="0"/>
                          <w:marRight w:val="0"/>
                          <w:marTop w:val="0"/>
                          <w:marBottom w:val="0"/>
                          <w:divBdr>
                            <w:top w:val="none" w:sz="0" w:space="0" w:color="auto"/>
                            <w:left w:val="none" w:sz="0" w:space="0" w:color="auto"/>
                            <w:bottom w:val="none" w:sz="0" w:space="0" w:color="auto"/>
                            <w:right w:val="none" w:sz="0" w:space="0" w:color="auto"/>
                          </w:divBdr>
                          <w:divsChild>
                            <w:div w:id="1597014247">
                              <w:marLeft w:val="0"/>
                              <w:marRight w:val="0"/>
                              <w:marTop w:val="120"/>
                              <w:marBottom w:val="360"/>
                              <w:divBdr>
                                <w:top w:val="none" w:sz="0" w:space="0" w:color="auto"/>
                                <w:left w:val="none" w:sz="0" w:space="0" w:color="auto"/>
                                <w:bottom w:val="none" w:sz="0" w:space="0" w:color="auto"/>
                                <w:right w:val="none" w:sz="0" w:space="0" w:color="auto"/>
                              </w:divBdr>
                              <w:divsChild>
                                <w:div w:id="1597014125">
                                  <w:marLeft w:val="0"/>
                                  <w:marRight w:val="0"/>
                                  <w:marTop w:val="0"/>
                                  <w:marBottom w:val="0"/>
                                  <w:divBdr>
                                    <w:top w:val="none" w:sz="0" w:space="0" w:color="auto"/>
                                    <w:left w:val="none" w:sz="0" w:space="0" w:color="auto"/>
                                    <w:bottom w:val="none" w:sz="0" w:space="0" w:color="auto"/>
                                    <w:right w:val="none" w:sz="0" w:space="0" w:color="auto"/>
                                  </w:divBdr>
                                  <w:divsChild>
                                    <w:div w:id="159701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014041">
      <w:marLeft w:val="0"/>
      <w:marRight w:val="0"/>
      <w:marTop w:val="0"/>
      <w:marBottom w:val="0"/>
      <w:divBdr>
        <w:top w:val="none" w:sz="0" w:space="0" w:color="auto"/>
        <w:left w:val="none" w:sz="0" w:space="0" w:color="auto"/>
        <w:bottom w:val="none" w:sz="0" w:space="0" w:color="auto"/>
        <w:right w:val="none" w:sz="0" w:space="0" w:color="auto"/>
      </w:divBdr>
      <w:divsChild>
        <w:div w:id="1597014042">
          <w:marLeft w:val="0"/>
          <w:marRight w:val="0"/>
          <w:marTop w:val="0"/>
          <w:marBottom w:val="288"/>
          <w:divBdr>
            <w:top w:val="none" w:sz="0" w:space="0" w:color="auto"/>
            <w:left w:val="none" w:sz="0" w:space="0" w:color="auto"/>
            <w:bottom w:val="none" w:sz="0" w:space="0" w:color="auto"/>
            <w:right w:val="none" w:sz="0" w:space="0" w:color="auto"/>
          </w:divBdr>
          <w:divsChild>
            <w:div w:id="1597014198">
              <w:marLeft w:val="0"/>
              <w:marRight w:val="0"/>
              <w:marTop w:val="0"/>
              <w:marBottom w:val="0"/>
              <w:divBdr>
                <w:top w:val="none" w:sz="0" w:space="0" w:color="auto"/>
                <w:left w:val="none" w:sz="0" w:space="0" w:color="auto"/>
                <w:bottom w:val="none" w:sz="0" w:space="0" w:color="auto"/>
                <w:right w:val="none" w:sz="0" w:space="0" w:color="auto"/>
              </w:divBdr>
              <w:divsChild>
                <w:div w:id="1597014070">
                  <w:marLeft w:val="0"/>
                  <w:marRight w:val="0"/>
                  <w:marTop w:val="0"/>
                  <w:marBottom w:val="0"/>
                  <w:divBdr>
                    <w:top w:val="none" w:sz="0" w:space="0" w:color="auto"/>
                    <w:left w:val="none" w:sz="0" w:space="0" w:color="auto"/>
                    <w:bottom w:val="none" w:sz="0" w:space="0" w:color="auto"/>
                    <w:right w:val="none" w:sz="0" w:space="0" w:color="auto"/>
                  </w:divBdr>
                  <w:divsChild>
                    <w:div w:id="1597014018">
                      <w:marLeft w:val="0"/>
                      <w:marRight w:val="0"/>
                      <w:marTop w:val="0"/>
                      <w:marBottom w:val="0"/>
                      <w:divBdr>
                        <w:top w:val="none" w:sz="0" w:space="0" w:color="auto"/>
                        <w:left w:val="none" w:sz="0" w:space="0" w:color="auto"/>
                        <w:bottom w:val="none" w:sz="0" w:space="0" w:color="auto"/>
                        <w:right w:val="none" w:sz="0" w:space="0" w:color="auto"/>
                      </w:divBdr>
                      <w:divsChild>
                        <w:div w:id="1597014124">
                          <w:marLeft w:val="0"/>
                          <w:marRight w:val="0"/>
                          <w:marTop w:val="0"/>
                          <w:marBottom w:val="0"/>
                          <w:divBdr>
                            <w:top w:val="none" w:sz="0" w:space="0" w:color="auto"/>
                            <w:left w:val="none" w:sz="0" w:space="0" w:color="auto"/>
                            <w:bottom w:val="none" w:sz="0" w:space="0" w:color="auto"/>
                            <w:right w:val="none" w:sz="0" w:space="0" w:color="auto"/>
                          </w:divBdr>
                          <w:divsChild>
                            <w:div w:id="15970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014057">
      <w:marLeft w:val="0"/>
      <w:marRight w:val="0"/>
      <w:marTop w:val="0"/>
      <w:marBottom w:val="0"/>
      <w:divBdr>
        <w:top w:val="none" w:sz="0" w:space="0" w:color="auto"/>
        <w:left w:val="none" w:sz="0" w:space="0" w:color="auto"/>
        <w:bottom w:val="none" w:sz="0" w:space="0" w:color="auto"/>
        <w:right w:val="none" w:sz="0" w:space="0" w:color="auto"/>
      </w:divBdr>
      <w:divsChild>
        <w:div w:id="1597014196">
          <w:marLeft w:val="0"/>
          <w:marRight w:val="1"/>
          <w:marTop w:val="0"/>
          <w:marBottom w:val="0"/>
          <w:divBdr>
            <w:top w:val="none" w:sz="0" w:space="0" w:color="auto"/>
            <w:left w:val="none" w:sz="0" w:space="0" w:color="auto"/>
            <w:bottom w:val="none" w:sz="0" w:space="0" w:color="auto"/>
            <w:right w:val="none" w:sz="0" w:space="0" w:color="auto"/>
          </w:divBdr>
          <w:divsChild>
            <w:div w:id="1597014111">
              <w:marLeft w:val="0"/>
              <w:marRight w:val="0"/>
              <w:marTop w:val="0"/>
              <w:marBottom w:val="0"/>
              <w:divBdr>
                <w:top w:val="none" w:sz="0" w:space="0" w:color="auto"/>
                <w:left w:val="none" w:sz="0" w:space="0" w:color="auto"/>
                <w:bottom w:val="none" w:sz="0" w:space="0" w:color="auto"/>
                <w:right w:val="none" w:sz="0" w:space="0" w:color="auto"/>
              </w:divBdr>
              <w:divsChild>
                <w:div w:id="1597014254">
                  <w:marLeft w:val="0"/>
                  <w:marRight w:val="1"/>
                  <w:marTop w:val="0"/>
                  <w:marBottom w:val="0"/>
                  <w:divBdr>
                    <w:top w:val="none" w:sz="0" w:space="0" w:color="auto"/>
                    <w:left w:val="none" w:sz="0" w:space="0" w:color="auto"/>
                    <w:bottom w:val="none" w:sz="0" w:space="0" w:color="auto"/>
                    <w:right w:val="none" w:sz="0" w:space="0" w:color="auto"/>
                  </w:divBdr>
                  <w:divsChild>
                    <w:div w:id="1597014132">
                      <w:marLeft w:val="0"/>
                      <w:marRight w:val="0"/>
                      <w:marTop w:val="0"/>
                      <w:marBottom w:val="0"/>
                      <w:divBdr>
                        <w:top w:val="none" w:sz="0" w:space="0" w:color="auto"/>
                        <w:left w:val="none" w:sz="0" w:space="0" w:color="auto"/>
                        <w:bottom w:val="none" w:sz="0" w:space="0" w:color="auto"/>
                        <w:right w:val="none" w:sz="0" w:space="0" w:color="auto"/>
                      </w:divBdr>
                      <w:divsChild>
                        <w:div w:id="1597014068">
                          <w:marLeft w:val="0"/>
                          <w:marRight w:val="0"/>
                          <w:marTop w:val="0"/>
                          <w:marBottom w:val="0"/>
                          <w:divBdr>
                            <w:top w:val="none" w:sz="0" w:space="0" w:color="auto"/>
                            <w:left w:val="none" w:sz="0" w:space="0" w:color="auto"/>
                            <w:bottom w:val="none" w:sz="0" w:space="0" w:color="auto"/>
                            <w:right w:val="none" w:sz="0" w:space="0" w:color="auto"/>
                          </w:divBdr>
                          <w:divsChild>
                            <w:div w:id="1597014100">
                              <w:marLeft w:val="0"/>
                              <w:marRight w:val="0"/>
                              <w:marTop w:val="120"/>
                              <w:marBottom w:val="360"/>
                              <w:divBdr>
                                <w:top w:val="none" w:sz="0" w:space="0" w:color="auto"/>
                                <w:left w:val="none" w:sz="0" w:space="0" w:color="auto"/>
                                <w:bottom w:val="none" w:sz="0" w:space="0" w:color="auto"/>
                                <w:right w:val="none" w:sz="0" w:space="0" w:color="auto"/>
                              </w:divBdr>
                              <w:divsChild>
                                <w:div w:id="1597014120">
                                  <w:marLeft w:val="0"/>
                                  <w:marRight w:val="0"/>
                                  <w:marTop w:val="0"/>
                                  <w:marBottom w:val="0"/>
                                  <w:divBdr>
                                    <w:top w:val="none" w:sz="0" w:space="0" w:color="auto"/>
                                    <w:left w:val="none" w:sz="0" w:space="0" w:color="auto"/>
                                    <w:bottom w:val="none" w:sz="0" w:space="0" w:color="auto"/>
                                    <w:right w:val="none" w:sz="0" w:space="0" w:color="auto"/>
                                  </w:divBdr>
                                  <w:divsChild>
                                    <w:div w:id="1597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014059">
      <w:marLeft w:val="0"/>
      <w:marRight w:val="0"/>
      <w:marTop w:val="0"/>
      <w:marBottom w:val="0"/>
      <w:divBdr>
        <w:top w:val="none" w:sz="0" w:space="0" w:color="auto"/>
        <w:left w:val="none" w:sz="0" w:space="0" w:color="auto"/>
        <w:bottom w:val="none" w:sz="0" w:space="0" w:color="auto"/>
        <w:right w:val="none" w:sz="0" w:space="0" w:color="auto"/>
      </w:divBdr>
    </w:div>
    <w:div w:id="1597014069">
      <w:marLeft w:val="0"/>
      <w:marRight w:val="0"/>
      <w:marTop w:val="0"/>
      <w:marBottom w:val="0"/>
      <w:divBdr>
        <w:top w:val="none" w:sz="0" w:space="0" w:color="auto"/>
        <w:left w:val="none" w:sz="0" w:space="0" w:color="auto"/>
        <w:bottom w:val="none" w:sz="0" w:space="0" w:color="auto"/>
        <w:right w:val="none" w:sz="0" w:space="0" w:color="auto"/>
      </w:divBdr>
      <w:divsChild>
        <w:div w:id="1597014079">
          <w:marLeft w:val="0"/>
          <w:marRight w:val="1"/>
          <w:marTop w:val="0"/>
          <w:marBottom w:val="0"/>
          <w:divBdr>
            <w:top w:val="none" w:sz="0" w:space="0" w:color="auto"/>
            <w:left w:val="none" w:sz="0" w:space="0" w:color="auto"/>
            <w:bottom w:val="none" w:sz="0" w:space="0" w:color="auto"/>
            <w:right w:val="none" w:sz="0" w:space="0" w:color="auto"/>
          </w:divBdr>
          <w:divsChild>
            <w:div w:id="1597014128">
              <w:marLeft w:val="0"/>
              <w:marRight w:val="0"/>
              <w:marTop w:val="0"/>
              <w:marBottom w:val="0"/>
              <w:divBdr>
                <w:top w:val="none" w:sz="0" w:space="0" w:color="auto"/>
                <w:left w:val="none" w:sz="0" w:space="0" w:color="auto"/>
                <w:bottom w:val="none" w:sz="0" w:space="0" w:color="auto"/>
                <w:right w:val="none" w:sz="0" w:space="0" w:color="auto"/>
              </w:divBdr>
              <w:divsChild>
                <w:div w:id="1597013998">
                  <w:marLeft w:val="0"/>
                  <w:marRight w:val="1"/>
                  <w:marTop w:val="0"/>
                  <w:marBottom w:val="0"/>
                  <w:divBdr>
                    <w:top w:val="none" w:sz="0" w:space="0" w:color="auto"/>
                    <w:left w:val="none" w:sz="0" w:space="0" w:color="auto"/>
                    <w:bottom w:val="none" w:sz="0" w:space="0" w:color="auto"/>
                    <w:right w:val="none" w:sz="0" w:space="0" w:color="auto"/>
                  </w:divBdr>
                  <w:divsChild>
                    <w:div w:id="1597014110">
                      <w:marLeft w:val="0"/>
                      <w:marRight w:val="0"/>
                      <w:marTop w:val="0"/>
                      <w:marBottom w:val="0"/>
                      <w:divBdr>
                        <w:top w:val="none" w:sz="0" w:space="0" w:color="auto"/>
                        <w:left w:val="none" w:sz="0" w:space="0" w:color="auto"/>
                        <w:bottom w:val="none" w:sz="0" w:space="0" w:color="auto"/>
                        <w:right w:val="none" w:sz="0" w:space="0" w:color="auto"/>
                      </w:divBdr>
                      <w:divsChild>
                        <w:div w:id="1597014101">
                          <w:marLeft w:val="0"/>
                          <w:marRight w:val="0"/>
                          <w:marTop w:val="0"/>
                          <w:marBottom w:val="0"/>
                          <w:divBdr>
                            <w:top w:val="none" w:sz="0" w:space="0" w:color="auto"/>
                            <w:left w:val="none" w:sz="0" w:space="0" w:color="auto"/>
                            <w:bottom w:val="none" w:sz="0" w:space="0" w:color="auto"/>
                            <w:right w:val="none" w:sz="0" w:space="0" w:color="auto"/>
                          </w:divBdr>
                          <w:divsChild>
                            <w:div w:id="1597014183">
                              <w:marLeft w:val="0"/>
                              <w:marRight w:val="0"/>
                              <w:marTop w:val="120"/>
                              <w:marBottom w:val="360"/>
                              <w:divBdr>
                                <w:top w:val="none" w:sz="0" w:space="0" w:color="auto"/>
                                <w:left w:val="none" w:sz="0" w:space="0" w:color="auto"/>
                                <w:bottom w:val="none" w:sz="0" w:space="0" w:color="auto"/>
                                <w:right w:val="none" w:sz="0" w:space="0" w:color="auto"/>
                              </w:divBdr>
                              <w:divsChild>
                                <w:div w:id="1597014092">
                                  <w:marLeft w:val="0"/>
                                  <w:marRight w:val="0"/>
                                  <w:marTop w:val="0"/>
                                  <w:marBottom w:val="0"/>
                                  <w:divBdr>
                                    <w:top w:val="none" w:sz="0" w:space="0" w:color="auto"/>
                                    <w:left w:val="none" w:sz="0" w:space="0" w:color="auto"/>
                                    <w:bottom w:val="none" w:sz="0" w:space="0" w:color="auto"/>
                                    <w:right w:val="none" w:sz="0" w:space="0" w:color="auto"/>
                                  </w:divBdr>
                                  <w:divsChild>
                                    <w:div w:id="159701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014075">
      <w:marLeft w:val="0"/>
      <w:marRight w:val="0"/>
      <w:marTop w:val="0"/>
      <w:marBottom w:val="0"/>
      <w:divBdr>
        <w:top w:val="none" w:sz="0" w:space="0" w:color="auto"/>
        <w:left w:val="none" w:sz="0" w:space="0" w:color="auto"/>
        <w:bottom w:val="none" w:sz="0" w:space="0" w:color="auto"/>
        <w:right w:val="none" w:sz="0" w:space="0" w:color="auto"/>
      </w:divBdr>
      <w:divsChild>
        <w:div w:id="1597014207">
          <w:marLeft w:val="0"/>
          <w:marRight w:val="1"/>
          <w:marTop w:val="0"/>
          <w:marBottom w:val="0"/>
          <w:divBdr>
            <w:top w:val="none" w:sz="0" w:space="0" w:color="auto"/>
            <w:left w:val="none" w:sz="0" w:space="0" w:color="auto"/>
            <w:bottom w:val="none" w:sz="0" w:space="0" w:color="auto"/>
            <w:right w:val="none" w:sz="0" w:space="0" w:color="auto"/>
          </w:divBdr>
          <w:divsChild>
            <w:div w:id="1597014043">
              <w:marLeft w:val="0"/>
              <w:marRight w:val="0"/>
              <w:marTop w:val="0"/>
              <w:marBottom w:val="0"/>
              <w:divBdr>
                <w:top w:val="none" w:sz="0" w:space="0" w:color="auto"/>
                <w:left w:val="none" w:sz="0" w:space="0" w:color="auto"/>
                <w:bottom w:val="none" w:sz="0" w:space="0" w:color="auto"/>
                <w:right w:val="none" w:sz="0" w:space="0" w:color="auto"/>
              </w:divBdr>
              <w:divsChild>
                <w:div w:id="1597014024">
                  <w:marLeft w:val="0"/>
                  <w:marRight w:val="1"/>
                  <w:marTop w:val="0"/>
                  <w:marBottom w:val="0"/>
                  <w:divBdr>
                    <w:top w:val="none" w:sz="0" w:space="0" w:color="auto"/>
                    <w:left w:val="none" w:sz="0" w:space="0" w:color="auto"/>
                    <w:bottom w:val="none" w:sz="0" w:space="0" w:color="auto"/>
                    <w:right w:val="none" w:sz="0" w:space="0" w:color="auto"/>
                  </w:divBdr>
                  <w:divsChild>
                    <w:div w:id="1597014081">
                      <w:marLeft w:val="0"/>
                      <w:marRight w:val="0"/>
                      <w:marTop w:val="0"/>
                      <w:marBottom w:val="0"/>
                      <w:divBdr>
                        <w:top w:val="none" w:sz="0" w:space="0" w:color="auto"/>
                        <w:left w:val="none" w:sz="0" w:space="0" w:color="auto"/>
                        <w:bottom w:val="none" w:sz="0" w:space="0" w:color="auto"/>
                        <w:right w:val="none" w:sz="0" w:space="0" w:color="auto"/>
                      </w:divBdr>
                      <w:divsChild>
                        <w:div w:id="1597014252">
                          <w:marLeft w:val="0"/>
                          <w:marRight w:val="0"/>
                          <w:marTop w:val="0"/>
                          <w:marBottom w:val="0"/>
                          <w:divBdr>
                            <w:top w:val="none" w:sz="0" w:space="0" w:color="auto"/>
                            <w:left w:val="none" w:sz="0" w:space="0" w:color="auto"/>
                            <w:bottom w:val="none" w:sz="0" w:space="0" w:color="auto"/>
                            <w:right w:val="none" w:sz="0" w:space="0" w:color="auto"/>
                          </w:divBdr>
                          <w:divsChild>
                            <w:div w:id="1597014051">
                              <w:marLeft w:val="0"/>
                              <w:marRight w:val="0"/>
                              <w:marTop w:val="120"/>
                              <w:marBottom w:val="360"/>
                              <w:divBdr>
                                <w:top w:val="none" w:sz="0" w:space="0" w:color="auto"/>
                                <w:left w:val="none" w:sz="0" w:space="0" w:color="auto"/>
                                <w:bottom w:val="none" w:sz="0" w:space="0" w:color="auto"/>
                                <w:right w:val="none" w:sz="0" w:space="0" w:color="auto"/>
                              </w:divBdr>
                              <w:divsChild>
                                <w:div w:id="1597014047">
                                  <w:marLeft w:val="420"/>
                                  <w:marRight w:val="0"/>
                                  <w:marTop w:val="0"/>
                                  <w:marBottom w:val="0"/>
                                  <w:divBdr>
                                    <w:top w:val="none" w:sz="0" w:space="0" w:color="auto"/>
                                    <w:left w:val="none" w:sz="0" w:space="0" w:color="auto"/>
                                    <w:bottom w:val="none" w:sz="0" w:space="0" w:color="auto"/>
                                    <w:right w:val="none" w:sz="0" w:space="0" w:color="auto"/>
                                  </w:divBdr>
                                  <w:divsChild>
                                    <w:div w:id="1597013995">
                                      <w:marLeft w:val="0"/>
                                      <w:marRight w:val="0"/>
                                      <w:marTop w:val="0"/>
                                      <w:marBottom w:val="0"/>
                                      <w:divBdr>
                                        <w:top w:val="none" w:sz="0" w:space="0" w:color="auto"/>
                                        <w:left w:val="none" w:sz="0" w:space="0" w:color="auto"/>
                                        <w:bottom w:val="none" w:sz="0" w:space="0" w:color="auto"/>
                                        <w:right w:val="none" w:sz="0" w:space="0" w:color="auto"/>
                                      </w:divBdr>
                                      <w:divsChild>
                                        <w:div w:id="159701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014090">
      <w:marLeft w:val="0"/>
      <w:marRight w:val="0"/>
      <w:marTop w:val="0"/>
      <w:marBottom w:val="0"/>
      <w:divBdr>
        <w:top w:val="none" w:sz="0" w:space="0" w:color="auto"/>
        <w:left w:val="none" w:sz="0" w:space="0" w:color="auto"/>
        <w:bottom w:val="none" w:sz="0" w:space="0" w:color="auto"/>
        <w:right w:val="none" w:sz="0" w:space="0" w:color="auto"/>
      </w:divBdr>
    </w:div>
    <w:div w:id="1597014096">
      <w:marLeft w:val="0"/>
      <w:marRight w:val="0"/>
      <w:marTop w:val="0"/>
      <w:marBottom w:val="0"/>
      <w:divBdr>
        <w:top w:val="none" w:sz="0" w:space="0" w:color="auto"/>
        <w:left w:val="none" w:sz="0" w:space="0" w:color="auto"/>
        <w:bottom w:val="none" w:sz="0" w:space="0" w:color="auto"/>
        <w:right w:val="none" w:sz="0" w:space="0" w:color="auto"/>
      </w:divBdr>
      <w:divsChild>
        <w:div w:id="1597014184">
          <w:marLeft w:val="0"/>
          <w:marRight w:val="0"/>
          <w:marTop w:val="0"/>
          <w:marBottom w:val="0"/>
          <w:divBdr>
            <w:top w:val="none" w:sz="0" w:space="0" w:color="auto"/>
            <w:left w:val="none" w:sz="0" w:space="0" w:color="auto"/>
            <w:bottom w:val="none" w:sz="0" w:space="0" w:color="auto"/>
            <w:right w:val="none" w:sz="0" w:space="0" w:color="auto"/>
          </w:divBdr>
          <w:divsChild>
            <w:div w:id="1597014036">
              <w:marLeft w:val="0"/>
              <w:marRight w:val="0"/>
              <w:marTop w:val="0"/>
              <w:marBottom w:val="0"/>
              <w:divBdr>
                <w:top w:val="none" w:sz="0" w:space="0" w:color="auto"/>
                <w:left w:val="none" w:sz="0" w:space="0" w:color="auto"/>
                <w:bottom w:val="none" w:sz="0" w:space="0" w:color="auto"/>
                <w:right w:val="none" w:sz="0" w:space="0" w:color="auto"/>
              </w:divBdr>
              <w:divsChild>
                <w:div w:id="1597014215">
                  <w:marLeft w:val="0"/>
                  <w:marRight w:val="0"/>
                  <w:marTop w:val="0"/>
                  <w:marBottom w:val="0"/>
                  <w:divBdr>
                    <w:top w:val="none" w:sz="0" w:space="0" w:color="auto"/>
                    <w:left w:val="none" w:sz="0" w:space="0" w:color="auto"/>
                    <w:bottom w:val="none" w:sz="0" w:space="0" w:color="auto"/>
                    <w:right w:val="none" w:sz="0" w:space="0" w:color="auto"/>
                  </w:divBdr>
                  <w:divsChild>
                    <w:div w:id="1597014162">
                      <w:marLeft w:val="0"/>
                      <w:marRight w:val="0"/>
                      <w:marTop w:val="0"/>
                      <w:marBottom w:val="0"/>
                      <w:divBdr>
                        <w:top w:val="none" w:sz="0" w:space="0" w:color="auto"/>
                        <w:left w:val="none" w:sz="0" w:space="0" w:color="auto"/>
                        <w:bottom w:val="none" w:sz="0" w:space="0" w:color="auto"/>
                        <w:right w:val="none" w:sz="0" w:space="0" w:color="auto"/>
                      </w:divBdr>
                      <w:divsChild>
                        <w:div w:id="1597014112">
                          <w:marLeft w:val="0"/>
                          <w:marRight w:val="0"/>
                          <w:marTop w:val="0"/>
                          <w:marBottom w:val="0"/>
                          <w:divBdr>
                            <w:top w:val="none" w:sz="0" w:space="0" w:color="auto"/>
                            <w:left w:val="none" w:sz="0" w:space="0" w:color="auto"/>
                            <w:bottom w:val="none" w:sz="0" w:space="0" w:color="auto"/>
                            <w:right w:val="none" w:sz="0" w:space="0" w:color="auto"/>
                          </w:divBdr>
                          <w:divsChild>
                            <w:div w:id="1597014145">
                              <w:marLeft w:val="0"/>
                              <w:marRight w:val="0"/>
                              <w:marTop w:val="0"/>
                              <w:marBottom w:val="0"/>
                              <w:divBdr>
                                <w:top w:val="none" w:sz="0" w:space="0" w:color="auto"/>
                                <w:left w:val="none" w:sz="0" w:space="0" w:color="auto"/>
                                <w:bottom w:val="none" w:sz="0" w:space="0" w:color="auto"/>
                                <w:right w:val="none" w:sz="0" w:space="0" w:color="auto"/>
                              </w:divBdr>
                              <w:divsChild>
                                <w:div w:id="1597014107">
                                  <w:marLeft w:val="0"/>
                                  <w:marRight w:val="0"/>
                                  <w:marTop w:val="0"/>
                                  <w:marBottom w:val="0"/>
                                  <w:divBdr>
                                    <w:top w:val="none" w:sz="0" w:space="0" w:color="auto"/>
                                    <w:left w:val="none" w:sz="0" w:space="0" w:color="auto"/>
                                    <w:bottom w:val="none" w:sz="0" w:space="0" w:color="auto"/>
                                    <w:right w:val="none" w:sz="0" w:space="0" w:color="auto"/>
                                  </w:divBdr>
                                  <w:divsChild>
                                    <w:div w:id="1597014200">
                                      <w:marLeft w:val="0"/>
                                      <w:marRight w:val="0"/>
                                      <w:marTop w:val="0"/>
                                      <w:marBottom w:val="0"/>
                                      <w:divBdr>
                                        <w:top w:val="none" w:sz="0" w:space="0" w:color="auto"/>
                                        <w:left w:val="none" w:sz="0" w:space="0" w:color="auto"/>
                                        <w:bottom w:val="none" w:sz="0" w:space="0" w:color="auto"/>
                                        <w:right w:val="none" w:sz="0" w:space="0" w:color="auto"/>
                                      </w:divBdr>
                                      <w:divsChild>
                                        <w:div w:id="159701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014115">
      <w:marLeft w:val="0"/>
      <w:marRight w:val="0"/>
      <w:marTop w:val="0"/>
      <w:marBottom w:val="0"/>
      <w:divBdr>
        <w:top w:val="none" w:sz="0" w:space="0" w:color="auto"/>
        <w:left w:val="none" w:sz="0" w:space="0" w:color="auto"/>
        <w:bottom w:val="none" w:sz="0" w:space="0" w:color="auto"/>
        <w:right w:val="none" w:sz="0" w:space="0" w:color="auto"/>
      </w:divBdr>
      <w:divsChild>
        <w:div w:id="1597014030">
          <w:marLeft w:val="0"/>
          <w:marRight w:val="1"/>
          <w:marTop w:val="0"/>
          <w:marBottom w:val="0"/>
          <w:divBdr>
            <w:top w:val="none" w:sz="0" w:space="0" w:color="auto"/>
            <w:left w:val="none" w:sz="0" w:space="0" w:color="auto"/>
            <w:bottom w:val="none" w:sz="0" w:space="0" w:color="auto"/>
            <w:right w:val="none" w:sz="0" w:space="0" w:color="auto"/>
          </w:divBdr>
          <w:divsChild>
            <w:div w:id="1597014102">
              <w:marLeft w:val="0"/>
              <w:marRight w:val="0"/>
              <w:marTop w:val="0"/>
              <w:marBottom w:val="0"/>
              <w:divBdr>
                <w:top w:val="none" w:sz="0" w:space="0" w:color="auto"/>
                <w:left w:val="none" w:sz="0" w:space="0" w:color="auto"/>
                <w:bottom w:val="none" w:sz="0" w:space="0" w:color="auto"/>
                <w:right w:val="none" w:sz="0" w:space="0" w:color="auto"/>
              </w:divBdr>
              <w:divsChild>
                <w:div w:id="1597014160">
                  <w:marLeft w:val="0"/>
                  <w:marRight w:val="1"/>
                  <w:marTop w:val="0"/>
                  <w:marBottom w:val="0"/>
                  <w:divBdr>
                    <w:top w:val="none" w:sz="0" w:space="0" w:color="auto"/>
                    <w:left w:val="none" w:sz="0" w:space="0" w:color="auto"/>
                    <w:bottom w:val="none" w:sz="0" w:space="0" w:color="auto"/>
                    <w:right w:val="none" w:sz="0" w:space="0" w:color="auto"/>
                  </w:divBdr>
                  <w:divsChild>
                    <w:div w:id="1597014082">
                      <w:marLeft w:val="0"/>
                      <w:marRight w:val="0"/>
                      <w:marTop w:val="0"/>
                      <w:marBottom w:val="0"/>
                      <w:divBdr>
                        <w:top w:val="none" w:sz="0" w:space="0" w:color="auto"/>
                        <w:left w:val="none" w:sz="0" w:space="0" w:color="auto"/>
                        <w:bottom w:val="none" w:sz="0" w:space="0" w:color="auto"/>
                        <w:right w:val="none" w:sz="0" w:space="0" w:color="auto"/>
                      </w:divBdr>
                      <w:divsChild>
                        <w:div w:id="1597014083">
                          <w:marLeft w:val="0"/>
                          <w:marRight w:val="0"/>
                          <w:marTop w:val="0"/>
                          <w:marBottom w:val="0"/>
                          <w:divBdr>
                            <w:top w:val="none" w:sz="0" w:space="0" w:color="auto"/>
                            <w:left w:val="none" w:sz="0" w:space="0" w:color="auto"/>
                            <w:bottom w:val="none" w:sz="0" w:space="0" w:color="auto"/>
                            <w:right w:val="none" w:sz="0" w:space="0" w:color="auto"/>
                          </w:divBdr>
                          <w:divsChild>
                            <w:div w:id="1597014166">
                              <w:marLeft w:val="0"/>
                              <w:marRight w:val="0"/>
                              <w:marTop w:val="120"/>
                              <w:marBottom w:val="360"/>
                              <w:divBdr>
                                <w:top w:val="none" w:sz="0" w:space="0" w:color="auto"/>
                                <w:left w:val="none" w:sz="0" w:space="0" w:color="auto"/>
                                <w:bottom w:val="none" w:sz="0" w:space="0" w:color="auto"/>
                                <w:right w:val="none" w:sz="0" w:space="0" w:color="auto"/>
                              </w:divBdr>
                              <w:divsChild>
                                <w:div w:id="1597014045">
                                  <w:marLeft w:val="0"/>
                                  <w:marRight w:val="0"/>
                                  <w:marTop w:val="0"/>
                                  <w:marBottom w:val="0"/>
                                  <w:divBdr>
                                    <w:top w:val="none" w:sz="0" w:space="0" w:color="auto"/>
                                    <w:left w:val="none" w:sz="0" w:space="0" w:color="auto"/>
                                    <w:bottom w:val="none" w:sz="0" w:space="0" w:color="auto"/>
                                    <w:right w:val="none" w:sz="0" w:space="0" w:color="auto"/>
                                  </w:divBdr>
                                  <w:divsChild>
                                    <w:div w:id="15970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014117">
      <w:marLeft w:val="0"/>
      <w:marRight w:val="0"/>
      <w:marTop w:val="0"/>
      <w:marBottom w:val="0"/>
      <w:divBdr>
        <w:top w:val="none" w:sz="0" w:space="0" w:color="auto"/>
        <w:left w:val="none" w:sz="0" w:space="0" w:color="auto"/>
        <w:bottom w:val="none" w:sz="0" w:space="0" w:color="auto"/>
        <w:right w:val="none" w:sz="0" w:space="0" w:color="auto"/>
      </w:divBdr>
      <w:divsChild>
        <w:div w:id="1597014194">
          <w:marLeft w:val="0"/>
          <w:marRight w:val="1"/>
          <w:marTop w:val="0"/>
          <w:marBottom w:val="0"/>
          <w:divBdr>
            <w:top w:val="none" w:sz="0" w:space="0" w:color="auto"/>
            <w:left w:val="none" w:sz="0" w:space="0" w:color="auto"/>
            <w:bottom w:val="none" w:sz="0" w:space="0" w:color="auto"/>
            <w:right w:val="none" w:sz="0" w:space="0" w:color="auto"/>
          </w:divBdr>
          <w:divsChild>
            <w:div w:id="1597014016">
              <w:marLeft w:val="0"/>
              <w:marRight w:val="0"/>
              <w:marTop w:val="0"/>
              <w:marBottom w:val="0"/>
              <w:divBdr>
                <w:top w:val="none" w:sz="0" w:space="0" w:color="auto"/>
                <w:left w:val="none" w:sz="0" w:space="0" w:color="auto"/>
                <w:bottom w:val="none" w:sz="0" w:space="0" w:color="auto"/>
                <w:right w:val="none" w:sz="0" w:space="0" w:color="auto"/>
              </w:divBdr>
              <w:divsChild>
                <w:div w:id="1597014205">
                  <w:marLeft w:val="0"/>
                  <w:marRight w:val="1"/>
                  <w:marTop w:val="0"/>
                  <w:marBottom w:val="0"/>
                  <w:divBdr>
                    <w:top w:val="none" w:sz="0" w:space="0" w:color="auto"/>
                    <w:left w:val="none" w:sz="0" w:space="0" w:color="auto"/>
                    <w:bottom w:val="none" w:sz="0" w:space="0" w:color="auto"/>
                    <w:right w:val="none" w:sz="0" w:space="0" w:color="auto"/>
                  </w:divBdr>
                  <w:divsChild>
                    <w:div w:id="1597014099">
                      <w:marLeft w:val="0"/>
                      <w:marRight w:val="0"/>
                      <w:marTop w:val="0"/>
                      <w:marBottom w:val="0"/>
                      <w:divBdr>
                        <w:top w:val="none" w:sz="0" w:space="0" w:color="auto"/>
                        <w:left w:val="none" w:sz="0" w:space="0" w:color="auto"/>
                        <w:bottom w:val="none" w:sz="0" w:space="0" w:color="auto"/>
                        <w:right w:val="none" w:sz="0" w:space="0" w:color="auto"/>
                      </w:divBdr>
                      <w:divsChild>
                        <w:div w:id="1597014226">
                          <w:marLeft w:val="0"/>
                          <w:marRight w:val="0"/>
                          <w:marTop w:val="0"/>
                          <w:marBottom w:val="0"/>
                          <w:divBdr>
                            <w:top w:val="none" w:sz="0" w:space="0" w:color="auto"/>
                            <w:left w:val="none" w:sz="0" w:space="0" w:color="auto"/>
                            <w:bottom w:val="none" w:sz="0" w:space="0" w:color="auto"/>
                            <w:right w:val="none" w:sz="0" w:space="0" w:color="auto"/>
                          </w:divBdr>
                          <w:divsChild>
                            <w:div w:id="1597014244">
                              <w:marLeft w:val="0"/>
                              <w:marRight w:val="0"/>
                              <w:marTop w:val="120"/>
                              <w:marBottom w:val="360"/>
                              <w:divBdr>
                                <w:top w:val="none" w:sz="0" w:space="0" w:color="auto"/>
                                <w:left w:val="none" w:sz="0" w:space="0" w:color="auto"/>
                                <w:bottom w:val="none" w:sz="0" w:space="0" w:color="auto"/>
                                <w:right w:val="none" w:sz="0" w:space="0" w:color="auto"/>
                              </w:divBdr>
                              <w:divsChild>
                                <w:div w:id="1597014272">
                                  <w:marLeft w:val="420"/>
                                  <w:marRight w:val="0"/>
                                  <w:marTop w:val="0"/>
                                  <w:marBottom w:val="0"/>
                                  <w:divBdr>
                                    <w:top w:val="none" w:sz="0" w:space="0" w:color="auto"/>
                                    <w:left w:val="none" w:sz="0" w:space="0" w:color="auto"/>
                                    <w:bottom w:val="none" w:sz="0" w:space="0" w:color="auto"/>
                                    <w:right w:val="none" w:sz="0" w:space="0" w:color="auto"/>
                                  </w:divBdr>
                                  <w:divsChild>
                                    <w:div w:id="1597014067">
                                      <w:marLeft w:val="0"/>
                                      <w:marRight w:val="0"/>
                                      <w:marTop w:val="0"/>
                                      <w:marBottom w:val="0"/>
                                      <w:divBdr>
                                        <w:top w:val="none" w:sz="0" w:space="0" w:color="auto"/>
                                        <w:left w:val="none" w:sz="0" w:space="0" w:color="auto"/>
                                        <w:bottom w:val="none" w:sz="0" w:space="0" w:color="auto"/>
                                        <w:right w:val="none" w:sz="0" w:space="0" w:color="auto"/>
                                      </w:divBdr>
                                      <w:divsChild>
                                        <w:div w:id="15970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014136">
      <w:marLeft w:val="0"/>
      <w:marRight w:val="0"/>
      <w:marTop w:val="0"/>
      <w:marBottom w:val="0"/>
      <w:divBdr>
        <w:top w:val="none" w:sz="0" w:space="0" w:color="auto"/>
        <w:left w:val="none" w:sz="0" w:space="0" w:color="auto"/>
        <w:bottom w:val="none" w:sz="0" w:space="0" w:color="auto"/>
        <w:right w:val="none" w:sz="0" w:space="0" w:color="auto"/>
      </w:divBdr>
      <w:divsChild>
        <w:div w:id="1597014074">
          <w:marLeft w:val="0"/>
          <w:marRight w:val="0"/>
          <w:marTop w:val="0"/>
          <w:marBottom w:val="0"/>
          <w:divBdr>
            <w:top w:val="none" w:sz="0" w:space="0" w:color="auto"/>
            <w:left w:val="none" w:sz="0" w:space="0" w:color="auto"/>
            <w:bottom w:val="none" w:sz="0" w:space="0" w:color="auto"/>
            <w:right w:val="none" w:sz="0" w:space="0" w:color="auto"/>
          </w:divBdr>
          <w:divsChild>
            <w:div w:id="1597014064">
              <w:marLeft w:val="0"/>
              <w:marRight w:val="0"/>
              <w:marTop w:val="0"/>
              <w:marBottom w:val="0"/>
              <w:divBdr>
                <w:top w:val="none" w:sz="0" w:space="0" w:color="auto"/>
                <w:left w:val="none" w:sz="0" w:space="0" w:color="auto"/>
                <w:bottom w:val="none" w:sz="0" w:space="0" w:color="auto"/>
                <w:right w:val="none" w:sz="0" w:space="0" w:color="auto"/>
              </w:divBdr>
              <w:divsChild>
                <w:div w:id="1597014140">
                  <w:marLeft w:val="0"/>
                  <w:marRight w:val="0"/>
                  <w:marTop w:val="0"/>
                  <w:marBottom w:val="0"/>
                  <w:divBdr>
                    <w:top w:val="none" w:sz="0" w:space="0" w:color="auto"/>
                    <w:left w:val="none" w:sz="0" w:space="0" w:color="auto"/>
                    <w:bottom w:val="none" w:sz="0" w:space="0" w:color="auto"/>
                    <w:right w:val="none" w:sz="0" w:space="0" w:color="auto"/>
                  </w:divBdr>
                  <w:divsChild>
                    <w:div w:id="1597014153">
                      <w:marLeft w:val="0"/>
                      <w:marRight w:val="0"/>
                      <w:marTop w:val="0"/>
                      <w:marBottom w:val="0"/>
                      <w:divBdr>
                        <w:top w:val="none" w:sz="0" w:space="0" w:color="auto"/>
                        <w:left w:val="none" w:sz="0" w:space="0" w:color="auto"/>
                        <w:bottom w:val="none" w:sz="0" w:space="0" w:color="auto"/>
                        <w:right w:val="none" w:sz="0" w:space="0" w:color="auto"/>
                      </w:divBdr>
                      <w:divsChild>
                        <w:div w:id="1597014186">
                          <w:marLeft w:val="0"/>
                          <w:marRight w:val="0"/>
                          <w:marTop w:val="0"/>
                          <w:marBottom w:val="0"/>
                          <w:divBdr>
                            <w:top w:val="none" w:sz="0" w:space="0" w:color="auto"/>
                            <w:left w:val="none" w:sz="0" w:space="0" w:color="auto"/>
                            <w:bottom w:val="none" w:sz="0" w:space="0" w:color="auto"/>
                            <w:right w:val="none" w:sz="0" w:space="0" w:color="auto"/>
                          </w:divBdr>
                          <w:divsChild>
                            <w:div w:id="1597014210">
                              <w:marLeft w:val="0"/>
                              <w:marRight w:val="0"/>
                              <w:marTop w:val="0"/>
                              <w:marBottom w:val="0"/>
                              <w:divBdr>
                                <w:top w:val="none" w:sz="0" w:space="0" w:color="auto"/>
                                <w:left w:val="none" w:sz="0" w:space="0" w:color="auto"/>
                                <w:bottom w:val="none" w:sz="0" w:space="0" w:color="auto"/>
                                <w:right w:val="none" w:sz="0" w:space="0" w:color="auto"/>
                              </w:divBdr>
                              <w:divsChild>
                                <w:div w:id="1597014054">
                                  <w:marLeft w:val="0"/>
                                  <w:marRight w:val="0"/>
                                  <w:marTop w:val="0"/>
                                  <w:marBottom w:val="0"/>
                                  <w:divBdr>
                                    <w:top w:val="none" w:sz="0" w:space="0" w:color="auto"/>
                                    <w:left w:val="none" w:sz="0" w:space="0" w:color="auto"/>
                                    <w:bottom w:val="none" w:sz="0" w:space="0" w:color="auto"/>
                                    <w:right w:val="none" w:sz="0" w:space="0" w:color="auto"/>
                                  </w:divBdr>
                                  <w:divsChild>
                                    <w:div w:id="1597014232">
                                      <w:marLeft w:val="0"/>
                                      <w:marRight w:val="0"/>
                                      <w:marTop w:val="0"/>
                                      <w:marBottom w:val="0"/>
                                      <w:divBdr>
                                        <w:top w:val="none" w:sz="0" w:space="0" w:color="auto"/>
                                        <w:left w:val="none" w:sz="0" w:space="0" w:color="auto"/>
                                        <w:bottom w:val="none" w:sz="0" w:space="0" w:color="auto"/>
                                        <w:right w:val="none" w:sz="0" w:space="0" w:color="auto"/>
                                      </w:divBdr>
                                      <w:divsChild>
                                        <w:div w:id="1597014019">
                                          <w:marLeft w:val="0"/>
                                          <w:marRight w:val="0"/>
                                          <w:marTop w:val="0"/>
                                          <w:marBottom w:val="0"/>
                                          <w:divBdr>
                                            <w:top w:val="none" w:sz="0" w:space="0" w:color="auto"/>
                                            <w:left w:val="none" w:sz="0" w:space="0" w:color="auto"/>
                                            <w:bottom w:val="none" w:sz="0" w:space="0" w:color="auto"/>
                                            <w:right w:val="none" w:sz="0" w:space="0" w:color="auto"/>
                                          </w:divBdr>
                                          <w:divsChild>
                                            <w:div w:id="159701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014138">
      <w:marLeft w:val="0"/>
      <w:marRight w:val="0"/>
      <w:marTop w:val="0"/>
      <w:marBottom w:val="0"/>
      <w:divBdr>
        <w:top w:val="none" w:sz="0" w:space="0" w:color="auto"/>
        <w:left w:val="none" w:sz="0" w:space="0" w:color="auto"/>
        <w:bottom w:val="none" w:sz="0" w:space="0" w:color="auto"/>
        <w:right w:val="none" w:sz="0" w:space="0" w:color="auto"/>
      </w:divBdr>
      <w:divsChild>
        <w:div w:id="1597013999">
          <w:marLeft w:val="0"/>
          <w:marRight w:val="0"/>
          <w:marTop w:val="0"/>
          <w:marBottom w:val="0"/>
          <w:divBdr>
            <w:top w:val="none" w:sz="0" w:space="0" w:color="auto"/>
            <w:left w:val="none" w:sz="0" w:space="0" w:color="auto"/>
            <w:bottom w:val="none" w:sz="0" w:space="0" w:color="auto"/>
            <w:right w:val="none" w:sz="0" w:space="0" w:color="auto"/>
          </w:divBdr>
          <w:divsChild>
            <w:div w:id="1597014080">
              <w:marLeft w:val="0"/>
              <w:marRight w:val="0"/>
              <w:marTop w:val="0"/>
              <w:marBottom w:val="0"/>
              <w:divBdr>
                <w:top w:val="none" w:sz="0" w:space="0" w:color="auto"/>
                <w:left w:val="none" w:sz="0" w:space="0" w:color="auto"/>
                <w:bottom w:val="none" w:sz="0" w:space="0" w:color="auto"/>
                <w:right w:val="none" w:sz="0" w:space="0" w:color="auto"/>
              </w:divBdr>
              <w:divsChild>
                <w:div w:id="1597014050">
                  <w:marLeft w:val="0"/>
                  <w:marRight w:val="0"/>
                  <w:marTop w:val="0"/>
                  <w:marBottom w:val="0"/>
                  <w:divBdr>
                    <w:top w:val="none" w:sz="0" w:space="0" w:color="auto"/>
                    <w:left w:val="none" w:sz="0" w:space="0" w:color="auto"/>
                    <w:bottom w:val="none" w:sz="0" w:space="0" w:color="auto"/>
                    <w:right w:val="none" w:sz="0" w:space="0" w:color="auto"/>
                  </w:divBdr>
                  <w:divsChild>
                    <w:div w:id="1597014187">
                      <w:marLeft w:val="0"/>
                      <w:marRight w:val="0"/>
                      <w:marTop w:val="0"/>
                      <w:marBottom w:val="0"/>
                      <w:divBdr>
                        <w:top w:val="none" w:sz="0" w:space="0" w:color="auto"/>
                        <w:left w:val="none" w:sz="0" w:space="0" w:color="auto"/>
                        <w:bottom w:val="none" w:sz="0" w:space="0" w:color="auto"/>
                        <w:right w:val="none" w:sz="0" w:space="0" w:color="auto"/>
                      </w:divBdr>
                      <w:divsChild>
                        <w:div w:id="1597014142">
                          <w:marLeft w:val="0"/>
                          <w:marRight w:val="0"/>
                          <w:marTop w:val="0"/>
                          <w:marBottom w:val="0"/>
                          <w:divBdr>
                            <w:top w:val="none" w:sz="0" w:space="0" w:color="auto"/>
                            <w:left w:val="none" w:sz="0" w:space="0" w:color="auto"/>
                            <w:bottom w:val="none" w:sz="0" w:space="0" w:color="auto"/>
                            <w:right w:val="none" w:sz="0" w:space="0" w:color="auto"/>
                          </w:divBdr>
                          <w:divsChild>
                            <w:div w:id="1597014056">
                              <w:marLeft w:val="0"/>
                              <w:marRight w:val="0"/>
                              <w:marTop w:val="0"/>
                              <w:marBottom w:val="0"/>
                              <w:divBdr>
                                <w:top w:val="none" w:sz="0" w:space="0" w:color="auto"/>
                                <w:left w:val="none" w:sz="0" w:space="0" w:color="auto"/>
                                <w:bottom w:val="none" w:sz="0" w:space="0" w:color="auto"/>
                                <w:right w:val="none" w:sz="0" w:space="0" w:color="auto"/>
                              </w:divBdr>
                              <w:divsChild>
                                <w:div w:id="1597014089">
                                  <w:marLeft w:val="0"/>
                                  <w:marRight w:val="0"/>
                                  <w:marTop w:val="0"/>
                                  <w:marBottom w:val="0"/>
                                  <w:divBdr>
                                    <w:top w:val="none" w:sz="0" w:space="0" w:color="auto"/>
                                    <w:left w:val="none" w:sz="0" w:space="0" w:color="auto"/>
                                    <w:bottom w:val="none" w:sz="0" w:space="0" w:color="auto"/>
                                    <w:right w:val="none" w:sz="0" w:space="0" w:color="auto"/>
                                  </w:divBdr>
                                  <w:divsChild>
                                    <w:div w:id="1597014086">
                                      <w:marLeft w:val="0"/>
                                      <w:marRight w:val="0"/>
                                      <w:marTop w:val="0"/>
                                      <w:marBottom w:val="0"/>
                                      <w:divBdr>
                                        <w:top w:val="none" w:sz="0" w:space="0" w:color="auto"/>
                                        <w:left w:val="none" w:sz="0" w:space="0" w:color="auto"/>
                                        <w:bottom w:val="none" w:sz="0" w:space="0" w:color="auto"/>
                                        <w:right w:val="none" w:sz="0" w:space="0" w:color="auto"/>
                                      </w:divBdr>
                                      <w:divsChild>
                                        <w:div w:id="15970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014154">
      <w:marLeft w:val="0"/>
      <w:marRight w:val="0"/>
      <w:marTop w:val="0"/>
      <w:marBottom w:val="0"/>
      <w:divBdr>
        <w:top w:val="none" w:sz="0" w:space="0" w:color="auto"/>
        <w:left w:val="none" w:sz="0" w:space="0" w:color="auto"/>
        <w:bottom w:val="none" w:sz="0" w:space="0" w:color="auto"/>
        <w:right w:val="none" w:sz="0" w:space="0" w:color="auto"/>
      </w:divBdr>
    </w:div>
    <w:div w:id="1597014157">
      <w:marLeft w:val="0"/>
      <w:marRight w:val="0"/>
      <w:marTop w:val="0"/>
      <w:marBottom w:val="0"/>
      <w:divBdr>
        <w:top w:val="none" w:sz="0" w:space="0" w:color="auto"/>
        <w:left w:val="none" w:sz="0" w:space="0" w:color="auto"/>
        <w:bottom w:val="none" w:sz="0" w:space="0" w:color="auto"/>
        <w:right w:val="none" w:sz="0" w:space="0" w:color="auto"/>
      </w:divBdr>
      <w:divsChild>
        <w:div w:id="1597014225">
          <w:marLeft w:val="0"/>
          <w:marRight w:val="0"/>
          <w:marTop w:val="0"/>
          <w:marBottom w:val="0"/>
          <w:divBdr>
            <w:top w:val="none" w:sz="0" w:space="0" w:color="auto"/>
            <w:left w:val="none" w:sz="0" w:space="0" w:color="auto"/>
            <w:bottom w:val="none" w:sz="0" w:space="0" w:color="auto"/>
            <w:right w:val="none" w:sz="0" w:space="0" w:color="auto"/>
          </w:divBdr>
          <w:divsChild>
            <w:div w:id="1597014015">
              <w:marLeft w:val="0"/>
              <w:marRight w:val="0"/>
              <w:marTop w:val="0"/>
              <w:marBottom w:val="0"/>
              <w:divBdr>
                <w:top w:val="none" w:sz="0" w:space="0" w:color="auto"/>
                <w:left w:val="none" w:sz="0" w:space="0" w:color="auto"/>
                <w:bottom w:val="none" w:sz="0" w:space="0" w:color="auto"/>
                <w:right w:val="none" w:sz="0" w:space="0" w:color="auto"/>
              </w:divBdr>
              <w:divsChild>
                <w:div w:id="1597014253">
                  <w:marLeft w:val="0"/>
                  <w:marRight w:val="0"/>
                  <w:marTop w:val="0"/>
                  <w:marBottom w:val="0"/>
                  <w:divBdr>
                    <w:top w:val="none" w:sz="0" w:space="0" w:color="auto"/>
                    <w:left w:val="none" w:sz="0" w:space="0" w:color="auto"/>
                    <w:bottom w:val="none" w:sz="0" w:space="0" w:color="auto"/>
                    <w:right w:val="none" w:sz="0" w:space="0" w:color="auto"/>
                  </w:divBdr>
                  <w:divsChild>
                    <w:div w:id="1597014177">
                      <w:marLeft w:val="0"/>
                      <w:marRight w:val="0"/>
                      <w:marTop w:val="0"/>
                      <w:marBottom w:val="0"/>
                      <w:divBdr>
                        <w:top w:val="none" w:sz="0" w:space="0" w:color="auto"/>
                        <w:left w:val="none" w:sz="0" w:space="0" w:color="auto"/>
                        <w:bottom w:val="none" w:sz="0" w:space="0" w:color="auto"/>
                        <w:right w:val="none" w:sz="0" w:space="0" w:color="auto"/>
                      </w:divBdr>
                      <w:divsChild>
                        <w:div w:id="1597014229">
                          <w:marLeft w:val="0"/>
                          <w:marRight w:val="0"/>
                          <w:marTop w:val="0"/>
                          <w:marBottom w:val="0"/>
                          <w:divBdr>
                            <w:top w:val="none" w:sz="0" w:space="0" w:color="auto"/>
                            <w:left w:val="none" w:sz="0" w:space="0" w:color="auto"/>
                            <w:bottom w:val="none" w:sz="0" w:space="0" w:color="auto"/>
                            <w:right w:val="none" w:sz="0" w:space="0" w:color="auto"/>
                          </w:divBdr>
                          <w:divsChild>
                            <w:div w:id="1597014260">
                              <w:marLeft w:val="0"/>
                              <w:marRight w:val="0"/>
                              <w:marTop w:val="0"/>
                              <w:marBottom w:val="0"/>
                              <w:divBdr>
                                <w:top w:val="none" w:sz="0" w:space="0" w:color="auto"/>
                                <w:left w:val="none" w:sz="0" w:space="0" w:color="auto"/>
                                <w:bottom w:val="none" w:sz="0" w:space="0" w:color="auto"/>
                                <w:right w:val="none" w:sz="0" w:space="0" w:color="auto"/>
                              </w:divBdr>
                              <w:divsChild>
                                <w:div w:id="1597014266">
                                  <w:marLeft w:val="0"/>
                                  <w:marRight w:val="0"/>
                                  <w:marTop w:val="0"/>
                                  <w:marBottom w:val="0"/>
                                  <w:divBdr>
                                    <w:top w:val="none" w:sz="0" w:space="0" w:color="auto"/>
                                    <w:left w:val="none" w:sz="0" w:space="0" w:color="auto"/>
                                    <w:bottom w:val="none" w:sz="0" w:space="0" w:color="auto"/>
                                    <w:right w:val="none" w:sz="0" w:space="0" w:color="auto"/>
                                  </w:divBdr>
                                  <w:divsChild>
                                    <w:div w:id="1597014013">
                                      <w:marLeft w:val="0"/>
                                      <w:marRight w:val="0"/>
                                      <w:marTop w:val="0"/>
                                      <w:marBottom w:val="0"/>
                                      <w:divBdr>
                                        <w:top w:val="none" w:sz="0" w:space="0" w:color="auto"/>
                                        <w:left w:val="none" w:sz="0" w:space="0" w:color="auto"/>
                                        <w:bottom w:val="none" w:sz="0" w:space="0" w:color="auto"/>
                                        <w:right w:val="none" w:sz="0" w:space="0" w:color="auto"/>
                                      </w:divBdr>
                                      <w:divsChild>
                                        <w:div w:id="159701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014158">
      <w:marLeft w:val="0"/>
      <w:marRight w:val="0"/>
      <w:marTop w:val="0"/>
      <w:marBottom w:val="0"/>
      <w:divBdr>
        <w:top w:val="none" w:sz="0" w:space="0" w:color="auto"/>
        <w:left w:val="none" w:sz="0" w:space="0" w:color="auto"/>
        <w:bottom w:val="none" w:sz="0" w:space="0" w:color="auto"/>
        <w:right w:val="none" w:sz="0" w:space="0" w:color="auto"/>
      </w:divBdr>
      <w:divsChild>
        <w:div w:id="1597014264">
          <w:marLeft w:val="0"/>
          <w:marRight w:val="1"/>
          <w:marTop w:val="0"/>
          <w:marBottom w:val="0"/>
          <w:divBdr>
            <w:top w:val="none" w:sz="0" w:space="0" w:color="auto"/>
            <w:left w:val="none" w:sz="0" w:space="0" w:color="auto"/>
            <w:bottom w:val="none" w:sz="0" w:space="0" w:color="auto"/>
            <w:right w:val="none" w:sz="0" w:space="0" w:color="auto"/>
          </w:divBdr>
          <w:divsChild>
            <w:div w:id="1597014098">
              <w:marLeft w:val="0"/>
              <w:marRight w:val="0"/>
              <w:marTop w:val="0"/>
              <w:marBottom w:val="0"/>
              <w:divBdr>
                <w:top w:val="none" w:sz="0" w:space="0" w:color="auto"/>
                <w:left w:val="none" w:sz="0" w:space="0" w:color="auto"/>
                <w:bottom w:val="none" w:sz="0" w:space="0" w:color="auto"/>
                <w:right w:val="none" w:sz="0" w:space="0" w:color="auto"/>
              </w:divBdr>
              <w:divsChild>
                <w:div w:id="1597014237">
                  <w:marLeft w:val="0"/>
                  <w:marRight w:val="1"/>
                  <w:marTop w:val="0"/>
                  <w:marBottom w:val="0"/>
                  <w:divBdr>
                    <w:top w:val="none" w:sz="0" w:space="0" w:color="auto"/>
                    <w:left w:val="none" w:sz="0" w:space="0" w:color="auto"/>
                    <w:bottom w:val="none" w:sz="0" w:space="0" w:color="auto"/>
                    <w:right w:val="none" w:sz="0" w:space="0" w:color="auto"/>
                  </w:divBdr>
                  <w:divsChild>
                    <w:div w:id="1597014219">
                      <w:marLeft w:val="0"/>
                      <w:marRight w:val="0"/>
                      <w:marTop w:val="0"/>
                      <w:marBottom w:val="0"/>
                      <w:divBdr>
                        <w:top w:val="none" w:sz="0" w:space="0" w:color="auto"/>
                        <w:left w:val="none" w:sz="0" w:space="0" w:color="auto"/>
                        <w:bottom w:val="none" w:sz="0" w:space="0" w:color="auto"/>
                        <w:right w:val="none" w:sz="0" w:space="0" w:color="auto"/>
                      </w:divBdr>
                      <w:divsChild>
                        <w:div w:id="1597014048">
                          <w:marLeft w:val="0"/>
                          <w:marRight w:val="0"/>
                          <w:marTop w:val="0"/>
                          <w:marBottom w:val="0"/>
                          <w:divBdr>
                            <w:top w:val="none" w:sz="0" w:space="0" w:color="auto"/>
                            <w:left w:val="none" w:sz="0" w:space="0" w:color="auto"/>
                            <w:bottom w:val="none" w:sz="0" w:space="0" w:color="auto"/>
                            <w:right w:val="none" w:sz="0" w:space="0" w:color="auto"/>
                          </w:divBdr>
                          <w:divsChild>
                            <w:div w:id="1597014178">
                              <w:marLeft w:val="0"/>
                              <w:marRight w:val="0"/>
                              <w:marTop w:val="120"/>
                              <w:marBottom w:val="360"/>
                              <w:divBdr>
                                <w:top w:val="none" w:sz="0" w:space="0" w:color="auto"/>
                                <w:left w:val="none" w:sz="0" w:space="0" w:color="auto"/>
                                <w:bottom w:val="none" w:sz="0" w:space="0" w:color="auto"/>
                                <w:right w:val="none" w:sz="0" w:space="0" w:color="auto"/>
                              </w:divBdr>
                              <w:divsChild>
                                <w:div w:id="1597014049">
                                  <w:marLeft w:val="0"/>
                                  <w:marRight w:val="0"/>
                                  <w:marTop w:val="0"/>
                                  <w:marBottom w:val="0"/>
                                  <w:divBdr>
                                    <w:top w:val="none" w:sz="0" w:space="0" w:color="auto"/>
                                    <w:left w:val="none" w:sz="0" w:space="0" w:color="auto"/>
                                    <w:bottom w:val="none" w:sz="0" w:space="0" w:color="auto"/>
                                    <w:right w:val="none" w:sz="0" w:space="0" w:color="auto"/>
                                  </w:divBdr>
                                  <w:divsChild>
                                    <w:div w:id="159701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014170">
      <w:marLeft w:val="0"/>
      <w:marRight w:val="0"/>
      <w:marTop w:val="0"/>
      <w:marBottom w:val="0"/>
      <w:divBdr>
        <w:top w:val="none" w:sz="0" w:space="0" w:color="auto"/>
        <w:left w:val="none" w:sz="0" w:space="0" w:color="auto"/>
        <w:bottom w:val="none" w:sz="0" w:space="0" w:color="auto"/>
        <w:right w:val="none" w:sz="0" w:space="0" w:color="auto"/>
      </w:divBdr>
      <w:divsChild>
        <w:div w:id="1597014242">
          <w:marLeft w:val="0"/>
          <w:marRight w:val="1"/>
          <w:marTop w:val="0"/>
          <w:marBottom w:val="0"/>
          <w:divBdr>
            <w:top w:val="none" w:sz="0" w:space="0" w:color="auto"/>
            <w:left w:val="none" w:sz="0" w:space="0" w:color="auto"/>
            <w:bottom w:val="none" w:sz="0" w:space="0" w:color="auto"/>
            <w:right w:val="none" w:sz="0" w:space="0" w:color="auto"/>
          </w:divBdr>
          <w:divsChild>
            <w:div w:id="1597014091">
              <w:marLeft w:val="0"/>
              <w:marRight w:val="0"/>
              <w:marTop w:val="0"/>
              <w:marBottom w:val="0"/>
              <w:divBdr>
                <w:top w:val="none" w:sz="0" w:space="0" w:color="auto"/>
                <w:left w:val="none" w:sz="0" w:space="0" w:color="auto"/>
                <w:bottom w:val="none" w:sz="0" w:space="0" w:color="auto"/>
                <w:right w:val="none" w:sz="0" w:space="0" w:color="auto"/>
              </w:divBdr>
              <w:divsChild>
                <w:div w:id="1597014006">
                  <w:marLeft w:val="0"/>
                  <w:marRight w:val="1"/>
                  <w:marTop w:val="0"/>
                  <w:marBottom w:val="0"/>
                  <w:divBdr>
                    <w:top w:val="none" w:sz="0" w:space="0" w:color="auto"/>
                    <w:left w:val="none" w:sz="0" w:space="0" w:color="auto"/>
                    <w:bottom w:val="none" w:sz="0" w:space="0" w:color="auto"/>
                    <w:right w:val="none" w:sz="0" w:space="0" w:color="auto"/>
                  </w:divBdr>
                  <w:divsChild>
                    <w:div w:id="1597014058">
                      <w:marLeft w:val="0"/>
                      <w:marRight w:val="0"/>
                      <w:marTop w:val="0"/>
                      <w:marBottom w:val="0"/>
                      <w:divBdr>
                        <w:top w:val="none" w:sz="0" w:space="0" w:color="auto"/>
                        <w:left w:val="none" w:sz="0" w:space="0" w:color="auto"/>
                        <w:bottom w:val="none" w:sz="0" w:space="0" w:color="auto"/>
                        <w:right w:val="none" w:sz="0" w:space="0" w:color="auto"/>
                      </w:divBdr>
                      <w:divsChild>
                        <w:div w:id="1597014251">
                          <w:marLeft w:val="0"/>
                          <w:marRight w:val="0"/>
                          <w:marTop w:val="0"/>
                          <w:marBottom w:val="0"/>
                          <w:divBdr>
                            <w:top w:val="none" w:sz="0" w:space="0" w:color="auto"/>
                            <w:left w:val="none" w:sz="0" w:space="0" w:color="auto"/>
                            <w:bottom w:val="none" w:sz="0" w:space="0" w:color="auto"/>
                            <w:right w:val="none" w:sz="0" w:space="0" w:color="auto"/>
                          </w:divBdr>
                          <w:divsChild>
                            <w:div w:id="1597014190">
                              <w:marLeft w:val="0"/>
                              <w:marRight w:val="0"/>
                              <w:marTop w:val="120"/>
                              <w:marBottom w:val="360"/>
                              <w:divBdr>
                                <w:top w:val="none" w:sz="0" w:space="0" w:color="auto"/>
                                <w:left w:val="none" w:sz="0" w:space="0" w:color="auto"/>
                                <w:bottom w:val="none" w:sz="0" w:space="0" w:color="auto"/>
                                <w:right w:val="none" w:sz="0" w:space="0" w:color="auto"/>
                              </w:divBdr>
                              <w:divsChild>
                                <w:div w:id="1597014201">
                                  <w:marLeft w:val="0"/>
                                  <w:marRight w:val="0"/>
                                  <w:marTop w:val="0"/>
                                  <w:marBottom w:val="0"/>
                                  <w:divBdr>
                                    <w:top w:val="none" w:sz="0" w:space="0" w:color="auto"/>
                                    <w:left w:val="none" w:sz="0" w:space="0" w:color="auto"/>
                                    <w:bottom w:val="none" w:sz="0" w:space="0" w:color="auto"/>
                                    <w:right w:val="none" w:sz="0" w:space="0" w:color="auto"/>
                                  </w:divBdr>
                                  <w:divsChild>
                                    <w:div w:id="15970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014174">
      <w:marLeft w:val="0"/>
      <w:marRight w:val="0"/>
      <w:marTop w:val="0"/>
      <w:marBottom w:val="0"/>
      <w:divBdr>
        <w:top w:val="none" w:sz="0" w:space="0" w:color="auto"/>
        <w:left w:val="none" w:sz="0" w:space="0" w:color="auto"/>
        <w:bottom w:val="none" w:sz="0" w:space="0" w:color="auto"/>
        <w:right w:val="none" w:sz="0" w:space="0" w:color="auto"/>
      </w:divBdr>
      <w:divsChild>
        <w:div w:id="1597014164">
          <w:marLeft w:val="0"/>
          <w:marRight w:val="1"/>
          <w:marTop w:val="0"/>
          <w:marBottom w:val="0"/>
          <w:divBdr>
            <w:top w:val="none" w:sz="0" w:space="0" w:color="auto"/>
            <w:left w:val="none" w:sz="0" w:space="0" w:color="auto"/>
            <w:bottom w:val="none" w:sz="0" w:space="0" w:color="auto"/>
            <w:right w:val="none" w:sz="0" w:space="0" w:color="auto"/>
          </w:divBdr>
          <w:divsChild>
            <w:div w:id="1597014137">
              <w:marLeft w:val="0"/>
              <w:marRight w:val="0"/>
              <w:marTop w:val="0"/>
              <w:marBottom w:val="0"/>
              <w:divBdr>
                <w:top w:val="none" w:sz="0" w:space="0" w:color="auto"/>
                <w:left w:val="none" w:sz="0" w:space="0" w:color="auto"/>
                <w:bottom w:val="none" w:sz="0" w:space="0" w:color="auto"/>
                <w:right w:val="none" w:sz="0" w:space="0" w:color="auto"/>
              </w:divBdr>
              <w:divsChild>
                <w:div w:id="1597014055">
                  <w:marLeft w:val="0"/>
                  <w:marRight w:val="1"/>
                  <w:marTop w:val="0"/>
                  <w:marBottom w:val="0"/>
                  <w:divBdr>
                    <w:top w:val="none" w:sz="0" w:space="0" w:color="auto"/>
                    <w:left w:val="none" w:sz="0" w:space="0" w:color="auto"/>
                    <w:bottom w:val="none" w:sz="0" w:space="0" w:color="auto"/>
                    <w:right w:val="none" w:sz="0" w:space="0" w:color="auto"/>
                  </w:divBdr>
                  <w:divsChild>
                    <w:div w:id="1597014123">
                      <w:marLeft w:val="0"/>
                      <w:marRight w:val="0"/>
                      <w:marTop w:val="0"/>
                      <w:marBottom w:val="0"/>
                      <w:divBdr>
                        <w:top w:val="none" w:sz="0" w:space="0" w:color="auto"/>
                        <w:left w:val="none" w:sz="0" w:space="0" w:color="auto"/>
                        <w:bottom w:val="none" w:sz="0" w:space="0" w:color="auto"/>
                        <w:right w:val="none" w:sz="0" w:space="0" w:color="auto"/>
                      </w:divBdr>
                      <w:divsChild>
                        <w:div w:id="1597014218">
                          <w:marLeft w:val="0"/>
                          <w:marRight w:val="0"/>
                          <w:marTop w:val="0"/>
                          <w:marBottom w:val="0"/>
                          <w:divBdr>
                            <w:top w:val="none" w:sz="0" w:space="0" w:color="auto"/>
                            <w:left w:val="none" w:sz="0" w:space="0" w:color="auto"/>
                            <w:bottom w:val="none" w:sz="0" w:space="0" w:color="auto"/>
                            <w:right w:val="none" w:sz="0" w:space="0" w:color="auto"/>
                          </w:divBdr>
                          <w:divsChild>
                            <w:div w:id="1597014065">
                              <w:marLeft w:val="0"/>
                              <w:marRight w:val="0"/>
                              <w:marTop w:val="120"/>
                              <w:marBottom w:val="360"/>
                              <w:divBdr>
                                <w:top w:val="none" w:sz="0" w:space="0" w:color="auto"/>
                                <w:left w:val="none" w:sz="0" w:space="0" w:color="auto"/>
                                <w:bottom w:val="none" w:sz="0" w:space="0" w:color="auto"/>
                                <w:right w:val="none" w:sz="0" w:space="0" w:color="auto"/>
                              </w:divBdr>
                              <w:divsChild>
                                <w:div w:id="1597014191">
                                  <w:marLeft w:val="420"/>
                                  <w:marRight w:val="0"/>
                                  <w:marTop w:val="0"/>
                                  <w:marBottom w:val="0"/>
                                  <w:divBdr>
                                    <w:top w:val="none" w:sz="0" w:space="0" w:color="auto"/>
                                    <w:left w:val="none" w:sz="0" w:space="0" w:color="auto"/>
                                    <w:bottom w:val="none" w:sz="0" w:space="0" w:color="auto"/>
                                    <w:right w:val="none" w:sz="0" w:space="0" w:color="auto"/>
                                  </w:divBdr>
                                  <w:divsChild>
                                    <w:div w:id="1597014149">
                                      <w:marLeft w:val="0"/>
                                      <w:marRight w:val="0"/>
                                      <w:marTop w:val="0"/>
                                      <w:marBottom w:val="0"/>
                                      <w:divBdr>
                                        <w:top w:val="none" w:sz="0" w:space="0" w:color="auto"/>
                                        <w:left w:val="none" w:sz="0" w:space="0" w:color="auto"/>
                                        <w:bottom w:val="none" w:sz="0" w:space="0" w:color="auto"/>
                                        <w:right w:val="none" w:sz="0" w:space="0" w:color="auto"/>
                                      </w:divBdr>
                                      <w:divsChild>
                                        <w:div w:id="15970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014182">
      <w:marLeft w:val="0"/>
      <w:marRight w:val="0"/>
      <w:marTop w:val="0"/>
      <w:marBottom w:val="0"/>
      <w:divBdr>
        <w:top w:val="none" w:sz="0" w:space="0" w:color="auto"/>
        <w:left w:val="none" w:sz="0" w:space="0" w:color="auto"/>
        <w:bottom w:val="none" w:sz="0" w:space="0" w:color="auto"/>
        <w:right w:val="none" w:sz="0" w:space="0" w:color="auto"/>
      </w:divBdr>
      <w:divsChild>
        <w:div w:id="1597014076">
          <w:marLeft w:val="0"/>
          <w:marRight w:val="0"/>
          <w:marTop w:val="0"/>
          <w:marBottom w:val="288"/>
          <w:divBdr>
            <w:top w:val="none" w:sz="0" w:space="0" w:color="auto"/>
            <w:left w:val="none" w:sz="0" w:space="0" w:color="auto"/>
            <w:bottom w:val="none" w:sz="0" w:space="0" w:color="auto"/>
            <w:right w:val="none" w:sz="0" w:space="0" w:color="auto"/>
          </w:divBdr>
          <w:divsChild>
            <w:div w:id="1597014004">
              <w:marLeft w:val="0"/>
              <w:marRight w:val="0"/>
              <w:marTop w:val="0"/>
              <w:marBottom w:val="0"/>
              <w:divBdr>
                <w:top w:val="none" w:sz="0" w:space="0" w:color="auto"/>
                <w:left w:val="none" w:sz="0" w:space="0" w:color="auto"/>
                <w:bottom w:val="none" w:sz="0" w:space="0" w:color="auto"/>
                <w:right w:val="none" w:sz="0" w:space="0" w:color="auto"/>
              </w:divBdr>
              <w:divsChild>
                <w:div w:id="1597014228">
                  <w:marLeft w:val="0"/>
                  <w:marRight w:val="0"/>
                  <w:marTop w:val="0"/>
                  <w:marBottom w:val="0"/>
                  <w:divBdr>
                    <w:top w:val="none" w:sz="0" w:space="0" w:color="auto"/>
                    <w:left w:val="none" w:sz="0" w:space="0" w:color="auto"/>
                    <w:bottom w:val="none" w:sz="0" w:space="0" w:color="auto"/>
                    <w:right w:val="none" w:sz="0" w:space="0" w:color="auto"/>
                  </w:divBdr>
                  <w:divsChild>
                    <w:div w:id="1597014263">
                      <w:marLeft w:val="0"/>
                      <w:marRight w:val="0"/>
                      <w:marTop w:val="0"/>
                      <w:marBottom w:val="0"/>
                      <w:divBdr>
                        <w:top w:val="none" w:sz="0" w:space="0" w:color="auto"/>
                        <w:left w:val="none" w:sz="0" w:space="0" w:color="auto"/>
                        <w:bottom w:val="none" w:sz="0" w:space="0" w:color="auto"/>
                        <w:right w:val="none" w:sz="0" w:space="0" w:color="auto"/>
                      </w:divBdr>
                      <w:divsChild>
                        <w:div w:id="1597014143">
                          <w:marLeft w:val="0"/>
                          <w:marRight w:val="0"/>
                          <w:marTop w:val="0"/>
                          <w:marBottom w:val="0"/>
                          <w:divBdr>
                            <w:top w:val="none" w:sz="0" w:space="0" w:color="auto"/>
                            <w:left w:val="none" w:sz="0" w:space="0" w:color="auto"/>
                            <w:bottom w:val="none" w:sz="0" w:space="0" w:color="auto"/>
                            <w:right w:val="none" w:sz="0" w:space="0" w:color="auto"/>
                          </w:divBdr>
                          <w:divsChild>
                            <w:div w:id="15970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014195">
      <w:marLeft w:val="0"/>
      <w:marRight w:val="0"/>
      <w:marTop w:val="0"/>
      <w:marBottom w:val="0"/>
      <w:divBdr>
        <w:top w:val="none" w:sz="0" w:space="0" w:color="auto"/>
        <w:left w:val="none" w:sz="0" w:space="0" w:color="auto"/>
        <w:bottom w:val="none" w:sz="0" w:space="0" w:color="auto"/>
        <w:right w:val="none" w:sz="0" w:space="0" w:color="auto"/>
      </w:divBdr>
    </w:div>
    <w:div w:id="1597014197">
      <w:marLeft w:val="0"/>
      <w:marRight w:val="0"/>
      <w:marTop w:val="0"/>
      <w:marBottom w:val="0"/>
      <w:divBdr>
        <w:top w:val="none" w:sz="0" w:space="0" w:color="auto"/>
        <w:left w:val="none" w:sz="0" w:space="0" w:color="auto"/>
        <w:bottom w:val="none" w:sz="0" w:space="0" w:color="auto"/>
        <w:right w:val="none" w:sz="0" w:space="0" w:color="auto"/>
      </w:divBdr>
      <w:divsChild>
        <w:div w:id="1597014022">
          <w:marLeft w:val="0"/>
          <w:marRight w:val="1"/>
          <w:marTop w:val="0"/>
          <w:marBottom w:val="0"/>
          <w:divBdr>
            <w:top w:val="none" w:sz="0" w:space="0" w:color="auto"/>
            <w:left w:val="none" w:sz="0" w:space="0" w:color="auto"/>
            <w:bottom w:val="none" w:sz="0" w:space="0" w:color="auto"/>
            <w:right w:val="none" w:sz="0" w:space="0" w:color="auto"/>
          </w:divBdr>
          <w:divsChild>
            <w:div w:id="1597014151">
              <w:marLeft w:val="0"/>
              <w:marRight w:val="0"/>
              <w:marTop w:val="0"/>
              <w:marBottom w:val="0"/>
              <w:divBdr>
                <w:top w:val="none" w:sz="0" w:space="0" w:color="auto"/>
                <w:left w:val="none" w:sz="0" w:space="0" w:color="auto"/>
                <w:bottom w:val="none" w:sz="0" w:space="0" w:color="auto"/>
                <w:right w:val="none" w:sz="0" w:space="0" w:color="auto"/>
              </w:divBdr>
              <w:divsChild>
                <w:div w:id="1597014150">
                  <w:marLeft w:val="0"/>
                  <w:marRight w:val="1"/>
                  <w:marTop w:val="0"/>
                  <w:marBottom w:val="0"/>
                  <w:divBdr>
                    <w:top w:val="none" w:sz="0" w:space="0" w:color="auto"/>
                    <w:left w:val="none" w:sz="0" w:space="0" w:color="auto"/>
                    <w:bottom w:val="none" w:sz="0" w:space="0" w:color="auto"/>
                    <w:right w:val="none" w:sz="0" w:space="0" w:color="auto"/>
                  </w:divBdr>
                  <w:divsChild>
                    <w:div w:id="1597014265">
                      <w:marLeft w:val="0"/>
                      <w:marRight w:val="0"/>
                      <w:marTop w:val="0"/>
                      <w:marBottom w:val="0"/>
                      <w:divBdr>
                        <w:top w:val="none" w:sz="0" w:space="0" w:color="auto"/>
                        <w:left w:val="none" w:sz="0" w:space="0" w:color="auto"/>
                        <w:bottom w:val="none" w:sz="0" w:space="0" w:color="auto"/>
                        <w:right w:val="none" w:sz="0" w:space="0" w:color="auto"/>
                      </w:divBdr>
                      <w:divsChild>
                        <w:div w:id="1597014009">
                          <w:marLeft w:val="0"/>
                          <w:marRight w:val="0"/>
                          <w:marTop w:val="0"/>
                          <w:marBottom w:val="0"/>
                          <w:divBdr>
                            <w:top w:val="none" w:sz="0" w:space="0" w:color="auto"/>
                            <w:left w:val="none" w:sz="0" w:space="0" w:color="auto"/>
                            <w:bottom w:val="none" w:sz="0" w:space="0" w:color="auto"/>
                            <w:right w:val="none" w:sz="0" w:space="0" w:color="auto"/>
                          </w:divBdr>
                          <w:divsChild>
                            <w:div w:id="1597014021">
                              <w:marLeft w:val="0"/>
                              <w:marRight w:val="0"/>
                              <w:marTop w:val="120"/>
                              <w:marBottom w:val="360"/>
                              <w:divBdr>
                                <w:top w:val="none" w:sz="0" w:space="0" w:color="auto"/>
                                <w:left w:val="none" w:sz="0" w:space="0" w:color="auto"/>
                                <w:bottom w:val="none" w:sz="0" w:space="0" w:color="auto"/>
                                <w:right w:val="none" w:sz="0" w:space="0" w:color="auto"/>
                              </w:divBdr>
                              <w:divsChild>
                                <w:div w:id="1597014262">
                                  <w:marLeft w:val="0"/>
                                  <w:marRight w:val="0"/>
                                  <w:marTop w:val="0"/>
                                  <w:marBottom w:val="0"/>
                                  <w:divBdr>
                                    <w:top w:val="none" w:sz="0" w:space="0" w:color="auto"/>
                                    <w:left w:val="none" w:sz="0" w:space="0" w:color="auto"/>
                                    <w:bottom w:val="none" w:sz="0" w:space="0" w:color="auto"/>
                                    <w:right w:val="none" w:sz="0" w:space="0" w:color="auto"/>
                                  </w:divBdr>
                                  <w:divsChild>
                                    <w:div w:id="15970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014203">
      <w:marLeft w:val="0"/>
      <w:marRight w:val="0"/>
      <w:marTop w:val="0"/>
      <w:marBottom w:val="0"/>
      <w:divBdr>
        <w:top w:val="none" w:sz="0" w:space="0" w:color="auto"/>
        <w:left w:val="none" w:sz="0" w:space="0" w:color="auto"/>
        <w:bottom w:val="none" w:sz="0" w:space="0" w:color="auto"/>
        <w:right w:val="none" w:sz="0" w:space="0" w:color="auto"/>
      </w:divBdr>
      <w:divsChild>
        <w:div w:id="1597014146">
          <w:marLeft w:val="0"/>
          <w:marRight w:val="1"/>
          <w:marTop w:val="0"/>
          <w:marBottom w:val="0"/>
          <w:divBdr>
            <w:top w:val="none" w:sz="0" w:space="0" w:color="auto"/>
            <w:left w:val="none" w:sz="0" w:space="0" w:color="auto"/>
            <w:bottom w:val="none" w:sz="0" w:space="0" w:color="auto"/>
            <w:right w:val="none" w:sz="0" w:space="0" w:color="auto"/>
          </w:divBdr>
          <w:divsChild>
            <w:div w:id="1597014222">
              <w:marLeft w:val="0"/>
              <w:marRight w:val="0"/>
              <w:marTop w:val="0"/>
              <w:marBottom w:val="0"/>
              <w:divBdr>
                <w:top w:val="none" w:sz="0" w:space="0" w:color="auto"/>
                <w:left w:val="none" w:sz="0" w:space="0" w:color="auto"/>
                <w:bottom w:val="none" w:sz="0" w:space="0" w:color="auto"/>
                <w:right w:val="none" w:sz="0" w:space="0" w:color="auto"/>
              </w:divBdr>
              <w:divsChild>
                <w:div w:id="1597014020">
                  <w:marLeft w:val="0"/>
                  <w:marRight w:val="1"/>
                  <w:marTop w:val="0"/>
                  <w:marBottom w:val="0"/>
                  <w:divBdr>
                    <w:top w:val="none" w:sz="0" w:space="0" w:color="auto"/>
                    <w:left w:val="none" w:sz="0" w:space="0" w:color="auto"/>
                    <w:bottom w:val="none" w:sz="0" w:space="0" w:color="auto"/>
                    <w:right w:val="none" w:sz="0" w:space="0" w:color="auto"/>
                  </w:divBdr>
                  <w:divsChild>
                    <w:div w:id="1597014012">
                      <w:marLeft w:val="0"/>
                      <w:marRight w:val="0"/>
                      <w:marTop w:val="0"/>
                      <w:marBottom w:val="0"/>
                      <w:divBdr>
                        <w:top w:val="none" w:sz="0" w:space="0" w:color="auto"/>
                        <w:left w:val="none" w:sz="0" w:space="0" w:color="auto"/>
                        <w:bottom w:val="none" w:sz="0" w:space="0" w:color="auto"/>
                        <w:right w:val="none" w:sz="0" w:space="0" w:color="auto"/>
                      </w:divBdr>
                      <w:divsChild>
                        <w:div w:id="1597014052">
                          <w:marLeft w:val="0"/>
                          <w:marRight w:val="0"/>
                          <w:marTop w:val="0"/>
                          <w:marBottom w:val="0"/>
                          <w:divBdr>
                            <w:top w:val="none" w:sz="0" w:space="0" w:color="auto"/>
                            <w:left w:val="none" w:sz="0" w:space="0" w:color="auto"/>
                            <w:bottom w:val="none" w:sz="0" w:space="0" w:color="auto"/>
                            <w:right w:val="none" w:sz="0" w:space="0" w:color="auto"/>
                          </w:divBdr>
                          <w:divsChild>
                            <w:div w:id="1597014239">
                              <w:marLeft w:val="0"/>
                              <w:marRight w:val="0"/>
                              <w:marTop w:val="120"/>
                              <w:marBottom w:val="360"/>
                              <w:divBdr>
                                <w:top w:val="none" w:sz="0" w:space="0" w:color="auto"/>
                                <w:left w:val="none" w:sz="0" w:space="0" w:color="auto"/>
                                <w:bottom w:val="none" w:sz="0" w:space="0" w:color="auto"/>
                                <w:right w:val="none" w:sz="0" w:space="0" w:color="auto"/>
                              </w:divBdr>
                              <w:divsChild>
                                <w:div w:id="1597014217">
                                  <w:marLeft w:val="0"/>
                                  <w:marRight w:val="0"/>
                                  <w:marTop w:val="0"/>
                                  <w:marBottom w:val="0"/>
                                  <w:divBdr>
                                    <w:top w:val="none" w:sz="0" w:space="0" w:color="auto"/>
                                    <w:left w:val="none" w:sz="0" w:space="0" w:color="auto"/>
                                    <w:bottom w:val="none" w:sz="0" w:space="0" w:color="auto"/>
                                    <w:right w:val="none" w:sz="0" w:space="0" w:color="auto"/>
                                  </w:divBdr>
                                  <w:divsChild>
                                    <w:div w:id="15970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014224">
      <w:marLeft w:val="0"/>
      <w:marRight w:val="0"/>
      <w:marTop w:val="0"/>
      <w:marBottom w:val="0"/>
      <w:divBdr>
        <w:top w:val="none" w:sz="0" w:space="0" w:color="auto"/>
        <w:left w:val="none" w:sz="0" w:space="0" w:color="auto"/>
        <w:bottom w:val="none" w:sz="0" w:space="0" w:color="auto"/>
        <w:right w:val="none" w:sz="0" w:space="0" w:color="auto"/>
      </w:divBdr>
      <w:divsChild>
        <w:div w:id="1597014213">
          <w:marLeft w:val="0"/>
          <w:marRight w:val="0"/>
          <w:marTop w:val="0"/>
          <w:marBottom w:val="0"/>
          <w:divBdr>
            <w:top w:val="none" w:sz="0" w:space="0" w:color="auto"/>
            <w:left w:val="none" w:sz="0" w:space="0" w:color="auto"/>
            <w:bottom w:val="none" w:sz="0" w:space="0" w:color="auto"/>
            <w:right w:val="none" w:sz="0" w:space="0" w:color="auto"/>
          </w:divBdr>
          <w:divsChild>
            <w:div w:id="1597014010">
              <w:marLeft w:val="0"/>
              <w:marRight w:val="0"/>
              <w:marTop w:val="0"/>
              <w:marBottom w:val="0"/>
              <w:divBdr>
                <w:top w:val="none" w:sz="0" w:space="0" w:color="auto"/>
                <w:left w:val="none" w:sz="0" w:space="0" w:color="auto"/>
                <w:bottom w:val="none" w:sz="0" w:space="0" w:color="auto"/>
                <w:right w:val="none" w:sz="0" w:space="0" w:color="auto"/>
              </w:divBdr>
              <w:divsChild>
                <w:div w:id="1597014171">
                  <w:marLeft w:val="0"/>
                  <w:marRight w:val="0"/>
                  <w:marTop w:val="0"/>
                  <w:marBottom w:val="0"/>
                  <w:divBdr>
                    <w:top w:val="none" w:sz="0" w:space="0" w:color="auto"/>
                    <w:left w:val="none" w:sz="0" w:space="0" w:color="auto"/>
                    <w:bottom w:val="none" w:sz="0" w:space="0" w:color="auto"/>
                    <w:right w:val="none" w:sz="0" w:space="0" w:color="auto"/>
                  </w:divBdr>
                  <w:divsChild>
                    <w:div w:id="1597014270">
                      <w:marLeft w:val="0"/>
                      <w:marRight w:val="0"/>
                      <w:marTop w:val="0"/>
                      <w:marBottom w:val="0"/>
                      <w:divBdr>
                        <w:top w:val="none" w:sz="0" w:space="0" w:color="auto"/>
                        <w:left w:val="none" w:sz="0" w:space="0" w:color="auto"/>
                        <w:bottom w:val="none" w:sz="0" w:space="0" w:color="auto"/>
                        <w:right w:val="none" w:sz="0" w:space="0" w:color="auto"/>
                      </w:divBdr>
                      <w:divsChild>
                        <w:div w:id="1597014109">
                          <w:marLeft w:val="0"/>
                          <w:marRight w:val="0"/>
                          <w:marTop w:val="0"/>
                          <w:marBottom w:val="0"/>
                          <w:divBdr>
                            <w:top w:val="none" w:sz="0" w:space="0" w:color="auto"/>
                            <w:left w:val="none" w:sz="0" w:space="0" w:color="auto"/>
                            <w:bottom w:val="none" w:sz="0" w:space="0" w:color="auto"/>
                            <w:right w:val="none" w:sz="0" w:space="0" w:color="auto"/>
                          </w:divBdr>
                          <w:divsChild>
                            <w:div w:id="1597014007">
                              <w:marLeft w:val="0"/>
                              <w:marRight w:val="0"/>
                              <w:marTop w:val="0"/>
                              <w:marBottom w:val="0"/>
                              <w:divBdr>
                                <w:top w:val="none" w:sz="0" w:space="0" w:color="auto"/>
                                <w:left w:val="none" w:sz="0" w:space="0" w:color="auto"/>
                                <w:bottom w:val="none" w:sz="0" w:space="0" w:color="auto"/>
                                <w:right w:val="none" w:sz="0" w:space="0" w:color="auto"/>
                              </w:divBdr>
                              <w:divsChild>
                                <w:div w:id="1597014134">
                                  <w:marLeft w:val="0"/>
                                  <w:marRight w:val="0"/>
                                  <w:marTop w:val="0"/>
                                  <w:marBottom w:val="0"/>
                                  <w:divBdr>
                                    <w:top w:val="none" w:sz="0" w:space="0" w:color="auto"/>
                                    <w:left w:val="none" w:sz="0" w:space="0" w:color="auto"/>
                                    <w:bottom w:val="none" w:sz="0" w:space="0" w:color="auto"/>
                                    <w:right w:val="none" w:sz="0" w:space="0" w:color="auto"/>
                                  </w:divBdr>
                                  <w:divsChild>
                                    <w:div w:id="1597014163">
                                      <w:marLeft w:val="0"/>
                                      <w:marRight w:val="0"/>
                                      <w:marTop w:val="0"/>
                                      <w:marBottom w:val="0"/>
                                      <w:divBdr>
                                        <w:top w:val="none" w:sz="0" w:space="0" w:color="auto"/>
                                        <w:left w:val="none" w:sz="0" w:space="0" w:color="auto"/>
                                        <w:bottom w:val="none" w:sz="0" w:space="0" w:color="auto"/>
                                        <w:right w:val="none" w:sz="0" w:space="0" w:color="auto"/>
                                      </w:divBdr>
                                      <w:divsChild>
                                        <w:div w:id="15970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014238">
      <w:marLeft w:val="0"/>
      <w:marRight w:val="0"/>
      <w:marTop w:val="0"/>
      <w:marBottom w:val="0"/>
      <w:divBdr>
        <w:top w:val="none" w:sz="0" w:space="0" w:color="auto"/>
        <w:left w:val="none" w:sz="0" w:space="0" w:color="auto"/>
        <w:bottom w:val="none" w:sz="0" w:space="0" w:color="auto"/>
        <w:right w:val="none" w:sz="0" w:space="0" w:color="auto"/>
      </w:divBdr>
      <w:divsChild>
        <w:div w:id="1597014168">
          <w:marLeft w:val="0"/>
          <w:marRight w:val="1"/>
          <w:marTop w:val="0"/>
          <w:marBottom w:val="0"/>
          <w:divBdr>
            <w:top w:val="none" w:sz="0" w:space="0" w:color="auto"/>
            <w:left w:val="none" w:sz="0" w:space="0" w:color="auto"/>
            <w:bottom w:val="none" w:sz="0" w:space="0" w:color="auto"/>
            <w:right w:val="none" w:sz="0" w:space="0" w:color="auto"/>
          </w:divBdr>
          <w:divsChild>
            <w:div w:id="1597014261">
              <w:marLeft w:val="0"/>
              <w:marRight w:val="0"/>
              <w:marTop w:val="0"/>
              <w:marBottom w:val="0"/>
              <w:divBdr>
                <w:top w:val="none" w:sz="0" w:space="0" w:color="auto"/>
                <w:left w:val="none" w:sz="0" w:space="0" w:color="auto"/>
                <w:bottom w:val="none" w:sz="0" w:space="0" w:color="auto"/>
                <w:right w:val="none" w:sz="0" w:space="0" w:color="auto"/>
              </w:divBdr>
              <w:divsChild>
                <w:div w:id="1597014212">
                  <w:marLeft w:val="0"/>
                  <w:marRight w:val="1"/>
                  <w:marTop w:val="0"/>
                  <w:marBottom w:val="0"/>
                  <w:divBdr>
                    <w:top w:val="none" w:sz="0" w:space="0" w:color="auto"/>
                    <w:left w:val="none" w:sz="0" w:space="0" w:color="auto"/>
                    <w:bottom w:val="none" w:sz="0" w:space="0" w:color="auto"/>
                    <w:right w:val="none" w:sz="0" w:space="0" w:color="auto"/>
                  </w:divBdr>
                  <w:divsChild>
                    <w:div w:id="1597014063">
                      <w:marLeft w:val="0"/>
                      <w:marRight w:val="0"/>
                      <w:marTop w:val="0"/>
                      <w:marBottom w:val="0"/>
                      <w:divBdr>
                        <w:top w:val="none" w:sz="0" w:space="0" w:color="auto"/>
                        <w:left w:val="none" w:sz="0" w:space="0" w:color="auto"/>
                        <w:bottom w:val="none" w:sz="0" w:space="0" w:color="auto"/>
                        <w:right w:val="none" w:sz="0" w:space="0" w:color="auto"/>
                      </w:divBdr>
                      <w:divsChild>
                        <w:div w:id="1597014231">
                          <w:marLeft w:val="0"/>
                          <w:marRight w:val="0"/>
                          <w:marTop w:val="0"/>
                          <w:marBottom w:val="0"/>
                          <w:divBdr>
                            <w:top w:val="none" w:sz="0" w:space="0" w:color="auto"/>
                            <w:left w:val="none" w:sz="0" w:space="0" w:color="auto"/>
                            <w:bottom w:val="none" w:sz="0" w:space="0" w:color="auto"/>
                            <w:right w:val="none" w:sz="0" w:space="0" w:color="auto"/>
                          </w:divBdr>
                          <w:divsChild>
                            <w:div w:id="1597014103">
                              <w:marLeft w:val="0"/>
                              <w:marRight w:val="0"/>
                              <w:marTop w:val="120"/>
                              <w:marBottom w:val="360"/>
                              <w:divBdr>
                                <w:top w:val="none" w:sz="0" w:space="0" w:color="auto"/>
                                <w:left w:val="none" w:sz="0" w:space="0" w:color="auto"/>
                                <w:bottom w:val="none" w:sz="0" w:space="0" w:color="auto"/>
                                <w:right w:val="none" w:sz="0" w:space="0" w:color="auto"/>
                              </w:divBdr>
                              <w:divsChild>
                                <w:div w:id="1597014216">
                                  <w:marLeft w:val="0"/>
                                  <w:marRight w:val="0"/>
                                  <w:marTop w:val="0"/>
                                  <w:marBottom w:val="0"/>
                                  <w:divBdr>
                                    <w:top w:val="none" w:sz="0" w:space="0" w:color="auto"/>
                                    <w:left w:val="none" w:sz="0" w:space="0" w:color="auto"/>
                                    <w:bottom w:val="none" w:sz="0" w:space="0" w:color="auto"/>
                                    <w:right w:val="none" w:sz="0" w:space="0" w:color="auto"/>
                                  </w:divBdr>
                                  <w:divsChild>
                                    <w:div w:id="15970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014257">
      <w:marLeft w:val="0"/>
      <w:marRight w:val="0"/>
      <w:marTop w:val="0"/>
      <w:marBottom w:val="0"/>
      <w:divBdr>
        <w:top w:val="none" w:sz="0" w:space="0" w:color="auto"/>
        <w:left w:val="none" w:sz="0" w:space="0" w:color="auto"/>
        <w:bottom w:val="none" w:sz="0" w:space="0" w:color="auto"/>
        <w:right w:val="none" w:sz="0" w:space="0" w:color="auto"/>
      </w:divBdr>
      <w:divsChild>
        <w:div w:id="1597014255">
          <w:marLeft w:val="0"/>
          <w:marRight w:val="0"/>
          <w:marTop w:val="0"/>
          <w:marBottom w:val="0"/>
          <w:divBdr>
            <w:top w:val="none" w:sz="0" w:space="0" w:color="auto"/>
            <w:left w:val="none" w:sz="0" w:space="0" w:color="auto"/>
            <w:bottom w:val="none" w:sz="0" w:space="0" w:color="auto"/>
            <w:right w:val="none" w:sz="0" w:space="0" w:color="auto"/>
          </w:divBdr>
          <w:divsChild>
            <w:div w:id="1597014104">
              <w:marLeft w:val="0"/>
              <w:marRight w:val="0"/>
              <w:marTop w:val="0"/>
              <w:marBottom w:val="0"/>
              <w:divBdr>
                <w:top w:val="none" w:sz="0" w:space="0" w:color="auto"/>
                <w:left w:val="none" w:sz="0" w:space="0" w:color="auto"/>
                <w:bottom w:val="none" w:sz="0" w:space="0" w:color="auto"/>
                <w:right w:val="none" w:sz="0" w:space="0" w:color="auto"/>
              </w:divBdr>
              <w:divsChild>
                <w:div w:id="1597014268">
                  <w:marLeft w:val="0"/>
                  <w:marRight w:val="0"/>
                  <w:marTop w:val="0"/>
                  <w:marBottom w:val="0"/>
                  <w:divBdr>
                    <w:top w:val="none" w:sz="0" w:space="0" w:color="auto"/>
                    <w:left w:val="none" w:sz="0" w:space="0" w:color="auto"/>
                    <w:bottom w:val="none" w:sz="0" w:space="0" w:color="auto"/>
                    <w:right w:val="none" w:sz="0" w:space="0" w:color="auto"/>
                  </w:divBdr>
                  <w:divsChild>
                    <w:div w:id="1597014214">
                      <w:marLeft w:val="0"/>
                      <w:marRight w:val="0"/>
                      <w:marTop w:val="0"/>
                      <w:marBottom w:val="0"/>
                      <w:divBdr>
                        <w:top w:val="none" w:sz="0" w:space="0" w:color="auto"/>
                        <w:left w:val="none" w:sz="0" w:space="0" w:color="auto"/>
                        <w:bottom w:val="none" w:sz="0" w:space="0" w:color="auto"/>
                        <w:right w:val="none" w:sz="0" w:space="0" w:color="auto"/>
                      </w:divBdr>
                      <w:divsChild>
                        <w:div w:id="1597014273">
                          <w:marLeft w:val="0"/>
                          <w:marRight w:val="0"/>
                          <w:marTop w:val="0"/>
                          <w:marBottom w:val="0"/>
                          <w:divBdr>
                            <w:top w:val="none" w:sz="0" w:space="0" w:color="auto"/>
                            <w:left w:val="none" w:sz="0" w:space="0" w:color="auto"/>
                            <w:bottom w:val="none" w:sz="0" w:space="0" w:color="auto"/>
                            <w:right w:val="none" w:sz="0" w:space="0" w:color="auto"/>
                          </w:divBdr>
                          <w:divsChild>
                            <w:div w:id="1597014202">
                              <w:marLeft w:val="0"/>
                              <w:marRight w:val="0"/>
                              <w:marTop w:val="0"/>
                              <w:marBottom w:val="0"/>
                              <w:divBdr>
                                <w:top w:val="none" w:sz="0" w:space="0" w:color="auto"/>
                                <w:left w:val="none" w:sz="0" w:space="0" w:color="auto"/>
                                <w:bottom w:val="none" w:sz="0" w:space="0" w:color="auto"/>
                                <w:right w:val="none" w:sz="0" w:space="0" w:color="auto"/>
                              </w:divBdr>
                              <w:divsChild>
                                <w:div w:id="1597014156">
                                  <w:marLeft w:val="0"/>
                                  <w:marRight w:val="0"/>
                                  <w:marTop w:val="0"/>
                                  <w:marBottom w:val="0"/>
                                  <w:divBdr>
                                    <w:top w:val="none" w:sz="0" w:space="0" w:color="auto"/>
                                    <w:left w:val="none" w:sz="0" w:space="0" w:color="auto"/>
                                    <w:bottom w:val="none" w:sz="0" w:space="0" w:color="auto"/>
                                    <w:right w:val="none" w:sz="0" w:space="0" w:color="auto"/>
                                  </w:divBdr>
                                  <w:divsChild>
                                    <w:div w:id="1597014173">
                                      <w:marLeft w:val="0"/>
                                      <w:marRight w:val="0"/>
                                      <w:marTop w:val="0"/>
                                      <w:marBottom w:val="0"/>
                                      <w:divBdr>
                                        <w:top w:val="none" w:sz="0" w:space="0" w:color="auto"/>
                                        <w:left w:val="none" w:sz="0" w:space="0" w:color="auto"/>
                                        <w:bottom w:val="none" w:sz="0" w:space="0" w:color="auto"/>
                                        <w:right w:val="none" w:sz="0" w:space="0" w:color="auto"/>
                                      </w:divBdr>
                                      <w:divsChild>
                                        <w:div w:id="15970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ariush\AppData\Local\Temp\wykresy.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osia\Desktop\FIG%20%203%20ex(1).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mariush\AppData\Local\Temp\wykresy.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osia\Desktop\wyk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autoTitleDeleted val="1"/>
    <c:plotArea>
      <c:layout>
        <c:manualLayout>
          <c:layoutTarget val="inner"/>
          <c:xMode val="edge"/>
          <c:yMode val="edge"/>
          <c:x val="0.10544235199157632"/>
          <c:y val="3.8647434158538448E-2"/>
          <c:w val="0.85884496380235542"/>
          <c:h val="0.82850436977366348"/>
        </c:manualLayout>
      </c:layout>
      <c:barChart>
        <c:barDir val="col"/>
        <c:grouping val="clustered"/>
        <c:varyColors val="1"/>
        <c:ser>
          <c:idx val="0"/>
          <c:order val="0"/>
          <c:spPr>
            <a:pattFill prst="ltUpDiag">
              <a:fgClr>
                <a:srgbClr val="000000"/>
              </a:fgClr>
              <a:bgClr>
                <a:srgbClr val="FFFFFF"/>
              </a:bgClr>
            </a:pattFill>
            <a:ln w="12700">
              <a:solidFill>
                <a:srgbClr val="000000"/>
              </a:solidFill>
              <a:prstDash val="solid"/>
            </a:ln>
          </c:spPr>
          <c:invertIfNegative val="1"/>
          <c:dLbls>
            <c:showLegendKey val="1"/>
            <c:showVal val="1"/>
            <c:showCatName val="1"/>
            <c:showSerName val="1"/>
            <c:showPercent val="1"/>
            <c:showBubbleSize val="1"/>
            <c:showLeaderLines val="0"/>
          </c:dLbls>
          <c:errBars>
            <c:errBarType val="plus"/>
            <c:errValType val="cust"/>
            <c:noEndCap val="1"/>
            <c:plus>
              <c:numLit>
                <c:formatCode>General</c:formatCode>
                <c:ptCount val="2"/>
                <c:pt idx="0">
                  <c:v>11.369450000000068</c:v>
                </c:pt>
                <c:pt idx="1">
                  <c:v>13.004020000000001</c:v>
                </c:pt>
              </c:numLit>
            </c:plus>
            <c:spPr>
              <a:ln w="12700">
                <a:solidFill>
                  <a:srgbClr val="000000"/>
                </a:solidFill>
                <a:prstDash val="solid"/>
              </a:ln>
            </c:spPr>
          </c:errBars>
          <c:cat>
            <c:strRef>
              <c:f>Arkusz1!$C$5:$C$6</c:f>
              <c:strCache>
                <c:ptCount val="2"/>
                <c:pt idx="0">
                  <c:v>MGC</c:v>
                </c:pt>
                <c:pt idx="1">
                  <c:v>GC</c:v>
                </c:pt>
              </c:strCache>
            </c:strRef>
          </c:cat>
          <c:val>
            <c:numRef>
              <c:f>Arkusz1!$D$5:$D$6</c:f>
              <c:numCache>
                <c:formatCode>General</c:formatCode>
                <c:ptCount val="2"/>
                <c:pt idx="0">
                  <c:v>63.413789999999999</c:v>
                </c:pt>
                <c:pt idx="1">
                  <c:v>59.507459999999995</c:v>
                </c:pt>
              </c:numCache>
            </c:numRef>
          </c:val>
        </c:ser>
        <c:dLbls>
          <c:showLegendKey val="0"/>
          <c:showVal val="0"/>
          <c:showCatName val="0"/>
          <c:showSerName val="0"/>
          <c:showPercent val="0"/>
          <c:showBubbleSize val="0"/>
        </c:dLbls>
        <c:gapWidth val="200"/>
        <c:overlap val="60"/>
        <c:axId val="386200704"/>
        <c:axId val="386202624"/>
      </c:barChart>
      <c:catAx>
        <c:axId val="386200704"/>
        <c:scaling>
          <c:orientation val="minMax"/>
        </c:scaling>
        <c:delete val="1"/>
        <c:axPos val="b"/>
        <c:numFmt formatCode="General" sourceLinked="1"/>
        <c:majorTickMark val="cross"/>
        <c:minorTickMark val="cross"/>
        <c:tickLblPos val="nextTo"/>
        <c:crossAx val="386202624"/>
        <c:crosses val="autoZero"/>
        <c:auto val="1"/>
        <c:lblAlgn val="ctr"/>
        <c:lblOffset val="100"/>
        <c:tickLblSkip val="1"/>
        <c:tickMarkSkip val="1"/>
        <c:noMultiLvlLbl val="1"/>
      </c:catAx>
      <c:valAx>
        <c:axId val="386202624"/>
        <c:scaling>
          <c:orientation val="minMax"/>
        </c:scaling>
        <c:delete val="1"/>
        <c:axPos val="l"/>
        <c:title>
          <c:tx>
            <c:rich>
              <a:bodyPr/>
              <a:lstStyle/>
              <a:p>
                <a:pPr>
                  <a:defRPr sz="1100" b="1" i="0" u="none" strike="noStrike" baseline="0">
                    <a:solidFill>
                      <a:srgbClr val="000000"/>
                    </a:solidFill>
                    <a:latin typeface="Book Antiqua" pitchFamily="18" charset="0"/>
                    <a:ea typeface="Arial"/>
                    <a:cs typeface="Arial"/>
                  </a:defRPr>
                </a:pPr>
                <a:r>
                  <a:rPr lang="pl-PL">
                    <a:latin typeface="Book Antiqua" pitchFamily="18" charset="0"/>
                  </a:rPr>
                  <a:t>Age (years)</a:t>
                </a:r>
              </a:p>
            </c:rich>
          </c:tx>
          <c:layout>
            <c:manualLayout>
              <c:xMode val="edge"/>
              <c:yMode val="edge"/>
              <c:x val="1.3605464773106623E-2"/>
              <c:y val="0.3526578366966634"/>
            </c:manualLayout>
          </c:layout>
          <c:overlay val="1"/>
          <c:spPr>
            <a:noFill/>
            <a:ln w="25400">
              <a:noFill/>
            </a:ln>
          </c:spPr>
        </c:title>
        <c:numFmt formatCode="General" sourceLinked="1"/>
        <c:majorTickMark val="cross"/>
        <c:minorTickMark val="cross"/>
        <c:tickLblPos val="nextTo"/>
        <c:crossAx val="386200704"/>
        <c:crosses val="autoZero"/>
        <c:crossBetween val="between"/>
      </c:valAx>
      <c:spPr>
        <a:noFill/>
        <a:ln w="25400">
          <a:noFill/>
        </a:ln>
      </c:spPr>
    </c:plotArea>
    <c:plotVisOnly val="1"/>
    <c:dispBlanksAs val="gap"/>
    <c:showDLblsOverMax val="1"/>
  </c:chart>
  <c:spPr>
    <a:solidFill>
      <a:srgbClr val="FFFFFF"/>
    </a:solidFill>
    <a:ln w="3175">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en-US"/>
    </a:p>
  </c:txPr>
  <c:externalData r:id="rId1">
    <c:autoUpdate val="1"/>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1"/>
  <c:style val="17"/>
  <c:chart>
    <c:title>
      <c:tx>
        <c:rich>
          <a:bodyPr/>
          <a:lstStyle/>
          <a:p>
            <a:pPr>
              <a:defRPr>
                <a:latin typeface="Book Antiqua" pitchFamily="18" charset="0"/>
              </a:defRPr>
            </a:pPr>
            <a:r>
              <a:rPr lang="pl-PL" sz="1100" b="0" i="1">
                <a:latin typeface="Book Antiqua" pitchFamily="18" charset="0"/>
              </a:rPr>
              <a:t>P</a:t>
            </a:r>
            <a:r>
              <a:rPr lang="pl-PL" sz="1100" b="0">
                <a:latin typeface="Book Antiqua" pitchFamily="18" charset="0"/>
              </a:rPr>
              <a:t>=0.002</a:t>
            </a:r>
          </a:p>
        </c:rich>
      </c:tx>
      <c:layout>
        <c:manualLayout>
          <c:xMode val="edge"/>
          <c:yMode val="edge"/>
          <c:x val="0.57485151395373302"/>
          <c:y val="0.2821819290937258"/>
        </c:manualLayout>
      </c:layout>
      <c:overlay val="1"/>
    </c:title>
    <c:autoTitleDeleted val="0"/>
    <c:plotArea>
      <c:layout>
        <c:manualLayout>
          <c:layoutTarget val="inner"/>
          <c:xMode val="edge"/>
          <c:yMode val="edge"/>
          <c:x val="0.11229187511782024"/>
          <c:y val="0.11634054917447248"/>
          <c:w val="0.75468298506885534"/>
          <c:h val="0.76112467592927435"/>
        </c:manualLayout>
      </c:layout>
      <c:barChart>
        <c:barDir val="col"/>
        <c:grouping val="clustered"/>
        <c:varyColors val="1"/>
        <c:ser>
          <c:idx val="0"/>
          <c:order val="0"/>
          <c:tx>
            <c:v>GC</c:v>
          </c:tx>
          <c:invertIfNegative val="1"/>
          <c:dLbls>
            <c:showLegendKey val="1"/>
            <c:showVal val="1"/>
            <c:showCatName val="1"/>
            <c:showSerName val="1"/>
            <c:showPercent val="1"/>
            <c:showBubbleSize val="1"/>
            <c:showLeaderLines val="0"/>
          </c:dLbls>
          <c:cat>
            <c:strRef>
              <c:f>Arkusz1!$A$1:$A$4</c:f>
              <c:strCache>
                <c:ptCount val="4"/>
                <c:pt idx="0">
                  <c:v>AB</c:v>
                </c:pt>
                <c:pt idx="1">
                  <c:v>B</c:v>
                </c:pt>
                <c:pt idx="2">
                  <c:v>A</c:v>
                </c:pt>
                <c:pt idx="3">
                  <c:v>O</c:v>
                </c:pt>
              </c:strCache>
            </c:strRef>
          </c:cat>
          <c:val>
            <c:numRef>
              <c:f>Arkusz1!$B$1:$B$4</c:f>
              <c:numCache>
                <c:formatCode>0.00%</c:formatCode>
                <c:ptCount val="4"/>
                <c:pt idx="0">
                  <c:v>0.11370000000000016</c:v>
                </c:pt>
                <c:pt idx="1">
                  <c:v>0.18880000000000041</c:v>
                </c:pt>
                <c:pt idx="2">
                  <c:v>0.38150000000000273</c:v>
                </c:pt>
                <c:pt idx="3">
                  <c:v>0.3160000000000025</c:v>
                </c:pt>
              </c:numCache>
            </c:numRef>
          </c:val>
        </c:ser>
        <c:ser>
          <c:idx val="1"/>
          <c:order val="1"/>
          <c:tx>
            <c:v>MGC</c:v>
          </c:tx>
          <c:invertIfNegative val="1"/>
          <c:dLbls>
            <c:showLegendKey val="1"/>
            <c:showVal val="1"/>
            <c:showCatName val="1"/>
            <c:showSerName val="1"/>
            <c:showPercent val="1"/>
            <c:showBubbleSize val="1"/>
            <c:showLeaderLines val="0"/>
          </c:dLbls>
          <c:cat>
            <c:strRef>
              <c:f>Arkusz1!$A$1:$A$4</c:f>
              <c:strCache>
                <c:ptCount val="4"/>
                <c:pt idx="0">
                  <c:v>AB</c:v>
                </c:pt>
                <c:pt idx="1">
                  <c:v>B</c:v>
                </c:pt>
                <c:pt idx="2">
                  <c:v>A</c:v>
                </c:pt>
                <c:pt idx="3">
                  <c:v>O</c:v>
                </c:pt>
              </c:strCache>
            </c:strRef>
          </c:cat>
          <c:val>
            <c:numRef>
              <c:f>Arkusz1!$C$1:$C$4</c:f>
              <c:numCache>
                <c:formatCode>0.00%</c:formatCode>
                <c:ptCount val="4"/>
                <c:pt idx="0" formatCode="0%">
                  <c:v>0</c:v>
                </c:pt>
                <c:pt idx="1">
                  <c:v>0.16670000000000024</c:v>
                </c:pt>
                <c:pt idx="2">
                  <c:v>0.27080000000000032</c:v>
                </c:pt>
                <c:pt idx="3">
                  <c:v>0.5625</c:v>
                </c:pt>
              </c:numCache>
            </c:numRef>
          </c:val>
        </c:ser>
        <c:dLbls>
          <c:showLegendKey val="0"/>
          <c:showVal val="0"/>
          <c:showCatName val="0"/>
          <c:showSerName val="0"/>
          <c:showPercent val="0"/>
          <c:showBubbleSize val="0"/>
        </c:dLbls>
        <c:gapWidth val="150"/>
        <c:axId val="190908288"/>
        <c:axId val="190909824"/>
      </c:barChart>
      <c:catAx>
        <c:axId val="190908288"/>
        <c:scaling>
          <c:orientation val="minMax"/>
        </c:scaling>
        <c:delete val="1"/>
        <c:axPos val="b"/>
        <c:majorTickMark val="none"/>
        <c:minorTickMark val="cross"/>
        <c:tickLblPos val="nextTo"/>
        <c:crossAx val="190909824"/>
        <c:crossesAt val="0"/>
        <c:auto val="1"/>
        <c:lblAlgn val="ctr"/>
        <c:lblOffset val="100"/>
        <c:noMultiLvlLbl val="1"/>
      </c:catAx>
      <c:valAx>
        <c:axId val="190909824"/>
        <c:scaling>
          <c:orientation val="minMax"/>
        </c:scaling>
        <c:delete val="1"/>
        <c:axPos val="l"/>
        <c:majorGridlines/>
        <c:numFmt formatCode="0.00%" sourceLinked="1"/>
        <c:majorTickMark val="none"/>
        <c:minorTickMark val="cross"/>
        <c:tickLblPos val="nextTo"/>
        <c:crossAx val="190908288"/>
        <c:crosses val="autoZero"/>
        <c:crossBetween val="between"/>
      </c:valAx>
    </c:plotArea>
    <c:legend>
      <c:legendPos val="r"/>
      <c:overlay val="1"/>
      <c:txPr>
        <a:bodyPr/>
        <a:lstStyle/>
        <a:p>
          <a:pPr>
            <a:defRPr>
              <a:latin typeface="Book Antiqua" pitchFamily="18" charset="0"/>
            </a:defRPr>
          </a:pPr>
          <a:endParaRPr lang="en-US"/>
        </a:p>
      </c:txPr>
    </c:legend>
    <c:plotVisOnly val="1"/>
    <c:dispBlanksAs val="gap"/>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autoTitleDeleted val="1"/>
    <c:plotArea>
      <c:layout>
        <c:manualLayout>
          <c:layoutTarget val="inner"/>
          <c:xMode val="edge"/>
          <c:yMode val="edge"/>
          <c:x val="0.10526324515801279"/>
          <c:y val="3.8554262229694831E-2"/>
          <c:w val="0.85908390403151569"/>
          <c:h val="0.82891663793843884"/>
        </c:manualLayout>
      </c:layout>
      <c:barChart>
        <c:barDir val="col"/>
        <c:grouping val="clustered"/>
        <c:varyColors val="1"/>
        <c:ser>
          <c:idx val="0"/>
          <c:order val="0"/>
          <c:spPr>
            <a:pattFill prst="ltUpDiag">
              <a:fgClr>
                <a:srgbClr val="000000"/>
              </a:fgClr>
              <a:bgClr>
                <a:srgbClr val="FFFFFF"/>
              </a:bgClr>
            </a:pattFill>
            <a:ln w="12700">
              <a:solidFill>
                <a:srgbClr val="000000"/>
              </a:solidFill>
              <a:prstDash val="solid"/>
            </a:ln>
          </c:spPr>
          <c:invertIfNegative val="1"/>
          <c:dLbls>
            <c:showLegendKey val="1"/>
            <c:showVal val="1"/>
            <c:showCatName val="1"/>
            <c:showSerName val="1"/>
            <c:showPercent val="1"/>
            <c:showBubbleSize val="1"/>
            <c:showLeaderLines val="0"/>
          </c:dLbls>
          <c:errBars>
            <c:errBarType val="plus"/>
            <c:errValType val="cust"/>
            <c:noEndCap val="1"/>
            <c:plus>
              <c:numLit>
                <c:formatCode>General</c:formatCode>
                <c:ptCount val="2"/>
                <c:pt idx="0">
                  <c:v>11.146249999999998</c:v>
                </c:pt>
                <c:pt idx="1">
                  <c:v>10.307080000000004</c:v>
                </c:pt>
              </c:numLit>
            </c:plus>
            <c:spPr>
              <a:ln w="12700">
                <a:solidFill>
                  <a:srgbClr val="000000"/>
                </a:solidFill>
                <a:prstDash val="solid"/>
              </a:ln>
            </c:spPr>
          </c:errBars>
          <c:cat>
            <c:strRef>
              <c:f>Arkusz2!$A$1:$A$2</c:f>
              <c:strCache>
                <c:ptCount val="2"/>
                <c:pt idx="0">
                  <c:v>M</c:v>
                </c:pt>
                <c:pt idx="1">
                  <c:v>S</c:v>
                </c:pt>
              </c:strCache>
            </c:strRef>
          </c:cat>
          <c:val>
            <c:numRef>
              <c:f>Arkusz2!$B$1:$B$2</c:f>
              <c:numCache>
                <c:formatCode>General</c:formatCode>
                <c:ptCount val="2"/>
                <c:pt idx="0">
                  <c:v>59.941179999999996</c:v>
                </c:pt>
                <c:pt idx="1">
                  <c:v>68.045450000000002</c:v>
                </c:pt>
              </c:numCache>
            </c:numRef>
          </c:val>
        </c:ser>
        <c:dLbls>
          <c:showLegendKey val="0"/>
          <c:showVal val="0"/>
          <c:showCatName val="0"/>
          <c:showSerName val="0"/>
          <c:showPercent val="0"/>
          <c:showBubbleSize val="0"/>
        </c:dLbls>
        <c:gapWidth val="200"/>
        <c:overlap val="60"/>
        <c:axId val="386269568"/>
        <c:axId val="386271104"/>
      </c:barChart>
      <c:catAx>
        <c:axId val="386269568"/>
        <c:scaling>
          <c:orientation val="minMax"/>
        </c:scaling>
        <c:delete val="1"/>
        <c:axPos val="b"/>
        <c:numFmt formatCode="General" sourceLinked="1"/>
        <c:majorTickMark val="cross"/>
        <c:minorTickMark val="cross"/>
        <c:tickLblPos val="nextTo"/>
        <c:crossAx val="386271104"/>
        <c:crosses val="autoZero"/>
        <c:auto val="1"/>
        <c:lblAlgn val="ctr"/>
        <c:lblOffset val="100"/>
        <c:tickLblSkip val="1"/>
        <c:tickMarkSkip val="1"/>
        <c:noMultiLvlLbl val="1"/>
      </c:catAx>
      <c:valAx>
        <c:axId val="386271104"/>
        <c:scaling>
          <c:orientation val="minMax"/>
        </c:scaling>
        <c:delete val="1"/>
        <c:axPos val="l"/>
        <c:title>
          <c:tx>
            <c:rich>
              <a:bodyPr/>
              <a:lstStyle/>
              <a:p>
                <a:pPr>
                  <a:defRPr sz="1100" b="1" i="0" u="none" strike="noStrike" baseline="0">
                    <a:solidFill>
                      <a:srgbClr val="000000"/>
                    </a:solidFill>
                    <a:latin typeface="Book Antiqua" pitchFamily="18" charset="0"/>
                    <a:ea typeface="Arial"/>
                    <a:cs typeface="Arial"/>
                  </a:defRPr>
                </a:pPr>
                <a:r>
                  <a:rPr lang="pl-PL">
                    <a:latin typeface="Book Antiqua" pitchFamily="18" charset="0"/>
                  </a:rPr>
                  <a:t>Age (years)</a:t>
                </a:r>
              </a:p>
            </c:rich>
          </c:tx>
          <c:layout>
            <c:manualLayout>
              <c:xMode val="edge"/>
              <c:yMode val="edge"/>
              <c:x val="1.358235421393718E-2"/>
              <c:y val="0.35421728423532128"/>
            </c:manualLayout>
          </c:layout>
          <c:overlay val="1"/>
          <c:spPr>
            <a:noFill/>
            <a:ln w="25400">
              <a:noFill/>
            </a:ln>
          </c:spPr>
        </c:title>
        <c:numFmt formatCode="General" sourceLinked="1"/>
        <c:majorTickMark val="cross"/>
        <c:minorTickMark val="cross"/>
        <c:tickLblPos val="nextTo"/>
        <c:crossAx val="386269568"/>
        <c:crosses val="autoZero"/>
        <c:crossBetween val="between"/>
      </c:valAx>
      <c:spPr>
        <a:noFill/>
        <a:ln w="25400">
          <a:noFill/>
        </a:ln>
      </c:spPr>
    </c:plotArea>
    <c:plotVisOnly val="1"/>
    <c:dispBlanksAs val="gap"/>
    <c:showDLblsOverMax val="1"/>
  </c:chart>
  <c:spPr>
    <a:solidFill>
      <a:srgbClr val="FFFFFF"/>
    </a:solidFill>
    <a:ln w="3175">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en-US"/>
    </a:p>
  </c:txPr>
  <c:externalData r:id="rId1">
    <c:autoUpdate val="1"/>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roundedCorners val="1"/>
  <c:style val="17"/>
  <c:chart>
    <c:autoTitleDeleted val="1"/>
    <c:plotArea>
      <c:layout/>
      <c:barChart>
        <c:barDir val="col"/>
        <c:grouping val="stacked"/>
        <c:varyColors val="1"/>
        <c:ser>
          <c:idx val="0"/>
          <c:order val="0"/>
          <c:invertIfNegative val="1"/>
          <c:dLbls>
            <c:showLegendKey val="1"/>
            <c:showVal val="1"/>
            <c:showCatName val="1"/>
            <c:showSerName val="1"/>
            <c:showPercent val="1"/>
            <c:showBubbleSize val="1"/>
            <c:showLeaderLines val="0"/>
          </c:dLbls>
          <c:cat>
            <c:strRef>
              <c:f>[wykres.xlsx]Arkusz1!$A$1:$A$14</c:f>
              <c:strCache>
                <c:ptCount val="14"/>
                <c:pt idx="0">
                  <c:v>Colorectal</c:v>
                </c:pt>
                <c:pt idx="1">
                  <c:v>Lung</c:v>
                </c:pt>
                <c:pt idx="2">
                  <c:v>Breast</c:v>
                </c:pt>
                <c:pt idx="3">
                  <c:v>Prostate</c:v>
                </c:pt>
                <c:pt idx="4">
                  <c:v>Lymphoma</c:v>
                </c:pt>
                <c:pt idx="5">
                  <c:v>Skin</c:v>
                </c:pt>
                <c:pt idx="6">
                  <c:v>Urinary bladder</c:v>
                </c:pt>
                <c:pt idx="7">
                  <c:v>Kidney</c:v>
                </c:pt>
                <c:pt idx="8">
                  <c:v>Larynx</c:v>
                </c:pt>
                <c:pt idx="9">
                  <c:v>Non Hodkin lymphoma</c:v>
                </c:pt>
                <c:pt idx="10">
                  <c:v>Head</c:v>
                </c:pt>
                <c:pt idx="11">
                  <c:v>Ovary</c:v>
                </c:pt>
                <c:pt idx="12">
                  <c:v>Pancreas</c:v>
                </c:pt>
                <c:pt idx="13">
                  <c:v>Uterus</c:v>
                </c:pt>
              </c:strCache>
            </c:strRef>
          </c:cat>
          <c:val>
            <c:numRef>
              <c:f>[wykres.xlsx]Arkusz1!$B$1:$B$14</c:f>
              <c:numCache>
                <c:formatCode>General</c:formatCode>
                <c:ptCount val="14"/>
                <c:pt idx="0">
                  <c:v>17</c:v>
                </c:pt>
                <c:pt idx="1">
                  <c:v>9</c:v>
                </c:pt>
                <c:pt idx="2">
                  <c:v>8</c:v>
                </c:pt>
                <c:pt idx="3">
                  <c:v>7</c:v>
                </c:pt>
                <c:pt idx="4">
                  <c:v>4</c:v>
                </c:pt>
                <c:pt idx="5">
                  <c:v>4</c:v>
                </c:pt>
                <c:pt idx="6">
                  <c:v>3</c:v>
                </c:pt>
                <c:pt idx="7">
                  <c:v>2</c:v>
                </c:pt>
                <c:pt idx="8">
                  <c:v>2</c:v>
                </c:pt>
                <c:pt idx="9">
                  <c:v>2</c:v>
                </c:pt>
                <c:pt idx="10">
                  <c:v>1</c:v>
                </c:pt>
                <c:pt idx="11">
                  <c:v>1</c:v>
                </c:pt>
                <c:pt idx="12">
                  <c:v>1</c:v>
                </c:pt>
                <c:pt idx="13">
                  <c:v>1</c:v>
                </c:pt>
              </c:numCache>
            </c:numRef>
          </c:val>
        </c:ser>
        <c:dLbls>
          <c:showLegendKey val="0"/>
          <c:showVal val="0"/>
          <c:showCatName val="0"/>
          <c:showSerName val="0"/>
          <c:showPercent val="0"/>
          <c:showBubbleSize val="0"/>
        </c:dLbls>
        <c:gapWidth val="55"/>
        <c:overlap val="100"/>
        <c:axId val="386292736"/>
        <c:axId val="386319104"/>
      </c:barChart>
      <c:catAx>
        <c:axId val="386292736"/>
        <c:scaling>
          <c:orientation val="minMax"/>
        </c:scaling>
        <c:delete val="1"/>
        <c:axPos val="b"/>
        <c:majorTickMark val="none"/>
        <c:minorTickMark val="cross"/>
        <c:tickLblPos val="nextTo"/>
        <c:crossAx val="386319104"/>
        <c:crosses val="autoZero"/>
        <c:auto val="1"/>
        <c:lblAlgn val="ctr"/>
        <c:lblOffset val="100"/>
        <c:noMultiLvlLbl val="1"/>
      </c:catAx>
      <c:valAx>
        <c:axId val="386319104"/>
        <c:scaling>
          <c:orientation val="minMax"/>
        </c:scaling>
        <c:delete val="1"/>
        <c:axPos val="l"/>
        <c:majorGridlines/>
        <c:title>
          <c:tx>
            <c:rich>
              <a:bodyPr/>
              <a:lstStyle/>
              <a:p>
                <a:pPr>
                  <a:defRPr>
                    <a:latin typeface="Book Antiqua" pitchFamily="18" charset="0"/>
                  </a:defRPr>
                </a:pPr>
                <a:r>
                  <a:rPr lang="pl-PL">
                    <a:latin typeface="Book Antiqua" pitchFamily="18" charset="0"/>
                  </a:rPr>
                  <a:t>Frequency</a:t>
                </a:r>
              </a:p>
            </c:rich>
          </c:tx>
          <c:overlay val="1"/>
        </c:title>
        <c:numFmt formatCode="General" sourceLinked="1"/>
        <c:majorTickMark val="none"/>
        <c:minorTickMark val="cross"/>
        <c:tickLblPos val="nextTo"/>
        <c:crossAx val="386292736"/>
        <c:crosses val="autoZero"/>
        <c:crossBetween val="between"/>
      </c:valAx>
    </c:plotArea>
    <c:plotVisOnly val="1"/>
    <c:dispBlanksAs val="gap"/>
    <c:showDLblsOverMax val="1"/>
  </c:chart>
  <c:externalData r:id="rId1">
    <c:autoUpdate val="1"/>
  </c:externalData>
</c:chartSpace>
</file>

<file path=word/drawings/drawing1.xml><?xml version="1.0" encoding="utf-8"?>
<c:userShapes xmlns:c="http://schemas.openxmlformats.org/drawingml/2006/chart">
  <cdr:relSizeAnchor xmlns:cdr="http://schemas.openxmlformats.org/drawingml/2006/chartDrawing">
    <cdr:from>
      <cdr:x>0.48353</cdr:x>
      <cdr:y>0.12281</cdr:y>
    </cdr:from>
    <cdr:to>
      <cdr:x>0.5819</cdr:x>
      <cdr:y>0.17715</cdr:y>
    </cdr:to>
    <cdr:sp macro="" textlink="">
      <cdr:nvSpPr>
        <cdr:cNvPr id="2049" name="Text Box 1"/>
        <cdr:cNvSpPr txBox="1">
          <a:spLocks xmlns:a="http://schemas.openxmlformats.org/drawingml/2006/main" noChangeArrowheads="1"/>
        </cdr:cNvSpPr>
      </cdr:nvSpPr>
      <cdr:spPr bwMode="auto">
        <a:xfrm xmlns:a="http://schemas.openxmlformats.org/drawingml/2006/main">
          <a:off x="2708106" y="484283"/>
          <a:ext cx="550920" cy="214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pl-PL" sz="1200" b="0" i="1" u="none" strike="noStrike" baseline="0">
              <a:solidFill>
                <a:srgbClr val="000000"/>
              </a:solidFill>
              <a:latin typeface="Book Antiqua" pitchFamily="18" charset="0"/>
              <a:cs typeface="Arial" pitchFamily="34" charset="0"/>
            </a:rPr>
            <a:t>P</a:t>
          </a:r>
          <a:r>
            <a:rPr lang="pl-PL" sz="1200" b="0" i="0" u="none" strike="noStrike" baseline="0">
              <a:solidFill>
                <a:srgbClr val="000000"/>
              </a:solidFill>
              <a:latin typeface="Book Antiqua" pitchFamily="18" charset="0"/>
              <a:cs typeface="Arial" pitchFamily="34" charset="0"/>
            </a:rPr>
            <a:t>=0.026</a:t>
          </a:r>
        </a:p>
      </cdr:txBody>
    </cdr:sp>
  </cdr:relSizeAnchor>
</c:userShapes>
</file>

<file path=word/drawings/drawing2.xml><?xml version="1.0" encoding="utf-8"?>
<c:userShapes xmlns:c="http://schemas.openxmlformats.org/drawingml/2006/chart">
  <cdr:relSizeAnchor xmlns:cdr="http://schemas.openxmlformats.org/drawingml/2006/chartDrawing">
    <cdr:from>
      <cdr:x>0.48557</cdr:x>
      <cdr:y>0.18554</cdr:y>
    </cdr:from>
    <cdr:to>
      <cdr:x>0.64856</cdr:x>
      <cdr:y>0.27229</cdr:y>
    </cdr:to>
    <cdr:sp macro="" textlink="">
      <cdr:nvSpPr>
        <cdr:cNvPr id="2" name="pole tekstowe 1"/>
        <cdr:cNvSpPr txBox="1"/>
      </cdr:nvSpPr>
      <cdr:spPr>
        <a:xfrm xmlns:a="http://schemas.openxmlformats.org/drawingml/2006/main">
          <a:off x="2724150" y="733425"/>
          <a:ext cx="9144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pl-PL" sz="1100"/>
        </a:p>
      </cdr:txBody>
    </cdr:sp>
  </cdr:relSizeAnchor>
  <cdr:relSizeAnchor xmlns:cdr="http://schemas.openxmlformats.org/drawingml/2006/chartDrawing">
    <cdr:from>
      <cdr:x>0.48896</cdr:x>
      <cdr:y>0.17108</cdr:y>
    </cdr:from>
    <cdr:to>
      <cdr:x>0.65195</cdr:x>
      <cdr:y>0.24096</cdr:y>
    </cdr:to>
    <cdr:sp macro="" textlink="">
      <cdr:nvSpPr>
        <cdr:cNvPr id="3" name="pole tekstowe 2"/>
        <cdr:cNvSpPr txBox="1"/>
      </cdr:nvSpPr>
      <cdr:spPr>
        <a:xfrm xmlns:a="http://schemas.openxmlformats.org/drawingml/2006/main">
          <a:off x="2743200" y="676275"/>
          <a:ext cx="914400"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l-PL" sz="1200" i="1">
              <a:latin typeface="Book Antiqua" pitchFamily="18" charset="0"/>
              <a:cs typeface="Arial" pitchFamily="34" charset="0"/>
            </a:rPr>
            <a:t>P</a:t>
          </a:r>
          <a:r>
            <a:rPr lang="pl-PL" sz="1200">
              <a:latin typeface="Book Antiqua" pitchFamily="18" charset="0"/>
              <a:cs typeface="Arial" pitchFamily="34" charset="0"/>
            </a:rPr>
            <a:t>=0.008</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5398</Words>
  <Characters>30773</Characters>
  <Application>Microsoft Office Word</Application>
  <DocSecurity>0</DocSecurity>
  <Lines>256</Lines>
  <Paragraphs>72</Paragraphs>
  <ScaleCrop>false</ScaleCrop>
  <Company>Hewlett-Packard Company</Company>
  <LinksUpToDate>false</LinksUpToDate>
  <CharactersWithSpaces>36099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Synchronous SYNCHRONOUS ET METACHRONOUS NEOPLASMS IN GASTRIC CANCER PATIENTS-20 YEARS’ PROSPECTIVES STUDIES</dc:title>
  <dc:creator>A</dc:creator>
  <cp:lastModifiedBy>LS Ma</cp:lastModifiedBy>
  <cp:revision>2</cp:revision>
  <cp:lastPrinted>2013-12-02T22:01:00Z</cp:lastPrinted>
  <dcterms:created xsi:type="dcterms:W3CDTF">2014-01-07T19:58:00Z</dcterms:created>
  <dcterms:modified xsi:type="dcterms:W3CDTF">2014-01-07T19:58:00Z</dcterms:modified>
</cp:coreProperties>
</file>