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C2" w:rsidRPr="00877499" w:rsidRDefault="00EB59C2" w:rsidP="009E2046">
      <w:pPr>
        <w:widowControl w:val="0"/>
        <w:adjustRightInd w:val="0"/>
        <w:snapToGrid w:val="0"/>
        <w:spacing w:after="0" w:line="360" w:lineRule="auto"/>
        <w:jc w:val="both"/>
        <w:rPr>
          <w:rFonts w:ascii="Book Antiqua" w:hAnsi="Book Antiqua"/>
          <w:b/>
          <w:bCs/>
          <w:sz w:val="24"/>
          <w:szCs w:val="24"/>
        </w:rPr>
      </w:pPr>
      <w:bookmarkStart w:id="0" w:name="_GoBack"/>
      <w:bookmarkEnd w:id="0"/>
      <w:r w:rsidRPr="00877499">
        <w:rPr>
          <w:rFonts w:ascii="Book Antiqua" w:hAnsi="Book Antiqua"/>
          <w:b/>
          <w:bCs/>
          <w:sz w:val="24"/>
          <w:szCs w:val="24"/>
        </w:rPr>
        <w:t xml:space="preserve">Name of Journal: </w:t>
      </w:r>
      <w:r w:rsidRPr="00877499">
        <w:rPr>
          <w:rFonts w:ascii="Book Antiqua" w:hAnsi="Book Antiqua"/>
          <w:bCs/>
          <w:i/>
          <w:iCs/>
          <w:sz w:val="24"/>
          <w:szCs w:val="24"/>
        </w:rPr>
        <w:t>World Journal of Clinical Oncology</w:t>
      </w:r>
    </w:p>
    <w:p w:rsidR="00EB59C2" w:rsidRPr="00877499" w:rsidRDefault="00EB59C2" w:rsidP="009E2046">
      <w:pPr>
        <w:widowControl w:val="0"/>
        <w:adjustRightInd w:val="0"/>
        <w:snapToGrid w:val="0"/>
        <w:spacing w:after="0" w:line="360" w:lineRule="auto"/>
        <w:jc w:val="both"/>
        <w:rPr>
          <w:rFonts w:ascii="Book Antiqua" w:hAnsi="Book Antiqua"/>
          <w:b/>
          <w:bCs/>
          <w:sz w:val="24"/>
          <w:szCs w:val="24"/>
        </w:rPr>
      </w:pPr>
      <w:r w:rsidRPr="00877499">
        <w:rPr>
          <w:rFonts w:ascii="Book Antiqua" w:eastAsia="Times New Roman" w:hAnsi="Book Antiqua"/>
          <w:b/>
          <w:bCs/>
          <w:color w:val="222222"/>
          <w:sz w:val="24"/>
          <w:szCs w:val="24"/>
          <w:lang w:val="hu-HU"/>
        </w:rPr>
        <w:t>Manuscript NO</w:t>
      </w:r>
      <w:r w:rsidRPr="00877499">
        <w:rPr>
          <w:rFonts w:ascii="Book Antiqua" w:hAnsi="Book Antiqua" w:cs="Arial"/>
          <w:b/>
          <w:color w:val="000000"/>
          <w:sz w:val="24"/>
          <w:szCs w:val="24"/>
          <w:lang w:val="en"/>
        </w:rPr>
        <w:t xml:space="preserve">: </w:t>
      </w:r>
      <w:bookmarkStart w:id="1" w:name="OLE_LINK1"/>
      <w:bookmarkStart w:id="2" w:name="OLE_LINK2"/>
      <w:r w:rsidRPr="00877499">
        <w:rPr>
          <w:rFonts w:ascii="Book Antiqua" w:hAnsi="Book Antiqua" w:cs="Arial"/>
          <w:bCs/>
          <w:color w:val="000000"/>
          <w:sz w:val="24"/>
          <w:szCs w:val="24"/>
          <w:lang w:val="en"/>
        </w:rPr>
        <w:t>52234</w:t>
      </w:r>
      <w:bookmarkEnd w:id="1"/>
      <w:bookmarkEnd w:id="2"/>
    </w:p>
    <w:p w:rsidR="00EB59C2" w:rsidRPr="00877499" w:rsidRDefault="00EB59C2" w:rsidP="009E2046">
      <w:pPr>
        <w:widowControl w:val="0"/>
        <w:adjustRightInd w:val="0"/>
        <w:snapToGrid w:val="0"/>
        <w:spacing w:after="0" w:line="360" w:lineRule="auto"/>
        <w:jc w:val="both"/>
        <w:rPr>
          <w:rFonts w:ascii="Book Antiqua" w:hAnsi="Book Antiqua"/>
          <w:bCs/>
          <w:sz w:val="24"/>
          <w:szCs w:val="24"/>
        </w:rPr>
      </w:pPr>
      <w:r w:rsidRPr="00877499">
        <w:rPr>
          <w:rFonts w:ascii="Book Antiqua" w:hAnsi="Book Antiqua"/>
          <w:b/>
          <w:bCs/>
          <w:sz w:val="24"/>
          <w:szCs w:val="24"/>
        </w:rPr>
        <w:t xml:space="preserve">Manuscript Type: </w:t>
      </w:r>
      <w:r w:rsidRPr="00877499">
        <w:rPr>
          <w:rFonts w:ascii="Book Antiqua" w:hAnsi="Book Antiqua"/>
          <w:sz w:val="24"/>
          <w:szCs w:val="24"/>
        </w:rPr>
        <w:t>ORIGINAL ARTICLE</w:t>
      </w:r>
    </w:p>
    <w:p w:rsidR="00EB59C2" w:rsidRPr="00877499" w:rsidRDefault="00EB59C2" w:rsidP="009E2046">
      <w:pPr>
        <w:widowControl w:val="0"/>
        <w:spacing w:after="0" w:line="360" w:lineRule="auto"/>
        <w:jc w:val="both"/>
        <w:rPr>
          <w:rFonts w:ascii="Book Antiqua" w:hAnsi="Book Antiqua" w:hint="eastAsia"/>
          <w:i/>
          <w:sz w:val="24"/>
          <w:szCs w:val="24"/>
        </w:rPr>
      </w:pPr>
    </w:p>
    <w:p w:rsidR="00E3374D" w:rsidRPr="00877499" w:rsidRDefault="00E3374D" w:rsidP="009E2046">
      <w:pPr>
        <w:widowControl w:val="0"/>
        <w:spacing w:after="0" w:line="360" w:lineRule="auto"/>
        <w:jc w:val="both"/>
        <w:rPr>
          <w:rFonts w:ascii="Book Antiqua" w:hAnsi="Book Antiqua" w:hint="eastAsia"/>
          <w:b/>
          <w:i/>
          <w:sz w:val="24"/>
          <w:szCs w:val="24"/>
        </w:rPr>
      </w:pPr>
      <w:r w:rsidRPr="00877499">
        <w:rPr>
          <w:rFonts w:ascii="Book Antiqua" w:hAnsi="Book Antiqua"/>
          <w:b/>
          <w:i/>
          <w:sz w:val="24"/>
          <w:szCs w:val="24"/>
        </w:rPr>
        <w:t xml:space="preserve">Retrospective </w:t>
      </w:r>
      <w:r w:rsidRPr="00877499">
        <w:rPr>
          <w:rFonts w:ascii="Book Antiqua" w:hAnsi="Book Antiqua"/>
          <w:b/>
          <w:i/>
          <w:caps/>
          <w:sz w:val="24"/>
          <w:szCs w:val="24"/>
        </w:rPr>
        <w:t>s</w:t>
      </w:r>
      <w:r w:rsidRPr="00877499">
        <w:rPr>
          <w:rFonts w:ascii="Book Antiqua" w:hAnsi="Book Antiqua"/>
          <w:b/>
          <w:i/>
          <w:sz w:val="24"/>
          <w:szCs w:val="24"/>
        </w:rPr>
        <w:t>tudy</w:t>
      </w:r>
    </w:p>
    <w:p w:rsidR="000C5530" w:rsidRPr="00877499" w:rsidRDefault="000C5530"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 xml:space="preserve">Efficacy, patterns of use and cost of Pertuzumab in the treatment of HER2+ metastatic breast cancer in Singapore: </w:t>
      </w:r>
      <w:r w:rsidRPr="00877499">
        <w:rPr>
          <w:rFonts w:ascii="Book Antiqua" w:hAnsi="Book Antiqua" w:cs="Calibri"/>
          <w:b/>
          <w:caps/>
          <w:sz w:val="24"/>
          <w:szCs w:val="24"/>
        </w:rPr>
        <w:t>t</w:t>
      </w:r>
      <w:r w:rsidRPr="00877499">
        <w:rPr>
          <w:rFonts w:ascii="Book Antiqua" w:hAnsi="Book Antiqua" w:cs="Calibri"/>
          <w:b/>
          <w:sz w:val="24"/>
          <w:szCs w:val="24"/>
        </w:rPr>
        <w:t>he National Cancer Centre Singapore experience</w:t>
      </w:r>
    </w:p>
    <w:p w:rsidR="000C5530" w:rsidRPr="00877499" w:rsidRDefault="000C5530" w:rsidP="009E2046">
      <w:pPr>
        <w:widowControl w:val="0"/>
        <w:spacing w:after="0" w:line="360" w:lineRule="auto"/>
        <w:jc w:val="both"/>
        <w:rPr>
          <w:rFonts w:ascii="Book Antiqua" w:hAnsi="Book Antiqua"/>
          <w:b/>
          <w:sz w:val="24"/>
          <w:szCs w:val="24"/>
        </w:rPr>
      </w:pPr>
    </w:p>
    <w:p w:rsidR="00E3374D" w:rsidRPr="00877499" w:rsidRDefault="00EB59C2" w:rsidP="009E2046">
      <w:pPr>
        <w:widowControl w:val="0"/>
        <w:spacing w:after="0" w:line="360" w:lineRule="auto"/>
        <w:jc w:val="both"/>
        <w:rPr>
          <w:rFonts w:ascii="Book Antiqua" w:hAnsi="Book Antiqua"/>
          <w:sz w:val="24"/>
          <w:szCs w:val="24"/>
        </w:rPr>
      </w:pPr>
      <w:r w:rsidRPr="00877499">
        <w:rPr>
          <w:rFonts w:ascii="Book Antiqua" w:hAnsi="Book Antiqua"/>
          <w:bCs/>
          <w:sz w:val="24"/>
          <w:szCs w:val="24"/>
        </w:rPr>
        <w:t>Rahardja</w:t>
      </w:r>
      <w:r w:rsidRPr="00877499">
        <w:rPr>
          <w:rFonts w:ascii="Book Antiqua" w:hAnsi="Book Antiqua"/>
          <w:sz w:val="24"/>
          <w:szCs w:val="24"/>
        </w:rPr>
        <w:t xml:space="preserve"> </w:t>
      </w:r>
      <w:r w:rsidRPr="00877499">
        <w:rPr>
          <w:rFonts w:ascii="Book Antiqua" w:hAnsi="Book Antiqua" w:hint="eastAsia"/>
          <w:sz w:val="24"/>
          <w:szCs w:val="24"/>
        </w:rPr>
        <w:t xml:space="preserve">S </w:t>
      </w:r>
      <w:r w:rsidRPr="00877499">
        <w:rPr>
          <w:rFonts w:ascii="Book Antiqua" w:hAnsi="Book Antiqua" w:hint="eastAsia"/>
          <w:i/>
          <w:sz w:val="24"/>
          <w:szCs w:val="24"/>
        </w:rPr>
        <w:t>et al</w:t>
      </w:r>
      <w:r w:rsidRPr="00877499">
        <w:rPr>
          <w:rFonts w:ascii="Book Antiqua" w:hAnsi="Book Antiqua" w:hint="eastAsia"/>
          <w:sz w:val="24"/>
          <w:szCs w:val="24"/>
        </w:rPr>
        <w:t xml:space="preserve">. </w:t>
      </w:r>
      <w:bookmarkStart w:id="3" w:name="OLE_LINK43"/>
      <w:bookmarkStart w:id="4" w:name="OLE_LINK44"/>
      <w:r w:rsidR="00E3374D" w:rsidRPr="00877499">
        <w:rPr>
          <w:rFonts w:ascii="Book Antiqua" w:hAnsi="Book Antiqua"/>
          <w:sz w:val="24"/>
          <w:szCs w:val="24"/>
        </w:rPr>
        <w:t xml:space="preserve">Pertuzumab </w:t>
      </w:r>
      <w:r w:rsidRPr="00877499">
        <w:rPr>
          <w:rFonts w:ascii="Book Antiqua" w:hAnsi="Book Antiqua"/>
          <w:sz w:val="24"/>
          <w:szCs w:val="24"/>
        </w:rPr>
        <w:t>in metastatic breast ca</w:t>
      </w:r>
      <w:r w:rsidR="00E3374D" w:rsidRPr="00877499">
        <w:rPr>
          <w:rFonts w:ascii="Book Antiqua" w:hAnsi="Book Antiqua"/>
          <w:sz w:val="24"/>
          <w:szCs w:val="24"/>
        </w:rPr>
        <w:t>ncer</w:t>
      </w:r>
    </w:p>
    <w:bookmarkEnd w:id="3"/>
    <w:bookmarkEnd w:id="4"/>
    <w:p w:rsidR="00E3374D" w:rsidRPr="00877499" w:rsidRDefault="00E3374D" w:rsidP="009E2046">
      <w:pPr>
        <w:widowControl w:val="0"/>
        <w:spacing w:after="0" w:line="360" w:lineRule="auto"/>
        <w:jc w:val="both"/>
        <w:rPr>
          <w:rFonts w:ascii="Book Antiqua" w:hAnsi="Book Antiqua"/>
          <w:sz w:val="24"/>
          <w:szCs w:val="24"/>
        </w:rPr>
      </w:pPr>
    </w:p>
    <w:p w:rsidR="00E3374D" w:rsidRPr="00877499" w:rsidRDefault="00E3374D" w:rsidP="009E2046">
      <w:pPr>
        <w:widowControl w:val="0"/>
        <w:spacing w:after="0" w:line="360" w:lineRule="auto"/>
        <w:jc w:val="both"/>
        <w:rPr>
          <w:rFonts w:ascii="Book Antiqua" w:hAnsi="Book Antiqua"/>
          <w:sz w:val="24"/>
          <w:szCs w:val="24"/>
        </w:rPr>
      </w:pPr>
      <w:r w:rsidRPr="00877499">
        <w:rPr>
          <w:rFonts w:ascii="Book Antiqua" w:hAnsi="Book Antiqua"/>
          <w:bCs/>
          <w:sz w:val="24"/>
          <w:szCs w:val="24"/>
        </w:rPr>
        <w:t>Sylwan Rahardja</w:t>
      </w:r>
      <w:r w:rsidR="00EB59C2" w:rsidRPr="00877499">
        <w:rPr>
          <w:rFonts w:ascii="Book Antiqua" w:hAnsi="Book Antiqua" w:hint="eastAsia"/>
          <w:bCs/>
          <w:sz w:val="24"/>
          <w:szCs w:val="24"/>
        </w:rPr>
        <w:t>,</w:t>
      </w:r>
      <w:r w:rsidR="00B80205" w:rsidRPr="00877499">
        <w:rPr>
          <w:rFonts w:ascii="Book Antiqua" w:hAnsi="Book Antiqua" w:hint="eastAsia"/>
          <w:bCs/>
          <w:sz w:val="24"/>
          <w:szCs w:val="24"/>
        </w:rPr>
        <w:t xml:space="preserve"> </w:t>
      </w:r>
      <w:r w:rsidRPr="00877499">
        <w:rPr>
          <w:rFonts w:ascii="Book Antiqua" w:hAnsi="Book Antiqua"/>
          <w:bCs/>
          <w:sz w:val="24"/>
          <w:szCs w:val="24"/>
        </w:rPr>
        <w:t>Ryan Ying Cong Tan</w:t>
      </w:r>
      <w:r w:rsidR="00EB59C2" w:rsidRPr="00877499">
        <w:rPr>
          <w:rFonts w:ascii="Book Antiqua" w:hAnsi="Book Antiqua" w:hint="eastAsia"/>
          <w:bCs/>
          <w:sz w:val="24"/>
          <w:szCs w:val="24"/>
        </w:rPr>
        <w:t xml:space="preserve">, </w:t>
      </w:r>
      <w:r w:rsidRPr="00877499">
        <w:rPr>
          <w:rFonts w:ascii="Book Antiqua" w:hAnsi="Book Antiqua"/>
          <w:bCs/>
          <w:sz w:val="24"/>
          <w:szCs w:val="24"/>
        </w:rPr>
        <w:t>Rehena Sultana</w:t>
      </w:r>
      <w:r w:rsidR="00EB59C2" w:rsidRPr="00877499">
        <w:rPr>
          <w:rFonts w:ascii="Book Antiqua" w:hAnsi="Book Antiqua" w:hint="eastAsia"/>
          <w:bCs/>
          <w:sz w:val="24"/>
          <w:szCs w:val="24"/>
        </w:rPr>
        <w:t xml:space="preserve">, </w:t>
      </w:r>
      <w:r w:rsidRPr="00877499">
        <w:rPr>
          <w:rFonts w:ascii="Book Antiqua" w:hAnsi="Book Antiqua"/>
          <w:bCs/>
          <w:sz w:val="24"/>
          <w:szCs w:val="24"/>
        </w:rPr>
        <w:t>Fun Loon Leong</w:t>
      </w:r>
      <w:r w:rsidR="00EB59C2" w:rsidRPr="00877499">
        <w:rPr>
          <w:rFonts w:ascii="Book Antiqua" w:hAnsi="Book Antiqua" w:hint="eastAsia"/>
          <w:bCs/>
          <w:sz w:val="24"/>
          <w:szCs w:val="24"/>
        </w:rPr>
        <w:t xml:space="preserve">, </w:t>
      </w:r>
      <w:r w:rsidRPr="00877499">
        <w:rPr>
          <w:rFonts w:ascii="Book Antiqua" w:hAnsi="Book Antiqua"/>
          <w:bCs/>
          <w:sz w:val="24"/>
          <w:szCs w:val="24"/>
        </w:rPr>
        <w:t>Elaine Hsuen Lim</w:t>
      </w:r>
      <w:r w:rsidRPr="00877499">
        <w:rPr>
          <w:rFonts w:ascii="Book Antiqua" w:hAnsi="Book Antiqua"/>
          <w:sz w:val="24"/>
          <w:szCs w:val="24"/>
        </w:rPr>
        <w:t xml:space="preserve"> </w:t>
      </w:r>
    </w:p>
    <w:p w:rsidR="00E3374D" w:rsidRPr="00877499" w:rsidRDefault="00E3374D" w:rsidP="009E2046">
      <w:pPr>
        <w:widowControl w:val="0"/>
        <w:spacing w:after="0" w:line="360" w:lineRule="auto"/>
        <w:jc w:val="both"/>
        <w:rPr>
          <w:rFonts w:ascii="Book Antiqua" w:hAnsi="Book Antiqua"/>
          <w:b/>
          <w:bCs/>
          <w:sz w:val="24"/>
          <w:szCs w:val="24"/>
        </w:rPr>
      </w:pPr>
    </w:p>
    <w:p w:rsidR="00E3374D" w:rsidRPr="00877499" w:rsidRDefault="00E3374D" w:rsidP="009E2046">
      <w:pPr>
        <w:widowControl w:val="0"/>
        <w:spacing w:after="0" w:line="360" w:lineRule="auto"/>
        <w:jc w:val="both"/>
        <w:rPr>
          <w:rFonts w:ascii="Book Antiqua" w:hAnsi="Book Antiqua" w:hint="eastAsia"/>
          <w:sz w:val="24"/>
          <w:szCs w:val="24"/>
        </w:rPr>
      </w:pPr>
      <w:r w:rsidRPr="00877499">
        <w:rPr>
          <w:rFonts w:ascii="Book Antiqua" w:hAnsi="Book Antiqua"/>
          <w:b/>
          <w:bCs/>
          <w:sz w:val="24"/>
          <w:szCs w:val="24"/>
        </w:rPr>
        <w:t>Sylwan Rahardja</w:t>
      </w:r>
      <w:r w:rsidRPr="00877499">
        <w:rPr>
          <w:rFonts w:ascii="Book Antiqua" w:hAnsi="Book Antiqua"/>
          <w:sz w:val="24"/>
          <w:szCs w:val="24"/>
        </w:rPr>
        <w:t>, Yong Loo Lin School of Medicine, National University of Singapore, Singapore 119228, Singapore</w:t>
      </w:r>
    </w:p>
    <w:p w:rsidR="00D67C79" w:rsidRPr="00877499" w:rsidRDefault="00D67C79" w:rsidP="009E2046">
      <w:pPr>
        <w:widowControl w:val="0"/>
        <w:spacing w:after="0" w:line="360" w:lineRule="auto"/>
        <w:jc w:val="both"/>
        <w:rPr>
          <w:rFonts w:ascii="Book Antiqua" w:hAnsi="Book Antiqua"/>
          <w:sz w:val="24"/>
          <w:szCs w:val="24"/>
        </w:rPr>
      </w:pPr>
    </w:p>
    <w:p w:rsidR="00E3374D" w:rsidRPr="00877499" w:rsidRDefault="00E3374D" w:rsidP="009E2046">
      <w:pPr>
        <w:widowControl w:val="0"/>
        <w:spacing w:after="0" w:line="360" w:lineRule="auto"/>
        <w:jc w:val="both"/>
        <w:rPr>
          <w:rFonts w:ascii="Book Antiqua" w:hAnsi="Book Antiqua" w:hint="eastAsia"/>
          <w:sz w:val="24"/>
          <w:szCs w:val="24"/>
        </w:rPr>
      </w:pPr>
      <w:r w:rsidRPr="00877499">
        <w:rPr>
          <w:rFonts w:ascii="Book Antiqua" w:hAnsi="Book Antiqua"/>
          <w:b/>
          <w:bCs/>
          <w:sz w:val="24"/>
          <w:szCs w:val="24"/>
        </w:rPr>
        <w:t xml:space="preserve">Ryan Ying Cong Tan, </w:t>
      </w:r>
      <w:r w:rsidR="0069400B" w:rsidRPr="00877499">
        <w:rPr>
          <w:rFonts w:ascii="Book Antiqua" w:hAnsi="Book Antiqua"/>
          <w:b/>
          <w:bCs/>
          <w:sz w:val="24"/>
          <w:szCs w:val="24"/>
        </w:rPr>
        <w:t>Fun Loon Leong, Elaine Hsuen Lim</w:t>
      </w:r>
      <w:r w:rsidR="0069400B" w:rsidRPr="00877499">
        <w:rPr>
          <w:rFonts w:ascii="Book Antiqua" w:hAnsi="Book Antiqua"/>
          <w:sz w:val="24"/>
          <w:szCs w:val="24"/>
        </w:rPr>
        <w:t>,</w:t>
      </w:r>
      <w:r w:rsidR="0069400B" w:rsidRPr="00877499">
        <w:rPr>
          <w:rFonts w:ascii="Book Antiqua" w:hAnsi="Book Antiqua" w:hint="eastAsia"/>
          <w:sz w:val="24"/>
          <w:szCs w:val="24"/>
        </w:rPr>
        <w:t xml:space="preserve"> </w:t>
      </w:r>
      <w:r w:rsidRPr="00877499">
        <w:rPr>
          <w:rFonts w:ascii="Book Antiqua" w:hAnsi="Book Antiqua"/>
          <w:sz w:val="24"/>
          <w:szCs w:val="24"/>
        </w:rPr>
        <w:t>National Cancer Centre Singapore, Singapore 169610, Singapore</w:t>
      </w:r>
    </w:p>
    <w:p w:rsidR="00D67C79" w:rsidRPr="00877499" w:rsidRDefault="00D67C79" w:rsidP="009E2046">
      <w:pPr>
        <w:widowControl w:val="0"/>
        <w:spacing w:after="0" w:line="360" w:lineRule="auto"/>
        <w:jc w:val="both"/>
        <w:rPr>
          <w:rFonts w:ascii="Book Antiqua" w:hAnsi="Book Antiqua"/>
          <w:sz w:val="24"/>
          <w:szCs w:val="24"/>
        </w:rPr>
      </w:pPr>
    </w:p>
    <w:p w:rsidR="00E3374D" w:rsidRPr="00877499" w:rsidRDefault="00E3374D" w:rsidP="009E2046">
      <w:pPr>
        <w:widowControl w:val="0"/>
        <w:spacing w:after="0" w:line="360" w:lineRule="auto"/>
        <w:jc w:val="both"/>
        <w:rPr>
          <w:rFonts w:ascii="Book Antiqua" w:hAnsi="Book Antiqua"/>
          <w:sz w:val="24"/>
          <w:szCs w:val="24"/>
        </w:rPr>
      </w:pPr>
      <w:r w:rsidRPr="00877499">
        <w:rPr>
          <w:rFonts w:ascii="Book Antiqua" w:hAnsi="Book Antiqua"/>
          <w:b/>
          <w:bCs/>
          <w:sz w:val="24"/>
          <w:szCs w:val="24"/>
        </w:rPr>
        <w:t xml:space="preserve">Rehena Sultana, </w:t>
      </w:r>
      <w:r w:rsidRPr="00877499">
        <w:rPr>
          <w:rFonts w:ascii="Book Antiqua" w:hAnsi="Book Antiqua"/>
          <w:sz w:val="24"/>
          <w:szCs w:val="24"/>
        </w:rPr>
        <w:t>Duke-NUS Medical School, Singapore 169857, Singapore</w:t>
      </w:r>
    </w:p>
    <w:p w:rsidR="00D67C79" w:rsidRPr="00877499" w:rsidRDefault="00D67C79" w:rsidP="009E2046">
      <w:pPr>
        <w:widowControl w:val="0"/>
        <w:spacing w:after="0" w:line="360" w:lineRule="auto"/>
        <w:jc w:val="both"/>
        <w:rPr>
          <w:rFonts w:ascii="Book Antiqua" w:hAnsi="Book Antiqua"/>
          <w:sz w:val="24"/>
          <w:szCs w:val="24"/>
        </w:rPr>
      </w:pPr>
    </w:p>
    <w:p w:rsidR="009031C0" w:rsidRPr="00877499" w:rsidRDefault="00D67C79" w:rsidP="009E2046">
      <w:pPr>
        <w:widowControl w:val="0"/>
        <w:spacing w:after="0" w:line="360" w:lineRule="auto"/>
        <w:jc w:val="both"/>
        <w:rPr>
          <w:rFonts w:ascii="Book Antiqua" w:hAnsi="Book Antiqua"/>
          <w:sz w:val="24"/>
          <w:szCs w:val="24"/>
        </w:rPr>
      </w:pPr>
      <w:r w:rsidRPr="00877499">
        <w:rPr>
          <w:rFonts w:ascii="Book Antiqua" w:hAnsi="Book Antiqua"/>
          <w:b/>
          <w:sz w:val="24"/>
          <w:szCs w:val="24"/>
        </w:rPr>
        <w:t>Author con</w:t>
      </w:r>
      <w:r w:rsidR="009031C0" w:rsidRPr="00877499">
        <w:rPr>
          <w:rFonts w:ascii="Book Antiqua" w:hAnsi="Book Antiqua"/>
          <w:b/>
          <w:sz w:val="24"/>
          <w:szCs w:val="24"/>
        </w:rPr>
        <w:t>tributions:</w:t>
      </w:r>
      <w:r w:rsidR="00B80205" w:rsidRPr="00877499">
        <w:rPr>
          <w:rFonts w:ascii="Book Antiqua" w:hAnsi="Book Antiqua"/>
          <w:b/>
          <w:sz w:val="24"/>
          <w:szCs w:val="24"/>
        </w:rPr>
        <w:t xml:space="preserve"> </w:t>
      </w:r>
      <w:r w:rsidR="009031C0" w:rsidRPr="00877499">
        <w:rPr>
          <w:rFonts w:ascii="Book Antiqua" w:hAnsi="Book Antiqua"/>
          <w:sz w:val="24"/>
          <w:szCs w:val="24"/>
        </w:rPr>
        <w:t>Rahardja</w:t>
      </w:r>
      <w:r w:rsidRPr="00877499">
        <w:rPr>
          <w:rFonts w:ascii="Book Antiqua" w:hAnsi="Book Antiqua" w:hint="eastAsia"/>
          <w:sz w:val="24"/>
          <w:szCs w:val="24"/>
        </w:rPr>
        <w:t xml:space="preserve"> </w:t>
      </w:r>
      <w:r w:rsidRPr="00877499">
        <w:rPr>
          <w:rFonts w:ascii="Book Antiqua" w:hAnsi="Book Antiqua"/>
          <w:sz w:val="24"/>
          <w:szCs w:val="24"/>
        </w:rPr>
        <w:t>S</w:t>
      </w:r>
      <w:r w:rsidR="009031C0" w:rsidRPr="00877499">
        <w:rPr>
          <w:rFonts w:ascii="Book Antiqua" w:hAnsi="Book Antiqua"/>
          <w:sz w:val="24"/>
          <w:szCs w:val="24"/>
        </w:rPr>
        <w:t xml:space="preserve">, Tan </w:t>
      </w:r>
      <w:r w:rsidRPr="00877499">
        <w:rPr>
          <w:rFonts w:ascii="Book Antiqua" w:hAnsi="Book Antiqua"/>
          <w:sz w:val="24"/>
          <w:szCs w:val="24"/>
        </w:rPr>
        <w:t xml:space="preserve">RYC </w:t>
      </w:r>
      <w:r w:rsidR="009031C0" w:rsidRPr="00877499">
        <w:rPr>
          <w:rFonts w:ascii="Book Antiqua" w:hAnsi="Book Antiqua"/>
          <w:sz w:val="24"/>
          <w:szCs w:val="24"/>
        </w:rPr>
        <w:t xml:space="preserve">and Lim </w:t>
      </w:r>
      <w:r w:rsidRPr="00877499">
        <w:rPr>
          <w:rFonts w:ascii="Book Antiqua" w:hAnsi="Book Antiqua"/>
          <w:sz w:val="24"/>
          <w:szCs w:val="24"/>
        </w:rPr>
        <w:t xml:space="preserve">EH </w:t>
      </w:r>
      <w:r w:rsidR="009031C0" w:rsidRPr="00877499">
        <w:rPr>
          <w:rFonts w:ascii="Book Antiqua" w:hAnsi="Book Antiqua"/>
          <w:sz w:val="24"/>
          <w:szCs w:val="24"/>
        </w:rPr>
        <w:t>designed the research; Rahardja</w:t>
      </w:r>
      <w:r w:rsidRPr="00877499">
        <w:rPr>
          <w:rFonts w:ascii="Book Antiqua" w:hAnsi="Book Antiqua" w:hint="eastAsia"/>
          <w:sz w:val="24"/>
          <w:szCs w:val="24"/>
        </w:rPr>
        <w:t xml:space="preserve"> </w:t>
      </w:r>
      <w:r w:rsidRPr="00877499">
        <w:rPr>
          <w:rFonts w:ascii="Book Antiqua" w:hAnsi="Book Antiqua"/>
          <w:sz w:val="24"/>
          <w:szCs w:val="24"/>
        </w:rPr>
        <w:t>S</w:t>
      </w:r>
      <w:r w:rsidR="009031C0" w:rsidRPr="00877499">
        <w:rPr>
          <w:rFonts w:ascii="Book Antiqua" w:hAnsi="Book Antiqua"/>
          <w:sz w:val="24"/>
          <w:szCs w:val="24"/>
        </w:rPr>
        <w:t>, Tan</w:t>
      </w:r>
      <w:r w:rsidRPr="00877499">
        <w:rPr>
          <w:rFonts w:ascii="Book Antiqua" w:hAnsi="Book Antiqua" w:hint="eastAsia"/>
          <w:sz w:val="24"/>
          <w:szCs w:val="24"/>
        </w:rPr>
        <w:t xml:space="preserve"> </w:t>
      </w:r>
      <w:r w:rsidRPr="00877499">
        <w:rPr>
          <w:rFonts w:ascii="Book Antiqua" w:hAnsi="Book Antiqua"/>
          <w:sz w:val="24"/>
          <w:szCs w:val="24"/>
        </w:rPr>
        <w:t>RYC</w:t>
      </w:r>
      <w:r w:rsidR="009031C0" w:rsidRPr="00877499">
        <w:rPr>
          <w:rFonts w:ascii="Book Antiqua" w:hAnsi="Book Antiqua"/>
          <w:sz w:val="24"/>
          <w:szCs w:val="24"/>
        </w:rPr>
        <w:t xml:space="preserve">, Sultana </w:t>
      </w:r>
      <w:r w:rsidRPr="00877499">
        <w:rPr>
          <w:rFonts w:ascii="Book Antiqua" w:hAnsi="Book Antiqua"/>
          <w:sz w:val="24"/>
          <w:szCs w:val="24"/>
        </w:rPr>
        <w:t xml:space="preserve">R </w:t>
      </w:r>
      <w:r w:rsidR="009031C0" w:rsidRPr="00877499">
        <w:rPr>
          <w:rFonts w:ascii="Book Antiqua" w:hAnsi="Book Antiqua"/>
          <w:sz w:val="24"/>
          <w:szCs w:val="24"/>
        </w:rPr>
        <w:t xml:space="preserve">and Leong </w:t>
      </w:r>
      <w:r w:rsidRPr="00877499">
        <w:rPr>
          <w:rFonts w:ascii="Book Antiqua" w:hAnsi="Book Antiqua"/>
          <w:sz w:val="24"/>
          <w:szCs w:val="24"/>
        </w:rPr>
        <w:t xml:space="preserve">FL </w:t>
      </w:r>
      <w:r w:rsidR="009031C0" w:rsidRPr="00877499">
        <w:rPr>
          <w:rFonts w:ascii="Book Antiqua" w:hAnsi="Book Antiqua"/>
          <w:sz w:val="24"/>
          <w:szCs w:val="24"/>
        </w:rPr>
        <w:t>performed the research; Rahardja</w:t>
      </w:r>
      <w:r w:rsidRPr="00877499">
        <w:rPr>
          <w:rFonts w:ascii="Book Antiqua" w:hAnsi="Book Antiqua" w:hint="eastAsia"/>
          <w:sz w:val="24"/>
          <w:szCs w:val="24"/>
        </w:rPr>
        <w:t xml:space="preserve"> </w:t>
      </w:r>
      <w:r w:rsidRPr="00877499">
        <w:rPr>
          <w:rFonts w:ascii="Book Antiqua" w:hAnsi="Book Antiqua"/>
          <w:sz w:val="24"/>
          <w:szCs w:val="24"/>
        </w:rPr>
        <w:t>S</w:t>
      </w:r>
      <w:r w:rsidR="009031C0" w:rsidRPr="00877499">
        <w:rPr>
          <w:rFonts w:ascii="Book Antiqua" w:hAnsi="Book Antiqua"/>
          <w:sz w:val="24"/>
          <w:szCs w:val="24"/>
        </w:rPr>
        <w:t>, Tan</w:t>
      </w:r>
      <w:r w:rsidRPr="00877499">
        <w:rPr>
          <w:rFonts w:ascii="Book Antiqua" w:hAnsi="Book Antiqua" w:hint="eastAsia"/>
          <w:sz w:val="24"/>
          <w:szCs w:val="24"/>
        </w:rPr>
        <w:t xml:space="preserve"> </w:t>
      </w:r>
      <w:r w:rsidRPr="00877499">
        <w:rPr>
          <w:rFonts w:ascii="Book Antiqua" w:hAnsi="Book Antiqua"/>
          <w:sz w:val="24"/>
          <w:szCs w:val="24"/>
        </w:rPr>
        <w:t>RYC</w:t>
      </w:r>
      <w:r w:rsidR="009031C0" w:rsidRPr="00877499">
        <w:rPr>
          <w:rFonts w:ascii="Book Antiqua" w:hAnsi="Book Antiqua"/>
          <w:sz w:val="24"/>
          <w:szCs w:val="24"/>
        </w:rPr>
        <w:t xml:space="preserve">, </w:t>
      </w:r>
      <w:r w:rsidRPr="00877499">
        <w:rPr>
          <w:rFonts w:ascii="Book Antiqua" w:hAnsi="Book Antiqua" w:hint="eastAsia"/>
          <w:sz w:val="24"/>
          <w:szCs w:val="24"/>
        </w:rPr>
        <w:t xml:space="preserve">and </w:t>
      </w:r>
      <w:r w:rsidR="009031C0" w:rsidRPr="00877499">
        <w:rPr>
          <w:rFonts w:ascii="Book Antiqua" w:hAnsi="Book Antiqua"/>
          <w:sz w:val="24"/>
          <w:szCs w:val="24"/>
        </w:rPr>
        <w:t xml:space="preserve">Sultana </w:t>
      </w:r>
      <w:r w:rsidRPr="00877499">
        <w:rPr>
          <w:rFonts w:ascii="Book Antiqua" w:hAnsi="Book Antiqua"/>
          <w:sz w:val="24"/>
          <w:szCs w:val="24"/>
        </w:rPr>
        <w:t xml:space="preserve">R </w:t>
      </w:r>
      <w:r w:rsidR="009031C0" w:rsidRPr="00877499">
        <w:rPr>
          <w:rFonts w:ascii="Book Antiqua" w:hAnsi="Book Antiqua"/>
          <w:sz w:val="24"/>
          <w:szCs w:val="24"/>
        </w:rPr>
        <w:t>analyzed the data; Rahardja</w:t>
      </w:r>
      <w:r w:rsidRPr="00877499">
        <w:rPr>
          <w:rFonts w:ascii="Book Antiqua" w:hAnsi="Book Antiqua" w:hint="eastAsia"/>
          <w:sz w:val="24"/>
          <w:szCs w:val="24"/>
        </w:rPr>
        <w:t xml:space="preserve"> </w:t>
      </w:r>
      <w:r w:rsidRPr="00877499">
        <w:rPr>
          <w:rFonts w:ascii="Book Antiqua" w:hAnsi="Book Antiqua"/>
          <w:sz w:val="24"/>
          <w:szCs w:val="24"/>
        </w:rPr>
        <w:t>S</w:t>
      </w:r>
      <w:r w:rsidR="009031C0" w:rsidRPr="00877499">
        <w:rPr>
          <w:rFonts w:ascii="Book Antiqua" w:hAnsi="Book Antiqua"/>
          <w:sz w:val="24"/>
          <w:szCs w:val="24"/>
        </w:rPr>
        <w:t>, Tan</w:t>
      </w:r>
      <w:r w:rsidRPr="00877499">
        <w:rPr>
          <w:rFonts w:ascii="Book Antiqua" w:hAnsi="Book Antiqua" w:hint="eastAsia"/>
          <w:sz w:val="24"/>
          <w:szCs w:val="24"/>
        </w:rPr>
        <w:t xml:space="preserve"> </w:t>
      </w:r>
      <w:r w:rsidRPr="00877499">
        <w:rPr>
          <w:rFonts w:ascii="Book Antiqua" w:hAnsi="Book Antiqua"/>
          <w:sz w:val="24"/>
          <w:szCs w:val="24"/>
        </w:rPr>
        <w:t>RYC</w:t>
      </w:r>
      <w:r w:rsidR="009031C0" w:rsidRPr="00877499">
        <w:rPr>
          <w:rFonts w:ascii="Book Antiqua" w:hAnsi="Book Antiqua"/>
          <w:sz w:val="24"/>
          <w:szCs w:val="24"/>
        </w:rPr>
        <w:t xml:space="preserve">, </w:t>
      </w:r>
      <w:r w:rsidRPr="00877499">
        <w:rPr>
          <w:rFonts w:ascii="Book Antiqua" w:hAnsi="Book Antiqua" w:hint="eastAsia"/>
          <w:sz w:val="24"/>
          <w:szCs w:val="24"/>
        </w:rPr>
        <w:t xml:space="preserve">and </w:t>
      </w:r>
      <w:r w:rsidR="009031C0" w:rsidRPr="00877499">
        <w:rPr>
          <w:rFonts w:ascii="Book Antiqua" w:hAnsi="Book Antiqua"/>
          <w:sz w:val="24"/>
          <w:szCs w:val="24"/>
        </w:rPr>
        <w:t xml:space="preserve">Lim </w:t>
      </w:r>
      <w:r w:rsidRPr="00877499">
        <w:rPr>
          <w:rFonts w:ascii="Book Antiqua" w:hAnsi="Book Antiqua"/>
          <w:sz w:val="24"/>
          <w:szCs w:val="24"/>
        </w:rPr>
        <w:t xml:space="preserve">EH </w:t>
      </w:r>
      <w:r w:rsidR="009031C0" w:rsidRPr="00877499">
        <w:rPr>
          <w:rFonts w:ascii="Book Antiqua" w:hAnsi="Book Antiqua"/>
          <w:sz w:val="24"/>
          <w:szCs w:val="24"/>
        </w:rPr>
        <w:t xml:space="preserve">wrote the paper. </w:t>
      </w:r>
    </w:p>
    <w:p w:rsidR="009031C0" w:rsidRPr="00877499" w:rsidRDefault="009031C0" w:rsidP="009E2046">
      <w:pPr>
        <w:widowControl w:val="0"/>
        <w:spacing w:after="0" w:line="360" w:lineRule="auto"/>
        <w:jc w:val="both"/>
        <w:rPr>
          <w:rFonts w:ascii="Book Antiqua" w:hAnsi="Book Antiqua"/>
          <w:sz w:val="24"/>
          <w:szCs w:val="24"/>
        </w:rPr>
      </w:pPr>
    </w:p>
    <w:p w:rsidR="009031C0" w:rsidRPr="00877499" w:rsidRDefault="009031C0" w:rsidP="009E2046">
      <w:pPr>
        <w:widowControl w:val="0"/>
        <w:spacing w:after="0" w:line="360" w:lineRule="auto"/>
        <w:jc w:val="both"/>
        <w:rPr>
          <w:rFonts w:ascii="Book Antiqua" w:hAnsi="Book Antiqua"/>
          <w:sz w:val="24"/>
          <w:szCs w:val="24"/>
        </w:rPr>
      </w:pPr>
      <w:r w:rsidRPr="00877499">
        <w:rPr>
          <w:rFonts w:ascii="Book Antiqua" w:hAnsi="Book Antiqua"/>
          <w:b/>
          <w:sz w:val="24"/>
          <w:szCs w:val="24"/>
        </w:rPr>
        <w:t xml:space="preserve">Corresponding author: </w:t>
      </w:r>
      <w:r w:rsidRPr="00877499">
        <w:rPr>
          <w:rFonts w:ascii="Book Antiqua" w:hAnsi="Book Antiqua"/>
          <w:b/>
          <w:bCs/>
          <w:sz w:val="24"/>
          <w:szCs w:val="24"/>
        </w:rPr>
        <w:t xml:space="preserve">Sylwan Rahardja, </w:t>
      </w:r>
      <w:r w:rsidRPr="00877499">
        <w:rPr>
          <w:rFonts w:ascii="Book Antiqua" w:hAnsi="Book Antiqua"/>
          <w:sz w:val="24"/>
          <w:szCs w:val="24"/>
        </w:rPr>
        <w:t>Yong Loo Lin School of Medicine, National University of Singapore, 1E Kent Ridge Road, Singapore 119228, Singapore</w:t>
      </w:r>
      <w:r w:rsidR="00054809" w:rsidRPr="00877499">
        <w:rPr>
          <w:rFonts w:ascii="Book Antiqua" w:hAnsi="Book Antiqua" w:hint="eastAsia"/>
          <w:sz w:val="24"/>
          <w:szCs w:val="24"/>
        </w:rPr>
        <w:t xml:space="preserve">. </w:t>
      </w:r>
      <w:r w:rsidRPr="00877499">
        <w:rPr>
          <w:rFonts w:ascii="Book Antiqua" w:hAnsi="Book Antiqua"/>
          <w:sz w:val="24"/>
          <w:szCs w:val="24"/>
        </w:rPr>
        <w:t xml:space="preserve">sylwanrahardja@u.nus.edu </w:t>
      </w:r>
    </w:p>
    <w:p w:rsidR="00256B4A" w:rsidRPr="00877499" w:rsidRDefault="00256B4A" w:rsidP="009E2046">
      <w:pPr>
        <w:widowControl w:val="0"/>
        <w:adjustRightInd w:val="0"/>
        <w:snapToGrid w:val="0"/>
        <w:spacing w:after="0" w:line="360" w:lineRule="auto"/>
        <w:jc w:val="both"/>
        <w:rPr>
          <w:rFonts w:ascii="Book Antiqua" w:hAnsi="Book Antiqua"/>
          <w:kern w:val="2"/>
          <w:sz w:val="24"/>
          <w:szCs w:val="24"/>
        </w:rPr>
      </w:pPr>
      <w:bookmarkStart w:id="5" w:name="OLE_LINK75"/>
      <w:bookmarkStart w:id="6" w:name="OLE_LINK76"/>
      <w:bookmarkStart w:id="7" w:name="OLE_LINK269"/>
      <w:bookmarkStart w:id="8" w:name="OLE_LINK239"/>
      <w:r w:rsidRPr="00877499">
        <w:rPr>
          <w:rFonts w:ascii="Book Antiqua" w:hAnsi="Book Antiqua"/>
          <w:b/>
          <w:kern w:val="2"/>
          <w:sz w:val="24"/>
          <w:szCs w:val="24"/>
        </w:rPr>
        <w:t xml:space="preserve">Received: </w:t>
      </w:r>
      <w:r w:rsidR="00780489" w:rsidRPr="00877499">
        <w:rPr>
          <w:rFonts w:ascii="Book Antiqua" w:hAnsi="Book Antiqua" w:hint="eastAsia"/>
          <w:kern w:val="2"/>
          <w:sz w:val="24"/>
          <w:szCs w:val="24"/>
        </w:rPr>
        <w:t>November</w:t>
      </w:r>
      <w:r w:rsidR="00780489" w:rsidRPr="00877499">
        <w:rPr>
          <w:rFonts w:ascii="Book Antiqua" w:hAnsi="Book Antiqua"/>
          <w:kern w:val="2"/>
          <w:sz w:val="24"/>
          <w:szCs w:val="24"/>
        </w:rPr>
        <w:t xml:space="preserve"> </w:t>
      </w:r>
      <w:r w:rsidR="00780489" w:rsidRPr="00877499">
        <w:rPr>
          <w:rFonts w:ascii="Book Antiqua" w:hAnsi="Book Antiqua" w:hint="eastAsia"/>
          <w:kern w:val="2"/>
          <w:sz w:val="24"/>
          <w:szCs w:val="24"/>
        </w:rPr>
        <w:t>1</w:t>
      </w:r>
      <w:r w:rsidRPr="00877499">
        <w:rPr>
          <w:rFonts w:ascii="Book Antiqua" w:hAnsi="Book Antiqua"/>
          <w:kern w:val="2"/>
          <w:sz w:val="24"/>
          <w:szCs w:val="24"/>
        </w:rPr>
        <w:t>, 2019</w:t>
      </w:r>
    </w:p>
    <w:p w:rsidR="00256B4A" w:rsidRPr="00877499" w:rsidRDefault="00256B4A" w:rsidP="009E2046">
      <w:pPr>
        <w:widowControl w:val="0"/>
        <w:adjustRightInd w:val="0"/>
        <w:snapToGrid w:val="0"/>
        <w:spacing w:after="0" w:line="360" w:lineRule="auto"/>
        <w:jc w:val="both"/>
        <w:rPr>
          <w:rFonts w:ascii="Book Antiqua" w:hAnsi="Book Antiqua"/>
          <w:b/>
          <w:kern w:val="2"/>
          <w:sz w:val="24"/>
          <w:szCs w:val="24"/>
        </w:rPr>
      </w:pPr>
      <w:r w:rsidRPr="00877499">
        <w:rPr>
          <w:rFonts w:ascii="Book Antiqua" w:hAnsi="Book Antiqua"/>
          <w:b/>
          <w:kern w:val="2"/>
          <w:sz w:val="24"/>
          <w:szCs w:val="24"/>
        </w:rPr>
        <w:lastRenderedPageBreak/>
        <w:t xml:space="preserve">Revised: </w:t>
      </w:r>
      <w:r w:rsidR="00780489" w:rsidRPr="00877499">
        <w:rPr>
          <w:rFonts w:ascii="Book Antiqua" w:hAnsi="Book Antiqua" w:hint="eastAsia"/>
          <w:kern w:val="2"/>
          <w:sz w:val="24"/>
          <w:szCs w:val="24"/>
        </w:rPr>
        <w:t>February</w:t>
      </w:r>
      <w:r w:rsidRPr="00877499">
        <w:rPr>
          <w:rFonts w:ascii="Book Antiqua" w:hAnsi="Book Antiqua"/>
          <w:kern w:val="2"/>
          <w:sz w:val="24"/>
          <w:szCs w:val="24"/>
        </w:rPr>
        <w:t xml:space="preserve"> </w:t>
      </w:r>
      <w:r w:rsidR="00780489" w:rsidRPr="00877499">
        <w:rPr>
          <w:rFonts w:ascii="Book Antiqua" w:hAnsi="Book Antiqua" w:hint="eastAsia"/>
          <w:kern w:val="2"/>
          <w:sz w:val="24"/>
          <w:szCs w:val="24"/>
        </w:rPr>
        <w:t>4</w:t>
      </w:r>
      <w:r w:rsidRPr="00877499">
        <w:rPr>
          <w:rFonts w:ascii="Book Antiqua" w:hAnsi="Book Antiqua"/>
          <w:kern w:val="2"/>
          <w:sz w:val="24"/>
          <w:szCs w:val="24"/>
        </w:rPr>
        <w:t xml:space="preserve">, </w:t>
      </w:r>
      <w:r w:rsidR="00780489" w:rsidRPr="00877499">
        <w:rPr>
          <w:rFonts w:ascii="Book Antiqua" w:hAnsi="Book Antiqua" w:hint="eastAsia"/>
          <w:kern w:val="2"/>
          <w:sz w:val="24"/>
          <w:szCs w:val="24"/>
        </w:rPr>
        <w:t>2020</w:t>
      </w:r>
    </w:p>
    <w:p w:rsidR="00256B4A" w:rsidRPr="00877499" w:rsidRDefault="00256B4A" w:rsidP="009E2046">
      <w:pPr>
        <w:widowControl w:val="0"/>
        <w:adjustRightInd w:val="0"/>
        <w:snapToGrid w:val="0"/>
        <w:spacing w:after="0" w:line="360" w:lineRule="auto"/>
        <w:jc w:val="both"/>
        <w:rPr>
          <w:rFonts w:ascii="Book Antiqua" w:hAnsi="Book Antiqua"/>
          <w:color w:val="000000"/>
          <w:kern w:val="2"/>
          <w:sz w:val="24"/>
          <w:szCs w:val="24"/>
        </w:rPr>
      </w:pPr>
      <w:r w:rsidRPr="00877499">
        <w:rPr>
          <w:rFonts w:ascii="Book Antiqua" w:hAnsi="Book Antiqua"/>
          <w:b/>
          <w:kern w:val="2"/>
          <w:sz w:val="24"/>
          <w:szCs w:val="24"/>
        </w:rPr>
        <w:t>Accepted:</w:t>
      </w:r>
      <w:r w:rsidRPr="00877499">
        <w:rPr>
          <w:rFonts w:ascii="Book Antiqua" w:hAnsi="Book Antiqua"/>
          <w:sz w:val="24"/>
          <w:szCs w:val="24"/>
        </w:rPr>
        <w:t xml:space="preserve"> </w:t>
      </w:r>
      <w:r w:rsidR="00675C6C" w:rsidRPr="00877499">
        <w:rPr>
          <w:rFonts w:ascii="Book Antiqua" w:hAnsi="Book Antiqua"/>
          <w:sz w:val="24"/>
          <w:szCs w:val="24"/>
        </w:rPr>
        <w:t>February 23, 2020</w:t>
      </w:r>
    </w:p>
    <w:p w:rsidR="00256B4A" w:rsidRPr="00877499" w:rsidRDefault="00256B4A" w:rsidP="009E2046">
      <w:pPr>
        <w:widowControl w:val="0"/>
        <w:adjustRightInd w:val="0"/>
        <w:snapToGrid w:val="0"/>
        <w:spacing w:after="0" w:line="360" w:lineRule="auto"/>
        <w:jc w:val="both"/>
        <w:rPr>
          <w:rFonts w:ascii="Book Antiqua" w:hAnsi="Book Antiqua"/>
          <w:b/>
          <w:kern w:val="2"/>
          <w:sz w:val="24"/>
          <w:szCs w:val="24"/>
        </w:rPr>
      </w:pPr>
      <w:r w:rsidRPr="00877499">
        <w:rPr>
          <w:rFonts w:ascii="Book Antiqua" w:hAnsi="Book Antiqua"/>
          <w:b/>
          <w:kern w:val="2"/>
          <w:sz w:val="24"/>
          <w:szCs w:val="24"/>
        </w:rPr>
        <w:t>Published online:</w:t>
      </w:r>
      <w:bookmarkEnd w:id="5"/>
      <w:bookmarkEnd w:id="6"/>
      <w:bookmarkEnd w:id="7"/>
      <w:bookmarkEnd w:id="8"/>
      <w:r w:rsidR="0046055B" w:rsidRPr="00877499">
        <w:rPr>
          <w:rFonts w:ascii="Book Antiqua" w:hAnsi="Book Antiqua" w:hint="eastAsia"/>
          <w:b/>
          <w:kern w:val="2"/>
          <w:sz w:val="24"/>
          <w:szCs w:val="24"/>
        </w:rPr>
        <w:t xml:space="preserve"> </w:t>
      </w:r>
      <w:r w:rsidR="000E4628" w:rsidRPr="00877499">
        <w:rPr>
          <w:rFonts w:ascii="Book Antiqua" w:hAnsi="Book Antiqua"/>
          <w:kern w:val="2"/>
          <w:sz w:val="24"/>
          <w:szCs w:val="24"/>
        </w:rPr>
        <w:t>March 24, 2020</w:t>
      </w:r>
    </w:p>
    <w:p w:rsidR="00707CC7" w:rsidRPr="00877499" w:rsidRDefault="00256B4A" w:rsidP="009E2046">
      <w:pPr>
        <w:widowControl w:val="0"/>
        <w:adjustRightInd w:val="0"/>
        <w:snapToGrid w:val="0"/>
        <w:spacing w:after="0" w:line="360" w:lineRule="auto"/>
        <w:jc w:val="both"/>
        <w:rPr>
          <w:rFonts w:ascii="Book Antiqua" w:hAnsi="Book Antiqua" w:cs="Calibri"/>
          <w:b/>
          <w:sz w:val="24"/>
          <w:szCs w:val="24"/>
        </w:rPr>
      </w:pPr>
      <w:r w:rsidRPr="00877499">
        <w:rPr>
          <w:rFonts w:ascii="Book Antiqua" w:hAnsi="Book Antiqua" w:cs="Calibri"/>
          <w:b/>
          <w:sz w:val="24"/>
          <w:szCs w:val="24"/>
        </w:rPr>
        <w:br w:type="page"/>
      </w:r>
      <w:r w:rsidR="00707CC7" w:rsidRPr="00877499">
        <w:rPr>
          <w:rFonts w:ascii="Book Antiqua" w:hAnsi="Book Antiqua"/>
          <w:b/>
          <w:bCs/>
          <w:sz w:val="24"/>
          <w:szCs w:val="24"/>
        </w:rPr>
        <w:lastRenderedPageBreak/>
        <w:t>Abstract</w:t>
      </w:r>
    </w:p>
    <w:p w:rsidR="00D67C79" w:rsidRPr="00877499" w:rsidRDefault="00D67C79" w:rsidP="009E2046">
      <w:pPr>
        <w:widowControl w:val="0"/>
        <w:spacing w:after="0" w:line="360" w:lineRule="auto"/>
        <w:jc w:val="both"/>
        <w:rPr>
          <w:rFonts w:ascii="Book Antiqua" w:hAnsi="Book Antiqua"/>
          <w:caps/>
          <w:sz w:val="24"/>
          <w:szCs w:val="24"/>
        </w:rPr>
      </w:pPr>
      <w:r w:rsidRPr="00877499">
        <w:rPr>
          <w:rFonts w:ascii="Book Antiqua" w:hAnsi="Book Antiqua"/>
          <w:caps/>
          <w:sz w:val="24"/>
          <w:szCs w:val="24"/>
        </w:rPr>
        <w:t>Background</w:t>
      </w:r>
    </w:p>
    <w:p w:rsidR="00D67C79" w:rsidRPr="00877499" w:rsidRDefault="00D67C79" w:rsidP="009E2046">
      <w:pPr>
        <w:widowControl w:val="0"/>
        <w:spacing w:after="0" w:line="360" w:lineRule="auto"/>
        <w:jc w:val="both"/>
        <w:rPr>
          <w:rFonts w:ascii="Book Antiqua" w:hAnsi="Book Antiqua"/>
          <w:sz w:val="24"/>
          <w:szCs w:val="24"/>
        </w:rPr>
      </w:pPr>
      <w:r w:rsidRPr="00877499">
        <w:rPr>
          <w:rFonts w:ascii="Book Antiqua" w:hAnsi="Book Antiqua"/>
          <w:sz w:val="24"/>
          <w:szCs w:val="24"/>
        </w:rPr>
        <w:t>Pertuzumab is a humanized anti-</w:t>
      </w:r>
      <w:r w:rsidR="002040E0" w:rsidRPr="00877499">
        <w:rPr>
          <w:rFonts w:ascii="Book Antiqua" w:hAnsi="Book Antiqua" w:cs="Calibri"/>
          <w:sz w:val="24"/>
          <w:szCs w:val="24"/>
        </w:rPr>
        <w:t>human epidermal growth factor receptor 2 (HER2)</w:t>
      </w:r>
      <w:r w:rsidRPr="00877499">
        <w:rPr>
          <w:rFonts w:ascii="Book Antiqua" w:hAnsi="Book Antiqua"/>
          <w:sz w:val="24"/>
          <w:szCs w:val="24"/>
        </w:rPr>
        <w:t xml:space="preserve"> monoclonal antibody found in a Phase III clinical trial to significantly improve median survival in HER2 positive </w:t>
      </w:r>
      <w:r w:rsidR="000750BB" w:rsidRPr="00877499">
        <w:rPr>
          <w:rFonts w:ascii="Book Antiqua" w:hAnsi="Book Antiqua"/>
          <w:sz w:val="24"/>
          <w:szCs w:val="24"/>
        </w:rPr>
        <w:t>metastatic breast cancer (MBC)</w:t>
      </w:r>
      <w:r w:rsidR="000750BB" w:rsidRPr="00877499">
        <w:rPr>
          <w:rFonts w:ascii="Book Antiqua" w:hAnsi="Book Antiqua" w:hint="eastAsia"/>
          <w:sz w:val="24"/>
          <w:szCs w:val="24"/>
        </w:rPr>
        <w:t xml:space="preserve"> </w:t>
      </w:r>
      <w:r w:rsidRPr="00877499">
        <w:rPr>
          <w:rFonts w:ascii="Book Antiqua" w:hAnsi="Book Antiqua"/>
          <w:sz w:val="24"/>
          <w:szCs w:val="24"/>
        </w:rPr>
        <w:t xml:space="preserve">when used in combination with a taxane and Trastuzumab, and its clinical efficacy has transformed the therapeutic landscape of HER2-positive breast cancer. There are currently few reports on the pattern of use and value of Pertuzumab in real world settings. Our study describes the clinical efficacy and treatment costs of Pertuzumab in HER2-positive </w:t>
      </w:r>
      <w:r w:rsidR="000750BB" w:rsidRPr="00877499">
        <w:rPr>
          <w:rFonts w:ascii="Book Antiqua" w:hAnsi="Book Antiqua"/>
          <w:sz w:val="24"/>
          <w:szCs w:val="24"/>
        </w:rPr>
        <w:t>MBC</w:t>
      </w:r>
      <w:r w:rsidRPr="00877499">
        <w:rPr>
          <w:rFonts w:ascii="Book Antiqua" w:hAnsi="Book Antiqua"/>
          <w:sz w:val="24"/>
          <w:szCs w:val="24"/>
        </w:rPr>
        <w:t xml:space="preserve"> treated in a tertiary cancer centre in Singapore in a predominantly Asian population.</w:t>
      </w:r>
    </w:p>
    <w:p w:rsidR="00D67C79" w:rsidRPr="00877499" w:rsidRDefault="00D67C79" w:rsidP="009E2046">
      <w:pPr>
        <w:widowControl w:val="0"/>
        <w:spacing w:after="0" w:line="360" w:lineRule="auto"/>
        <w:jc w:val="both"/>
        <w:rPr>
          <w:rFonts w:ascii="Book Antiqua" w:hAnsi="Book Antiqua"/>
          <w:sz w:val="24"/>
          <w:szCs w:val="24"/>
        </w:rPr>
      </w:pPr>
    </w:p>
    <w:p w:rsidR="00D67C79" w:rsidRPr="00877499" w:rsidRDefault="00D67C79" w:rsidP="009E2046">
      <w:pPr>
        <w:widowControl w:val="0"/>
        <w:spacing w:after="0" w:line="360" w:lineRule="auto"/>
        <w:jc w:val="both"/>
        <w:rPr>
          <w:rFonts w:ascii="Book Antiqua" w:hAnsi="Book Antiqua"/>
          <w:caps/>
          <w:sz w:val="24"/>
          <w:szCs w:val="24"/>
        </w:rPr>
      </w:pPr>
      <w:r w:rsidRPr="00877499">
        <w:rPr>
          <w:rFonts w:ascii="Book Antiqua" w:hAnsi="Book Antiqua"/>
          <w:caps/>
          <w:sz w:val="24"/>
          <w:szCs w:val="24"/>
        </w:rPr>
        <w:t>Aim</w:t>
      </w:r>
    </w:p>
    <w:p w:rsidR="00D67C79" w:rsidRPr="00877499" w:rsidRDefault="00D67C79" w:rsidP="009E2046">
      <w:pPr>
        <w:widowControl w:val="0"/>
        <w:spacing w:after="0" w:line="360" w:lineRule="auto"/>
        <w:jc w:val="both"/>
        <w:rPr>
          <w:rFonts w:ascii="Book Antiqua" w:hAnsi="Book Antiqua"/>
          <w:sz w:val="24"/>
          <w:szCs w:val="24"/>
        </w:rPr>
      </w:pPr>
      <w:r w:rsidRPr="00877499">
        <w:rPr>
          <w:rFonts w:ascii="Book Antiqua" w:hAnsi="Book Antiqua"/>
          <w:sz w:val="24"/>
          <w:szCs w:val="24"/>
        </w:rPr>
        <w:t xml:space="preserve">To investigate the clinical efficacy and treatment costs of Pertuzumab in HER2-positive MBC in an Asian population in Singapore. </w:t>
      </w:r>
    </w:p>
    <w:p w:rsidR="00D67C79" w:rsidRPr="00877499" w:rsidRDefault="00D67C79" w:rsidP="009E2046">
      <w:pPr>
        <w:widowControl w:val="0"/>
        <w:spacing w:after="0" w:line="360" w:lineRule="auto"/>
        <w:jc w:val="both"/>
        <w:rPr>
          <w:rFonts w:ascii="Book Antiqua" w:hAnsi="Book Antiqua"/>
          <w:sz w:val="24"/>
          <w:szCs w:val="24"/>
        </w:rPr>
      </w:pPr>
    </w:p>
    <w:p w:rsidR="00D67C79" w:rsidRPr="00877499" w:rsidRDefault="00D67C79" w:rsidP="009E2046">
      <w:pPr>
        <w:widowControl w:val="0"/>
        <w:spacing w:after="0" w:line="360" w:lineRule="auto"/>
        <w:jc w:val="both"/>
        <w:rPr>
          <w:rFonts w:ascii="Book Antiqua" w:hAnsi="Book Antiqua"/>
          <w:caps/>
          <w:sz w:val="24"/>
          <w:szCs w:val="24"/>
        </w:rPr>
      </w:pPr>
      <w:r w:rsidRPr="00877499">
        <w:rPr>
          <w:rFonts w:ascii="Book Antiqua" w:hAnsi="Book Antiqua"/>
          <w:caps/>
          <w:sz w:val="24"/>
          <w:szCs w:val="24"/>
        </w:rPr>
        <w:t>Methods</w:t>
      </w:r>
    </w:p>
    <w:p w:rsidR="00D67C79" w:rsidRPr="00877499" w:rsidRDefault="00D67C79" w:rsidP="00F101AA">
      <w:pPr>
        <w:widowControl w:val="0"/>
        <w:spacing w:after="0" w:line="360" w:lineRule="auto"/>
        <w:jc w:val="both"/>
        <w:rPr>
          <w:rFonts w:ascii="Book Antiqua" w:hAnsi="Book Antiqua"/>
          <w:sz w:val="24"/>
          <w:szCs w:val="24"/>
        </w:rPr>
      </w:pPr>
      <w:r w:rsidRPr="00877499">
        <w:rPr>
          <w:rFonts w:ascii="Book Antiqua" w:hAnsi="Book Antiqua"/>
          <w:sz w:val="24"/>
          <w:szCs w:val="24"/>
        </w:rPr>
        <w:t>A retrospective study of 304 HER2-positive MBC patients seen at National Cancer</w:t>
      </w:r>
      <w:r w:rsidR="00B8406A" w:rsidRPr="00877499">
        <w:rPr>
          <w:rFonts w:ascii="Book Antiqua" w:hAnsi="Book Antiqua" w:hint="eastAsia"/>
          <w:sz w:val="24"/>
          <w:szCs w:val="24"/>
        </w:rPr>
        <w:t xml:space="preserve"> </w:t>
      </w:r>
      <w:r w:rsidRPr="00877499">
        <w:rPr>
          <w:rFonts w:ascii="Book Antiqua" w:hAnsi="Book Antiqua"/>
          <w:sz w:val="24"/>
          <w:szCs w:val="24"/>
        </w:rPr>
        <w:t>Centre Singapore between 2011-2017 was conducted. Demographic and clinical data</w:t>
      </w:r>
    </w:p>
    <w:p w:rsidR="00D67C79" w:rsidRPr="00877499" w:rsidRDefault="00D67C79" w:rsidP="00F101AA">
      <w:pPr>
        <w:widowControl w:val="0"/>
        <w:spacing w:after="0" w:line="360" w:lineRule="auto"/>
        <w:jc w:val="both"/>
        <w:rPr>
          <w:rFonts w:ascii="Book Antiqua" w:hAnsi="Book Antiqua"/>
          <w:sz w:val="24"/>
          <w:szCs w:val="24"/>
        </w:rPr>
      </w:pPr>
      <w:r w:rsidRPr="00877499">
        <w:rPr>
          <w:rFonts w:ascii="Book Antiqua" w:hAnsi="Book Antiqua"/>
          <w:sz w:val="24"/>
          <w:szCs w:val="24"/>
        </w:rPr>
        <w:t>were extracted from electronic medical records. Clinical c</w:t>
      </w:r>
      <w:r w:rsidR="000C5530" w:rsidRPr="00877499">
        <w:rPr>
          <w:rFonts w:ascii="Book Antiqua" w:hAnsi="Book Antiqua"/>
          <w:sz w:val="24"/>
          <w:szCs w:val="24"/>
        </w:rPr>
        <w:t>haracteristics and billing data</w:t>
      </w:r>
      <w:r w:rsidR="000C5530" w:rsidRPr="00877499">
        <w:rPr>
          <w:rFonts w:ascii="Book Antiqua" w:hAnsi="Book Antiqua" w:hint="eastAsia"/>
          <w:sz w:val="24"/>
          <w:szCs w:val="24"/>
        </w:rPr>
        <w:t xml:space="preserve"> </w:t>
      </w:r>
      <w:r w:rsidRPr="00877499">
        <w:rPr>
          <w:rFonts w:ascii="Book Antiqua" w:hAnsi="Book Antiqua"/>
          <w:sz w:val="24"/>
          <w:szCs w:val="24"/>
        </w:rPr>
        <w:t>of patients who received Pertuzumab were compared with those who did not.</w:t>
      </w:r>
    </w:p>
    <w:p w:rsidR="00D67C79" w:rsidRPr="00877499" w:rsidRDefault="00D67C79" w:rsidP="009E2046">
      <w:pPr>
        <w:widowControl w:val="0"/>
        <w:spacing w:after="0" w:line="360" w:lineRule="auto"/>
        <w:jc w:val="both"/>
        <w:rPr>
          <w:rFonts w:ascii="Book Antiqua" w:hAnsi="Book Antiqua"/>
          <w:sz w:val="24"/>
          <w:szCs w:val="24"/>
        </w:rPr>
      </w:pPr>
    </w:p>
    <w:p w:rsidR="00D67C79" w:rsidRPr="00877499" w:rsidRDefault="00D67C79" w:rsidP="009E2046">
      <w:pPr>
        <w:widowControl w:val="0"/>
        <w:spacing w:after="0" w:line="360" w:lineRule="auto"/>
        <w:jc w:val="both"/>
        <w:rPr>
          <w:rFonts w:ascii="Book Antiqua" w:hAnsi="Book Antiqua"/>
          <w:caps/>
          <w:sz w:val="24"/>
          <w:szCs w:val="24"/>
        </w:rPr>
      </w:pPr>
      <w:r w:rsidRPr="00877499">
        <w:rPr>
          <w:rFonts w:ascii="Book Antiqua" w:hAnsi="Book Antiqua"/>
          <w:caps/>
          <w:sz w:val="24"/>
          <w:szCs w:val="24"/>
        </w:rPr>
        <w:t>Results</w:t>
      </w:r>
    </w:p>
    <w:p w:rsidR="00D67C79" w:rsidRPr="00877499" w:rsidRDefault="00D67C79" w:rsidP="009E2046">
      <w:pPr>
        <w:widowControl w:val="0"/>
        <w:spacing w:after="0" w:line="360" w:lineRule="auto"/>
        <w:jc w:val="both"/>
        <w:rPr>
          <w:rFonts w:ascii="Book Antiqua" w:hAnsi="Book Antiqua"/>
          <w:sz w:val="24"/>
          <w:szCs w:val="24"/>
        </w:rPr>
      </w:pPr>
      <w:r w:rsidRPr="00877499">
        <w:rPr>
          <w:rFonts w:ascii="Book Antiqua" w:hAnsi="Book Antiqua"/>
          <w:sz w:val="24"/>
          <w:szCs w:val="24"/>
        </w:rPr>
        <w:t>Thirty-one (62.0%) of the fifty (16.4%) patients who received Pertuzumab as first-line</w:t>
      </w:r>
      <w:r w:rsidR="00B8406A" w:rsidRPr="00877499">
        <w:rPr>
          <w:rFonts w:ascii="Book Antiqua" w:hAnsi="Book Antiqua" w:hint="eastAsia"/>
          <w:sz w:val="24"/>
          <w:szCs w:val="24"/>
        </w:rPr>
        <w:t xml:space="preserve"> </w:t>
      </w:r>
      <w:r w:rsidRPr="00877499">
        <w:rPr>
          <w:rFonts w:ascii="Book Antiqua" w:hAnsi="Book Antiqua"/>
          <w:sz w:val="24"/>
          <w:szCs w:val="24"/>
        </w:rPr>
        <w:t>therapy. With a median follow-up of 21.5 mo, there was a statistically significant</w:t>
      </w:r>
      <w:r w:rsidR="008158F3" w:rsidRPr="00877499">
        <w:rPr>
          <w:rFonts w:ascii="Book Antiqua" w:hAnsi="Book Antiqua" w:hint="eastAsia"/>
          <w:sz w:val="24"/>
          <w:szCs w:val="24"/>
        </w:rPr>
        <w:t xml:space="preserve"> </w:t>
      </w:r>
      <w:r w:rsidRPr="00877499">
        <w:rPr>
          <w:rFonts w:ascii="Book Antiqua" w:hAnsi="Book Antiqua"/>
          <w:sz w:val="24"/>
          <w:szCs w:val="24"/>
        </w:rPr>
        <w:t>difference in the median overall survival between Pertuzumab and non-Pertuzumab</w:t>
      </w:r>
      <w:r w:rsidR="008158F3" w:rsidRPr="00877499">
        <w:rPr>
          <w:rFonts w:ascii="Book Antiqua" w:hAnsi="Book Antiqua" w:hint="eastAsia"/>
          <w:sz w:val="24"/>
          <w:szCs w:val="24"/>
        </w:rPr>
        <w:t xml:space="preserve"> </w:t>
      </w:r>
      <w:r w:rsidRPr="00877499">
        <w:rPr>
          <w:rFonts w:ascii="Book Antiqua" w:hAnsi="Book Antiqua"/>
          <w:sz w:val="24"/>
          <w:szCs w:val="24"/>
        </w:rPr>
        <w:t xml:space="preserve">groups </w:t>
      </w:r>
      <w:r w:rsidR="008158F3" w:rsidRPr="00877499">
        <w:rPr>
          <w:rFonts w:ascii="Book Antiqua" w:hAnsi="Book Antiqua" w:hint="eastAsia"/>
          <w:sz w:val="24"/>
          <w:szCs w:val="24"/>
        </w:rPr>
        <w:t>[</w:t>
      </w:r>
      <w:r w:rsidRPr="00877499">
        <w:rPr>
          <w:rFonts w:ascii="Book Antiqua" w:hAnsi="Book Antiqua"/>
          <w:sz w:val="24"/>
          <w:szCs w:val="24"/>
        </w:rPr>
        <w:t>51.5 (</w:t>
      </w:r>
      <w:r w:rsidR="008158F3" w:rsidRPr="00877499">
        <w:rPr>
          <w:rFonts w:ascii="Book Antiqua" w:hAnsi="Book Antiqua"/>
          <w:sz w:val="24"/>
          <w:szCs w:val="24"/>
        </w:rPr>
        <w:t>95%CI: 35.8–</w:t>
      </w:r>
      <w:r w:rsidRPr="00877499">
        <w:rPr>
          <w:rFonts w:ascii="Book Antiqua" w:hAnsi="Book Antiqua"/>
          <w:sz w:val="24"/>
          <w:szCs w:val="24"/>
        </w:rPr>
        <w:t xml:space="preserve">60.0) </w:t>
      </w:r>
      <w:r w:rsidR="008158F3" w:rsidRPr="00877499">
        <w:rPr>
          <w:rFonts w:ascii="Book Antiqua" w:hAnsi="Book Antiqua"/>
          <w:i/>
          <w:sz w:val="24"/>
          <w:szCs w:val="24"/>
        </w:rPr>
        <w:t>vs</w:t>
      </w:r>
      <w:r w:rsidRPr="00877499">
        <w:rPr>
          <w:rFonts w:ascii="Book Antiqua" w:hAnsi="Book Antiqua"/>
          <w:sz w:val="24"/>
          <w:szCs w:val="24"/>
        </w:rPr>
        <w:t xml:space="preserve"> 32.9 (</w:t>
      </w:r>
      <w:r w:rsidR="008158F3" w:rsidRPr="00877499">
        <w:rPr>
          <w:rFonts w:ascii="Book Antiqua" w:hAnsi="Book Antiqua"/>
          <w:sz w:val="24"/>
          <w:szCs w:val="24"/>
        </w:rPr>
        <w:t>95%CI: 28.1–</w:t>
      </w:r>
      <w:r w:rsidRPr="00877499">
        <w:rPr>
          <w:rFonts w:ascii="Book Antiqua" w:hAnsi="Book Antiqua"/>
          <w:sz w:val="24"/>
          <w:szCs w:val="24"/>
        </w:rPr>
        <w:t xml:space="preserve">37.5) mo; </w:t>
      </w:r>
      <w:r w:rsidR="008158F3" w:rsidRPr="00877499">
        <w:rPr>
          <w:rFonts w:ascii="Book Antiqua" w:hAnsi="Book Antiqua"/>
          <w:i/>
          <w:caps/>
          <w:sz w:val="24"/>
          <w:szCs w:val="24"/>
        </w:rPr>
        <w:t>p =</w:t>
      </w:r>
      <w:r w:rsidR="000C5530" w:rsidRPr="00877499">
        <w:rPr>
          <w:rFonts w:ascii="Book Antiqua" w:hAnsi="Book Antiqua" w:hint="eastAsia"/>
          <w:sz w:val="24"/>
          <w:szCs w:val="24"/>
        </w:rPr>
        <w:t xml:space="preserve"> </w:t>
      </w:r>
      <w:r w:rsidRPr="00877499">
        <w:rPr>
          <w:rFonts w:ascii="Book Antiqua" w:hAnsi="Book Antiqua"/>
          <w:sz w:val="24"/>
          <w:szCs w:val="24"/>
        </w:rPr>
        <w:t>0.0128</w:t>
      </w:r>
      <w:r w:rsidR="008158F3" w:rsidRPr="00877499">
        <w:rPr>
          <w:rFonts w:ascii="Book Antiqua" w:hAnsi="Book Antiqua" w:hint="eastAsia"/>
          <w:sz w:val="24"/>
          <w:szCs w:val="24"/>
        </w:rPr>
        <w:t>]</w:t>
      </w:r>
      <w:r w:rsidRPr="00877499">
        <w:rPr>
          <w:rFonts w:ascii="Book Antiqua" w:hAnsi="Book Antiqua"/>
          <w:sz w:val="24"/>
          <w:szCs w:val="24"/>
        </w:rPr>
        <w:t>. Two (4.88%) patients in the Pertuzumab group experienced grade 3 (G3)</w:t>
      </w:r>
      <w:r w:rsidR="000C5530" w:rsidRPr="00877499">
        <w:rPr>
          <w:rFonts w:ascii="Book Antiqua" w:hAnsi="Book Antiqua"/>
          <w:sz w:val="24"/>
          <w:szCs w:val="24"/>
        </w:rPr>
        <w:t xml:space="preserve"> </w:t>
      </w:r>
      <w:r w:rsidRPr="00877499">
        <w:rPr>
          <w:rFonts w:ascii="Book Antiqua" w:hAnsi="Book Antiqua"/>
          <w:sz w:val="24"/>
          <w:szCs w:val="24"/>
        </w:rPr>
        <w:t>cardiotoxicity. The median treatment cost incurred for total chemotherapy for the</w:t>
      </w:r>
      <w:r w:rsidR="000C5530" w:rsidRPr="00877499">
        <w:rPr>
          <w:rFonts w:ascii="Book Antiqua" w:hAnsi="Book Antiqua" w:hint="eastAsia"/>
          <w:sz w:val="24"/>
          <w:szCs w:val="24"/>
        </w:rPr>
        <w:t xml:space="preserve"> </w:t>
      </w:r>
      <w:r w:rsidR="008158F3" w:rsidRPr="00877499">
        <w:rPr>
          <w:rFonts w:ascii="Book Antiqua" w:hAnsi="Book Antiqua"/>
          <w:sz w:val="24"/>
          <w:szCs w:val="24"/>
        </w:rPr>
        <w:t xml:space="preserve">Pertuzumab group was </w:t>
      </w:r>
      <w:r w:rsidR="006D142E" w:rsidRPr="00877499">
        <w:rPr>
          <w:rFonts w:ascii="Book Antiqua" w:hAnsi="Book Antiqua"/>
          <w:sz w:val="24"/>
          <w:szCs w:val="24"/>
        </w:rPr>
        <w:t>Singapore Dollars</w:t>
      </w:r>
      <w:r w:rsidR="006D142E" w:rsidRPr="00877499">
        <w:rPr>
          <w:rFonts w:ascii="Book Antiqua" w:hAnsi="Book Antiqua" w:hint="eastAsia"/>
          <w:sz w:val="24"/>
          <w:szCs w:val="24"/>
        </w:rPr>
        <w:t xml:space="preserve"> </w:t>
      </w:r>
      <w:r w:rsidR="008158F3" w:rsidRPr="00877499">
        <w:rPr>
          <w:rFonts w:ascii="Book Antiqua" w:hAnsi="Book Antiqua"/>
          <w:sz w:val="24"/>
          <w:szCs w:val="24"/>
        </w:rPr>
        <w:t xml:space="preserve">130456 compared to </w:t>
      </w:r>
      <w:r w:rsidR="006D142E" w:rsidRPr="00877499">
        <w:rPr>
          <w:rFonts w:ascii="Book Antiqua" w:hAnsi="Book Antiqua"/>
          <w:sz w:val="24"/>
          <w:szCs w:val="24"/>
        </w:rPr>
        <w:t>Singapore Dollars</w:t>
      </w:r>
      <w:r w:rsidR="006D142E" w:rsidRPr="00877499">
        <w:rPr>
          <w:rFonts w:ascii="Book Antiqua" w:hAnsi="Book Antiqua" w:hint="eastAsia"/>
          <w:sz w:val="24"/>
          <w:szCs w:val="24"/>
        </w:rPr>
        <w:t xml:space="preserve"> </w:t>
      </w:r>
      <w:r w:rsidR="008158F3" w:rsidRPr="00877499">
        <w:rPr>
          <w:rFonts w:ascii="Book Antiqua" w:hAnsi="Book Antiqua"/>
          <w:sz w:val="24"/>
          <w:szCs w:val="24"/>
        </w:rPr>
        <w:t>34</w:t>
      </w:r>
      <w:r w:rsidRPr="00877499">
        <w:rPr>
          <w:rFonts w:ascii="Book Antiqua" w:hAnsi="Book Antiqua"/>
          <w:sz w:val="24"/>
          <w:szCs w:val="24"/>
        </w:rPr>
        <w:t xml:space="preserve">523 for the non-Pertuzumab group. The median percentage of total chemotherapy costs per </w:t>
      </w:r>
      <w:r w:rsidRPr="00877499">
        <w:rPr>
          <w:rFonts w:ascii="Book Antiqua" w:hAnsi="Book Antiqua"/>
          <w:sz w:val="24"/>
          <w:szCs w:val="24"/>
        </w:rPr>
        <w:lastRenderedPageBreak/>
        <w:t>patient in</w:t>
      </w:r>
      <w:r w:rsidR="000C5530" w:rsidRPr="00877499">
        <w:rPr>
          <w:rFonts w:ascii="Book Antiqua" w:hAnsi="Book Antiqua" w:hint="eastAsia"/>
          <w:sz w:val="24"/>
          <w:szCs w:val="24"/>
        </w:rPr>
        <w:t xml:space="preserve"> </w:t>
      </w:r>
      <w:r w:rsidRPr="00877499">
        <w:rPr>
          <w:rFonts w:ascii="Book Antiqua" w:hAnsi="Book Antiqua"/>
          <w:sz w:val="24"/>
          <w:szCs w:val="24"/>
        </w:rPr>
        <w:t>the Pertuzumab group spent on Pertuzumab was 50.3%.</w:t>
      </w:r>
    </w:p>
    <w:p w:rsidR="00D67C79" w:rsidRPr="00877499" w:rsidRDefault="00D67C79" w:rsidP="009E2046">
      <w:pPr>
        <w:widowControl w:val="0"/>
        <w:spacing w:after="0" w:line="360" w:lineRule="auto"/>
        <w:jc w:val="both"/>
        <w:rPr>
          <w:rFonts w:ascii="Book Antiqua" w:hAnsi="Book Antiqua"/>
          <w:sz w:val="24"/>
          <w:szCs w:val="24"/>
        </w:rPr>
      </w:pPr>
    </w:p>
    <w:p w:rsidR="00D67C79" w:rsidRPr="00877499" w:rsidRDefault="00D67C79" w:rsidP="009E2046">
      <w:pPr>
        <w:widowControl w:val="0"/>
        <w:spacing w:after="0" w:line="360" w:lineRule="auto"/>
        <w:jc w:val="both"/>
        <w:rPr>
          <w:rFonts w:ascii="Book Antiqua" w:hAnsi="Book Antiqua"/>
          <w:caps/>
          <w:sz w:val="24"/>
          <w:szCs w:val="24"/>
        </w:rPr>
      </w:pPr>
      <w:r w:rsidRPr="00877499">
        <w:rPr>
          <w:rFonts w:ascii="Book Antiqua" w:hAnsi="Book Antiqua"/>
          <w:caps/>
          <w:sz w:val="24"/>
          <w:szCs w:val="24"/>
        </w:rPr>
        <w:t>Conclusion</w:t>
      </w:r>
    </w:p>
    <w:p w:rsidR="007B6A3A" w:rsidRPr="00877499" w:rsidRDefault="00D67C79" w:rsidP="009E2046">
      <w:pPr>
        <w:widowControl w:val="0"/>
        <w:spacing w:after="0" w:line="360" w:lineRule="auto"/>
        <w:jc w:val="both"/>
        <w:rPr>
          <w:rFonts w:ascii="Book Antiqua" w:hAnsi="Book Antiqua" w:hint="eastAsia"/>
          <w:sz w:val="24"/>
          <w:szCs w:val="24"/>
        </w:rPr>
      </w:pPr>
      <w:r w:rsidRPr="00877499">
        <w:rPr>
          <w:rFonts w:ascii="Book Antiqua" w:hAnsi="Book Antiqua"/>
          <w:sz w:val="24"/>
          <w:szCs w:val="24"/>
        </w:rPr>
        <w:t>This study shows that Pertuzumab use in the treatment of metastatic breast cancer is</w:t>
      </w:r>
      <w:r w:rsidR="000C5530" w:rsidRPr="00877499">
        <w:rPr>
          <w:rFonts w:ascii="Book Antiqua" w:hAnsi="Book Antiqua" w:hint="eastAsia"/>
          <w:sz w:val="24"/>
          <w:szCs w:val="24"/>
        </w:rPr>
        <w:t xml:space="preserve"> </w:t>
      </w:r>
      <w:r w:rsidRPr="00877499">
        <w:rPr>
          <w:rFonts w:ascii="Book Antiqua" w:hAnsi="Book Antiqua"/>
          <w:sz w:val="24"/>
          <w:szCs w:val="24"/>
        </w:rPr>
        <w:t>associated with a significantly better survival and a low incidence of serious</w:t>
      </w:r>
      <w:r w:rsidR="000C5530" w:rsidRPr="00877499">
        <w:rPr>
          <w:rFonts w:ascii="Book Antiqua" w:hAnsi="Book Antiqua" w:hint="eastAsia"/>
          <w:sz w:val="24"/>
          <w:szCs w:val="24"/>
        </w:rPr>
        <w:t xml:space="preserve"> </w:t>
      </w:r>
      <w:r w:rsidRPr="00877499">
        <w:rPr>
          <w:rFonts w:ascii="Book Antiqua" w:hAnsi="Book Antiqua"/>
          <w:sz w:val="24"/>
          <w:szCs w:val="24"/>
        </w:rPr>
        <w:t>cardiotoxicity. However, the proportionate cost of Pertuzumab therapy remains high</w:t>
      </w:r>
      <w:r w:rsidR="000C5530" w:rsidRPr="00877499">
        <w:rPr>
          <w:rFonts w:ascii="Book Antiqua" w:hAnsi="Book Antiqua" w:hint="eastAsia"/>
          <w:sz w:val="24"/>
          <w:szCs w:val="24"/>
        </w:rPr>
        <w:t xml:space="preserve"> </w:t>
      </w:r>
      <w:r w:rsidRPr="00877499">
        <w:rPr>
          <w:rFonts w:ascii="Book Antiqua" w:hAnsi="Book Antiqua"/>
          <w:sz w:val="24"/>
          <w:szCs w:val="24"/>
        </w:rPr>
        <w:t>and further cost-effectiveness studies should be conducted.</w:t>
      </w:r>
    </w:p>
    <w:p w:rsidR="000C5530" w:rsidRPr="00877499" w:rsidRDefault="000C5530" w:rsidP="009E2046">
      <w:pPr>
        <w:widowControl w:val="0"/>
        <w:spacing w:after="0" w:line="360" w:lineRule="auto"/>
        <w:jc w:val="both"/>
        <w:rPr>
          <w:rFonts w:ascii="Book Antiqua" w:hAnsi="Book Antiqua"/>
          <w:sz w:val="24"/>
          <w:szCs w:val="24"/>
        </w:rPr>
      </w:pPr>
    </w:p>
    <w:p w:rsidR="0081428A" w:rsidRPr="00877499" w:rsidRDefault="0081428A" w:rsidP="009E2046">
      <w:pPr>
        <w:widowControl w:val="0"/>
        <w:spacing w:after="0" w:line="360" w:lineRule="auto"/>
        <w:jc w:val="both"/>
        <w:rPr>
          <w:rFonts w:ascii="Book Antiqua" w:hAnsi="Book Antiqua"/>
          <w:sz w:val="24"/>
          <w:szCs w:val="24"/>
        </w:rPr>
      </w:pPr>
      <w:r w:rsidRPr="00877499">
        <w:rPr>
          <w:rFonts w:ascii="Book Antiqua" w:hAnsi="Book Antiqua"/>
          <w:b/>
          <w:bCs/>
          <w:sz w:val="24"/>
          <w:szCs w:val="24"/>
        </w:rPr>
        <w:t>Key</w:t>
      </w:r>
      <w:r w:rsidR="000C5530" w:rsidRPr="00877499">
        <w:rPr>
          <w:rFonts w:ascii="Book Antiqua" w:hAnsi="Book Antiqua" w:hint="eastAsia"/>
          <w:b/>
          <w:bCs/>
          <w:sz w:val="24"/>
          <w:szCs w:val="24"/>
        </w:rPr>
        <w:t xml:space="preserve"> </w:t>
      </w:r>
      <w:r w:rsidRPr="00877499">
        <w:rPr>
          <w:rFonts w:ascii="Book Antiqua" w:hAnsi="Book Antiqua"/>
          <w:b/>
          <w:bCs/>
          <w:sz w:val="24"/>
          <w:szCs w:val="24"/>
        </w:rPr>
        <w:t>words</w:t>
      </w:r>
      <w:r w:rsidR="000C5530" w:rsidRPr="00877499">
        <w:rPr>
          <w:rFonts w:ascii="Book Antiqua" w:hAnsi="Book Antiqua" w:hint="eastAsia"/>
          <w:b/>
          <w:bCs/>
          <w:sz w:val="24"/>
          <w:szCs w:val="24"/>
        </w:rPr>
        <w:t xml:space="preserve">: </w:t>
      </w:r>
      <w:r w:rsidRPr="00877499">
        <w:rPr>
          <w:rFonts w:ascii="Book Antiqua" w:hAnsi="Book Antiqua"/>
          <w:sz w:val="24"/>
          <w:szCs w:val="24"/>
        </w:rPr>
        <w:t xml:space="preserve">Pertuzumab; Chemotherapy; </w:t>
      </w:r>
      <w:r w:rsidRPr="00877499">
        <w:rPr>
          <w:rFonts w:ascii="Book Antiqua" w:hAnsi="Book Antiqua"/>
          <w:caps/>
          <w:sz w:val="24"/>
          <w:szCs w:val="24"/>
        </w:rPr>
        <w:t>m</w:t>
      </w:r>
      <w:r w:rsidRPr="00877499">
        <w:rPr>
          <w:rFonts w:ascii="Book Antiqua" w:hAnsi="Book Antiqua"/>
          <w:sz w:val="24"/>
          <w:szCs w:val="24"/>
        </w:rPr>
        <w:t xml:space="preserve">etastatic breast cancer; Treatment </w:t>
      </w:r>
      <w:r w:rsidR="000C5530" w:rsidRPr="00877499">
        <w:rPr>
          <w:rFonts w:ascii="Book Antiqua" w:hAnsi="Book Antiqua"/>
          <w:sz w:val="24"/>
          <w:szCs w:val="24"/>
        </w:rPr>
        <w:t>c</w:t>
      </w:r>
      <w:r w:rsidRPr="00877499">
        <w:rPr>
          <w:rFonts w:ascii="Book Antiqua" w:hAnsi="Book Antiqua"/>
          <w:sz w:val="24"/>
          <w:szCs w:val="24"/>
        </w:rPr>
        <w:t>ost</w:t>
      </w:r>
    </w:p>
    <w:p w:rsidR="00647DEE" w:rsidRPr="00877499" w:rsidRDefault="00647DEE" w:rsidP="009E2046">
      <w:pPr>
        <w:widowControl w:val="0"/>
        <w:spacing w:after="0" w:line="360" w:lineRule="auto"/>
        <w:jc w:val="both"/>
        <w:rPr>
          <w:rFonts w:ascii="Book Antiqua" w:hAnsi="Book Antiqua" w:hint="eastAsia"/>
          <w:b/>
          <w:sz w:val="24"/>
          <w:szCs w:val="24"/>
        </w:rPr>
      </w:pPr>
    </w:p>
    <w:p w:rsidR="00751DC0" w:rsidRPr="00877499" w:rsidRDefault="00751DC0" w:rsidP="00B55430">
      <w:pPr>
        <w:spacing w:after="0" w:line="360" w:lineRule="auto"/>
        <w:jc w:val="both"/>
        <w:rPr>
          <w:rFonts w:ascii="Book Antiqua" w:eastAsia="黑体" w:hAnsi="Book Antiqua" w:hint="eastAsia"/>
          <w:bCs/>
          <w:sz w:val="24"/>
          <w:szCs w:val="24"/>
        </w:rPr>
      </w:pPr>
      <w:r w:rsidRPr="00877499">
        <w:rPr>
          <w:rFonts w:ascii="Book Antiqua" w:hAnsi="Book Antiqua" w:hint="eastAsia"/>
          <w:b/>
          <w:bCs/>
          <w:sz w:val="24"/>
          <w:szCs w:val="24"/>
        </w:rPr>
        <w:t>Citation:</w:t>
      </w:r>
      <w:r w:rsidRPr="00877499">
        <w:rPr>
          <w:rFonts w:ascii="Book Antiqua" w:hAnsi="Book Antiqua" w:hint="eastAsia"/>
          <w:bCs/>
          <w:sz w:val="24"/>
          <w:szCs w:val="24"/>
        </w:rPr>
        <w:t xml:space="preserve"> </w:t>
      </w:r>
      <w:r w:rsidR="003019D3" w:rsidRPr="00877499">
        <w:rPr>
          <w:rFonts w:ascii="Book Antiqua" w:hAnsi="Book Antiqua"/>
          <w:bCs/>
          <w:sz w:val="24"/>
          <w:szCs w:val="24"/>
        </w:rPr>
        <w:t>Rahardja</w:t>
      </w:r>
      <w:r w:rsidR="003019D3" w:rsidRPr="00877499">
        <w:rPr>
          <w:rFonts w:ascii="Book Antiqua" w:hAnsi="Book Antiqua" w:hint="eastAsia"/>
          <w:bCs/>
          <w:sz w:val="24"/>
          <w:szCs w:val="24"/>
        </w:rPr>
        <w:t xml:space="preserve"> S, </w:t>
      </w:r>
      <w:r w:rsidR="003019D3" w:rsidRPr="00877499">
        <w:rPr>
          <w:rFonts w:ascii="Book Antiqua" w:hAnsi="Book Antiqua"/>
          <w:bCs/>
          <w:sz w:val="24"/>
          <w:szCs w:val="24"/>
        </w:rPr>
        <w:t>Tan</w:t>
      </w:r>
      <w:r w:rsidR="003019D3" w:rsidRPr="00877499">
        <w:rPr>
          <w:rFonts w:ascii="Book Antiqua" w:hAnsi="Book Antiqua" w:hint="eastAsia"/>
          <w:bCs/>
          <w:sz w:val="24"/>
          <w:szCs w:val="24"/>
        </w:rPr>
        <w:t xml:space="preserve"> RYC, </w:t>
      </w:r>
      <w:r w:rsidR="003019D3" w:rsidRPr="00877499">
        <w:rPr>
          <w:rFonts w:ascii="Book Antiqua" w:hAnsi="Book Antiqua"/>
          <w:bCs/>
          <w:sz w:val="24"/>
          <w:szCs w:val="24"/>
        </w:rPr>
        <w:t>Sultana</w:t>
      </w:r>
      <w:r w:rsidR="003019D3" w:rsidRPr="00877499">
        <w:rPr>
          <w:rFonts w:ascii="Book Antiqua" w:hAnsi="Book Antiqua" w:hint="eastAsia"/>
          <w:bCs/>
          <w:sz w:val="24"/>
          <w:szCs w:val="24"/>
        </w:rPr>
        <w:t xml:space="preserve"> R, </w:t>
      </w:r>
      <w:r w:rsidR="003019D3" w:rsidRPr="00877499">
        <w:rPr>
          <w:rFonts w:ascii="Book Antiqua" w:hAnsi="Book Antiqua"/>
          <w:bCs/>
          <w:sz w:val="24"/>
          <w:szCs w:val="24"/>
        </w:rPr>
        <w:t>Leong</w:t>
      </w:r>
      <w:r w:rsidR="003019D3" w:rsidRPr="00877499">
        <w:rPr>
          <w:rFonts w:ascii="Book Antiqua" w:hAnsi="Book Antiqua" w:hint="eastAsia"/>
          <w:bCs/>
          <w:sz w:val="24"/>
          <w:szCs w:val="24"/>
        </w:rPr>
        <w:t xml:space="preserve"> FL, </w:t>
      </w:r>
      <w:r w:rsidR="003019D3" w:rsidRPr="00877499">
        <w:rPr>
          <w:rFonts w:ascii="Book Antiqua" w:hAnsi="Book Antiqua"/>
          <w:bCs/>
          <w:sz w:val="24"/>
          <w:szCs w:val="24"/>
        </w:rPr>
        <w:t>Lim</w:t>
      </w:r>
      <w:r w:rsidR="003019D3" w:rsidRPr="00877499">
        <w:rPr>
          <w:rFonts w:ascii="Book Antiqua" w:hAnsi="Book Antiqua"/>
          <w:sz w:val="24"/>
          <w:szCs w:val="24"/>
        </w:rPr>
        <w:t xml:space="preserve"> </w:t>
      </w:r>
      <w:r w:rsidR="003019D3" w:rsidRPr="00877499">
        <w:rPr>
          <w:rFonts w:ascii="Book Antiqua" w:hAnsi="Book Antiqua" w:hint="eastAsia"/>
          <w:sz w:val="24"/>
          <w:szCs w:val="24"/>
        </w:rPr>
        <w:t xml:space="preserve">EH. </w:t>
      </w:r>
      <w:r w:rsidR="003019D3" w:rsidRPr="00877499">
        <w:rPr>
          <w:rFonts w:ascii="Book Antiqua" w:hAnsi="Book Antiqua" w:cs="Calibri"/>
          <w:sz w:val="24"/>
          <w:szCs w:val="24"/>
        </w:rPr>
        <w:t xml:space="preserve">Efficacy, patterns of use and cost of Pertuzumab in the treatment of HER2+ metastatic breast cancer in Singapore: </w:t>
      </w:r>
      <w:r w:rsidR="003019D3" w:rsidRPr="00877499">
        <w:rPr>
          <w:rFonts w:ascii="Book Antiqua" w:hAnsi="Book Antiqua" w:cs="Calibri"/>
          <w:caps/>
          <w:sz w:val="24"/>
          <w:szCs w:val="24"/>
        </w:rPr>
        <w:t>t</w:t>
      </w:r>
      <w:r w:rsidR="003019D3" w:rsidRPr="00877499">
        <w:rPr>
          <w:rFonts w:ascii="Book Antiqua" w:hAnsi="Book Antiqua" w:cs="Calibri"/>
          <w:sz w:val="24"/>
          <w:szCs w:val="24"/>
        </w:rPr>
        <w:t>he National Cancer Centre Singapore experience</w:t>
      </w:r>
      <w:r w:rsidR="003019D3" w:rsidRPr="00877499">
        <w:rPr>
          <w:rFonts w:ascii="Book Antiqua" w:hAnsi="Book Antiqua" w:cs="Calibri" w:hint="eastAsia"/>
          <w:sz w:val="24"/>
          <w:szCs w:val="24"/>
        </w:rPr>
        <w:t xml:space="preserve">. </w:t>
      </w:r>
      <w:r w:rsidR="003019D3" w:rsidRPr="00877499">
        <w:rPr>
          <w:rFonts w:ascii="Book Antiqua" w:hAnsi="Book Antiqua" w:cs="Calibri"/>
          <w:i/>
          <w:sz w:val="24"/>
          <w:szCs w:val="24"/>
        </w:rPr>
        <w:t>World J Clin Oncol</w:t>
      </w:r>
      <w:r w:rsidR="003019D3" w:rsidRPr="00877499">
        <w:rPr>
          <w:rFonts w:ascii="Book Antiqua" w:hAnsi="Book Antiqua" w:cs="Calibri" w:hint="eastAsia"/>
          <w:i/>
          <w:sz w:val="24"/>
          <w:szCs w:val="24"/>
        </w:rPr>
        <w:t xml:space="preserve"> </w:t>
      </w:r>
      <w:r w:rsidRPr="00877499">
        <w:rPr>
          <w:rFonts w:ascii="Book Antiqua" w:eastAsia="黑体" w:hAnsi="Book Antiqua"/>
          <w:bCs/>
          <w:sz w:val="24"/>
          <w:szCs w:val="24"/>
        </w:rPr>
        <w:t xml:space="preserve">2020; 11(3): </w:t>
      </w:r>
      <w:r w:rsidRPr="00877499">
        <w:rPr>
          <w:rFonts w:ascii="Book Antiqua" w:eastAsia="黑体" w:hAnsi="Book Antiqua" w:hint="eastAsia"/>
          <w:bCs/>
          <w:sz w:val="24"/>
          <w:szCs w:val="24"/>
        </w:rPr>
        <w:t>143</w:t>
      </w:r>
      <w:r w:rsidRPr="00877499">
        <w:rPr>
          <w:rFonts w:ascii="Book Antiqua" w:eastAsia="黑体" w:hAnsi="Book Antiqua"/>
          <w:bCs/>
          <w:sz w:val="24"/>
          <w:szCs w:val="24"/>
        </w:rPr>
        <w:t>-</w:t>
      </w:r>
      <w:r w:rsidRPr="00877499">
        <w:rPr>
          <w:rFonts w:ascii="Book Antiqua" w:eastAsia="黑体" w:hAnsi="Book Antiqua" w:hint="eastAsia"/>
          <w:bCs/>
          <w:sz w:val="24"/>
          <w:szCs w:val="24"/>
        </w:rPr>
        <w:t>151</w:t>
      </w:r>
    </w:p>
    <w:p w:rsidR="00751DC0" w:rsidRPr="00877499" w:rsidRDefault="00B55430" w:rsidP="00B55430">
      <w:pPr>
        <w:spacing w:after="0" w:line="360" w:lineRule="auto"/>
        <w:jc w:val="both"/>
        <w:rPr>
          <w:rFonts w:ascii="Book Antiqua" w:eastAsia="黑体" w:hAnsi="Book Antiqua" w:hint="eastAsia"/>
          <w:bCs/>
          <w:sz w:val="24"/>
          <w:szCs w:val="24"/>
        </w:rPr>
      </w:pPr>
      <w:r w:rsidRPr="00877499">
        <w:rPr>
          <w:rFonts w:ascii="Book Antiqua" w:eastAsia="黑体" w:hAnsi="Book Antiqua"/>
          <w:bCs/>
          <w:sz w:val="24"/>
          <w:szCs w:val="24"/>
        </w:rPr>
        <w:t xml:space="preserve">URL: </w:t>
      </w:r>
      <w:hyperlink r:id="rId9" w:history="1">
        <w:r w:rsidR="00751DC0" w:rsidRPr="00877499">
          <w:rPr>
            <w:rStyle w:val="a4"/>
            <w:rFonts w:ascii="Book Antiqua" w:eastAsia="黑体" w:hAnsi="Book Antiqua"/>
            <w:bCs/>
            <w:sz w:val="24"/>
            <w:szCs w:val="24"/>
          </w:rPr>
          <w:t>https://www.wjgnet.com/2218-4333/full/v11/i3/</w:t>
        </w:r>
        <w:r w:rsidR="00751DC0" w:rsidRPr="00877499">
          <w:rPr>
            <w:rStyle w:val="a4"/>
            <w:rFonts w:ascii="Book Antiqua" w:eastAsia="黑体" w:hAnsi="Book Antiqua" w:hint="eastAsia"/>
            <w:bCs/>
            <w:sz w:val="24"/>
            <w:szCs w:val="24"/>
          </w:rPr>
          <w:t>143</w:t>
        </w:r>
        <w:r w:rsidR="00751DC0" w:rsidRPr="00877499">
          <w:rPr>
            <w:rStyle w:val="a4"/>
            <w:rFonts w:ascii="Book Antiqua" w:eastAsia="黑体" w:hAnsi="Book Antiqua"/>
            <w:bCs/>
            <w:sz w:val="24"/>
            <w:szCs w:val="24"/>
          </w:rPr>
          <w:t>.htm</w:t>
        </w:r>
      </w:hyperlink>
    </w:p>
    <w:p w:rsidR="00B55430" w:rsidRPr="00877499" w:rsidRDefault="00B55430" w:rsidP="00B55430">
      <w:pPr>
        <w:spacing w:after="0" w:line="360" w:lineRule="auto"/>
        <w:jc w:val="both"/>
        <w:rPr>
          <w:rFonts w:ascii="Book Antiqua" w:eastAsia="黑体" w:hAnsi="Book Antiqua"/>
          <w:bCs/>
          <w:sz w:val="24"/>
          <w:szCs w:val="24"/>
        </w:rPr>
      </w:pPr>
      <w:r w:rsidRPr="00877499">
        <w:rPr>
          <w:rFonts w:ascii="Book Antiqua" w:eastAsia="黑体" w:hAnsi="Book Antiqua"/>
          <w:bCs/>
          <w:sz w:val="24"/>
          <w:szCs w:val="24"/>
        </w:rPr>
        <w:t xml:space="preserve">DOI: </w:t>
      </w:r>
      <w:hyperlink r:id="rId10" w:history="1">
        <w:r w:rsidR="00877499" w:rsidRPr="00877499">
          <w:rPr>
            <w:rStyle w:val="a4"/>
            <w:rFonts w:ascii="Book Antiqua" w:eastAsia="黑体" w:hAnsi="Book Antiqua"/>
            <w:bCs/>
            <w:sz w:val="24"/>
            <w:szCs w:val="24"/>
          </w:rPr>
          <w:t>https://dx.doi.org/10.5306/wjco.v11.i3.</w:t>
        </w:r>
        <w:r w:rsidR="00877499" w:rsidRPr="00877499">
          <w:rPr>
            <w:rStyle w:val="a4"/>
            <w:rFonts w:ascii="Book Antiqua" w:eastAsia="黑体" w:hAnsi="Book Antiqua" w:hint="eastAsia"/>
            <w:bCs/>
            <w:sz w:val="24"/>
            <w:szCs w:val="24"/>
          </w:rPr>
          <w:t>143</w:t>
        </w:r>
      </w:hyperlink>
    </w:p>
    <w:p w:rsidR="003019D3" w:rsidRPr="00877499" w:rsidRDefault="003019D3" w:rsidP="009E2046">
      <w:pPr>
        <w:widowControl w:val="0"/>
        <w:spacing w:after="0" w:line="360" w:lineRule="auto"/>
        <w:jc w:val="both"/>
        <w:rPr>
          <w:rFonts w:ascii="Book Antiqua" w:hAnsi="Book Antiqua"/>
          <w:sz w:val="24"/>
          <w:szCs w:val="24"/>
        </w:rPr>
      </w:pPr>
    </w:p>
    <w:p w:rsidR="00647DEE" w:rsidRPr="00877499" w:rsidRDefault="00647DEE" w:rsidP="009E2046">
      <w:pPr>
        <w:widowControl w:val="0"/>
        <w:autoSpaceDE w:val="0"/>
        <w:autoSpaceDN w:val="0"/>
        <w:adjustRightInd w:val="0"/>
        <w:spacing w:after="0" w:line="360" w:lineRule="auto"/>
        <w:jc w:val="both"/>
        <w:rPr>
          <w:rFonts w:ascii="Book Antiqua" w:hAnsi="Book Antiqua"/>
          <w:sz w:val="24"/>
          <w:szCs w:val="24"/>
        </w:rPr>
      </w:pPr>
      <w:r w:rsidRPr="00877499">
        <w:rPr>
          <w:rFonts w:ascii="Book Antiqua" w:hAnsi="Book Antiqua"/>
          <w:b/>
          <w:sz w:val="24"/>
          <w:szCs w:val="24"/>
        </w:rPr>
        <w:t>Core tip</w:t>
      </w:r>
      <w:r w:rsidRPr="00877499">
        <w:rPr>
          <w:rFonts w:ascii="Book Antiqua" w:hAnsi="Book Antiqua"/>
          <w:sz w:val="24"/>
          <w:szCs w:val="24"/>
        </w:rPr>
        <w:t xml:space="preserve">: Pertuzumab </w:t>
      </w:r>
      <w:r w:rsidRPr="00877499">
        <w:rPr>
          <w:rFonts w:ascii="Book Antiqua" w:hAnsi="Book Antiqua" w:cs="Calibri"/>
          <w:sz w:val="24"/>
          <w:szCs w:val="24"/>
        </w:rPr>
        <w:t>is a humanized anti-</w:t>
      </w:r>
      <w:r w:rsidR="002040E0" w:rsidRPr="00877499">
        <w:rPr>
          <w:rFonts w:ascii="Book Antiqua" w:hAnsi="Book Antiqua" w:cs="Calibri"/>
          <w:sz w:val="24"/>
          <w:szCs w:val="24"/>
        </w:rPr>
        <w:t>human epidermal growth factor receptor 2 (HER2)</w:t>
      </w:r>
      <w:r w:rsidRPr="00877499">
        <w:rPr>
          <w:rFonts w:ascii="Book Antiqua" w:hAnsi="Book Antiqua" w:cs="Calibri"/>
          <w:sz w:val="24"/>
          <w:szCs w:val="24"/>
        </w:rPr>
        <w:t xml:space="preserve"> monoclonal antibody found in a Phase III clinical trial to significantly improve median survival in HER2 positive </w:t>
      </w:r>
      <w:r w:rsidR="002040E0" w:rsidRPr="00877499">
        <w:rPr>
          <w:rFonts w:ascii="Book Antiqua" w:hAnsi="Book Antiqua"/>
          <w:sz w:val="24"/>
          <w:szCs w:val="24"/>
        </w:rPr>
        <w:t>metastatic breast cancer</w:t>
      </w:r>
      <w:r w:rsidR="002040E0" w:rsidRPr="00877499">
        <w:rPr>
          <w:rFonts w:ascii="Book Antiqua" w:hAnsi="Book Antiqua" w:cs="Calibri"/>
          <w:sz w:val="24"/>
          <w:szCs w:val="24"/>
        </w:rPr>
        <w:t xml:space="preserve"> </w:t>
      </w:r>
      <w:r w:rsidRPr="00877499">
        <w:rPr>
          <w:rFonts w:ascii="Book Antiqua" w:hAnsi="Book Antiqua" w:cs="Calibri"/>
          <w:sz w:val="24"/>
          <w:szCs w:val="24"/>
        </w:rPr>
        <w:t xml:space="preserve">when used in combination with a taxane and Trastuzumab, and its clinical efficacy has transformed the therapeutic landscape of HER2-positive breast cancer. </w:t>
      </w:r>
      <w:r w:rsidRPr="00877499">
        <w:rPr>
          <w:rFonts w:ascii="Book Antiqua" w:eastAsia="ArialUnicodeMS" w:hAnsi="Book Antiqua" w:cs="Calibri"/>
          <w:sz w:val="24"/>
          <w:szCs w:val="24"/>
        </w:rPr>
        <w:t>In our study, there was a statistically significant</w:t>
      </w:r>
      <w:r w:rsidR="000C5530" w:rsidRPr="00877499">
        <w:rPr>
          <w:rFonts w:ascii="Book Antiqua" w:eastAsia="宋体" w:hAnsi="Book Antiqua" w:cs="Calibri" w:hint="eastAsia"/>
          <w:sz w:val="24"/>
          <w:szCs w:val="24"/>
        </w:rPr>
        <w:t xml:space="preserve"> </w:t>
      </w:r>
      <w:r w:rsidRPr="00877499">
        <w:rPr>
          <w:rFonts w:ascii="Book Antiqua" w:eastAsia="ArialUnicodeMS" w:hAnsi="Book Antiqua" w:cs="Calibri"/>
          <w:sz w:val="24"/>
          <w:szCs w:val="24"/>
        </w:rPr>
        <w:t>difference in the median overall survival between Pertuzumab and non-Pertuzumab</w:t>
      </w:r>
      <w:r w:rsidR="000C5530" w:rsidRPr="00877499">
        <w:rPr>
          <w:rFonts w:ascii="Book Antiqua" w:eastAsia="宋体" w:hAnsi="Book Antiqua" w:cs="Calibri" w:hint="eastAsia"/>
          <w:sz w:val="24"/>
          <w:szCs w:val="24"/>
        </w:rPr>
        <w:t xml:space="preserve"> </w:t>
      </w:r>
      <w:r w:rsidRPr="00877499">
        <w:rPr>
          <w:rFonts w:ascii="Book Antiqua" w:eastAsia="ArialUnicodeMS" w:hAnsi="Book Antiqua" w:cs="Calibri"/>
          <w:sz w:val="24"/>
          <w:szCs w:val="24"/>
        </w:rPr>
        <w:t xml:space="preserve">groups </w:t>
      </w:r>
      <w:r w:rsidR="008158F3" w:rsidRPr="00877499">
        <w:rPr>
          <w:rFonts w:ascii="Book Antiqua" w:eastAsia="宋体" w:hAnsi="Book Antiqua" w:cs="Calibri" w:hint="eastAsia"/>
          <w:sz w:val="24"/>
          <w:szCs w:val="24"/>
        </w:rPr>
        <w:t>[</w:t>
      </w:r>
      <w:r w:rsidRPr="00877499">
        <w:rPr>
          <w:rFonts w:ascii="Book Antiqua" w:eastAsia="ArialUnicodeMS" w:hAnsi="Book Antiqua" w:cs="Calibri"/>
          <w:sz w:val="24"/>
          <w:szCs w:val="24"/>
        </w:rPr>
        <w:t>51.5 (</w:t>
      </w:r>
      <w:r w:rsidR="008158F3" w:rsidRPr="00877499">
        <w:rPr>
          <w:rFonts w:ascii="Book Antiqua" w:eastAsia="ArialUnicodeMS" w:hAnsi="Book Antiqua" w:cs="Calibri"/>
          <w:sz w:val="24"/>
          <w:szCs w:val="24"/>
        </w:rPr>
        <w:t>95%CI: 35.8</w:t>
      </w:r>
      <w:r w:rsidRPr="00877499">
        <w:rPr>
          <w:rFonts w:ascii="Book Antiqua" w:eastAsia="宋体" w:hAnsi="Book Antiqua" w:cs="Calibri"/>
          <w:sz w:val="24"/>
          <w:szCs w:val="24"/>
        </w:rPr>
        <w:t>–</w:t>
      </w:r>
      <w:r w:rsidRPr="00877499">
        <w:rPr>
          <w:rFonts w:ascii="Book Antiqua" w:eastAsia="ArialUnicodeMS" w:hAnsi="Book Antiqua" w:cs="Calibri"/>
          <w:sz w:val="24"/>
          <w:szCs w:val="24"/>
        </w:rPr>
        <w:t xml:space="preserve">60.0) </w:t>
      </w:r>
      <w:r w:rsidR="008158F3" w:rsidRPr="00877499">
        <w:rPr>
          <w:rFonts w:ascii="Book Antiqua" w:eastAsia="ArialUnicodeMS" w:hAnsi="Book Antiqua" w:cs="Calibri"/>
          <w:i/>
          <w:sz w:val="24"/>
          <w:szCs w:val="24"/>
        </w:rPr>
        <w:t>vs</w:t>
      </w:r>
      <w:r w:rsidRPr="00877499">
        <w:rPr>
          <w:rFonts w:ascii="Book Antiqua" w:eastAsia="ArialUnicodeMS" w:hAnsi="Book Antiqua" w:cs="Calibri"/>
          <w:sz w:val="24"/>
          <w:szCs w:val="24"/>
        </w:rPr>
        <w:t xml:space="preserve"> 32.9 (</w:t>
      </w:r>
      <w:r w:rsidR="008158F3" w:rsidRPr="00877499">
        <w:rPr>
          <w:rFonts w:ascii="Book Antiqua" w:eastAsia="ArialUnicodeMS" w:hAnsi="Book Antiqua" w:cs="Calibri"/>
          <w:sz w:val="24"/>
          <w:szCs w:val="24"/>
        </w:rPr>
        <w:t>95%CI: 28.1</w:t>
      </w:r>
      <w:r w:rsidRPr="00877499">
        <w:rPr>
          <w:rFonts w:ascii="Book Antiqua" w:eastAsia="宋体" w:hAnsi="Book Antiqua" w:cs="Calibri"/>
          <w:sz w:val="24"/>
          <w:szCs w:val="24"/>
        </w:rPr>
        <w:t>–</w:t>
      </w:r>
      <w:r w:rsidRPr="00877499">
        <w:rPr>
          <w:rFonts w:ascii="Book Antiqua" w:eastAsia="ArialUnicodeMS" w:hAnsi="Book Antiqua" w:cs="Calibri"/>
          <w:sz w:val="24"/>
          <w:szCs w:val="24"/>
        </w:rPr>
        <w:t xml:space="preserve">37.5) mo; </w:t>
      </w:r>
      <w:r w:rsidR="008158F3" w:rsidRPr="00877499">
        <w:rPr>
          <w:rFonts w:ascii="Book Antiqua" w:eastAsia="ArialUnicodeMS" w:hAnsi="Book Antiqua" w:cs="Calibri"/>
          <w:i/>
          <w:caps/>
          <w:sz w:val="24"/>
          <w:szCs w:val="24"/>
        </w:rPr>
        <w:t>p =</w:t>
      </w:r>
      <w:r w:rsidR="000C5530" w:rsidRPr="00877499">
        <w:rPr>
          <w:rFonts w:ascii="Book Antiqua" w:eastAsia="宋体" w:hAnsi="Book Antiqua" w:cs="Calibri" w:hint="eastAsia"/>
          <w:sz w:val="24"/>
          <w:szCs w:val="24"/>
        </w:rPr>
        <w:t xml:space="preserve"> </w:t>
      </w:r>
      <w:r w:rsidRPr="00877499">
        <w:rPr>
          <w:rFonts w:ascii="Book Antiqua" w:eastAsia="ArialUnicodeMS" w:hAnsi="Book Antiqua" w:cs="Calibri"/>
          <w:sz w:val="24"/>
          <w:szCs w:val="24"/>
        </w:rPr>
        <w:t>0.0128</w:t>
      </w:r>
      <w:r w:rsidR="008158F3" w:rsidRPr="00877499">
        <w:rPr>
          <w:rFonts w:ascii="Book Antiqua" w:eastAsia="宋体" w:hAnsi="Book Antiqua" w:cs="Calibri" w:hint="eastAsia"/>
          <w:sz w:val="24"/>
          <w:szCs w:val="24"/>
        </w:rPr>
        <w:t>]</w:t>
      </w:r>
      <w:r w:rsidRPr="00877499">
        <w:rPr>
          <w:rFonts w:ascii="Book Antiqua" w:eastAsia="ArialUnicodeMS" w:hAnsi="Book Antiqua" w:cs="Calibri"/>
          <w:sz w:val="24"/>
          <w:szCs w:val="24"/>
        </w:rPr>
        <w:t xml:space="preserve"> while the rate of grade 3 cardiotoxicity was low (4.88%). However, costs remain high.</w:t>
      </w:r>
    </w:p>
    <w:p w:rsidR="00EC1660" w:rsidRPr="00877499" w:rsidRDefault="0068463B" w:rsidP="009E2046">
      <w:pPr>
        <w:widowControl w:val="0"/>
        <w:autoSpaceDE w:val="0"/>
        <w:autoSpaceDN w:val="0"/>
        <w:adjustRightInd w:val="0"/>
        <w:spacing w:after="0" w:line="360" w:lineRule="auto"/>
        <w:jc w:val="both"/>
        <w:rPr>
          <w:rFonts w:ascii="Book Antiqua" w:hAnsi="Book Antiqua"/>
          <w:b/>
          <w:caps/>
          <w:sz w:val="24"/>
          <w:szCs w:val="24"/>
          <w:u w:val="single"/>
        </w:rPr>
      </w:pPr>
      <w:r w:rsidRPr="00877499">
        <w:rPr>
          <w:rFonts w:ascii="Book Antiqua" w:hAnsi="Book Antiqua"/>
          <w:sz w:val="24"/>
          <w:szCs w:val="24"/>
        </w:rPr>
        <w:br w:type="page"/>
      </w:r>
      <w:r w:rsidR="00EC1660" w:rsidRPr="00877499">
        <w:rPr>
          <w:rFonts w:ascii="Book Antiqua" w:hAnsi="Book Antiqua" w:cs="Calibri"/>
          <w:b/>
          <w:caps/>
          <w:sz w:val="24"/>
          <w:szCs w:val="24"/>
          <w:u w:val="single"/>
        </w:rPr>
        <w:lastRenderedPageBreak/>
        <w:t>Introduction</w:t>
      </w:r>
    </w:p>
    <w:p w:rsidR="00EC1660" w:rsidRPr="00877499" w:rsidRDefault="009F35B7" w:rsidP="009E2046">
      <w:pPr>
        <w:widowControl w:val="0"/>
        <w:autoSpaceDE w:val="0"/>
        <w:autoSpaceDN w:val="0"/>
        <w:adjustRightInd w:val="0"/>
        <w:spacing w:after="0" w:line="360" w:lineRule="auto"/>
        <w:jc w:val="both"/>
        <w:rPr>
          <w:rFonts w:ascii="Book Antiqua" w:hAnsi="Book Antiqua" w:cs="Calibri"/>
          <w:sz w:val="24"/>
          <w:szCs w:val="24"/>
        </w:rPr>
      </w:pPr>
      <w:r w:rsidRPr="00877499">
        <w:rPr>
          <w:rFonts w:ascii="Book Antiqua" w:hAnsi="Book Antiqua" w:cs="Calibri"/>
          <w:sz w:val="24"/>
          <w:szCs w:val="24"/>
        </w:rPr>
        <w:t>Cancer is a leading cause of death worldwide, and has recently taken over cardiovascular disease as the leading cause of death in developed countries</w:t>
      </w:r>
      <w:r w:rsidRPr="00877499">
        <w:rPr>
          <w:rFonts w:ascii="Book Antiqua" w:hAnsi="Book Antiqua" w:cs="Calibri"/>
          <w:sz w:val="24"/>
          <w:szCs w:val="24"/>
          <w:vertAlign w:val="superscript"/>
        </w:rPr>
        <w:fldChar w:fldCharType="begin"/>
      </w:r>
      <w:r w:rsidRPr="00877499">
        <w:rPr>
          <w:rFonts w:ascii="Book Antiqua" w:hAnsi="Book Antiqua" w:cs="Calibri"/>
          <w:sz w:val="24"/>
          <w:szCs w:val="24"/>
          <w:vertAlign w:val="superscript"/>
        </w:rPr>
        <w:instrText xml:space="preserve"> ADDIN ZOTERO_ITEM CSL_CITATION {"citationID":"VJ2W8wZQ","properties":{"formattedCitation":"[1]","plainCitation":"[1]","noteIndex":0},"citationItems":[{"id":509,"uris":["http://zotero.org/users/4878164/items/CEFJXBFS"],"uri":["http://zotero.org/users/4878164/items/CEFJXBFS"],"itemData":{"id":509,"type":"article-journal","title":"Modifiable risk factors, cardiovascular disease, and mortality in 155 722 individuals from 21 high-income, middle-income, and low-income countries (PURE): a prospective cohort study","container-title":"The Lancet","volume":"0","issue":"0","source":"www-thelancet-com.libproxy1.nus.edu.sg","abstract":"&lt;h2&gt;Summary&lt;/h2&gt;&lt;h3&gt;Background&lt;/h3&gt;&lt;p&gt;Global estimates of the effect of common modifiable risk factors on cardiovascular disease and mortality are largely based on data from separate studies, using different methodologies. The Prospective Urban Rural Epidemiology (PURE) study overcomes these limitations by using similar methods to prospectively measure the effect of modifiable risk factors on cardiovascular disease and mortality across 21 countries (spanning five continents) grouped by different economic levels.&lt;/p&gt;&lt;h3&gt;Methods&lt;/h3&gt;&lt;p&gt;In this multinational, prospective cohort study, we examined associations for 14 potentially modifiable risk factors with mortality and cardiovascular disease in 155 722 participants without a prior history of cardiovascular disease from 21 high-income, middle-income, or low-income countries (HICs, MICs, or LICs). The primary outcomes for this paper were composites of cardiovascular disease events (defined as cardiovascular death, myocardial infarction, stroke, and heart failure) and mortality. We describe the prevalence, hazard ratios (HRs), and population-attributable fractions (PAFs) for cardiovascular disease and mortality associated with a cluster of behavioural factors (ie, tobacco use, alcohol, diet, physical activity, and sodium intake), metabolic factors (ie, lipids, blood pressure, diabetes, obesity), socioeconomic and psychosocial factors (ie, education, symptoms of depression), grip strength, and household and ambient pollution. Associations between risk factors and the outcomes were established using multivariable Cox frailty models and using PAFs for the entire cohort, and also by countries grouped by income level. Associations are presented as HRs and PAFs with 95% CIs.&lt;/p&gt;&lt;h3&gt;Findings&lt;/h3&gt;&lt;p&gt;Between Jan 6, 2005, and Dec 4, 2016, 155 722 participants were enrolled and followed up for measurement of risk factors. 17 249 (11·1%) participants were from HICs, 102 680 (65·9%) were from MICs, and 35 793 (23·0%) from LICs. Approximately 70% of cardiovascular disease cases and deaths in the overall study population were attributed to modifiable risk factors. Metabolic factors were the predominant risk factors for cardiovascular disease (41·2% of the PAF), with hypertension being the largest (22·3% of the PAF). As a cluster, behavioural risk factors contributed most to deaths (26·3% of the PAF), although the single largest risk factor was a low education level (12·5% of the PAF). Ambient air pollution was associated with 13·9% of the PAF for cardiovascular disease, although different statistical methods were used for this analysis. In MICs and LICs, household air pollution, poor diet, low education, and low grip strength had stronger effects on cardiovascular disease or mortality than in HICs.&lt;/p&gt;&lt;h3&gt;Interpretation&lt;/h3&gt;&lt;p&gt;Most cardiovascular disease cases and deaths can be attributed to a small number of common, modifiable risk factors. While some factors have extensive global effects (eg, hypertension and education), others (eg, household air pollution and poor diet) vary by a country's economic level. Health policies should focus on risk factors that have the greatest effects on averting cardiovascular disease and death globally, with additional emphasis on risk factors of greatest importance in specific groups of countries.&lt;/p&gt;&lt;h3&gt;Funding&lt;/h3&gt;&lt;p&gt;Full funding sources are listed at the end of the paper (see Acknowledgments).&lt;/p&gt;","URL":"https://www-thelancet-com.libproxy1.nus.edu.sg/journals/lancet/article/PIIS0140-6736(19)32008-2/abstract","DOI":"10.1016/S0140-6736(19)32008-2","ISSN":"0140-6736, 1474-547X","note":"PMID: 31492503","title-short":"Modifiable risk factors, cardiovascular disease, and mortality in 155 722 individuals from 21 high-income, middle-income, and low-income countries (PURE)","journalAbbreviation":"The Lancet","language":"English","author":[{"family":"Yusuf","given":"Salim"},{"family":"Joseph","given":"Philip"},{"family":"Rangarajan","given":"Sumathy"},{"family":"Islam","given":"Shofiqul"},{"family":"Mente","given":"Andrew"},{"family":"Hystad","given":"Perry"},{"family":"Brauer","given":"Michael"},{"family":"Kutty","given":"Vellappillil Raman"},{"family":"Gupta","given":"Rajeev"},{"family":"Wielgosz","given":"Andreas"},{"family":"AlHabib","given":"Khalid F."},{"family":"Dans","given":"Antonio"},{"family":"Lopez-Jaramillo","given":"Patricio"},{"family":"Avezum","given":"Alvaro"},{"family":"Lanas","given":"Fernando"},{"family":"Oguz","given":"Aytekin"},{"family":"Kruger","given":"Iolanthe M."},{"family":"Diaz","given":"Rafael"},{"family":"Yusoff","given":"Khalid"},{"family":"Mony","given":"Prem"},{"family":"Chifamba","given":"Jephat"},{"family":"Yeates","given":"Karen"},{"family":"Kelishadi","given":"Roya"},{"family":"Yusufali","given":"Afzalhussein"},{"family":"Khatib","given":"Rasha"},{"family":"Rahman","given":"Omar"},{"family":"Zatonska","given":"Katarzyna"},{"family":"Iqbal","given":"Romaina"},{"family":"Wei","given":"Li"},{"family":"Bo","given":"Hu"},{"family":"Rosengren","given":"Annika"},{"family":"Kaur","given":"Manmeet"},{"family":"Mohan","given":"Viswanathan"},{"family":"Lear","given":"Scott A."},{"family":"Teo","given":"Koon K."},{"family":"Leong","given":"Darryl"},{"family":"O'Donnell","given":"Martin"},{"family":"McKee","given":"Martin"},{"family":"Dagenais","given":"Gilles"}],"issued":{"date-parts":[["2019",9,3]]},"accessed":{"date-parts":[["2019",11,24]]}}}],"schema":"https://github.com/citation-style-language/schema/raw/master/csl-citation.json"} </w:instrText>
      </w:r>
      <w:r w:rsidRPr="00877499">
        <w:rPr>
          <w:rFonts w:ascii="Book Antiqua" w:hAnsi="Book Antiqua" w:cs="Calibri"/>
          <w:sz w:val="24"/>
          <w:szCs w:val="24"/>
          <w:vertAlign w:val="superscript"/>
        </w:rPr>
        <w:fldChar w:fldCharType="separate"/>
      </w:r>
      <w:r w:rsidRPr="00877499">
        <w:rPr>
          <w:rFonts w:ascii="Book Antiqua" w:hAnsi="Book Antiqua" w:cs="Calibri"/>
          <w:sz w:val="24"/>
          <w:szCs w:val="24"/>
          <w:vertAlign w:val="superscript"/>
        </w:rPr>
        <w:t>[1]</w:t>
      </w:r>
      <w:r w:rsidRPr="00877499">
        <w:rPr>
          <w:rFonts w:ascii="Book Antiqua" w:hAnsi="Book Antiqua" w:cs="Calibri"/>
          <w:sz w:val="24"/>
          <w:szCs w:val="24"/>
          <w:vertAlign w:val="superscript"/>
        </w:rPr>
        <w:fldChar w:fldCharType="end"/>
      </w:r>
      <w:r w:rsidRPr="00877499">
        <w:rPr>
          <w:rFonts w:ascii="Book Antiqua" w:hAnsi="Book Antiqua" w:cs="Calibri"/>
          <w:sz w:val="24"/>
          <w:szCs w:val="24"/>
        </w:rPr>
        <w:t>. Majority of adults are concerned about contracting cancer, especially the biopsychosocial aspects that accompany the diagnosis</w:t>
      </w:r>
      <w:r w:rsidRPr="00877499">
        <w:rPr>
          <w:rFonts w:ascii="Book Antiqua" w:hAnsi="Book Antiqua" w:cs="Calibri"/>
          <w:sz w:val="24"/>
          <w:szCs w:val="24"/>
          <w:vertAlign w:val="superscript"/>
        </w:rPr>
        <w:fldChar w:fldCharType="begin"/>
      </w:r>
      <w:r w:rsidRPr="00877499">
        <w:rPr>
          <w:rFonts w:ascii="Book Antiqua" w:hAnsi="Book Antiqua" w:cs="Calibri"/>
          <w:sz w:val="24"/>
          <w:szCs w:val="24"/>
          <w:vertAlign w:val="superscript"/>
        </w:rPr>
        <w:instrText xml:space="preserve"> ADDIN ZOTERO_ITEM CSL_CITATION {"citationID":"ts8l8lKx","properties":{"formattedCitation":"[2]","plainCitation":"[2]","noteIndex":0},"citationItems":[{"id":513,"uris":["http://zotero.org/users/4878164/items/2L9EBWHT"],"uri":["http://zotero.org/users/4878164/items/2L9EBWHT"],"itemData":{"id":513,"type":"article-journal","title":"What is it about a cancer diagnosis that would worry people? A population-based survey of adults in England","container-title":"BMC Cancer","volume":"18","source":"PubMed Central","abstract":"Background\nSurveys indicate quite high prevalence of cancer worry in the general population, but little is known about what it is about cancer that worries people. A better understanding of the origins of cancer worry may help elucidate previously found inconsistencies in its behavioural effect on cancer prevention, screening uptake, and help-seeking for symptoms. In this study, we explore the prevalence and population distribution of general cancer worry and worries about specific aspects of cancer previously identified.\n\nMethods\nA population-based survey of 2048 English adults (18–70 years, April–May 2016), using face-to-face interviews to assess demographic characteristics, general cancer worry and twelve sources of cancer worry (adapted from an existing scale), including the emotional, physical, and social consequences of a diagnosis.\n\nResults\nIn general, a third of respondents (37%) never worried about cancer, 57% worried occasionally/sometimes, and 6% often/very often. In terms of specific worries, two thirds would be ‘quite a bit’ or ‘extremely’ worried about the threat to life and emotional upset a diagnosis would cause. Half would worry about surgery, radiotherapy, chemotherapy, and loss of control over life. Worries about the social consequences were less commonly anticipated: just under half would worry about financial problems or their social roles, and a quarter would be worried about effects on identity, important relationships, gender role, and sexuality. Women and younger people reported more frequent worry about getting cancer, and would be more worried about the emotional, physical, and social consequences of a cancer diagnosis (p</w:instrText>
      </w:r>
      <w:r w:rsidRPr="00877499">
        <w:rPr>
          <w:rFonts w:ascii="Times New Roman" w:hAnsi="Times New Roman"/>
          <w:sz w:val="24"/>
          <w:szCs w:val="24"/>
          <w:vertAlign w:val="superscript"/>
        </w:rPr>
        <w:instrText> </w:instrText>
      </w:r>
      <w:r w:rsidRPr="00877499">
        <w:rPr>
          <w:rFonts w:ascii="Book Antiqua" w:hAnsi="Book Antiqua" w:cs="Calibri"/>
          <w:sz w:val="24"/>
          <w:szCs w:val="24"/>
          <w:vertAlign w:val="superscript"/>
        </w:rPr>
        <w:instrText>&lt;</w:instrText>
      </w:r>
      <w:r w:rsidRPr="00877499">
        <w:rPr>
          <w:rFonts w:ascii="Times New Roman" w:hAnsi="Times New Roman"/>
          <w:sz w:val="24"/>
          <w:szCs w:val="24"/>
          <w:vertAlign w:val="superscript"/>
        </w:rPr>
        <w:instrText> </w:instrText>
      </w:r>
      <w:r w:rsidRPr="00877499">
        <w:rPr>
          <w:rFonts w:ascii="Book Antiqua" w:hAnsi="Book Antiqua" w:cs="Calibri"/>
          <w:sz w:val="24"/>
          <w:szCs w:val="24"/>
          <w:vertAlign w:val="superscript"/>
        </w:rPr>
        <w:instrText>.001). Those from ethnic minority backgrounds reported less frequent worry about getting cancer than their white counterparts, but would be equally worried about the emotional and physical impact of a cancer diagnosis, and worried more about the social consequences of a cancer diagnosis (p</w:instrText>
      </w:r>
      <w:r w:rsidRPr="00877499">
        <w:rPr>
          <w:rFonts w:ascii="Times New Roman" w:hAnsi="Times New Roman"/>
          <w:sz w:val="24"/>
          <w:szCs w:val="24"/>
          <w:vertAlign w:val="superscript"/>
        </w:rPr>
        <w:instrText> </w:instrText>
      </w:r>
      <w:r w:rsidRPr="00877499">
        <w:rPr>
          <w:rFonts w:ascii="Book Antiqua" w:hAnsi="Book Antiqua" w:cs="Calibri"/>
          <w:sz w:val="24"/>
          <w:szCs w:val="24"/>
          <w:vertAlign w:val="superscript"/>
        </w:rPr>
        <w:instrText>&lt;</w:instrText>
      </w:r>
      <w:r w:rsidRPr="00877499">
        <w:rPr>
          <w:rFonts w:ascii="Times New Roman" w:hAnsi="Times New Roman"/>
          <w:sz w:val="24"/>
          <w:szCs w:val="24"/>
          <w:vertAlign w:val="superscript"/>
        </w:rPr>
        <w:instrText> </w:instrText>
      </w:r>
      <w:r w:rsidRPr="00877499">
        <w:rPr>
          <w:rFonts w:ascii="Book Antiqua" w:hAnsi="Book Antiqua" w:cs="Calibri"/>
          <w:sz w:val="24"/>
          <w:szCs w:val="24"/>
          <w:vertAlign w:val="superscript"/>
        </w:rPr>
        <w:instrText xml:space="preserve">.05).\n\nConclusions\nThe majority of English adults worry at least occasionally about getting cancer, and would be most worried about the emotional and physical impact of a cancer diagnosis. Distinguishing between the various worries that cancer can evoke may help inform efforts to allay undue worries in those who are deterred by them from engaging with cancer prevention and early detection.\n\nElectronic supplementary material\nThe online version of this article (10.1186/s12885-017-3963-4) contains supplementary material, which is available to authorized users.","URL":"https://www.ncbi.nlm.nih.gov/pmc/articles/PMC5781324/","DOI":"10.1186/s12885-017-3963-4","ISSN":"1471-2407","note":"PMID: 29361912\nPMCID: PMC5781324","title-short":"What is it about a cancer diagnosis that would worry people?","journalAbbreviation":"BMC Cancer","author":[{"family":"Murphy","given":"Philippa J."},{"family":"Marlow","given":"Laura A. V."},{"family":"Waller","given":"Jo"},{"family":"Vrinten","given":"Charlotte"}],"issued":{"date-parts":[["2018",1,24]]},"accessed":{"date-parts":[["2019",11,24]]}}}],"schema":"https://github.com/citation-style-language/schema/raw/master/csl-citation.json"} </w:instrText>
      </w:r>
      <w:r w:rsidRPr="00877499">
        <w:rPr>
          <w:rFonts w:ascii="Book Antiqua" w:hAnsi="Book Antiqua" w:cs="Calibri"/>
          <w:sz w:val="24"/>
          <w:szCs w:val="24"/>
          <w:vertAlign w:val="superscript"/>
        </w:rPr>
        <w:fldChar w:fldCharType="separate"/>
      </w:r>
      <w:r w:rsidRPr="00877499">
        <w:rPr>
          <w:rFonts w:ascii="Book Antiqua" w:hAnsi="Book Antiqua" w:cs="Calibri"/>
          <w:sz w:val="24"/>
          <w:szCs w:val="24"/>
          <w:vertAlign w:val="superscript"/>
        </w:rPr>
        <w:t>[2]</w:t>
      </w:r>
      <w:r w:rsidRPr="00877499">
        <w:rPr>
          <w:rFonts w:ascii="Book Antiqua" w:hAnsi="Book Antiqua" w:cs="Calibri"/>
          <w:sz w:val="24"/>
          <w:szCs w:val="24"/>
          <w:vertAlign w:val="superscript"/>
        </w:rPr>
        <w:fldChar w:fldCharType="end"/>
      </w:r>
      <w:r w:rsidRPr="00877499">
        <w:rPr>
          <w:rFonts w:ascii="Book Antiqua" w:hAnsi="Book Antiqua" w:cs="Calibri"/>
          <w:sz w:val="24"/>
          <w:szCs w:val="24"/>
        </w:rPr>
        <w:t xml:space="preserve">. </w:t>
      </w:r>
      <w:r w:rsidR="00EC1660" w:rsidRPr="00877499">
        <w:rPr>
          <w:rFonts w:ascii="Book Antiqua" w:hAnsi="Book Antiqua" w:cs="Calibri"/>
          <w:sz w:val="24"/>
          <w:szCs w:val="24"/>
        </w:rPr>
        <w:t>According to the Singapore Cancer Registry, breast cancer is the most common female malignancy, accounting for 29.1% of all female cancers with an age-standardized incidence rate that has increased threefold since the 1970s. A national government-subsidized breast cancer screening program (BreastScreen Singapore) estimates 7% of new breast cancer cases in Singapore are metastatic at presentation. Metastatic breast cancer (MBC) remains a lethal disease with a historical 5-year survival rate of 22% or lower. However, median survival improved over the past 25 years</w:t>
      </w:r>
      <w:r w:rsidR="00EC1660" w:rsidRPr="00877499">
        <w:rPr>
          <w:rFonts w:ascii="Book Antiqua" w:hAnsi="Book Antiqua" w:cs="Calibri"/>
          <w:sz w:val="24"/>
          <w:szCs w:val="24"/>
          <w:vertAlign w:val="superscript"/>
        </w:rPr>
        <w:fldChar w:fldCharType="begin"/>
      </w:r>
      <w:r w:rsidR="00502E29" w:rsidRPr="00877499">
        <w:rPr>
          <w:rFonts w:ascii="Book Antiqua" w:hAnsi="Book Antiqua" w:cs="Calibri"/>
          <w:sz w:val="24"/>
          <w:szCs w:val="24"/>
          <w:vertAlign w:val="superscript"/>
        </w:rPr>
        <w:instrText xml:space="preserve"> ADDIN ZOTERO_ITEM CSL_CITATION {"citationID":"MbCIcskz","properties":{"formattedCitation":"[3]","plainCitation":"[3]","noteIndex":0},"citationItems":[{"id":74,"uris":["http://zotero.org/users/4878164/items/2MSVZ6PS"],"uri":["http://zotero.org/users/4878164/items/2MSVZ6PS"],"itemData":{"id":74,"type":"article-journal","title":"Improved survival in metastatic breast cancer 1985-2016","container-title":"Breast (Edinburgh, Scotland)","page":"46-50","volume":"31","source":"PubMed","abstract":"PURPOSE: In the last 25 years new treatment options in breast cancer have evolved. We wanted to determine whether the survival of; patients with metastatic breast cancer have improved during this period.\nMETHODS: Patients consecutively diagnosed with disseminated breast cancer 1985-2014 in the County of Kalmar, Sweden, were identified and followed to 2016. Survival was calculated for each successive 5 year interval. Separate analyses were performed for pts with ER and/or PR and HER2 positive tumours resp.\nRESULTS: Median survival of the 784 patients increased successively from 13 to 33 months. Five year survival increased from 10 to 27%. Patients with high grade primary tumours had the shortest post recurrence survival time but their median survival increased significantly by time from 12 to 30 months, 3 year survival from 16 to 38% and 5 year from 5 to 20%. Median survival for patients with grade 2 tumours was 2 years and did not improve. Only 47 patients had grade 1 tumours and their median survival of 4 years did not change. Median survival for HER2 positive patients treated before the introduction of trastuzumab in year 2000 was 14 months and after 2000 29 months, 5 year survival improved from 2 to 31%.\nCONCLUSIONS: Survival in metastatic breast cancer improved 1985-2016. For the first time a significant increase in survival time for patients with metastasis from fast-growing grade 3 tumours was seen. The most striking improvement was achieved in the HER2 positive subset.","DOI":"10.1016/j.breast.2016.10.005","ISSN":"1532-3080","note":"PMID: 27810699","journalAbbreviation":"Breast","language":"eng","author":[{"family":"Sundquist","given":"Marie"},{"family":"Brudin","given":"Lars"},{"family":"Tejler","given":"Göran"}],"issued":{"date-parts":[["2017",2]]}}}],"schema":"https://github.com/citation-style-language/schema/raw/master/csl-citation.json"} </w:instrText>
      </w:r>
      <w:r w:rsidR="00EC1660" w:rsidRPr="00877499">
        <w:rPr>
          <w:rFonts w:ascii="Book Antiqua" w:hAnsi="Book Antiqua" w:cs="Calibri"/>
          <w:sz w:val="24"/>
          <w:szCs w:val="24"/>
          <w:vertAlign w:val="superscript"/>
        </w:rPr>
        <w:fldChar w:fldCharType="separate"/>
      </w:r>
      <w:r w:rsidR="00502E29" w:rsidRPr="00877499">
        <w:rPr>
          <w:rFonts w:ascii="Book Antiqua" w:hAnsi="Book Antiqua" w:cs="Calibri"/>
          <w:sz w:val="24"/>
          <w:szCs w:val="24"/>
          <w:vertAlign w:val="superscript"/>
        </w:rPr>
        <w:t>[3]</w:t>
      </w:r>
      <w:r w:rsidR="00EC1660" w:rsidRPr="00877499">
        <w:rPr>
          <w:rFonts w:ascii="Book Antiqua" w:hAnsi="Book Antiqua" w:cs="Calibri"/>
          <w:sz w:val="24"/>
          <w:szCs w:val="24"/>
          <w:vertAlign w:val="superscript"/>
        </w:rPr>
        <w:fldChar w:fldCharType="end"/>
      </w:r>
      <w:r w:rsidR="00EC1660" w:rsidRPr="00877499">
        <w:rPr>
          <w:rFonts w:ascii="Book Antiqua" w:hAnsi="Book Antiqua" w:cs="Calibri"/>
          <w:sz w:val="24"/>
          <w:szCs w:val="24"/>
        </w:rPr>
        <w:t xml:space="preserve"> now ranging from 33</w:t>
      </w:r>
      <w:r w:rsidR="00EC1660" w:rsidRPr="00877499">
        <w:rPr>
          <w:rFonts w:ascii="Book Antiqua" w:hAnsi="Book Antiqua" w:cs="Calibri"/>
          <w:sz w:val="24"/>
          <w:szCs w:val="24"/>
          <w:vertAlign w:val="superscript"/>
        </w:rPr>
        <w:fldChar w:fldCharType="begin"/>
      </w:r>
      <w:r w:rsidR="00502E29" w:rsidRPr="00877499">
        <w:rPr>
          <w:rFonts w:ascii="Book Antiqua" w:hAnsi="Book Antiqua" w:cs="Calibri"/>
          <w:sz w:val="24"/>
          <w:szCs w:val="24"/>
          <w:vertAlign w:val="superscript"/>
        </w:rPr>
        <w:instrText xml:space="preserve"> ADDIN ZOTERO_ITEM CSL_CITATION {"citationID":"3CeIkgKS","properties":{"formattedCitation":"[3]","plainCitation":"[3]","noteIndex":0},"citationItems":[{"id":74,"uris":["http://zotero.org/users/4878164/items/2MSVZ6PS"],"uri":["http://zotero.org/users/4878164/items/2MSVZ6PS"],"itemData":{"id":74,"type":"article-journal","title":"Improved survival in metastatic breast cancer 1985-2016","container-title":"Breast (Edinburgh, Scotland)","page":"46-50","volume":"31","source":"PubMed","abstract":"PURPOSE: In the last 25 years new treatment options in breast cancer have evolved. We wanted to determine whether the survival of; patients with metastatic breast cancer have improved during this period.\nMETHODS: Patients consecutively diagnosed with disseminated breast cancer 1985-2014 in the County of Kalmar, Sweden, were identified and followed to 2016. Survival was calculated for each successive 5 year interval. Separate analyses were performed for pts with ER and/or PR and HER2 positive tumours resp.\nRESULTS: Median survival of the 784 patients increased successively from 13 to 33 months. Five year survival increased from 10 to 27%. Patients with high grade primary tumours had the shortest post recurrence survival time but their median survival increased significantly by time from 12 to 30 months, 3 year survival from 16 to 38% and 5 year from 5 to 20%. Median survival for patients with grade 2 tumours was 2 years and did not improve. Only 47 patients had grade 1 tumours and their median survival of 4 years did not change. Median survival for HER2 positive patients treated before the introduction of trastuzumab in year 2000 was 14 months and after 2000 29 months, 5 year survival improved from 2 to 31%.\nCONCLUSIONS: Survival in metastatic breast cancer improved 1985-2016. For the first time a significant increase in survival time for patients with metastasis from fast-growing grade 3 tumours was seen. The most striking improvement was achieved in the HER2 positive subset.","DOI":"10.1016/j.breast.2016.10.005","ISSN":"1532-3080","note":"PMID: 27810699","journalAbbreviation":"Breast","language":"eng","author":[{"family":"Sundquist","given":"Marie"},{"family":"Brudin","given":"Lars"},{"family":"Tejler","given":"Göran"}],"issued":{"date-parts":[["2017",2]]}}}],"schema":"https://github.com/citation-style-language/schema/raw/master/csl-citation.json"} </w:instrText>
      </w:r>
      <w:r w:rsidR="00EC1660" w:rsidRPr="00877499">
        <w:rPr>
          <w:rFonts w:ascii="Book Antiqua" w:hAnsi="Book Antiqua" w:cs="Calibri"/>
          <w:sz w:val="24"/>
          <w:szCs w:val="24"/>
          <w:vertAlign w:val="superscript"/>
        </w:rPr>
        <w:fldChar w:fldCharType="separate"/>
      </w:r>
      <w:r w:rsidR="00502E29" w:rsidRPr="00877499">
        <w:rPr>
          <w:rFonts w:ascii="Book Antiqua" w:hAnsi="Book Antiqua" w:cs="Calibri"/>
          <w:sz w:val="24"/>
          <w:szCs w:val="24"/>
          <w:vertAlign w:val="superscript"/>
        </w:rPr>
        <w:t>[3]</w:t>
      </w:r>
      <w:r w:rsidR="00EC1660" w:rsidRPr="00877499">
        <w:rPr>
          <w:rFonts w:ascii="Book Antiqua" w:hAnsi="Book Antiqua" w:cs="Calibri"/>
          <w:sz w:val="24"/>
          <w:szCs w:val="24"/>
          <w:vertAlign w:val="superscript"/>
        </w:rPr>
        <w:fldChar w:fldCharType="end"/>
      </w:r>
      <w:r w:rsidR="00EC1660" w:rsidRPr="00877499">
        <w:rPr>
          <w:rFonts w:ascii="Book Antiqua" w:hAnsi="Book Antiqua" w:cs="Calibri"/>
          <w:sz w:val="24"/>
          <w:szCs w:val="24"/>
        </w:rPr>
        <w:t xml:space="preserve"> to 37 m</w:t>
      </w:r>
      <w:r w:rsidR="002040E0" w:rsidRPr="00877499">
        <w:rPr>
          <w:rFonts w:ascii="Book Antiqua" w:hAnsi="Book Antiqua" w:cs="Calibri" w:hint="eastAsia"/>
          <w:sz w:val="24"/>
          <w:szCs w:val="24"/>
        </w:rPr>
        <w:t>o</w:t>
      </w:r>
      <w:r w:rsidR="00EC1660" w:rsidRPr="00877499">
        <w:rPr>
          <w:rFonts w:ascii="Book Antiqua" w:hAnsi="Book Antiqua" w:cs="Calibri"/>
          <w:sz w:val="24"/>
          <w:szCs w:val="24"/>
          <w:vertAlign w:val="superscript"/>
        </w:rPr>
        <w:fldChar w:fldCharType="begin"/>
      </w:r>
      <w:r w:rsidR="00502E29" w:rsidRPr="00877499">
        <w:rPr>
          <w:rFonts w:ascii="Book Antiqua" w:hAnsi="Book Antiqua" w:cs="Calibri"/>
          <w:sz w:val="24"/>
          <w:szCs w:val="24"/>
          <w:vertAlign w:val="superscript"/>
        </w:rPr>
        <w:instrText xml:space="preserve"> ADDIN ZOTERO_ITEM CSL_CITATION {"citationID":"BeQ8IwKK","properties":{"formattedCitation":"[4]","plainCitation":"[4]","noteIndex":0},"citationItems":[{"id":72,"uris":["http://zotero.org/users/4878164/items/ELW8X4PV"],"uri":["http://zotero.org/users/4878164/items/ELW8X4PV"],"itemData":{"id":72,"type":"article-journal","title":"Time trends of overall survival among metastatic breast cancer patients in the real-life ESME cohort","container-title":"European Journal of Cancer (Oxford, England: 1990)","page":"17-24","volume":"96","source":"PubMed","abstract":"AIM: Real-life analysis of overall survival (OS) trends among metastatic breast cancer (MBC) patients may help define medical needs and evaluate the impact of public health investments. The present study aimed to evaluate the independent impact of the year of MBC diagnosis on OS in the Epidemio-Strategy-Medical-Economical (ESME)-MBC cohort.\nMETHODS: ESME-MBC (NCT03275311) is a French, national, multicentre, observational cohort including 16,702 consecutive newly diagnosed MBC patients (01 January 2008-31 December 2014). Of 16,680 eligible patients, 15,085 had full immunohistochemistry data, allowing classification as hormone receptor-positive and HER2-negative (HR+/HER2-, N = 9907), HER2-positive (HER2+, N = 2861) or triple-negative (HR-/HER2-, N = 2317) subcohorts. Multivariate analyses of OS were conducted among the full ESME cohort and subcohorts.\nRESULTS: Median OS of the whole cohort was 37.22 months (95% confidence interval [CI], 36.3-38.04). Year of diagnosis was an independent predictor of OS (hazard ratio 0.98 [95% CI, 0.97-1.00], P = .01) together with age, subtype, disease-free interval, visceral metastases and number of organs involved. Median OS of HR+/HER2-, HER2+ and HR-/HER2- subcohorts was, respectively, 42.12 (95% CI, 40.90-43.10), 44.91 (95% CI, 42.51-47.90) and 14.52 (95% CI, 13.70-15.24) months. Year of diagnosis was a strong independent predictor of OS in HER2+ subcohort (hazard ratio 0.91 [95% CI, 0.88-0.94], P &lt; .001), but not in HR+/HER2- nor HR-/HER2- subcohorts (hazard ratio 1.00 [95% CI, 0.98-1.01], P = .80 and 1.00 [95% CI, 0.97-1.02], P = .90, respectively).\nCONCLUSIONS: The OS of MBC patients has slightly improved over the past decade. However, this effect is confined to HER2+ cases, highlighting the need of new strategies in the other subtypes.","DOI":"10.1016/j.ejca.2018.03.015","ISSN":"1879-0852","note":"PMID: 29660596","journalAbbreviation":"Eur. J. Cancer","language":"eng","author":[{"family":"Gobbini","given":"Elisa"},{"family":"Ezzalfani","given":"Monia"},{"family":"Dieras","given":"Véronique"},{"family":"Bachelot","given":"Thomas"},{"family":"Brain","given":"Etienne"},{"family":"Debled","given":"Marc"},{"family":"Jacot","given":"William"},{"family":"Mouret-Reynier","given":"Marie Ange"},{"family":"Goncalves","given":"Anthony"},{"family":"Dalenc","given":"Florence"},{"family":"Patsouris","given":"Anne"},{"family":"Ferrero","given":"Jean Marc"},{"family":"Levy","given":"Christelle"},{"family":"Lorgis","given":"Veronique"},{"family":"Vanlemmens","given":"Laurence"},{"family":"Lefeuvre-Plesse","given":"Claudia"},{"family":"Mathoulin-Pelissier","given":"Simone"},{"family":"Petit","given":"Thierry"},{"family":"Uwer","given":"Lionel"},{"family":"Jouannaud","given":"Christelle"},{"family":"Leheurteur","given":"Marianne"},{"family":"Lacroix-Triki","given":"Magali"},{"family":"Cleaud","given":"Audrey Lardy"},{"family":"Robain","given":"Mathieu"},{"family":"Courtinard","given":"Coralie"},{"family":"Cailliot","given":"Christian"},{"family":"Perol","given":"David"},{"family":"Delaloge","given":"Suzette"}],"issued":{"date-parts":[["2018"]]}}}],"schema":"https://github.com/citation-style-language/schema/raw/master/csl-citation.json"} </w:instrText>
      </w:r>
      <w:r w:rsidR="00EC1660" w:rsidRPr="00877499">
        <w:rPr>
          <w:rFonts w:ascii="Book Antiqua" w:hAnsi="Book Antiqua" w:cs="Calibri"/>
          <w:sz w:val="24"/>
          <w:szCs w:val="24"/>
          <w:vertAlign w:val="superscript"/>
        </w:rPr>
        <w:fldChar w:fldCharType="separate"/>
      </w:r>
      <w:r w:rsidR="00502E29" w:rsidRPr="00877499">
        <w:rPr>
          <w:rFonts w:ascii="Book Antiqua" w:hAnsi="Book Antiqua" w:cs="Calibri"/>
          <w:sz w:val="24"/>
          <w:szCs w:val="24"/>
          <w:vertAlign w:val="superscript"/>
        </w:rPr>
        <w:t>[4]</w:t>
      </w:r>
      <w:r w:rsidR="00EC1660" w:rsidRPr="00877499">
        <w:rPr>
          <w:rFonts w:ascii="Book Antiqua" w:hAnsi="Book Antiqua" w:cs="Calibri"/>
          <w:sz w:val="24"/>
          <w:szCs w:val="24"/>
          <w:vertAlign w:val="superscript"/>
        </w:rPr>
        <w:fldChar w:fldCharType="end"/>
      </w:r>
      <w:r w:rsidR="00EC1660" w:rsidRPr="00877499">
        <w:rPr>
          <w:rFonts w:ascii="Book Antiqua" w:hAnsi="Book Antiqua" w:cs="Calibri"/>
          <w:sz w:val="24"/>
          <w:szCs w:val="24"/>
        </w:rPr>
        <w:t>. Human epidermal growth factor receptor 2 (HER2) overexpression is seen in 20% of breast cancers and follows a clinically aggressive course with poorer prognosis</w:t>
      </w:r>
      <w:r w:rsidR="00EC1660" w:rsidRPr="00877499">
        <w:rPr>
          <w:rFonts w:ascii="Book Antiqua" w:hAnsi="Book Antiqua" w:cs="Calibri"/>
          <w:sz w:val="24"/>
          <w:szCs w:val="24"/>
          <w:vertAlign w:val="superscript"/>
        </w:rPr>
        <w:fldChar w:fldCharType="begin"/>
      </w:r>
      <w:r w:rsidR="00502E29" w:rsidRPr="00877499">
        <w:rPr>
          <w:rFonts w:ascii="Book Antiqua" w:hAnsi="Book Antiqua" w:cs="Calibri"/>
          <w:sz w:val="24"/>
          <w:szCs w:val="24"/>
          <w:vertAlign w:val="superscript"/>
        </w:rPr>
        <w:instrText xml:space="preserve"> ADDIN ZOTERO_ITEM CSL_CITATION {"citationID":"TLryY6Hv","properties":{"formattedCitation":"[5]","plainCitation":"[5]","noteIndex":0},"citationItems":[{"id":207,"uris":["http://zotero.org/users/4878164/items/FV5RAEQX"],"uri":["http://zotero.org/users/4878164/items/FV5RAEQX"],"itemData":{"id":207,"type":"article-journal","title":"Treatment of HER2-positive breast cancer: current status and future perspectives","container-title":"Nature Reviews Clinical Oncology","page":"16-32","volume":"9","issue":"1","source":"www.nature.com","abstract":"The advent of HER2-directed therapies has significantly improved the outlook for patients with HER2-positive early stage breast cancer. However, a significant proportion of these patients still relapse and die of breast cancer. Trials to define, refine and optimize the use of the two approved HER2-targeted agents (trastuzumab and lapatinib) in patients with HER2-positive early stage breast cancer are ongoing. In addition, promising new approaches are being developed including monoclonal antibodies and small-molecule tyrosine kinase inhibitors targeting HER2 or other HER family members, antibodies linked to cytotoxic moieties or modified to improve their immunological function, immunostimulatory peptides, and targeting the PI3K and IGF-1R pathways. Improved understanding of the HER2 signaling pathway, its relationship with other signaling pathways and mechanisms of resistance has also led to the development of rational combination therapies and to a greater insight into treatment response in patients with HER2-positive breast cancer. Based on promising results with new agents in HER2-positive advanced-stage disease, a series of large trials in the adjuvant and neoadjuvant settings are planned or ongoing. This Review focuses on current treatment for patients with HER2-positive breast cancer and aims to update practicing clinicians on likely future developments in the treatment for this disease according to ongoing clinical trials and translational research.","DOI":"10.1038/nrclinonc.2011.177","ISSN":"1759-4782","title-short":"Treatment of HER2-positive breast cancer","language":"en","author":[{"family":"Arteaga","given":"Carlos L."},{"family":"Sliwkowski","given":"Mark X."},{"family":"Osborne","given":"C. Kent"},{"family":"Perez","given":"Edith A."},{"family":"Puglisi","given":"Fabio"},{"family":"Gianni","given":"Luca"}],"issued":{"date-parts":[["2012",1]]}}}],"schema":"https://github.com/citation-style-language/schema/raw/master/csl-citation.json"} </w:instrText>
      </w:r>
      <w:r w:rsidR="00EC1660" w:rsidRPr="00877499">
        <w:rPr>
          <w:rFonts w:ascii="Book Antiqua" w:hAnsi="Book Antiqua" w:cs="Calibri"/>
          <w:sz w:val="24"/>
          <w:szCs w:val="24"/>
          <w:vertAlign w:val="superscript"/>
        </w:rPr>
        <w:fldChar w:fldCharType="separate"/>
      </w:r>
      <w:r w:rsidR="00502E29" w:rsidRPr="00877499">
        <w:rPr>
          <w:rFonts w:ascii="Book Antiqua" w:hAnsi="Book Antiqua" w:cs="Calibri"/>
          <w:sz w:val="24"/>
          <w:szCs w:val="24"/>
          <w:vertAlign w:val="superscript"/>
        </w:rPr>
        <w:t>[5]</w:t>
      </w:r>
      <w:r w:rsidR="00EC1660" w:rsidRPr="00877499">
        <w:rPr>
          <w:rFonts w:ascii="Book Antiqua" w:hAnsi="Book Antiqua" w:cs="Calibri"/>
          <w:sz w:val="24"/>
          <w:szCs w:val="24"/>
          <w:vertAlign w:val="superscript"/>
        </w:rPr>
        <w:fldChar w:fldCharType="end"/>
      </w:r>
      <w:r w:rsidR="00EC1660" w:rsidRPr="00877499">
        <w:rPr>
          <w:rFonts w:ascii="Book Antiqua" w:hAnsi="Book Antiqua" w:cs="Calibri"/>
          <w:sz w:val="24"/>
          <w:szCs w:val="24"/>
        </w:rPr>
        <w:t>. Pertuzumab is a humanized anti-HER2 monoclonal antibody found in a Phase III clinical trial to significantly improve median survival in HER2 positive MBC when used in combination with a taxane and Trastuzumab</w:t>
      </w:r>
      <w:r w:rsidR="00EC1660" w:rsidRPr="00877499">
        <w:rPr>
          <w:rFonts w:ascii="Book Antiqua" w:hAnsi="Book Antiqua" w:cs="Calibri"/>
          <w:sz w:val="24"/>
          <w:szCs w:val="24"/>
          <w:vertAlign w:val="superscript"/>
        </w:rPr>
        <w:fldChar w:fldCharType="begin"/>
      </w:r>
      <w:r w:rsidR="00502E29" w:rsidRPr="00877499">
        <w:rPr>
          <w:rFonts w:ascii="Book Antiqua" w:hAnsi="Book Antiqua" w:cs="Calibri"/>
          <w:sz w:val="24"/>
          <w:szCs w:val="24"/>
          <w:vertAlign w:val="superscript"/>
        </w:rPr>
        <w:instrText xml:space="preserve"> ADDIN ZOTERO_ITEM CSL_CITATION {"citationID":"CxNZrb8o","properties":{"formattedCitation":"[6]","plainCitation":"[6]","noteIndex":0},"citationItems":[{"id":204,"uris":["http://zotero.org/users/4878164/items/79UK333S"],"uri":["http://zotero.org/users/4878164/items/79UK333S"],"itemData":{"id":204,"type":"article-journal","title":"Pertuzumab, Trastuzumab, and Docetaxel in HER2-Positive Metastatic Breast Cancer","container-title":"New England Journal of Medicine","page":"724-734","volume":"372","issue":"8","source":"Taylor and Francis+NEJM","abstract":"The overexpression of human epidermal growth factor receptor 2 (HER2) in breast cancer results in more aggressive disease with a poor prognosis.1 The humanized anti-HER2 monoclonal antibodies pertuzumab and trastuzumab are more active in combination than alone because of more comprehensive signaling blockade.2,3 We investigated combination therapy with docetaxel for first-line treatment of HER2-positive metastatic breast cancer in the Clinical Evaluation of Pertuzumab and Trastuzumab (CLEOPATRA) trial. Analysis of the primary end point showed that patients who received pertuzumab, trastuzumab, and docetaxel (pertuzumab group) had a significantly longer median progression-free survival, as assessed by independent reviewers, than did those . . .","DOI":"10.1056/NEJMoa1413513","ISSN":"0028-4793","note":"PMID: 25693012","author":[{"family":"Swain","given":"Sandra M."},{"family":"Baselga","given":"José"},{"family":"Kim","given":"Sung-Bae"},{"family":"Ro","given":"Jungsil"},{"family":"Semiglazov","given":"Vladimir"},{"family":"Campone","given":"Mario"},{"family":"Ciruelos","given":"Eva"},{"family":"Ferrero","given":"Jean-Marc"},{"family":"Schneeweiss","given":"Andreas"},{"family":"Heeson","given":"Sarah"},{"family":"Clark","given":"Emma"},{"family":"Ross","given":"Graham"},{"family":"Benyunes","given":"Mark C."},{"family":"Cortés","given":"Javier"}],"issued":{"date-parts":[["2015",2,19]]}}}],"schema":"https://github.com/citation-style-language/schema/raw/master/csl-citation.json"} </w:instrText>
      </w:r>
      <w:r w:rsidR="00EC1660" w:rsidRPr="00877499">
        <w:rPr>
          <w:rFonts w:ascii="Book Antiqua" w:hAnsi="Book Antiqua" w:cs="Calibri"/>
          <w:sz w:val="24"/>
          <w:szCs w:val="24"/>
          <w:vertAlign w:val="superscript"/>
        </w:rPr>
        <w:fldChar w:fldCharType="separate"/>
      </w:r>
      <w:r w:rsidR="00502E29" w:rsidRPr="00877499">
        <w:rPr>
          <w:rFonts w:ascii="Book Antiqua" w:hAnsi="Book Antiqua" w:cs="Calibri"/>
          <w:sz w:val="24"/>
          <w:szCs w:val="24"/>
          <w:vertAlign w:val="superscript"/>
        </w:rPr>
        <w:t>[6]</w:t>
      </w:r>
      <w:r w:rsidR="00EC1660" w:rsidRPr="00877499">
        <w:rPr>
          <w:rFonts w:ascii="Book Antiqua" w:hAnsi="Book Antiqua" w:cs="Calibri"/>
          <w:sz w:val="24"/>
          <w:szCs w:val="24"/>
          <w:vertAlign w:val="superscript"/>
        </w:rPr>
        <w:fldChar w:fldCharType="end"/>
      </w:r>
      <w:r w:rsidR="00EC1660" w:rsidRPr="00877499">
        <w:rPr>
          <w:rFonts w:ascii="Book Antiqua" w:hAnsi="Book Antiqua" w:cs="Calibri"/>
          <w:sz w:val="24"/>
          <w:szCs w:val="24"/>
        </w:rPr>
        <w:t>, and its clinical efficacy has transformed the therapeutic landscape of HER2-positive breast cancer</w:t>
      </w:r>
      <w:r w:rsidR="00EC1660" w:rsidRPr="00877499">
        <w:rPr>
          <w:rFonts w:ascii="Book Antiqua" w:hAnsi="Book Antiqua" w:cs="Calibri"/>
          <w:sz w:val="24"/>
          <w:szCs w:val="24"/>
          <w:vertAlign w:val="superscript"/>
        </w:rPr>
        <w:fldChar w:fldCharType="begin"/>
      </w:r>
      <w:r w:rsidR="00502E29" w:rsidRPr="00877499">
        <w:rPr>
          <w:rFonts w:ascii="Book Antiqua" w:hAnsi="Book Antiqua" w:cs="Calibri"/>
          <w:sz w:val="24"/>
          <w:szCs w:val="24"/>
          <w:vertAlign w:val="superscript"/>
        </w:rPr>
        <w:instrText xml:space="preserve"> ADDIN ZOTERO_ITEM CSL_CITATION {"citationID":"k8uQReea","properties":{"formattedCitation":"[7]","plainCitation":"[7]","noteIndex":0},"citationItems":[{"id":54,"uris":["http://zotero.org/users/4878164/items/Q57DC8F8"],"uri":["http://zotero.org/users/4878164/items/Q57DC8F8"],"itemData":{"id":54,"type":"article-journal","title":"Use of chemotherapy plus a monoclonal antibody against HER2 for metastatic breast cancer that overexpresses HER2","container-title":"The New England Journal of Medicine","page":"783-792","volume":"344","issue":"11","source":"PubMed","abstract":"BACKGROUND: The HER2 gene, which encodes the growth factor receptor HER2, is amplified and HER2 is overexpressed in 25 to 30 percent of breast cancers, increasing the aggressiveness of the tumor.\nMETHODS: We evaluated the efficacy and safety of trastuzumab, a recombinant monoclonal antibody against HER2, in women with metastatic breast cancer that overexpressed HER2. We randomly assigned 234 patients to receive standard chemotherapy alone and 235 patients to receive standard chemotherapy plus trastuzumab. Patients who had not previously received adjuvant (postoperative) therapy with an anthracycline were treated with doxorubicin (or epirubicin in the case of 36 women) and cyclophosphamide alone (138 women) or with trastuzumab (143 women). Patients who had previously received adjuvant anthracycline were treated with paclitaxel alone (96 women) or paclitaxel with trastuzumab (92 women).\nRESULTS: The addition of trastuzumab to chemotherapy was associated with a longer time to disease progression (median, 7.4 vs. 4.6 months; P&lt;0.001), a higher rate of objective response (50 percent vs. 32 percent, P&lt;0.001), a longer duration of response (median, 9.1 vs. 6.1 months; P&lt;0.001), a lower rate of death at 1 year (22 percent vs. 33 percent, P=0.008), longer survival (median survival, 25.1 vs. 20.3 months; P=0.01), and a 20 percent reduction in the risk of death. The most important adverse event was cardiac dysfunction of New York Heart Association class III or IV, which occurred in 27 percent of the group given an anthracycline, cyclophosphamide, and trastuzumab; 8 percent of the group given an anthracycline and cyclophosphamide alone; 13 percent of the group given paclitaxel and trastuzumab; and 1 percent of the group given paclitaxel alone. Although the cardiotoxicity was potentially severe and, in some cases, life-threatening, the symptoms generally improved with standard medical management.\nCONCLUSIONS: Trastuzumab increases the clinical benefit of first-line chemotherapy in metastatic breast cancer that overexpresses HER2.","DOI":"10.1056/NEJM200103153441101","ISSN":"0028-4793","note":"PMID: 11248153","journalAbbreviation":"N. Engl. J. Med.","language":"eng","author":[{"family":"Slamon","given":"D. J."},{"family":"Leyland-Jones","given":"B."},{"family":"Shak","given":"S."},{"family":"Fuchs","given":"H."},{"family":"Paton","given":"V."},{"family":"Bajamonde","given":"A."},{"family":"Fleming","given":"T."},{"family":"Eiermann","given":"W."},{"family":"Wolter","given":"J."},{"family":"Pegram","given":"M."},{"family":"Baselga","given":"J."},{"family":"Norton","given":"L."}],"issued":{"date-parts":[["2001",3,15]]}}}],"schema":"https://github.com/citation-style-language/schema/raw/master/csl-citation.json"} </w:instrText>
      </w:r>
      <w:r w:rsidR="00EC1660" w:rsidRPr="00877499">
        <w:rPr>
          <w:rFonts w:ascii="Book Antiqua" w:hAnsi="Book Antiqua" w:cs="Calibri"/>
          <w:sz w:val="24"/>
          <w:szCs w:val="24"/>
          <w:vertAlign w:val="superscript"/>
        </w:rPr>
        <w:fldChar w:fldCharType="separate"/>
      </w:r>
      <w:r w:rsidR="00502E29" w:rsidRPr="00877499">
        <w:rPr>
          <w:rFonts w:ascii="Book Antiqua" w:hAnsi="Book Antiqua" w:cs="Calibri"/>
          <w:sz w:val="24"/>
          <w:szCs w:val="24"/>
          <w:vertAlign w:val="superscript"/>
        </w:rPr>
        <w:t>[7]</w:t>
      </w:r>
      <w:r w:rsidR="00EC1660" w:rsidRPr="00877499">
        <w:rPr>
          <w:rFonts w:ascii="Book Antiqua" w:hAnsi="Book Antiqua" w:cs="Calibri"/>
          <w:sz w:val="24"/>
          <w:szCs w:val="24"/>
          <w:vertAlign w:val="superscript"/>
        </w:rPr>
        <w:fldChar w:fldCharType="end"/>
      </w:r>
      <w:r w:rsidR="00EC1660" w:rsidRPr="00877499">
        <w:rPr>
          <w:rFonts w:ascii="Book Antiqua" w:hAnsi="Book Antiqua" w:cs="Calibri"/>
          <w:sz w:val="24"/>
          <w:szCs w:val="24"/>
        </w:rPr>
        <w:t>.</w:t>
      </w:r>
      <w:r w:rsidR="00EC1660" w:rsidRPr="00877499">
        <w:rPr>
          <w:rFonts w:ascii="Book Antiqua" w:hAnsi="Book Antiqua" w:cs="Calibri"/>
          <w:sz w:val="24"/>
          <w:szCs w:val="24"/>
          <w:vertAlign w:val="superscript"/>
        </w:rPr>
        <w:t xml:space="preserve"> </w:t>
      </w:r>
      <w:r w:rsidR="00EC1660" w:rsidRPr="00877499">
        <w:rPr>
          <w:rFonts w:ascii="Book Antiqua" w:hAnsi="Book Antiqua" w:cs="Calibri"/>
          <w:sz w:val="24"/>
          <w:szCs w:val="24"/>
        </w:rPr>
        <w:t>Given its mortality benefit when added to a trastuzumab-based regimen as first-line therapy</w:t>
      </w:r>
      <w:r w:rsidR="00EC1660" w:rsidRPr="00877499">
        <w:rPr>
          <w:rFonts w:ascii="Book Antiqua" w:hAnsi="Book Antiqua" w:cs="Calibri"/>
          <w:sz w:val="24"/>
          <w:szCs w:val="24"/>
          <w:vertAlign w:val="superscript"/>
        </w:rPr>
        <w:fldChar w:fldCharType="begin"/>
      </w:r>
      <w:r w:rsidR="00502E29" w:rsidRPr="00877499">
        <w:rPr>
          <w:rFonts w:ascii="Book Antiqua" w:hAnsi="Book Antiqua" w:cs="Calibri"/>
          <w:sz w:val="24"/>
          <w:szCs w:val="24"/>
          <w:vertAlign w:val="superscript"/>
        </w:rPr>
        <w:instrText xml:space="preserve"> ADDIN ZOTERO_ITEM CSL_CITATION {"citationID":"GgBrrjdS","properties":{"formattedCitation":"[8]","plainCitation":"[8]","noteIndex":0},"citationItems":[{"id":51,"uris":["http://zotero.org/users/4878164/items/JT356N26"],"uri":["http://zotero.org/users/4878164/items/JT356N26"],"itemData":{"id":51,"type":"article-journal","title":"Pertuzumab: a new anti-HER2 drug in the management of women with breast cancer","container-title":"Future Oncology","page":"923-931","volume":"11","issue":"6","source":"www-futuremedicine-com.libproxy1.nus.edu.sg (Atypon)","abstract":"Pertuzumab is a humanized monoclonal antibody targeting HER2 that is different from trastuzumab in that it binds to a different domain of HER2; hence, combining the two drugs leads to a more comprehensive blockade of the receptor. This is the first drug to receive fast-track approval from US FDA based on the pathologic complete response (as the primary end point) attained in patients treated with neoadjuvant chemotherapy for breast cancer. Pertuzumab is approved in first-line treatment in metastatic setting both by FDA and EMA in combination with trastuzumab and docetaxel. Combining two targeted therapies (‘dual blockade’) will certainly escalate treatment costs and it remains to be seen if this strategy will find its way in to the clinic for all patients.","DOI":"10.2217/fon.15.7","ISSN":"1479-6694","title-short":"Pertuzumab","journalAbbreviation":"Future Oncology","author":[{"family":"Dawood","given":"Shaheenah"},{"family":"Sirohi","given":"Bhawna"}],"issued":{"date-parts":[["2015",3,1]]}}}],"schema":"https://github.com/citation-style-language/schema/raw/master/csl-citation.json"} </w:instrText>
      </w:r>
      <w:r w:rsidR="00EC1660" w:rsidRPr="00877499">
        <w:rPr>
          <w:rFonts w:ascii="Book Antiqua" w:hAnsi="Book Antiqua" w:cs="Calibri"/>
          <w:sz w:val="24"/>
          <w:szCs w:val="24"/>
          <w:vertAlign w:val="superscript"/>
        </w:rPr>
        <w:fldChar w:fldCharType="separate"/>
      </w:r>
      <w:r w:rsidR="00502E29" w:rsidRPr="00877499">
        <w:rPr>
          <w:rFonts w:ascii="Book Antiqua" w:hAnsi="Book Antiqua" w:cs="Calibri"/>
          <w:sz w:val="24"/>
          <w:szCs w:val="24"/>
          <w:vertAlign w:val="superscript"/>
        </w:rPr>
        <w:t>[8]</w:t>
      </w:r>
      <w:r w:rsidR="00EC1660" w:rsidRPr="00877499">
        <w:rPr>
          <w:rFonts w:ascii="Book Antiqua" w:hAnsi="Book Antiqua" w:cs="Calibri"/>
          <w:sz w:val="24"/>
          <w:szCs w:val="24"/>
          <w:vertAlign w:val="superscript"/>
        </w:rPr>
        <w:fldChar w:fldCharType="end"/>
      </w:r>
      <w:r w:rsidR="00EC1660" w:rsidRPr="00877499">
        <w:rPr>
          <w:rFonts w:ascii="Book Antiqua" w:hAnsi="Book Antiqua" w:cs="Calibri"/>
          <w:sz w:val="24"/>
          <w:szCs w:val="24"/>
        </w:rPr>
        <w:t xml:space="preserve">, it was approved by Singapore’s health authority (Health Sciences Authority) in 2014. </w:t>
      </w:r>
      <w:r w:rsidRPr="00877499">
        <w:rPr>
          <w:rFonts w:ascii="Book Antiqua" w:hAnsi="Book Antiqua" w:cs="Calibri"/>
          <w:sz w:val="24"/>
          <w:szCs w:val="24"/>
        </w:rPr>
        <w:t>Despite its prevalence, the mortality and morbidity of cancer has improved dramatically with the advent of novel therapeutic options. Thus, o</w:t>
      </w:r>
      <w:r w:rsidR="00EC1660" w:rsidRPr="00877499">
        <w:rPr>
          <w:rFonts w:ascii="Book Antiqua" w:hAnsi="Book Antiqua" w:cs="Calibri"/>
          <w:sz w:val="24"/>
          <w:szCs w:val="24"/>
        </w:rPr>
        <w:t xml:space="preserve">ur study aims to describe the clinical use, efficacy and costs of Pertuzumab in HER2 positive MBC treated in a tertiary cancer centre in Singapore. </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1C5CFB" w:rsidP="009E2046">
      <w:pPr>
        <w:widowControl w:val="0"/>
        <w:adjustRightInd w:val="0"/>
        <w:snapToGrid w:val="0"/>
        <w:spacing w:after="0" w:line="360" w:lineRule="auto"/>
        <w:jc w:val="both"/>
        <w:rPr>
          <w:rFonts w:ascii="Book Antiqua" w:hAnsi="Book Antiqua" w:cs="Calibri"/>
          <w:b/>
          <w:sz w:val="24"/>
          <w:szCs w:val="24"/>
          <w:u w:val="single"/>
        </w:rPr>
      </w:pPr>
      <w:r w:rsidRPr="00877499">
        <w:rPr>
          <w:rFonts w:ascii="Book Antiqua" w:hAnsi="Book Antiqua" w:cs="Calibri"/>
          <w:b/>
          <w:sz w:val="24"/>
          <w:szCs w:val="24"/>
          <w:u w:val="single"/>
        </w:rPr>
        <w:t>MATERIALS AND METHODS</w:t>
      </w:r>
    </w:p>
    <w:p w:rsidR="00EC1660" w:rsidRPr="00877499" w:rsidRDefault="00EC1660" w:rsidP="009E2046">
      <w:pPr>
        <w:widowControl w:val="0"/>
        <w:spacing w:after="0" w:line="360" w:lineRule="auto"/>
        <w:jc w:val="both"/>
        <w:rPr>
          <w:rFonts w:ascii="Book Antiqua" w:hAnsi="Book Antiqua" w:cs="Calibri"/>
          <w:b/>
          <w:i/>
          <w:sz w:val="24"/>
          <w:szCs w:val="24"/>
        </w:rPr>
      </w:pPr>
      <w:r w:rsidRPr="00877499">
        <w:rPr>
          <w:rFonts w:ascii="Book Antiqua" w:hAnsi="Book Antiqua" w:cs="Calibri"/>
          <w:b/>
          <w:i/>
          <w:sz w:val="24"/>
          <w:szCs w:val="24"/>
        </w:rPr>
        <w:t xml:space="preserve">Patient </w:t>
      </w:r>
      <w:r w:rsidR="002040E0" w:rsidRPr="00877499">
        <w:rPr>
          <w:rFonts w:ascii="Book Antiqua" w:hAnsi="Book Antiqua" w:cs="Calibri"/>
          <w:b/>
          <w:i/>
          <w:sz w:val="24"/>
          <w:szCs w:val="24"/>
        </w:rPr>
        <w:t>se</w:t>
      </w:r>
      <w:r w:rsidRPr="00877499">
        <w:rPr>
          <w:rFonts w:ascii="Book Antiqua" w:hAnsi="Book Antiqua" w:cs="Calibri"/>
          <w:b/>
          <w:i/>
          <w:sz w:val="24"/>
          <w:szCs w:val="24"/>
        </w:rPr>
        <w:t>lection</w:t>
      </w:r>
    </w:p>
    <w:p w:rsidR="00EC1660" w:rsidRPr="00877499" w:rsidRDefault="00EC1660" w:rsidP="009E2046">
      <w:pPr>
        <w:pStyle w:val="Default"/>
        <w:widowControl w:val="0"/>
        <w:spacing w:after="0" w:line="360" w:lineRule="auto"/>
        <w:jc w:val="both"/>
        <w:rPr>
          <w:rFonts w:ascii="Book Antiqua" w:hAnsi="Book Antiqua" w:cs="Calibri"/>
        </w:rPr>
      </w:pPr>
      <w:r w:rsidRPr="00877499">
        <w:rPr>
          <w:rFonts w:ascii="Book Antiqua" w:hAnsi="Book Antiqua" w:cs="Calibri"/>
        </w:rPr>
        <w:t>We retrieved electronic medical records of 1185 consecutive patients with newly diagnosed MBC referred to the Division of Medical Oncology of National Cancer Centre Singapore (NCCS) from 1</w:t>
      </w:r>
      <w:r w:rsidRPr="00877499">
        <w:rPr>
          <w:rFonts w:ascii="Book Antiqua" w:hAnsi="Book Antiqua" w:cs="Calibri"/>
          <w:vertAlign w:val="superscript"/>
        </w:rPr>
        <w:t>st</w:t>
      </w:r>
      <w:r w:rsidRPr="00877499">
        <w:rPr>
          <w:rFonts w:ascii="Book Antiqua" w:hAnsi="Book Antiqua" w:cs="Calibri"/>
        </w:rPr>
        <w:t xml:space="preserve"> January 2011 to 31</w:t>
      </w:r>
      <w:r w:rsidRPr="00877499">
        <w:rPr>
          <w:rFonts w:ascii="Book Antiqua" w:hAnsi="Book Antiqua" w:cs="Calibri"/>
          <w:vertAlign w:val="superscript"/>
        </w:rPr>
        <w:t>st</w:t>
      </w:r>
      <w:r w:rsidRPr="00877499">
        <w:rPr>
          <w:rFonts w:ascii="Book Antiqua" w:hAnsi="Book Antiqua" w:cs="Calibri"/>
        </w:rPr>
        <w:t xml:space="preserve"> December 2017 from the Joint Breast Cancer Registry. </w:t>
      </w:r>
      <w:r w:rsidRPr="00877499">
        <w:rPr>
          <w:rFonts w:ascii="Book Antiqua" w:hAnsi="Book Antiqua" w:cs="Calibri"/>
          <w:lang w:val="en-US"/>
        </w:rPr>
        <w:t xml:space="preserve">The study was reviewed and approved by the SingHealth </w:t>
      </w:r>
      <w:r w:rsidRPr="00877499">
        <w:rPr>
          <w:rFonts w:ascii="Book Antiqua" w:hAnsi="Book Antiqua" w:cs="Calibri"/>
          <w:lang w:val="en-US"/>
        </w:rPr>
        <w:lastRenderedPageBreak/>
        <w:t>Centralised Institutional Review Board</w:t>
      </w:r>
      <w:r w:rsidRPr="00877499">
        <w:rPr>
          <w:rFonts w:ascii="Book Antiqua" w:hAnsi="Book Antiqua" w:cs="Calibri"/>
          <w:bCs/>
        </w:rPr>
        <w:t xml:space="preserve"> Reference</w:t>
      </w:r>
      <w:r w:rsidRPr="00877499">
        <w:rPr>
          <w:rFonts w:ascii="Book Antiqua" w:hAnsi="Book Antiqua" w:cs="Calibri"/>
        </w:rPr>
        <w:t>:</w:t>
      </w:r>
      <w:r w:rsidR="00B80205" w:rsidRPr="00877499">
        <w:rPr>
          <w:rFonts w:ascii="Book Antiqua" w:hAnsi="Book Antiqua" w:cs="Calibri"/>
        </w:rPr>
        <w:t xml:space="preserve"> </w:t>
      </w:r>
      <w:r w:rsidRPr="00877499">
        <w:rPr>
          <w:rFonts w:ascii="Book Antiqua" w:hAnsi="Book Antiqua" w:cs="Calibri"/>
          <w:bCs/>
        </w:rPr>
        <w:t>2018/2400</w:t>
      </w:r>
      <w:r w:rsidRPr="00877499">
        <w:rPr>
          <w:rFonts w:ascii="Book Antiqua" w:hAnsi="Book Antiqua" w:cs="Calibri"/>
        </w:rPr>
        <w:t xml:space="preserve">. </w:t>
      </w:r>
    </w:p>
    <w:p w:rsidR="00EC1660" w:rsidRPr="00877499" w:rsidRDefault="00EC1660" w:rsidP="009E2046">
      <w:pPr>
        <w:pStyle w:val="Default"/>
        <w:widowControl w:val="0"/>
        <w:spacing w:after="0" w:line="360" w:lineRule="auto"/>
        <w:ind w:firstLineChars="100" w:firstLine="240"/>
        <w:jc w:val="both"/>
        <w:rPr>
          <w:rFonts w:ascii="Book Antiqua" w:hAnsi="Book Antiqua" w:cs="Calibri"/>
        </w:rPr>
      </w:pPr>
      <w:r w:rsidRPr="00877499">
        <w:rPr>
          <w:rFonts w:ascii="Book Antiqua" w:hAnsi="Book Antiqua" w:cs="Calibri"/>
        </w:rPr>
        <w:t xml:space="preserve">Patients with histologically-proven breast cancer, radiological evidence of metastatic disease, and HER2 positivity on immunohistochemistry (IHC) or fluorescence </w:t>
      </w:r>
      <w:r w:rsidRPr="00877499">
        <w:rPr>
          <w:rFonts w:ascii="Book Antiqua" w:hAnsi="Book Antiqua" w:cs="Calibri"/>
          <w:i/>
        </w:rPr>
        <w:t>in situ</w:t>
      </w:r>
      <w:r w:rsidRPr="00877499">
        <w:rPr>
          <w:rFonts w:ascii="Book Antiqua" w:hAnsi="Book Antiqua" w:cs="Calibri"/>
        </w:rPr>
        <w:t xml:space="preserve"> hybridization</w:t>
      </w:r>
      <w:r w:rsidR="00844139" w:rsidRPr="00877499">
        <w:rPr>
          <w:rFonts w:ascii="Book Antiqua" w:hAnsi="Book Antiqua" w:cs="Calibri" w:hint="eastAsia"/>
        </w:rPr>
        <w:t xml:space="preserve"> </w:t>
      </w:r>
      <w:r w:rsidRPr="00877499">
        <w:rPr>
          <w:rFonts w:ascii="Book Antiqua" w:hAnsi="Book Antiqua" w:cs="Calibri"/>
        </w:rPr>
        <w:t>were selected. HER2 positivity was defined as a score of 3+ on IHC or an IHC score of 2+ and a HER2/CEP17 ratio ≥</w:t>
      </w:r>
      <w:r w:rsidR="002040E0" w:rsidRPr="00877499">
        <w:rPr>
          <w:rFonts w:ascii="Book Antiqua" w:hAnsi="Book Antiqua" w:cs="Calibri" w:hint="eastAsia"/>
        </w:rPr>
        <w:t xml:space="preserve"> </w:t>
      </w:r>
      <w:r w:rsidRPr="00877499">
        <w:rPr>
          <w:rFonts w:ascii="Book Antiqua" w:hAnsi="Book Antiqua" w:cs="Calibri"/>
        </w:rPr>
        <w:t>2.0 for samples after 1 January 2014 and HER2/CEP17 ratio ≥</w:t>
      </w:r>
      <w:r w:rsidR="002040E0" w:rsidRPr="00877499">
        <w:rPr>
          <w:rFonts w:ascii="Book Antiqua" w:hAnsi="Book Antiqua" w:cs="Calibri" w:hint="eastAsia"/>
        </w:rPr>
        <w:t xml:space="preserve"> </w:t>
      </w:r>
      <w:r w:rsidRPr="00877499">
        <w:rPr>
          <w:rFonts w:ascii="Book Antiqua" w:hAnsi="Book Antiqua" w:cs="Calibri"/>
        </w:rPr>
        <w:t xml:space="preserve">2.2 for samples before 1 January 2014 on </w:t>
      </w:r>
      <w:r w:rsidR="00844139" w:rsidRPr="00877499">
        <w:rPr>
          <w:rFonts w:ascii="Book Antiqua" w:hAnsi="Book Antiqua" w:cs="Calibri"/>
        </w:rPr>
        <w:t xml:space="preserve">fluorescence </w:t>
      </w:r>
      <w:r w:rsidR="00844139" w:rsidRPr="00877499">
        <w:rPr>
          <w:rFonts w:ascii="Book Antiqua" w:hAnsi="Book Antiqua" w:cs="Calibri"/>
          <w:i/>
        </w:rPr>
        <w:t>in situ</w:t>
      </w:r>
      <w:r w:rsidR="00844139" w:rsidRPr="00877499">
        <w:rPr>
          <w:rFonts w:ascii="Book Antiqua" w:hAnsi="Book Antiqua" w:cs="Calibri"/>
        </w:rPr>
        <w:t xml:space="preserve"> hybridization </w:t>
      </w:r>
      <w:r w:rsidRPr="00877499">
        <w:rPr>
          <w:rFonts w:ascii="Book Antiqua" w:hAnsi="Book Antiqua" w:cs="Calibri"/>
        </w:rPr>
        <w:t xml:space="preserve">testing. </w:t>
      </w:r>
    </w:p>
    <w:p w:rsidR="00EC1660" w:rsidRPr="00877499" w:rsidRDefault="00EC1660" w:rsidP="009E2046">
      <w:pPr>
        <w:pStyle w:val="Default"/>
        <w:widowControl w:val="0"/>
        <w:spacing w:after="0" w:line="360" w:lineRule="auto"/>
        <w:ind w:firstLineChars="100" w:firstLine="240"/>
        <w:jc w:val="both"/>
        <w:rPr>
          <w:rFonts w:ascii="Book Antiqua" w:hAnsi="Book Antiqua" w:cs="Calibri"/>
        </w:rPr>
      </w:pPr>
      <w:r w:rsidRPr="00877499">
        <w:rPr>
          <w:rFonts w:ascii="Book Antiqua" w:hAnsi="Book Antiqua" w:cs="Calibri"/>
        </w:rPr>
        <w:t>After exclusion of 855 patients with HER2 negative and unknown HER2 status, clinical and treatment data were collected for 329 HER2 positive MBC patients. Patients with unknown Pertuzumab usage were then excluded, and data</w:t>
      </w:r>
      <w:r w:rsidR="002040E0" w:rsidRPr="00877499">
        <w:rPr>
          <w:rFonts w:ascii="Book Antiqua" w:hAnsi="Book Antiqua" w:cs="Calibri" w:hint="eastAsia"/>
        </w:rPr>
        <w:t xml:space="preserve"> </w:t>
      </w:r>
      <w:r w:rsidRPr="00877499">
        <w:rPr>
          <w:rFonts w:ascii="Book Antiqua" w:hAnsi="Book Antiqua" w:cs="Calibri"/>
        </w:rPr>
        <w:t>analys</w:t>
      </w:r>
      <w:r w:rsidR="002040E0" w:rsidRPr="00877499">
        <w:rPr>
          <w:rFonts w:ascii="Book Antiqua" w:hAnsi="Book Antiqua" w:cs="Calibri" w:hint="eastAsia"/>
        </w:rPr>
        <w:t>i</w:t>
      </w:r>
      <w:r w:rsidRPr="00877499">
        <w:rPr>
          <w:rFonts w:ascii="Book Antiqua" w:hAnsi="Book Antiqua" w:cs="Calibri"/>
        </w:rPr>
        <w:t>s was conducted for all 304 HER2 positive MBC patients. For further cost analyses, patients with incomplete billing data were excluded.</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widowControl w:val="0"/>
        <w:spacing w:after="0" w:line="360" w:lineRule="auto"/>
        <w:jc w:val="both"/>
        <w:rPr>
          <w:rFonts w:ascii="Book Antiqua" w:hAnsi="Book Antiqua" w:cs="Calibri"/>
          <w:b/>
          <w:i/>
          <w:sz w:val="24"/>
          <w:szCs w:val="24"/>
        </w:rPr>
      </w:pPr>
      <w:r w:rsidRPr="00877499">
        <w:rPr>
          <w:rFonts w:ascii="Book Antiqua" w:hAnsi="Book Antiqua" w:cs="Calibri"/>
          <w:b/>
          <w:i/>
          <w:sz w:val="24"/>
          <w:szCs w:val="24"/>
        </w:rPr>
        <w:t xml:space="preserve">Source of </w:t>
      </w:r>
      <w:r w:rsidR="002040E0" w:rsidRPr="00877499">
        <w:rPr>
          <w:rFonts w:ascii="Book Antiqua" w:hAnsi="Book Antiqua" w:cs="Calibri"/>
          <w:b/>
          <w:i/>
          <w:sz w:val="24"/>
          <w:szCs w:val="24"/>
        </w:rPr>
        <w:t>d</w:t>
      </w:r>
      <w:r w:rsidRPr="00877499">
        <w:rPr>
          <w:rFonts w:ascii="Book Antiqua" w:hAnsi="Book Antiqua" w:cs="Calibri"/>
          <w:b/>
          <w:i/>
          <w:sz w:val="24"/>
          <w:szCs w:val="24"/>
        </w:rPr>
        <w:t>ata</w:t>
      </w:r>
    </w:p>
    <w:p w:rsidR="00EC1660" w:rsidRPr="00877499" w:rsidRDefault="00EC1660" w:rsidP="009E2046">
      <w:pPr>
        <w:pStyle w:val="a8"/>
        <w:widowControl w:val="0"/>
        <w:spacing w:line="360" w:lineRule="auto"/>
        <w:jc w:val="both"/>
        <w:rPr>
          <w:rFonts w:ascii="Book Antiqua" w:hAnsi="Book Antiqua" w:cs="Calibri"/>
          <w:sz w:val="24"/>
          <w:szCs w:val="24"/>
        </w:rPr>
      </w:pPr>
      <w:r w:rsidRPr="00877499">
        <w:rPr>
          <w:rFonts w:ascii="Book Antiqua" w:hAnsi="Book Antiqua" w:cs="Calibri"/>
          <w:sz w:val="24"/>
          <w:szCs w:val="24"/>
        </w:rPr>
        <w:t xml:space="preserve">Clinical data was retrieved in stages. In the first stage, patient demographics, diagnosis, date of death and clinical variables were retrieved electronically from the Department of Cancer Informatics of NCCS. Clinical variables included: estrogen receptor (ER) status, progesterone receptor (PR) status, HER2 status, histological grade and subtype, diagnosis date, age of patient at diagnosis, TNM staging and site of metastases. Presence of visceral metastases was defined as metastases in the liver, lung or brain. </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In the second stage, detailed treatment histories of each p</w:t>
      </w:r>
      <w:r w:rsidRPr="00877499">
        <w:rPr>
          <w:rFonts w:ascii="Book Antiqua" w:hAnsi="Book Antiqua" w:cs="Calibri"/>
          <w:sz w:val="24"/>
          <w:szCs w:val="24"/>
        </w:rPr>
        <w:softHyphen/>
      </w:r>
      <w:r w:rsidRPr="00877499">
        <w:rPr>
          <w:rFonts w:ascii="Book Antiqua" w:hAnsi="Book Antiqua" w:cs="Calibri"/>
          <w:sz w:val="24"/>
          <w:szCs w:val="24"/>
        </w:rPr>
        <w:softHyphen/>
        <w:t xml:space="preserve">atient were constructed using the electronic medical records, supplemented by data from the NCCS MOSAIQ chemotherapy prescription database and pharmacy billing records in the SingHealth Electronic Health Intelligence System (eHINTS). </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 xml:space="preserve">Data on the duration of treatment and date of progression was collected for every line of treatment. Duration of treatment was determined by the patients’ dates of registered visits to the outpatient chemotherapy unit as well as from the outpatient records. The date of progression was obtained based on the date of radiological findings of progressive disease. </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 xml:space="preserve">In patients who received Pertuzumab, treatment outcomes and order of line of </w:t>
      </w:r>
      <w:r w:rsidRPr="00877499">
        <w:rPr>
          <w:rFonts w:ascii="Book Antiqua" w:hAnsi="Book Antiqua" w:cs="Calibri"/>
          <w:sz w:val="24"/>
          <w:szCs w:val="24"/>
        </w:rPr>
        <w:lastRenderedPageBreak/>
        <w:t>therapy were also noted. This included documenting best response clinically or radiologically, as well as the presence of cardiotoxic side effects. Cardiotoxic side effects was defined as Grade 3 Left Ventricular Systolic Dysfunction by the presence of resting ejection fraction of 40</w:t>
      </w:r>
      <w:r w:rsidR="00203549" w:rsidRPr="00877499">
        <w:rPr>
          <w:rFonts w:ascii="Book Antiqua" w:hAnsi="Book Antiqua" w:cs="Calibri"/>
          <w:sz w:val="24"/>
          <w:szCs w:val="24"/>
        </w:rPr>
        <w:t>%–</w:t>
      </w:r>
      <w:r w:rsidRPr="00877499">
        <w:rPr>
          <w:rFonts w:ascii="Book Antiqua" w:hAnsi="Book Antiqua" w:cs="Calibri"/>
          <w:sz w:val="24"/>
          <w:szCs w:val="24"/>
        </w:rPr>
        <w:t>50% or 10</w:t>
      </w:r>
      <w:r w:rsidR="00203549" w:rsidRPr="00877499">
        <w:rPr>
          <w:rFonts w:ascii="Book Antiqua" w:hAnsi="Book Antiqua" w:cs="Calibri"/>
          <w:sz w:val="24"/>
          <w:szCs w:val="24"/>
        </w:rPr>
        <w:t>%–</w:t>
      </w:r>
      <w:r w:rsidRPr="00877499">
        <w:rPr>
          <w:rFonts w:ascii="Book Antiqua" w:hAnsi="Book Antiqua" w:cs="Calibri"/>
          <w:sz w:val="24"/>
          <w:szCs w:val="24"/>
        </w:rPr>
        <w:t>19% drop from baseline on two-dimensional echocardiography based on the Common Terminology Criteria for Adverse Events</w:t>
      </w:r>
      <w:r w:rsidR="0066514B" w:rsidRPr="00877499">
        <w:rPr>
          <w:rFonts w:ascii="Book Antiqua" w:hAnsi="Book Antiqua" w:cs="Calibri" w:hint="eastAsia"/>
          <w:sz w:val="24"/>
          <w:szCs w:val="24"/>
        </w:rPr>
        <w:t xml:space="preserve"> </w:t>
      </w:r>
      <w:r w:rsidRPr="00877499">
        <w:rPr>
          <w:rFonts w:ascii="Book Antiqua" w:hAnsi="Book Antiqua" w:cs="Calibri"/>
          <w:sz w:val="24"/>
          <w:szCs w:val="24"/>
        </w:rPr>
        <w:t xml:space="preserve">Version 4.03. </w:t>
      </w:r>
      <w:r w:rsidR="009F35B7" w:rsidRPr="00877499">
        <w:rPr>
          <w:rFonts w:ascii="Book Antiqua" w:hAnsi="Book Antiqua" w:cs="Calibri"/>
          <w:sz w:val="24"/>
          <w:szCs w:val="24"/>
        </w:rPr>
        <w:t xml:space="preserve">Echocardiography and multiple-gated acquisition results of patients were systematically reviewed to asses for cardiotoxicity consistent with </w:t>
      </w:r>
      <w:r w:rsidR="0066514B" w:rsidRPr="00877499">
        <w:rPr>
          <w:rFonts w:ascii="Book Antiqua" w:hAnsi="Book Antiqua" w:cs="Calibri"/>
          <w:sz w:val="24"/>
          <w:szCs w:val="24"/>
        </w:rPr>
        <w:t xml:space="preserve">Common Terminology Criteria for Adverse Events </w:t>
      </w:r>
      <w:r w:rsidR="009F35B7" w:rsidRPr="00877499">
        <w:rPr>
          <w:rFonts w:ascii="Book Antiqua" w:hAnsi="Book Antiqua" w:cs="Calibri"/>
          <w:sz w:val="24"/>
          <w:szCs w:val="24"/>
        </w:rPr>
        <w:t xml:space="preserve">Grade 3 Left Ventricular Systolic Dysfunction. </w:t>
      </w:r>
      <w:r w:rsidRPr="00877499">
        <w:rPr>
          <w:rFonts w:ascii="Book Antiqua" w:hAnsi="Book Antiqua" w:cs="Calibri"/>
          <w:sz w:val="24"/>
          <w:szCs w:val="24"/>
        </w:rPr>
        <w:t>Patients with no echocardiography, multiple-gated acquisition scan of the heart or clinical documentation were excluded from this analysis.</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 xml:space="preserve">In the last stage, costs incurred by patients were retrieved based on inpatient and outpatient bills, including total treatment cost for chemotherapy and total treatment cost of Pertuzumab. Patients who had Pertuzumab treatment but did not have any corresponding bills were excluded from this analysis. </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widowControl w:val="0"/>
        <w:spacing w:after="0" w:line="360" w:lineRule="auto"/>
        <w:jc w:val="both"/>
        <w:rPr>
          <w:rFonts w:ascii="Book Antiqua" w:hAnsi="Book Antiqua" w:cs="Calibri"/>
          <w:b/>
          <w:i/>
          <w:sz w:val="24"/>
          <w:szCs w:val="24"/>
        </w:rPr>
      </w:pPr>
      <w:r w:rsidRPr="00877499">
        <w:rPr>
          <w:rFonts w:ascii="Book Antiqua" w:hAnsi="Book Antiqua" w:cs="Calibri"/>
          <w:b/>
          <w:i/>
          <w:sz w:val="24"/>
          <w:szCs w:val="24"/>
        </w:rPr>
        <w:t xml:space="preserve">Statistical </w:t>
      </w:r>
      <w:r w:rsidR="00203549" w:rsidRPr="00877499">
        <w:rPr>
          <w:rFonts w:ascii="Book Antiqua" w:hAnsi="Book Antiqua" w:cs="Calibri"/>
          <w:b/>
          <w:i/>
          <w:sz w:val="24"/>
          <w:szCs w:val="24"/>
        </w:rPr>
        <w:t>a</w:t>
      </w:r>
      <w:r w:rsidRPr="00877499">
        <w:rPr>
          <w:rFonts w:ascii="Book Antiqua" w:hAnsi="Book Antiqua" w:cs="Calibri"/>
          <w:b/>
          <w:i/>
          <w:sz w:val="24"/>
          <w:szCs w:val="24"/>
        </w:rPr>
        <w:t>nalys</w:t>
      </w:r>
      <w:r w:rsidR="00203549" w:rsidRPr="00877499">
        <w:rPr>
          <w:rFonts w:ascii="Book Antiqua" w:hAnsi="Book Antiqua" w:cs="Calibri" w:hint="eastAsia"/>
          <w:b/>
          <w:i/>
          <w:sz w:val="24"/>
          <w:szCs w:val="24"/>
        </w:rPr>
        <w:t>i</w:t>
      </w:r>
      <w:r w:rsidRPr="00877499">
        <w:rPr>
          <w:rFonts w:ascii="Book Antiqua" w:hAnsi="Book Antiqua" w:cs="Calibri"/>
          <w:b/>
          <w:i/>
          <w:sz w:val="24"/>
          <w:szCs w:val="24"/>
        </w:rPr>
        <w:t>s</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All the patients were categorized as “yes” or “no” based on status of Pertuzumab use.</w:t>
      </w:r>
      <w:r w:rsidR="00B80205" w:rsidRPr="00877499">
        <w:rPr>
          <w:rFonts w:ascii="Book Antiqua" w:hAnsi="Book Antiqua" w:cs="Calibri"/>
          <w:sz w:val="24"/>
          <w:szCs w:val="24"/>
        </w:rPr>
        <w:t xml:space="preserve"> </w:t>
      </w:r>
      <w:r w:rsidRPr="00877499">
        <w:rPr>
          <w:rFonts w:ascii="Book Antiqua" w:hAnsi="Book Antiqua" w:cs="Calibri"/>
          <w:sz w:val="24"/>
          <w:szCs w:val="24"/>
        </w:rPr>
        <w:t xml:space="preserve">All demographic, clinical and histological data were summarized based on Pertuzumab use. Continuous and categorical variables were summarized as mean </w:t>
      </w:r>
      <w:r w:rsidR="00F24FBD" w:rsidRPr="00877499">
        <w:rPr>
          <w:rFonts w:ascii="Book Antiqua" w:hAnsi="Book Antiqua" w:cs="Calibri" w:hint="eastAsia"/>
          <w:sz w:val="24"/>
          <w:szCs w:val="24"/>
        </w:rPr>
        <w:t>[</w:t>
      </w:r>
      <w:r w:rsidRPr="00877499">
        <w:rPr>
          <w:rFonts w:ascii="Book Antiqua" w:hAnsi="Book Antiqua" w:cs="Calibri"/>
          <w:sz w:val="24"/>
          <w:szCs w:val="24"/>
        </w:rPr>
        <w:t>standard deviation (SD), range</w:t>
      </w:r>
      <w:r w:rsidR="00F24FBD" w:rsidRPr="00877499">
        <w:rPr>
          <w:rFonts w:ascii="Book Antiqua" w:hAnsi="Book Antiqua" w:cs="Calibri" w:hint="eastAsia"/>
          <w:sz w:val="24"/>
          <w:szCs w:val="24"/>
        </w:rPr>
        <w:t>]</w:t>
      </w:r>
      <w:r w:rsidRPr="00877499">
        <w:rPr>
          <w:rFonts w:ascii="Book Antiqua" w:hAnsi="Book Antiqua" w:cs="Calibri"/>
          <w:sz w:val="24"/>
          <w:szCs w:val="24"/>
        </w:rPr>
        <w:t xml:space="preserve"> or median </w:t>
      </w:r>
      <w:r w:rsidR="0066514B" w:rsidRPr="00877499">
        <w:rPr>
          <w:rFonts w:ascii="Book Antiqua" w:hAnsi="Book Antiqua" w:cs="Calibri" w:hint="eastAsia"/>
          <w:sz w:val="24"/>
          <w:szCs w:val="24"/>
        </w:rPr>
        <w:t>(</w:t>
      </w:r>
      <w:r w:rsidRPr="00877499">
        <w:rPr>
          <w:rFonts w:ascii="Book Antiqua" w:hAnsi="Book Antiqua" w:cs="Calibri"/>
          <w:sz w:val="24"/>
          <w:szCs w:val="24"/>
        </w:rPr>
        <w:t>inter-quartile range, range</w:t>
      </w:r>
      <w:r w:rsidR="0066514B" w:rsidRPr="00877499">
        <w:rPr>
          <w:rFonts w:ascii="Book Antiqua" w:hAnsi="Book Antiqua" w:cs="Calibri" w:hint="eastAsia"/>
          <w:sz w:val="24"/>
          <w:szCs w:val="24"/>
        </w:rPr>
        <w:t>)</w:t>
      </w:r>
      <w:r w:rsidRPr="00877499">
        <w:rPr>
          <w:rFonts w:ascii="Book Antiqua" w:hAnsi="Book Antiqua" w:cs="Calibri"/>
          <w:sz w:val="24"/>
          <w:szCs w:val="24"/>
        </w:rPr>
        <w:t>, whichever applicable, and frequency (percentage) respectively. Difference between statuses of Pertuzumab group was teste</w:t>
      </w:r>
      <w:r w:rsidR="00F24FBD" w:rsidRPr="00877499">
        <w:rPr>
          <w:rFonts w:ascii="Book Antiqua" w:hAnsi="Book Antiqua" w:cs="Calibri"/>
          <w:sz w:val="24"/>
          <w:szCs w:val="24"/>
        </w:rPr>
        <w:t xml:space="preserve">d using 2-sample independent </w:t>
      </w:r>
      <w:r w:rsidR="00F24FBD" w:rsidRPr="00877499">
        <w:rPr>
          <w:rFonts w:ascii="Book Antiqua" w:hAnsi="Book Antiqua" w:cs="Calibri"/>
          <w:i/>
          <w:sz w:val="24"/>
          <w:szCs w:val="24"/>
        </w:rPr>
        <w:t>t</w:t>
      </w:r>
      <w:r w:rsidR="00F24FBD" w:rsidRPr="00877499">
        <w:rPr>
          <w:rFonts w:ascii="Book Antiqua" w:hAnsi="Book Antiqua" w:cs="Calibri"/>
          <w:sz w:val="24"/>
          <w:szCs w:val="24"/>
        </w:rPr>
        <w:t>-</w:t>
      </w:r>
      <w:r w:rsidR="002E4A12" w:rsidRPr="00877499">
        <w:rPr>
          <w:rFonts w:ascii="Book Antiqua" w:hAnsi="Book Antiqua" w:cs="Calibri"/>
          <w:sz w:val="24"/>
          <w:szCs w:val="24"/>
        </w:rPr>
        <w:t xml:space="preserve">test or Mann-Whitney </w:t>
      </w:r>
      <w:r w:rsidR="002E4A12" w:rsidRPr="00877499">
        <w:rPr>
          <w:rFonts w:ascii="Book Antiqua" w:hAnsi="Book Antiqua" w:cs="Calibri"/>
          <w:i/>
          <w:sz w:val="24"/>
          <w:szCs w:val="24"/>
        </w:rPr>
        <w:t>U</w:t>
      </w:r>
      <w:r w:rsidR="002E4A12" w:rsidRPr="00877499">
        <w:rPr>
          <w:rFonts w:ascii="Book Antiqua" w:hAnsi="Book Antiqua" w:cs="Calibri"/>
          <w:sz w:val="24"/>
          <w:szCs w:val="24"/>
        </w:rPr>
        <w:t>–</w:t>
      </w:r>
      <w:r w:rsidRPr="00877499">
        <w:rPr>
          <w:rFonts w:ascii="Book Antiqua" w:hAnsi="Book Antiqua" w:cs="Calibri"/>
          <w:sz w:val="24"/>
          <w:szCs w:val="24"/>
        </w:rPr>
        <w:t xml:space="preserve">test, whichever applicable, and fisher’s exact test for continuous and categorical data respectively. </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lang w:val="en-GB"/>
        </w:rPr>
        <w:t xml:space="preserve">We also plotted Kaplan-Meier curve to find a difference in overall survival (OS) between statuses of </w:t>
      </w:r>
      <w:r w:rsidRPr="00877499">
        <w:rPr>
          <w:rFonts w:ascii="Book Antiqua" w:hAnsi="Book Antiqua" w:cs="Calibri"/>
          <w:sz w:val="24"/>
          <w:szCs w:val="24"/>
        </w:rPr>
        <w:t xml:space="preserve">Pertuzumab use. We defined OS as duration between date of diagnosis to date of death or date of last follow up, whichever was later. Difference between Pertuzumab and non-Pertuzumab group was assessed using log-rank test and median survival time. Univariate and multivariable Cox proportional hazard regression model was used to find associated risk factors of OS this population. Quantitative association from Cox regression was expressed as hazard ratio (HR) </w:t>
      </w:r>
      <w:r w:rsidRPr="00877499">
        <w:rPr>
          <w:rFonts w:ascii="Book Antiqua" w:hAnsi="Book Antiqua" w:cs="Calibri"/>
          <w:sz w:val="24"/>
          <w:szCs w:val="24"/>
        </w:rPr>
        <w:lastRenderedPageBreak/>
        <w:t xml:space="preserve">with its corresponding </w:t>
      </w:r>
      <w:r w:rsidR="008158F3" w:rsidRPr="00877499">
        <w:rPr>
          <w:rFonts w:ascii="Book Antiqua" w:hAnsi="Book Antiqua" w:cs="Calibri"/>
          <w:sz w:val="24"/>
          <w:szCs w:val="24"/>
        </w:rPr>
        <w:t>95%CI</w:t>
      </w:r>
      <w:r w:rsidRPr="00877499">
        <w:rPr>
          <w:rFonts w:ascii="Book Antiqua" w:hAnsi="Book Antiqua" w:cs="Calibri"/>
          <w:sz w:val="24"/>
          <w:szCs w:val="24"/>
        </w:rPr>
        <w:t xml:space="preserve">. All the tests used in this study were two sided and </w:t>
      </w:r>
      <w:r w:rsidRPr="00877499">
        <w:rPr>
          <w:rFonts w:ascii="Book Antiqua" w:hAnsi="Book Antiqua" w:cs="Calibri"/>
          <w:i/>
          <w:caps/>
          <w:sz w:val="24"/>
          <w:szCs w:val="24"/>
        </w:rPr>
        <w:t>p</w:t>
      </w:r>
      <w:r w:rsidRPr="00877499">
        <w:rPr>
          <w:rFonts w:ascii="Book Antiqua" w:hAnsi="Book Antiqua" w:cs="Calibri"/>
          <w:sz w:val="24"/>
          <w:szCs w:val="24"/>
        </w:rPr>
        <w:t xml:space="preserve"> – values &lt; 0.05 was considered as statistical significance. All statistical analyses were carried out using SAS Institute Inc 2013. SAS/ACCESS</w:t>
      </w:r>
      <w:r w:rsidRPr="00877499">
        <w:rPr>
          <w:rFonts w:ascii="Book Antiqua" w:hAnsi="Book Antiqua" w:cs="Calibri"/>
          <w:sz w:val="24"/>
          <w:szCs w:val="24"/>
          <w:vertAlign w:val="superscript"/>
        </w:rPr>
        <w:t>®</w:t>
      </w:r>
      <w:r w:rsidRPr="00877499">
        <w:rPr>
          <w:rFonts w:ascii="Book Antiqua" w:hAnsi="Book Antiqua" w:cs="Calibri"/>
          <w:sz w:val="24"/>
          <w:szCs w:val="24"/>
        </w:rPr>
        <w:t xml:space="preserve"> 9.4. Cary, NC: SAS Institute Inc.</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widowControl w:val="0"/>
        <w:spacing w:after="0" w:line="360" w:lineRule="auto"/>
        <w:jc w:val="both"/>
        <w:rPr>
          <w:rFonts w:ascii="Book Antiqua" w:hAnsi="Book Antiqua" w:cs="Calibri"/>
          <w:caps/>
          <w:sz w:val="24"/>
          <w:szCs w:val="24"/>
          <w:u w:val="single"/>
        </w:rPr>
      </w:pPr>
      <w:r w:rsidRPr="00877499">
        <w:rPr>
          <w:rFonts w:ascii="Book Antiqua" w:hAnsi="Book Antiqua" w:cs="Calibri"/>
          <w:b/>
          <w:caps/>
          <w:sz w:val="24"/>
          <w:szCs w:val="24"/>
          <w:u w:val="single"/>
        </w:rPr>
        <w:t>Results</w:t>
      </w:r>
    </w:p>
    <w:p w:rsidR="00EC1660" w:rsidRPr="00877499" w:rsidRDefault="00EC1660" w:rsidP="009E2046">
      <w:pPr>
        <w:widowControl w:val="0"/>
        <w:spacing w:after="0" w:line="360" w:lineRule="auto"/>
        <w:jc w:val="both"/>
        <w:rPr>
          <w:rFonts w:ascii="Book Antiqua" w:hAnsi="Book Antiqua" w:cs="Calibri"/>
          <w:i/>
          <w:sz w:val="24"/>
          <w:szCs w:val="24"/>
        </w:rPr>
      </w:pPr>
      <w:r w:rsidRPr="00877499">
        <w:rPr>
          <w:rFonts w:ascii="Book Antiqua" w:hAnsi="Book Antiqua" w:cs="Calibri"/>
          <w:b/>
          <w:i/>
          <w:sz w:val="24"/>
          <w:szCs w:val="24"/>
        </w:rPr>
        <w:t xml:space="preserve">Patient </w:t>
      </w:r>
      <w:r w:rsidR="00203549" w:rsidRPr="00877499">
        <w:rPr>
          <w:rFonts w:ascii="Book Antiqua" w:hAnsi="Book Antiqua" w:cs="Calibri"/>
          <w:b/>
          <w:i/>
          <w:sz w:val="24"/>
          <w:szCs w:val="24"/>
        </w:rPr>
        <w:t>ch</w:t>
      </w:r>
      <w:r w:rsidRPr="00877499">
        <w:rPr>
          <w:rFonts w:ascii="Book Antiqua" w:hAnsi="Book Antiqua" w:cs="Calibri"/>
          <w:b/>
          <w:i/>
          <w:sz w:val="24"/>
          <w:szCs w:val="24"/>
        </w:rPr>
        <w:t>aracteristics</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The patient and disease characteristics of the study population are shown in Table 1. The mean</w:t>
      </w:r>
      <w:r w:rsidR="005C0A10" w:rsidRPr="00877499">
        <w:rPr>
          <w:rFonts w:ascii="Book Antiqua" w:hAnsi="Book Antiqua" w:cs="Calibri" w:hint="eastAsia"/>
          <w:sz w:val="24"/>
          <w:szCs w:val="24"/>
        </w:rPr>
        <w:t xml:space="preserve"> </w:t>
      </w:r>
      <w:r w:rsidR="005C0A10" w:rsidRPr="00877499">
        <w:rPr>
          <w:rFonts w:ascii="Book Antiqua" w:hAnsi="Book Antiqua" w:cs="Calibri"/>
          <w:sz w:val="24"/>
          <w:szCs w:val="24"/>
        </w:rPr>
        <w:t>±</w:t>
      </w:r>
      <w:r w:rsidR="005C0A10" w:rsidRPr="00877499">
        <w:rPr>
          <w:rFonts w:ascii="Book Antiqua" w:hAnsi="Book Antiqua" w:cs="Calibri" w:hint="eastAsia"/>
          <w:sz w:val="24"/>
          <w:szCs w:val="24"/>
        </w:rPr>
        <w:t xml:space="preserve"> </w:t>
      </w:r>
      <w:r w:rsidR="005C0A10" w:rsidRPr="00877499">
        <w:rPr>
          <w:rFonts w:ascii="Book Antiqua" w:hAnsi="Book Antiqua" w:cs="Calibri"/>
          <w:sz w:val="24"/>
          <w:szCs w:val="24"/>
        </w:rPr>
        <w:t>SD</w:t>
      </w:r>
      <w:r w:rsidRPr="00877499">
        <w:rPr>
          <w:rFonts w:ascii="Book Antiqua" w:hAnsi="Book Antiqua" w:cs="Calibri"/>
          <w:sz w:val="24"/>
          <w:szCs w:val="24"/>
        </w:rPr>
        <w:t xml:space="preserve"> age at MBC diagnosis was 58.1 (11.7) years. The majority of the patients were of Chinese ethnicity (64.5%). The median (</w:t>
      </w:r>
      <w:r w:rsidR="0066514B" w:rsidRPr="00877499">
        <w:rPr>
          <w:rFonts w:ascii="Book Antiqua" w:hAnsi="Book Antiqua" w:cs="Calibri"/>
          <w:sz w:val="24"/>
          <w:szCs w:val="24"/>
        </w:rPr>
        <w:t>interquartile range</w:t>
      </w:r>
      <w:r w:rsidRPr="00877499">
        <w:rPr>
          <w:rFonts w:ascii="Book Antiqua" w:hAnsi="Book Antiqua" w:cs="Calibri"/>
          <w:sz w:val="24"/>
          <w:szCs w:val="24"/>
        </w:rPr>
        <w:t>) duration of follow-up was 21.5 (27.8) mo.</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 xml:space="preserve">The majority of patients had invasive ductal carcinoma (88.2%) while other histological subtypes comprised the remaining 11.8%. Most breast cancers were histological grade 3 (70.7%). Among the 304 patients, 297 (97.7%) were de novo metastatic cancers. The most common site of metastasis was to the bone, seen in 167 (54.9%) patients. </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widowControl w:val="0"/>
        <w:spacing w:after="0" w:line="360" w:lineRule="auto"/>
        <w:jc w:val="both"/>
        <w:rPr>
          <w:rFonts w:ascii="Book Antiqua" w:hAnsi="Book Antiqua" w:cs="Calibri"/>
          <w:b/>
          <w:i/>
          <w:sz w:val="24"/>
          <w:szCs w:val="24"/>
        </w:rPr>
      </w:pPr>
      <w:r w:rsidRPr="00877499">
        <w:rPr>
          <w:rFonts w:ascii="Book Antiqua" w:hAnsi="Book Antiqua" w:cs="Calibri"/>
          <w:b/>
          <w:i/>
          <w:sz w:val="24"/>
          <w:szCs w:val="24"/>
        </w:rPr>
        <w:t xml:space="preserve">Descriptive </w:t>
      </w:r>
      <w:r w:rsidR="00C31AB3" w:rsidRPr="00877499">
        <w:rPr>
          <w:rFonts w:ascii="Book Antiqua" w:hAnsi="Book Antiqua" w:cs="Calibri"/>
          <w:b/>
          <w:i/>
          <w:sz w:val="24"/>
          <w:szCs w:val="24"/>
        </w:rPr>
        <w:t>statistics of study p</w:t>
      </w:r>
      <w:r w:rsidRPr="00877499">
        <w:rPr>
          <w:rFonts w:ascii="Book Antiqua" w:hAnsi="Book Antiqua" w:cs="Calibri"/>
          <w:b/>
          <w:i/>
          <w:sz w:val="24"/>
          <w:szCs w:val="24"/>
        </w:rPr>
        <w:t>opulation</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 xml:space="preserve">In this study population, 50 (16.4%) patients received Pertuzumab. Of these 50 patients, 31 (62.0%) patients had first-line Pertuzumab therapy. Patients who received Pertuzumab were significantly younger (54.5 years </w:t>
      </w:r>
      <w:r w:rsidR="008158F3" w:rsidRPr="00877499">
        <w:rPr>
          <w:rFonts w:ascii="Book Antiqua" w:hAnsi="Book Antiqua" w:cs="Calibri"/>
          <w:i/>
          <w:sz w:val="24"/>
          <w:szCs w:val="24"/>
        </w:rPr>
        <w:t>vs</w:t>
      </w:r>
      <w:r w:rsidRPr="00877499">
        <w:rPr>
          <w:rFonts w:ascii="Book Antiqua" w:hAnsi="Book Antiqua" w:cs="Calibri"/>
          <w:sz w:val="24"/>
          <w:szCs w:val="24"/>
        </w:rPr>
        <w:t xml:space="preserve"> 58.9 years, </w:t>
      </w:r>
      <w:r w:rsidR="008158F3" w:rsidRPr="00877499">
        <w:rPr>
          <w:rFonts w:ascii="Book Antiqua" w:hAnsi="Book Antiqua" w:cs="Calibri"/>
          <w:i/>
          <w:caps/>
          <w:sz w:val="24"/>
          <w:szCs w:val="24"/>
        </w:rPr>
        <w:t>p =</w:t>
      </w:r>
      <w:r w:rsidRPr="00877499">
        <w:rPr>
          <w:rFonts w:ascii="Book Antiqua" w:hAnsi="Book Antiqua" w:cs="Calibri"/>
          <w:sz w:val="24"/>
          <w:szCs w:val="24"/>
        </w:rPr>
        <w:t xml:space="preserve"> 0.0133). There was also a significant difference in ethnic distribution with more patients of Indian and other ethnicities in the Pertuzumab group (</w:t>
      </w:r>
      <w:r w:rsidR="008158F3" w:rsidRPr="00877499">
        <w:rPr>
          <w:rFonts w:ascii="Book Antiqua" w:hAnsi="Book Antiqua" w:cs="Calibri"/>
          <w:i/>
          <w:caps/>
          <w:sz w:val="24"/>
          <w:szCs w:val="24"/>
        </w:rPr>
        <w:t>p =</w:t>
      </w:r>
      <w:r w:rsidRPr="00877499">
        <w:rPr>
          <w:rFonts w:ascii="Book Antiqua" w:hAnsi="Book Antiqua" w:cs="Calibri"/>
          <w:sz w:val="24"/>
          <w:szCs w:val="24"/>
        </w:rPr>
        <w:t xml:space="preserve"> 0.0003). There was no significant difference between hormone receptor status, grade, histology subtype and site of metastases. </w:t>
      </w:r>
    </w:p>
    <w:p w:rsidR="00EC1660" w:rsidRPr="00877499" w:rsidRDefault="00EC1660" w:rsidP="009E2046">
      <w:pPr>
        <w:widowControl w:val="0"/>
        <w:spacing w:after="0" w:line="360" w:lineRule="auto"/>
        <w:jc w:val="both"/>
        <w:rPr>
          <w:rFonts w:ascii="Book Antiqua" w:hAnsi="Book Antiqua" w:cs="Calibri"/>
          <w:b/>
          <w:sz w:val="24"/>
          <w:szCs w:val="24"/>
        </w:rPr>
      </w:pPr>
    </w:p>
    <w:p w:rsidR="00EC1660" w:rsidRPr="00877499" w:rsidRDefault="00EC1660" w:rsidP="009E2046">
      <w:pPr>
        <w:widowControl w:val="0"/>
        <w:spacing w:after="0" w:line="360" w:lineRule="auto"/>
        <w:jc w:val="both"/>
        <w:rPr>
          <w:rFonts w:ascii="Book Antiqua" w:hAnsi="Book Antiqua" w:cs="Calibri"/>
          <w:i/>
          <w:sz w:val="24"/>
          <w:szCs w:val="24"/>
        </w:rPr>
      </w:pPr>
      <w:r w:rsidRPr="00877499">
        <w:rPr>
          <w:rFonts w:ascii="Book Antiqua" w:hAnsi="Book Antiqua" w:cs="Calibri"/>
          <w:b/>
          <w:i/>
          <w:sz w:val="24"/>
          <w:szCs w:val="24"/>
        </w:rPr>
        <w:t xml:space="preserve">Survival </w:t>
      </w:r>
      <w:r w:rsidR="00827773" w:rsidRPr="00877499">
        <w:rPr>
          <w:rFonts w:ascii="Book Antiqua" w:hAnsi="Book Antiqua" w:cs="Calibri"/>
          <w:b/>
          <w:i/>
          <w:sz w:val="24"/>
          <w:szCs w:val="24"/>
        </w:rPr>
        <w:t>a</w:t>
      </w:r>
      <w:r w:rsidRPr="00877499">
        <w:rPr>
          <w:rFonts w:ascii="Book Antiqua" w:hAnsi="Book Antiqua" w:cs="Calibri"/>
          <w:b/>
          <w:i/>
          <w:sz w:val="24"/>
          <w:szCs w:val="24"/>
        </w:rPr>
        <w:t>nalysis</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The Kaplan-Meier curve (Figure 1) showed statistically significant increase in OS among the patients who received Pertuzumab (</w:t>
      </w:r>
      <w:r w:rsidR="008158F3" w:rsidRPr="00877499">
        <w:rPr>
          <w:rFonts w:ascii="Book Antiqua" w:hAnsi="Book Antiqua" w:cs="Calibri"/>
          <w:i/>
          <w:caps/>
          <w:sz w:val="24"/>
          <w:szCs w:val="24"/>
        </w:rPr>
        <w:t>p =</w:t>
      </w:r>
      <w:r w:rsidRPr="00877499">
        <w:rPr>
          <w:rFonts w:ascii="Book Antiqua" w:hAnsi="Book Antiqua" w:cs="Calibri"/>
          <w:sz w:val="24"/>
          <w:szCs w:val="24"/>
        </w:rPr>
        <w:t xml:space="preserve"> 0.0128). The median OS of the Pertuzumab and non-Pertuzumab group were 51.5 (</w:t>
      </w:r>
      <w:r w:rsidR="008158F3" w:rsidRPr="00877499">
        <w:rPr>
          <w:rFonts w:ascii="Book Antiqua" w:hAnsi="Book Antiqua" w:cs="Calibri"/>
          <w:sz w:val="24"/>
          <w:szCs w:val="24"/>
        </w:rPr>
        <w:t>95%CI: 35.8–60.0) and 32.9 (95%</w:t>
      </w:r>
      <w:r w:rsidRPr="00877499">
        <w:rPr>
          <w:rFonts w:ascii="Book Antiqua" w:hAnsi="Book Antiqua" w:cs="Calibri"/>
          <w:sz w:val="24"/>
          <w:szCs w:val="24"/>
        </w:rPr>
        <w:t>CI</w:t>
      </w:r>
      <w:r w:rsidR="008158F3" w:rsidRPr="00877499">
        <w:rPr>
          <w:rFonts w:ascii="Book Antiqua" w:hAnsi="Book Antiqua" w:cs="Calibri" w:hint="eastAsia"/>
          <w:sz w:val="24"/>
          <w:szCs w:val="24"/>
        </w:rPr>
        <w:t>:</w:t>
      </w:r>
      <w:r w:rsidR="008158F3" w:rsidRPr="00877499">
        <w:rPr>
          <w:rFonts w:ascii="Book Antiqua" w:hAnsi="Book Antiqua" w:cs="Calibri"/>
          <w:sz w:val="24"/>
          <w:szCs w:val="24"/>
        </w:rPr>
        <w:t xml:space="preserve"> 28.1–37.5) mo</w:t>
      </w:r>
      <w:r w:rsidRPr="00877499">
        <w:rPr>
          <w:rFonts w:ascii="Book Antiqua" w:hAnsi="Book Antiqua" w:cs="Calibri"/>
          <w:sz w:val="24"/>
          <w:szCs w:val="24"/>
        </w:rPr>
        <w:t xml:space="preserve"> respectively.</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lastRenderedPageBreak/>
        <w:t xml:space="preserve">All the variables were analysed to find associated risk factors of overall survival (Table 2). Univariate regression analyses revealed that Pertuzumab usage (HR = 0.515, </w:t>
      </w:r>
      <w:r w:rsidR="00827773" w:rsidRPr="00877499">
        <w:rPr>
          <w:rFonts w:ascii="Book Antiqua" w:hAnsi="Book Antiqua" w:cs="Calibri"/>
          <w:sz w:val="24"/>
          <w:szCs w:val="24"/>
        </w:rPr>
        <w:t>95%CI:</w:t>
      </w:r>
      <w:r w:rsidR="00454C0F" w:rsidRPr="00877499">
        <w:rPr>
          <w:rFonts w:ascii="Book Antiqua" w:hAnsi="Book Antiqua" w:cs="Calibri"/>
          <w:sz w:val="24"/>
          <w:szCs w:val="24"/>
        </w:rPr>
        <w:t xml:space="preserve"> 0.303–</w:t>
      </w:r>
      <w:r w:rsidRPr="00877499">
        <w:rPr>
          <w:rFonts w:ascii="Book Antiqua" w:hAnsi="Book Antiqua" w:cs="Calibri"/>
          <w:sz w:val="24"/>
          <w:szCs w:val="24"/>
        </w:rPr>
        <w:t xml:space="preserve">0.877, </w:t>
      </w:r>
      <w:r w:rsidR="008158F3" w:rsidRPr="00877499">
        <w:rPr>
          <w:rFonts w:ascii="Book Antiqua" w:hAnsi="Book Antiqua" w:cs="Calibri"/>
          <w:i/>
          <w:caps/>
          <w:sz w:val="24"/>
          <w:szCs w:val="24"/>
        </w:rPr>
        <w:t>p =</w:t>
      </w:r>
      <w:r w:rsidRPr="00877499">
        <w:rPr>
          <w:rFonts w:ascii="Book Antiqua" w:hAnsi="Book Antiqua" w:cs="Calibri"/>
          <w:sz w:val="24"/>
          <w:szCs w:val="24"/>
        </w:rPr>
        <w:t xml:space="preserve"> 0.0145) and posi</w:t>
      </w:r>
      <w:r w:rsidR="00827773" w:rsidRPr="00877499">
        <w:rPr>
          <w:rFonts w:ascii="Book Antiqua" w:hAnsi="Book Antiqua" w:cs="Calibri"/>
          <w:sz w:val="24"/>
          <w:szCs w:val="24"/>
        </w:rPr>
        <w:t>tive ER status (HR = 0.722, 95%</w:t>
      </w:r>
      <w:r w:rsidRPr="00877499">
        <w:rPr>
          <w:rFonts w:ascii="Book Antiqua" w:hAnsi="Book Antiqua" w:cs="Calibri"/>
          <w:sz w:val="24"/>
          <w:szCs w:val="24"/>
        </w:rPr>
        <w:t>CI</w:t>
      </w:r>
      <w:r w:rsidR="00827773" w:rsidRPr="00877499">
        <w:rPr>
          <w:rFonts w:ascii="Book Antiqua" w:hAnsi="Book Antiqua" w:cs="Calibri" w:hint="eastAsia"/>
          <w:sz w:val="24"/>
          <w:szCs w:val="24"/>
        </w:rPr>
        <w:t>:</w:t>
      </w:r>
      <w:r w:rsidR="00827773" w:rsidRPr="00877499">
        <w:rPr>
          <w:rFonts w:ascii="Book Antiqua" w:hAnsi="Book Antiqua" w:cs="Calibri"/>
          <w:sz w:val="24"/>
          <w:szCs w:val="24"/>
        </w:rPr>
        <w:t xml:space="preserve"> 0.531–</w:t>
      </w:r>
      <w:r w:rsidRPr="00877499">
        <w:rPr>
          <w:rFonts w:ascii="Book Antiqua" w:hAnsi="Book Antiqua" w:cs="Calibri"/>
          <w:sz w:val="24"/>
          <w:szCs w:val="24"/>
        </w:rPr>
        <w:t xml:space="preserve">0.981, </w:t>
      </w:r>
      <w:r w:rsidR="008158F3" w:rsidRPr="00877499">
        <w:rPr>
          <w:rFonts w:ascii="Book Antiqua" w:hAnsi="Book Antiqua" w:cs="Calibri"/>
          <w:i/>
          <w:caps/>
          <w:sz w:val="24"/>
          <w:szCs w:val="24"/>
        </w:rPr>
        <w:t>p =</w:t>
      </w:r>
      <w:r w:rsidRPr="00877499">
        <w:rPr>
          <w:rFonts w:ascii="Book Antiqua" w:hAnsi="Book Antiqua" w:cs="Calibri"/>
          <w:sz w:val="24"/>
          <w:szCs w:val="24"/>
        </w:rPr>
        <w:t xml:space="preserve"> 0.0374) were significantly associated with increased survival, while presence of liver (HR = 1.900, </w:t>
      </w:r>
      <w:r w:rsidR="00827773" w:rsidRPr="00877499">
        <w:rPr>
          <w:rFonts w:ascii="Book Antiqua" w:hAnsi="Book Antiqua" w:cs="Calibri"/>
          <w:sz w:val="24"/>
          <w:szCs w:val="24"/>
        </w:rPr>
        <w:t>95%CI: 1.395–</w:t>
      </w:r>
      <w:r w:rsidRPr="00877499">
        <w:rPr>
          <w:rFonts w:ascii="Book Antiqua" w:hAnsi="Book Antiqua" w:cs="Calibri"/>
          <w:sz w:val="24"/>
          <w:szCs w:val="24"/>
        </w:rPr>
        <w:t xml:space="preserve">2.590, </w:t>
      </w:r>
      <w:r w:rsidRPr="00877499">
        <w:rPr>
          <w:rFonts w:ascii="Book Antiqua" w:hAnsi="Book Antiqua" w:cs="Calibri"/>
          <w:i/>
          <w:caps/>
          <w:sz w:val="24"/>
          <w:szCs w:val="24"/>
        </w:rPr>
        <w:t>p</w:t>
      </w:r>
      <w:r w:rsidRPr="00877499">
        <w:rPr>
          <w:rFonts w:ascii="Book Antiqua" w:hAnsi="Book Antiqua" w:cs="Calibri"/>
          <w:sz w:val="24"/>
          <w:szCs w:val="24"/>
        </w:rPr>
        <w:t xml:space="preserve"> &lt; 0.0001), lung (HR = 1.393, </w:t>
      </w:r>
      <w:r w:rsidR="00827773" w:rsidRPr="00877499">
        <w:rPr>
          <w:rFonts w:ascii="Book Antiqua" w:hAnsi="Book Antiqua" w:cs="Calibri"/>
          <w:sz w:val="24"/>
          <w:szCs w:val="24"/>
        </w:rPr>
        <w:t>95%CI: 1.023–</w:t>
      </w:r>
      <w:r w:rsidRPr="00877499">
        <w:rPr>
          <w:rFonts w:ascii="Book Antiqua" w:hAnsi="Book Antiqua" w:cs="Calibri"/>
          <w:sz w:val="24"/>
          <w:szCs w:val="24"/>
        </w:rPr>
        <w:t xml:space="preserve">1.897, </w:t>
      </w:r>
      <w:r w:rsidR="008158F3" w:rsidRPr="00877499">
        <w:rPr>
          <w:rFonts w:ascii="Book Antiqua" w:hAnsi="Book Antiqua" w:cs="Calibri"/>
          <w:i/>
          <w:caps/>
          <w:sz w:val="24"/>
          <w:szCs w:val="24"/>
        </w:rPr>
        <w:t>p =</w:t>
      </w:r>
      <w:r w:rsidRPr="00877499">
        <w:rPr>
          <w:rFonts w:ascii="Book Antiqua" w:hAnsi="Book Antiqua" w:cs="Calibri"/>
          <w:sz w:val="24"/>
          <w:szCs w:val="24"/>
        </w:rPr>
        <w:t xml:space="preserve"> 0.0352), and brain metastases (HR = 2.953, </w:t>
      </w:r>
      <w:r w:rsidR="00827773" w:rsidRPr="00877499">
        <w:rPr>
          <w:rFonts w:ascii="Book Antiqua" w:hAnsi="Book Antiqua" w:cs="Calibri"/>
          <w:sz w:val="24"/>
          <w:szCs w:val="24"/>
        </w:rPr>
        <w:t>95%CI:</w:t>
      </w:r>
      <w:r w:rsidRPr="00877499">
        <w:rPr>
          <w:rFonts w:ascii="Book Antiqua" w:hAnsi="Book Antiqua" w:cs="Calibri"/>
          <w:sz w:val="24"/>
          <w:szCs w:val="24"/>
        </w:rPr>
        <w:t xml:space="preserve"> 1.844</w:t>
      </w:r>
      <w:r w:rsidR="00454C0F" w:rsidRPr="00877499">
        <w:rPr>
          <w:rFonts w:ascii="Book Antiqua" w:hAnsi="Book Antiqua" w:cs="Calibri"/>
          <w:sz w:val="24"/>
          <w:szCs w:val="24"/>
        </w:rPr>
        <w:t>–</w:t>
      </w:r>
      <w:r w:rsidRPr="00877499">
        <w:rPr>
          <w:rFonts w:ascii="Book Antiqua" w:hAnsi="Book Antiqua" w:cs="Calibri"/>
          <w:sz w:val="24"/>
          <w:szCs w:val="24"/>
        </w:rPr>
        <w:t xml:space="preserve">4.730, </w:t>
      </w:r>
      <w:r w:rsidRPr="00877499">
        <w:rPr>
          <w:rFonts w:ascii="Book Antiqua" w:hAnsi="Book Antiqua" w:cs="Calibri"/>
          <w:i/>
          <w:caps/>
          <w:sz w:val="24"/>
          <w:szCs w:val="24"/>
        </w:rPr>
        <w:t>p</w:t>
      </w:r>
      <w:r w:rsidRPr="00877499">
        <w:rPr>
          <w:rFonts w:ascii="Book Antiqua" w:hAnsi="Book Antiqua" w:cs="Calibri"/>
          <w:sz w:val="24"/>
          <w:szCs w:val="24"/>
        </w:rPr>
        <w:t xml:space="preserve"> &lt; 0.0001), were significantly associated with decreased survival. Although age and race of the subpopulations were different, they did not significantly affect survival. </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Multivariate analysis was conducted to elucidate associations between Pertuzumab use, ER and PR status, and presence of brain, lung and liver metastases. It revealed that site of metastases (brain, liver, lung, bone) and Pertuzumab usage continued to be significantly associated with survival differences, while ER and PR differen</w:t>
      </w:r>
      <w:r w:rsidR="003F63C7" w:rsidRPr="00877499">
        <w:rPr>
          <w:rFonts w:ascii="Book Antiqua" w:hAnsi="Book Antiqua" w:cs="Calibri"/>
          <w:sz w:val="24"/>
          <w:szCs w:val="24"/>
        </w:rPr>
        <w:t>ce</w:t>
      </w:r>
      <w:r w:rsidRPr="00877499">
        <w:rPr>
          <w:rFonts w:ascii="Book Antiqua" w:hAnsi="Book Antiqua" w:cs="Calibri"/>
          <w:sz w:val="24"/>
          <w:szCs w:val="24"/>
        </w:rPr>
        <w:t xml:space="preserve"> did not result in statistically different survival outcomes. </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widowControl w:val="0"/>
        <w:spacing w:after="0" w:line="360" w:lineRule="auto"/>
        <w:jc w:val="both"/>
        <w:rPr>
          <w:rFonts w:ascii="Book Antiqua" w:hAnsi="Book Antiqua" w:cs="Calibri"/>
          <w:i/>
          <w:sz w:val="24"/>
          <w:szCs w:val="24"/>
        </w:rPr>
      </w:pPr>
      <w:r w:rsidRPr="00877499">
        <w:rPr>
          <w:rFonts w:ascii="Book Antiqua" w:hAnsi="Book Antiqua" w:cs="Calibri"/>
          <w:b/>
          <w:i/>
          <w:sz w:val="24"/>
          <w:szCs w:val="24"/>
        </w:rPr>
        <w:t xml:space="preserve">Pertuzumab </w:t>
      </w:r>
      <w:r w:rsidR="00454C0F" w:rsidRPr="00877499">
        <w:rPr>
          <w:rFonts w:ascii="Book Antiqua" w:hAnsi="Book Antiqua" w:cs="Calibri"/>
          <w:b/>
          <w:i/>
          <w:sz w:val="24"/>
          <w:szCs w:val="24"/>
        </w:rPr>
        <w:t>response and side eff</w:t>
      </w:r>
      <w:r w:rsidRPr="00877499">
        <w:rPr>
          <w:rFonts w:ascii="Book Antiqua" w:hAnsi="Book Antiqua" w:cs="Calibri"/>
          <w:b/>
          <w:i/>
          <w:sz w:val="24"/>
          <w:szCs w:val="24"/>
        </w:rPr>
        <w:t>ects</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Two (4.88%) of the 41 patients who received Pertuzumab experienced grade 3 cardiotoxicity. Nine patients had unknown side effect status. Thirty-three (66.0%) patients achieved either complete or partial remission as best response to Pertuzumab therapy. Seven (14.0%) patients had unknown response status, while 5 (10%) patients had stable disease and 5 (10.0%) had progressive disease.</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widowControl w:val="0"/>
        <w:spacing w:after="0" w:line="360" w:lineRule="auto"/>
        <w:jc w:val="both"/>
        <w:rPr>
          <w:rFonts w:ascii="Book Antiqua" w:hAnsi="Book Antiqua" w:cs="Calibri"/>
          <w:b/>
          <w:i/>
          <w:sz w:val="24"/>
          <w:szCs w:val="24"/>
        </w:rPr>
      </w:pPr>
      <w:r w:rsidRPr="00877499">
        <w:rPr>
          <w:rFonts w:ascii="Book Antiqua" w:hAnsi="Book Antiqua" w:cs="Calibri"/>
          <w:b/>
          <w:i/>
          <w:sz w:val="24"/>
          <w:szCs w:val="24"/>
        </w:rPr>
        <w:t>Treatment costs</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For the study population, treatment costs of the chemotherapy were extracted in Singapore Dollars (SGD) and reviewed. The median cost on chemotherapy of the subgroup with Pertuzumab was higher at a median of</w:t>
      </w:r>
      <w:r w:rsidR="00454C0F" w:rsidRPr="00877499">
        <w:rPr>
          <w:rFonts w:ascii="Book Antiqua" w:hAnsi="Book Antiqua" w:cs="Calibri"/>
          <w:sz w:val="24"/>
          <w:szCs w:val="24"/>
        </w:rPr>
        <w:t xml:space="preserve"> SGD 130456 compared to SGD 34</w:t>
      </w:r>
      <w:r w:rsidRPr="00877499">
        <w:rPr>
          <w:rFonts w:ascii="Book Antiqua" w:hAnsi="Book Antiqua" w:cs="Calibri"/>
          <w:sz w:val="24"/>
          <w:szCs w:val="24"/>
        </w:rPr>
        <w:t>523 in the subgroup without Pertuzumab. Similarly, the median cost on all services incurred in NCCS of the subgroup with Pertuzumab wa</w:t>
      </w:r>
      <w:r w:rsidR="00454C0F" w:rsidRPr="00877499">
        <w:rPr>
          <w:rFonts w:ascii="Book Antiqua" w:hAnsi="Book Antiqua" w:cs="Calibri"/>
          <w:sz w:val="24"/>
          <w:szCs w:val="24"/>
        </w:rPr>
        <w:t>s higher at a median of SGD 170875 compared to SGD 63</w:t>
      </w:r>
      <w:r w:rsidRPr="00877499">
        <w:rPr>
          <w:rFonts w:ascii="Book Antiqua" w:hAnsi="Book Antiqua" w:cs="Calibri"/>
          <w:sz w:val="24"/>
          <w:szCs w:val="24"/>
        </w:rPr>
        <w:t xml:space="preserve">741 in the subgroup without Pertuzumab. The median percentage of total chemotherapy costs and total services spent on Pertuzumab is 50.3% and 37.3%, respectively. </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widowControl w:val="0"/>
        <w:spacing w:after="0" w:line="360" w:lineRule="auto"/>
        <w:jc w:val="both"/>
        <w:rPr>
          <w:rFonts w:ascii="Book Antiqua" w:hAnsi="Book Antiqua" w:cs="Calibri"/>
          <w:caps/>
          <w:sz w:val="24"/>
          <w:szCs w:val="24"/>
          <w:u w:val="single"/>
        </w:rPr>
      </w:pPr>
      <w:r w:rsidRPr="00877499">
        <w:rPr>
          <w:rFonts w:ascii="Book Antiqua" w:hAnsi="Book Antiqua" w:cs="Calibri"/>
          <w:b/>
          <w:caps/>
          <w:sz w:val="24"/>
          <w:szCs w:val="24"/>
          <w:u w:val="single"/>
        </w:rPr>
        <w:t>Discussion</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Current guidelines recommend the use of Pertuzumab, Trastuzumab and taxanes for the treatment of metastatic HER2 positive breast cance</w:t>
      </w:r>
      <w:r w:rsidR="00502E29" w:rsidRPr="00877499">
        <w:rPr>
          <w:rFonts w:ascii="Book Antiqua" w:hAnsi="Book Antiqua" w:cs="Calibri"/>
          <w:sz w:val="24"/>
          <w:szCs w:val="24"/>
        </w:rPr>
        <w:t>r</w:t>
      </w:r>
      <w:r w:rsidRPr="00877499">
        <w:rPr>
          <w:rFonts w:ascii="Book Antiqua" w:hAnsi="Book Antiqua" w:cs="Calibri"/>
          <w:sz w:val="24"/>
          <w:szCs w:val="24"/>
        </w:rPr>
        <w:t>. Dual HER2 blockade by adding Pertuzumab to Trastuzumab and a taxane backbone has significantly improved disease control</w:t>
      </w:r>
      <w:r w:rsidR="009F35B7" w:rsidRPr="00877499">
        <w:rPr>
          <w:rFonts w:ascii="Book Antiqua" w:hAnsi="Book Antiqua" w:cs="Calibri"/>
          <w:sz w:val="24"/>
          <w:szCs w:val="24"/>
        </w:rPr>
        <w:t>, improv</w:t>
      </w:r>
      <w:r w:rsidR="00926AF5" w:rsidRPr="00877499">
        <w:rPr>
          <w:rFonts w:ascii="Book Antiqua" w:hAnsi="Book Antiqua" w:cs="Calibri"/>
          <w:sz w:val="24"/>
          <w:szCs w:val="24"/>
        </w:rPr>
        <w:t>ed</w:t>
      </w:r>
      <w:r w:rsidR="009F35B7" w:rsidRPr="00877499">
        <w:rPr>
          <w:rFonts w:ascii="Book Antiqua" w:hAnsi="Book Antiqua" w:cs="Calibri"/>
          <w:sz w:val="24"/>
          <w:szCs w:val="24"/>
        </w:rPr>
        <w:t xml:space="preserve"> overall survival, duration to progression of disease and imp</w:t>
      </w:r>
      <w:r w:rsidR="00454C0F" w:rsidRPr="00877499">
        <w:rPr>
          <w:rFonts w:ascii="Book Antiqua" w:hAnsi="Book Antiqua" w:cs="Calibri"/>
          <w:sz w:val="24"/>
          <w:szCs w:val="24"/>
        </w:rPr>
        <w:t>roved tumor response to therapy</w:t>
      </w:r>
      <w:r w:rsidRPr="00877499">
        <w:rPr>
          <w:rFonts w:ascii="Book Antiqua" w:hAnsi="Book Antiqua" w:cs="Calibri"/>
          <w:sz w:val="24"/>
          <w:szCs w:val="24"/>
          <w:vertAlign w:val="superscript"/>
        </w:rPr>
        <w:fldChar w:fldCharType="begin"/>
      </w:r>
      <w:r w:rsidR="00685E82" w:rsidRPr="00877499">
        <w:rPr>
          <w:rFonts w:ascii="Book Antiqua" w:hAnsi="Book Antiqua" w:cs="Calibri"/>
          <w:sz w:val="24"/>
          <w:szCs w:val="24"/>
          <w:vertAlign w:val="superscript"/>
        </w:rPr>
        <w:instrText xml:space="preserve"> ADDIN ZOTERO_ITEM CSL_CITATION {"citationID":"Gxr9FDK0","properties":{"formattedCitation":"[9]","plainCitation":"[9]","noteIndex":0},"citationItems":[{"id":159,"uris":["http://zotero.org/users/4878164/items/WEI2IJNW"],"uri":["http://zotero.org/users/4878164/items/WEI2IJNW"],"itemData":{"id":159,"type":"article-journal","title":"Taxanes for the Treatment of Metastatic Breast Cancer","container-title":"Breast Cancer : Basic and Clinical Research","page":"159-171","volume":"6","source":"PubMed Central","abstract":"Taxanes have remained a cornerstone of breast cancer treatment over the past three decades, improving the lives of patients with both early- and late-stage disease. The purpose of this review is to summarize the current role of taxanes, including an albumin-bound formulation that enhances delivery of paclitaxel to tumors, in the management of metastatic breast cancer (MBC). Since the introduction of Cremophor EL-paclitaxel to the clinic in the mid-1990s, a substantial amount of investigation has gone into subjects such as formulation, dose, schedule, and taxane resistance, allowing physicians greater flexibility in treating patients with MBC. This review will also examine how the shrinking pool of taxane-naive patients, a result of the expansion of taxanes into the neoadjuvant and adjuvant settings, will respond to taxane retreatment for metastatic disease. Taxane treatment seems likely to continue to play an important role in the treatment of MBC.","DOI":"10.4137/BCBCR.S8205","ISSN":"1178-2234","note":"PMID: 23133315\nPMCID: PMC3486789","journalAbbreviation":"Breast Cancer (Auckl)","author":[{"family":"Gradishar","given":"W.J."}],"issued":{"date-parts":[["2012",10,25]]}}}],"schema":"https://github.com/citation-style-language/schema/raw/master/csl-citation.json"} </w:instrText>
      </w:r>
      <w:r w:rsidRPr="00877499">
        <w:rPr>
          <w:rFonts w:ascii="Book Antiqua" w:hAnsi="Book Antiqua" w:cs="Calibri"/>
          <w:sz w:val="24"/>
          <w:szCs w:val="24"/>
          <w:vertAlign w:val="superscript"/>
        </w:rPr>
        <w:fldChar w:fldCharType="separate"/>
      </w:r>
      <w:r w:rsidR="00685E82" w:rsidRPr="00877499">
        <w:rPr>
          <w:rFonts w:ascii="Book Antiqua" w:hAnsi="Book Antiqua" w:cs="Calibri"/>
          <w:sz w:val="24"/>
          <w:szCs w:val="24"/>
          <w:vertAlign w:val="superscript"/>
        </w:rPr>
        <w:t>[9</w:t>
      </w:r>
      <w:r w:rsidR="00454C0F" w:rsidRPr="00877499">
        <w:rPr>
          <w:rFonts w:ascii="Book Antiqua" w:hAnsi="Book Antiqua" w:cs="Calibri" w:hint="eastAsia"/>
          <w:sz w:val="24"/>
          <w:szCs w:val="24"/>
          <w:vertAlign w:val="superscript"/>
        </w:rPr>
        <w:t>,10</w:t>
      </w:r>
      <w:r w:rsidR="00685E82" w:rsidRPr="00877499">
        <w:rPr>
          <w:rFonts w:ascii="Book Antiqua" w:hAnsi="Book Antiqua" w:cs="Calibri"/>
          <w:sz w:val="24"/>
          <w:szCs w:val="24"/>
          <w:vertAlign w:val="superscript"/>
        </w:rPr>
        <w:t>]</w:t>
      </w:r>
      <w:r w:rsidRPr="00877499">
        <w:rPr>
          <w:rFonts w:ascii="Book Antiqua" w:hAnsi="Book Antiqua" w:cs="Calibri"/>
          <w:sz w:val="24"/>
          <w:szCs w:val="24"/>
          <w:vertAlign w:val="superscript"/>
        </w:rPr>
        <w:fldChar w:fldCharType="end"/>
      </w:r>
      <w:r w:rsidRPr="00877499">
        <w:rPr>
          <w:rFonts w:ascii="Book Antiqua" w:hAnsi="Book Antiqua" w:cs="Calibri"/>
          <w:sz w:val="24"/>
          <w:szCs w:val="24"/>
        </w:rPr>
        <w:t>. Usage of Pertuzumab as first line therapy was consistent with clinical guidelines</w:t>
      </w:r>
      <w:r w:rsidR="009F35B7" w:rsidRPr="00877499">
        <w:rPr>
          <w:rFonts w:ascii="Book Antiqua" w:hAnsi="Book Antiqua" w:cs="Calibri"/>
          <w:sz w:val="24"/>
          <w:szCs w:val="24"/>
        </w:rPr>
        <w:t>, and has demonstrated reproducible safety and efficacy</w:t>
      </w:r>
      <w:r w:rsidRPr="00877499">
        <w:rPr>
          <w:rFonts w:ascii="Book Antiqua" w:hAnsi="Book Antiqua" w:cs="Calibri"/>
          <w:sz w:val="24"/>
          <w:szCs w:val="24"/>
          <w:vertAlign w:val="superscript"/>
        </w:rPr>
        <w:fldChar w:fldCharType="begin"/>
      </w:r>
      <w:r w:rsidR="00685E82" w:rsidRPr="00877499">
        <w:rPr>
          <w:rFonts w:ascii="Book Antiqua" w:hAnsi="Book Antiqua" w:cs="Calibri"/>
          <w:sz w:val="24"/>
          <w:szCs w:val="24"/>
          <w:vertAlign w:val="superscript"/>
        </w:rPr>
        <w:instrText xml:space="preserve"> ADDIN ZOTERO_ITEM CSL_CITATION {"citationID":"VFiDsRZN","properties":{"formattedCitation":"[11]","plainCitation":"[11]","noteIndex":0},"citationItems":[{"id":52,"uris":["http://zotero.org/users/4878164/items/78WEAFHI"],"uri":["http://zotero.org/users/4878164/items/78WEAFHI"],"itemData":{"id":52,"type":"article-journal","title":"Preliminary safety and efficacy of first-line pertuzumab combined with trastuzumab and taxane therapy for HER2-positive locally recurrent or metastatic breast cancer (PERUSE)","container-title":"Annals of Oncology: Official Journal of the European Society for Medical Oncology","source":"PubMed","abstract":"BACKGROUND: Pertuzumab combined with trastuzumab and docetaxel is the standard first-line therapy for HER2-positive metastatic breast cancer, based on results from the phase III CLEOPATRA trial. PERUSE was designed to assess the safety and efficacy of investigator-selected taxane with pertuzumab and trastuzumab in this setting.\nPATIENTS AND METHODS: In the ongoing multicentre single-arm phase IIIb PERUSE study, patients with inoperable HER2-positive advanced breast cancer (locally recurrent/metastatic) (LR/MBC) and no prior systemic therapy for LR/MBC (except endocrine therapy) received docetaxel, paclitaxel or nab-paclitaxel with trastuzumab (8</w:instrText>
      </w:r>
      <w:r w:rsidR="00685E82" w:rsidRPr="00877499">
        <w:rPr>
          <w:rFonts w:ascii="Times New Roman" w:hAnsi="Times New Roman"/>
          <w:sz w:val="24"/>
          <w:szCs w:val="24"/>
          <w:vertAlign w:val="superscript"/>
        </w:rPr>
        <w:instrText> </w:instrText>
      </w:r>
      <w:r w:rsidR="00685E82" w:rsidRPr="00877499">
        <w:rPr>
          <w:rFonts w:ascii="Book Antiqua" w:hAnsi="Book Antiqua" w:cs="Calibri"/>
          <w:sz w:val="24"/>
          <w:szCs w:val="24"/>
          <w:vertAlign w:val="superscript"/>
        </w:rPr>
        <w:instrText>mg/kg loading dose, then 6</w:instrText>
      </w:r>
      <w:r w:rsidR="00685E82" w:rsidRPr="00877499">
        <w:rPr>
          <w:rFonts w:ascii="Times New Roman" w:hAnsi="Times New Roman"/>
          <w:sz w:val="24"/>
          <w:szCs w:val="24"/>
          <w:vertAlign w:val="superscript"/>
        </w:rPr>
        <w:instrText> </w:instrText>
      </w:r>
      <w:r w:rsidR="00685E82" w:rsidRPr="00877499">
        <w:rPr>
          <w:rFonts w:ascii="Book Antiqua" w:hAnsi="Book Antiqua" w:cs="Calibri"/>
          <w:sz w:val="24"/>
          <w:szCs w:val="24"/>
          <w:vertAlign w:val="superscript"/>
        </w:rPr>
        <w:instrText>mg/kg every 3 weeks [q3w]) and pertuzumab (840</w:instrText>
      </w:r>
      <w:r w:rsidR="00685E82" w:rsidRPr="00877499">
        <w:rPr>
          <w:rFonts w:ascii="Times New Roman" w:hAnsi="Times New Roman"/>
          <w:sz w:val="24"/>
          <w:szCs w:val="24"/>
          <w:vertAlign w:val="superscript"/>
        </w:rPr>
        <w:instrText> </w:instrText>
      </w:r>
      <w:r w:rsidR="00685E82" w:rsidRPr="00877499">
        <w:rPr>
          <w:rFonts w:ascii="Book Antiqua" w:hAnsi="Book Antiqua" w:cs="Calibri"/>
          <w:sz w:val="24"/>
          <w:szCs w:val="24"/>
          <w:vertAlign w:val="superscript"/>
        </w:rPr>
        <w:instrText>mg loading dose, then 420</w:instrText>
      </w:r>
      <w:r w:rsidR="00685E82" w:rsidRPr="00877499">
        <w:rPr>
          <w:rFonts w:ascii="Times New Roman" w:hAnsi="Times New Roman"/>
          <w:sz w:val="24"/>
          <w:szCs w:val="24"/>
          <w:vertAlign w:val="superscript"/>
        </w:rPr>
        <w:instrText> </w:instrText>
      </w:r>
      <w:r w:rsidR="00685E82" w:rsidRPr="00877499">
        <w:rPr>
          <w:rFonts w:ascii="Book Antiqua" w:hAnsi="Book Antiqua" w:cs="Calibri"/>
          <w:sz w:val="24"/>
          <w:szCs w:val="24"/>
          <w:vertAlign w:val="superscript"/>
        </w:rPr>
        <w:instrText xml:space="preserve">mg q3w) until disease progression or unacceptable toxicity. The primary end point was safety. Secondary end points included overall response rate (ORR) and progression-free survival (PFS).\nRESULTS: Overall, 1436 patients received at least one treatment dose (initially docetaxel in 775 patients, paclitaxel in 589, nab-paclitaxel in 65; seven discontinued before starting taxane). Median age was 54 years; 29% had received prior trastuzumab. Median treatment duration was 16 months for pertuzumab and trastuzumab, and 4 months for taxane. Compared with docetaxel-containing therapy, paclitaxel-containing therapy was associated with more neuropathy (all-grade peripheral neuropathy 31% vs 16%) but less febrile neutropenia (1% vs 11%) and mucositis (14% vs 25%). At this preliminary analysis (52 months' median follow-up), median PFS was 20.6 (95% CI 18.9-22.7) months overall (19.6, 23.0 and 18.1 months with docetaxel, paclitaxel and nab-paclitaxel, respectively). ORR was 80% (95% CI 78-82%) overall (docetaxel 79%, paclitaxel 83%, nab-paclitaxel 77%).\nCONCLUSIONS: Preliminary findings from PERUSE suggest that the safety and efficacy of first-line pertuzumab, trastuzumab and taxane for HER2-positive LR/MBC are consistent with results from CLEOPATRA. Paclitaxel appears to be a valid alternative taxane backbone to docetaxel, offering similar PFS and ORR with a predictable safety profile.","DOI":"10.1093/annonc/mdz061","ISSN":"1569-8041","note":"PMID: 30796821","journalAbbreviation":"Ann. Oncol.","language":"eng","author":[{"family":"Bachelot","given":"T."},{"family":"Ciruelos","given":"E."},{"family":"Schneeweiss","given":"A."},{"family":"Puglisi","given":"F."},{"family":"Peretz-Yablonski","given":"T."},{"family":"Bondarenko","given":"I."},{"family":"Paluch-Shimon","given":"S."},{"family":"Wardley","given":"A."},{"family":"Merot","given":"J.-L."},{"family":"Toit","given":"Y.","non-dropping-particle":"du"},{"family":"Easton","given":"V."},{"family":"Lindegger","given":"N."},{"family":"Miles","given":"D."}],"issued":{"date-parts":[["2019",2,23]]}}}],"schema":"https://github.com/citation-style-language/schema/raw/master/csl-citation.json"} </w:instrText>
      </w:r>
      <w:r w:rsidRPr="00877499">
        <w:rPr>
          <w:rFonts w:ascii="Book Antiqua" w:hAnsi="Book Antiqua" w:cs="Calibri"/>
          <w:sz w:val="24"/>
          <w:szCs w:val="24"/>
          <w:vertAlign w:val="superscript"/>
        </w:rPr>
        <w:fldChar w:fldCharType="separate"/>
      </w:r>
      <w:r w:rsidR="00685E82" w:rsidRPr="00877499">
        <w:rPr>
          <w:rFonts w:ascii="Book Antiqua" w:hAnsi="Book Antiqua" w:cs="Calibri"/>
          <w:sz w:val="24"/>
          <w:szCs w:val="24"/>
          <w:vertAlign w:val="superscript"/>
        </w:rPr>
        <w:t>[11]</w:t>
      </w:r>
      <w:r w:rsidRPr="00877499">
        <w:rPr>
          <w:rFonts w:ascii="Book Antiqua" w:hAnsi="Book Antiqua" w:cs="Calibri"/>
          <w:sz w:val="24"/>
          <w:szCs w:val="24"/>
          <w:vertAlign w:val="superscript"/>
        </w:rPr>
        <w:fldChar w:fldCharType="end"/>
      </w:r>
      <w:r w:rsidRPr="00877499">
        <w:rPr>
          <w:rFonts w:ascii="Book Antiqua" w:hAnsi="Book Antiqua" w:cs="Calibri"/>
          <w:sz w:val="24"/>
          <w:szCs w:val="24"/>
        </w:rPr>
        <w:t>. To further assess real-world efficacy of adding Pertuzumab to Trastuzumab and taxanes, we compared our study population with that of the CLEOPATRA</w:t>
      </w:r>
      <w:r w:rsidRPr="00877499">
        <w:rPr>
          <w:rFonts w:ascii="Book Antiqua" w:hAnsi="Book Antiqua" w:cs="Calibri"/>
          <w:sz w:val="24"/>
          <w:szCs w:val="24"/>
          <w:vertAlign w:val="superscript"/>
        </w:rPr>
        <w:fldChar w:fldCharType="begin"/>
      </w:r>
      <w:r w:rsidR="00502E29" w:rsidRPr="00877499">
        <w:rPr>
          <w:rFonts w:ascii="Book Antiqua" w:hAnsi="Book Antiqua" w:cs="Calibri"/>
          <w:sz w:val="24"/>
          <w:szCs w:val="24"/>
          <w:vertAlign w:val="superscript"/>
        </w:rPr>
        <w:instrText xml:space="preserve"> ADDIN ZOTERO_ITEM CSL_CITATION {"citationID":"0Z5MGvzY","properties":{"formattedCitation":"[6]","plainCitation":"[6]","noteIndex":0},"citationItems":[{"id":204,"uris":["http://zotero.org/users/4878164/items/79UK333S"],"uri":["http://zotero.org/users/4878164/items/79UK333S"],"itemData":{"id":204,"type":"article-journal","title":"Pertuzumab, Trastuzumab, and Docetaxel in HER2-Positive Metastatic Breast Cancer","container-title":"New England Journal of Medicine","page":"724-734","volume":"372","issue":"8","source":"Taylor and Francis+NEJM","abstract":"The overexpression of human epidermal growth factor receptor 2 (HER2) in breast cancer results in more aggressive disease with a poor prognosis.1 The humanized anti-HER2 monoclonal antibodies pertuzumab and trastuzumab are more active in combination than alone because of more comprehensive signaling blockade.2,3 We investigated combination therapy with docetaxel for first-line treatment of HER2-positive metastatic breast cancer in the Clinical Evaluation of Pertuzumab and Trastuzumab (CLEOPATRA) trial. Analysis of the primary end point showed that patients who received pertuzumab, trastuzumab, and docetaxel (pertuzumab group) had a significantly longer median progression-free survival, as assessed by independent reviewers, than did those . . .","DOI":"10.1056/NEJMoa1413513","ISSN":"0028-4793","note":"PMID: 25693012","author":[{"family":"Swain","given":"Sandra M."},{"family":"Baselga","given":"José"},{"family":"Kim","given":"Sung-Bae"},{"family":"Ro","given":"Jungsil"},{"family":"Semiglazov","given":"Vladimir"},{"family":"Campone","given":"Mario"},{"family":"Ciruelos","given":"Eva"},{"family":"Ferrero","given":"Jean-Marc"},{"family":"Schneeweiss","given":"Andreas"},{"family":"Heeson","given":"Sarah"},{"family":"Clark","given":"Emma"},{"family":"Ross","given":"Graham"},{"family":"Benyunes","given":"Mark C."},{"family":"Cortés","given":"Javier"}],"issued":{"date-parts":[["2015",2,19]]}}}],"schema":"https://github.com/citation-style-language/schema/raw/master/csl-citation.json"} </w:instrText>
      </w:r>
      <w:r w:rsidRPr="00877499">
        <w:rPr>
          <w:rFonts w:ascii="Book Antiqua" w:hAnsi="Book Antiqua" w:cs="Calibri"/>
          <w:sz w:val="24"/>
          <w:szCs w:val="24"/>
          <w:vertAlign w:val="superscript"/>
        </w:rPr>
        <w:fldChar w:fldCharType="separate"/>
      </w:r>
      <w:r w:rsidR="00502E29" w:rsidRPr="00877499">
        <w:rPr>
          <w:rFonts w:ascii="Book Antiqua" w:hAnsi="Book Antiqua" w:cs="Calibri"/>
          <w:sz w:val="24"/>
          <w:szCs w:val="24"/>
          <w:vertAlign w:val="superscript"/>
        </w:rPr>
        <w:t>[6]</w:t>
      </w:r>
      <w:r w:rsidRPr="00877499">
        <w:rPr>
          <w:rFonts w:ascii="Book Antiqua" w:hAnsi="Book Antiqua" w:cs="Calibri"/>
          <w:sz w:val="24"/>
          <w:szCs w:val="24"/>
          <w:vertAlign w:val="superscript"/>
        </w:rPr>
        <w:fldChar w:fldCharType="end"/>
      </w:r>
      <w:r w:rsidRPr="00877499">
        <w:rPr>
          <w:rFonts w:ascii="Book Antiqua" w:hAnsi="Book Antiqua" w:cs="Calibri"/>
          <w:sz w:val="24"/>
          <w:szCs w:val="24"/>
        </w:rPr>
        <w:t xml:space="preserve"> study</w:t>
      </w:r>
      <w:r w:rsidR="00B80205" w:rsidRPr="00877499">
        <w:rPr>
          <w:rFonts w:ascii="Book Antiqua" w:hAnsi="Book Antiqua" w:cs="Calibri"/>
          <w:sz w:val="24"/>
          <w:szCs w:val="24"/>
        </w:rPr>
        <w:t xml:space="preserve"> </w:t>
      </w:r>
      <w:r w:rsidRPr="00877499">
        <w:rPr>
          <w:rFonts w:ascii="Book Antiqua" w:hAnsi="Book Antiqua" w:cs="Calibri"/>
          <w:sz w:val="24"/>
          <w:szCs w:val="24"/>
        </w:rPr>
        <w:t xml:space="preserve">in terms of clinical efficacy, side effects and cost effectiveness. </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widowControl w:val="0"/>
        <w:spacing w:after="0" w:line="360" w:lineRule="auto"/>
        <w:jc w:val="both"/>
        <w:rPr>
          <w:rFonts w:ascii="Book Antiqua" w:hAnsi="Book Antiqua" w:cs="Calibri"/>
          <w:b/>
          <w:i/>
          <w:sz w:val="24"/>
          <w:szCs w:val="24"/>
        </w:rPr>
      </w:pPr>
      <w:r w:rsidRPr="00877499">
        <w:rPr>
          <w:rFonts w:ascii="Book Antiqua" w:hAnsi="Book Antiqua" w:cs="Calibri"/>
          <w:b/>
          <w:i/>
          <w:sz w:val="24"/>
          <w:szCs w:val="24"/>
        </w:rPr>
        <w:t>Comparison with CLEOPATRA trial</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Clinical characteristics of this study was compared to the CLEOPATRA trial. The mean age of diagnoses was 58.1 for our study compared to 54 in the CLEOPATRA study. 55.3% of this study has ER and/or PR positive disease compared to 48.0% in the CLEOPATRA study. 68.4% of this study has visceral metastases compared to 78.0% in the CLEOPATRA study.</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 xml:space="preserve">Notably, 96.4% of our study population were of Asian ethnicity compared with 32% in the CLEOPATRA study. Despite having a slightly inferior overall survival than the CLEOPATRA trial, we are able to conclude that Pertuzumab does significantly prolong overall survival in study with a predominantly Asian population. The cross-study comparison of complete or partial response was also remarkably similar (66% in our study </w:t>
      </w:r>
      <w:r w:rsidRPr="00877499">
        <w:rPr>
          <w:rFonts w:ascii="Book Antiqua" w:hAnsi="Book Antiqua" w:cs="Calibri"/>
          <w:i/>
          <w:sz w:val="24"/>
          <w:szCs w:val="24"/>
        </w:rPr>
        <w:t>vs</w:t>
      </w:r>
      <w:r w:rsidRPr="00877499">
        <w:rPr>
          <w:rFonts w:ascii="Book Antiqua" w:hAnsi="Book Antiqua" w:cs="Calibri"/>
          <w:sz w:val="24"/>
          <w:szCs w:val="24"/>
        </w:rPr>
        <w:t xml:space="preserve"> 68.4% in CLEOPATRA).</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The slight difference in overall survival could be explained by medical comorbidities of the different studies, difference in age, and also follow up duration. In addition, the CLEOPATRA study had a longer median follow-up duration of 50 mo compared to 21.5 mo in this study, and a younger population age of 54 compared to 58.1 in this study.</w:t>
      </w:r>
    </w:p>
    <w:p w:rsidR="00EC1660" w:rsidRPr="00877499" w:rsidRDefault="00EC1660" w:rsidP="009E2046">
      <w:pPr>
        <w:widowControl w:val="0"/>
        <w:spacing w:after="0" w:line="360" w:lineRule="auto"/>
        <w:jc w:val="both"/>
        <w:rPr>
          <w:rFonts w:ascii="Book Antiqua" w:hAnsi="Book Antiqua" w:cs="Calibri"/>
          <w:b/>
          <w:sz w:val="24"/>
          <w:szCs w:val="24"/>
        </w:rPr>
      </w:pPr>
    </w:p>
    <w:p w:rsidR="00EC1660" w:rsidRPr="00877499" w:rsidRDefault="00EC1660" w:rsidP="009E2046">
      <w:pPr>
        <w:widowControl w:val="0"/>
        <w:spacing w:after="0" w:line="360" w:lineRule="auto"/>
        <w:jc w:val="both"/>
        <w:rPr>
          <w:rFonts w:ascii="Book Antiqua" w:hAnsi="Book Antiqua" w:cs="Calibri"/>
          <w:b/>
          <w:i/>
          <w:sz w:val="24"/>
          <w:szCs w:val="24"/>
        </w:rPr>
      </w:pPr>
      <w:r w:rsidRPr="00877499">
        <w:rPr>
          <w:rFonts w:ascii="Book Antiqua" w:hAnsi="Book Antiqua" w:cs="Calibri"/>
          <w:b/>
          <w:i/>
          <w:sz w:val="24"/>
          <w:szCs w:val="24"/>
        </w:rPr>
        <w:lastRenderedPageBreak/>
        <w:t>Prognostic factors</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Consistent with previous studies, presence of visceral metastases (brain, liver and lung) had the strongest association with poorer prognosis</w:t>
      </w:r>
      <w:r w:rsidR="00454C0F" w:rsidRPr="00877499">
        <w:rPr>
          <w:rFonts w:ascii="Book Antiqua" w:hAnsi="Book Antiqua" w:cs="Calibri"/>
          <w:sz w:val="24"/>
          <w:szCs w:val="24"/>
          <w:vertAlign w:val="superscript"/>
        </w:rPr>
        <w:fldChar w:fldCharType="begin"/>
      </w:r>
      <w:r w:rsidR="00454C0F" w:rsidRPr="00877499">
        <w:rPr>
          <w:rFonts w:ascii="Book Antiqua" w:hAnsi="Book Antiqua" w:cs="Calibri"/>
          <w:sz w:val="24"/>
          <w:szCs w:val="24"/>
          <w:vertAlign w:val="superscript"/>
        </w:rPr>
        <w:instrText xml:space="preserve"> ADDIN ZOTERO_ITEM CSL_CITATION {"citationID":"DAZyl1M4","properties":{"formattedCitation":"[12]","plainCitation":"[12]","noteIndex":0},"citationItems":[{"id":65,"uris":["http://zotero.org/users/4878164/items/F3DMIIZ5"],"uri":["http://zotero.org/users/4878164/items/F3DMIIZ5"],"itemData":{"id":65,"type":"article-journal","title":"Comparison of patterns and prognosis among distant metastatic breast cancer patients by age groups: a SEER population-based analysis","container-title":"Scientific Reports","volume":"7","source":"PubMed Central","abstract":"To investigate the effects of age at diagnosis on metastatic breast cancer and patients’ prognosis, we collected patient data from the Surveillance, Epidemiology, and End Results (SEER) database. We finally identified 4932 eligible metastatic breast cancer patients diagnosed between 2010–2013, including 850 younger patients (&lt;50 years), 2,540 middle-aged patients (50–69 years) and 1,542 elder patients (&gt;69 years). The results revealed that in stage IV patients, elder patients were more likely to have lung metastasis (P</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&lt;</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0.001) and less likely to have only distant lymphatic spread (P</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0.004). Higher proportion of younger (34.9%) and middle-aged (36.2%) patients had multiple metastatic sites than elder patients (28.3%) (P</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&lt;</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0.001). In survival analysis, younger patients presented the best prognosis, while elder patients had the worst both in overall survival (χ2</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121.9, P</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&lt;</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0.001) and breast cancer-specific survival (χ2</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69.8, P</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&lt;</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0.001). Age at diagnosis was an independent prognostic factor for metastatic breast cancer patients. Moreover, patients with bone metastasis only had superior survival compared to other metastatic patients (P</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&lt;</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0.001). Brain metastasis only group and multiple sites metastasis group had the poorest prognosis (P</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&lt;</w:instrText>
      </w:r>
      <w:r w:rsidR="00454C0F" w:rsidRPr="00877499">
        <w:rPr>
          <w:rFonts w:ascii="Times New Roman" w:hAnsi="Times New Roman"/>
          <w:sz w:val="24"/>
          <w:szCs w:val="24"/>
          <w:vertAlign w:val="superscript"/>
        </w:rPr>
        <w:instrText> </w:instrText>
      </w:r>
      <w:r w:rsidR="00454C0F" w:rsidRPr="00877499">
        <w:rPr>
          <w:rFonts w:ascii="Book Antiqua" w:hAnsi="Book Antiqua" w:cs="Calibri"/>
          <w:sz w:val="24"/>
          <w:szCs w:val="24"/>
          <w:vertAlign w:val="superscript"/>
        </w:rPr>
        <w:instrText xml:space="preserve">0.05). We hope the results will provide insights into a better understanding of distant metastatic breast cancer.","URL":"https://www.ncbi.nlm.nih.gov/pmc/articles/PMC5569011/","DOI":"10.1038/s41598-017-10166-8","ISSN":"2045-2322","note":"PMID: 28835702\nPMCID: PMC5569011","title-short":"Comparison of patterns and prognosis among distant metastatic breast cancer patients by age groups","journalAbbreviation":"Sci Rep","author":[{"family":"Chen","given":"Meng-Ting"},{"family":"Sun","given":"He-Fen"},{"family":"Zhao","given":"Yang"},{"family":"Fu","given":"Wen-Yan"},{"family":"Yang","given":"Li-Peng"},{"family":"Gao","given":"Shui-Ping"},{"family":"Li","given":"Liang-Dong"},{"family":"Jiang","given":"Hong-lin"},{"family":"Jin","given":"Wei"}],"issued":{"date-parts":[["2017",8,23]]},"accessed":{"date-parts":[["2019",3,11]]}}}],"schema":"https://github.com/citation-style-language/schema/raw/master/csl-citation.json"} </w:instrText>
      </w:r>
      <w:r w:rsidR="00454C0F" w:rsidRPr="00877499">
        <w:rPr>
          <w:rFonts w:ascii="Book Antiqua" w:hAnsi="Book Antiqua" w:cs="Calibri"/>
          <w:sz w:val="24"/>
          <w:szCs w:val="24"/>
          <w:vertAlign w:val="superscript"/>
        </w:rPr>
        <w:fldChar w:fldCharType="separate"/>
      </w:r>
      <w:r w:rsidR="00454C0F" w:rsidRPr="00877499">
        <w:rPr>
          <w:rFonts w:ascii="Book Antiqua" w:hAnsi="Book Antiqua" w:cs="Calibri"/>
          <w:sz w:val="24"/>
          <w:szCs w:val="24"/>
          <w:vertAlign w:val="superscript"/>
        </w:rPr>
        <w:t>[12]</w:t>
      </w:r>
      <w:r w:rsidR="00454C0F" w:rsidRPr="00877499">
        <w:rPr>
          <w:rFonts w:ascii="Book Antiqua" w:hAnsi="Book Antiqua" w:cs="Calibri"/>
          <w:sz w:val="24"/>
          <w:szCs w:val="24"/>
          <w:vertAlign w:val="superscript"/>
        </w:rPr>
        <w:fldChar w:fldCharType="end"/>
      </w:r>
      <w:r w:rsidRPr="00877499">
        <w:rPr>
          <w:rFonts w:ascii="Book Antiqua" w:hAnsi="Book Antiqua" w:cs="Calibri"/>
          <w:sz w:val="24"/>
          <w:szCs w:val="24"/>
        </w:rPr>
        <w:t>. Although ER and PR positivity have been reported to be associated with a better prognosis</w:t>
      </w:r>
      <w:r w:rsidRPr="00877499">
        <w:rPr>
          <w:rFonts w:ascii="Book Antiqua" w:hAnsi="Book Antiqua" w:cs="Calibri"/>
          <w:sz w:val="24"/>
          <w:szCs w:val="24"/>
          <w:vertAlign w:val="superscript"/>
        </w:rPr>
        <w:fldChar w:fldCharType="begin"/>
      </w:r>
      <w:r w:rsidR="00685E82" w:rsidRPr="00877499">
        <w:rPr>
          <w:rFonts w:ascii="Book Antiqua" w:hAnsi="Book Antiqua" w:cs="Calibri"/>
          <w:sz w:val="24"/>
          <w:szCs w:val="24"/>
          <w:vertAlign w:val="superscript"/>
        </w:rPr>
        <w:instrText xml:space="preserve"> ADDIN ZOTERO_ITEM CSL_CITATION {"citationID":"SmymU2Ph","properties":{"formattedCitation":"[13]","plainCitation":"[13]","noteIndex":0},"citationItems":[{"id":62,"uris":["http://zotero.org/users/4878164/items/I3FG55YH"],"uri":["http://zotero.org/users/4878164/items/I3FG55YH"],"itemData":{"id":62,"type":"article-journal","title":"Hormone receptor status, tumor characteristics, and prognosis: a prospective cohort of breast cancer patients","container-title":"Breast Cancer Research","page":"R6","volume":"9","issue":"1","source":"BioMed Central","abstract":"Breast cancer patients with tumors that are estrogen receptor (ER)-positive and/or progesterone receptor (PR)-positive have lower risks of mortality after their diagnosis compared to women with ER- and/or PR-negative disease. However, few studies have evaluated variations in the risks of breast cancer-specific mortality across ER/PR status by either demographic or clinical characteristics.","DOI":"10.1186/bcr1639","ISSN":"1465-542X","title-short":"Hormone receptor status, tumor characteristics, and prognosis","journalAbbreviation":"Breast Cancer Research","author":[{"family":"Dunnwald","given":"Lisa K."},{"family":"Rossing","given":"Mary Anne"},{"family":"Li","given":"Christopher I."}],"issued":{"date-parts":[["2007",1,19]]}}}],"schema":"https://github.com/citation-style-language/schema/raw/master/csl-citation.json"} </w:instrText>
      </w:r>
      <w:r w:rsidRPr="00877499">
        <w:rPr>
          <w:rFonts w:ascii="Book Antiqua" w:hAnsi="Book Antiqua" w:cs="Calibri"/>
          <w:sz w:val="24"/>
          <w:szCs w:val="24"/>
          <w:vertAlign w:val="superscript"/>
        </w:rPr>
        <w:fldChar w:fldCharType="separate"/>
      </w:r>
      <w:r w:rsidR="00685E82" w:rsidRPr="00877499">
        <w:rPr>
          <w:rFonts w:ascii="Book Antiqua" w:hAnsi="Book Antiqua" w:cs="Calibri"/>
          <w:sz w:val="24"/>
          <w:szCs w:val="24"/>
          <w:vertAlign w:val="superscript"/>
        </w:rPr>
        <w:t>[13]</w:t>
      </w:r>
      <w:r w:rsidRPr="00877499">
        <w:rPr>
          <w:rFonts w:ascii="Book Antiqua" w:hAnsi="Book Antiqua" w:cs="Calibri"/>
          <w:sz w:val="24"/>
          <w:szCs w:val="24"/>
          <w:vertAlign w:val="superscript"/>
        </w:rPr>
        <w:fldChar w:fldCharType="end"/>
      </w:r>
      <w:r w:rsidR="00454C0F" w:rsidRPr="00877499">
        <w:rPr>
          <w:rFonts w:ascii="Book Antiqua" w:hAnsi="Book Antiqua" w:cs="Calibri" w:hint="eastAsia"/>
          <w:sz w:val="24"/>
          <w:szCs w:val="24"/>
          <w:vertAlign w:val="superscript"/>
        </w:rPr>
        <w:t xml:space="preserve"> </w:t>
      </w:r>
      <w:r w:rsidRPr="00877499">
        <w:rPr>
          <w:rFonts w:ascii="Book Antiqua" w:hAnsi="Book Antiqua" w:cs="Calibri"/>
          <w:sz w:val="24"/>
          <w:szCs w:val="24"/>
        </w:rPr>
        <w:t>and higher histologic grade is a poor prognostic factor</w:t>
      </w:r>
      <w:r w:rsidRPr="00877499">
        <w:rPr>
          <w:rFonts w:ascii="Book Antiqua" w:hAnsi="Book Antiqua" w:cs="Calibri"/>
          <w:sz w:val="24"/>
          <w:szCs w:val="24"/>
          <w:vertAlign w:val="superscript"/>
        </w:rPr>
        <w:fldChar w:fldCharType="begin"/>
      </w:r>
      <w:r w:rsidR="00685E82" w:rsidRPr="00877499">
        <w:rPr>
          <w:rFonts w:ascii="Book Antiqua" w:hAnsi="Book Antiqua" w:cs="Calibri"/>
          <w:sz w:val="24"/>
          <w:szCs w:val="24"/>
          <w:vertAlign w:val="superscript"/>
        </w:rPr>
        <w:instrText xml:space="preserve"> ADDIN ZOTERO_ITEM CSL_CITATION {"citationID":"hk36lSBw","properties":{"formattedCitation":"[14]","plainCitation":"[14]","noteIndex":0},"citationItems":[{"id":61,"uris":["http://zotero.org/users/4878164/items/EK7L8BVF"],"uri":["http://zotero.org/users/4878164/items/EK7L8BVF"],"itemData":{"id":61,"type":"article-journal","title":"Prognostic Significance of Nottingham Histologic Grade in Invasive Breast Carcinoma","container-title":"Journal of Clinical Oncology","page":"3153-3158","volume":"26","issue":"19","source":"ascopubs.org (Atypon)","abstract":"Purpose The three strongest prognostic determinants in operable breast cancer used in routine clinical practice are lymph node (LN) stage, primary tumor size, and histologic grade. However, grade is not included in the recent revision of the TNM staging system of breast cancer as its value is questioned in certain settings.   Materials and Methods This study is based on a large and well-characterized consecutive series of operable breast cancer (2,219 cases), treated according to standard protocols in a single institution, with a long-term follow-up (median, 111 months) to assess the prognostic value of routine assessment of histologic grade using Nottingham histologic grading system.   Results Histologic grade is strongly associated with both breast cancer–specific survival (BCSS) and disease-free survival (DFS) in the whole series as well as in different subgroups based on tumor size (pT1a, pT1b, pT1c, and pT2) and LN stages (pN0 and pN1 and pN2). Differences in survival were also noted between different individual grades (1, 2, and 3). Multivariate analyses showed that histologic grade is an independent predictor of both BCSS and DFS in operable breast cancer as a whole as well as in all studied subgroups.   Conclusion Histologic grade, as assessed by the Nottingham grading system, provides a strong predictor of outcome in patients with invasive breast cancer and should be incorporated in breast cancer staging systems.","DOI":"10.1200/JCO.2007.15.5986","ISSN":"0732-183X","journalAbbreviation":"JCO","author":[{"family":"Rakha","given":"Emad A."},{"family":"El-Sayed","given":"Maysa E."},{"family":"Lee","given":"Andrew H.S."},{"family":"Elston","given":"Christopher W."},{"family":"Grainge","given":"Matthew J."},{"family":"Hodi","given":"Zsolt"},{"family":"Blamey","given":"Roger W."},{"family":"Ellis","given":"Ian O."}],"issued":{"date-parts":[["2008",7,1]]}}}],"schema":"https://github.com/citation-style-language/schema/raw/master/csl-citation.json"} </w:instrText>
      </w:r>
      <w:r w:rsidRPr="00877499">
        <w:rPr>
          <w:rFonts w:ascii="Book Antiqua" w:hAnsi="Book Antiqua" w:cs="Calibri"/>
          <w:sz w:val="24"/>
          <w:szCs w:val="24"/>
          <w:vertAlign w:val="superscript"/>
        </w:rPr>
        <w:fldChar w:fldCharType="separate"/>
      </w:r>
      <w:r w:rsidR="00685E82" w:rsidRPr="00877499">
        <w:rPr>
          <w:rFonts w:ascii="Book Antiqua" w:hAnsi="Book Antiqua" w:cs="Calibri"/>
          <w:sz w:val="24"/>
          <w:szCs w:val="24"/>
          <w:vertAlign w:val="superscript"/>
        </w:rPr>
        <w:t>[14]</w:t>
      </w:r>
      <w:r w:rsidRPr="00877499">
        <w:rPr>
          <w:rFonts w:ascii="Book Antiqua" w:hAnsi="Book Antiqua" w:cs="Calibri"/>
          <w:sz w:val="24"/>
          <w:szCs w:val="24"/>
          <w:vertAlign w:val="superscript"/>
        </w:rPr>
        <w:fldChar w:fldCharType="end"/>
      </w:r>
      <w:r w:rsidRPr="00877499">
        <w:rPr>
          <w:rFonts w:ascii="Book Antiqua" w:hAnsi="Book Antiqua" w:cs="Calibri"/>
          <w:sz w:val="24"/>
          <w:szCs w:val="24"/>
        </w:rPr>
        <w:t>, our univariate and multivariate analyses only demonstrated statistically insignificant trends. This could be attributed to insufficient power of our sample size as well as the possibility that HER2 positivity may contribute significantly more to the prognosis of this subpopulation of breast cancer patients as opposed to the aforementioned factors.</w:t>
      </w:r>
    </w:p>
    <w:p w:rsidR="00EC1660" w:rsidRPr="00877499" w:rsidRDefault="00EC1660" w:rsidP="009E2046">
      <w:pPr>
        <w:widowControl w:val="0"/>
        <w:spacing w:after="0" w:line="360" w:lineRule="auto"/>
        <w:jc w:val="both"/>
        <w:rPr>
          <w:rFonts w:ascii="Book Antiqua" w:hAnsi="Book Antiqua" w:cs="Calibri"/>
          <w:b/>
          <w:sz w:val="24"/>
          <w:szCs w:val="24"/>
        </w:rPr>
      </w:pPr>
    </w:p>
    <w:p w:rsidR="00EC1660" w:rsidRPr="00877499" w:rsidRDefault="00EC1660" w:rsidP="009E2046">
      <w:pPr>
        <w:widowControl w:val="0"/>
        <w:spacing w:after="0" w:line="360" w:lineRule="auto"/>
        <w:jc w:val="both"/>
        <w:rPr>
          <w:rFonts w:ascii="Book Antiqua" w:hAnsi="Book Antiqua" w:cs="Calibri"/>
          <w:b/>
          <w:i/>
          <w:sz w:val="24"/>
          <w:szCs w:val="24"/>
        </w:rPr>
      </w:pPr>
      <w:r w:rsidRPr="00877499">
        <w:rPr>
          <w:rFonts w:ascii="Book Antiqua" w:hAnsi="Book Antiqua" w:cs="Calibri"/>
          <w:b/>
          <w:i/>
          <w:sz w:val="24"/>
          <w:szCs w:val="24"/>
        </w:rPr>
        <w:t xml:space="preserve">Serious </w:t>
      </w:r>
      <w:r w:rsidR="00454C0F" w:rsidRPr="00877499">
        <w:rPr>
          <w:rFonts w:ascii="Book Antiqua" w:hAnsi="Book Antiqua" w:cs="Calibri"/>
          <w:b/>
          <w:i/>
          <w:sz w:val="24"/>
          <w:szCs w:val="24"/>
        </w:rPr>
        <w:t>adverse eff</w:t>
      </w:r>
      <w:r w:rsidRPr="00877499">
        <w:rPr>
          <w:rFonts w:ascii="Book Antiqua" w:hAnsi="Book Antiqua" w:cs="Calibri"/>
          <w:b/>
          <w:i/>
          <w:sz w:val="24"/>
          <w:szCs w:val="24"/>
        </w:rPr>
        <w:t xml:space="preserve">ects of </w:t>
      </w:r>
      <w:r w:rsidR="00454C0F" w:rsidRPr="00877499">
        <w:rPr>
          <w:rFonts w:ascii="Book Antiqua" w:hAnsi="Book Antiqua" w:cs="Calibri"/>
          <w:b/>
          <w:i/>
          <w:sz w:val="24"/>
          <w:szCs w:val="24"/>
        </w:rPr>
        <w:t>d</w:t>
      </w:r>
      <w:r w:rsidRPr="00877499">
        <w:rPr>
          <w:rFonts w:ascii="Book Antiqua" w:hAnsi="Book Antiqua" w:cs="Calibri"/>
          <w:b/>
          <w:i/>
          <w:sz w:val="24"/>
          <w:szCs w:val="24"/>
        </w:rPr>
        <w:t>ual HER2 therapy</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One major adverse effect of HER2 therapy is cardiotoxicity. Studies on Pertuzumab have shown cardiotoxicities to be mainly asymptomatic left ventricular systolic dysfunction or symptomatic heart failure</w:t>
      </w:r>
      <w:r w:rsidRPr="00877499">
        <w:rPr>
          <w:rFonts w:ascii="Book Antiqua" w:hAnsi="Book Antiqua" w:cs="Calibri"/>
          <w:sz w:val="24"/>
          <w:szCs w:val="24"/>
          <w:vertAlign w:val="superscript"/>
        </w:rPr>
        <w:fldChar w:fldCharType="begin"/>
      </w:r>
      <w:r w:rsidR="00731E07" w:rsidRPr="00877499">
        <w:rPr>
          <w:rFonts w:ascii="Book Antiqua" w:hAnsi="Book Antiqua" w:cs="Calibri"/>
          <w:sz w:val="24"/>
          <w:szCs w:val="24"/>
          <w:vertAlign w:val="superscript"/>
        </w:rPr>
        <w:instrText xml:space="preserve"> ADDIN ZOTERO_ITEM CSL_CITATION {"citationID":"BpVWH3N8","properties":{"formattedCitation":"[15]","plainCitation":"[15]","noteIndex":0},"citationItems":[{"id":197,"uris":["http://zotero.org/users/4878164/items/WURA2QIW"],"uri":["http://zotero.org/users/4878164/items/WURA2QIW"],"itemData":{"id":197,"type":"article-journal","title":"Pooled analysis of cardiac safety in patients with cancer treated with pertuzumab","container-title":"Annals of Oncology","page":"791-800","volume":"23","issue":"3","source":"academic-oup-com.libproxy1.nus.edu.sg","abstract":"AbstractBackground:.  Pertuzumab, a human epidermal growth factor receptor (HER) 2 dimerization inhibitor, has demonstrated promising efficacy in combination wi","DOI":"10.1093/annonc/mdr294","ISSN":"0923-7534","journalAbbreviation":"Ann Oncol","language":"en","author":[{"family":"Lenihan","given":"D."},{"family":"Suter","given":"T."},{"family":"Brammer","given":"M."},{"family":"Neate","given":"C."},{"family":"Ross","given":"G."},{"family":"Baselga","given":"J."}],"issued":{"date-parts":[["2012",3,1]]}}}],"schema":"https://github.com/citation-style-language/schema/raw/master/csl-citation.json"} </w:instrText>
      </w:r>
      <w:r w:rsidRPr="00877499">
        <w:rPr>
          <w:rFonts w:ascii="Book Antiqua" w:hAnsi="Book Antiqua" w:cs="Calibri"/>
          <w:sz w:val="24"/>
          <w:szCs w:val="24"/>
          <w:vertAlign w:val="superscript"/>
        </w:rPr>
        <w:fldChar w:fldCharType="separate"/>
      </w:r>
      <w:r w:rsidR="00731E07" w:rsidRPr="00877499">
        <w:rPr>
          <w:rFonts w:ascii="Book Antiqua" w:hAnsi="Book Antiqua" w:cs="Calibri"/>
          <w:sz w:val="24"/>
          <w:szCs w:val="24"/>
          <w:vertAlign w:val="superscript"/>
        </w:rPr>
        <w:t>[15]</w:t>
      </w:r>
      <w:r w:rsidRPr="00877499">
        <w:rPr>
          <w:rFonts w:ascii="Book Antiqua" w:hAnsi="Book Antiqua" w:cs="Calibri"/>
          <w:sz w:val="24"/>
          <w:szCs w:val="24"/>
          <w:vertAlign w:val="superscript"/>
        </w:rPr>
        <w:fldChar w:fldCharType="end"/>
      </w:r>
      <w:r w:rsidRPr="00877499">
        <w:rPr>
          <w:rFonts w:ascii="Book Antiqua" w:hAnsi="Book Antiqua" w:cs="Calibri"/>
          <w:sz w:val="24"/>
          <w:szCs w:val="24"/>
        </w:rPr>
        <w:t xml:space="preserve">. </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In our study population, 4.88% of patients who had undergone Pertuzumab treatment experienced significant cardiotoxic side effects. These findings in the real-world setting corroborate with rates in</w:t>
      </w:r>
      <w:r w:rsidR="00B80205" w:rsidRPr="00877499">
        <w:rPr>
          <w:rFonts w:ascii="Book Antiqua" w:hAnsi="Book Antiqua" w:cs="Calibri"/>
          <w:sz w:val="24"/>
          <w:szCs w:val="24"/>
        </w:rPr>
        <w:t xml:space="preserve"> </w:t>
      </w:r>
      <w:r w:rsidRPr="00877499">
        <w:rPr>
          <w:rFonts w:ascii="Book Antiqua" w:hAnsi="Book Antiqua" w:cs="Calibri"/>
          <w:sz w:val="24"/>
          <w:szCs w:val="24"/>
        </w:rPr>
        <w:t>the CLEOPATRA trial and the JACOB</w:t>
      </w:r>
      <w:r w:rsidRPr="00877499">
        <w:rPr>
          <w:rFonts w:ascii="Book Antiqua" w:hAnsi="Book Antiqua" w:cs="Calibri"/>
          <w:sz w:val="24"/>
          <w:szCs w:val="24"/>
          <w:vertAlign w:val="superscript"/>
        </w:rPr>
        <w:fldChar w:fldCharType="begin"/>
      </w:r>
      <w:r w:rsidR="00731E07" w:rsidRPr="00877499">
        <w:rPr>
          <w:rFonts w:ascii="Book Antiqua" w:hAnsi="Book Antiqua" w:cs="Calibri"/>
          <w:sz w:val="24"/>
          <w:szCs w:val="24"/>
          <w:vertAlign w:val="superscript"/>
        </w:rPr>
        <w:instrText xml:space="preserve"> ADDIN ZOTERO_ITEM CSL_CITATION {"citationID":"MYhbU25O","properties":{"formattedCitation":"[16]","plainCitation":"[16]","noteIndex":0},"citationItems":[{"id":64,"uris":["http://zotero.org/users/4878164/items/ULGX9GBG"],"uri":["http://zotero.org/users/4878164/items/ULGX9GBG"],"itemData":{"id":64,"type":"article-journal","title":"Pertuzumab plus trastuzumab and chemotherapy for HER2-positive metastatic gastric or gastro-oesophageal junction cancer (JACOB): final analysis of a double-blind, randomised, placebo-controlled phase 3 study","container-title":"The Lancet Oncology","page":"1372-1384","volume":"19","issue":"10","source":"www-thelancet-com.libproxy1.nus.edu.sg","abstract":"&lt;h2&gt;Summary&lt;/h2&gt;&lt;h3&gt;Background&lt;/h3&gt;&lt;p&gt;Adding pertuzumab to trastuzumab and chemotherapy improves survival in HER2-positive early breast cancer and metastatic breast cancer. We assessed the efficacy and safety of pertuzumab versus placebo in combination with trastuzumab and chemotherapy in first-line HER2-positive metastatic gastric or gastro-oesophageal junction cancer.&lt;/p&gt;&lt;h3&gt;Methods&lt;/h3&gt;&lt;p&gt;JACOB was a double-blind, placebo-controlled, randomised, multicentre, phase 3 trial in patients aged 18 years or older with HER2-positive metastatic gastric or gastro-oesophageal junction cancer. Eligible patients had measurable or evaluable non-measurable disease at baseline, Eastern Cooperative Oncology Group performance status of 0 or 1, and baseline left ventricular ejection fraction of 55% or more. Patients at 197 oncology clinics (in 30 countries) were randomly assigned (1:1) to receive either pertuzumab (840 mg intravenously) or placebo every 3 weeks, with trastuzumab (8 mg/kg loading dose, then 6 mg/kg every 3 weeks intravenously), plus chemotherapy (cisplatin 80 mg/m&lt;sup&gt;2&lt;/sup&gt; every 3 weeks intravenously, oral capecitabine 1000 mg/m&lt;sup&gt;2&lt;/sup&gt; twice a day [2000 mg/m&lt;sup&gt;2&lt;/sup&gt; every 24 h] for 28 doses every 3 weeks, or 5-fluorouracil 800 mg/m&lt;sup&gt;2&lt;/sup&gt; every 24 h intravenously [120 h continuous infusion] every 3 weeks). Randomisation was by a central permuted block randomisation scheme (block size of 4) with an interactive voice or web response system, stratified by geographical region, previous gastrectomy, and HER2 positivity. The primary endpoint was overall survival in the intention-to-treat population. This trial is registered with Clinicaltrials.gov, number NCT01774786 (ongoing, but closed to enrolment).&lt;/p&gt;&lt;h3&gt;Findings&lt;/h3&gt;&lt;p&gt;Between June 10, 2013, and Jan 12, 2016, of 3287 patients assessed, 780 eligible patients were randomly assigned to receive either pertuzumab plus trastuzumab and chemotherapy (pertuzumab group, n=388) or placebo plus trastuzumab and chemotherapy (control group, n=392). Median duration of follow-up was 24·4 months (95% CI 22·3–26·1) in the pertuzumab group and 25·0 months (22·3–28·9) in the control group. After 242 deaths in the pertuzumab group and 262 deaths in the control group (the study was not stopped at this point), overall survival was not significantly different between treatment groups (median overall survival 17·5 months [95% CI 16·2–19·3] in the pertuzumab group and 14·2 months [12·9–15·5] in the control group; hazard ratio 0·84 [95% CI 0·71–1·00]; p=0·057). Serious adverse events occurred in 175 (45%) of 385 patients in the pertuzumab group and 152 (39%) of 388 patients in the control group. Diarrhoea was the most common serious adverse event in both groups (17 [4%] patients in the pertuzumab group &lt;i&gt;vs&lt;/i&gt; 20 [5%] patients in the control group). The most common grade 3–5 adverse events were neutropenia (116 [30%] patients in the pertuzumab group &lt;i&gt;vs&lt;/i&gt; 108 [28%] patients in the control group), anaemia (56 [15%] &lt;i&gt;vs&lt;/i&gt; 65 [17%]), and diarrhoea (51 [13%] &lt;i&gt;vs&lt;/i&gt; 25 [6%]). Treatment-related deaths occurred in seven (2%) patients in the control group; no treatment-related deaths occurred in the pertuzumab group.&lt;/p&gt;&lt;h3&gt;Interpretation&lt;/h3&gt;&lt;p&gt;Adding pertuzumab to trastuzumab and chemotherapy did not significantly improve overall survival in patients with HER2-positive metastatic gastric or gastro-oesophageal junction cancer compared with placebo. Further studies are needed to identify improved first-line treatment options in these types of cancer and to identify patients with HER2-driven tumours who might benefit from dual HER2-targeted therapy.&lt;/p&gt;&lt;h3&gt;Funding&lt;/h3&gt;&lt;p&gt;F. Hoffmann-La Roche Ltd.&lt;/p&gt;","DOI":"10.1016/S1470-2045(18)30481-9","ISSN":"1470-2045, 1474-5488","note":"PMID: 30217672","title-short":"Pertuzumab plus trastuzumab and chemotherapy for HER2-positive metastatic gastric or gastro-oesophageal junction cancer (JACOB)","journalAbbreviation":"The Lancet Oncology","language":"English","author":[{"family":"Tabernero","given":"Josep"},{"family":"Hoff","given":"Paulo M."},{"family":"Shen","given":"Lin"},{"family":"Ohtsu","given":"Atsushi"},{"family":"Shah","given":"Manish A."},{"family":"Cheng","given":"Karen"},{"family":"Song","given":"Chunyan"},{"family":"Wu","given":"Haiyan"},{"family":"Eng-Wong","given":"Jennifer"},{"family":"Kim","given":"Katherine"},{"family":"Kang","given":"Yoon-Koo"}],"issued":{"date-parts":[["2018",10,1]]}}}],"schema":"https://github.com/citation-style-language/schema/raw/master/csl-citation.json"} </w:instrText>
      </w:r>
      <w:r w:rsidRPr="00877499">
        <w:rPr>
          <w:rFonts w:ascii="Book Antiqua" w:hAnsi="Book Antiqua" w:cs="Calibri"/>
          <w:sz w:val="24"/>
          <w:szCs w:val="24"/>
          <w:vertAlign w:val="superscript"/>
        </w:rPr>
        <w:fldChar w:fldCharType="separate"/>
      </w:r>
      <w:r w:rsidR="00731E07" w:rsidRPr="00877499">
        <w:rPr>
          <w:rFonts w:ascii="Book Antiqua" w:hAnsi="Book Antiqua" w:cs="Calibri"/>
          <w:sz w:val="24"/>
          <w:szCs w:val="24"/>
          <w:vertAlign w:val="superscript"/>
        </w:rPr>
        <w:t>[16]</w:t>
      </w:r>
      <w:r w:rsidRPr="00877499">
        <w:rPr>
          <w:rFonts w:ascii="Book Antiqua" w:hAnsi="Book Antiqua" w:cs="Calibri"/>
          <w:sz w:val="24"/>
          <w:szCs w:val="24"/>
          <w:vertAlign w:val="superscript"/>
        </w:rPr>
        <w:fldChar w:fldCharType="end"/>
      </w:r>
      <w:r w:rsidRPr="00877499">
        <w:rPr>
          <w:rFonts w:ascii="Book Antiqua" w:hAnsi="Book Antiqua" w:cs="Calibri"/>
          <w:sz w:val="24"/>
          <w:szCs w:val="24"/>
        </w:rPr>
        <w:t xml:space="preserve"> trial which reported 6.1% and 5.0% incidence of cardiotoxicity, respectively. </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widowControl w:val="0"/>
        <w:spacing w:after="0" w:line="360" w:lineRule="auto"/>
        <w:jc w:val="both"/>
        <w:rPr>
          <w:rFonts w:ascii="Book Antiqua" w:hAnsi="Book Antiqua" w:cs="Calibri"/>
          <w:b/>
          <w:i/>
          <w:sz w:val="24"/>
          <w:szCs w:val="24"/>
        </w:rPr>
      </w:pPr>
      <w:r w:rsidRPr="00877499">
        <w:rPr>
          <w:rFonts w:ascii="Book Antiqua" w:hAnsi="Book Antiqua" w:cs="Calibri"/>
          <w:b/>
          <w:i/>
          <w:sz w:val="24"/>
          <w:szCs w:val="24"/>
        </w:rPr>
        <w:t>Cost effectiveness</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Given that many guidelines recommend the use of Pertuzumab due to its efficacy, it would also be prudent to consider literature on value-based and cost effectiveness studies. The United Kingdom National Institute for Health and Care Excellence guidelines concluded that the Incremental Cost-Effective Ratio (ICER) of Pertuzumab exceeds the limit for cost-effective use of United Kingdom’s National Health Service resources, without special considerations as life-extending treatment for patients with incurable disease</w:t>
      </w:r>
      <w:r w:rsidR="00DC128A" w:rsidRPr="00877499">
        <w:rPr>
          <w:rFonts w:ascii="Book Antiqua" w:hAnsi="Book Antiqua" w:cs="Calibri"/>
          <w:sz w:val="24"/>
          <w:szCs w:val="24"/>
        </w:rPr>
        <w:t xml:space="preserve">. </w:t>
      </w:r>
      <w:r w:rsidRPr="00877499">
        <w:rPr>
          <w:rFonts w:ascii="Book Antiqua" w:hAnsi="Book Antiqua" w:cs="Calibri"/>
          <w:sz w:val="24"/>
          <w:szCs w:val="24"/>
        </w:rPr>
        <w:t xml:space="preserve">This is based on a maximum acceptable ICER </w:t>
      </w:r>
      <w:r w:rsidR="00454C0F" w:rsidRPr="00877499">
        <w:rPr>
          <w:rFonts w:ascii="Book Antiqua" w:hAnsi="Book Antiqua" w:cs="Calibri"/>
          <w:sz w:val="24"/>
          <w:szCs w:val="24"/>
        </w:rPr>
        <w:t>of Great Britain Pound (GBP) 30</w:t>
      </w:r>
      <w:r w:rsidRPr="00877499">
        <w:rPr>
          <w:rFonts w:ascii="Book Antiqua" w:hAnsi="Book Antiqua" w:cs="Calibri"/>
          <w:sz w:val="24"/>
          <w:szCs w:val="24"/>
        </w:rPr>
        <w:t xml:space="preserve">000 per Quality-adjusted Life Years (QALY) gained in treating metastatic breast cancer. Similarly, the American Society of Clinical Oncology published a cost-effectiveness study of addition of Pertuzumab to docetaxel and trastuzumab for HER2 positive metastatic breast cancer. Although </w:t>
      </w:r>
      <w:r w:rsidRPr="00877499">
        <w:rPr>
          <w:rFonts w:ascii="Book Antiqua" w:hAnsi="Book Antiqua" w:cs="Calibri"/>
          <w:sz w:val="24"/>
          <w:szCs w:val="24"/>
        </w:rPr>
        <w:lastRenderedPageBreak/>
        <w:t>median survival was 56.9 mo with Pertuzumab and 39.4 mo without, it concluded that Pertuzumab in addition to Docetaxel and Trastuzumab is unlikely to be cost-effective, with 0% probability of cost-effectiveness at</w:t>
      </w:r>
      <w:r w:rsidR="00454C0F" w:rsidRPr="00877499">
        <w:rPr>
          <w:rFonts w:ascii="Book Antiqua" w:hAnsi="Book Antiqua" w:cs="Calibri"/>
          <w:sz w:val="24"/>
          <w:szCs w:val="24"/>
        </w:rPr>
        <w:t xml:space="preserve"> United States Dollar 100</w:t>
      </w:r>
      <w:r w:rsidRPr="00877499">
        <w:rPr>
          <w:rFonts w:ascii="Book Antiqua" w:hAnsi="Book Antiqua" w:cs="Calibri"/>
          <w:sz w:val="24"/>
          <w:szCs w:val="24"/>
        </w:rPr>
        <w:t>000 per QALY gained</w:t>
      </w:r>
      <w:r w:rsidRPr="00877499">
        <w:rPr>
          <w:rFonts w:ascii="Book Antiqua" w:hAnsi="Book Antiqua" w:cs="Calibri"/>
          <w:sz w:val="24"/>
          <w:szCs w:val="24"/>
          <w:vertAlign w:val="superscript"/>
        </w:rPr>
        <w:fldChar w:fldCharType="begin"/>
      </w:r>
      <w:r w:rsidR="00C7334B" w:rsidRPr="00877499">
        <w:rPr>
          <w:rFonts w:ascii="Book Antiqua" w:hAnsi="Book Antiqua" w:cs="Calibri"/>
          <w:sz w:val="24"/>
          <w:szCs w:val="24"/>
          <w:vertAlign w:val="superscript"/>
        </w:rPr>
        <w:instrText xml:space="preserve"> ADDIN ZOTERO_ITEM CSL_CITATION {"citationID":"TiDsJgsI","properties":{"formattedCitation":"[17]","plainCitation":"[17]","noteIndex":0},"citationItems":[{"id":155,"uris":["http://zotero.org/users/4878164/items/C56CTQJ2"],"uri":["http://zotero.org/users/4878164/items/C56CTQJ2"],"itemData":{"id":155,"type":"article-journal","title":"Cost-Effectiveness of Pertuzumab in Human Epidermal Growth Factor Receptor 2-Positive Metastatic Breast Cancer","container-title":"Journal of Clinical Oncology: Official Journal of the American Society of Clinical Oncology","page":"902-909","volume":"34","issue":"9","source":"PubMed","abstract":"PURPOSE: The Clinical Evaluation of Pertuzumab and Trastuzumab (CLEOPATRA) study showed a 15.7-month survival benefit with the addition of pertuzumab to docetaxel and trastuzumab (THP) as first-line treatment for patients with human epidermal growth factor receptor 2 (HER2) -overexpressing metastatic breast cancer. We performed a cost-effectiveness analysis to assess the value of adding pertuzumab.\nPATIENT AND METHODS: We developed a decision-analytic Markov model to evaluate the cost effectiveness of docetaxel plus trastuzumab (TH) with or without pertuzumab in US patients with metastatic breast cancer. The model followed patients weekly over their remaining lifetimes. Health states included stable disease, progressing disease, hospice, and death. Transition probabilities were based on the CLEOPATRA study. Costs reflected the 2014 Medicare rates. Health state utilities were the same as those used in other recent cost-effectiveness studies of trastuzumab and pertuzumab. Outcomes included health benefits expressed as discounted quality-adjusted life-years (QALYs), costs in US dollars, and cost effectiveness expressed as an incremental cost-effectiveness ratio. One- and multiway deterministic and probabilistic sensitivity analyses explored the effects of specific assumptions.\nRESULTS: Modeled median survival was 39.4 months for TH and 56.9 months for THP. The addition of pertuzumab resulted in an additional 1.81 life-years gained, or 0.62 QALYs, at a cost of $472,668 per QALY gained. Deterministic sensitivity analysis showed that THP is unlikely to be cost effective even under the most favorable assumptions, and probabilistic sensitivity analysis predicted 0% chance of cost effectiveness at a willingness to pay of $100,000 per QALY gained.\nCONCLUSION: THP in patients with metastatic HER2-positive breast cancer is unlikely to be cost effective in the United States.","DOI":"10.1200/JCO.2015.62.9105","ISSN":"1527-7755","note":"PMID: 26351332\nPMCID: PMC5070553","journalAbbreviation":"J. Clin. Oncol.","language":"eng","author":[{"family":"Durkee","given":"Ben Y."},{"family":"Qian","given":"Yushen"},{"family":"Pollom","given":"Erqi L."},{"family":"King","given":"Martin T."},{"family":"Dudley","given":"Sara A."},{"family":"Shaffer","given":"Jenny L."},{"family":"Chang","given":"Daniel T."},{"family":"Gibbs","given":"Iris C."},{"family":"Goldhaber-Fiebert","given":"Jeremy D."},{"family":"Horst","given":"Kathleen C."}],"issued":{"date-parts":[["2016",3,20]]}}}],"schema":"https://github.com/citation-style-language/schema/raw/master/csl-citation.json"} </w:instrText>
      </w:r>
      <w:r w:rsidRPr="00877499">
        <w:rPr>
          <w:rFonts w:ascii="Book Antiqua" w:hAnsi="Book Antiqua" w:cs="Calibri"/>
          <w:sz w:val="24"/>
          <w:szCs w:val="24"/>
          <w:vertAlign w:val="superscript"/>
        </w:rPr>
        <w:fldChar w:fldCharType="separate"/>
      </w:r>
      <w:r w:rsidR="00C7334B" w:rsidRPr="00877499">
        <w:rPr>
          <w:rFonts w:ascii="Book Antiqua" w:hAnsi="Book Antiqua" w:cs="Calibri"/>
          <w:sz w:val="24"/>
          <w:szCs w:val="24"/>
          <w:vertAlign w:val="superscript"/>
        </w:rPr>
        <w:t>[17]</w:t>
      </w:r>
      <w:r w:rsidRPr="00877499">
        <w:rPr>
          <w:rFonts w:ascii="Book Antiqua" w:hAnsi="Book Antiqua" w:cs="Calibri"/>
          <w:sz w:val="24"/>
          <w:szCs w:val="24"/>
          <w:vertAlign w:val="superscript"/>
        </w:rPr>
        <w:fldChar w:fldCharType="end"/>
      </w:r>
      <w:r w:rsidRPr="00877499">
        <w:rPr>
          <w:rFonts w:ascii="Book Antiqua" w:hAnsi="Book Antiqua" w:cs="Calibri"/>
          <w:sz w:val="24"/>
          <w:szCs w:val="24"/>
        </w:rPr>
        <w:t>. Lastly, a cost-effectiveness study of addition of Pertuzumab in combination with Trastuzumab and Docetaxel for HER2 positive metastatic breast cancer in Japan demonstrated th</w:t>
      </w:r>
      <w:r w:rsidR="00454C0F" w:rsidRPr="00877499">
        <w:rPr>
          <w:rFonts w:ascii="Book Antiqua" w:hAnsi="Book Antiqua" w:cs="Calibri"/>
          <w:sz w:val="24"/>
          <w:szCs w:val="24"/>
        </w:rPr>
        <w:t>at, at a higher limit of GBP 50</w:t>
      </w:r>
      <w:r w:rsidRPr="00877499">
        <w:rPr>
          <w:rFonts w:ascii="Book Antiqua" w:hAnsi="Book Antiqua" w:cs="Calibri"/>
          <w:sz w:val="24"/>
          <w:szCs w:val="24"/>
        </w:rPr>
        <w:t>000, it is still not cost effective as the ICER of Pertuzumab a</w:t>
      </w:r>
      <w:r w:rsidR="00454C0F" w:rsidRPr="00877499">
        <w:rPr>
          <w:rFonts w:ascii="Book Antiqua" w:hAnsi="Book Antiqua" w:cs="Calibri"/>
          <w:sz w:val="24"/>
          <w:szCs w:val="24"/>
        </w:rPr>
        <w:t>ddition is approximately GBP 90</w:t>
      </w:r>
      <w:r w:rsidRPr="00877499">
        <w:rPr>
          <w:rFonts w:ascii="Book Antiqua" w:hAnsi="Book Antiqua" w:cs="Calibri"/>
          <w:sz w:val="24"/>
          <w:szCs w:val="24"/>
        </w:rPr>
        <w:t>000 per QALY</w:t>
      </w:r>
      <w:r w:rsidRPr="00877499">
        <w:rPr>
          <w:rFonts w:ascii="Book Antiqua" w:hAnsi="Book Antiqua" w:cs="Calibri"/>
          <w:sz w:val="24"/>
          <w:szCs w:val="24"/>
          <w:vertAlign w:val="superscript"/>
        </w:rPr>
        <w:fldChar w:fldCharType="begin"/>
      </w:r>
      <w:r w:rsidR="00C7334B" w:rsidRPr="00877499">
        <w:rPr>
          <w:rFonts w:ascii="Book Antiqua" w:hAnsi="Book Antiqua" w:cs="Calibri"/>
          <w:sz w:val="24"/>
          <w:szCs w:val="24"/>
          <w:vertAlign w:val="superscript"/>
        </w:rPr>
        <w:instrText xml:space="preserve"> ADDIN ZOTERO_ITEM CSL_CITATION {"citationID":"0879mvaQ","properties":{"formattedCitation":"[18]","plainCitation":"[18]","noteIndex":0},"citationItems":[{"id":150,"uris":["http://zotero.org/users/4878164/items/ZGTVSGA8"],"uri":["http://zotero.org/users/4878164/items/ZGTVSGA8"],"itemData":{"id":150,"type":"article-journal","title":"Cost-Effectiveness Analysis Of Pertuzumab For Metastatic Her2-Positive Breast Cancer In Japan","container-title":"Value in Health: The Journal of the International Society for Pharmacoeconomics and Outcomes Research","page":"A456-457","volume":"18","issue":"7","source":"PubMed","DOI":"10.1016/j.jval.2015.09.1169","ISSN":"1524-4733","note":"PMID: 26532565","journalAbbreviation":"Value Health","language":"eng","author":[{"family":"Tange","given":"C."},{"family":"Kunisawa","given":"S."},{"family":"Maeda","given":"S."},{"family":"Shimozuma","given":"K."}],"issued":{"date-parts":[["2015",11]]}}}],"schema":"https://github.com/citation-style-language/schema/raw/master/csl-citation.json"} </w:instrText>
      </w:r>
      <w:r w:rsidRPr="00877499">
        <w:rPr>
          <w:rFonts w:ascii="Book Antiqua" w:hAnsi="Book Antiqua" w:cs="Calibri"/>
          <w:sz w:val="24"/>
          <w:szCs w:val="24"/>
          <w:vertAlign w:val="superscript"/>
        </w:rPr>
        <w:fldChar w:fldCharType="separate"/>
      </w:r>
      <w:r w:rsidR="00C7334B" w:rsidRPr="00877499">
        <w:rPr>
          <w:rFonts w:ascii="Book Antiqua" w:hAnsi="Book Antiqua" w:cs="Calibri"/>
          <w:sz w:val="24"/>
          <w:szCs w:val="24"/>
          <w:vertAlign w:val="superscript"/>
        </w:rPr>
        <w:t>[18]</w:t>
      </w:r>
      <w:r w:rsidRPr="00877499">
        <w:rPr>
          <w:rFonts w:ascii="Book Antiqua" w:hAnsi="Book Antiqua" w:cs="Calibri"/>
          <w:sz w:val="24"/>
          <w:szCs w:val="24"/>
          <w:vertAlign w:val="superscript"/>
        </w:rPr>
        <w:fldChar w:fldCharType="end"/>
      </w:r>
      <w:r w:rsidRPr="00877499">
        <w:rPr>
          <w:rFonts w:ascii="Book Antiqua" w:hAnsi="Book Antiqua" w:cs="Calibri"/>
          <w:sz w:val="24"/>
          <w:szCs w:val="24"/>
        </w:rPr>
        <w:t xml:space="preserve">. </w:t>
      </w:r>
    </w:p>
    <w:p w:rsidR="00EC1660" w:rsidRPr="00877499" w:rsidRDefault="00EC1660" w:rsidP="009E2046">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Given the above conclusions and the finding that Pertuzumab accounted for a median of 50.3% of total chemotherapy co</w:t>
      </w:r>
      <w:r w:rsidR="00454C0F" w:rsidRPr="00877499">
        <w:rPr>
          <w:rFonts w:ascii="Book Antiqua" w:hAnsi="Book Antiqua" w:cs="Calibri"/>
          <w:sz w:val="24"/>
          <w:szCs w:val="24"/>
        </w:rPr>
        <w:t>sts or a median cost of SGD 170</w:t>
      </w:r>
      <w:r w:rsidRPr="00877499">
        <w:rPr>
          <w:rFonts w:ascii="Book Antiqua" w:hAnsi="Book Antiqua" w:cs="Calibri"/>
          <w:sz w:val="24"/>
          <w:szCs w:val="24"/>
        </w:rPr>
        <w:t>875 over 21.5 mo in our study group, policymakers should conduct further cost-effectiveness studies to review the costs and funding models for Pertuzumab, and weigh the costs against the survival benefit. Further quality of life studies would also be helpful to assess the value of Pertuzumab for HER2-positive MBC.</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widowControl w:val="0"/>
        <w:spacing w:after="0" w:line="360" w:lineRule="auto"/>
        <w:jc w:val="both"/>
        <w:rPr>
          <w:rFonts w:ascii="Book Antiqua" w:hAnsi="Book Antiqua" w:cs="Calibri"/>
          <w:i/>
          <w:sz w:val="24"/>
          <w:szCs w:val="24"/>
        </w:rPr>
      </w:pPr>
      <w:r w:rsidRPr="00877499">
        <w:rPr>
          <w:rFonts w:ascii="Book Antiqua" w:hAnsi="Book Antiqua" w:cs="Calibri"/>
          <w:b/>
          <w:i/>
          <w:sz w:val="24"/>
          <w:szCs w:val="24"/>
        </w:rPr>
        <w:t>Limitations</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 xml:space="preserve">This retrospective study is subjected to limitations of studies based on electronic health records, which may contain incomplete information. However, efforts to corroborate information with multiple data sources from the </w:t>
      </w:r>
      <w:r w:rsidRPr="00877499">
        <w:rPr>
          <w:rFonts w:ascii="Book Antiqua" w:hAnsi="Book Antiqua" w:cs="Calibri"/>
          <w:color w:val="000000"/>
          <w:sz w:val="24"/>
          <w:szCs w:val="24"/>
        </w:rPr>
        <w:t>Joint Breast Cancer Registry (JBCR) to databases containing chemotherapy prescriptions as well as billing data helped to minimize missing or discrepant data.</w:t>
      </w:r>
      <w:r w:rsidRPr="00877499">
        <w:rPr>
          <w:rFonts w:ascii="Book Antiqua" w:hAnsi="Book Antiqua" w:cs="Calibri"/>
          <w:sz w:val="24"/>
          <w:szCs w:val="24"/>
        </w:rPr>
        <w:t xml:space="preserve"> In addition, this study was conducted at a single tertiary care cancer centre which may limit the extrapolation of data to other healthcare settings. </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widowControl w:val="0"/>
        <w:spacing w:after="0" w:line="360" w:lineRule="auto"/>
        <w:jc w:val="both"/>
        <w:rPr>
          <w:rFonts w:ascii="Book Antiqua" w:hAnsi="Book Antiqua" w:cs="Calibri"/>
          <w:i/>
          <w:sz w:val="24"/>
          <w:szCs w:val="24"/>
        </w:rPr>
      </w:pPr>
      <w:r w:rsidRPr="00877499">
        <w:rPr>
          <w:rFonts w:ascii="Book Antiqua" w:hAnsi="Book Antiqua" w:cs="Calibri"/>
          <w:b/>
          <w:i/>
          <w:sz w:val="24"/>
          <w:szCs w:val="24"/>
        </w:rPr>
        <w:t>Conclusion</w:t>
      </w:r>
    </w:p>
    <w:p w:rsidR="00EC1660" w:rsidRPr="00877499" w:rsidRDefault="00EC1660"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 xml:space="preserve">This study shows that Pertuzumab use in the treatment of metastatic breast cancer is associated with a significant improvement in survival benefit, without significant serious adverse effects associated with anti-HER2 agents. However, the proportionate cost of Pertuzumab therapy remains high and further cost-effectiveness studies should be conducted. </w:t>
      </w:r>
    </w:p>
    <w:p w:rsidR="00EC1660" w:rsidRPr="00877499" w:rsidRDefault="00647DEE" w:rsidP="009E2046">
      <w:pPr>
        <w:widowControl w:val="0"/>
        <w:spacing w:after="0" w:line="360" w:lineRule="auto"/>
        <w:jc w:val="both"/>
        <w:rPr>
          <w:rFonts w:ascii="Book Antiqua" w:hAnsi="Book Antiqua" w:cs="Calibri"/>
          <w:bCs/>
          <w:caps/>
          <w:sz w:val="24"/>
          <w:szCs w:val="24"/>
          <w:u w:val="single"/>
        </w:rPr>
      </w:pPr>
      <w:r w:rsidRPr="00877499">
        <w:rPr>
          <w:rFonts w:ascii="Book Antiqua" w:hAnsi="Book Antiqua" w:cs="Calibri"/>
          <w:b/>
          <w:sz w:val="24"/>
          <w:szCs w:val="24"/>
        </w:rPr>
        <w:br w:type="page"/>
      </w:r>
      <w:r w:rsidRPr="00877499">
        <w:rPr>
          <w:rFonts w:ascii="Book Antiqua" w:hAnsi="Book Antiqua" w:cs="Calibri"/>
          <w:b/>
          <w:caps/>
          <w:sz w:val="24"/>
          <w:szCs w:val="24"/>
          <w:u w:val="single"/>
        </w:rPr>
        <w:lastRenderedPageBreak/>
        <w:t>Article Highlights</w:t>
      </w:r>
    </w:p>
    <w:p w:rsidR="00647DEE" w:rsidRPr="00877499" w:rsidRDefault="00647DEE" w:rsidP="009E2046">
      <w:pPr>
        <w:widowControl w:val="0"/>
        <w:spacing w:after="0" w:line="360" w:lineRule="auto"/>
        <w:jc w:val="both"/>
        <w:rPr>
          <w:rFonts w:ascii="Book Antiqua" w:hAnsi="Book Antiqua" w:cs="Calibri"/>
          <w:b/>
          <w:bCs/>
          <w:i/>
          <w:sz w:val="24"/>
          <w:szCs w:val="24"/>
        </w:rPr>
      </w:pPr>
      <w:r w:rsidRPr="00877499">
        <w:rPr>
          <w:rFonts w:ascii="Book Antiqua" w:hAnsi="Book Antiqua" w:cs="Calibri"/>
          <w:b/>
          <w:bCs/>
          <w:i/>
          <w:sz w:val="24"/>
          <w:szCs w:val="24"/>
        </w:rPr>
        <w:t xml:space="preserve">Research </w:t>
      </w:r>
      <w:r w:rsidR="001C5CFB" w:rsidRPr="00877499">
        <w:rPr>
          <w:rFonts w:ascii="Book Antiqua" w:hAnsi="Book Antiqua" w:cs="Calibri"/>
          <w:b/>
          <w:bCs/>
          <w:i/>
          <w:sz w:val="24"/>
          <w:szCs w:val="24"/>
        </w:rPr>
        <w:t>ba</w:t>
      </w:r>
      <w:r w:rsidRPr="00877499">
        <w:rPr>
          <w:rFonts w:ascii="Book Antiqua" w:hAnsi="Book Antiqua" w:cs="Calibri"/>
          <w:b/>
          <w:bCs/>
          <w:i/>
          <w:sz w:val="24"/>
          <w:szCs w:val="24"/>
        </w:rPr>
        <w:t>ckground</w:t>
      </w:r>
    </w:p>
    <w:p w:rsidR="00647DEE" w:rsidRPr="00877499" w:rsidRDefault="00647DEE" w:rsidP="009E2046">
      <w:pPr>
        <w:widowControl w:val="0"/>
        <w:spacing w:after="0" w:line="360" w:lineRule="auto"/>
        <w:jc w:val="both"/>
        <w:rPr>
          <w:rFonts w:ascii="Book Antiqua" w:hAnsi="Book Antiqua" w:cs="Calibri"/>
          <w:bCs/>
          <w:sz w:val="24"/>
          <w:szCs w:val="24"/>
        </w:rPr>
      </w:pPr>
      <w:r w:rsidRPr="00877499">
        <w:rPr>
          <w:rFonts w:ascii="Book Antiqua" w:hAnsi="Book Antiqua" w:cs="Calibri"/>
          <w:bCs/>
          <w:sz w:val="24"/>
          <w:szCs w:val="24"/>
        </w:rPr>
        <w:t>Pertuzumab is a</w:t>
      </w:r>
      <w:r w:rsidR="00881E29" w:rsidRPr="00877499">
        <w:rPr>
          <w:rFonts w:ascii="Book Antiqua" w:hAnsi="Book Antiqua" w:cs="Calibri"/>
          <w:bCs/>
          <w:sz w:val="24"/>
          <w:szCs w:val="24"/>
        </w:rPr>
        <w:t>n</w:t>
      </w:r>
      <w:r w:rsidRPr="00877499">
        <w:rPr>
          <w:rFonts w:ascii="Book Antiqua" w:hAnsi="Book Antiqua" w:cs="Calibri"/>
          <w:bCs/>
          <w:sz w:val="24"/>
          <w:szCs w:val="24"/>
        </w:rPr>
        <w:t xml:space="preserve"> anti-HER2 agent</w:t>
      </w:r>
      <w:r w:rsidR="00881E29" w:rsidRPr="00877499">
        <w:rPr>
          <w:rFonts w:ascii="Book Antiqua" w:hAnsi="Book Antiqua" w:cs="Calibri"/>
          <w:bCs/>
          <w:sz w:val="24"/>
          <w:szCs w:val="24"/>
        </w:rPr>
        <w:t xml:space="preserve"> that has demonstrated promising clinical efficacy in Phase III trials such as the CLEOPATRA trial. Given the incidence of breast cancer and the proportion of Stage IV breast cancers at diagnosis in an Asian population, there is a need to evaluate its efficacy in an Asian population, and review its costs.</w:t>
      </w:r>
    </w:p>
    <w:p w:rsidR="001C5CFB" w:rsidRPr="00877499" w:rsidRDefault="001C5CFB" w:rsidP="009E2046">
      <w:pPr>
        <w:widowControl w:val="0"/>
        <w:spacing w:after="0" w:line="360" w:lineRule="auto"/>
        <w:jc w:val="both"/>
        <w:rPr>
          <w:rFonts w:ascii="Book Antiqua" w:hAnsi="Book Antiqua" w:cs="Calibri" w:hint="eastAsia"/>
          <w:bCs/>
          <w:sz w:val="24"/>
          <w:szCs w:val="24"/>
        </w:rPr>
      </w:pPr>
    </w:p>
    <w:p w:rsidR="00647DEE" w:rsidRPr="00877499" w:rsidRDefault="00647DEE" w:rsidP="009E2046">
      <w:pPr>
        <w:widowControl w:val="0"/>
        <w:spacing w:after="0" w:line="360" w:lineRule="auto"/>
        <w:jc w:val="both"/>
        <w:rPr>
          <w:rFonts w:ascii="Book Antiqua" w:hAnsi="Book Antiqua" w:cs="Calibri"/>
          <w:b/>
          <w:bCs/>
          <w:i/>
          <w:sz w:val="24"/>
          <w:szCs w:val="24"/>
        </w:rPr>
      </w:pPr>
      <w:r w:rsidRPr="00877499">
        <w:rPr>
          <w:rFonts w:ascii="Book Antiqua" w:hAnsi="Book Antiqua" w:cs="Calibri"/>
          <w:b/>
          <w:bCs/>
          <w:i/>
          <w:sz w:val="24"/>
          <w:szCs w:val="24"/>
        </w:rPr>
        <w:t>Research</w:t>
      </w:r>
      <w:r w:rsidR="001C5CFB" w:rsidRPr="00877499">
        <w:rPr>
          <w:rFonts w:ascii="Book Antiqua" w:hAnsi="Book Antiqua" w:cs="Calibri"/>
          <w:b/>
          <w:bCs/>
          <w:i/>
          <w:sz w:val="24"/>
          <w:szCs w:val="24"/>
        </w:rPr>
        <w:t xml:space="preserve"> m</w:t>
      </w:r>
      <w:r w:rsidRPr="00877499">
        <w:rPr>
          <w:rFonts w:ascii="Book Antiqua" w:hAnsi="Book Antiqua" w:cs="Calibri"/>
          <w:b/>
          <w:bCs/>
          <w:i/>
          <w:sz w:val="24"/>
          <w:szCs w:val="24"/>
        </w:rPr>
        <w:t>otivation</w:t>
      </w:r>
    </w:p>
    <w:p w:rsidR="00881E29" w:rsidRPr="00877499" w:rsidRDefault="00881E29" w:rsidP="009E2046">
      <w:pPr>
        <w:widowControl w:val="0"/>
        <w:spacing w:after="0" w:line="360" w:lineRule="auto"/>
        <w:jc w:val="both"/>
        <w:rPr>
          <w:rFonts w:ascii="Book Antiqua" w:hAnsi="Book Antiqua" w:cs="Calibri" w:hint="eastAsia"/>
          <w:bCs/>
          <w:sz w:val="24"/>
          <w:szCs w:val="24"/>
        </w:rPr>
      </w:pPr>
      <w:r w:rsidRPr="00877499">
        <w:rPr>
          <w:rFonts w:ascii="Book Antiqua" w:hAnsi="Book Antiqua" w:cs="Calibri"/>
          <w:bCs/>
          <w:sz w:val="24"/>
          <w:szCs w:val="24"/>
        </w:rPr>
        <w:t>We aim to study the use of Pertuzumab in National Cancer Centre Singapore in a predominantly Asian population</w:t>
      </w:r>
      <w:r w:rsidR="001C5CFB" w:rsidRPr="00877499">
        <w:rPr>
          <w:rFonts w:ascii="Book Antiqua" w:hAnsi="Book Antiqua" w:cs="Calibri" w:hint="eastAsia"/>
          <w:bCs/>
          <w:sz w:val="24"/>
          <w:szCs w:val="24"/>
        </w:rPr>
        <w:t>.</w:t>
      </w:r>
    </w:p>
    <w:p w:rsidR="001C5CFB" w:rsidRPr="00877499" w:rsidRDefault="001C5CFB" w:rsidP="009E2046">
      <w:pPr>
        <w:widowControl w:val="0"/>
        <w:spacing w:after="0" w:line="360" w:lineRule="auto"/>
        <w:jc w:val="both"/>
        <w:rPr>
          <w:rFonts w:ascii="Book Antiqua" w:hAnsi="Book Antiqua" w:cs="Calibri"/>
          <w:bCs/>
          <w:sz w:val="24"/>
          <w:szCs w:val="24"/>
        </w:rPr>
      </w:pPr>
    </w:p>
    <w:p w:rsidR="00647DEE" w:rsidRPr="00877499" w:rsidRDefault="00647DEE" w:rsidP="009E2046">
      <w:pPr>
        <w:widowControl w:val="0"/>
        <w:spacing w:after="0" w:line="360" w:lineRule="auto"/>
        <w:jc w:val="both"/>
        <w:rPr>
          <w:rFonts w:ascii="Book Antiqua" w:hAnsi="Book Antiqua" w:cs="Calibri"/>
          <w:b/>
          <w:bCs/>
          <w:i/>
          <w:sz w:val="24"/>
          <w:szCs w:val="24"/>
        </w:rPr>
      </w:pPr>
      <w:r w:rsidRPr="00877499">
        <w:rPr>
          <w:rFonts w:ascii="Book Antiqua" w:hAnsi="Book Antiqua" w:cs="Calibri"/>
          <w:b/>
          <w:bCs/>
          <w:i/>
          <w:sz w:val="24"/>
          <w:szCs w:val="24"/>
        </w:rPr>
        <w:t xml:space="preserve">Research </w:t>
      </w:r>
      <w:r w:rsidR="001C5CFB" w:rsidRPr="00877499">
        <w:rPr>
          <w:rFonts w:ascii="Book Antiqua" w:hAnsi="Book Antiqua" w:cs="Calibri"/>
          <w:b/>
          <w:bCs/>
          <w:i/>
          <w:sz w:val="24"/>
          <w:szCs w:val="24"/>
        </w:rPr>
        <w:t>o</w:t>
      </w:r>
      <w:r w:rsidRPr="00877499">
        <w:rPr>
          <w:rFonts w:ascii="Book Antiqua" w:hAnsi="Book Antiqua" w:cs="Calibri"/>
          <w:b/>
          <w:bCs/>
          <w:i/>
          <w:sz w:val="24"/>
          <w:szCs w:val="24"/>
        </w:rPr>
        <w:t>bjectives</w:t>
      </w:r>
    </w:p>
    <w:p w:rsidR="00881E29" w:rsidRPr="00877499" w:rsidRDefault="00881E29" w:rsidP="009E2046">
      <w:pPr>
        <w:widowControl w:val="0"/>
        <w:spacing w:after="0" w:line="360" w:lineRule="auto"/>
        <w:jc w:val="both"/>
        <w:rPr>
          <w:rFonts w:ascii="Book Antiqua" w:hAnsi="Book Antiqua" w:cs="Calibri" w:hint="eastAsia"/>
          <w:bCs/>
          <w:sz w:val="24"/>
          <w:szCs w:val="24"/>
        </w:rPr>
      </w:pPr>
      <w:r w:rsidRPr="00877499">
        <w:rPr>
          <w:rFonts w:ascii="Book Antiqua" w:hAnsi="Book Antiqua" w:cs="Calibri"/>
          <w:bCs/>
          <w:sz w:val="24"/>
          <w:szCs w:val="24"/>
        </w:rPr>
        <w:t xml:space="preserve">We attempted to elucidate the clinical efficacy of Peruzumab in HER2-positive Metastatic breast cancer, evaluate the incidence of Grade 3 cardiotoxicity, and the costs of treatment. In so doing, we hope to guide policy makers on the use of Pertuzumab as an important arm of therapy for metastatic HER2-positive breast cancer. </w:t>
      </w:r>
    </w:p>
    <w:p w:rsidR="001C5CFB" w:rsidRPr="00877499" w:rsidRDefault="001C5CFB" w:rsidP="009E2046">
      <w:pPr>
        <w:widowControl w:val="0"/>
        <w:spacing w:after="0" w:line="360" w:lineRule="auto"/>
        <w:jc w:val="both"/>
        <w:rPr>
          <w:rFonts w:ascii="Book Antiqua" w:hAnsi="Book Antiqua" w:cs="Calibri"/>
          <w:bCs/>
          <w:sz w:val="24"/>
          <w:szCs w:val="24"/>
        </w:rPr>
      </w:pPr>
    </w:p>
    <w:p w:rsidR="00647DEE" w:rsidRPr="00877499" w:rsidRDefault="00647DEE" w:rsidP="009E2046">
      <w:pPr>
        <w:widowControl w:val="0"/>
        <w:spacing w:after="0" w:line="360" w:lineRule="auto"/>
        <w:jc w:val="both"/>
        <w:rPr>
          <w:rFonts w:ascii="Book Antiqua" w:hAnsi="Book Antiqua" w:cs="Calibri"/>
          <w:b/>
          <w:bCs/>
          <w:i/>
          <w:sz w:val="24"/>
          <w:szCs w:val="24"/>
        </w:rPr>
      </w:pPr>
      <w:r w:rsidRPr="00877499">
        <w:rPr>
          <w:rFonts w:ascii="Book Antiqua" w:hAnsi="Book Antiqua" w:cs="Calibri"/>
          <w:b/>
          <w:bCs/>
          <w:i/>
          <w:sz w:val="24"/>
          <w:szCs w:val="24"/>
        </w:rPr>
        <w:t xml:space="preserve">Research </w:t>
      </w:r>
      <w:r w:rsidR="001C5CFB" w:rsidRPr="00877499">
        <w:rPr>
          <w:rFonts w:ascii="Book Antiqua" w:hAnsi="Book Antiqua" w:cs="Calibri"/>
          <w:b/>
          <w:bCs/>
          <w:i/>
          <w:sz w:val="24"/>
          <w:szCs w:val="24"/>
        </w:rPr>
        <w:t>m</w:t>
      </w:r>
      <w:r w:rsidRPr="00877499">
        <w:rPr>
          <w:rFonts w:ascii="Book Antiqua" w:hAnsi="Book Antiqua" w:cs="Calibri"/>
          <w:b/>
          <w:bCs/>
          <w:i/>
          <w:sz w:val="24"/>
          <w:szCs w:val="24"/>
        </w:rPr>
        <w:t>ethods</w:t>
      </w:r>
    </w:p>
    <w:p w:rsidR="00881E29" w:rsidRPr="00877499" w:rsidRDefault="00881E29" w:rsidP="009E2046">
      <w:pPr>
        <w:widowControl w:val="0"/>
        <w:spacing w:after="0" w:line="360" w:lineRule="auto"/>
        <w:jc w:val="both"/>
        <w:rPr>
          <w:rFonts w:ascii="Book Antiqua" w:hAnsi="Book Antiqua" w:cs="Calibri" w:hint="eastAsia"/>
          <w:bCs/>
          <w:sz w:val="24"/>
          <w:szCs w:val="24"/>
        </w:rPr>
      </w:pPr>
      <w:r w:rsidRPr="00877499">
        <w:rPr>
          <w:rFonts w:ascii="Book Antiqua" w:hAnsi="Book Antiqua" w:cs="Calibri"/>
          <w:bCs/>
          <w:sz w:val="24"/>
          <w:szCs w:val="24"/>
        </w:rPr>
        <w:t xml:space="preserve">We systematically selected the patients based on inclusion criteria further described in the manuscript, and retrieved relevant clinical variables such as </w:t>
      </w:r>
      <w:r w:rsidR="00675C6C" w:rsidRPr="00877499">
        <w:rPr>
          <w:rFonts w:ascii="Book Antiqua" w:hAnsi="Book Antiqua" w:cs="Calibri"/>
          <w:bCs/>
          <w:sz w:val="24"/>
          <w:szCs w:val="24"/>
        </w:rPr>
        <w:t>billing</w:t>
      </w:r>
      <w:r w:rsidRPr="00877499">
        <w:rPr>
          <w:rFonts w:ascii="Book Antiqua" w:hAnsi="Book Antiqua" w:cs="Calibri"/>
          <w:bCs/>
          <w:sz w:val="24"/>
          <w:szCs w:val="24"/>
        </w:rPr>
        <w:t xml:space="preserve"> records, treatment history, patient demographics, response and side effects. Statistical analyses were conducted using SAS Institute Inc 2013. </w:t>
      </w:r>
    </w:p>
    <w:p w:rsidR="001C5CFB" w:rsidRPr="00877499" w:rsidRDefault="001C5CFB" w:rsidP="009E2046">
      <w:pPr>
        <w:widowControl w:val="0"/>
        <w:spacing w:after="0" w:line="360" w:lineRule="auto"/>
        <w:jc w:val="both"/>
        <w:rPr>
          <w:rFonts w:ascii="Book Antiqua" w:hAnsi="Book Antiqua" w:cs="Calibri"/>
          <w:bCs/>
          <w:sz w:val="24"/>
          <w:szCs w:val="24"/>
        </w:rPr>
      </w:pPr>
    </w:p>
    <w:p w:rsidR="00647DEE" w:rsidRPr="00877499" w:rsidRDefault="00647DEE" w:rsidP="009E2046">
      <w:pPr>
        <w:widowControl w:val="0"/>
        <w:spacing w:after="0" w:line="360" w:lineRule="auto"/>
        <w:jc w:val="both"/>
        <w:rPr>
          <w:rFonts w:ascii="Book Antiqua" w:hAnsi="Book Antiqua" w:cs="Calibri"/>
          <w:b/>
          <w:bCs/>
          <w:i/>
          <w:sz w:val="24"/>
          <w:szCs w:val="24"/>
        </w:rPr>
      </w:pPr>
      <w:r w:rsidRPr="00877499">
        <w:rPr>
          <w:rFonts w:ascii="Book Antiqua" w:hAnsi="Book Antiqua" w:cs="Calibri"/>
          <w:b/>
          <w:bCs/>
          <w:i/>
          <w:sz w:val="24"/>
          <w:szCs w:val="24"/>
        </w:rPr>
        <w:t>Research results</w:t>
      </w:r>
    </w:p>
    <w:p w:rsidR="00881E29" w:rsidRPr="00877499" w:rsidRDefault="00881E29" w:rsidP="009E2046">
      <w:pPr>
        <w:widowControl w:val="0"/>
        <w:spacing w:after="0" w:line="360" w:lineRule="auto"/>
        <w:jc w:val="both"/>
        <w:rPr>
          <w:rFonts w:ascii="Book Antiqua" w:hAnsi="Book Antiqua" w:cs="Calibri" w:hint="eastAsia"/>
          <w:bCs/>
          <w:sz w:val="24"/>
          <w:szCs w:val="24"/>
        </w:rPr>
      </w:pPr>
      <w:r w:rsidRPr="00877499">
        <w:rPr>
          <w:rFonts w:ascii="Book Antiqua" w:hAnsi="Book Antiqua" w:cs="Calibri"/>
          <w:bCs/>
          <w:sz w:val="24"/>
          <w:szCs w:val="24"/>
        </w:rPr>
        <w:t xml:space="preserve">This study demonstrated statistically significant difference in median overall survival favouring the Pertuzumab group, with low incidence of Grade 3 Cardiotoxicity. However, costs in the pertuzumab group remain significantly higher than the non-Pertuzumab group. </w:t>
      </w:r>
    </w:p>
    <w:p w:rsidR="001C5CFB" w:rsidRPr="00877499" w:rsidRDefault="001C5CFB" w:rsidP="009E2046">
      <w:pPr>
        <w:widowControl w:val="0"/>
        <w:spacing w:after="0" w:line="360" w:lineRule="auto"/>
        <w:jc w:val="both"/>
        <w:rPr>
          <w:rFonts w:ascii="Book Antiqua" w:hAnsi="Book Antiqua" w:cs="Calibri"/>
          <w:bCs/>
          <w:sz w:val="24"/>
          <w:szCs w:val="24"/>
        </w:rPr>
      </w:pPr>
    </w:p>
    <w:p w:rsidR="00647DEE" w:rsidRPr="00877499" w:rsidRDefault="00647DEE" w:rsidP="009E2046">
      <w:pPr>
        <w:widowControl w:val="0"/>
        <w:spacing w:after="0" w:line="360" w:lineRule="auto"/>
        <w:jc w:val="both"/>
        <w:rPr>
          <w:rFonts w:ascii="Book Antiqua" w:hAnsi="Book Antiqua" w:cs="Calibri"/>
          <w:b/>
          <w:bCs/>
          <w:i/>
          <w:sz w:val="24"/>
          <w:szCs w:val="24"/>
        </w:rPr>
      </w:pPr>
      <w:r w:rsidRPr="00877499">
        <w:rPr>
          <w:rFonts w:ascii="Book Antiqua" w:hAnsi="Book Antiqua" w:cs="Calibri"/>
          <w:b/>
          <w:bCs/>
          <w:i/>
          <w:sz w:val="24"/>
          <w:szCs w:val="24"/>
        </w:rPr>
        <w:t>Research conclusions</w:t>
      </w:r>
    </w:p>
    <w:p w:rsidR="00881E29" w:rsidRPr="00877499" w:rsidRDefault="00881E29" w:rsidP="009E2046">
      <w:pPr>
        <w:widowControl w:val="0"/>
        <w:spacing w:after="0" w:line="360" w:lineRule="auto"/>
        <w:jc w:val="both"/>
        <w:rPr>
          <w:rFonts w:ascii="Book Antiqua" w:hAnsi="Book Antiqua" w:cs="Calibri"/>
          <w:bCs/>
          <w:sz w:val="24"/>
          <w:szCs w:val="24"/>
        </w:rPr>
      </w:pPr>
      <w:r w:rsidRPr="00877499">
        <w:rPr>
          <w:rFonts w:ascii="Book Antiqua" w:hAnsi="Book Antiqua" w:cs="Calibri"/>
          <w:bCs/>
          <w:sz w:val="24"/>
          <w:szCs w:val="24"/>
        </w:rPr>
        <w:lastRenderedPageBreak/>
        <w:t xml:space="preserve">We found that Pertuzumab had statistically significant survival benefit in an Asian population in Singapore. This study proposes that Pertuzumab should be adopted as first line therapy for HER2-positive metastatic breast cancer. To summarize the current knowledge, it supports the findings of CLEOPATRA trial, in an Asian population in Singapore. No similar study has been done in an Asian population in Singapore. </w:t>
      </w:r>
      <w:r w:rsidR="00463FA6" w:rsidRPr="00877499">
        <w:rPr>
          <w:rFonts w:ascii="Book Antiqua" w:hAnsi="Book Antiqua" w:cs="Calibri"/>
          <w:bCs/>
          <w:sz w:val="24"/>
          <w:szCs w:val="24"/>
        </w:rPr>
        <w:t>The implications of this study is that further cost-</w:t>
      </w:r>
      <w:r w:rsidR="00675C6C" w:rsidRPr="00877499">
        <w:rPr>
          <w:rFonts w:ascii="Book Antiqua" w:hAnsi="Book Antiqua" w:cs="Calibri"/>
          <w:bCs/>
          <w:sz w:val="24"/>
          <w:szCs w:val="24"/>
        </w:rPr>
        <w:t>effectiveness</w:t>
      </w:r>
      <w:r w:rsidR="00463FA6" w:rsidRPr="00877499">
        <w:rPr>
          <w:rFonts w:ascii="Book Antiqua" w:hAnsi="Book Antiqua" w:cs="Calibri"/>
          <w:bCs/>
          <w:sz w:val="24"/>
          <w:szCs w:val="24"/>
        </w:rPr>
        <w:t xml:space="preserve"> studies should be conducted on the usage of pertuzumab. </w:t>
      </w:r>
    </w:p>
    <w:p w:rsidR="001C5CFB" w:rsidRPr="00877499" w:rsidRDefault="001C5CFB" w:rsidP="009E2046">
      <w:pPr>
        <w:widowControl w:val="0"/>
        <w:spacing w:after="0" w:line="360" w:lineRule="auto"/>
        <w:jc w:val="both"/>
        <w:rPr>
          <w:rFonts w:ascii="Book Antiqua" w:hAnsi="Book Antiqua" w:cs="Calibri" w:hint="eastAsia"/>
          <w:bCs/>
          <w:sz w:val="24"/>
          <w:szCs w:val="24"/>
        </w:rPr>
      </w:pPr>
    </w:p>
    <w:p w:rsidR="00E47963" w:rsidRPr="00877499" w:rsidRDefault="00647DEE" w:rsidP="009E2046">
      <w:pPr>
        <w:widowControl w:val="0"/>
        <w:spacing w:after="0" w:line="360" w:lineRule="auto"/>
        <w:jc w:val="both"/>
        <w:rPr>
          <w:rFonts w:ascii="Book Antiqua" w:hAnsi="Book Antiqua" w:cs="Calibri"/>
          <w:b/>
          <w:bCs/>
          <w:i/>
          <w:sz w:val="24"/>
          <w:szCs w:val="24"/>
        </w:rPr>
      </w:pPr>
      <w:r w:rsidRPr="00877499">
        <w:rPr>
          <w:rFonts w:ascii="Book Antiqua" w:hAnsi="Book Antiqua" w:cs="Calibri"/>
          <w:b/>
          <w:bCs/>
          <w:i/>
          <w:sz w:val="24"/>
          <w:szCs w:val="24"/>
        </w:rPr>
        <w:t>Research perspective</w:t>
      </w:r>
    </w:p>
    <w:p w:rsidR="00463FA6" w:rsidRPr="00877499" w:rsidRDefault="00463FA6" w:rsidP="009E2046">
      <w:pPr>
        <w:widowControl w:val="0"/>
        <w:spacing w:after="0" w:line="360" w:lineRule="auto"/>
        <w:jc w:val="both"/>
        <w:rPr>
          <w:rFonts w:ascii="Book Antiqua" w:hAnsi="Book Antiqua" w:cs="Calibri"/>
          <w:bCs/>
          <w:sz w:val="24"/>
          <w:szCs w:val="24"/>
        </w:rPr>
      </w:pPr>
      <w:r w:rsidRPr="00877499">
        <w:rPr>
          <w:rFonts w:ascii="Book Antiqua" w:hAnsi="Book Antiqua" w:cs="Calibri"/>
          <w:bCs/>
          <w:sz w:val="24"/>
          <w:szCs w:val="24"/>
        </w:rPr>
        <w:t xml:space="preserve">This study demonstrated the clinical efficacy of Pertuzumab in an Asian population in Singapore, and serves as an impetus for future research on costs. </w:t>
      </w:r>
    </w:p>
    <w:p w:rsidR="00EC1660" w:rsidRPr="00877499" w:rsidRDefault="00EC1660" w:rsidP="009E2046">
      <w:pPr>
        <w:widowControl w:val="0"/>
        <w:spacing w:after="0" w:line="360" w:lineRule="auto"/>
        <w:jc w:val="both"/>
        <w:rPr>
          <w:rFonts w:ascii="Book Antiqua" w:hAnsi="Book Antiqua" w:cs="Calibri"/>
          <w:sz w:val="24"/>
          <w:szCs w:val="24"/>
        </w:rPr>
      </w:pPr>
    </w:p>
    <w:p w:rsidR="00EC1660" w:rsidRPr="00877499" w:rsidRDefault="00EC1660" w:rsidP="009E2046">
      <w:pPr>
        <w:pStyle w:val="a7"/>
        <w:widowControl w:val="0"/>
        <w:spacing w:after="0" w:line="360" w:lineRule="auto"/>
        <w:ind w:left="0" w:firstLine="0"/>
        <w:jc w:val="both"/>
        <w:rPr>
          <w:rFonts w:ascii="Book Antiqua" w:hAnsi="Book Antiqua" w:cs="Calibri" w:hint="eastAsia"/>
          <w:b/>
          <w:caps/>
          <w:sz w:val="24"/>
          <w:szCs w:val="24"/>
        </w:rPr>
      </w:pPr>
      <w:r w:rsidRPr="00877499">
        <w:rPr>
          <w:rFonts w:ascii="Book Antiqua" w:hAnsi="Book Antiqua" w:cs="Calibri"/>
          <w:sz w:val="24"/>
          <w:szCs w:val="24"/>
        </w:rPr>
        <w:br w:type="page"/>
      </w:r>
      <w:r w:rsidR="001C5CFB" w:rsidRPr="00877499">
        <w:rPr>
          <w:rFonts w:ascii="Book Antiqua" w:hAnsi="Book Antiqua" w:cs="Calibri"/>
          <w:b/>
          <w:caps/>
          <w:sz w:val="24"/>
          <w:szCs w:val="24"/>
        </w:rPr>
        <w:lastRenderedPageBreak/>
        <w:t xml:space="preserve"> </w:t>
      </w:r>
      <w:r w:rsidRPr="00877499">
        <w:rPr>
          <w:rFonts w:ascii="Book Antiqua" w:hAnsi="Book Antiqua" w:cs="Calibri"/>
          <w:b/>
          <w:caps/>
          <w:sz w:val="24"/>
          <w:szCs w:val="24"/>
        </w:rPr>
        <w:t>References</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1 </w:t>
      </w:r>
      <w:r w:rsidRPr="00877499">
        <w:rPr>
          <w:rFonts w:ascii="Book Antiqua" w:eastAsia="宋体" w:hAnsi="Book Antiqua"/>
          <w:b/>
          <w:kern w:val="2"/>
          <w:sz w:val="24"/>
          <w:szCs w:val="24"/>
        </w:rPr>
        <w:t>Yusuf S</w:t>
      </w:r>
      <w:r w:rsidRPr="00877499">
        <w:rPr>
          <w:rFonts w:ascii="Book Antiqua" w:eastAsia="宋体" w:hAnsi="Book Antiqua"/>
          <w:kern w:val="2"/>
          <w:sz w:val="24"/>
          <w:szCs w:val="24"/>
        </w:rPr>
        <w:t>, Joseph P, Rangarajan S, Islam S, Mente A, Hystad P, Brauer M, Kutty VR, Gupta R, Wielgosz A, AlHabib KF, Dans A, Lopez-Jaramillo P, Avezum A, Lanas F, Oguz A, Kruger IM, Diaz R, Yusoff K, Mony P, Chifamba J, Yeates K, Kelishadi R, Yusufali A, Khatib R, Rahman O, Zatonska K, Iqbal R, Wei L, Bo H, Rosengren A, Kaur M, Mohan V, Lear SA, Teo KK, Leong D, O'Donnell M, McKee M, Dagenais G. Modifiable risk factors, cardiovascular disease, and mortality in 155</w:t>
      </w:r>
      <w:r w:rsidRPr="00877499">
        <w:rPr>
          <w:rFonts w:ascii="Times New Roman" w:eastAsia="宋体" w:hAnsi="Times New Roman"/>
          <w:kern w:val="2"/>
          <w:sz w:val="24"/>
          <w:szCs w:val="24"/>
        </w:rPr>
        <w:t> </w:t>
      </w:r>
      <w:r w:rsidRPr="00877499">
        <w:rPr>
          <w:rFonts w:ascii="Book Antiqua" w:eastAsia="宋体" w:hAnsi="Book Antiqua"/>
          <w:kern w:val="2"/>
          <w:sz w:val="24"/>
          <w:szCs w:val="24"/>
        </w:rPr>
        <w:t xml:space="preserve">722 individuals from 21 high-income, middle-income, and low-income countries (PURE): a prospective cohort study. </w:t>
      </w:r>
      <w:r w:rsidRPr="00877499">
        <w:rPr>
          <w:rFonts w:ascii="Book Antiqua" w:eastAsia="宋体" w:hAnsi="Book Antiqua"/>
          <w:i/>
          <w:kern w:val="2"/>
          <w:sz w:val="24"/>
          <w:szCs w:val="24"/>
        </w:rPr>
        <w:t>Lancet</w:t>
      </w:r>
      <w:r w:rsidRPr="00877499">
        <w:rPr>
          <w:rFonts w:ascii="Book Antiqua" w:eastAsia="宋体" w:hAnsi="Book Antiqua"/>
          <w:kern w:val="2"/>
          <w:sz w:val="24"/>
          <w:szCs w:val="24"/>
        </w:rPr>
        <w:t xml:space="preserve"> 2019</w:t>
      </w:r>
      <w:r w:rsidRPr="00877499">
        <w:rPr>
          <w:rFonts w:ascii="Book Antiqua" w:eastAsia="宋体" w:hAnsi="Book Antiqua" w:hint="eastAsia"/>
          <w:kern w:val="2"/>
          <w:sz w:val="24"/>
          <w:szCs w:val="24"/>
        </w:rPr>
        <w:t xml:space="preserve"> </w:t>
      </w:r>
      <w:r w:rsidRPr="00877499">
        <w:rPr>
          <w:rFonts w:ascii="Book Antiqua" w:eastAsia="宋体" w:hAnsi="Book Antiqua"/>
          <w:kern w:val="2"/>
          <w:sz w:val="24"/>
          <w:szCs w:val="24"/>
        </w:rPr>
        <w:t>[PMID: 31492503 DOI: 10.1016/S0140-6736(19)32008-2]</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2 </w:t>
      </w:r>
      <w:r w:rsidRPr="00877499">
        <w:rPr>
          <w:rFonts w:ascii="Book Antiqua" w:eastAsia="宋体" w:hAnsi="Book Antiqua"/>
          <w:b/>
          <w:kern w:val="2"/>
          <w:sz w:val="24"/>
          <w:szCs w:val="24"/>
        </w:rPr>
        <w:t>Murphy PJ</w:t>
      </w:r>
      <w:r w:rsidRPr="00877499">
        <w:rPr>
          <w:rFonts w:ascii="Book Antiqua" w:eastAsia="宋体" w:hAnsi="Book Antiqua"/>
          <w:kern w:val="2"/>
          <w:sz w:val="24"/>
          <w:szCs w:val="24"/>
        </w:rPr>
        <w:t xml:space="preserve">, Marlow LAV, Waller J, Vrinten C. What is it about a cancer diagnosis that would worry people? A population-based survey of adults in England. </w:t>
      </w:r>
      <w:r w:rsidRPr="00877499">
        <w:rPr>
          <w:rFonts w:ascii="Book Antiqua" w:eastAsia="宋体" w:hAnsi="Book Antiqua"/>
          <w:i/>
          <w:kern w:val="2"/>
          <w:sz w:val="24"/>
          <w:szCs w:val="24"/>
        </w:rPr>
        <w:t>BMC Cancer</w:t>
      </w:r>
      <w:r w:rsidRPr="00877499">
        <w:rPr>
          <w:rFonts w:ascii="Book Antiqua" w:eastAsia="宋体" w:hAnsi="Book Antiqua"/>
          <w:kern w:val="2"/>
          <w:sz w:val="24"/>
          <w:szCs w:val="24"/>
        </w:rPr>
        <w:t xml:space="preserve"> 2018; </w:t>
      </w:r>
      <w:r w:rsidRPr="00877499">
        <w:rPr>
          <w:rFonts w:ascii="Book Antiqua" w:eastAsia="宋体" w:hAnsi="Book Antiqua"/>
          <w:b/>
          <w:kern w:val="2"/>
          <w:sz w:val="24"/>
          <w:szCs w:val="24"/>
        </w:rPr>
        <w:t>18</w:t>
      </w:r>
      <w:r w:rsidRPr="00877499">
        <w:rPr>
          <w:rFonts w:ascii="Book Antiqua" w:eastAsia="宋体" w:hAnsi="Book Antiqua"/>
          <w:kern w:val="2"/>
          <w:sz w:val="24"/>
          <w:szCs w:val="24"/>
        </w:rPr>
        <w:t>: 86 [PMID: 29361912 DOI: 10.1186/s12885-017-3963-4]</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3 </w:t>
      </w:r>
      <w:r w:rsidRPr="00877499">
        <w:rPr>
          <w:rFonts w:ascii="Book Antiqua" w:eastAsia="宋体" w:hAnsi="Book Antiqua"/>
          <w:b/>
          <w:kern w:val="2"/>
          <w:sz w:val="24"/>
          <w:szCs w:val="24"/>
        </w:rPr>
        <w:t>Sundquist M</w:t>
      </w:r>
      <w:r w:rsidRPr="00877499">
        <w:rPr>
          <w:rFonts w:ascii="Book Antiqua" w:eastAsia="宋体" w:hAnsi="Book Antiqua"/>
          <w:kern w:val="2"/>
          <w:sz w:val="24"/>
          <w:szCs w:val="24"/>
        </w:rPr>
        <w:t xml:space="preserve">, Brudin L, Tejler G. Improved survival in metastatic breast cancer 1985-2016. </w:t>
      </w:r>
      <w:r w:rsidRPr="00877499">
        <w:rPr>
          <w:rFonts w:ascii="Book Antiqua" w:eastAsia="宋体" w:hAnsi="Book Antiqua"/>
          <w:i/>
          <w:kern w:val="2"/>
          <w:sz w:val="24"/>
          <w:szCs w:val="24"/>
        </w:rPr>
        <w:t>Breast</w:t>
      </w:r>
      <w:r w:rsidRPr="00877499">
        <w:rPr>
          <w:rFonts w:ascii="Book Antiqua" w:eastAsia="宋体" w:hAnsi="Book Antiqua"/>
          <w:kern w:val="2"/>
          <w:sz w:val="24"/>
          <w:szCs w:val="24"/>
        </w:rPr>
        <w:t xml:space="preserve"> 2017; </w:t>
      </w:r>
      <w:r w:rsidRPr="00877499">
        <w:rPr>
          <w:rFonts w:ascii="Book Antiqua" w:eastAsia="宋体" w:hAnsi="Book Antiqua"/>
          <w:b/>
          <w:kern w:val="2"/>
          <w:sz w:val="24"/>
          <w:szCs w:val="24"/>
        </w:rPr>
        <w:t>31</w:t>
      </w:r>
      <w:r w:rsidRPr="00877499">
        <w:rPr>
          <w:rFonts w:ascii="Book Antiqua" w:eastAsia="宋体" w:hAnsi="Book Antiqua"/>
          <w:kern w:val="2"/>
          <w:sz w:val="24"/>
          <w:szCs w:val="24"/>
        </w:rPr>
        <w:t>: 46-50 [PMID: 27810699 DOI: 10.1016/j.breast.2016.10.005]</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4 </w:t>
      </w:r>
      <w:r w:rsidRPr="00877499">
        <w:rPr>
          <w:rFonts w:ascii="Book Antiqua" w:eastAsia="宋体" w:hAnsi="Book Antiqua"/>
          <w:b/>
          <w:kern w:val="2"/>
          <w:sz w:val="24"/>
          <w:szCs w:val="24"/>
        </w:rPr>
        <w:t>Gobbini E</w:t>
      </w:r>
      <w:r w:rsidRPr="00877499">
        <w:rPr>
          <w:rFonts w:ascii="Book Antiqua" w:eastAsia="宋体" w:hAnsi="Book Antiqua"/>
          <w:kern w:val="2"/>
          <w:sz w:val="24"/>
          <w:szCs w:val="24"/>
        </w:rPr>
        <w:t xml:space="preserve">, Ezzalfani M, Dieras V, Bachelot T, Brain E, Debled M, Jacot W, Mouret-Reynier MA, Goncalves A, Dalenc F, Patsouris A, Ferrero JM, Levy C, Lorgis V, Vanlemmens L, Lefeuvre-Plesse C, Mathoulin-Pelissier S, Petit T, Uwer L, Jouannaud C, Leheurteur M, Lacroix-Triki M, Cleaud AL, Robain M, Courtinard C, Cailliot C, Perol D, Delaloge S. Time trends of overall survival among metastatic breast cancer patients in the real-life ESME cohort. </w:t>
      </w:r>
      <w:r w:rsidRPr="00877499">
        <w:rPr>
          <w:rFonts w:ascii="Book Antiqua" w:eastAsia="宋体" w:hAnsi="Book Antiqua"/>
          <w:i/>
          <w:kern w:val="2"/>
          <w:sz w:val="24"/>
          <w:szCs w:val="24"/>
        </w:rPr>
        <w:t>Eur J Cancer</w:t>
      </w:r>
      <w:r w:rsidRPr="00877499">
        <w:rPr>
          <w:rFonts w:ascii="Book Antiqua" w:eastAsia="宋体" w:hAnsi="Book Antiqua"/>
          <w:kern w:val="2"/>
          <w:sz w:val="24"/>
          <w:szCs w:val="24"/>
        </w:rPr>
        <w:t xml:space="preserve"> 2018; </w:t>
      </w:r>
      <w:r w:rsidRPr="00877499">
        <w:rPr>
          <w:rFonts w:ascii="Book Antiqua" w:eastAsia="宋体" w:hAnsi="Book Antiqua"/>
          <w:b/>
          <w:kern w:val="2"/>
          <w:sz w:val="24"/>
          <w:szCs w:val="24"/>
        </w:rPr>
        <w:t>96</w:t>
      </w:r>
      <w:r w:rsidRPr="00877499">
        <w:rPr>
          <w:rFonts w:ascii="Book Antiqua" w:eastAsia="宋体" w:hAnsi="Book Antiqua"/>
          <w:kern w:val="2"/>
          <w:sz w:val="24"/>
          <w:szCs w:val="24"/>
        </w:rPr>
        <w:t>: 17-24 [PMID: 29660596 DOI: 10.1016/j.ejca.2018.03.015]</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5 </w:t>
      </w:r>
      <w:r w:rsidRPr="00877499">
        <w:rPr>
          <w:rFonts w:ascii="Book Antiqua" w:eastAsia="宋体" w:hAnsi="Book Antiqua"/>
          <w:b/>
          <w:kern w:val="2"/>
          <w:sz w:val="24"/>
          <w:szCs w:val="24"/>
        </w:rPr>
        <w:t>Arteaga CL</w:t>
      </w:r>
      <w:r w:rsidRPr="00877499">
        <w:rPr>
          <w:rFonts w:ascii="Book Antiqua" w:eastAsia="宋体" w:hAnsi="Book Antiqua"/>
          <w:kern w:val="2"/>
          <w:sz w:val="24"/>
          <w:szCs w:val="24"/>
        </w:rPr>
        <w:t xml:space="preserve">, Sliwkowski MX, Osborne CK, Perez EA, Puglisi F, Gianni L. Treatment of HER2-positive breast cancer: current status and future perspectives. </w:t>
      </w:r>
      <w:r w:rsidRPr="00877499">
        <w:rPr>
          <w:rFonts w:ascii="Book Antiqua" w:eastAsia="宋体" w:hAnsi="Book Antiqua"/>
          <w:i/>
          <w:kern w:val="2"/>
          <w:sz w:val="24"/>
          <w:szCs w:val="24"/>
        </w:rPr>
        <w:t>Nat Rev Clin Oncol</w:t>
      </w:r>
      <w:r w:rsidRPr="00877499">
        <w:rPr>
          <w:rFonts w:ascii="Book Antiqua" w:eastAsia="宋体" w:hAnsi="Book Antiqua"/>
          <w:kern w:val="2"/>
          <w:sz w:val="24"/>
          <w:szCs w:val="24"/>
        </w:rPr>
        <w:t xml:space="preserve"> 2011; </w:t>
      </w:r>
      <w:r w:rsidRPr="00877499">
        <w:rPr>
          <w:rFonts w:ascii="Book Antiqua" w:eastAsia="宋体" w:hAnsi="Book Antiqua"/>
          <w:b/>
          <w:kern w:val="2"/>
          <w:sz w:val="24"/>
          <w:szCs w:val="24"/>
        </w:rPr>
        <w:t>9</w:t>
      </w:r>
      <w:r w:rsidRPr="00877499">
        <w:rPr>
          <w:rFonts w:ascii="Book Antiqua" w:eastAsia="宋体" w:hAnsi="Book Antiqua"/>
          <w:kern w:val="2"/>
          <w:sz w:val="24"/>
          <w:szCs w:val="24"/>
        </w:rPr>
        <w:t>: 16-32 [PMID: 22124364 DOI: 10.1038/nrclinonc.2011.177]</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6 </w:t>
      </w:r>
      <w:r w:rsidRPr="00877499">
        <w:rPr>
          <w:rFonts w:ascii="Book Antiqua" w:eastAsia="宋体" w:hAnsi="Book Antiqua"/>
          <w:b/>
          <w:kern w:val="2"/>
          <w:sz w:val="24"/>
          <w:szCs w:val="24"/>
        </w:rPr>
        <w:t>Swain SM</w:t>
      </w:r>
      <w:r w:rsidRPr="00877499">
        <w:rPr>
          <w:rFonts w:ascii="Book Antiqua" w:eastAsia="宋体" w:hAnsi="Book Antiqua"/>
          <w:kern w:val="2"/>
          <w:sz w:val="24"/>
          <w:szCs w:val="24"/>
        </w:rPr>
        <w:t xml:space="preserve">, Baselga J, Kim SB, Ro J, Semiglazov V, Campone M, Ciruelos E, Ferrero JM, Schneeweiss A, Heeson S, Clark E, Ross G, Benyunes MC, Cortés J; CLEOPATRA Study Group. Pertuzumab, trastuzumab, and docetaxel in HER2-positive metastatic breast cancer. </w:t>
      </w:r>
      <w:r w:rsidRPr="00877499">
        <w:rPr>
          <w:rFonts w:ascii="Book Antiqua" w:eastAsia="宋体" w:hAnsi="Book Antiqua"/>
          <w:i/>
          <w:kern w:val="2"/>
          <w:sz w:val="24"/>
          <w:szCs w:val="24"/>
        </w:rPr>
        <w:t>N Engl J Med</w:t>
      </w:r>
      <w:r w:rsidRPr="00877499">
        <w:rPr>
          <w:rFonts w:ascii="Book Antiqua" w:eastAsia="宋体" w:hAnsi="Book Antiqua"/>
          <w:kern w:val="2"/>
          <w:sz w:val="24"/>
          <w:szCs w:val="24"/>
        </w:rPr>
        <w:t xml:space="preserve"> 2015; </w:t>
      </w:r>
      <w:r w:rsidRPr="00877499">
        <w:rPr>
          <w:rFonts w:ascii="Book Antiqua" w:eastAsia="宋体" w:hAnsi="Book Antiqua"/>
          <w:b/>
          <w:kern w:val="2"/>
          <w:sz w:val="24"/>
          <w:szCs w:val="24"/>
        </w:rPr>
        <w:t>372</w:t>
      </w:r>
      <w:r w:rsidRPr="00877499">
        <w:rPr>
          <w:rFonts w:ascii="Book Antiqua" w:eastAsia="宋体" w:hAnsi="Book Antiqua"/>
          <w:kern w:val="2"/>
          <w:sz w:val="24"/>
          <w:szCs w:val="24"/>
        </w:rPr>
        <w:t>: 724-734 [PMID: 25693012 DOI: 10.1056/NEJMoa1413513]</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7 </w:t>
      </w:r>
      <w:r w:rsidRPr="00877499">
        <w:rPr>
          <w:rFonts w:ascii="Book Antiqua" w:eastAsia="宋体" w:hAnsi="Book Antiqua"/>
          <w:b/>
          <w:kern w:val="2"/>
          <w:sz w:val="24"/>
          <w:szCs w:val="24"/>
        </w:rPr>
        <w:t>Slamon DJ</w:t>
      </w:r>
      <w:r w:rsidRPr="00877499">
        <w:rPr>
          <w:rFonts w:ascii="Book Antiqua" w:eastAsia="宋体" w:hAnsi="Book Antiqua"/>
          <w:kern w:val="2"/>
          <w:sz w:val="24"/>
          <w:szCs w:val="24"/>
        </w:rPr>
        <w:t xml:space="preserve">, Leyland-Jones B, Shak S, Fuchs H, Paton V, Bajamonde A, Fleming T, </w:t>
      </w:r>
      <w:r w:rsidRPr="00877499">
        <w:rPr>
          <w:rFonts w:ascii="Book Antiqua" w:eastAsia="宋体" w:hAnsi="Book Antiqua"/>
          <w:kern w:val="2"/>
          <w:sz w:val="24"/>
          <w:szCs w:val="24"/>
        </w:rPr>
        <w:lastRenderedPageBreak/>
        <w:t xml:space="preserve">Eiermann W, Wolter J, Pegram M, Baselga J, Norton L. Use of chemotherapy plus a monoclonal antibody against HER2 for metastatic breast cancer that overexpresses HER2. </w:t>
      </w:r>
      <w:r w:rsidRPr="00877499">
        <w:rPr>
          <w:rFonts w:ascii="Book Antiqua" w:eastAsia="宋体" w:hAnsi="Book Antiqua"/>
          <w:i/>
          <w:kern w:val="2"/>
          <w:sz w:val="24"/>
          <w:szCs w:val="24"/>
        </w:rPr>
        <w:t>N Engl J Med</w:t>
      </w:r>
      <w:r w:rsidRPr="00877499">
        <w:rPr>
          <w:rFonts w:ascii="Book Antiqua" w:eastAsia="宋体" w:hAnsi="Book Antiqua"/>
          <w:kern w:val="2"/>
          <w:sz w:val="24"/>
          <w:szCs w:val="24"/>
        </w:rPr>
        <w:t xml:space="preserve"> 2001; </w:t>
      </w:r>
      <w:r w:rsidRPr="00877499">
        <w:rPr>
          <w:rFonts w:ascii="Book Antiqua" w:eastAsia="宋体" w:hAnsi="Book Antiqua"/>
          <w:b/>
          <w:kern w:val="2"/>
          <w:sz w:val="24"/>
          <w:szCs w:val="24"/>
        </w:rPr>
        <w:t>344</w:t>
      </w:r>
      <w:r w:rsidRPr="00877499">
        <w:rPr>
          <w:rFonts w:ascii="Book Antiqua" w:eastAsia="宋体" w:hAnsi="Book Antiqua"/>
          <w:kern w:val="2"/>
          <w:sz w:val="24"/>
          <w:szCs w:val="24"/>
        </w:rPr>
        <w:t>: 783-792 [PMID: 11248153 DOI: 10.1056/NEJM200103153441101]</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8 </w:t>
      </w:r>
      <w:r w:rsidRPr="00877499">
        <w:rPr>
          <w:rFonts w:ascii="Book Antiqua" w:eastAsia="宋体" w:hAnsi="Book Antiqua"/>
          <w:b/>
          <w:kern w:val="2"/>
          <w:sz w:val="24"/>
          <w:szCs w:val="24"/>
        </w:rPr>
        <w:t>Dawood S</w:t>
      </w:r>
      <w:r w:rsidRPr="00877499">
        <w:rPr>
          <w:rFonts w:ascii="Book Antiqua" w:eastAsia="宋体" w:hAnsi="Book Antiqua"/>
          <w:kern w:val="2"/>
          <w:sz w:val="24"/>
          <w:szCs w:val="24"/>
        </w:rPr>
        <w:t xml:space="preserve">, Sirohi B. Pertuzumab: a new anti-HER2 drug in the management of women with breast cancer. </w:t>
      </w:r>
      <w:r w:rsidRPr="00877499">
        <w:rPr>
          <w:rFonts w:ascii="Book Antiqua" w:eastAsia="宋体" w:hAnsi="Book Antiqua"/>
          <w:i/>
          <w:kern w:val="2"/>
          <w:sz w:val="24"/>
          <w:szCs w:val="24"/>
        </w:rPr>
        <w:t>Future Oncol</w:t>
      </w:r>
      <w:r w:rsidRPr="00877499">
        <w:rPr>
          <w:rFonts w:ascii="Book Antiqua" w:eastAsia="宋体" w:hAnsi="Book Antiqua"/>
          <w:kern w:val="2"/>
          <w:sz w:val="24"/>
          <w:szCs w:val="24"/>
        </w:rPr>
        <w:t xml:space="preserve"> 2015; </w:t>
      </w:r>
      <w:r w:rsidRPr="00877499">
        <w:rPr>
          <w:rFonts w:ascii="Book Antiqua" w:eastAsia="宋体" w:hAnsi="Book Antiqua"/>
          <w:b/>
          <w:kern w:val="2"/>
          <w:sz w:val="24"/>
          <w:szCs w:val="24"/>
        </w:rPr>
        <w:t>11</w:t>
      </w:r>
      <w:r w:rsidRPr="00877499">
        <w:rPr>
          <w:rFonts w:ascii="Book Antiqua" w:eastAsia="宋体" w:hAnsi="Book Antiqua"/>
          <w:kern w:val="2"/>
          <w:sz w:val="24"/>
          <w:szCs w:val="24"/>
        </w:rPr>
        <w:t>: 923-931 [PMID: 25760974 DOI: 10.2217/fon.15.7]</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9 </w:t>
      </w:r>
      <w:r w:rsidRPr="00877499">
        <w:rPr>
          <w:rFonts w:ascii="Book Antiqua" w:eastAsia="宋体" w:hAnsi="Book Antiqua"/>
          <w:b/>
          <w:kern w:val="2"/>
          <w:sz w:val="24"/>
          <w:szCs w:val="24"/>
        </w:rPr>
        <w:t>Gradishar WJ</w:t>
      </w:r>
      <w:r w:rsidRPr="00877499">
        <w:rPr>
          <w:rFonts w:ascii="Book Antiqua" w:eastAsia="宋体" w:hAnsi="Book Antiqua"/>
          <w:kern w:val="2"/>
          <w:sz w:val="24"/>
          <w:szCs w:val="24"/>
        </w:rPr>
        <w:t xml:space="preserve">. Taxanes for the treatment of metastatic breast cancer. </w:t>
      </w:r>
      <w:r w:rsidRPr="00877499">
        <w:rPr>
          <w:rFonts w:ascii="Book Antiqua" w:eastAsia="宋体" w:hAnsi="Book Antiqua"/>
          <w:i/>
          <w:kern w:val="2"/>
          <w:sz w:val="24"/>
          <w:szCs w:val="24"/>
        </w:rPr>
        <w:t>Breast Cancer (Auckl)</w:t>
      </w:r>
      <w:r w:rsidRPr="00877499">
        <w:rPr>
          <w:rFonts w:ascii="Book Antiqua" w:eastAsia="宋体" w:hAnsi="Book Antiqua"/>
          <w:kern w:val="2"/>
          <w:sz w:val="24"/>
          <w:szCs w:val="24"/>
        </w:rPr>
        <w:t xml:space="preserve"> 2012; </w:t>
      </w:r>
      <w:r w:rsidRPr="00877499">
        <w:rPr>
          <w:rFonts w:ascii="Book Antiqua" w:eastAsia="宋体" w:hAnsi="Book Antiqua"/>
          <w:b/>
          <w:kern w:val="2"/>
          <w:sz w:val="24"/>
          <w:szCs w:val="24"/>
        </w:rPr>
        <w:t>6</w:t>
      </w:r>
      <w:r w:rsidRPr="00877499">
        <w:rPr>
          <w:rFonts w:ascii="Book Antiqua" w:eastAsia="宋体" w:hAnsi="Book Antiqua"/>
          <w:kern w:val="2"/>
          <w:sz w:val="24"/>
          <w:szCs w:val="24"/>
        </w:rPr>
        <w:t>: 159-171 [PMID: 23133315 DOI: 10.4137/BCBCR.S8205]</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10 </w:t>
      </w:r>
      <w:r w:rsidRPr="00877499">
        <w:rPr>
          <w:rFonts w:ascii="Book Antiqua" w:eastAsia="宋体" w:hAnsi="Book Antiqua"/>
          <w:b/>
          <w:kern w:val="2"/>
          <w:sz w:val="24"/>
          <w:szCs w:val="24"/>
        </w:rPr>
        <w:t>Gleeson JP</w:t>
      </w:r>
      <w:r w:rsidRPr="00877499">
        <w:rPr>
          <w:rFonts w:ascii="Book Antiqua" w:eastAsia="宋体" w:hAnsi="Book Antiqua"/>
          <w:kern w:val="2"/>
          <w:sz w:val="24"/>
          <w:szCs w:val="24"/>
        </w:rPr>
        <w:t xml:space="preserve">, Keegan NM, Morris PG. Adding Pertuzumab to Trastuzumab and Taxanes in HER2 positive breast cancer. </w:t>
      </w:r>
      <w:r w:rsidRPr="00877499">
        <w:rPr>
          <w:rFonts w:ascii="Book Antiqua" w:eastAsia="宋体" w:hAnsi="Book Antiqua"/>
          <w:i/>
          <w:kern w:val="2"/>
          <w:sz w:val="24"/>
          <w:szCs w:val="24"/>
        </w:rPr>
        <w:t>Expert Opin Biol Ther</w:t>
      </w:r>
      <w:r w:rsidRPr="00877499">
        <w:rPr>
          <w:rFonts w:ascii="Book Antiqua" w:eastAsia="宋体" w:hAnsi="Book Antiqua"/>
          <w:kern w:val="2"/>
          <w:sz w:val="24"/>
          <w:szCs w:val="24"/>
        </w:rPr>
        <w:t xml:space="preserve"> 2018; </w:t>
      </w:r>
      <w:r w:rsidRPr="00877499">
        <w:rPr>
          <w:rFonts w:ascii="Book Antiqua" w:eastAsia="宋体" w:hAnsi="Book Antiqua"/>
          <w:b/>
          <w:kern w:val="2"/>
          <w:sz w:val="24"/>
          <w:szCs w:val="24"/>
        </w:rPr>
        <w:t>18</w:t>
      </w:r>
      <w:r w:rsidRPr="00877499">
        <w:rPr>
          <w:rFonts w:ascii="Book Antiqua" w:eastAsia="宋体" w:hAnsi="Book Antiqua"/>
          <w:kern w:val="2"/>
          <w:sz w:val="24"/>
          <w:szCs w:val="24"/>
        </w:rPr>
        <w:t>: 251-262 [PMID: 29183167 DOI: 10.1080/14712598.2018.1410132]</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11 </w:t>
      </w:r>
      <w:r w:rsidRPr="00877499">
        <w:rPr>
          <w:rFonts w:ascii="Book Antiqua" w:eastAsia="宋体" w:hAnsi="Book Antiqua"/>
          <w:b/>
          <w:kern w:val="2"/>
          <w:sz w:val="24"/>
          <w:szCs w:val="24"/>
        </w:rPr>
        <w:t>Bachelot T</w:t>
      </w:r>
      <w:r w:rsidRPr="00877499">
        <w:rPr>
          <w:rFonts w:ascii="Book Antiqua" w:eastAsia="宋体" w:hAnsi="Book Antiqua"/>
          <w:kern w:val="2"/>
          <w:sz w:val="24"/>
          <w:szCs w:val="24"/>
        </w:rPr>
        <w:t xml:space="preserve">, Ciruelos E, Schneeweiss A, Puglisi F, Peretz-Yablonski T, Bondarenko I, Paluch-Shimon S, Wardley A, Merot JL, du Toit Y, Easton V, Lindegger N, Miles D; PERUSE investigators. Preliminary safety and efficacy of first-line pertuzumab combined with trastuzumab and taxane therapy for HER2-positive locally recurrent or metastatic breast cancer (PERUSE). </w:t>
      </w:r>
      <w:r w:rsidRPr="00877499">
        <w:rPr>
          <w:rFonts w:ascii="Book Antiqua" w:eastAsia="宋体" w:hAnsi="Book Antiqua"/>
          <w:i/>
          <w:kern w:val="2"/>
          <w:sz w:val="24"/>
          <w:szCs w:val="24"/>
        </w:rPr>
        <w:t>Ann Oncol</w:t>
      </w:r>
      <w:r w:rsidRPr="00877499">
        <w:rPr>
          <w:rFonts w:ascii="Book Antiqua" w:eastAsia="宋体" w:hAnsi="Book Antiqua"/>
          <w:kern w:val="2"/>
          <w:sz w:val="24"/>
          <w:szCs w:val="24"/>
        </w:rPr>
        <w:t xml:space="preserve"> 2019; </w:t>
      </w:r>
      <w:r w:rsidRPr="00877499">
        <w:rPr>
          <w:rFonts w:ascii="Book Antiqua" w:eastAsia="宋体" w:hAnsi="Book Antiqua"/>
          <w:b/>
          <w:kern w:val="2"/>
          <w:sz w:val="24"/>
          <w:szCs w:val="24"/>
        </w:rPr>
        <w:t>30</w:t>
      </w:r>
      <w:r w:rsidRPr="00877499">
        <w:rPr>
          <w:rFonts w:ascii="Book Antiqua" w:eastAsia="宋体" w:hAnsi="Book Antiqua"/>
          <w:kern w:val="2"/>
          <w:sz w:val="24"/>
          <w:szCs w:val="24"/>
        </w:rPr>
        <w:t>: 766-773 [PMID: 30796821]</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12 </w:t>
      </w:r>
      <w:r w:rsidRPr="00877499">
        <w:rPr>
          <w:rFonts w:ascii="Book Antiqua" w:eastAsia="宋体" w:hAnsi="Book Antiqua"/>
          <w:b/>
          <w:kern w:val="2"/>
          <w:sz w:val="24"/>
          <w:szCs w:val="24"/>
        </w:rPr>
        <w:t>Chen MT</w:t>
      </w:r>
      <w:r w:rsidRPr="00877499">
        <w:rPr>
          <w:rFonts w:ascii="Book Antiqua" w:eastAsia="宋体" w:hAnsi="Book Antiqua"/>
          <w:kern w:val="2"/>
          <w:sz w:val="24"/>
          <w:szCs w:val="24"/>
        </w:rPr>
        <w:t xml:space="preserve">, Sun HF, Zhao Y, Fu WY, Yang LP, Gao SP, Li LD, Jiang HL, Jin W. Comparison of patterns and prognosis among distant metastatic breast cancer patients by age groups: a SEER population-based analysis. </w:t>
      </w:r>
      <w:r w:rsidRPr="00877499">
        <w:rPr>
          <w:rFonts w:ascii="Book Antiqua" w:eastAsia="宋体" w:hAnsi="Book Antiqua"/>
          <w:i/>
          <w:kern w:val="2"/>
          <w:sz w:val="24"/>
          <w:szCs w:val="24"/>
        </w:rPr>
        <w:t>Sci Rep</w:t>
      </w:r>
      <w:r w:rsidRPr="00877499">
        <w:rPr>
          <w:rFonts w:ascii="Book Antiqua" w:eastAsia="宋体" w:hAnsi="Book Antiqua"/>
          <w:kern w:val="2"/>
          <w:sz w:val="24"/>
          <w:szCs w:val="24"/>
        </w:rPr>
        <w:t xml:space="preserve"> 2017; </w:t>
      </w:r>
      <w:r w:rsidRPr="00877499">
        <w:rPr>
          <w:rFonts w:ascii="Book Antiqua" w:eastAsia="宋体" w:hAnsi="Book Antiqua"/>
          <w:b/>
          <w:kern w:val="2"/>
          <w:sz w:val="24"/>
          <w:szCs w:val="24"/>
        </w:rPr>
        <w:t>7</w:t>
      </w:r>
      <w:r w:rsidRPr="00877499">
        <w:rPr>
          <w:rFonts w:ascii="Book Antiqua" w:eastAsia="宋体" w:hAnsi="Book Antiqua"/>
          <w:kern w:val="2"/>
          <w:sz w:val="24"/>
          <w:szCs w:val="24"/>
        </w:rPr>
        <w:t>: 9254 [PMID: 28835702 DOI: 10.1038/s41598-017-10166-8]</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13 </w:t>
      </w:r>
      <w:r w:rsidRPr="00877499">
        <w:rPr>
          <w:rFonts w:ascii="Book Antiqua" w:eastAsia="宋体" w:hAnsi="Book Antiqua"/>
          <w:b/>
          <w:kern w:val="2"/>
          <w:sz w:val="24"/>
          <w:szCs w:val="24"/>
        </w:rPr>
        <w:t>Dunnwald LK</w:t>
      </w:r>
      <w:r w:rsidRPr="00877499">
        <w:rPr>
          <w:rFonts w:ascii="Book Antiqua" w:eastAsia="宋体" w:hAnsi="Book Antiqua"/>
          <w:kern w:val="2"/>
          <w:sz w:val="24"/>
          <w:szCs w:val="24"/>
        </w:rPr>
        <w:t xml:space="preserve">, Rossing MA, Li CI. Hormone receptor status, tumor characteristics, and prognosis: a prospective cohort of breast cancer patients. </w:t>
      </w:r>
      <w:r w:rsidRPr="00877499">
        <w:rPr>
          <w:rFonts w:ascii="Book Antiqua" w:eastAsia="宋体" w:hAnsi="Book Antiqua"/>
          <w:i/>
          <w:kern w:val="2"/>
          <w:sz w:val="24"/>
          <w:szCs w:val="24"/>
        </w:rPr>
        <w:t>Breast Cancer Res</w:t>
      </w:r>
      <w:r w:rsidRPr="00877499">
        <w:rPr>
          <w:rFonts w:ascii="Book Antiqua" w:eastAsia="宋体" w:hAnsi="Book Antiqua"/>
          <w:kern w:val="2"/>
          <w:sz w:val="24"/>
          <w:szCs w:val="24"/>
        </w:rPr>
        <w:t xml:space="preserve"> 2007; </w:t>
      </w:r>
      <w:r w:rsidRPr="00877499">
        <w:rPr>
          <w:rFonts w:ascii="Book Antiqua" w:eastAsia="宋体" w:hAnsi="Book Antiqua"/>
          <w:b/>
          <w:kern w:val="2"/>
          <w:sz w:val="24"/>
          <w:szCs w:val="24"/>
        </w:rPr>
        <w:t>9</w:t>
      </w:r>
      <w:r w:rsidRPr="00877499">
        <w:rPr>
          <w:rFonts w:ascii="Book Antiqua" w:eastAsia="宋体" w:hAnsi="Book Antiqua"/>
          <w:kern w:val="2"/>
          <w:sz w:val="24"/>
          <w:szCs w:val="24"/>
        </w:rPr>
        <w:t>: R6 [PMID: 17239243 DOI: 10.1186/bcr1639]</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14 </w:t>
      </w:r>
      <w:r w:rsidRPr="00877499">
        <w:rPr>
          <w:rFonts w:ascii="Book Antiqua" w:eastAsia="宋体" w:hAnsi="Book Antiqua"/>
          <w:b/>
          <w:kern w:val="2"/>
          <w:sz w:val="24"/>
          <w:szCs w:val="24"/>
        </w:rPr>
        <w:t>Rakha EA</w:t>
      </w:r>
      <w:r w:rsidRPr="00877499">
        <w:rPr>
          <w:rFonts w:ascii="Book Antiqua" w:eastAsia="宋体" w:hAnsi="Book Antiqua"/>
          <w:kern w:val="2"/>
          <w:sz w:val="24"/>
          <w:szCs w:val="24"/>
        </w:rPr>
        <w:t xml:space="preserve">, El-Sayed ME, Lee AH, Elston CW, Grainge MJ, Hodi Z, Blamey RW, Ellis IO. Prognostic significance of Nottingham histologic grade in invasive breast carcinoma. </w:t>
      </w:r>
      <w:r w:rsidRPr="00877499">
        <w:rPr>
          <w:rFonts w:ascii="Book Antiqua" w:eastAsia="宋体" w:hAnsi="Book Antiqua"/>
          <w:i/>
          <w:kern w:val="2"/>
          <w:sz w:val="24"/>
          <w:szCs w:val="24"/>
        </w:rPr>
        <w:t>J Clin Oncol</w:t>
      </w:r>
      <w:r w:rsidRPr="00877499">
        <w:rPr>
          <w:rFonts w:ascii="Book Antiqua" w:eastAsia="宋体" w:hAnsi="Book Antiqua"/>
          <w:kern w:val="2"/>
          <w:sz w:val="24"/>
          <w:szCs w:val="24"/>
        </w:rPr>
        <w:t xml:space="preserve"> 2008; </w:t>
      </w:r>
      <w:r w:rsidRPr="00877499">
        <w:rPr>
          <w:rFonts w:ascii="Book Antiqua" w:eastAsia="宋体" w:hAnsi="Book Antiqua"/>
          <w:b/>
          <w:kern w:val="2"/>
          <w:sz w:val="24"/>
          <w:szCs w:val="24"/>
        </w:rPr>
        <w:t>26</w:t>
      </w:r>
      <w:r w:rsidRPr="00877499">
        <w:rPr>
          <w:rFonts w:ascii="Book Antiqua" w:eastAsia="宋体" w:hAnsi="Book Antiqua"/>
          <w:kern w:val="2"/>
          <w:sz w:val="24"/>
          <w:szCs w:val="24"/>
        </w:rPr>
        <w:t>: 3153-3158 [PMID: 18490649 DOI: 10.1200/JCO.2007.15.5986]</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15 </w:t>
      </w:r>
      <w:r w:rsidRPr="00877499">
        <w:rPr>
          <w:rFonts w:ascii="Book Antiqua" w:eastAsia="宋体" w:hAnsi="Book Antiqua"/>
          <w:b/>
          <w:kern w:val="2"/>
          <w:sz w:val="24"/>
          <w:szCs w:val="24"/>
        </w:rPr>
        <w:t>Lenihan D</w:t>
      </w:r>
      <w:r w:rsidRPr="00877499">
        <w:rPr>
          <w:rFonts w:ascii="Book Antiqua" w:eastAsia="宋体" w:hAnsi="Book Antiqua"/>
          <w:kern w:val="2"/>
          <w:sz w:val="24"/>
          <w:szCs w:val="24"/>
        </w:rPr>
        <w:t xml:space="preserve">, Suter T, Brammer M, Neate C, Ross G, Baselga J. Pooled analysis of cardiac safety in patients with cancer treated with pertuzumab. </w:t>
      </w:r>
      <w:r w:rsidRPr="00877499">
        <w:rPr>
          <w:rFonts w:ascii="Book Antiqua" w:eastAsia="宋体" w:hAnsi="Book Antiqua"/>
          <w:i/>
          <w:kern w:val="2"/>
          <w:sz w:val="24"/>
          <w:szCs w:val="24"/>
        </w:rPr>
        <w:t>Ann Oncol</w:t>
      </w:r>
      <w:r w:rsidRPr="00877499">
        <w:rPr>
          <w:rFonts w:ascii="Book Antiqua" w:eastAsia="宋体" w:hAnsi="Book Antiqua"/>
          <w:kern w:val="2"/>
          <w:sz w:val="24"/>
          <w:szCs w:val="24"/>
        </w:rPr>
        <w:t xml:space="preserve"> 2012; </w:t>
      </w:r>
      <w:r w:rsidRPr="00877499">
        <w:rPr>
          <w:rFonts w:ascii="Book Antiqua" w:eastAsia="宋体" w:hAnsi="Book Antiqua"/>
          <w:b/>
          <w:kern w:val="2"/>
          <w:sz w:val="24"/>
          <w:szCs w:val="24"/>
        </w:rPr>
        <w:t>23</w:t>
      </w:r>
      <w:r w:rsidRPr="00877499">
        <w:rPr>
          <w:rFonts w:ascii="Book Antiqua" w:eastAsia="宋体" w:hAnsi="Book Antiqua"/>
          <w:kern w:val="2"/>
          <w:sz w:val="24"/>
          <w:szCs w:val="24"/>
        </w:rPr>
        <w:t>: 791-800 [PMID: 21665955 DOI: 10.1093/annonc/mdr294]</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lastRenderedPageBreak/>
        <w:t xml:space="preserve">16 </w:t>
      </w:r>
      <w:r w:rsidRPr="00877499">
        <w:rPr>
          <w:rFonts w:ascii="Book Antiqua" w:eastAsia="宋体" w:hAnsi="Book Antiqua"/>
          <w:b/>
          <w:kern w:val="2"/>
          <w:sz w:val="24"/>
          <w:szCs w:val="24"/>
        </w:rPr>
        <w:t>Tabernero J</w:t>
      </w:r>
      <w:r w:rsidRPr="00877499">
        <w:rPr>
          <w:rFonts w:ascii="Book Antiqua" w:eastAsia="宋体" w:hAnsi="Book Antiqua"/>
          <w:kern w:val="2"/>
          <w:sz w:val="24"/>
          <w:szCs w:val="24"/>
        </w:rPr>
        <w:t xml:space="preserve">, Hoff PM, Shen L, Ohtsu A, Shah MA, Cheng K, Song C, Wu H, Eng-Wong J, Kim K, Kang YK. Pertuzumab plus trastuzumab and chemotherapy for HER2-positive metastatic gastric or gastro-oesophageal junction cancer (JACOB): final analysis of a double-blind, randomised, placebo-controlled phase 3 study. </w:t>
      </w:r>
      <w:r w:rsidRPr="00877499">
        <w:rPr>
          <w:rFonts w:ascii="Book Antiqua" w:eastAsia="宋体" w:hAnsi="Book Antiqua"/>
          <w:i/>
          <w:kern w:val="2"/>
          <w:sz w:val="24"/>
          <w:szCs w:val="24"/>
        </w:rPr>
        <w:t>Lancet Oncol</w:t>
      </w:r>
      <w:r w:rsidRPr="00877499">
        <w:rPr>
          <w:rFonts w:ascii="Book Antiqua" w:eastAsia="宋体" w:hAnsi="Book Antiqua"/>
          <w:kern w:val="2"/>
          <w:sz w:val="24"/>
          <w:szCs w:val="24"/>
        </w:rPr>
        <w:t xml:space="preserve"> 2018; </w:t>
      </w:r>
      <w:r w:rsidRPr="00877499">
        <w:rPr>
          <w:rFonts w:ascii="Book Antiqua" w:eastAsia="宋体" w:hAnsi="Book Antiqua"/>
          <w:b/>
          <w:kern w:val="2"/>
          <w:sz w:val="24"/>
          <w:szCs w:val="24"/>
        </w:rPr>
        <w:t>19</w:t>
      </w:r>
      <w:r w:rsidRPr="00877499">
        <w:rPr>
          <w:rFonts w:ascii="Book Antiqua" w:eastAsia="宋体" w:hAnsi="Book Antiqua"/>
          <w:kern w:val="2"/>
          <w:sz w:val="24"/>
          <w:szCs w:val="24"/>
        </w:rPr>
        <w:t>: 1372-1384 [PMID: 30217672 DOI: 10.1016/S1470-2045(18)30481-9]</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17 </w:t>
      </w:r>
      <w:r w:rsidRPr="00877499">
        <w:rPr>
          <w:rFonts w:ascii="Book Antiqua" w:eastAsia="宋体" w:hAnsi="Book Antiqua"/>
          <w:b/>
          <w:kern w:val="2"/>
          <w:sz w:val="24"/>
          <w:szCs w:val="24"/>
        </w:rPr>
        <w:t>Durkee BY</w:t>
      </w:r>
      <w:r w:rsidRPr="00877499">
        <w:rPr>
          <w:rFonts w:ascii="Book Antiqua" w:eastAsia="宋体" w:hAnsi="Book Antiqua"/>
          <w:kern w:val="2"/>
          <w:sz w:val="24"/>
          <w:szCs w:val="24"/>
        </w:rPr>
        <w:t xml:space="preserve">, Qian Y, Pollom EL, King MT, Dudley SA, Shaffer JL, Chang DT, Gibbs IC, Goldhaber-Fiebert JD, Horst KC. Cost-Effectiveness of Pertuzumab in Human Epidermal Growth Factor Receptor 2-Positive Metastatic Breast Cancer. </w:t>
      </w:r>
      <w:r w:rsidRPr="00877499">
        <w:rPr>
          <w:rFonts w:ascii="Book Antiqua" w:eastAsia="宋体" w:hAnsi="Book Antiqua"/>
          <w:i/>
          <w:kern w:val="2"/>
          <w:sz w:val="24"/>
          <w:szCs w:val="24"/>
        </w:rPr>
        <w:t>J Clin Oncol</w:t>
      </w:r>
      <w:r w:rsidRPr="00877499">
        <w:rPr>
          <w:rFonts w:ascii="Book Antiqua" w:eastAsia="宋体" w:hAnsi="Book Antiqua"/>
          <w:kern w:val="2"/>
          <w:sz w:val="24"/>
          <w:szCs w:val="24"/>
        </w:rPr>
        <w:t xml:space="preserve"> 2016; </w:t>
      </w:r>
      <w:r w:rsidRPr="00877499">
        <w:rPr>
          <w:rFonts w:ascii="Book Antiqua" w:eastAsia="宋体" w:hAnsi="Book Antiqua"/>
          <w:b/>
          <w:kern w:val="2"/>
          <w:sz w:val="24"/>
          <w:szCs w:val="24"/>
        </w:rPr>
        <w:t>34</w:t>
      </w:r>
      <w:r w:rsidRPr="00877499">
        <w:rPr>
          <w:rFonts w:ascii="Book Antiqua" w:eastAsia="宋体" w:hAnsi="Book Antiqua"/>
          <w:kern w:val="2"/>
          <w:sz w:val="24"/>
          <w:szCs w:val="24"/>
        </w:rPr>
        <w:t>: 902-909 [PMID: 26351332 DOI: 10.1200/JCO.2015.62.9105]</w:t>
      </w:r>
    </w:p>
    <w:p w:rsidR="00423B05" w:rsidRPr="00877499" w:rsidRDefault="00423B05" w:rsidP="009E2046">
      <w:pPr>
        <w:widowControl w:val="0"/>
        <w:spacing w:after="0" w:line="360" w:lineRule="auto"/>
        <w:jc w:val="both"/>
        <w:rPr>
          <w:rFonts w:ascii="Book Antiqua" w:eastAsia="宋体" w:hAnsi="Book Antiqua"/>
          <w:kern w:val="2"/>
          <w:sz w:val="24"/>
          <w:szCs w:val="24"/>
        </w:rPr>
      </w:pPr>
      <w:r w:rsidRPr="00877499">
        <w:rPr>
          <w:rFonts w:ascii="Book Antiqua" w:eastAsia="宋体" w:hAnsi="Book Antiqua"/>
          <w:kern w:val="2"/>
          <w:sz w:val="24"/>
          <w:szCs w:val="24"/>
        </w:rPr>
        <w:t xml:space="preserve">18 </w:t>
      </w:r>
      <w:r w:rsidRPr="00877499">
        <w:rPr>
          <w:rFonts w:ascii="Book Antiqua" w:eastAsia="宋体" w:hAnsi="Book Antiqua"/>
          <w:b/>
          <w:kern w:val="2"/>
          <w:sz w:val="24"/>
          <w:szCs w:val="24"/>
        </w:rPr>
        <w:t>Tange C,</w:t>
      </w:r>
      <w:r w:rsidRPr="00877499">
        <w:rPr>
          <w:rFonts w:ascii="Book Antiqua" w:eastAsia="宋体" w:hAnsi="Book Antiqua"/>
          <w:kern w:val="2"/>
          <w:sz w:val="24"/>
          <w:szCs w:val="24"/>
        </w:rPr>
        <w:t xml:space="preserve">  Kunisawa S, Maeda S, Shimozuma K. Cost-Effectiveness Analysis Of Pertuzumab For Metastatic Her2-Positive Breast Cancer In Japan. </w:t>
      </w:r>
      <w:r w:rsidRPr="00877499">
        <w:rPr>
          <w:rFonts w:ascii="Book Antiqua" w:eastAsia="宋体" w:hAnsi="Book Antiqua"/>
          <w:i/>
          <w:kern w:val="2"/>
          <w:sz w:val="24"/>
          <w:szCs w:val="24"/>
        </w:rPr>
        <w:t>Value Health</w:t>
      </w:r>
      <w:r w:rsidRPr="00877499">
        <w:rPr>
          <w:rFonts w:ascii="Book Antiqua" w:eastAsia="宋体" w:hAnsi="Book Antiqua"/>
          <w:kern w:val="2"/>
          <w:sz w:val="24"/>
          <w:szCs w:val="24"/>
        </w:rPr>
        <w:t xml:space="preserve"> 2015;</w:t>
      </w:r>
      <w:r w:rsidRPr="00877499">
        <w:rPr>
          <w:rFonts w:ascii="Book Antiqua" w:eastAsia="宋体" w:hAnsi="Book Antiqua" w:hint="eastAsia"/>
          <w:kern w:val="2"/>
          <w:sz w:val="24"/>
          <w:szCs w:val="24"/>
        </w:rPr>
        <w:t xml:space="preserve"> </w:t>
      </w:r>
      <w:r w:rsidRPr="00877499">
        <w:rPr>
          <w:rFonts w:ascii="Book Antiqua" w:eastAsia="宋体" w:hAnsi="Book Antiqua"/>
          <w:b/>
          <w:kern w:val="2"/>
          <w:sz w:val="24"/>
          <w:szCs w:val="24"/>
        </w:rPr>
        <w:t>18</w:t>
      </w:r>
      <w:r w:rsidRPr="00877499">
        <w:rPr>
          <w:rFonts w:ascii="Book Antiqua" w:eastAsia="宋体" w:hAnsi="Book Antiqua"/>
          <w:kern w:val="2"/>
          <w:sz w:val="24"/>
          <w:szCs w:val="24"/>
        </w:rPr>
        <w:t>:</w:t>
      </w:r>
      <w:r w:rsidRPr="00877499">
        <w:rPr>
          <w:rFonts w:ascii="Book Antiqua" w:eastAsia="宋体" w:hAnsi="Book Antiqua" w:hint="eastAsia"/>
          <w:kern w:val="2"/>
          <w:sz w:val="24"/>
          <w:szCs w:val="24"/>
        </w:rPr>
        <w:t xml:space="preserve"> </w:t>
      </w:r>
      <w:r w:rsidRPr="00877499">
        <w:rPr>
          <w:rFonts w:ascii="Book Antiqua" w:eastAsia="宋体" w:hAnsi="Book Antiqua"/>
          <w:kern w:val="2"/>
          <w:sz w:val="24"/>
          <w:szCs w:val="24"/>
        </w:rPr>
        <w:t>A456-457</w:t>
      </w:r>
      <w:r w:rsidRPr="00877499">
        <w:rPr>
          <w:rFonts w:ascii="Book Antiqua" w:eastAsia="宋体" w:hAnsi="Book Antiqua" w:hint="eastAsia"/>
          <w:kern w:val="2"/>
          <w:sz w:val="24"/>
          <w:szCs w:val="24"/>
        </w:rPr>
        <w:t xml:space="preserve"> [</w:t>
      </w:r>
      <w:r w:rsidRPr="00877499">
        <w:rPr>
          <w:rFonts w:ascii="Book Antiqua" w:eastAsia="宋体" w:hAnsi="Book Antiqua"/>
          <w:kern w:val="2"/>
          <w:sz w:val="24"/>
          <w:szCs w:val="24"/>
        </w:rPr>
        <w:t>DOI: 10.1016/j.jval.2015.09.1169</w:t>
      </w:r>
      <w:r w:rsidRPr="00877499">
        <w:rPr>
          <w:rFonts w:ascii="Book Antiqua" w:eastAsia="宋体" w:hAnsi="Book Antiqua" w:hint="eastAsia"/>
          <w:kern w:val="2"/>
          <w:sz w:val="24"/>
          <w:szCs w:val="24"/>
        </w:rPr>
        <w:t>]</w:t>
      </w:r>
    </w:p>
    <w:p w:rsidR="00423B05" w:rsidRPr="00877499" w:rsidRDefault="00423B05" w:rsidP="009E2046">
      <w:pPr>
        <w:widowControl w:val="0"/>
      </w:pPr>
    </w:p>
    <w:p w:rsidR="00C7334B" w:rsidRPr="00877499" w:rsidRDefault="00EC1660" w:rsidP="009E2046">
      <w:pPr>
        <w:pStyle w:val="a7"/>
        <w:widowControl w:val="0"/>
        <w:spacing w:after="0" w:line="360" w:lineRule="auto"/>
        <w:ind w:left="0"/>
        <w:jc w:val="both"/>
        <w:rPr>
          <w:rFonts w:ascii="Book Antiqua" w:hAnsi="Book Antiqua" w:cs="Calibri"/>
          <w:sz w:val="24"/>
          <w:szCs w:val="24"/>
        </w:rPr>
      </w:pPr>
      <w:r w:rsidRPr="00877499">
        <w:rPr>
          <w:rFonts w:ascii="Book Antiqua" w:hAnsi="Book Antiqua"/>
          <w:sz w:val="24"/>
          <w:szCs w:val="24"/>
        </w:rPr>
        <w:t xml:space="preserve"> </w:t>
      </w:r>
      <w:r w:rsidRPr="00877499">
        <w:rPr>
          <w:rFonts w:ascii="Book Antiqua" w:hAnsi="Book Antiqua"/>
          <w:sz w:val="24"/>
          <w:szCs w:val="24"/>
        </w:rPr>
        <w:fldChar w:fldCharType="begin"/>
      </w:r>
      <w:r w:rsidR="00C7334B" w:rsidRPr="00877499">
        <w:rPr>
          <w:rFonts w:ascii="Book Antiqua" w:hAnsi="Book Antiqua"/>
          <w:sz w:val="24"/>
          <w:szCs w:val="24"/>
        </w:rPr>
        <w:instrText xml:space="preserve"> ADDIN ZOTERO_BIBL {"uncited":[],"omitted":[],"custom":[]} CSL_BIBLIOGRAPHY </w:instrText>
      </w:r>
      <w:r w:rsidRPr="00877499">
        <w:rPr>
          <w:rFonts w:ascii="Book Antiqua" w:hAnsi="Book Antiqua"/>
          <w:sz w:val="24"/>
          <w:szCs w:val="24"/>
        </w:rPr>
        <w:fldChar w:fldCharType="separate"/>
      </w:r>
    </w:p>
    <w:p w:rsidR="0069400B" w:rsidRPr="00877499" w:rsidRDefault="0069400B" w:rsidP="009E2046">
      <w:pPr>
        <w:widowControl w:val="0"/>
        <w:rPr>
          <w:rFonts w:hint="eastAsia"/>
        </w:rPr>
      </w:pPr>
    </w:p>
    <w:p w:rsidR="0069400B" w:rsidRPr="00877499" w:rsidRDefault="00423B05" w:rsidP="009E2046">
      <w:pPr>
        <w:widowControl w:val="0"/>
        <w:adjustRightInd w:val="0"/>
        <w:snapToGrid w:val="0"/>
        <w:spacing w:after="0" w:line="360" w:lineRule="auto"/>
        <w:jc w:val="both"/>
        <w:rPr>
          <w:rFonts w:ascii="Book Antiqua" w:hAnsi="Book Antiqua" w:hint="eastAsia"/>
          <w:b/>
          <w:sz w:val="24"/>
          <w:szCs w:val="24"/>
        </w:rPr>
      </w:pPr>
      <w:r w:rsidRPr="00877499">
        <w:br w:type="page"/>
      </w:r>
      <w:r w:rsidRPr="00877499">
        <w:rPr>
          <w:rFonts w:ascii="Book Antiqua" w:hAnsi="Book Antiqua"/>
          <w:b/>
          <w:sz w:val="24"/>
          <w:szCs w:val="24"/>
        </w:rPr>
        <w:lastRenderedPageBreak/>
        <w:t>Footnotes</w:t>
      </w:r>
    </w:p>
    <w:p w:rsidR="0069400B" w:rsidRPr="00877499" w:rsidRDefault="0069400B" w:rsidP="009E2046">
      <w:pPr>
        <w:widowControl w:val="0"/>
        <w:spacing w:after="0" w:line="360" w:lineRule="auto"/>
        <w:jc w:val="both"/>
        <w:rPr>
          <w:rFonts w:ascii="Book Antiqua" w:hAnsi="Book Antiqua"/>
          <w:sz w:val="24"/>
          <w:szCs w:val="24"/>
        </w:rPr>
      </w:pPr>
      <w:r w:rsidRPr="00877499">
        <w:rPr>
          <w:rFonts w:ascii="Book Antiqua" w:hAnsi="Book Antiqua"/>
          <w:b/>
          <w:sz w:val="24"/>
          <w:szCs w:val="24"/>
        </w:rPr>
        <w:t>Institutional review board statement:</w:t>
      </w:r>
      <w:r w:rsidRPr="00877499">
        <w:rPr>
          <w:rFonts w:ascii="Book Antiqua" w:hAnsi="Book Antiqua"/>
          <w:sz w:val="24"/>
          <w:szCs w:val="24"/>
        </w:rPr>
        <w:t xml:space="preserve"> </w:t>
      </w:r>
      <w:r w:rsidR="006021C5" w:rsidRPr="00877499">
        <w:rPr>
          <w:rFonts w:ascii="Book Antiqua" w:hAnsi="Book Antiqua"/>
          <w:sz w:val="24"/>
          <w:szCs w:val="24"/>
        </w:rPr>
        <w:t>The study was reviewed and approved</w:t>
      </w:r>
      <w:r w:rsidRPr="00877499">
        <w:rPr>
          <w:rFonts w:ascii="Book Antiqua" w:hAnsi="Book Antiqua"/>
          <w:sz w:val="24"/>
          <w:szCs w:val="24"/>
        </w:rPr>
        <w:t xml:space="preserve"> </w:t>
      </w:r>
      <w:r w:rsidR="006021C5" w:rsidRPr="00877499">
        <w:rPr>
          <w:rFonts w:ascii="Book Antiqua" w:hAnsi="Book Antiqua" w:hint="eastAsia"/>
          <w:sz w:val="24"/>
          <w:szCs w:val="24"/>
        </w:rPr>
        <w:t xml:space="preserve">by </w:t>
      </w:r>
      <w:r w:rsidR="006021C5" w:rsidRPr="00877499">
        <w:rPr>
          <w:rFonts w:ascii="Book Antiqua" w:hAnsi="Book Antiqua"/>
          <w:sz w:val="24"/>
          <w:szCs w:val="24"/>
        </w:rPr>
        <w:t xml:space="preserve">the Institutional Review Board </w:t>
      </w:r>
      <w:r w:rsidR="006021C5" w:rsidRPr="00877499">
        <w:rPr>
          <w:rFonts w:ascii="Book Antiqua" w:hAnsi="Book Antiqua" w:hint="eastAsia"/>
          <w:sz w:val="24"/>
          <w:szCs w:val="24"/>
        </w:rPr>
        <w:t xml:space="preserve">at </w:t>
      </w:r>
      <w:r w:rsidR="006021C5" w:rsidRPr="00877499">
        <w:rPr>
          <w:rFonts w:ascii="Book Antiqua" w:hAnsi="Book Antiqua"/>
          <w:sz w:val="24"/>
          <w:szCs w:val="24"/>
        </w:rPr>
        <w:t>SingHealth CIRB B</w:t>
      </w:r>
      <w:r w:rsidR="00675C6C" w:rsidRPr="00877499">
        <w:rPr>
          <w:rFonts w:ascii="Book Antiqua" w:hAnsi="Book Antiqua"/>
          <w:sz w:val="24"/>
          <w:szCs w:val="24"/>
        </w:rPr>
        <w:t>.</w:t>
      </w:r>
    </w:p>
    <w:p w:rsidR="0069400B" w:rsidRPr="00877499" w:rsidRDefault="0069400B" w:rsidP="009E2046">
      <w:pPr>
        <w:widowControl w:val="0"/>
        <w:spacing w:after="0" w:line="360" w:lineRule="auto"/>
        <w:jc w:val="both"/>
        <w:rPr>
          <w:rFonts w:ascii="Book Antiqua" w:hAnsi="Book Antiqua"/>
          <w:sz w:val="24"/>
          <w:szCs w:val="24"/>
        </w:rPr>
      </w:pPr>
    </w:p>
    <w:p w:rsidR="0069400B" w:rsidRPr="00877499" w:rsidRDefault="0069400B" w:rsidP="009E2046">
      <w:pPr>
        <w:widowControl w:val="0"/>
        <w:spacing w:after="0" w:line="360" w:lineRule="auto"/>
        <w:jc w:val="both"/>
        <w:rPr>
          <w:rFonts w:ascii="Book Antiqua" w:hAnsi="Book Antiqua"/>
          <w:sz w:val="24"/>
          <w:szCs w:val="24"/>
        </w:rPr>
      </w:pPr>
      <w:r w:rsidRPr="00877499">
        <w:rPr>
          <w:rFonts w:ascii="Book Antiqua" w:hAnsi="Book Antiqua"/>
          <w:b/>
          <w:sz w:val="24"/>
          <w:szCs w:val="24"/>
        </w:rPr>
        <w:t xml:space="preserve">Informed consent statement: </w:t>
      </w:r>
      <w:r w:rsidRPr="00877499">
        <w:rPr>
          <w:rFonts w:ascii="Book Antiqua" w:hAnsi="Book Antiqua"/>
          <w:sz w:val="24"/>
          <w:szCs w:val="24"/>
        </w:rPr>
        <w:t xml:space="preserve">Institutional review board has granted waiver of informed consent based on ethical considerations. </w:t>
      </w:r>
    </w:p>
    <w:p w:rsidR="0069400B" w:rsidRPr="00877499" w:rsidRDefault="0069400B" w:rsidP="009E2046">
      <w:pPr>
        <w:widowControl w:val="0"/>
        <w:spacing w:after="0" w:line="360" w:lineRule="auto"/>
        <w:jc w:val="both"/>
        <w:rPr>
          <w:rFonts w:ascii="Book Antiqua" w:hAnsi="Book Antiqua"/>
          <w:sz w:val="24"/>
          <w:szCs w:val="24"/>
        </w:rPr>
      </w:pPr>
    </w:p>
    <w:p w:rsidR="0069400B" w:rsidRPr="00877499" w:rsidRDefault="0069400B" w:rsidP="009E2046">
      <w:pPr>
        <w:widowControl w:val="0"/>
        <w:spacing w:after="0" w:line="360" w:lineRule="auto"/>
        <w:jc w:val="both"/>
        <w:rPr>
          <w:rFonts w:ascii="Book Antiqua" w:hAnsi="Book Antiqua"/>
          <w:sz w:val="24"/>
          <w:szCs w:val="24"/>
        </w:rPr>
      </w:pPr>
      <w:r w:rsidRPr="00877499">
        <w:rPr>
          <w:rFonts w:ascii="Book Antiqua" w:hAnsi="Book Antiqua"/>
          <w:b/>
          <w:sz w:val="24"/>
          <w:szCs w:val="24"/>
        </w:rPr>
        <w:t xml:space="preserve">Conflict-of-interest statement: </w:t>
      </w:r>
      <w:r w:rsidRPr="00877499">
        <w:rPr>
          <w:rFonts w:ascii="Book Antiqua" w:hAnsi="Book Antiqua"/>
          <w:sz w:val="24"/>
          <w:szCs w:val="24"/>
        </w:rPr>
        <w:t xml:space="preserve">There is no conflict of interest associated with any of the senior author or other coauthors who have contributed their effort in the manuscript. All the authors have no conflict of interest related to the manuscript. </w:t>
      </w:r>
    </w:p>
    <w:p w:rsidR="0069400B" w:rsidRPr="00877499" w:rsidRDefault="0069400B" w:rsidP="009E2046">
      <w:pPr>
        <w:widowControl w:val="0"/>
      </w:pPr>
    </w:p>
    <w:p w:rsidR="00857345" w:rsidRPr="00877499" w:rsidRDefault="00EC1660" w:rsidP="009E2046">
      <w:pPr>
        <w:widowControl w:val="0"/>
        <w:adjustRightInd w:val="0"/>
        <w:snapToGrid w:val="0"/>
        <w:spacing w:after="0" w:line="360" w:lineRule="auto"/>
        <w:jc w:val="both"/>
        <w:rPr>
          <w:rFonts w:ascii="Book Antiqua" w:hAnsi="Book Antiqua"/>
          <w:color w:val="000000"/>
          <w:sz w:val="24"/>
          <w:szCs w:val="24"/>
          <w:lang w:val="hu-HU"/>
        </w:rPr>
      </w:pPr>
      <w:r w:rsidRPr="00877499">
        <w:rPr>
          <w:rFonts w:ascii="Book Antiqua" w:hAnsi="Book Antiqua" w:cs="Calibri"/>
          <w:sz w:val="24"/>
          <w:szCs w:val="24"/>
        </w:rPr>
        <w:fldChar w:fldCharType="end"/>
      </w:r>
      <w:bookmarkStart w:id="9" w:name="OLE_LINK856"/>
      <w:r w:rsidR="00857345" w:rsidRPr="00877499">
        <w:rPr>
          <w:rFonts w:ascii="Book Antiqua" w:hAnsi="Book Antiqua"/>
          <w:b/>
          <w:color w:val="000000"/>
          <w:sz w:val="24"/>
          <w:szCs w:val="24"/>
        </w:rPr>
        <w:t>Open-Access:</w:t>
      </w:r>
      <w:r w:rsidR="00857345" w:rsidRPr="00877499">
        <w:rPr>
          <w:rFonts w:ascii="Book Antiqua" w:hAnsi="Book Antiqua"/>
          <w:color w:val="000000"/>
          <w:sz w:val="24"/>
          <w:szCs w:val="24"/>
        </w:rPr>
        <w:t xml:space="preserve"> This article is an open-access </w:t>
      </w:r>
      <w:r w:rsidR="00857345" w:rsidRPr="00877499">
        <w:rPr>
          <w:rFonts w:ascii="Book Antiqua" w:hAnsi="Book Antiqua"/>
          <w:sz w:val="24"/>
          <w:szCs w:val="24"/>
        </w:rPr>
        <w:t xml:space="preserve">article that was selected </w:t>
      </w:r>
      <w:r w:rsidR="00857345" w:rsidRPr="00877499">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57345" w:rsidRPr="00877499" w:rsidRDefault="00857345" w:rsidP="009E2046">
      <w:pPr>
        <w:widowControl w:val="0"/>
        <w:adjustRightInd w:val="0"/>
        <w:snapToGrid w:val="0"/>
        <w:spacing w:after="0" w:line="360" w:lineRule="auto"/>
        <w:jc w:val="both"/>
        <w:rPr>
          <w:rFonts w:ascii="Book Antiqua" w:hAnsi="Book Antiqua"/>
          <w:color w:val="000000"/>
          <w:sz w:val="24"/>
          <w:szCs w:val="24"/>
          <w:lang w:val="hu-HU"/>
        </w:rPr>
      </w:pPr>
    </w:p>
    <w:p w:rsidR="00857345" w:rsidRPr="00877499" w:rsidRDefault="00857345" w:rsidP="009E2046">
      <w:pPr>
        <w:widowControl w:val="0"/>
        <w:adjustRightInd w:val="0"/>
        <w:snapToGrid w:val="0"/>
        <w:spacing w:after="0" w:line="360" w:lineRule="auto"/>
        <w:jc w:val="both"/>
        <w:rPr>
          <w:rFonts w:ascii="Book Antiqua" w:hAnsi="Book Antiqua"/>
          <w:b/>
          <w:bCs/>
          <w:color w:val="000000"/>
          <w:sz w:val="24"/>
          <w:szCs w:val="24"/>
        </w:rPr>
      </w:pPr>
      <w:r w:rsidRPr="00877499">
        <w:rPr>
          <w:rFonts w:ascii="Book Antiqua" w:hAnsi="Book Antiqua"/>
          <w:b/>
          <w:bCs/>
          <w:color w:val="000000"/>
          <w:sz w:val="24"/>
          <w:szCs w:val="24"/>
          <w:lang w:eastAsia="pl-PL"/>
        </w:rPr>
        <w:t>Manuscript source:</w:t>
      </w:r>
      <w:r w:rsidRPr="00877499">
        <w:rPr>
          <w:rFonts w:ascii="Book Antiqua" w:hAnsi="Book Antiqua"/>
          <w:b/>
          <w:bCs/>
          <w:color w:val="000000"/>
          <w:sz w:val="24"/>
          <w:szCs w:val="24"/>
        </w:rPr>
        <w:t xml:space="preserve"> </w:t>
      </w:r>
      <w:r w:rsidR="000C30CE" w:rsidRPr="00877499">
        <w:rPr>
          <w:rFonts w:ascii="Book Antiqua" w:hAnsi="Book Antiqua"/>
          <w:bCs/>
          <w:color w:val="000000"/>
          <w:sz w:val="24"/>
          <w:szCs w:val="24"/>
          <w:lang w:eastAsia="pl-PL"/>
        </w:rPr>
        <w:t>Invited Manuscript</w:t>
      </w:r>
    </w:p>
    <w:bookmarkEnd w:id="9"/>
    <w:p w:rsidR="00857345" w:rsidRPr="00877499" w:rsidRDefault="00857345" w:rsidP="009E2046">
      <w:pPr>
        <w:widowControl w:val="0"/>
        <w:adjustRightInd w:val="0"/>
        <w:snapToGrid w:val="0"/>
        <w:spacing w:after="0" w:line="360" w:lineRule="auto"/>
        <w:jc w:val="both"/>
        <w:rPr>
          <w:rFonts w:ascii="Book Antiqua" w:hAnsi="Book Antiqua"/>
          <w:b/>
          <w:bCs/>
          <w:color w:val="000000"/>
        </w:rPr>
      </w:pPr>
    </w:p>
    <w:p w:rsidR="00857345" w:rsidRPr="00877499" w:rsidRDefault="00857345" w:rsidP="009E2046">
      <w:pPr>
        <w:widowControl w:val="0"/>
        <w:adjustRightInd w:val="0"/>
        <w:snapToGrid w:val="0"/>
        <w:spacing w:after="0" w:line="360" w:lineRule="auto"/>
        <w:jc w:val="both"/>
        <w:rPr>
          <w:rFonts w:ascii="Book Antiqua" w:hAnsi="Book Antiqua"/>
          <w:b/>
          <w:kern w:val="2"/>
          <w:sz w:val="24"/>
          <w:szCs w:val="24"/>
        </w:rPr>
      </w:pPr>
      <w:r w:rsidRPr="00877499">
        <w:rPr>
          <w:rFonts w:ascii="Book Antiqua" w:hAnsi="Book Antiqua"/>
          <w:b/>
          <w:kern w:val="2"/>
          <w:sz w:val="24"/>
          <w:szCs w:val="24"/>
        </w:rPr>
        <w:t xml:space="preserve">Peer-review started: </w:t>
      </w:r>
      <w:bookmarkStart w:id="10" w:name="OLE_LINK41"/>
      <w:bookmarkStart w:id="11" w:name="OLE_LINK42"/>
      <w:r w:rsidR="00AE075B" w:rsidRPr="00877499">
        <w:rPr>
          <w:rFonts w:ascii="Book Antiqua" w:hAnsi="Book Antiqua" w:hint="eastAsia"/>
          <w:kern w:val="2"/>
          <w:sz w:val="24"/>
          <w:szCs w:val="24"/>
        </w:rPr>
        <w:t>November</w:t>
      </w:r>
      <w:r w:rsidRPr="00877499">
        <w:rPr>
          <w:rFonts w:ascii="Book Antiqua" w:hAnsi="Book Antiqua"/>
          <w:kern w:val="2"/>
          <w:sz w:val="24"/>
          <w:szCs w:val="24"/>
        </w:rPr>
        <w:t xml:space="preserve"> </w:t>
      </w:r>
      <w:r w:rsidR="00F147D6" w:rsidRPr="00877499">
        <w:rPr>
          <w:rFonts w:ascii="Book Antiqua" w:hAnsi="Book Antiqua" w:hint="eastAsia"/>
          <w:kern w:val="2"/>
          <w:sz w:val="24"/>
          <w:szCs w:val="24"/>
        </w:rPr>
        <w:t>1</w:t>
      </w:r>
      <w:r w:rsidRPr="00877499">
        <w:rPr>
          <w:rFonts w:ascii="Book Antiqua" w:hAnsi="Book Antiqua"/>
          <w:kern w:val="2"/>
          <w:sz w:val="24"/>
          <w:szCs w:val="24"/>
        </w:rPr>
        <w:t>, 2019</w:t>
      </w:r>
      <w:bookmarkEnd w:id="10"/>
      <w:bookmarkEnd w:id="11"/>
    </w:p>
    <w:p w:rsidR="00857345" w:rsidRPr="00877499" w:rsidRDefault="00857345" w:rsidP="009E2046">
      <w:pPr>
        <w:widowControl w:val="0"/>
        <w:adjustRightInd w:val="0"/>
        <w:snapToGrid w:val="0"/>
        <w:spacing w:after="0" w:line="360" w:lineRule="auto"/>
        <w:jc w:val="both"/>
        <w:rPr>
          <w:rFonts w:ascii="Book Antiqua" w:hAnsi="Book Antiqua"/>
          <w:b/>
          <w:kern w:val="2"/>
          <w:sz w:val="24"/>
          <w:szCs w:val="24"/>
        </w:rPr>
      </w:pPr>
      <w:r w:rsidRPr="00877499">
        <w:rPr>
          <w:rFonts w:ascii="Book Antiqua" w:hAnsi="Book Antiqua"/>
          <w:b/>
          <w:kern w:val="2"/>
          <w:sz w:val="24"/>
          <w:szCs w:val="24"/>
        </w:rPr>
        <w:t xml:space="preserve">First decision: </w:t>
      </w:r>
      <w:r w:rsidR="00126E31" w:rsidRPr="00877499">
        <w:rPr>
          <w:rFonts w:ascii="Book Antiqua" w:hAnsi="Book Antiqua" w:hint="eastAsia"/>
          <w:kern w:val="2"/>
          <w:sz w:val="24"/>
          <w:szCs w:val="24"/>
        </w:rPr>
        <w:t>November</w:t>
      </w:r>
      <w:r w:rsidR="00126E31" w:rsidRPr="00877499">
        <w:rPr>
          <w:rFonts w:ascii="Book Antiqua" w:hAnsi="Book Antiqua"/>
          <w:kern w:val="2"/>
          <w:sz w:val="24"/>
          <w:szCs w:val="24"/>
        </w:rPr>
        <w:t xml:space="preserve"> </w:t>
      </w:r>
      <w:r w:rsidR="00126E31" w:rsidRPr="00877499">
        <w:rPr>
          <w:rFonts w:ascii="Book Antiqua" w:hAnsi="Book Antiqua" w:hint="eastAsia"/>
          <w:kern w:val="2"/>
          <w:sz w:val="24"/>
          <w:szCs w:val="24"/>
        </w:rPr>
        <w:t>21</w:t>
      </w:r>
      <w:r w:rsidR="00126E31" w:rsidRPr="00877499">
        <w:rPr>
          <w:rFonts w:ascii="Book Antiqua" w:hAnsi="Book Antiqua"/>
          <w:kern w:val="2"/>
          <w:sz w:val="24"/>
          <w:szCs w:val="24"/>
        </w:rPr>
        <w:t>, 2019</w:t>
      </w:r>
    </w:p>
    <w:p w:rsidR="00857345" w:rsidRPr="00877499" w:rsidRDefault="00857345" w:rsidP="009E2046">
      <w:pPr>
        <w:widowControl w:val="0"/>
        <w:adjustRightInd w:val="0"/>
        <w:snapToGrid w:val="0"/>
        <w:spacing w:after="0" w:line="360" w:lineRule="auto"/>
        <w:jc w:val="both"/>
        <w:rPr>
          <w:rFonts w:ascii="Book Antiqua" w:hAnsi="Book Antiqua"/>
          <w:b/>
          <w:kern w:val="2"/>
          <w:sz w:val="24"/>
          <w:szCs w:val="24"/>
        </w:rPr>
      </w:pPr>
      <w:r w:rsidRPr="00877499">
        <w:rPr>
          <w:rFonts w:ascii="Book Antiqua" w:hAnsi="Book Antiqua"/>
          <w:b/>
          <w:kern w:val="2"/>
          <w:sz w:val="24"/>
          <w:szCs w:val="24"/>
        </w:rPr>
        <w:t>Article in press:</w:t>
      </w:r>
      <w:r w:rsidR="00D006B5" w:rsidRPr="00877499">
        <w:rPr>
          <w:rFonts w:ascii="Book Antiqua" w:hAnsi="Book Antiqua" w:hint="eastAsia"/>
          <w:b/>
          <w:kern w:val="2"/>
          <w:sz w:val="24"/>
          <w:szCs w:val="24"/>
        </w:rPr>
        <w:t xml:space="preserve"> </w:t>
      </w:r>
      <w:r w:rsidR="00D006B5" w:rsidRPr="00877499">
        <w:rPr>
          <w:rFonts w:ascii="Book Antiqua" w:hAnsi="Book Antiqua"/>
          <w:sz w:val="24"/>
          <w:szCs w:val="24"/>
        </w:rPr>
        <w:t>February 23, 2020</w:t>
      </w:r>
    </w:p>
    <w:p w:rsidR="00857345" w:rsidRPr="00877499" w:rsidRDefault="00857345" w:rsidP="009E2046">
      <w:pPr>
        <w:widowControl w:val="0"/>
        <w:adjustRightInd w:val="0"/>
        <w:snapToGrid w:val="0"/>
        <w:spacing w:after="0" w:line="360" w:lineRule="auto"/>
        <w:jc w:val="both"/>
        <w:rPr>
          <w:rFonts w:ascii="Book Antiqua" w:hAnsi="Book Antiqua" w:cs="Calibri"/>
          <w:b/>
          <w:sz w:val="24"/>
          <w:szCs w:val="24"/>
          <w:lang w:val="hu-HU"/>
        </w:rPr>
      </w:pPr>
    </w:p>
    <w:p w:rsidR="00857345" w:rsidRPr="00877499" w:rsidRDefault="00857345" w:rsidP="009E2046">
      <w:pPr>
        <w:widowControl w:val="0"/>
        <w:adjustRightInd w:val="0"/>
        <w:snapToGrid w:val="0"/>
        <w:spacing w:after="0" w:line="360" w:lineRule="auto"/>
        <w:jc w:val="both"/>
        <w:rPr>
          <w:rFonts w:ascii="Book Antiqua" w:eastAsia="微软雅黑" w:hAnsi="Book Antiqua" w:cs="宋体"/>
          <w:sz w:val="24"/>
          <w:szCs w:val="24"/>
        </w:rPr>
      </w:pPr>
      <w:r w:rsidRPr="00877499">
        <w:rPr>
          <w:rFonts w:ascii="Book Antiqua" w:hAnsi="Book Antiqua" w:cs="宋体"/>
          <w:b/>
          <w:sz w:val="24"/>
          <w:szCs w:val="24"/>
        </w:rPr>
        <w:t xml:space="preserve">Specialty type: </w:t>
      </w:r>
      <w:r w:rsidR="00126E31" w:rsidRPr="00877499">
        <w:rPr>
          <w:rFonts w:ascii="Book Antiqua" w:eastAsia="微软雅黑" w:hAnsi="Book Antiqua" w:cs="宋体"/>
          <w:sz w:val="24"/>
          <w:szCs w:val="24"/>
        </w:rPr>
        <w:t>Oncology</w:t>
      </w:r>
    </w:p>
    <w:p w:rsidR="00857345" w:rsidRPr="00877499" w:rsidRDefault="00857345" w:rsidP="009E2046">
      <w:pPr>
        <w:widowControl w:val="0"/>
        <w:adjustRightInd w:val="0"/>
        <w:snapToGrid w:val="0"/>
        <w:spacing w:after="0" w:line="360" w:lineRule="auto"/>
        <w:jc w:val="both"/>
        <w:rPr>
          <w:rFonts w:ascii="Book Antiqua" w:hAnsi="Book Antiqua" w:cs="宋体"/>
          <w:sz w:val="24"/>
          <w:szCs w:val="24"/>
        </w:rPr>
      </w:pPr>
      <w:r w:rsidRPr="00877499">
        <w:rPr>
          <w:rFonts w:ascii="Book Antiqua" w:hAnsi="Book Antiqua" w:cs="宋体"/>
          <w:b/>
          <w:sz w:val="24"/>
          <w:szCs w:val="24"/>
        </w:rPr>
        <w:t xml:space="preserve">Country of origin: </w:t>
      </w:r>
      <w:r w:rsidR="00D27D79" w:rsidRPr="00877499">
        <w:rPr>
          <w:rFonts w:ascii="Book Antiqua" w:hAnsi="Book Antiqua" w:cs="宋体"/>
          <w:sz w:val="24"/>
          <w:szCs w:val="24"/>
        </w:rPr>
        <w:t>Singapore</w:t>
      </w:r>
    </w:p>
    <w:p w:rsidR="00857345" w:rsidRPr="00877499" w:rsidRDefault="00857345" w:rsidP="009E2046">
      <w:pPr>
        <w:widowControl w:val="0"/>
        <w:adjustRightInd w:val="0"/>
        <w:snapToGrid w:val="0"/>
        <w:spacing w:after="0" w:line="360" w:lineRule="auto"/>
        <w:jc w:val="both"/>
        <w:rPr>
          <w:rFonts w:ascii="Book Antiqua" w:hAnsi="Book Antiqua" w:cs="宋体"/>
          <w:b/>
          <w:sz w:val="24"/>
          <w:szCs w:val="24"/>
        </w:rPr>
      </w:pPr>
      <w:r w:rsidRPr="00877499">
        <w:rPr>
          <w:rFonts w:ascii="Book Antiqua" w:hAnsi="Book Antiqua" w:cs="宋体"/>
          <w:b/>
          <w:sz w:val="24"/>
          <w:szCs w:val="24"/>
        </w:rPr>
        <w:t>Peer-review report classification</w:t>
      </w:r>
    </w:p>
    <w:p w:rsidR="00857345" w:rsidRPr="00877499" w:rsidRDefault="00857345" w:rsidP="009E2046">
      <w:pPr>
        <w:widowControl w:val="0"/>
        <w:adjustRightInd w:val="0"/>
        <w:snapToGrid w:val="0"/>
        <w:spacing w:after="0" w:line="360" w:lineRule="auto"/>
        <w:jc w:val="both"/>
        <w:rPr>
          <w:rFonts w:ascii="Book Antiqua" w:hAnsi="Book Antiqua" w:cs="宋体"/>
          <w:sz w:val="24"/>
          <w:szCs w:val="24"/>
        </w:rPr>
      </w:pPr>
      <w:r w:rsidRPr="00877499">
        <w:rPr>
          <w:rFonts w:ascii="Book Antiqua" w:hAnsi="Book Antiqua" w:cs="宋体"/>
          <w:sz w:val="24"/>
          <w:szCs w:val="24"/>
        </w:rPr>
        <w:t xml:space="preserve">Grade A (Excellent): </w:t>
      </w:r>
      <w:r w:rsidR="00847E1A" w:rsidRPr="00877499">
        <w:rPr>
          <w:rFonts w:ascii="Book Antiqua" w:hAnsi="Book Antiqua" w:cs="宋体"/>
          <w:sz w:val="24"/>
          <w:szCs w:val="24"/>
        </w:rPr>
        <w:t>0</w:t>
      </w:r>
    </w:p>
    <w:p w:rsidR="00857345" w:rsidRPr="00877499" w:rsidRDefault="00857345" w:rsidP="009E2046">
      <w:pPr>
        <w:widowControl w:val="0"/>
        <w:adjustRightInd w:val="0"/>
        <w:snapToGrid w:val="0"/>
        <w:spacing w:after="0" w:line="360" w:lineRule="auto"/>
        <w:jc w:val="both"/>
        <w:rPr>
          <w:rFonts w:ascii="Book Antiqua" w:hAnsi="Book Antiqua" w:cs="宋体"/>
          <w:sz w:val="24"/>
          <w:szCs w:val="24"/>
        </w:rPr>
      </w:pPr>
      <w:r w:rsidRPr="00877499">
        <w:rPr>
          <w:rFonts w:ascii="Book Antiqua" w:hAnsi="Book Antiqua" w:cs="宋体"/>
          <w:sz w:val="24"/>
          <w:szCs w:val="24"/>
        </w:rPr>
        <w:t xml:space="preserve">Grade B (Very good): </w:t>
      </w:r>
      <w:r w:rsidR="00847E1A" w:rsidRPr="00877499">
        <w:rPr>
          <w:rFonts w:ascii="Book Antiqua" w:hAnsi="Book Antiqua" w:cs="宋体"/>
          <w:sz w:val="24"/>
          <w:szCs w:val="24"/>
        </w:rPr>
        <w:t>B</w:t>
      </w:r>
    </w:p>
    <w:p w:rsidR="00857345" w:rsidRPr="00877499" w:rsidRDefault="00857345" w:rsidP="009E2046">
      <w:pPr>
        <w:widowControl w:val="0"/>
        <w:adjustRightInd w:val="0"/>
        <w:snapToGrid w:val="0"/>
        <w:spacing w:after="0" w:line="360" w:lineRule="auto"/>
        <w:jc w:val="both"/>
        <w:rPr>
          <w:rFonts w:ascii="Book Antiqua" w:hAnsi="Book Antiqua" w:cs="宋体"/>
          <w:sz w:val="24"/>
          <w:szCs w:val="24"/>
        </w:rPr>
      </w:pPr>
      <w:r w:rsidRPr="00877499">
        <w:rPr>
          <w:rFonts w:ascii="Book Antiqua" w:hAnsi="Book Antiqua" w:cs="宋体"/>
          <w:sz w:val="24"/>
          <w:szCs w:val="24"/>
        </w:rPr>
        <w:t>Grade C (Good): C</w:t>
      </w:r>
    </w:p>
    <w:p w:rsidR="00857345" w:rsidRPr="00877499" w:rsidRDefault="00857345" w:rsidP="009E2046">
      <w:pPr>
        <w:widowControl w:val="0"/>
        <w:adjustRightInd w:val="0"/>
        <w:snapToGrid w:val="0"/>
        <w:spacing w:after="0" w:line="360" w:lineRule="auto"/>
        <w:jc w:val="both"/>
        <w:rPr>
          <w:rFonts w:ascii="Book Antiqua" w:hAnsi="Book Antiqua" w:cs="宋体"/>
          <w:sz w:val="24"/>
          <w:szCs w:val="24"/>
        </w:rPr>
      </w:pPr>
      <w:r w:rsidRPr="00877499">
        <w:rPr>
          <w:rFonts w:ascii="Book Antiqua" w:hAnsi="Book Antiqua" w:cs="宋体"/>
          <w:sz w:val="24"/>
          <w:szCs w:val="24"/>
        </w:rPr>
        <w:lastRenderedPageBreak/>
        <w:t>Grade D (Fair): 0</w:t>
      </w:r>
    </w:p>
    <w:p w:rsidR="00857345" w:rsidRPr="00877499" w:rsidRDefault="00857345" w:rsidP="009E2046">
      <w:pPr>
        <w:widowControl w:val="0"/>
        <w:adjustRightInd w:val="0"/>
        <w:snapToGrid w:val="0"/>
        <w:spacing w:after="0" w:line="360" w:lineRule="auto"/>
        <w:jc w:val="both"/>
        <w:rPr>
          <w:rFonts w:ascii="Book Antiqua" w:hAnsi="Book Antiqua"/>
          <w:kern w:val="2"/>
          <w:sz w:val="24"/>
          <w:szCs w:val="24"/>
          <w:lang w:val="hu-HU"/>
        </w:rPr>
      </w:pPr>
      <w:r w:rsidRPr="00877499">
        <w:rPr>
          <w:rFonts w:ascii="Book Antiqua" w:hAnsi="Book Antiqua" w:cs="宋体"/>
          <w:sz w:val="24"/>
          <w:szCs w:val="24"/>
        </w:rPr>
        <w:t>Grade E (Poor): 0</w:t>
      </w:r>
    </w:p>
    <w:p w:rsidR="00857345" w:rsidRPr="00877499" w:rsidRDefault="00857345" w:rsidP="009E2046">
      <w:pPr>
        <w:widowControl w:val="0"/>
        <w:adjustRightInd w:val="0"/>
        <w:snapToGrid w:val="0"/>
        <w:spacing w:after="0" w:line="360" w:lineRule="auto"/>
        <w:jc w:val="both"/>
        <w:rPr>
          <w:rFonts w:ascii="Book Antiqua" w:hAnsi="Book Antiqua"/>
          <w:kern w:val="2"/>
          <w:sz w:val="24"/>
          <w:szCs w:val="24"/>
        </w:rPr>
      </w:pPr>
    </w:p>
    <w:p w:rsidR="00857345" w:rsidRPr="00877499" w:rsidRDefault="00857345" w:rsidP="00EC04DA">
      <w:pPr>
        <w:widowControl w:val="0"/>
        <w:adjustRightInd w:val="0"/>
        <w:snapToGrid w:val="0"/>
        <w:spacing w:after="0" w:line="360" w:lineRule="auto"/>
        <w:ind w:right="240"/>
        <w:rPr>
          <w:rFonts w:ascii="Book Antiqua" w:hAnsi="Book Antiqua"/>
          <w:b/>
          <w:bCs/>
          <w:color w:val="000000"/>
          <w:kern w:val="2"/>
          <w:sz w:val="24"/>
          <w:szCs w:val="24"/>
        </w:rPr>
      </w:pPr>
      <w:bookmarkStart w:id="12" w:name="OLE_LINK139"/>
      <w:bookmarkStart w:id="13" w:name="OLE_LINK140"/>
      <w:r w:rsidRPr="00877499">
        <w:rPr>
          <w:rFonts w:ascii="Book Antiqua" w:hAnsi="Book Antiqua"/>
          <w:b/>
          <w:bCs/>
          <w:color w:val="000000"/>
          <w:kern w:val="2"/>
          <w:sz w:val="24"/>
          <w:szCs w:val="24"/>
        </w:rPr>
        <w:t>P-Reviewer:</w:t>
      </w:r>
      <w:r w:rsidRPr="00877499">
        <w:rPr>
          <w:rFonts w:ascii="Book Antiqua" w:hAnsi="Book Antiqua"/>
          <w:bCs/>
          <w:color w:val="000000"/>
          <w:kern w:val="2"/>
          <w:sz w:val="24"/>
          <w:szCs w:val="24"/>
        </w:rPr>
        <w:t xml:space="preserve"> </w:t>
      </w:r>
      <w:r w:rsidR="009E2046" w:rsidRPr="00877499">
        <w:rPr>
          <w:rFonts w:ascii="Book Antiqua" w:hAnsi="Book Antiqua"/>
          <w:bCs/>
          <w:color w:val="000000"/>
          <w:kern w:val="2"/>
          <w:sz w:val="24"/>
          <w:szCs w:val="24"/>
        </w:rPr>
        <w:t>Kupeli</w:t>
      </w:r>
      <w:r w:rsidR="009E2046" w:rsidRPr="00877499">
        <w:rPr>
          <w:rFonts w:ascii="Book Antiqua" w:hAnsi="Book Antiqua" w:hint="eastAsia"/>
          <w:bCs/>
          <w:color w:val="000000"/>
          <w:kern w:val="2"/>
          <w:sz w:val="24"/>
          <w:szCs w:val="24"/>
        </w:rPr>
        <w:t xml:space="preserve"> S, </w:t>
      </w:r>
      <w:r w:rsidR="009E2046" w:rsidRPr="00877499">
        <w:rPr>
          <w:rFonts w:ascii="Book Antiqua" w:hAnsi="Book Antiqua"/>
          <w:bCs/>
          <w:color w:val="000000"/>
          <w:kern w:val="2"/>
          <w:sz w:val="24"/>
          <w:szCs w:val="24"/>
        </w:rPr>
        <w:t>Todorovic-Rakovic</w:t>
      </w:r>
      <w:r w:rsidR="009E2046" w:rsidRPr="00877499">
        <w:rPr>
          <w:rFonts w:ascii="Book Antiqua" w:hAnsi="Book Antiqua" w:hint="eastAsia"/>
          <w:bCs/>
          <w:color w:val="000000"/>
          <w:kern w:val="2"/>
          <w:sz w:val="24"/>
          <w:szCs w:val="24"/>
        </w:rPr>
        <w:t xml:space="preserve"> N</w:t>
      </w:r>
      <w:r w:rsidRPr="00877499">
        <w:rPr>
          <w:rFonts w:ascii="Book Antiqua" w:hAnsi="Book Antiqua"/>
          <w:bCs/>
          <w:color w:val="000000"/>
          <w:kern w:val="2"/>
          <w:sz w:val="24"/>
          <w:szCs w:val="24"/>
        </w:rPr>
        <w:t xml:space="preserve"> </w:t>
      </w:r>
      <w:r w:rsidRPr="00877499">
        <w:rPr>
          <w:rFonts w:ascii="Book Antiqua" w:hAnsi="Book Antiqua"/>
          <w:b/>
          <w:bCs/>
          <w:color w:val="000000"/>
          <w:kern w:val="2"/>
          <w:sz w:val="24"/>
          <w:szCs w:val="24"/>
        </w:rPr>
        <w:t>S-Editor:</w:t>
      </w:r>
      <w:r w:rsidRPr="00877499">
        <w:rPr>
          <w:rFonts w:ascii="Book Antiqua" w:hAnsi="Book Antiqua"/>
          <w:color w:val="000000"/>
          <w:kern w:val="2"/>
          <w:sz w:val="24"/>
          <w:szCs w:val="24"/>
        </w:rPr>
        <w:t xml:space="preserve"> </w:t>
      </w:r>
      <w:r w:rsidR="009E2046" w:rsidRPr="00877499">
        <w:rPr>
          <w:rFonts w:ascii="Book Antiqua" w:hAnsi="Book Antiqua" w:hint="eastAsia"/>
          <w:color w:val="000000"/>
          <w:kern w:val="2"/>
          <w:sz w:val="24"/>
          <w:szCs w:val="24"/>
        </w:rPr>
        <w:t>Ma YJ</w:t>
      </w:r>
      <w:r w:rsidRPr="00877499">
        <w:rPr>
          <w:rFonts w:ascii="Book Antiqua" w:hAnsi="Book Antiqua"/>
          <w:color w:val="000000"/>
          <w:kern w:val="2"/>
          <w:sz w:val="24"/>
          <w:szCs w:val="24"/>
        </w:rPr>
        <w:t xml:space="preserve"> </w:t>
      </w:r>
      <w:r w:rsidRPr="00877499">
        <w:rPr>
          <w:rFonts w:ascii="Book Antiqua" w:hAnsi="Book Antiqua"/>
          <w:b/>
          <w:bCs/>
          <w:color w:val="000000"/>
          <w:kern w:val="2"/>
          <w:sz w:val="24"/>
          <w:szCs w:val="24"/>
        </w:rPr>
        <w:t>L-Editor:</w:t>
      </w:r>
      <w:r w:rsidR="00EC04DA" w:rsidRPr="00877499">
        <w:rPr>
          <w:rFonts w:ascii="Book Antiqua" w:hAnsi="Book Antiqua" w:hint="eastAsia"/>
          <w:b/>
          <w:bCs/>
          <w:color w:val="000000"/>
          <w:kern w:val="2"/>
          <w:sz w:val="24"/>
          <w:szCs w:val="24"/>
        </w:rPr>
        <w:t xml:space="preserve"> </w:t>
      </w:r>
      <w:r w:rsidR="00EC04DA" w:rsidRPr="00877499">
        <w:rPr>
          <w:rFonts w:ascii="Book Antiqua" w:hAnsi="Book Antiqua" w:hint="eastAsia"/>
          <w:bCs/>
          <w:color w:val="000000"/>
          <w:kern w:val="2"/>
          <w:sz w:val="24"/>
          <w:szCs w:val="24"/>
        </w:rPr>
        <w:t>A</w:t>
      </w:r>
      <w:r w:rsidRPr="00877499">
        <w:rPr>
          <w:rFonts w:ascii="Book Antiqua" w:hAnsi="Book Antiqua"/>
          <w:color w:val="000000"/>
          <w:kern w:val="2"/>
          <w:sz w:val="24"/>
          <w:szCs w:val="24"/>
        </w:rPr>
        <w:t xml:space="preserve"> </w:t>
      </w:r>
      <w:r w:rsidRPr="00877499">
        <w:rPr>
          <w:rFonts w:ascii="Book Antiqua" w:hAnsi="Book Antiqua"/>
          <w:b/>
          <w:bCs/>
          <w:color w:val="000000"/>
          <w:kern w:val="2"/>
          <w:sz w:val="24"/>
          <w:szCs w:val="24"/>
        </w:rPr>
        <w:t>E-Editor:</w:t>
      </w:r>
      <w:r w:rsidR="00EC04DA" w:rsidRPr="00877499">
        <w:rPr>
          <w:rFonts w:ascii="Book Antiqua" w:hAnsi="Book Antiqua" w:hint="eastAsia"/>
          <w:b/>
          <w:bCs/>
          <w:color w:val="000000"/>
          <w:kern w:val="2"/>
          <w:sz w:val="24"/>
          <w:szCs w:val="24"/>
        </w:rPr>
        <w:t xml:space="preserve"> Liu MY</w:t>
      </w:r>
    </w:p>
    <w:bookmarkEnd w:id="12"/>
    <w:bookmarkEnd w:id="13"/>
    <w:p w:rsidR="009E2046" w:rsidRPr="00877499" w:rsidRDefault="00857345" w:rsidP="009E2046">
      <w:pPr>
        <w:widowControl w:val="0"/>
        <w:adjustRightInd w:val="0"/>
        <w:snapToGrid w:val="0"/>
        <w:spacing w:after="0" w:line="360" w:lineRule="auto"/>
        <w:jc w:val="both"/>
        <w:rPr>
          <w:rFonts w:ascii="Book Antiqua" w:hAnsi="Book Antiqua"/>
          <w:b/>
          <w:sz w:val="24"/>
          <w:szCs w:val="24"/>
        </w:rPr>
      </w:pPr>
      <w:r w:rsidRPr="00877499">
        <w:rPr>
          <w:rFonts w:ascii="Book Antiqua" w:hAnsi="Book Antiqua" w:cs="Calibri"/>
          <w:b/>
          <w:sz w:val="24"/>
          <w:szCs w:val="24"/>
        </w:rPr>
        <w:br w:type="page"/>
      </w:r>
      <w:r w:rsidR="009E2046" w:rsidRPr="00877499">
        <w:rPr>
          <w:rFonts w:ascii="Book Antiqua" w:hAnsi="Book Antiqua"/>
          <w:b/>
          <w:sz w:val="24"/>
          <w:szCs w:val="24"/>
        </w:rPr>
        <w:lastRenderedPageBreak/>
        <w:t>Figure Legends</w:t>
      </w:r>
    </w:p>
    <w:p w:rsidR="00EA39CC" w:rsidRPr="00877499" w:rsidRDefault="00EA39CC" w:rsidP="009E2046">
      <w:pPr>
        <w:pStyle w:val="1"/>
        <w:keepNext w:val="0"/>
        <w:keepLines w:val="0"/>
        <w:widowControl w:val="0"/>
        <w:spacing w:before="0" w:line="360" w:lineRule="auto"/>
        <w:jc w:val="both"/>
        <w:rPr>
          <w:rFonts w:ascii="Book Antiqua" w:hAnsi="Book Antiqua" w:cs="Calibri"/>
          <w:b/>
          <w:color w:val="000000"/>
          <w:sz w:val="24"/>
          <w:szCs w:val="24"/>
        </w:rPr>
      </w:pPr>
      <w:r w:rsidRPr="00877499">
        <w:rPr>
          <w:rFonts w:ascii="Book Antiqua" w:hAnsi="Book Antiqua" w:cs="Calibri"/>
          <w:b/>
          <w:color w:val="000000"/>
          <w:sz w:val="24"/>
          <w:szCs w:val="24"/>
        </w:rPr>
        <w:t>Table 1</w:t>
      </w:r>
      <w:r w:rsidR="0045236E" w:rsidRPr="00877499">
        <w:rPr>
          <w:rFonts w:ascii="Book Antiqua" w:hAnsi="Book Antiqua" w:cs="Calibri" w:hint="eastAsia"/>
          <w:b/>
          <w:color w:val="000000"/>
          <w:sz w:val="24"/>
          <w:szCs w:val="24"/>
        </w:rPr>
        <w:t xml:space="preserve"> </w:t>
      </w:r>
      <w:r w:rsidRPr="00877499">
        <w:rPr>
          <w:rFonts w:ascii="Book Antiqua" w:hAnsi="Book Antiqua" w:cs="Calibri"/>
          <w:b/>
          <w:bCs/>
          <w:color w:val="000000"/>
          <w:sz w:val="24"/>
          <w:szCs w:val="24"/>
        </w:rPr>
        <w:t>Pat</w:t>
      </w:r>
      <w:r w:rsidR="0045236E" w:rsidRPr="00877499">
        <w:rPr>
          <w:rFonts w:ascii="Book Antiqua" w:hAnsi="Book Antiqua" w:cs="Calibri"/>
          <w:b/>
          <w:bCs/>
          <w:color w:val="000000"/>
          <w:sz w:val="24"/>
          <w:szCs w:val="24"/>
        </w:rPr>
        <w:t>ient and disease cha</w:t>
      </w:r>
      <w:r w:rsidRPr="00877499">
        <w:rPr>
          <w:rFonts w:ascii="Book Antiqua" w:hAnsi="Book Antiqua" w:cs="Calibri"/>
          <w:b/>
          <w:bCs/>
          <w:color w:val="000000"/>
          <w:sz w:val="24"/>
          <w:szCs w:val="24"/>
        </w:rPr>
        <w:t>racteristics</w:t>
      </w:r>
    </w:p>
    <w:tbl>
      <w:tblPr>
        <w:tblW w:w="9300" w:type="dxa"/>
        <w:tblBorders>
          <w:top w:val="single" w:sz="12" w:space="0" w:color="auto"/>
          <w:bottom w:val="single" w:sz="12" w:space="0" w:color="auto"/>
        </w:tblBorders>
        <w:tblLook w:val="04A0" w:firstRow="1" w:lastRow="0" w:firstColumn="1" w:lastColumn="0" w:noHBand="0" w:noVBand="1"/>
      </w:tblPr>
      <w:tblGrid>
        <w:gridCol w:w="2695"/>
        <w:gridCol w:w="1418"/>
        <w:gridCol w:w="1701"/>
        <w:gridCol w:w="1984"/>
        <w:gridCol w:w="1502"/>
      </w:tblGrid>
      <w:tr w:rsidR="00EA39CC" w:rsidRPr="00877499" w:rsidTr="005237BC">
        <w:tc>
          <w:tcPr>
            <w:tcW w:w="2695" w:type="dxa"/>
            <w:vMerge w:val="restart"/>
            <w:tcBorders>
              <w:top w:val="single" w:sz="12" w:space="0" w:color="auto"/>
              <w:bottom w:val="single" w:sz="12" w:space="0" w:color="auto"/>
            </w:tcBorders>
            <w:shd w:val="clear" w:color="auto" w:fill="auto"/>
            <w:vAlign w:val="center"/>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Characteristics</w:t>
            </w:r>
          </w:p>
        </w:tc>
        <w:tc>
          <w:tcPr>
            <w:tcW w:w="3119" w:type="dxa"/>
            <w:gridSpan w:val="2"/>
            <w:tcBorders>
              <w:top w:val="single" w:sz="12" w:space="0" w:color="auto"/>
              <w:bottom w:val="single" w:sz="12" w:space="0" w:color="auto"/>
            </w:tcBorders>
            <w:shd w:val="clear" w:color="auto" w:fill="auto"/>
            <w:vAlign w:val="center"/>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 xml:space="preserve">Pertuzumab </w:t>
            </w:r>
            <w:r w:rsidR="009D4DBB" w:rsidRPr="00877499">
              <w:rPr>
                <w:rFonts w:ascii="Book Antiqua" w:hAnsi="Book Antiqua" w:cs="Calibri"/>
                <w:b/>
                <w:sz w:val="24"/>
                <w:szCs w:val="24"/>
              </w:rPr>
              <w:t>u</w:t>
            </w:r>
            <w:r w:rsidRPr="00877499">
              <w:rPr>
                <w:rFonts w:ascii="Book Antiqua" w:hAnsi="Book Antiqua" w:cs="Calibri"/>
                <w:b/>
                <w:sz w:val="24"/>
                <w:szCs w:val="24"/>
              </w:rPr>
              <w:t>sage</w:t>
            </w:r>
          </w:p>
        </w:tc>
        <w:tc>
          <w:tcPr>
            <w:tcW w:w="1984" w:type="dxa"/>
            <w:vMerge w:val="restart"/>
            <w:tcBorders>
              <w:top w:val="single" w:sz="12" w:space="0" w:color="auto"/>
              <w:bottom w:val="single" w:sz="12" w:space="0" w:color="auto"/>
            </w:tcBorders>
            <w:shd w:val="clear" w:color="auto" w:fill="auto"/>
            <w:vAlign w:val="center"/>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Total (</w:t>
            </w:r>
            <w:r w:rsidR="009E2046" w:rsidRPr="00877499">
              <w:rPr>
                <w:rFonts w:ascii="Book Antiqua" w:hAnsi="Book Antiqua" w:cs="Calibri"/>
                <w:b/>
                <w:i/>
                <w:sz w:val="24"/>
                <w:szCs w:val="24"/>
              </w:rPr>
              <w:t>n</w:t>
            </w:r>
            <w:r w:rsidRPr="00877499">
              <w:rPr>
                <w:rFonts w:ascii="Book Antiqua" w:hAnsi="Book Antiqua" w:cs="Calibri"/>
                <w:b/>
                <w:sz w:val="24"/>
                <w:szCs w:val="24"/>
              </w:rPr>
              <w:t xml:space="preserve"> = 304)</w:t>
            </w:r>
          </w:p>
        </w:tc>
        <w:tc>
          <w:tcPr>
            <w:tcW w:w="1502" w:type="dxa"/>
            <w:vMerge w:val="restart"/>
            <w:tcBorders>
              <w:top w:val="single" w:sz="12" w:space="0" w:color="auto"/>
              <w:bottom w:val="single" w:sz="12" w:space="0" w:color="auto"/>
            </w:tcBorders>
            <w:shd w:val="clear" w:color="auto" w:fill="auto"/>
            <w:vAlign w:val="center"/>
          </w:tcPr>
          <w:p w:rsidR="00EA39CC" w:rsidRPr="00877499" w:rsidRDefault="00EA39CC" w:rsidP="009E2046">
            <w:pPr>
              <w:widowControl w:val="0"/>
              <w:spacing w:after="0" w:line="360" w:lineRule="auto"/>
              <w:jc w:val="both"/>
              <w:rPr>
                <w:rFonts w:ascii="Book Antiqua" w:hAnsi="Book Antiqua" w:cs="Calibri"/>
                <w:b/>
                <w:i/>
                <w:sz w:val="24"/>
                <w:szCs w:val="24"/>
              </w:rPr>
            </w:pPr>
            <w:r w:rsidRPr="00877499">
              <w:rPr>
                <w:rFonts w:ascii="Book Antiqua" w:hAnsi="Book Antiqua" w:cs="Calibri"/>
                <w:b/>
                <w:i/>
                <w:caps/>
                <w:sz w:val="24"/>
                <w:szCs w:val="24"/>
              </w:rPr>
              <w:t>p</w:t>
            </w:r>
            <w:r w:rsidR="00675C6C" w:rsidRPr="00877499">
              <w:rPr>
                <w:rFonts w:ascii="Book Antiqua" w:hAnsi="Book Antiqua" w:cs="Calibri"/>
                <w:b/>
                <w:i/>
                <w:sz w:val="24"/>
                <w:szCs w:val="24"/>
              </w:rPr>
              <w:t xml:space="preserve"> </w:t>
            </w:r>
            <w:r w:rsidRPr="00877499">
              <w:rPr>
                <w:rFonts w:ascii="Book Antiqua" w:hAnsi="Book Antiqua" w:cs="Calibri"/>
                <w:b/>
                <w:sz w:val="24"/>
                <w:szCs w:val="24"/>
              </w:rPr>
              <w:t>value</w:t>
            </w:r>
          </w:p>
        </w:tc>
      </w:tr>
      <w:tr w:rsidR="00EA39CC" w:rsidRPr="00877499" w:rsidTr="005237BC">
        <w:trPr>
          <w:trHeight w:val="441"/>
        </w:trPr>
        <w:tc>
          <w:tcPr>
            <w:tcW w:w="2695" w:type="dxa"/>
            <w:vMerge/>
            <w:tcBorders>
              <w:top w:val="single" w:sz="12" w:space="0" w:color="auto"/>
              <w:bottom w:val="single" w:sz="12" w:space="0" w:color="auto"/>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418" w:type="dxa"/>
            <w:tcBorders>
              <w:top w:val="single" w:sz="12" w:space="0" w:color="auto"/>
              <w:bottom w:val="single" w:sz="12" w:space="0" w:color="auto"/>
            </w:tcBorders>
            <w:shd w:val="clear" w:color="auto" w:fill="auto"/>
            <w:vAlign w:val="center"/>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Yes (</w:t>
            </w:r>
            <w:r w:rsidR="009E2046" w:rsidRPr="00877499">
              <w:rPr>
                <w:rFonts w:ascii="Book Antiqua" w:hAnsi="Book Antiqua" w:cs="Calibri"/>
                <w:b/>
                <w:i/>
                <w:sz w:val="24"/>
                <w:szCs w:val="24"/>
              </w:rPr>
              <w:t>n</w:t>
            </w:r>
            <w:r w:rsidRPr="00877499">
              <w:rPr>
                <w:rFonts w:ascii="Book Antiqua" w:hAnsi="Book Antiqua" w:cs="Calibri"/>
                <w:b/>
                <w:sz w:val="24"/>
                <w:szCs w:val="24"/>
              </w:rPr>
              <w:t xml:space="preserve"> = 50)</w:t>
            </w:r>
          </w:p>
        </w:tc>
        <w:tc>
          <w:tcPr>
            <w:tcW w:w="1701" w:type="dxa"/>
            <w:tcBorders>
              <w:top w:val="single" w:sz="12" w:space="0" w:color="auto"/>
              <w:bottom w:val="single" w:sz="12" w:space="0" w:color="auto"/>
            </w:tcBorders>
            <w:shd w:val="clear" w:color="auto" w:fill="auto"/>
            <w:vAlign w:val="center"/>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No (</w:t>
            </w:r>
            <w:r w:rsidR="009E2046" w:rsidRPr="00877499">
              <w:rPr>
                <w:rFonts w:ascii="Book Antiqua" w:hAnsi="Book Antiqua" w:cs="Calibri"/>
                <w:b/>
                <w:i/>
                <w:sz w:val="24"/>
                <w:szCs w:val="24"/>
              </w:rPr>
              <w:t>n</w:t>
            </w:r>
            <w:r w:rsidRPr="00877499">
              <w:rPr>
                <w:rFonts w:ascii="Book Antiqua" w:hAnsi="Book Antiqua" w:cs="Calibri"/>
                <w:b/>
                <w:sz w:val="24"/>
                <w:szCs w:val="24"/>
              </w:rPr>
              <w:t xml:space="preserve"> = 254)</w:t>
            </w:r>
          </w:p>
        </w:tc>
        <w:tc>
          <w:tcPr>
            <w:tcW w:w="1984" w:type="dxa"/>
            <w:vMerge/>
            <w:tcBorders>
              <w:top w:val="single" w:sz="12" w:space="0" w:color="auto"/>
              <w:bottom w:val="single" w:sz="12" w:space="0" w:color="auto"/>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502" w:type="dxa"/>
            <w:vMerge/>
            <w:tcBorders>
              <w:top w:val="single" w:sz="12" w:space="0" w:color="auto"/>
              <w:bottom w:val="single" w:sz="12" w:space="0" w:color="auto"/>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c>
          <w:tcPr>
            <w:tcW w:w="2695" w:type="dxa"/>
            <w:tcBorders>
              <w:top w:val="single" w:sz="12" w:space="0" w:color="auto"/>
            </w:tcBorders>
            <w:shd w:val="clear" w:color="auto" w:fill="auto"/>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 xml:space="preserve">Age at MBC </w:t>
            </w:r>
            <w:r w:rsidR="009D4DBB" w:rsidRPr="00877499">
              <w:rPr>
                <w:rFonts w:ascii="Book Antiqua" w:hAnsi="Book Antiqua" w:cs="Calibri"/>
                <w:b/>
                <w:sz w:val="24"/>
                <w:szCs w:val="24"/>
              </w:rPr>
              <w:t>di</w:t>
            </w:r>
            <w:r w:rsidRPr="00877499">
              <w:rPr>
                <w:rFonts w:ascii="Book Antiqua" w:hAnsi="Book Antiqua" w:cs="Calibri"/>
                <w:b/>
                <w:sz w:val="24"/>
                <w:szCs w:val="24"/>
              </w:rPr>
              <w:t>agnosis</w:t>
            </w:r>
          </w:p>
        </w:tc>
        <w:tc>
          <w:tcPr>
            <w:tcW w:w="1418" w:type="dxa"/>
            <w:tcBorders>
              <w:top w:val="single" w:sz="12" w:space="0" w:color="auto"/>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701" w:type="dxa"/>
            <w:tcBorders>
              <w:top w:val="single" w:sz="12" w:space="0" w:color="auto"/>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984" w:type="dxa"/>
            <w:tcBorders>
              <w:top w:val="single" w:sz="12" w:space="0" w:color="auto"/>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502" w:type="dxa"/>
            <w:tcBorders>
              <w:top w:val="single" w:sz="12" w:space="0" w:color="auto"/>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0.0133</w:t>
            </w:r>
          </w:p>
        </w:tc>
      </w:tr>
      <w:tr w:rsidR="00EA39CC" w:rsidRPr="00877499" w:rsidTr="005237BC">
        <w:tc>
          <w:tcPr>
            <w:tcW w:w="2695" w:type="dxa"/>
            <w:shd w:val="clear" w:color="auto" w:fill="auto"/>
          </w:tcPr>
          <w:p w:rsidR="00EA39CC" w:rsidRPr="00877499" w:rsidRDefault="009E2046"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m</w:t>
            </w:r>
            <w:r w:rsidR="00EA39CC" w:rsidRPr="00877499">
              <w:rPr>
                <w:rFonts w:ascii="Book Antiqua" w:hAnsi="Book Antiqua" w:cs="Calibri"/>
                <w:sz w:val="24"/>
                <w:szCs w:val="24"/>
              </w:rPr>
              <w:t xml:space="preserve">ean </w:t>
            </w:r>
            <w:r w:rsidRPr="00877499">
              <w:rPr>
                <w:rFonts w:ascii="Book Antiqua" w:hAnsi="Book Antiqua" w:cs="Calibri"/>
                <w:sz w:val="24"/>
                <w:szCs w:val="24"/>
              </w:rPr>
              <w:t>±</w:t>
            </w:r>
            <w:r w:rsidRPr="00877499">
              <w:rPr>
                <w:rFonts w:ascii="Book Antiqua" w:hAnsi="Book Antiqua" w:cs="Calibri" w:hint="eastAsia"/>
                <w:sz w:val="24"/>
                <w:szCs w:val="24"/>
              </w:rPr>
              <w:t xml:space="preserve"> </w:t>
            </w:r>
            <w:r w:rsidRPr="00877499">
              <w:rPr>
                <w:rFonts w:ascii="Book Antiqua" w:hAnsi="Book Antiqua" w:cs="Calibri"/>
                <w:sz w:val="24"/>
                <w:szCs w:val="24"/>
              </w:rPr>
              <w:t>SD</w:t>
            </w:r>
          </w:p>
        </w:tc>
        <w:tc>
          <w:tcPr>
            <w:tcW w:w="1418" w:type="dxa"/>
            <w:shd w:val="clear" w:color="auto" w:fill="auto"/>
          </w:tcPr>
          <w:p w:rsidR="00EA39CC" w:rsidRPr="00877499" w:rsidRDefault="00EA39CC" w:rsidP="009D4DBB">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54.5</w:t>
            </w:r>
            <w:r w:rsidR="009D4DBB" w:rsidRPr="00877499">
              <w:rPr>
                <w:rFonts w:ascii="Book Antiqua" w:hAnsi="Book Antiqua" w:cs="Calibri" w:hint="eastAsia"/>
                <w:sz w:val="24"/>
                <w:szCs w:val="24"/>
              </w:rPr>
              <w:t xml:space="preserve"> </w:t>
            </w:r>
            <w:r w:rsidR="009D4DBB" w:rsidRPr="00877499">
              <w:rPr>
                <w:rFonts w:ascii="Book Antiqua" w:hAnsi="Book Antiqua" w:cs="Calibri"/>
                <w:sz w:val="24"/>
                <w:szCs w:val="24"/>
              </w:rPr>
              <w:t>±</w:t>
            </w:r>
            <w:r w:rsidR="009D4DBB" w:rsidRPr="00877499">
              <w:rPr>
                <w:rFonts w:ascii="Book Antiqua" w:hAnsi="Book Antiqua" w:cs="Calibri" w:hint="eastAsia"/>
                <w:sz w:val="24"/>
                <w:szCs w:val="24"/>
              </w:rPr>
              <w:t xml:space="preserve"> </w:t>
            </w:r>
            <w:r w:rsidR="009D4DBB" w:rsidRPr="00877499">
              <w:rPr>
                <w:rFonts w:ascii="Book Antiqua" w:hAnsi="Book Antiqua" w:cs="Calibri"/>
                <w:sz w:val="24"/>
                <w:szCs w:val="24"/>
              </w:rPr>
              <w:t>11.64</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 xml:space="preserve">58.9 </w:t>
            </w:r>
            <w:r w:rsidR="009D4DBB" w:rsidRPr="00877499">
              <w:rPr>
                <w:rFonts w:ascii="Book Antiqua" w:hAnsi="Book Antiqua" w:cs="Calibri"/>
                <w:sz w:val="24"/>
                <w:szCs w:val="24"/>
              </w:rPr>
              <w:t>±</w:t>
            </w:r>
            <w:r w:rsidR="009D4DBB" w:rsidRPr="00877499">
              <w:rPr>
                <w:rFonts w:ascii="Book Antiqua" w:hAnsi="Book Antiqua" w:cs="Calibri" w:hint="eastAsia"/>
                <w:sz w:val="24"/>
                <w:szCs w:val="24"/>
              </w:rPr>
              <w:t xml:space="preserve"> </w:t>
            </w:r>
            <w:r w:rsidR="009D4DBB" w:rsidRPr="00877499">
              <w:rPr>
                <w:rFonts w:ascii="Book Antiqua" w:hAnsi="Book Antiqua" w:cs="Calibri"/>
                <w:sz w:val="24"/>
                <w:szCs w:val="24"/>
              </w:rPr>
              <w:t>11.53</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 xml:space="preserve">58.1 </w:t>
            </w:r>
            <w:r w:rsidR="009D4DBB" w:rsidRPr="00877499">
              <w:rPr>
                <w:rFonts w:ascii="Book Antiqua" w:hAnsi="Book Antiqua" w:cs="Calibri"/>
                <w:sz w:val="24"/>
                <w:szCs w:val="24"/>
              </w:rPr>
              <w:t>±</w:t>
            </w:r>
            <w:r w:rsidR="009D4DBB" w:rsidRPr="00877499">
              <w:rPr>
                <w:rFonts w:ascii="Book Antiqua" w:hAnsi="Book Antiqua" w:cs="Calibri" w:hint="eastAsia"/>
                <w:sz w:val="24"/>
                <w:szCs w:val="24"/>
              </w:rPr>
              <w:t xml:space="preserve"> </w:t>
            </w:r>
            <w:r w:rsidR="009D4DBB" w:rsidRPr="00877499">
              <w:rPr>
                <w:rFonts w:ascii="Book Antiqua" w:hAnsi="Book Antiqua" w:cs="Calibri"/>
                <w:sz w:val="24"/>
                <w:szCs w:val="24"/>
              </w:rPr>
              <w:t>11.65</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rPr>
          <w:trHeight w:val="387"/>
        </w:trPr>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Range</w:t>
            </w:r>
          </w:p>
        </w:tc>
        <w:tc>
          <w:tcPr>
            <w:tcW w:w="1418" w:type="dxa"/>
            <w:shd w:val="clear" w:color="auto" w:fill="auto"/>
          </w:tcPr>
          <w:p w:rsidR="00EA39CC" w:rsidRPr="00877499" w:rsidRDefault="009D4DBB"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32–</w:t>
            </w:r>
            <w:r w:rsidR="00EA39CC" w:rsidRPr="00877499">
              <w:rPr>
                <w:rFonts w:ascii="Book Antiqua" w:hAnsi="Book Antiqua" w:cs="Calibri"/>
                <w:sz w:val="24"/>
                <w:szCs w:val="24"/>
              </w:rPr>
              <w:t>79</w:t>
            </w:r>
          </w:p>
        </w:tc>
        <w:tc>
          <w:tcPr>
            <w:tcW w:w="1701" w:type="dxa"/>
            <w:shd w:val="clear" w:color="auto" w:fill="auto"/>
          </w:tcPr>
          <w:p w:rsidR="00EA39CC" w:rsidRPr="00877499" w:rsidRDefault="009D4DBB"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23–</w:t>
            </w:r>
            <w:r w:rsidR="00EA39CC" w:rsidRPr="00877499">
              <w:rPr>
                <w:rFonts w:ascii="Book Antiqua" w:hAnsi="Book Antiqua" w:cs="Calibri"/>
                <w:sz w:val="24"/>
                <w:szCs w:val="24"/>
              </w:rPr>
              <w:t>95</w:t>
            </w:r>
          </w:p>
        </w:tc>
        <w:tc>
          <w:tcPr>
            <w:tcW w:w="1984" w:type="dxa"/>
            <w:shd w:val="clear" w:color="auto" w:fill="auto"/>
          </w:tcPr>
          <w:p w:rsidR="00EA39CC" w:rsidRPr="00877499" w:rsidRDefault="009D4DBB"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23–</w:t>
            </w:r>
            <w:r w:rsidR="00EA39CC" w:rsidRPr="00877499">
              <w:rPr>
                <w:rFonts w:ascii="Book Antiqua" w:hAnsi="Book Antiqua" w:cs="Calibri"/>
                <w:sz w:val="24"/>
                <w:szCs w:val="24"/>
              </w:rPr>
              <w:t>95</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c>
          <w:tcPr>
            <w:tcW w:w="2695" w:type="dxa"/>
            <w:shd w:val="clear" w:color="auto" w:fill="auto"/>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 xml:space="preserve">Race, </w:t>
            </w:r>
            <w:r w:rsidRPr="00877499">
              <w:rPr>
                <w:rFonts w:ascii="Book Antiqua" w:hAnsi="Book Antiqua" w:cs="Calibri"/>
                <w:b/>
                <w:i/>
                <w:sz w:val="24"/>
                <w:szCs w:val="24"/>
              </w:rPr>
              <w:t>n</w:t>
            </w:r>
            <w:r w:rsidRPr="00877499">
              <w:rPr>
                <w:rFonts w:ascii="Book Antiqua" w:hAnsi="Book Antiqua" w:cs="Calibri"/>
                <w:b/>
                <w:sz w:val="24"/>
                <w:szCs w:val="24"/>
              </w:rPr>
              <w:t xml:space="preserve"> (%)</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0.0003</w:t>
            </w:r>
          </w:p>
        </w:tc>
      </w:tr>
      <w:tr w:rsidR="00EA39CC" w:rsidRPr="00877499" w:rsidTr="005237BC">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 xml:space="preserve">Chinese </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29 (58.0)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167 (65.7)</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196 (64.5)</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 xml:space="preserve">Malay </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4 (8.00)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57 (22.4)</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61 (9.21)</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Indian</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5 (10.0)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14 (5.51)</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19 (6.25)</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rPr>
          <w:trHeight w:val="369"/>
        </w:trPr>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Others</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12 (24.0)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16 (6.30)</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28 (20.1)</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c>
          <w:tcPr>
            <w:tcW w:w="2695" w:type="dxa"/>
            <w:shd w:val="clear" w:color="auto" w:fill="auto"/>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 xml:space="preserve">Hormone </w:t>
            </w:r>
            <w:r w:rsidR="009D4DBB" w:rsidRPr="00877499">
              <w:rPr>
                <w:rFonts w:ascii="Book Antiqua" w:hAnsi="Book Antiqua" w:cs="Calibri"/>
                <w:b/>
                <w:sz w:val="24"/>
                <w:szCs w:val="24"/>
              </w:rPr>
              <w:t>receptor stat</w:t>
            </w:r>
            <w:r w:rsidRPr="00877499">
              <w:rPr>
                <w:rFonts w:ascii="Book Antiqua" w:hAnsi="Book Antiqua" w:cs="Calibri"/>
                <w:b/>
                <w:sz w:val="24"/>
                <w:szCs w:val="24"/>
              </w:rPr>
              <w:t xml:space="preserve">us, </w:t>
            </w:r>
            <w:r w:rsidRPr="00877499">
              <w:rPr>
                <w:rFonts w:ascii="Book Antiqua" w:hAnsi="Book Antiqua" w:cs="Calibri"/>
                <w:b/>
                <w:i/>
                <w:sz w:val="24"/>
                <w:szCs w:val="24"/>
              </w:rPr>
              <w:t>n</w:t>
            </w:r>
            <w:r w:rsidRPr="00877499">
              <w:rPr>
                <w:rFonts w:ascii="Book Antiqua" w:hAnsi="Book Antiqua" w:cs="Calibri"/>
                <w:b/>
                <w:sz w:val="24"/>
                <w:szCs w:val="24"/>
              </w:rPr>
              <w:t xml:space="preserve"> (%)</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ER positive</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32 (64.0)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125 (49.2)</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157 (51.6)</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0.0638</w:t>
            </w:r>
          </w:p>
        </w:tc>
      </w:tr>
      <w:tr w:rsidR="00EA39CC" w:rsidRPr="00877499" w:rsidTr="005237BC">
        <w:trPr>
          <w:trHeight w:val="450"/>
        </w:trPr>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PR positive</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18 (36.0)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82 (32.2)</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102 (33.6)</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0.3264</w:t>
            </w:r>
          </w:p>
        </w:tc>
      </w:tr>
      <w:tr w:rsidR="00EA39CC" w:rsidRPr="00877499" w:rsidTr="005237BC">
        <w:tc>
          <w:tcPr>
            <w:tcW w:w="2695" w:type="dxa"/>
            <w:shd w:val="clear" w:color="auto" w:fill="auto"/>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 xml:space="preserve">Grade, </w:t>
            </w:r>
            <w:r w:rsidRPr="00877499">
              <w:rPr>
                <w:rFonts w:ascii="Book Antiqua" w:hAnsi="Book Antiqua" w:cs="Calibri"/>
                <w:b/>
                <w:i/>
                <w:sz w:val="24"/>
                <w:szCs w:val="24"/>
              </w:rPr>
              <w:t>n</w:t>
            </w:r>
            <w:r w:rsidRPr="00877499">
              <w:rPr>
                <w:rFonts w:ascii="Book Antiqua" w:hAnsi="Book Antiqua" w:cs="Calibri"/>
                <w:b/>
                <w:sz w:val="24"/>
                <w:szCs w:val="24"/>
              </w:rPr>
              <w:t xml:space="preserve"> (%)</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0.8160</w:t>
            </w:r>
          </w:p>
        </w:tc>
      </w:tr>
      <w:tr w:rsidR="00EA39CC" w:rsidRPr="00877499" w:rsidTr="005237BC">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Grade 1</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 (0.00)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3 (1.83)</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3 (1.515)</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Grade 2</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8 (23.53)</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47 (28.7)</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55 (27.8)</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rPr>
          <w:trHeight w:val="369"/>
        </w:trPr>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Grade 3</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26 (76.5)</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114 (69.5)</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140 (70.7)</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c>
          <w:tcPr>
            <w:tcW w:w="2695" w:type="dxa"/>
            <w:shd w:val="clear" w:color="auto" w:fill="auto"/>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 xml:space="preserve">Histology, </w:t>
            </w:r>
            <w:r w:rsidRPr="00877499">
              <w:rPr>
                <w:rFonts w:ascii="Book Antiqua" w:hAnsi="Book Antiqua" w:cs="Calibri"/>
                <w:b/>
                <w:i/>
                <w:sz w:val="24"/>
                <w:szCs w:val="24"/>
              </w:rPr>
              <w:t>n</w:t>
            </w:r>
            <w:r w:rsidRPr="00877499">
              <w:rPr>
                <w:rFonts w:ascii="Book Antiqua" w:hAnsi="Book Antiqua" w:cs="Calibri"/>
                <w:b/>
                <w:sz w:val="24"/>
                <w:szCs w:val="24"/>
              </w:rPr>
              <w:t xml:space="preserve"> (%)</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0.0899</w:t>
            </w:r>
          </w:p>
        </w:tc>
      </w:tr>
      <w:tr w:rsidR="00EA39CC" w:rsidRPr="00877499" w:rsidTr="005237BC">
        <w:tc>
          <w:tcPr>
            <w:tcW w:w="2695" w:type="dxa"/>
            <w:shd w:val="clear" w:color="auto" w:fill="auto"/>
          </w:tcPr>
          <w:p w:rsidR="00EA39CC" w:rsidRPr="00877499" w:rsidRDefault="00EA39CC" w:rsidP="00B24FB1">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Invasive ductal carcinoma</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48 (96.0)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220 (86.6)</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268 (88.2)</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rPr>
          <w:trHeight w:val="360"/>
        </w:trPr>
        <w:tc>
          <w:tcPr>
            <w:tcW w:w="2695"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Others</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 (4.00)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34 (13.4)</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36 (11.8)</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c>
          <w:tcPr>
            <w:tcW w:w="2695" w:type="dxa"/>
            <w:shd w:val="clear" w:color="auto" w:fill="auto"/>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 xml:space="preserve">Site of </w:t>
            </w:r>
            <w:r w:rsidR="009D4DBB" w:rsidRPr="00877499">
              <w:rPr>
                <w:rFonts w:ascii="Book Antiqua" w:hAnsi="Book Antiqua" w:cs="Calibri"/>
                <w:b/>
                <w:sz w:val="24"/>
                <w:szCs w:val="24"/>
              </w:rPr>
              <w:t>m</w:t>
            </w:r>
            <w:r w:rsidRPr="00877499">
              <w:rPr>
                <w:rFonts w:ascii="Book Antiqua" w:hAnsi="Book Antiqua" w:cs="Calibri"/>
                <w:b/>
                <w:sz w:val="24"/>
                <w:szCs w:val="24"/>
              </w:rPr>
              <w:t xml:space="preserve">etastases, </w:t>
            </w:r>
            <w:r w:rsidRPr="00877499">
              <w:rPr>
                <w:rFonts w:ascii="Book Antiqua" w:hAnsi="Book Antiqua" w:cs="Calibri"/>
                <w:b/>
                <w:i/>
                <w:sz w:val="24"/>
                <w:szCs w:val="24"/>
              </w:rPr>
              <w:t>n</w:t>
            </w:r>
            <w:r w:rsidR="009D4DBB" w:rsidRPr="00877499">
              <w:rPr>
                <w:rFonts w:ascii="Book Antiqua" w:hAnsi="Book Antiqua" w:cs="Calibri" w:hint="eastAsia"/>
                <w:b/>
                <w:sz w:val="24"/>
                <w:szCs w:val="24"/>
              </w:rPr>
              <w:t xml:space="preserve"> </w:t>
            </w:r>
            <w:r w:rsidRPr="00877499">
              <w:rPr>
                <w:rFonts w:ascii="Book Antiqua" w:hAnsi="Book Antiqua" w:cs="Calibri"/>
                <w:b/>
                <w:sz w:val="24"/>
                <w:szCs w:val="24"/>
              </w:rPr>
              <w:t>(%)</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 xml:space="preserve">Brain </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6 (12.0)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17 (6.69)</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23 (7.57)</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0.2369</w:t>
            </w:r>
          </w:p>
        </w:tc>
      </w:tr>
      <w:tr w:rsidR="00EA39CC" w:rsidRPr="00877499" w:rsidTr="005237BC">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Lung</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18 (36.0)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115 (45.3)</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133 (43.8)</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0.2754</w:t>
            </w:r>
          </w:p>
        </w:tc>
      </w:tr>
      <w:tr w:rsidR="00EA39CC" w:rsidRPr="00877499" w:rsidTr="005237BC">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Liver</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22 (44.0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98 (38.6)</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120 (39.5)</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0.5276</w:t>
            </w:r>
          </w:p>
        </w:tc>
      </w:tr>
      <w:tr w:rsidR="00EA39CC" w:rsidRPr="00877499" w:rsidTr="005237BC">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lastRenderedPageBreak/>
              <w:t>Bone</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30 (60.0)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137 (53.9)</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167 (54.9)</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0.4425</w:t>
            </w:r>
          </w:p>
        </w:tc>
      </w:tr>
      <w:tr w:rsidR="00EA39CC" w:rsidRPr="00877499" w:rsidTr="005237BC">
        <w:trPr>
          <w:trHeight w:val="369"/>
        </w:trPr>
        <w:tc>
          <w:tcPr>
            <w:tcW w:w="2695" w:type="dxa"/>
            <w:shd w:val="clear" w:color="auto" w:fill="auto"/>
          </w:tcPr>
          <w:p w:rsidR="00EA39CC" w:rsidRPr="00877499" w:rsidRDefault="00EA39CC" w:rsidP="009D4DBB">
            <w:pPr>
              <w:widowControl w:val="0"/>
              <w:spacing w:after="0" w:line="360" w:lineRule="auto"/>
              <w:ind w:firstLineChars="100" w:firstLine="240"/>
              <w:jc w:val="both"/>
              <w:rPr>
                <w:rFonts w:ascii="Book Antiqua" w:hAnsi="Book Antiqua" w:cs="Calibri"/>
                <w:sz w:val="24"/>
                <w:szCs w:val="24"/>
              </w:rPr>
            </w:pPr>
            <w:r w:rsidRPr="00877499">
              <w:rPr>
                <w:rFonts w:ascii="Book Antiqua" w:hAnsi="Book Antiqua" w:cs="Calibri"/>
                <w:sz w:val="24"/>
                <w:szCs w:val="24"/>
              </w:rPr>
              <w:t>Other</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16 (32.0)</w:t>
            </w: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94 (37.0)</w:t>
            </w: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110 (36.2)</w:t>
            </w: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0.5249</w:t>
            </w:r>
          </w:p>
        </w:tc>
      </w:tr>
      <w:tr w:rsidR="00EA39CC" w:rsidRPr="00877499" w:rsidTr="005237BC">
        <w:tc>
          <w:tcPr>
            <w:tcW w:w="2695" w:type="dxa"/>
            <w:shd w:val="clear" w:color="auto" w:fill="auto"/>
          </w:tcPr>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 xml:space="preserve">Follow-up </w:t>
            </w:r>
            <w:r w:rsidR="009D4DBB" w:rsidRPr="00877499">
              <w:rPr>
                <w:rFonts w:ascii="Book Antiqua" w:hAnsi="Book Antiqua" w:cs="Calibri"/>
                <w:b/>
                <w:sz w:val="24"/>
                <w:szCs w:val="24"/>
              </w:rPr>
              <w:t>duration (y</w:t>
            </w:r>
            <w:r w:rsidRPr="00877499">
              <w:rPr>
                <w:rFonts w:ascii="Book Antiqua" w:hAnsi="Book Antiqua" w:cs="Calibri"/>
                <w:b/>
                <w:sz w:val="24"/>
                <w:szCs w:val="24"/>
              </w:rPr>
              <w:t>r)</w:t>
            </w:r>
          </w:p>
        </w:tc>
        <w:tc>
          <w:tcPr>
            <w:tcW w:w="1418"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701"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984"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c>
          <w:tcPr>
            <w:tcW w:w="1502" w:type="dxa"/>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0.8511</w:t>
            </w:r>
          </w:p>
        </w:tc>
      </w:tr>
      <w:tr w:rsidR="00EA39CC" w:rsidRPr="00877499" w:rsidTr="005237BC">
        <w:tc>
          <w:tcPr>
            <w:tcW w:w="2695" w:type="dxa"/>
            <w:tcBorders>
              <w:bottom w:val="nil"/>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Median (IQR)</w:t>
            </w:r>
          </w:p>
        </w:tc>
        <w:tc>
          <w:tcPr>
            <w:tcW w:w="1418" w:type="dxa"/>
            <w:tcBorders>
              <w:bottom w:val="nil"/>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20.6 (21.6)</w:t>
            </w:r>
          </w:p>
        </w:tc>
        <w:tc>
          <w:tcPr>
            <w:tcW w:w="1701" w:type="dxa"/>
            <w:tcBorders>
              <w:bottom w:val="nil"/>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22.5 (29.5)</w:t>
            </w:r>
          </w:p>
        </w:tc>
        <w:tc>
          <w:tcPr>
            <w:tcW w:w="1984" w:type="dxa"/>
            <w:tcBorders>
              <w:bottom w:val="nil"/>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21.5 (27.8)</w:t>
            </w:r>
          </w:p>
        </w:tc>
        <w:tc>
          <w:tcPr>
            <w:tcW w:w="1502" w:type="dxa"/>
            <w:tcBorders>
              <w:bottom w:val="nil"/>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r w:rsidR="00EA39CC" w:rsidRPr="00877499" w:rsidTr="005237BC">
        <w:tc>
          <w:tcPr>
            <w:tcW w:w="2695" w:type="dxa"/>
            <w:tcBorders>
              <w:top w:val="nil"/>
              <w:bottom w:val="single" w:sz="12" w:space="0" w:color="auto"/>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Range</w:t>
            </w:r>
          </w:p>
        </w:tc>
        <w:tc>
          <w:tcPr>
            <w:tcW w:w="1418" w:type="dxa"/>
            <w:tcBorders>
              <w:top w:val="nil"/>
              <w:bottom w:val="single" w:sz="12" w:space="0" w:color="auto"/>
            </w:tcBorders>
            <w:shd w:val="clear" w:color="auto" w:fill="auto"/>
          </w:tcPr>
          <w:p w:rsidR="00EA39CC" w:rsidRPr="00877499" w:rsidRDefault="003E1576"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w:t>
            </w:r>
            <w:r w:rsidR="00EA39CC" w:rsidRPr="00877499">
              <w:rPr>
                <w:rFonts w:ascii="Book Antiqua" w:hAnsi="Book Antiqua" w:cs="Calibri"/>
                <w:sz w:val="24"/>
                <w:szCs w:val="24"/>
              </w:rPr>
              <w:t>74</w:t>
            </w:r>
          </w:p>
        </w:tc>
        <w:tc>
          <w:tcPr>
            <w:tcW w:w="1701" w:type="dxa"/>
            <w:tcBorders>
              <w:top w:val="nil"/>
              <w:bottom w:val="single" w:sz="12" w:space="0" w:color="auto"/>
            </w:tcBorders>
            <w:shd w:val="clear" w:color="auto" w:fill="auto"/>
          </w:tcPr>
          <w:p w:rsidR="00EA39CC" w:rsidRPr="00877499" w:rsidRDefault="003E1576"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w:t>
            </w:r>
            <w:r w:rsidR="00EA39CC" w:rsidRPr="00877499">
              <w:rPr>
                <w:rFonts w:ascii="Book Antiqua" w:hAnsi="Book Antiqua" w:cs="Calibri"/>
                <w:sz w:val="24"/>
                <w:szCs w:val="24"/>
              </w:rPr>
              <w:t>92</w:t>
            </w:r>
          </w:p>
        </w:tc>
        <w:tc>
          <w:tcPr>
            <w:tcW w:w="1984" w:type="dxa"/>
            <w:tcBorders>
              <w:top w:val="nil"/>
              <w:bottom w:val="single" w:sz="12" w:space="0" w:color="auto"/>
            </w:tcBorders>
            <w:shd w:val="clear" w:color="auto" w:fill="auto"/>
          </w:tcPr>
          <w:p w:rsidR="00EA39CC" w:rsidRPr="00877499" w:rsidRDefault="003E1576" w:rsidP="009E2046">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w:t>
            </w:r>
            <w:r w:rsidR="00EA39CC" w:rsidRPr="00877499">
              <w:rPr>
                <w:rFonts w:ascii="Book Antiqua" w:hAnsi="Book Antiqua" w:cs="Calibri"/>
                <w:sz w:val="24"/>
                <w:szCs w:val="24"/>
              </w:rPr>
              <w:t>92</w:t>
            </w:r>
          </w:p>
        </w:tc>
        <w:tc>
          <w:tcPr>
            <w:tcW w:w="1502" w:type="dxa"/>
            <w:tcBorders>
              <w:top w:val="nil"/>
              <w:bottom w:val="single" w:sz="12" w:space="0" w:color="auto"/>
            </w:tcBorders>
            <w:shd w:val="clear" w:color="auto" w:fill="auto"/>
          </w:tcPr>
          <w:p w:rsidR="00EA39CC" w:rsidRPr="00877499" w:rsidRDefault="00EA39CC" w:rsidP="009E2046">
            <w:pPr>
              <w:widowControl w:val="0"/>
              <w:spacing w:after="0" w:line="360" w:lineRule="auto"/>
              <w:jc w:val="both"/>
              <w:rPr>
                <w:rFonts w:ascii="Book Antiqua" w:hAnsi="Book Antiqua" w:cs="Calibri"/>
                <w:sz w:val="24"/>
                <w:szCs w:val="24"/>
              </w:rPr>
            </w:pPr>
          </w:p>
        </w:tc>
      </w:tr>
    </w:tbl>
    <w:p w:rsidR="009D4DBB" w:rsidRPr="00877499" w:rsidRDefault="009D4DBB" w:rsidP="009E2046">
      <w:pPr>
        <w:widowControl w:val="0"/>
        <w:spacing w:after="0" w:line="360" w:lineRule="auto"/>
        <w:jc w:val="both"/>
        <w:rPr>
          <w:rFonts w:ascii="Book Antiqua" w:hAnsi="Book Antiqua" w:cs="Calibri" w:hint="eastAsia"/>
          <w:b/>
          <w:sz w:val="24"/>
          <w:szCs w:val="24"/>
        </w:rPr>
      </w:pPr>
      <w:r w:rsidRPr="00877499">
        <w:rPr>
          <w:rFonts w:ascii="Book Antiqua" w:hAnsi="Book Antiqua"/>
          <w:sz w:val="24"/>
          <w:szCs w:val="24"/>
        </w:rPr>
        <w:t>MBC</w:t>
      </w:r>
      <w:r w:rsidRPr="00877499">
        <w:rPr>
          <w:rFonts w:ascii="Book Antiqua" w:hAnsi="Book Antiqua" w:hint="eastAsia"/>
          <w:sz w:val="24"/>
          <w:szCs w:val="24"/>
        </w:rPr>
        <w:t>:</w:t>
      </w:r>
      <w:r w:rsidRPr="00877499">
        <w:rPr>
          <w:rFonts w:ascii="Book Antiqua" w:hAnsi="Book Antiqua"/>
          <w:sz w:val="24"/>
          <w:szCs w:val="24"/>
          <w:vertAlign w:val="superscript"/>
        </w:rPr>
        <w:t xml:space="preserve"> </w:t>
      </w:r>
      <w:r w:rsidRPr="00877499">
        <w:rPr>
          <w:rFonts w:ascii="Book Antiqua" w:hAnsi="Book Antiqua"/>
          <w:caps/>
          <w:sz w:val="24"/>
          <w:szCs w:val="24"/>
        </w:rPr>
        <w:t>m</w:t>
      </w:r>
      <w:r w:rsidRPr="00877499">
        <w:rPr>
          <w:rFonts w:ascii="Book Antiqua" w:hAnsi="Book Antiqua"/>
          <w:sz w:val="24"/>
          <w:szCs w:val="24"/>
        </w:rPr>
        <w:t>etastatic breast cancer</w:t>
      </w:r>
      <w:r w:rsidRPr="00877499">
        <w:rPr>
          <w:rFonts w:ascii="Book Antiqua" w:hAnsi="Book Antiqua" w:hint="eastAsia"/>
          <w:sz w:val="24"/>
          <w:szCs w:val="24"/>
        </w:rPr>
        <w:t>;</w:t>
      </w:r>
      <w:r w:rsidRPr="00877499">
        <w:rPr>
          <w:rFonts w:ascii="Book Antiqua" w:hAnsi="Book Antiqua"/>
          <w:sz w:val="24"/>
          <w:szCs w:val="24"/>
          <w:vertAlign w:val="superscript"/>
        </w:rPr>
        <w:t xml:space="preserve"> </w:t>
      </w:r>
      <w:r w:rsidR="00EA39CC" w:rsidRPr="00877499">
        <w:rPr>
          <w:rFonts w:ascii="Book Antiqua" w:hAnsi="Book Antiqua"/>
          <w:sz w:val="24"/>
          <w:szCs w:val="24"/>
        </w:rPr>
        <w:t>ER</w:t>
      </w:r>
      <w:r w:rsidRPr="00877499">
        <w:rPr>
          <w:rFonts w:ascii="Book Antiqua" w:hAnsi="Book Antiqua" w:hint="eastAsia"/>
          <w:sz w:val="24"/>
          <w:szCs w:val="24"/>
        </w:rPr>
        <w:t>:</w:t>
      </w:r>
      <w:r w:rsidR="00EA39CC" w:rsidRPr="00877499">
        <w:rPr>
          <w:rFonts w:ascii="Book Antiqua" w:hAnsi="Book Antiqua"/>
          <w:sz w:val="24"/>
          <w:szCs w:val="24"/>
        </w:rPr>
        <w:t xml:space="preserve"> Estrogen</w:t>
      </w:r>
      <w:r w:rsidRPr="00877499">
        <w:rPr>
          <w:rFonts w:ascii="Book Antiqua" w:hAnsi="Book Antiqua"/>
          <w:sz w:val="24"/>
          <w:szCs w:val="24"/>
        </w:rPr>
        <w:t xml:space="preserve"> r</w:t>
      </w:r>
      <w:r w:rsidR="00EA39CC" w:rsidRPr="00877499">
        <w:rPr>
          <w:rFonts w:ascii="Book Antiqua" w:hAnsi="Book Antiqua"/>
          <w:sz w:val="24"/>
          <w:szCs w:val="24"/>
        </w:rPr>
        <w:t>eceptor</w:t>
      </w:r>
      <w:r w:rsidRPr="00877499">
        <w:rPr>
          <w:rFonts w:ascii="Book Antiqua" w:hAnsi="Book Antiqua" w:hint="eastAsia"/>
          <w:sz w:val="24"/>
          <w:szCs w:val="24"/>
        </w:rPr>
        <w:t xml:space="preserve">; </w:t>
      </w:r>
      <w:r w:rsidR="00EA39CC" w:rsidRPr="00877499">
        <w:rPr>
          <w:rFonts w:ascii="Book Antiqua" w:hAnsi="Book Antiqua"/>
          <w:sz w:val="24"/>
          <w:szCs w:val="24"/>
        </w:rPr>
        <w:t>PR</w:t>
      </w:r>
      <w:r w:rsidRPr="00877499">
        <w:rPr>
          <w:rFonts w:ascii="Book Antiqua" w:hAnsi="Book Antiqua" w:hint="eastAsia"/>
          <w:sz w:val="24"/>
          <w:szCs w:val="24"/>
        </w:rPr>
        <w:t>:</w:t>
      </w:r>
      <w:r w:rsidR="00EA39CC" w:rsidRPr="00877499">
        <w:rPr>
          <w:rFonts w:ascii="Book Antiqua" w:hAnsi="Book Antiqua"/>
          <w:sz w:val="24"/>
          <w:szCs w:val="24"/>
        </w:rPr>
        <w:t xml:space="preserve"> Progester</w:t>
      </w:r>
      <w:r w:rsidRPr="00877499">
        <w:rPr>
          <w:rFonts w:ascii="Book Antiqua" w:hAnsi="Book Antiqua"/>
          <w:sz w:val="24"/>
          <w:szCs w:val="24"/>
        </w:rPr>
        <w:t>one re</w:t>
      </w:r>
      <w:r w:rsidR="00EA39CC" w:rsidRPr="00877499">
        <w:rPr>
          <w:rFonts w:ascii="Book Antiqua" w:hAnsi="Book Antiqua"/>
          <w:sz w:val="24"/>
          <w:szCs w:val="24"/>
        </w:rPr>
        <w:t>ceptor</w:t>
      </w:r>
      <w:r w:rsidR="00D8043E" w:rsidRPr="00877499">
        <w:rPr>
          <w:rFonts w:ascii="Book Antiqua" w:hAnsi="Book Antiqua" w:hint="eastAsia"/>
          <w:sz w:val="24"/>
          <w:szCs w:val="24"/>
        </w:rPr>
        <w:t xml:space="preserve">; </w:t>
      </w:r>
      <w:r w:rsidR="00D8043E" w:rsidRPr="00877499">
        <w:rPr>
          <w:rFonts w:ascii="Book Antiqua" w:hAnsi="Book Antiqua"/>
          <w:sz w:val="24"/>
          <w:szCs w:val="24"/>
        </w:rPr>
        <w:t>IQR</w:t>
      </w:r>
      <w:r w:rsidR="00D8043E" w:rsidRPr="00877499">
        <w:rPr>
          <w:rFonts w:ascii="Book Antiqua" w:hAnsi="Book Antiqua" w:hint="eastAsia"/>
          <w:sz w:val="24"/>
          <w:szCs w:val="24"/>
        </w:rPr>
        <w:t>:</w:t>
      </w:r>
      <w:r w:rsidR="00D8043E" w:rsidRPr="00877499">
        <w:rPr>
          <w:rFonts w:ascii="Book Antiqua" w:hAnsi="Book Antiqua"/>
          <w:sz w:val="24"/>
          <w:szCs w:val="24"/>
        </w:rPr>
        <w:t xml:space="preserve"> </w:t>
      </w:r>
      <w:r w:rsidR="00D8043E" w:rsidRPr="00877499">
        <w:rPr>
          <w:rFonts w:ascii="Book Antiqua" w:hAnsi="Book Antiqua"/>
          <w:caps/>
          <w:sz w:val="24"/>
          <w:szCs w:val="24"/>
        </w:rPr>
        <w:t>i</w:t>
      </w:r>
      <w:r w:rsidR="00D8043E" w:rsidRPr="00877499">
        <w:rPr>
          <w:rFonts w:ascii="Book Antiqua" w:hAnsi="Book Antiqua"/>
          <w:sz w:val="24"/>
          <w:szCs w:val="24"/>
        </w:rPr>
        <w:t>nterquartile range</w:t>
      </w:r>
      <w:r w:rsidRPr="00877499">
        <w:rPr>
          <w:rFonts w:ascii="Book Antiqua" w:hAnsi="Book Antiqua" w:hint="eastAsia"/>
          <w:sz w:val="24"/>
          <w:szCs w:val="24"/>
        </w:rPr>
        <w:t>.</w:t>
      </w:r>
    </w:p>
    <w:p w:rsidR="00EA39CC" w:rsidRPr="00877499" w:rsidRDefault="00EA39CC" w:rsidP="009E2046">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br w:type="page"/>
      </w:r>
      <w:r w:rsidRPr="00877499">
        <w:rPr>
          <w:rFonts w:ascii="Book Antiqua" w:hAnsi="Book Antiqua" w:cs="Calibri"/>
          <w:b/>
          <w:sz w:val="24"/>
          <w:szCs w:val="24"/>
        </w:rPr>
        <w:lastRenderedPageBreak/>
        <w:t>Table 2</w:t>
      </w:r>
      <w:r w:rsidR="0045236E" w:rsidRPr="00877499">
        <w:rPr>
          <w:rFonts w:ascii="Book Antiqua" w:hAnsi="Book Antiqua" w:cs="Calibri" w:hint="eastAsia"/>
          <w:b/>
          <w:sz w:val="24"/>
          <w:szCs w:val="24"/>
        </w:rPr>
        <w:t xml:space="preserve"> </w:t>
      </w:r>
      <w:r w:rsidRPr="00877499">
        <w:rPr>
          <w:rFonts w:ascii="Book Antiqua" w:hAnsi="Book Antiqua" w:cs="Calibri"/>
          <w:b/>
          <w:bCs/>
          <w:sz w:val="24"/>
          <w:szCs w:val="24"/>
        </w:rPr>
        <w:t>Univariate an</w:t>
      </w:r>
      <w:r w:rsidR="0045236E" w:rsidRPr="00877499">
        <w:rPr>
          <w:rFonts w:ascii="Book Antiqua" w:hAnsi="Book Antiqua" w:cs="Calibri"/>
          <w:b/>
          <w:bCs/>
          <w:sz w:val="24"/>
          <w:szCs w:val="24"/>
        </w:rPr>
        <w:t>d mu</w:t>
      </w:r>
      <w:r w:rsidRPr="00877499">
        <w:rPr>
          <w:rFonts w:ascii="Book Antiqua" w:hAnsi="Book Antiqua" w:cs="Calibri"/>
          <w:b/>
          <w:bCs/>
          <w:sz w:val="24"/>
          <w:szCs w:val="24"/>
        </w:rPr>
        <w:t xml:space="preserve">ltivariate COX </w:t>
      </w:r>
      <w:r w:rsidR="0045236E" w:rsidRPr="00877499">
        <w:rPr>
          <w:rFonts w:ascii="Book Antiqua" w:hAnsi="Book Antiqua" w:cs="Calibri"/>
          <w:b/>
          <w:bCs/>
          <w:sz w:val="24"/>
          <w:szCs w:val="24"/>
        </w:rPr>
        <w:t>re</w:t>
      </w:r>
      <w:r w:rsidRPr="00877499">
        <w:rPr>
          <w:rFonts w:ascii="Book Antiqua" w:hAnsi="Book Antiqua" w:cs="Calibri"/>
          <w:b/>
          <w:bCs/>
          <w:sz w:val="24"/>
          <w:szCs w:val="24"/>
        </w:rPr>
        <w:t>gression</w:t>
      </w:r>
    </w:p>
    <w:tbl>
      <w:tblPr>
        <w:tblpPr w:leftFromText="180" w:rightFromText="180" w:vertAnchor="text" w:tblpY="1"/>
        <w:tblOverlap w:val="never"/>
        <w:tblW w:w="9330" w:type="dxa"/>
        <w:tblLayout w:type="fixed"/>
        <w:tblLook w:val="04A0" w:firstRow="1" w:lastRow="0" w:firstColumn="1" w:lastColumn="0" w:noHBand="0" w:noVBand="1"/>
      </w:tblPr>
      <w:tblGrid>
        <w:gridCol w:w="2547"/>
        <w:gridCol w:w="688"/>
        <w:gridCol w:w="1417"/>
        <w:gridCol w:w="992"/>
        <w:gridCol w:w="1276"/>
        <w:gridCol w:w="1276"/>
        <w:gridCol w:w="1134"/>
      </w:tblGrid>
      <w:tr w:rsidR="00EA39CC" w:rsidRPr="00877499" w:rsidTr="009459D9">
        <w:trPr>
          <w:trHeight w:val="539"/>
        </w:trPr>
        <w:tc>
          <w:tcPr>
            <w:tcW w:w="2547" w:type="dxa"/>
            <w:vMerge w:val="restart"/>
            <w:tcBorders>
              <w:top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 xml:space="preserve">Characteristics </w:t>
            </w:r>
          </w:p>
        </w:tc>
        <w:tc>
          <w:tcPr>
            <w:tcW w:w="3097" w:type="dxa"/>
            <w:gridSpan w:val="3"/>
            <w:tcBorders>
              <w:top w:val="single" w:sz="12" w:space="0" w:color="auto"/>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Univariate analysis</w:t>
            </w:r>
          </w:p>
        </w:tc>
        <w:tc>
          <w:tcPr>
            <w:tcW w:w="3686" w:type="dxa"/>
            <w:gridSpan w:val="3"/>
            <w:tcBorders>
              <w:top w:val="single" w:sz="12" w:space="0" w:color="auto"/>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Multivariable analysis</w:t>
            </w:r>
          </w:p>
        </w:tc>
      </w:tr>
      <w:tr w:rsidR="00EA39CC" w:rsidRPr="00877499" w:rsidTr="009459D9">
        <w:trPr>
          <w:trHeight w:val="521"/>
        </w:trPr>
        <w:tc>
          <w:tcPr>
            <w:tcW w:w="2547" w:type="dxa"/>
            <w:vMerge/>
            <w:tcBorders>
              <w:bottom w:val="single" w:sz="12" w:space="0" w:color="auto"/>
            </w:tcBorders>
            <w:shd w:val="clear" w:color="auto" w:fill="auto"/>
          </w:tcPr>
          <w:p w:rsidR="00EA39CC" w:rsidRPr="00877499" w:rsidRDefault="00EA39CC" w:rsidP="009459D9">
            <w:pPr>
              <w:widowControl w:val="0"/>
              <w:spacing w:after="0" w:line="360" w:lineRule="auto"/>
              <w:jc w:val="both"/>
              <w:rPr>
                <w:rFonts w:ascii="Book Antiqua" w:hAnsi="Book Antiqua" w:cs="Calibri"/>
                <w:b/>
                <w:sz w:val="24"/>
                <w:szCs w:val="24"/>
              </w:rPr>
            </w:pPr>
          </w:p>
        </w:tc>
        <w:tc>
          <w:tcPr>
            <w:tcW w:w="688" w:type="dxa"/>
            <w:tcBorders>
              <w:top w:val="single" w:sz="12" w:space="0" w:color="auto"/>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HR</w:t>
            </w:r>
          </w:p>
        </w:tc>
        <w:tc>
          <w:tcPr>
            <w:tcW w:w="1417" w:type="dxa"/>
            <w:tcBorders>
              <w:top w:val="single" w:sz="12" w:space="0" w:color="auto"/>
              <w:bottom w:val="single" w:sz="12" w:space="0" w:color="auto"/>
            </w:tcBorders>
            <w:shd w:val="clear" w:color="auto" w:fill="auto"/>
            <w:vAlign w:val="center"/>
          </w:tcPr>
          <w:p w:rsidR="00EA39CC" w:rsidRPr="00877499" w:rsidRDefault="003E1576" w:rsidP="009459D9">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95%CI</w:t>
            </w:r>
          </w:p>
        </w:tc>
        <w:tc>
          <w:tcPr>
            <w:tcW w:w="992" w:type="dxa"/>
            <w:tcBorders>
              <w:top w:val="single" w:sz="12" w:space="0" w:color="auto"/>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b/>
                <w:sz w:val="24"/>
                <w:szCs w:val="24"/>
              </w:rPr>
            </w:pPr>
            <w:r w:rsidRPr="00877499">
              <w:rPr>
                <w:rFonts w:ascii="Book Antiqua" w:hAnsi="Book Antiqua" w:cs="Calibri"/>
                <w:b/>
                <w:i/>
                <w:sz w:val="24"/>
                <w:szCs w:val="24"/>
              </w:rPr>
              <w:t>P</w:t>
            </w:r>
            <w:r w:rsidR="00675C6C" w:rsidRPr="00877499">
              <w:rPr>
                <w:rFonts w:ascii="Book Antiqua" w:hAnsi="Book Antiqua" w:cs="Calibri"/>
                <w:b/>
                <w:sz w:val="24"/>
                <w:szCs w:val="24"/>
              </w:rPr>
              <w:t xml:space="preserve"> </w:t>
            </w:r>
            <w:r w:rsidRPr="00877499">
              <w:rPr>
                <w:rFonts w:ascii="Book Antiqua" w:hAnsi="Book Antiqua" w:cs="Calibri"/>
                <w:b/>
                <w:sz w:val="24"/>
                <w:szCs w:val="24"/>
              </w:rPr>
              <w:t>value</w:t>
            </w:r>
          </w:p>
        </w:tc>
        <w:tc>
          <w:tcPr>
            <w:tcW w:w="1276" w:type="dxa"/>
            <w:tcBorders>
              <w:top w:val="single" w:sz="12" w:space="0" w:color="auto"/>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HR</w:t>
            </w:r>
          </w:p>
        </w:tc>
        <w:tc>
          <w:tcPr>
            <w:tcW w:w="1276" w:type="dxa"/>
            <w:tcBorders>
              <w:top w:val="single" w:sz="12" w:space="0" w:color="auto"/>
              <w:bottom w:val="single" w:sz="12" w:space="0" w:color="auto"/>
            </w:tcBorders>
            <w:shd w:val="clear" w:color="auto" w:fill="auto"/>
            <w:vAlign w:val="center"/>
          </w:tcPr>
          <w:p w:rsidR="00EA39CC" w:rsidRPr="00877499" w:rsidRDefault="003E1576" w:rsidP="009459D9">
            <w:pPr>
              <w:widowControl w:val="0"/>
              <w:spacing w:after="0" w:line="360" w:lineRule="auto"/>
              <w:jc w:val="both"/>
              <w:rPr>
                <w:rFonts w:ascii="Book Antiqua" w:hAnsi="Book Antiqua" w:cs="Calibri"/>
                <w:b/>
                <w:sz w:val="24"/>
                <w:szCs w:val="24"/>
              </w:rPr>
            </w:pPr>
            <w:r w:rsidRPr="00877499">
              <w:rPr>
                <w:rFonts w:ascii="Book Antiqua" w:hAnsi="Book Antiqua" w:cs="Calibri"/>
                <w:b/>
                <w:sz w:val="24"/>
                <w:szCs w:val="24"/>
              </w:rPr>
              <w:t>95%CI</w:t>
            </w:r>
          </w:p>
        </w:tc>
        <w:tc>
          <w:tcPr>
            <w:tcW w:w="1134" w:type="dxa"/>
            <w:tcBorders>
              <w:top w:val="single" w:sz="12" w:space="0" w:color="auto"/>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b/>
                <w:sz w:val="24"/>
                <w:szCs w:val="24"/>
              </w:rPr>
            </w:pPr>
            <w:r w:rsidRPr="00877499">
              <w:rPr>
                <w:rFonts w:ascii="Book Antiqua" w:hAnsi="Book Antiqua" w:cs="Calibri"/>
                <w:b/>
                <w:i/>
                <w:sz w:val="24"/>
                <w:szCs w:val="24"/>
              </w:rPr>
              <w:t>P</w:t>
            </w:r>
            <w:r w:rsidR="00675C6C" w:rsidRPr="00877499">
              <w:rPr>
                <w:rFonts w:ascii="Book Antiqua" w:hAnsi="Book Antiqua" w:cs="Calibri"/>
                <w:b/>
                <w:sz w:val="24"/>
                <w:szCs w:val="24"/>
              </w:rPr>
              <w:t xml:space="preserve"> </w:t>
            </w:r>
            <w:r w:rsidRPr="00877499">
              <w:rPr>
                <w:rFonts w:ascii="Book Antiqua" w:hAnsi="Book Antiqua" w:cs="Calibri"/>
                <w:b/>
                <w:sz w:val="24"/>
                <w:szCs w:val="24"/>
              </w:rPr>
              <w:t>value</w:t>
            </w:r>
          </w:p>
        </w:tc>
      </w:tr>
      <w:tr w:rsidR="00EA39CC" w:rsidRPr="00877499" w:rsidTr="009459D9">
        <w:tc>
          <w:tcPr>
            <w:tcW w:w="2547" w:type="dxa"/>
            <w:tcBorders>
              <w:top w:val="single" w:sz="12" w:space="0" w:color="auto"/>
            </w:tcBorders>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Age</w:t>
            </w:r>
          </w:p>
        </w:tc>
        <w:tc>
          <w:tcPr>
            <w:tcW w:w="688" w:type="dxa"/>
            <w:tcBorders>
              <w:top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1.010</w:t>
            </w:r>
          </w:p>
        </w:tc>
        <w:tc>
          <w:tcPr>
            <w:tcW w:w="1417" w:type="dxa"/>
            <w:tcBorders>
              <w:top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0.997 – 1.023</w:t>
            </w:r>
          </w:p>
        </w:tc>
        <w:tc>
          <w:tcPr>
            <w:tcW w:w="992" w:type="dxa"/>
            <w:tcBorders>
              <w:top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0.1330</w:t>
            </w:r>
          </w:p>
        </w:tc>
        <w:tc>
          <w:tcPr>
            <w:tcW w:w="1276" w:type="dxa"/>
            <w:tcBorders>
              <w:top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tcBorders>
              <w:top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134" w:type="dxa"/>
            <w:tcBorders>
              <w:top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 xml:space="preserve">Pertuzumab </w:t>
            </w:r>
            <w:r w:rsidR="003E1576" w:rsidRPr="00877499">
              <w:rPr>
                <w:rFonts w:ascii="Book Antiqua" w:hAnsi="Book Antiqua" w:cs="Calibri"/>
                <w:sz w:val="24"/>
                <w:szCs w:val="24"/>
              </w:rPr>
              <w:t>u</w:t>
            </w:r>
            <w:r w:rsidRPr="00877499">
              <w:rPr>
                <w:rFonts w:ascii="Book Antiqua" w:hAnsi="Book Antiqua" w:cs="Calibri"/>
                <w:sz w:val="24"/>
                <w:szCs w:val="24"/>
              </w:rPr>
              <w:t>se</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0.515</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0.303 – 0.877</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0.0145</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0.468</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0.271 – 0.809</w:t>
            </w: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0.0066</w:t>
            </w: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 xml:space="preserve">Positive ER </w:t>
            </w:r>
            <w:r w:rsidR="003E1576" w:rsidRPr="00877499">
              <w:rPr>
                <w:rFonts w:ascii="Book Antiqua" w:hAnsi="Book Antiqua" w:cs="Calibri"/>
                <w:sz w:val="24"/>
                <w:szCs w:val="24"/>
              </w:rPr>
              <w:t>s</w:t>
            </w:r>
            <w:r w:rsidRPr="00877499">
              <w:rPr>
                <w:rFonts w:ascii="Book Antiqua" w:hAnsi="Book Antiqua" w:cs="Calibri"/>
                <w:sz w:val="24"/>
                <w:szCs w:val="24"/>
              </w:rPr>
              <w:t>tatus</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0.722</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0.531 – 0.981</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0.0374</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0.875</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0.601 – 1.274</w:t>
            </w: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0.4871</w:t>
            </w: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 xml:space="preserve">Positive PR </w:t>
            </w:r>
            <w:r w:rsidR="003E1576" w:rsidRPr="00877499">
              <w:rPr>
                <w:rFonts w:ascii="Book Antiqua" w:hAnsi="Book Antiqua" w:cs="Calibri"/>
                <w:sz w:val="24"/>
                <w:szCs w:val="24"/>
              </w:rPr>
              <w:t>s</w:t>
            </w:r>
            <w:r w:rsidRPr="00877499">
              <w:rPr>
                <w:rFonts w:ascii="Book Antiqua" w:hAnsi="Book Antiqua" w:cs="Calibri"/>
                <w:sz w:val="24"/>
                <w:szCs w:val="24"/>
              </w:rPr>
              <w:t>tatus</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0.744</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0.534 – 1.037</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0.0806</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0.770</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0.511 – 1.161</w:t>
            </w: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0.2136</w:t>
            </w: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Presence of Metastases</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Brain</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2.953</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1.844 – 4.730</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&lt; 0.0001</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3.620</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2.229 – 5.879</w:t>
            </w: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&lt; 0.0001</w:t>
            </w: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Lung</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1.393</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1.023 – 1.897</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0.0352</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1.520</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1.107 – 2.086</w:t>
            </w: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0.0097</w:t>
            </w: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Liver</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1.900</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1.395 – 2.590</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&lt; 0.0001</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2.051</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1.495 – 2.815</w:t>
            </w: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&lt; 0.0001</w:t>
            </w: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Bone</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1.321</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0.966 – 1.804</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0.0808</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Other sites</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1.231</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0.895 – 1.693</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0.2007</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 xml:space="preserve">Grade </w:t>
            </w:r>
          </w:p>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(Reference: Grade 1)</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Grade 2</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3.616</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0.494 – 26.463</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0.2056</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Grade 3</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2.799</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0.388 – 20.202</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0.3075</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lastRenderedPageBreak/>
              <w:t>Race</w:t>
            </w:r>
          </w:p>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(Reference: Chinese)</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Indian</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1.184</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0.636 – 2.204</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0.5952</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r>
      <w:tr w:rsidR="00EA39CC" w:rsidRPr="00877499" w:rsidTr="009459D9">
        <w:tc>
          <w:tcPr>
            <w:tcW w:w="2547" w:type="dxa"/>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Malay</w:t>
            </w:r>
          </w:p>
        </w:tc>
        <w:tc>
          <w:tcPr>
            <w:tcW w:w="688"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1.350</w:t>
            </w:r>
          </w:p>
        </w:tc>
        <w:tc>
          <w:tcPr>
            <w:tcW w:w="1417"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0.931 – 1.957</w:t>
            </w:r>
          </w:p>
        </w:tc>
        <w:tc>
          <w:tcPr>
            <w:tcW w:w="992"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0.1135</w:t>
            </w: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134" w:type="dxa"/>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r>
      <w:tr w:rsidR="00EA39CC" w:rsidRPr="00877499" w:rsidTr="009459D9">
        <w:tc>
          <w:tcPr>
            <w:tcW w:w="2547" w:type="dxa"/>
            <w:tcBorders>
              <w:bottom w:val="single" w:sz="12" w:space="0" w:color="auto"/>
            </w:tcBorders>
            <w:shd w:val="clear" w:color="auto" w:fill="auto"/>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Others</w:t>
            </w:r>
          </w:p>
        </w:tc>
        <w:tc>
          <w:tcPr>
            <w:tcW w:w="688" w:type="dxa"/>
            <w:tcBorders>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0.620</w:t>
            </w:r>
          </w:p>
        </w:tc>
        <w:tc>
          <w:tcPr>
            <w:tcW w:w="1417" w:type="dxa"/>
            <w:tcBorders>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0.313 – 1.227</w:t>
            </w:r>
          </w:p>
        </w:tc>
        <w:tc>
          <w:tcPr>
            <w:tcW w:w="992" w:type="dxa"/>
            <w:tcBorders>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r w:rsidRPr="00877499">
              <w:rPr>
                <w:rFonts w:ascii="Book Antiqua" w:hAnsi="Book Antiqua" w:cs="Calibri"/>
                <w:sz w:val="24"/>
                <w:szCs w:val="24"/>
              </w:rPr>
              <w:t>0.1701</w:t>
            </w:r>
          </w:p>
        </w:tc>
        <w:tc>
          <w:tcPr>
            <w:tcW w:w="1276" w:type="dxa"/>
            <w:tcBorders>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276" w:type="dxa"/>
            <w:tcBorders>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c>
          <w:tcPr>
            <w:tcW w:w="1134" w:type="dxa"/>
            <w:tcBorders>
              <w:bottom w:val="single" w:sz="12" w:space="0" w:color="auto"/>
            </w:tcBorders>
            <w:shd w:val="clear" w:color="auto" w:fill="auto"/>
            <w:vAlign w:val="center"/>
          </w:tcPr>
          <w:p w:rsidR="00EA39CC" w:rsidRPr="00877499" w:rsidRDefault="00EA39CC" w:rsidP="009459D9">
            <w:pPr>
              <w:widowControl w:val="0"/>
              <w:spacing w:after="0" w:line="360" w:lineRule="auto"/>
              <w:jc w:val="both"/>
              <w:rPr>
                <w:rFonts w:ascii="Book Antiqua" w:hAnsi="Book Antiqua" w:cs="Calibri"/>
                <w:sz w:val="24"/>
                <w:szCs w:val="24"/>
              </w:rPr>
            </w:pPr>
          </w:p>
        </w:tc>
      </w:tr>
    </w:tbl>
    <w:p w:rsidR="00EA39CC" w:rsidRPr="00877499" w:rsidRDefault="003E1576" w:rsidP="009E2046">
      <w:pPr>
        <w:widowControl w:val="0"/>
        <w:spacing w:after="0" w:line="360" w:lineRule="auto"/>
        <w:jc w:val="both"/>
        <w:rPr>
          <w:rFonts w:ascii="Book Antiqua" w:hAnsi="Book Antiqua" w:cs="Calibri"/>
          <w:sz w:val="24"/>
          <w:szCs w:val="24"/>
        </w:rPr>
      </w:pPr>
      <w:r w:rsidRPr="00877499">
        <w:rPr>
          <w:rFonts w:ascii="Book Antiqua" w:hAnsi="Book Antiqua" w:cs="Calibri" w:hint="eastAsia"/>
          <w:sz w:val="24"/>
          <w:szCs w:val="24"/>
        </w:rPr>
        <w:t xml:space="preserve">Six </w:t>
      </w:r>
      <w:r w:rsidR="00EA39CC" w:rsidRPr="00877499">
        <w:rPr>
          <w:rFonts w:ascii="Book Antiqua" w:hAnsi="Book Antiqua" w:cs="Calibri"/>
          <w:sz w:val="24"/>
          <w:szCs w:val="24"/>
        </w:rPr>
        <w:t xml:space="preserve">variables were used for multivariate analyses based on the sample size. They are </w:t>
      </w:r>
      <w:r w:rsidRPr="00877499">
        <w:rPr>
          <w:rFonts w:ascii="Book Antiqua" w:hAnsi="Book Antiqua" w:cs="Calibri"/>
          <w:sz w:val="24"/>
          <w:szCs w:val="24"/>
        </w:rPr>
        <w:t>estrogen receptor status, progesterone receptor</w:t>
      </w:r>
      <w:r w:rsidR="00EA39CC" w:rsidRPr="00877499">
        <w:rPr>
          <w:rFonts w:ascii="Book Antiqua" w:hAnsi="Book Antiqua" w:cs="Calibri"/>
          <w:sz w:val="24"/>
          <w:szCs w:val="24"/>
        </w:rPr>
        <w:t xml:space="preserve"> status, Pertuzumab use, presence of bra</w:t>
      </w:r>
      <w:r w:rsidRPr="00877499">
        <w:rPr>
          <w:rFonts w:ascii="Book Antiqua" w:hAnsi="Book Antiqua" w:cs="Calibri"/>
          <w:sz w:val="24"/>
          <w:szCs w:val="24"/>
        </w:rPr>
        <w:t xml:space="preserve">in, lung and liver metastases. </w:t>
      </w:r>
      <w:r w:rsidR="00EA39CC" w:rsidRPr="00877499">
        <w:rPr>
          <w:rFonts w:ascii="Book Antiqua" w:hAnsi="Book Antiqua"/>
          <w:sz w:val="24"/>
          <w:szCs w:val="24"/>
        </w:rPr>
        <w:t>ER</w:t>
      </w:r>
      <w:r w:rsidRPr="00877499">
        <w:rPr>
          <w:rFonts w:ascii="Book Antiqua" w:hAnsi="Book Antiqua" w:hint="eastAsia"/>
          <w:sz w:val="24"/>
          <w:szCs w:val="24"/>
        </w:rPr>
        <w:t>:</w:t>
      </w:r>
      <w:r w:rsidR="00EA39CC" w:rsidRPr="00877499">
        <w:rPr>
          <w:rFonts w:ascii="Book Antiqua" w:hAnsi="Book Antiqua"/>
          <w:sz w:val="24"/>
          <w:szCs w:val="24"/>
        </w:rPr>
        <w:t xml:space="preserve"> Estrogen </w:t>
      </w:r>
      <w:r w:rsidRPr="00877499">
        <w:rPr>
          <w:rFonts w:ascii="Book Antiqua" w:hAnsi="Book Antiqua"/>
          <w:sz w:val="24"/>
          <w:szCs w:val="24"/>
        </w:rPr>
        <w:t>r</w:t>
      </w:r>
      <w:r w:rsidR="00EA39CC" w:rsidRPr="00877499">
        <w:rPr>
          <w:rFonts w:ascii="Book Antiqua" w:hAnsi="Book Antiqua"/>
          <w:sz w:val="24"/>
          <w:szCs w:val="24"/>
        </w:rPr>
        <w:t>eceptor</w:t>
      </w:r>
      <w:r w:rsidRPr="00877499">
        <w:rPr>
          <w:rFonts w:ascii="Book Antiqua" w:hAnsi="Book Antiqua" w:hint="eastAsia"/>
          <w:sz w:val="24"/>
          <w:szCs w:val="24"/>
        </w:rPr>
        <w:t xml:space="preserve">; </w:t>
      </w:r>
      <w:r w:rsidR="00EA39CC" w:rsidRPr="00877499">
        <w:rPr>
          <w:rFonts w:ascii="Book Antiqua" w:hAnsi="Book Antiqua"/>
          <w:sz w:val="24"/>
          <w:szCs w:val="24"/>
        </w:rPr>
        <w:t>PR</w:t>
      </w:r>
      <w:r w:rsidRPr="00877499">
        <w:rPr>
          <w:rFonts w:ascii="Book Antiqua" w:hAnsi="Book Antiqua" w:hint="eastAsia"/>
          <w:sz w:val="24"/>
          <w:szCs w:val="24"/>
        </w:rPr>
        <w:t>:</w:t>
      </w:r>
      <w:r w:rsidR="00EA39CC" w:rsidRPr="00877499">
        <w:rPr>
          <w:rFonts w:ascii="Book Antiqua" w:hAnsi="Book Antiqua"/>
          <w:sz w:val="24"/>
          <w:szCs w:val="24"/>
        </w:rPr>
        <w:t xml:space="preserve"> Progesterone </w:t>
      </w:r>
      <w:r w:rsidRPr="00877499">
        <w:rPr>
          <w:rFonts w:ascii="Book Antiqua" w:hAnsi="Book Antiqua"/>
          <w:sz w:val="24"/>
          <w:szCs w:val="24"/>
        </w:rPr>
        <w:t>r</w:t>
      </w:r>
      <w:r w:rsidR="00EA39CC" w:rsidRPr="00877499">
        <w:rPr>
          <w:rFonts w:ascii="Book Antiqua" w:hAnsi="Book Antiqua"/>
          <w:sz w:val="24"/>
          <w:szCs w:val="24"/>
        </w:rPr>
        <w:t>eceptor</w:t>
      </w:r>
      <w:r w:rsidRPr="00877499">
        <w:rPr>
          <w:rFonts w:ascii="Book Antiqua" w:hAnsi="Book Antiqua" w:hint="eastAsia"/>
          <w:sz w:val="24"/>
          <w:szCs w:val="24"/>
        </w:rPr>
        <w:t>.</w:t>
      </w:r>
    </w:p>
    <w:p w:rsidR="0068463B" w:rsidRPr="00877499" w:rsidRDefault="0068463B" w:rsidP="009E2046">
      <w:pPr>
        <w:widowControl w:val="0"/>
        <w:spacing w:after="0" w:line="360" w:lineRule="auto"/>
        <w:jc w:val="both"/>
        <w:rPr>
          <w:rFonts w:ascii="Book Antiqua" w:hAnsi="Book Antiqua"/>
          <w:sz w:val="24"/>
          <w:szCs w:val="24"/>
        </w:rPr>
      </w:pPr>
    </w:p>
    <w:p w:rsidR="00C512A4" w:rsidRPr="00877499" w:rsidRDefault="00C512A4" w:rsidP="009E2046">
      <w:pPr>
        <w:pStyle w:val="1"/>
        <w:keepNext w:val="0"/>
        <w:keepLines w:val="0"/>
        <w:widowControl w:val="0"/>
        <w:spacing w:before="0" w:line="360" w:lineRule="auto"/>
        <w:jc w:val="both"/>
        <w:rPr>
          <w:rFonts w:ascii="Book Antiqua" w:hAnsi="Book Antiqua"/>
          <w:b/>
          <w:sz w:val="24"/>
          <w:szCs w:val="24"/>
        </w:rPr>
      </w:pPr>
      <w:r w:rsidRPr="00877499">
        <w:rPr>
          <w:rFonts w:ascii="Book Antiqua" w:hAnsi="Book Antiqua"/>
          <w:sz w:val="24"/>
          <w:szCs w:val="24"/>
        </w:rPr>
        <w:br w:type="page"/>
      </w:r>
    </w:p>
    <w:p w:rsidR="00C512A4" w:rsidRPr="00877499" w:rsidRDefault="00C512A4" w:rsidP="009E2046">
      <w:pPr>
        <w:widowControl w:val="0"/>
        <w:spacing w:after="0" w:line="360" w:lineRule="auto"/>
        <w:jc w:val="both"/>
        <w:rPr>
          <w:rFonts w:ascii="Book Antiqua" w:hAnsi="Book Antiqua" w:cs="Calibri"/>
          <w:sz w:val="24"/>
          <w:szCs w:val="24"/>
        </w:rPr>
      </w:pPr>
    </w:p>
    <w:p w:rsidR="00C512A4" w:rsidRPr="00877499" w:rsidRDefault="00E66115" w:rsidP="009E2046">
      <w:pPr>
        <w:widowControl w:val="0"/>
        <w:autoSpaceDE w:val="0"/>
        <w:autoSpaceDN w:val="0"/>
        <w:adjustRightInd w:val="0"/>
        <w:spacing w:after="0" w:line="360" w:lineRule="auto"/>
        <w:jc w:val="both"/>
        <w:rPr>
          <w:rFonts w:ascii="Book Antiqua" w:hAnsi="Book Antiqua"/>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171450</wp:posOffset>
                </wp:positionV>
                <wp:extent cx="1840865" cy="1684655"/>
                <wp:effectExtent l="0" t="0" r="6985" b="0"/>
                <wp:wrapNone/>
                <wp:docPr id="11" name="TextBox 10">
                  <a:extLst xmlns:a="http://schemas.openxmlformats.org/drawingml/2006/main">
                    <a:ext uri="{FF2B5EF4-FFF2-40B4-BE49-F238E27FC236}">
                      <a16:creationId xmlns:a16="http://schemas.microsoft.com/office/drawing/2014/main" xmlns="" id="{EADC6132-1129-4A0D-B2AC-2C29336011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0865" cy="1684655"/>
                        </a:xfrm>
                        <a:prstGeom prst="rect">
                          <a:avLst/>
                        </a:prstGeom>
                        <a:solidFill>
                          <a:sysClr val="window" lastClr="FFFFFF"/>
                        </a:solidFill>
                      </wps:spPr>
                      <wps:txbx>
                        <w:txbxContent>
                          <w:p w:rsidR="00C512A4" w:rsidRPr="008E2601" w:rsidRDefault="003E1576" w:rsidP="00C512A4">
                            <w:pPr>
                              <w:pStyle w:val="a9"/>
                              <w:spacing w:before="0" w:beforeAutospacing="0" w:after="0" w:afterAutospacing="0"/>
                              <w:rPr>
                                <w:rFonts w:ascii="Book Antiqua" w:hAnsi="Book Antiqua"/>
                                <w:color w:val="000000"/>
                                <w:sz w:val="20"/>
                                <w:szCs w:val="20"/>
                              </w:rPr>
                            </w:pPr>
                            <w:r w:rsidRPr="008E2601">
                              <w:rPr>
                                <w:rFonts w:ascii="Book Antiqua" w:hAnsi="Book Antiqua"/>
                                <w:i/>
                                <w:color w:val="000000"/>
                                <w:kern w:val="24"/>
                                <w:sz w:val="20"/>
                                <w:szCs w:val="20"/>
                              </w:rPr>
                              <w:t>n</w:t>
                            </w:r>
                            <w:r w:rsidR="00C512A4" w:rsidRPr="008E2601">
                              <w:rPr>
                                <w:rFonts w:ascii="Book Antiqua" w:hAnsi="Book Antiqua"/>
                                <w:color w:val="000000"/>
                                <w:kern w:val="24"/>
                                <w:sz w:val="20"/>
                                <w:szCs w:val="20"/>
                              </w:rPr>
                              <w:t xml:space="preserve"> = 304</w:t>
                            </w:r>
                          </w:p>
                          <w:p w:rsidR="00C512A4" w:rsidRPr="008E2601" w:rsidRDefault="00C512A4" w:rsidP="00C512A4">
                            <w:pPr>
                              <w:pStyle w:val="a9"/>
                              <w:spacing w:before="0" w:beforeAutospacing="0" w:after="0" w:afterAutospacing="0"/>
                              <w:rPr>
                                <w:rFonts w:ascii="Book Antiqua" w:hAnsi="Book Antiqua"/>
                                <w:color w:val="000000"/>
                                <w:sz w:val="20"/>
                                <w:szCs w:val="20"/>
                              </w:rPr>
                            </w:pPr>
                          </w:p>
                          <w:p w:rsidR="00C512A4" w:rsidRPr="008E2601" w:rsidRDefault="00C512A4" w:rsidP="00C512A4">
                            <w:pPr>
                              <w:pStyle w:val="a9"/>
                              <w:spacing w:before="0" w:beforeAutospacing="0" w:after="0" w:afterAutospacing="0"/>
                              <w:rPr>
                                <w:rFonts w:ascii="Book Antiqua" w:hAnsi="Book Antiqua"/>
                                <w:color w:val="000000"/>
                                <w:sz w:val="20"/>
                                <w:szCs w:val="20"/>
                              </w:rPr>
                            </w:pPr>
                            <w:r w:rsidRPr="008E2601">
                              <w:rPr>
                                <w:rFonts w:ascii="Book Antiqua" w:hAnsi="Book Antiqua"/>
                                <w:color w:val="000000"/>
                                <w:kern w:val="24"/>
                                <w:sz w:val="20"/>
                                <w:szCs w:val="20"/>
                              </w:rPr>
                              <w:t>Pertuzumab = 51.5 mo</w:t>
                            </w:r>
                          </w:p>
                          <w:p w:rsidR="00C512A4" w:rsidRPr="008E2601" w:rsidRDefault="00C512A4" w:rsidP="00C512A4">
                            <w:pPr>
                              <w:pStyle w:val="a9"/>
                              <w:spacing w:before="0" w:beforeAutospacing="0" w:after="0" w:afterAutospacing="0"/>
                              <w:rPr>
                                <w:rFonts w:ascii="Book Antiqua" w:hAnsi="Book Antiqua"/>
                                <w:color w:val="000000"/>
                                <w:kern w:val="24"/>
                                <w:sz w:val="20"/>
                                <w:szCs w:val="20"/>
                              </w:rPr>
                            </w:pPr>
                            <w:r w:rsidRPr="008E2601">
                              <w:rPr>
                                <w:rFonts w:ascii="Book Antiqua" w:hAnsi="Book Antiqua"/>
                                <w:color w:val="000000"/>
                                <w:kern w:val="24"/>
                                <w:sz w:val="20"/>
                                <w:szCs w:val="20"/>
                              </w:rPr>
                              <w:t>(95% CI 35.8 – 60.0)</w:t>
                            </w:r>
                          </w:p>
                          <w:p w:rsidR="00C512A4" w:rsidRPr="008E2601" w:rsidRDefault="00C512A4" w:rsidP="00C512A4">
                            <w:pPr>
                              <w:pStyle w:val="a9"/>
                              <w:spacing w:before="0" w:beforeAutospacing="0" w:after="0" w:afterAutospacing="0"/>
                              <w:rPr>
                                <w:rFonts w:ascii="Book Antiqua" w:hAnsi="Book Antiqua"/>
                                <w:color w:val="000000"/>
                                <w:sz w:val="20"/>
                                <w:szCs w:val="20"/>
                              </w:rPr>
                            </w:pPr>
                          </w:p>
                          <w:p w:rsidR="00C512A4" w:rsidRPr="008E2601" w:rsidRDefault="00C512A4" w:rsidP="00C512A4">
                            <w:pPr>
                              <w:pStyle w:val="a9"/>
                              <w:spacing w:before="0" w:beforeAutospacing="0" w:after="0" w:afterAutospacing="0"/>
                              <w:rPr>
                                <w:rFonts w:ascii="Book Antiqua" w:hAnsi="Book Antiqua"/>
                                <w:color w:val="000000"/>
                                <w:sz w:val="20"/>
                                <w:szCs w:val="20"/>
                              </w:rPr>
                            </w:pPr>
                            <w:r w:rsidRPr="008E2601">
                              <w:rPr>
                                <w:rFonts w:ascii="Book Antiqua" w:hAnsi="Book Antiqua"/>
                                <w:color w:val="000000"/>
                                <w:kern w:val="24"/>
                                <w:sz w:val="20"/>
                                <w:szCs w:val="20"/>
                              </w:rPr>
                              <w:t>No Pertuzumab = 32.9 mo</w:t>
                            </w:r>
                            <w:r w:rsidR="003E1576" w:rsidRPr="008E2601">
                              <w:rPr>
                                <w:rFonts w:ascii="Book Antiqua" w:hAnsi="Book Antiqua"/>
                                <w:color w:val="000000"/>
                                <w:kern w:val="24"/>
                                <w:sz w:val="20"/>
                                <w:szCs w:val="20"/>
                              </w:rPr>
                              <w:t xml:space="preserve"> (95%</w:t>
                            </w:r>
                            <w:r w:rsidRPr="008E2601">
                              <w:rPr>
                                <w:rFonts w:ascii="Book Antiqua" w:hAnsi="Book Antiqua"/>
                                <w:color w:val="000000"/>
                                <w:kern w:val="24"/>
                                <w:sz w:val="20"/>
                                <w:szCs w:val="20"/>
                              </w:rPr>
                              <w:t>CI</w:t>
                            </w:r>
                            <w:r w:rsidR="003E1576" w:rsidRPr="008E2601">
                              <w:rPr>
                                <w:rFonts w:ascii="Book Antiqua" w:eastAsia="宋体" w:hAnsi="Book Antiqua"/>
                                <w:color w:val="000000"/>
                                <w:kern w:val="24"/>
                                <w:sz w:val="20"/>
                                <w:szCs w:val="20"/>
                              </w:rPr>
                              <w:t>:</w:t>
                            </w:r>
                            <w:r w:rsidR="003E1576" w:rsidRPr="008E2601">
                              <w:rPr>
                                <w:rFonts w:ascii="Book Antiqua" w:hAnsi="Book Antiqua"/>
                                <w:color w:val="000000"/>
                                <w:kern w:val="24"/>
                                <w:sz w:val="20"/>
                                <w:szCs w:val="20"/>
                              </w:rPr>
                              <w:t xml:space="preserve"> 28.1–</w:t>
                            </w:r>
                            <w:r w:rsidRPr="008E2601">
                              <w:rPr>
                                <w:rFonts w:ascii="Book Antiqua" w:hAnsi="Book Antiqua"/>
                                <w:color w:val="000000"/>
                                <w:kern w:val="24"/>
                                <w:sz w:val="20"/>
                                <w:szCs w:val="20"/>
                              </w:rPr>
                              <w:t>37.5)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292.85pt;margin-top:13.5pt;width:144.95pt;height:1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" fillcolor="window" stroked="f">
                <v:textbox>
                  <w:txbxContent>
                    <w:p w:rsidR="00C512A4" w:rsidRPr="008E2601" w:rsidRDefault="003E1576" w:rsidP="00C512A4">
                      <w:pPr>
                        <w:pStyle w:val="a9"/>
                        <w:spacing w:before="0" w:beforeAutospacing="0" w:after="0" w:afterAutospacing="0"/>
                        <w:rPr>
                          <w:rFonts w:ascii="Book Antiqua" w:hAnsi="Book Antiqua"/>
                          <w:color w:val="000000"/>
                          <w:sz w:val="20"/>
                          <w:szCs w:val="20"/>
                        </w:rPr>
                      </w:pPr>
                      <w:r w:rsidRPr="008E2601">
                        <w:rPr>
                          <w:rFonts w:ascii="Book Antiqua" w:hAnsi="Book Antiqua"/>
                          <w:i/>
                          <w:color w:val="000000"/>
                          <w:kern w:val="24"/>
                          <w:sz w:val="20"/>
                          <w:szCs w:val="20"/>
                        </w:rPr>
                        <w:t>n</w:t>
                      </w:r>
                      <w:r w:rsidR="00C512A4" w:rsidRPr="008E2601">
                        <w:rPr>
                          <w:rFonts w:ascii="Book Antiqua" w:hAnsi="Book Antiqua"/>
                          <w:color w:val="000000"/>
                          <w:kern w:val="24"/>
                          <w:sz w:val="20"/>
                          <w:szCs w:val="20"/>
                        </w:rPr>
                        <w:t xml:space="preserve"> = 304</w:t>
                      </w:r>
                    </w:p>
                    <w:p w:rsidR="00C512A4" w:rsidRPr="008E2601" w:rsidRDefault="00C512A4" w:rsidP="00C512A4">
                      <w:pPr>
                        <w:pStyle w:val="a9"/>
                        <w:spacing w:before="0" w:beforeAutospacing="0" w:after="0" w:afterAutospacing="0"/>
                        <w:rPr>
                          <w:rFonts w:ascii="Book Antiqua" w:hAnsi="Book Antiqua"/>
                          <w:color w:val="000000"/>
                          <w:sz w:val="20"/>
                          <w:szCs w:val="20"/>
                        </w:rPr>
                      </w:pPr>
                    </w:p>
                    <w:p w:rsidR="00C512A4" w:rsidRPr="008E2601" w:rsidRDefault="00C512A4" w:rsidP="00C512A4">
                      <w:pPr>
                        <w:pStyle w:val="a9"/>
                        <w:spacing w:before="0" w:beforeAutospacing="0" w:after="0" w:afterAutospacing="0"/>
                        <w:rPr>
                          <w:rFonts w:ascii="Book Antiqua" w:hAnsi="Book Antiqua"/>
                          <w:color w:val="000000"/>
                          <w:sz w:val="20"/>
                          <w:szCs w:val="20"/>
                        </w:rPr>
                      </w:pPr>
                      <w:r w:rsidRPr="008E2601">
                        <w:rPr>
                          <w:rFonts w:ascii="Book Antiqua" w:hAnsi="Book Antiqua"/>
                          <w:color w:val="000000"/>
                          <w:kern w:val="24"/>
                          <w:sz w:val="20"/>
                          <w:szCs w:val="20"/>
                        </w:rPr>
                        <w:t>Pertuzumab = 51.5 mo</w:t>
                      </w:r>
                    </w:p>
                    <w:p w:rsidR="00C512A4" w:rsidRPr="008E2601" w:rsidRDefault="00C512A4" w:rsidP="00C512A4">
                      <w:pPr>
                        <w:pStyle w:val="a9"/>
                        <w:spacing w:before="0" w:beforeAutospacing="0" w:after="0" w:afterAutospacing="0"/>
                        <w:rPr>
                          <w:rFonts w:ascii="Book Antiqua" w:hAnsi="Book Antiqua"/>
                          <w:color w:val="000000"/>
                          <w:kern w:val="24"/>
                          <w:sz w:val="20"/>
                          <w:szCs w:val="20"/>
                        </w:rPr>
                      </w:pPr>
                      <w:r w:rsidRPr="008E2601">
                        <w:rPr>
                          <w:rFonts w:ascii="Book Antiqua" w:hAnsi="Book Antiqua"/>
                          <w:color w:val="000000"/>
                          <w:kern w:val="24"/>
                          <w:sz w:val="20"/>
                          <w:szCs w:val="20"/>
                        </w:rPr>
                        <w:t>(95% CI 35.8 – 60.0)</w:t>
                      </w:r>
                    </w:p>
                    <w:p w:rsidR="00C512A4" w:rsidRPr="008E2601" w:rsidRDefault="00C512A4" w:rsidP="00C512A4">
                      <w:pPr>
                        <w:pStyle w:val="a9"/>
                        <w:spacing w:before="0" w:beforeAutospacing="0" w:after="0" w:afterAutospacing="0"/>
                        <w:rPr>
                          <w:rFonts w:ascii="Book Antiqua" w:hAnsi="Book Antiqua"/>
                          <w:color w:val="000000"/>
                          <w:sz w:val="20"/>
                          <w:szCs w:val="20"/>
                        </w:rPr>
                      </w:pPr>
                    </w:p>
                    <w:p w:rsidR="00C512A4" w:rsidRPr="008E2601" w:rsidRDefault="00C512A4" w:rsidP="00C512A4">
                      <w:pPr>
                        <w:pStyle w:val="a9"/>
                        <w:spacing w:before="0" w:beforeAutospacing="0" w:after="0" w:afterAutospacing="0"/>
                        <w:rPr>
                          <w:rFonts w:ascii="Book Antiqua" w:hAnsi="Book Antiqua"/>
                          <w:color w:val="000000"/>
                          <w:sz w:val="20"/>
                          <w:szCs w:val="20"/>
                        </w:rPr>
                      </w:pPr>
                      <w:r w:rsidRPr="008E2601">
                        <w:rPr>
                          <w:rFonts w:ascii="Book Antiqua" w:hAnsi="Book Antiqua"/>
                          <w:color w:val="000000"/>
                          <w:kern w:val="24"/>
                          <w:sz w:val="20"/>
                          <w:szCs w:val="20"/>
                        </w:rPr>
                        <w:t>No Pertuzumab = 32.9 mo</w:t>
                      </w:r>
                      <w:r w:rsidR="003E1576" w:rsidRPr="008E2601">
                        <w:rPr>
                          <w:rFonts w:ascii="Book Antiqua" w:hAnsi="Book Antiqua"/>
                          <w:color w:val="000000"/>
                          <w:kern w:val="24"/>
                          <w:sz w:val="20"/>
                          <w:szCs w:val="20"/>
                        </w:rPr>
                        <w:t xml:space="preserve"> (95%</w:t>
                      </w:r>
                      <w:r w:rsidRPr="008E2601">
                        <w:rPr>
                          <w:rFonts w:ascii="Book Antiqua" w:hAnsi="Book Antiqua"/>
                          <w:color w:val="000000"/>
                          <w:kern w:val="24"/>
                          <w:sz w:val="20"/>
                          <w:szCs w:val="20"/>
                        </w:rPr>
                        <w:t>CI</w:t>
                      </w:r>
                      <w:r w:rsidR="003E1576" w:rsidRPr="008E2601">
                        <w:rPr>
                          <w:rFonts w:ascii="Book Antiqua" w:eastAsia="宋体" w:hAnsi="Book Antiqua"/>
                          <w:color w:val="000000"/>
                          <w:kern w:val="24"/>
                          <w:sz w:val="20"/>
                          <w:szCs w:val="20"/>
                        </w:rPr>
                        <w:t>:</w:t>
                      </w:r>
                      <w:r w:rsidR="003E1576" w:rsidRPr="008E2601">
                        <w:rPr>
                          <w:rFonts w:ascii="Book Antiqua" w:hAnsi="Book Antiqua"/>
                          <w:color w:val="000000"/>
                          <w:kern w:val="24"/>
                          <w:sz w:val="20"/>
                          <w:szCs w:val="20"/>
                        </w:rPr>
                        <w:t xml:space="preserve"> 28.1–</w:t>
                      </w:r>
                      <w:r w:rsidRPr="008E2601">
                        <w:rPr>
                          <w:rFonts w:ascii="Book Antiqua" w:hAnsi="Book Antiqua"/>
                          <w:color w:val="000000"/>
                          <w:kern w:val="24"/>
                          <w:sz w:val="20"/>
                          <w:szCs w:val="20"/>
                        </w:rPr>
                        <w:t>37.5)</w:t>
                      </w:r>
                    </w:p>
                  </w:txbxContent>
                </v:textbox>
              </v:shape>
            </w:pict>
          </mc:Fallback>
        </mc:AlternateContent>
      </w:r>
      <w:r>
        <w:rPr>
          <w:rFonts w:ascii="Book Antiqua" w:hAnsi="Book Antiqua" w:cs="Calibri"/>
          <w:noProof/>
          <w:sz w:val="24"/>
          <w:szCs w:val="24"/>
        </w:rPr>
        <w:drawing>
          <wp:inline distT="0" distB="0" distL="0" distR="0">
            <wp:extent cx="5728970" cy="515366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970" cy="5153660"/>
                    </a:xfrm>
                    <a:prstGeom prst="rect">
                      <a:avLst/>
                    </a:prstGeom>
                    <a:noFill/>
                    <a:ln>
                      <a:noFill/>
                    </a:ln>
                  </pic:spPr>
                </pic:pic>
              </a:graphicData>
            </a:graphic>
          </wp:inline>
        </w:drawing>
      </w:r>
    </w:p>
    <w:p w:rsidR="0045236E" w:rsidRPr="00BF69FE" w:rsidRDefault="0045236E" w:rsidP="009E2046">
      <w:pPr>
        <w:pStyle w:val="1"/>
        <w:keepNext w:val="0"/>
        <w:keepLines w:val="0"/>
        <w:widowControl w:val="0"/>
        <w:spacing w:before="0" w:line="360" w:lineRule="auto"/>
        <w:jc w:val="both"/>
        <w:rPr>
          <w:rFonts w:ascii="Book Antiqua" w:hAnsi="Book Antiqua"/>
          <w:b/>
          <w:color w:val="000000"/>
          <w:sz w:val="24"/>
          <w:szCs w:val="24"/>
        </w:rPr>
      </w:pPr>
      <w:r w:rsidRPr="00877499">
        <w:rPr>
          <w:rFonts w:ascii="Book Antiqua" w:hAnsi="Book Antiqua"/>
          <w:b/>
          <w:color w:val="000000"/>
          <w:sz w:val="24"/>
          <w:szCs w:val="24"/>
        </w:rPr>
        <w:t xml:space="preserve">Figure 1 </w:t>
      </w:r>
      <w:r w:rsidRPr="00877499">
        <w:rPr>
          <w:rFonts w:ascii="Book Antiqua" w:hAnsi="Book Antiqua" w:cs="Calibri"/>
          <w:b/>
          <w:color w:val="000000"/>
          <w:sz w:val="24"/>
          <w:szCs w:val="24"/>
        </w:rPr>
        <w:t>Kaplan-Meier survival curve comparing median overall survival between patients who had Pertuzumab treatment and who did not have Pertuzumab treatment</w:t>
      </w:r>
      <w:r w:rsidRPr="00877499">
        <w:rPr>
          <w:rFonts w:ascii="Book Antiqua" w:hAnsi="Book Antiqua" w:cs="Calibri" w:hint="eastAsia"/>
          <w:b/>
          <w:color w:val="000000"/>
          <w:sz w:val="24"/>
          <w:szCs w:val="24"/>
        </w:rPr>
        <w:t>.</w:t>
      </w:r>
    </w:p>
    <w:p w:rsidR="00C512A4" w:rsidRPr="0045236E" w:rsidRDefault="00C512A4" w:rsidP="009E2046">
      <w:pPr>
        <w:widowControl w:val="0"/>
        <w:autoSpaceDE w:val="0"/>
        <w:autoSpaceDN w:val="0"/>
        <w:adjustRightInd w:val="0"/>
        <w:spacing w:after="0" w:line="360" w:lineRule="auto"/>
        <w:jc w:val="both"/>
        <w:rPr>
          <w:rFonts w:ascii="Book Antiqua" w:hAnsi="Book Antiqua"/>
          <w:sz w:val="24"/>
          <w:szCs w:val="24"/>
        </w:rPr>
      </w:pPr>
    </w:p>
    <w:p w:rsidR="00C512A4" w:rsidRPr="00EB59C2" w:rsidRDefault="00C512A4" w:rsidP="009E2046">
      <w:pPr>
        <w:widowControl w:val="0"/>
        <w:autoSpaceDE w:val="0"/>
        <w:autoSpaceDN w:val="0"/>
        <w:adjustRightInd w:val="0"/>
        <w:spacing w:after="0" w:line="360" w:lineRule="auto"/>
        <w:jc w:val="both"/>
        <w:rPr>
          <w:rFonts w:ascii="Book Antiqua" w:hAnsi="Book Antiqua"/>
          <w:sz w:val="24"/>
          <w:szCs w:val="24"/>
        </w:rPr>
      </w:pPr>
    </w:p>
    <w:p w:rsidR="00C512A4" w:rsidRPr="00EB59C2" w:rsidRDefault="00C512A4" w:rsidP="009E2046">
      <w:pPr>
        <w:widowControl w:val="0"/>
        <w:spacing w:after="0" w:line="360" w:lineRule="auto"/>
        <w:jc w:val="both"/>
        <w:rPr>
          <w:rFonts w:ascii="Book Antiqua" w:hAnsi="Book Antiqua" w:cs="Calibri"/>
          <w:b/>
          <w:sz w:val="24"/>
          <w:szCs w:val="24"/>
        </w:rPr>
      </w:pPr>
    </w:p>
    <w:p w:rsidR="00C512A4" w:rsidRPr="00EB59C2" w:rsidRDefault="00C512A4" w:rsidP="009E2046">
      <w:pPr>
        <w:widowControl w:val="0"/>
        <w:spacing w:after="0" w:line="360" w:lineRule="auto"/>
        <w:jc w:val="both"/>
        <w:rPr>
          <w:rFonts w:ascii="Book Antiqua" w:hAnsi="Book Antiqua"/>
          <w:sz w:val="24"/>
          <w:szCs w:val="24"/>
        </w:rPr>
      </w:pPr>
    </w:p>
    <w:p w:rsidR="0068463B" w:rsidRPr="00EB59C2" w:rsidRDefault="0068463B" w:rsidP="009E2046">
      <w:pPr>
        <w:widowControl w:val="0"/>
        <w:spacing w:after="0" w:line="360" w:lineRule="auto"/>
        <w:jc w:val="both"/>
        <w:rPr>
          <w:rFonts w:ascii="Book Antiqua" w:hAnsi="Book Antiqua"/>
          <w:sz w:val="24"/>
          <w:szCs w:val="24"/>
        </w:rPr>
      </w:pPr>
    </w:p>
    <w:sectPr w:rsidR="0068463B" w:rsidRPr="00EB59C2" w:rsidSect="00EB59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E0" w:rsidRDefault="008D4EE0" w:rsidP="0068463B">
      <w:pPr>
        <w:spacing w:after="0" w:line="240" w:lineRule="auto"/>
      </w:pPr>
      <w:r>
        <w:separator/>
      </w:r>
    </w:p>
  </w:endnote>
  <w:endnote w:type="continuationSeparator" w:id="0">
    <w:p w:rsidR="008D4EE0" w:rsidRDefault="008D4EE0" w:rsidP="0068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E0" w:rsidRDefault="008D4EE0" w:rsidP="0068463B">
      <w:pPr>
        <w:spacing w:after="0" w:line="240" w:lineRule="auto"/>
      </w:pPr>
      <w:r>
        <w:separator/>
      </w:r>
    </w:p>
  </w:footnote>
  <w:footnote w:type="continuationSeparator" w:id="0">
    <w:p w:rsidR="008D4EE0" w:rsidRDefault="008D4EE0" w:rsidP="00684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6F04"/>
    <w:multiLevelType w:val="hybridMultilevel"/>
    <w:tmpl w:val="A4BE9CA4"/>
    <w:lvl w:ilvl="0" w:tplc="A8D44F6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9947114"/>
    <w:multiLevelType w:val="hybridMultilevel"/>
    <w:tmpl w:val="92E4C7C4"/>
    <w:lvl w:ilvl="0" w:tplc="597C6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A731B"/>
    <w:multiLevelType w:val="hybridMultilevel"/>
    <w:tmpl w:val="A13A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378D"/>
    <w:multiLevelType w:val="hybridMultilevel"/>
    <w:tmpl w:val="A13A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B3D8F"/>
    <w:multiLevelType w:val="hybridMultilevel"/>
    <w:tmpl w:val="A1A4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82588"/>
    <w:multiLevelType w:val="hybridMultilevel"/>
    <w:tmpl w:val="1370F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56264832"/>
    <w:multiLevelType w:val="hybridMultilevel"/>
    <w:tmpl w:val="E2F8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D057F"/>
    <w:multiLevelType w:val="hybridMultilevel"/>
    <w:tmpl w:val="A13A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3A"/>
    <w:rsid w:val="00041EC7"/>
    <w:rsid w:val="0005006C"/>
    <w:rsid w:val="00054809"/>
    <w:rsid w:val="00055808"/>
    <w:rsid w:val="000714BC"/>
    <w:rsid w:val="000750BB"/>
    <w:rsid w:val="00091581"/>
    <w:rsid w:val="0009391A"/>
    <w:rsid w:val="000C30CE"/>
    <w:rsid w:val="000C5530"/>
    <w:rsid w:val="000C569A"/>
    <w:rsid w:val="000C586D"/>
    <w:rsid w:val="000C7EC1"/>
    <w:rsid w:val="000E4628"/>
    <w:rsid w:val="000E4C3B"/>
    <w:rsid w:val="000F66CC"/>
    <w:rsid w:val="00123E5C"/>
    <w:rsid w:val="00126E31"/>
    <w:rsid w:val="001835E9"/>
    <w:rsid w:val="001C5CFB"/>
    <w:rsid w:val="001D04DA"/>
    <w:rsid w:val="001D534B"/>
    <w:rsid w:val="001E0C97"/>
    <w:rsid w:val="00203549"/>
    <w:rsid w:val="002040E0"/>
    <w:rsid w:val="00206D6B"/>
    <w:rsid w:val="00256B4A"/>
    <w:rsid w:val="00276340"/>
    <w:rsid w:val="002B5558"/>
    <w:rsid w:val="002E4A12"/>
    <w:rsid w:val="003019D3"/>
    <w:rsid w:val="003058A8"/>
    <w:rsid w:val="0031431D"/>
    <w:rsid w:val="00330E9B"/>
    <w:rsid w:val="003433DF"/>
    <w:rsid w:val="00354E2E"/>
    <w:rsid w:val="003561FF"/>
    <w:rsid w:val="003765D4"/>
    <w:rsid w:val="003961B0"/>
    <w:rsid w:val="003A4C60"/>
    <w:rsid w:val="003A6461"/>
    <w:rsid w:val="003B1EA1"/>
    <w:rsid w:val="003E1576"/>
    <w:rsid w:val="003E1D85"/>
    <w:rsid w:val="003E5B0B"/>
    <w:rsid w:val="003F63C7"/>
    <w:rsid w:val="00423B05"/>
    <w:rsid w:val="00444EBB"/>
    <w:rsid w:val="0045236E"/>
    <w:rsid w:val="00454C0F"/>
    <w:rsid w:val="0046055B"/>
    <w:rsid w:val="00463FA6"/>
    <w:rsid w:val="004774A9"/>
    <w:rsid w:val="00495161"/>
    <w:rsid w:val="004B0E6E"/>
    <w:rsid w:val="004D11A7"/>
    <w:rsid w:val="004E02CF"/>
    <w:rsid w:val="004F3D17"/>
    <w:rsid w:val="00502E29"/>
    <w:rsid w:val="005237BC"/>
    <w:rsid w:val="00566386"/>
    <w:rsid w:val="00595DC7"/>
    <w:rsid w:val="005B0277"/>
    <w:rsid w:val="005B547D"/>
    <w:rsid w:val="005C0A10"/>
    <w:rsid w:val="005C6D48"/>
    <w:rsid w:val="005D3DDF"/>
    <w:rsid w:val="006021C5"/>
    <w:rsid w:val="00613735"/>
    <w:rsid w:val="00621985"/>
    <w:rsid w:val="00621EAF"/>
    <w:rsid w:val="00635310"/>
    <w:rsid w:val="006371FB"/>
    <w:rsid w:val="00647DEE"/>
    <w:rsid w:val="0066514B"/>
    <w:rsid w:val="006663C5"/>
    <w:rsid w:val="00675C6C"/>
    <w:rsid w:val="00677455"/>
    <w:rsid w:val="0068463B"/>
    <w:rsid w:val="00685E82"/>
    <w:rsid w:val="0069400B"/>
    <w:rsid w:val="006B0D6D"/>
    <w:rsid w:val="006B2453"/>
    <w:rsid w:val="006D142E"/>
    <w:rsid w:val="007040FD"/>
    <w:rsid w:val="00707CC7"/>
    <w:rsid w:val="00731E07"/>
    <w:rsid w:val="00751DC0"/>
    <w:rsid w:val="007535B0"/>
    <w:rsid w:val="007537D3"/>
    <w:rsid w:val="0076423E"/>
    <w:rsid w:val="00764FF9"/>
    <w:rsid w:val="007753B1"/>
    <w:rsid w:val="00780489"/>
    <w:rsid w:val="00781EA3"/>
    <w:rsid w:val="007941A1"/>
    <w:rsid w:val="007B518C"/>
    <w:rsid w:val="007B6A3A"/>
    <w:rsid w:val="007C4CF2"/>
    <w:rsid w:val="0081428A"/>
    <w:rsid w:val="008158F3"/>
    <w:rsid w:val="00827773"/>
    <w:rsid w:val="00844139"/>
    <w:rsid w:val="00847E1A"/>
    <w:rsid w:val="00857345"/>
    <w:rsid w:val="00877499"/>
    <w:rsid w:val="00881E29"/>
    <w:rsid w:val="0089177A"/>
    <w:rsid w:val="008B528D"/>
    <w:rsid w:val="008C7C36"/>
    <w:rsid w:val="008D4EE0"/>
    <w:rsid w:val="008E2601"/>
    <w:rsid w:val="009031C0"/>
    <w:rsid w:val="00906CF4"/>
    <w:rsid w:val="00926AF5"/>
    <w:rsid w:val="009459D9"/>
    <w:rsid w:val="00957958"/>
    <w:rsid w:val="00963433"/>
    <w:rsid w:val="00975C0A"/>
    <w:rsid w:val="009D4DBB"/>
    <w:rsid w:val="009E2046"/>
    <w:rsid w:val="009F35B7"/>
    <w:rsid w:val="00A33E67"/>
    <w:rsid w:val="00A8653D"/>
    <w:rsid w:val="00AA726B"/>
    <w:rsid w:val="00AE075B"/>
    <w:rsid w:val="00AE277F"/>
    <w:rsid w:val="00B010E9"/>
    <w:rsid w:val="00B11BAD"/>
    <w:rsid w:val="00B24FB1"/>
    <w:rsid w:val="00B446B7"/>
    <w:rsid w:val="00B55430"/>
    <w:rsid w:val="00B80205"/>
    <w:rsid w:val="00B81638"/>
    <w:rsid w:val="00B81698"/>
    <w:rsid w:val="00B8406A"/>
    <w:rsid w:val="00BA67B1"/>
    <w:rsid w:val="00BE4396"/>
    <w:rsid w:val="00BF69FE"/>
    <w:rsid w:val="00C31AB3"/>
    <w:rsid w:val="00C512A4"/>
    <w:rsid w:val="00C7334B"/>
    <w:rsid w:val="00D006B5"/>
    <w:rsid w:val="00D01BA7"/>
    <w:rsid w:val="00D15BA3"/>
    <w:rsid w:val="00D27D79"/>
    <w:rsid w:val="00D66208"/>
    <w:rsid w:val="00D67C79"/>
    <w:rsid w:val="00D8043E"/>
    <w:rsid w:val="00D9588D"/>
    <w:rsid w:val="00DA2B9A"/>
    <w:rsid w:val="00DB4500"/>
    <w:rsid w:val="00DC128A"/>
    <w:rsid w:val="00DC67FE"/>
    <w:rsid w:val="00DD19D6"/>
    <w:rsid w:val="00DD6597"/>
    <w:rsid w:val="00DF0439"/>
    <w:rsid w:val="00E3374D"/>
    <w:rsid w:val="00E46A02"/>
    <w:rsid w:val="00E47963"/>
    <w:rsid w:val="00E6172B"/>
    <w:rsid w:val="00E66115"/>
    <w:rsid w:val="00E840FD"/>
    <w:rsid w:val="00E87F94"/>
    <w:rsid w:val="00E96798"/>
    <w:rsid w:val="00EA39CC"/>
    <w:rsid w:val="00EA7478"/>
    <w:rsid w:val="00EB59C2"/>
    <w:rsid w:val="00EC04DA"/>
    <w:rsid w:val="00EC1660"/>
    <w:rsid w:val="00F017CC"/>
    <w:rsid w:val="00F101AA"/>
    <w:rsid w:val="00F147D6"/>
    <w:rsid w:val="00F24FBD"/>
    <w:rsid w:val="00F851D1"/>
    <w:rsid w:val="00FC1ECC"/>
    <w:rsid w:val="00FE090F"/>
    <w:rsid w:val="00FF1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A4"/>
    <w:pPr>
      <w:spacing w:after="120" w:line="264" w:lineRule="auto"/>
    </w:pPr>
  </w:style>
  <w:style w:type="paragraph" w:styleId="1">
    <w:name w:val="heading 1"/>
    <w:basedOn w:val="a"/>
    <w:next w:val="a"/>
    <w:link w:val="1Char"/>
    <w:uiPriority w:val="9"/>
    <w:qFormat/>
    <w:rsid w:val="00C512A4"/>
    <w:pPr>
      <w:keepNext/>
      <w:keepLines/>
      <w:spacing w:before="320" w:after="0" w:line="240" w:lineRule="auto"/>
      <w:outlineLvl w:val="0"/>
    </w:pPr>
    <w:rPr>
      <w:rFonts w:ascii="Calibri Light" w:eastAsia="宋体" w:hAnsi="Calibri Light"/>
      <w:color w:val="2E74B5"/>
      <w:sz w:val="32"/>
      <w:szCs w:val="32"/>
    </w:rPr>
  </w:style>
  <w:style w:type="paragraph" w:styleId="2">
    <w:name w:val="heading 2"/>
    <w:basedOn w:val="a"/>
    <w:next w:val="a"/>
    <w:link w:val="2Char"/>
    <w:uiPriority w:val="9"/>
    <w:semiHidden/>
    <w:unhideWhenUsed/>
    <w:qFormat/>
    <w:rsid w:val="00C512A4"/>
    <w:pPr>
      <w:keepNext/>
      <w:keepLines/>
      <w:spacing w:before="80" w:after="0" w:line="240" w:lineRule="auto"/>
      <w:outlineLvl w:val="1"/>
    </w:pPr>
    <w:rPr>
      <w:rFonts w:ascii="Calibri Light" w:eastAsia="宋体" w:hAnsi="Calibri Light"/>
      <w:color w:val="404040"/>
      <w:sz w:val="28"/>
      <w:szCs w:val="28"/>
    </w:rPr>
  </w:style>
  <w:style w:type="paragraph" w:styleId="3">
    <w:name w:val="heading 3"/>
    <w:basedOn w:val="a"/>
    <w:next w:val="a"/>
    <w:link w:val="3Char"/>
    <w:uiPriority w:val="9"/>
    <w:semiHidden/>
    <w:unhideWhenUsed/>
    <w:qFormat/>
    <w:rsid w:val="00C512A4"/>
    <w:pPr>
      <w:keepNext/>
      <w:keepLines/>
      <w:spacing w:before="40" w:after="0" w:line="240" w:lineRule="auto"/>
      <w:outlineLvl w:val="2"/>
    </w:pPr>
    <w:rPr>
      <w:rFonts w:ascii="Calibri Light" w:eastAsia="宋体" w:hAnsi="Calibri Light"/>
      <w:color w:val="44546A"/>
      <w:sz w:val="24"/>
      <w:szCs w:val="24"/>
    </w:rPr>
  </w:style>
  <w:style w:type="paragraph" w:styleId="4">
    <w:name w:val="heading 4"/>
    <w:basedOn w:val="a"/>
    <w:next w:val="a"/>
    <w:link w:val="4Char"/>
    <w:uiPriority w:val="9"/>
    <w:semiHidden/>
    <w:unhideWhenUsed/>
    <w:qFormat/>
    <w:rsid w:val="00C512A4"/>
    <w:pPr>
      <w:keepNext/>
      <w:keepLines/>
      <w:spacing w:before="40" w:after="0"/>
      <w:outlineLvl w:val="3"/>
    </w:pPr>
    <w:rPr>
      <w:rFonts w:ascii="Calibri Light" w:eastAsia="宋体" w:hAnsi="Calibri Light"/>
      <w:sz w:val="22"/>
      <w:szCs w:val="22"/>
    </w:rPr>
  </w:style>
  <w:style w:type="paragraph" w:styleId="5">
    <w:name w:val="heading 5"/>
    <w:basedOn w:val="a"/>
    <w:next w:val="a"/>
    <w:link w:val="5Char"/>
    <w:uiPriority w:val="9"/>
    <w:semiHidden/>
    <w:unhideWhenUsed/>
    <w:qFormat/>
    <w:rsid w:val="00C512A4"/>
    <w:pPr>
      <w:keepNext/>
      <w:keepLines/>
      <w:spacing w:before="40" w:after="0"/>
      <w:outlineLvl w:val="4"/>
    </w:pPr>
    <w:rPr>
      <w:rFonts w:ascii="Calibri Light" w:eastAsia="宋体" w:hAnsi="Calibri Light"/>
      <w:color w:val="44546A"/>
      <w:sz w:val="22"/>
      <w:szCs w:val="22"/>
    </w:rPr>
  </w:style>
  <w:style w:type="paragraph" w:styleId="6">
    <w:name w:val="heading 6"/>
    <w:basedOn w:val="a"/>
    <w:next w:val="a"/>
    <w:link w:val="6Char"/>
    <w:uiPriority w:val="9"/>
    <w:semiHidden/>
    <w:unhideWhenUsed/>
    <w:qFormat/>
    <w:rsid w:val="00C512A4"/>
    <w:pPr>
      <w:keepNext/>
      <w:keepLines/>
      <w:spacing w:before="40" w:after="0"/>
      <w:outlineLvl w:val="5"/>
    </w:pPr>
    <w:rPr>
      <w:rFonts w:ascii="Calibri Light" w:eastAsia="宋体" w:hAnsi="Calibri Light"/>
      <w:i/>
      <w:iCs/>
      <w:color w:val="44546A"/>
      <w:sz w:val="21"/>
      <w:szCs w:val="21"/>
    </w:rPr>
  </w:style>
  <w:style w:type="paragraph" w:styleId="7">
    <w:name w:val="heading 7"/>
    <w:basedOn w:val="a"/>
    <w:next w:val="a"/>
    <w:link w:val="7Char"/>
    <w:uiPriority w:val="9"/>
    <w:semiHidden/>
    <w:unhideWhenUsed/>
    <w:qFormat/>
    <w:rsid w:val="00C512A4"/>
    <w:pPr>
      <w:keepNext/>
      <w:keepLines/>
      <w:spacing w:before="40" w:after="0"/>
      <w:outlineLvl w:val="6"/>
    </w:pPr>
    <w:rPr>
      <w:rFonts w:ascii="Calibri Light" w:eastAsia="宋体" w:hAnsi="Calibri Light"/>
      <w:i/>
      <w:iCs/>
      <w:color w:val="1F4E79"/>
      <w:sz w:val="21"/>
      <w:szCs w:val="21"/>
    </w:rPr>
  </w:style>
  <w:style w:type="paragraph" w:styleId="8">
    <w:name w:val="heading 8"/>
    <w:basedOn w:val="a"/>
    <w:next w:val="a"/>
    <w:link w:val="8Char"/>
    <w:uiPriority w:val="9"/>
    <w:semiHidden/>
    <w:unhideWhenUsed/>
    <w:qFormat/>
    <w:rsid w:val="00C512A4"/>
    <w:pPr>
      <w:keepNext/>
      <w:keepLines/>
      <w:spacing w:before="40" w:after="0"/>
      <w:outlineLvl w:val="7"/>
    </w:pPr>
    <w:rPr>
      <w:rFonts w:ascii="Calibri Light" w:eastAsia="宋体" w:hAnsi="Calibri Light"/>
      <w:b/>
      <w:bCs/>
      <w:color w:val="44546A"/>
    </w:rPr>
  </w:style>
  <w:style w:type="paragraph" w:styleId="9">
    <w:name w:val="heading 9"/>
    <w:basedOn w:val="a"/>
    <w:next w:val="a"/>
    <w:link w:val="9Char"/>
    <w:uiPriority w:val="9"/>
    <w:semiHidden/>
    <w:unhideWhenUsed/>
    <w:qFormat/>
    <w:rsid w:val="00C512A4"/>
    <w:pPr>
      <w:keepNext/>
      <w:keepLines/>
      <w:spacing w:before="40" w:after="0"/>
      <w:outlineLvl w:val="8"/>
    </w:pPr>
    <w:rPr>
      <w:rFonts w:ascii="Calibri Light" w:eastAsia="宋体" w:hAnsi="Calibri Light"/>
      <w:b/>
      <w:bCs/>
      <w:i/>
      <w:iCs/>
      <w:color w:val="44546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B6A3A"/>
    <w:rPr>
      <w:color w:val="0563C1"/>
      <w:u w:val="single"/>
    </w:rPr>
  </w:style>
  <w:style w:type="character" w:customStyle="1" w:styleId="UnresolvedMention">
    <w:name w:val="Unresolved Mention"/>
    <w:uiPriority w:val="99"/>
    <w:semiHidden/>
    <w:unhideWhenUsed/>
    <w:rsid w:val="007B6A3A"/>
    <w:rPr>
      <w:color w:val="605E5C"/>
      <w:shd w:val="clear" w:color="auto" w:fill="E1DFDD"/>
    </w:rPr>
  </w:style>
  <w:style w:type="character" w:customStyle="1" w:styleId="1Char">
    <w:name w:val="标题 1 Char"/>
    <w:link w:val="1"/>
    <w:uiPriority w:val="9"/>
    <w:rsid w:val="00C512A4"/>
    <w:rPr>
      <w:rFonts w:ascii="Calibri Light" w:eastAsia="宋体" w:hAnsi="Calibri Light" w:cs="Times New Roman"/>
      <w:color w:val="2E74B5"/>
      <w:sz w:val="32"/>
      <w:szCs w:val="32"/>
    </w:rPr>
  </w:style>
  <w:style w:type="paragraph" w:styleId="a5">
    <w:name w:val="header"/>
    <w:basedOn w:val="a"/>
    <w:link w:val="Char"/>
    <w:uiPriority w:val="99"/>
    <w:unhideWhenUsed/>
    <w:rsid w:val="0068463B"/>
    <w:pPr>
      <w:tabs>
        <w:tab w:val="center" w:pos="4513"/>
        <w:tab w:val="right" w:pos="9026"/>
      </w:tabs>
    </w:pPr>
  </w:style>
  <w:style w:type="character" w:customStyle="1" w:styleId="Char">
    <w:name w:val="页眉 Char"/>
    <w:link w:val="a5"/>
    <w:uiPriority w:val="99"/>
    <w:rsid w:val="0068463B"/>
    <w:rPr>
      <w:sz w:val="22"/>
      <w:szCs w:val="22"/>
    </w:rPr>
  </w:style>
  <w:style w:type="paragraph" w:styleId="a6">
    <w:name w:val="footer"/>
    <w:basedOn w:val="a"/>
    <w:link w:val="Char0"/>
    <w:uiPriority w:val="99"/>
    <w:unhideWhenUsed/>
    <w:rsid w:val="0068463B"/>
    <w:pPr>
      <w:tabs>
        <w:tab w:val="center" w:pos="4513"/>
        <w:tab w:val="right" w:pos="9026"/>
      </w:tabs>
    </w:pPr>
  </w:style>
  <w:style w:type="character" w:customStyle="1" w:styleId="Char0">
    <w:name w:val="页脚 Char"/>
    <w:link w:val="a6"/>
    <w:uiPriority w:val="99"/>
    <w:rsid w:val="0068463B"/>
    <w:rPr>
      <w:sz w:val="22"/>
      <w:szCs w:val="22"/>
    </w:rPr>
  </w:style>
  <w:style w:type="paragraph" w:styleId="a7">
    <w:name w:val="Bibliography"/>
    <w:basedOn w:val="a"/>
    <w:next w:val="a"/>
    <w:uiPriority w:val="37"/>
    <w:unhideWhenUsed/>
    <w:rsid w:val="00EC1660"/>
    <w:pPr>
      <w:tabs>
        <w:tab w:val="left" w:pos="504"/>
      </w:tabs>
      <w:spacing w:after="240" w:line="240" w:lineRule="auto"/>
      <w:ind w:left="504" w:hanging="504"/>
    </w:pPr>
  </w:style>
  <w:style w:type="paragraph" w:styleId="a8">
    <w:name w:val="annotation text"/>
    <w:basedOn w:val="a"/>
    <w:link w:val="Char1"/>
    <w:uiPriority w:val="99"/>
    <w:unhideWhenUsed/>
    <w:rsid w:val="00EC1660"/>
    <w:pPr>
      <w:spacing w:after="0" w:line="240" w:lineRule="auto"/>
    </w:pPr>
    <w:rPr>
      <w:rFonts w:eastAsia="宋体"/>
    </w:rPr>
  </w:style>
  <w:style w:type="character" w:customStyle="1" w:styleId="Char1">
    <w:name w:val="批注文字 Char"/>
    <w:link w:val="a8"/>
    <w:uiPriority w:val="99"/>
    <w:rsid w:val="00EC1660"/>
    <w:rPr>
      <w:rFonts w:eastAsia="宋体"/>
      <w:lang w:val="en-US"/>
    </w:rPr>
  </w:style>
  <w:style w:type="paragraph" w:customStyle="1" w:styleId="Default">
    <w:name w:val="Default"/>
    <w:rsid w:val="00EC1660"/>
    <w:pPr>
      <w:autoSpaceDE w:val="0"/>
      <w:autoSpaceDN w:val="0"/>
      <w:adjustRightInd w:val="0"/>
      <w:spacing w:after="120" w:line="264" w:lineRule="auto"/>
    </w:pPr>
    <w:rPr>
      <w:rFonts w:ascii="Cambria" w:eastAsia="宋体" w:hAnsi="Cambria" w:cs="Cambria"/>
      <w:color w:val="000000"/>
      <w:sz w:val="24"/>
      <w:szCs w:val="24"/>
      <w:lang w:val="en-SG"/>
    </w:rPr>
  </w:style>
  <w:style w:type="paragraph" w:styleId="a9">
    <w:name w:val="Normal (Web)"/>
    <w:basedOn w:val="a"/>
    <w:uiPriority w:val="99"/>
    <w:semiHidden/>
    <w:unhideWhenUsed/>
    <w:rsid w:val="00C512A4"/>
    <w:pPr>
      <w:spacing w:before="100" w:beforeAutospacing="1" w:after="100" w:afterAutospacing="1" w:line="240" w:lineRule="auto"/>
    </w:pPr>
    <w:rPr>
      <w:rFonts w:ascii="Times New Roman" w:eastAsia="Times New Roman" w:hAnsi="Times New Roman"/>
      <w:sz w:val="24"/>
      <w:szCs w:val="24"/>
    </w:rPr>
  </w:style>
  <w:style w:type="character" w:customStyle="1" w:styleId="2Char">
    <w:name w:val="标题 2 Char"/>
    <w:link w:val="2"/>
    <w:uiPriority w:val="9"/>
    <w:semiHidden/>
    <w:rsid w:val="00C512A4"/>
    <w:rPr>
      <w:rFonts w:ascii="Calibri Light" w:eastAsia="宋体" w:hAnsi="Calibri Light" w:cs="Times New Roman"/>
      <w:color w:val="404040"/>
      <w:sz w:val="28"/>
      <w:szCs w:val="28"/>
    </w:rPr>
  </w:style>
  <w:style w:type="character" w:customStyle="1" w:styleId="3Char">
    <w:name w:val="标题 3 Char"/>
    <w:link w:val="3"/>
    <w:uiPriority w:val="9"/>
    <w:semiHidden/>
    <w:rsid w:val="00C512A4"/>
    <w:rPr>
      <w:rFonts w:ascii="Calibri Light" w:eastAsia="宋体" w:hAnsi="Calibri Light" w:cs="Times New Roman"/>
      <w:color w:val="44546A"/>
      <w:sz w:val="24"/>
      <w:szCs w:val="24"/>
    </w:rPr>
  </w:style>
  <w:style w:type="character" w:customStyle="1" w:styleId="4Char">
    <w:name w:val="标题 4 Char"/>
    <w:link w:val="4"/>
    <w:uiPriority w:val="9"/>
    <w:semiHidden/>
    <w:rsid w:val="00C512A4"/>
    <w:rPr>
      <w:rFonts w:ascii="Calibri Light" w:eastAsia="宋体" w:hAnsi="Calibri Light" w:cs="Times New Roman"/>
      <w:sz w:val="22"/>
      <w:szCs w:val="22"/>
    </w:rPr>
  </w:style>
  <w:style w:type="character" w:customStyle="1" w:styleId="5Char">
    <w:name w:val="标题 5 Char"/>
    <w:link w:val="5"/>
    <w:uiPriority w:val="9"/>
    <w:semiHidden/>
    <w:rsid w:val="00C512A4"/>
    <w:rPr>
      <w:rFonts w:ascii="Calibri Light" w:eastAsia="宋体" w:hAnsi="Calibri Light" w:cs="Times New Roman"/>
      <w:color w:val="44546A"/>
      <w:sz w:val="22"/>
      <w:szCs w:val="22"/>
    </w:rPr>
  </w:style>
  <w:style w:type="character" w:customStyle="1" w:styleId="6Char">
    <w:name w:val="标题 6 Char"/>
    <w:link w:val="6"/>
    <w:uiPriority w:val="9"/>
    <w:semiHidden/>
    <w:rsid w:val="00C512A4"/>
    <w:rPr>
      <w:rFonts w:ascii="Calibri Light" w:eastAsia="宋体" w:hAnsi="Calibri Light" w:cs="Times New Roman"/>
      <w:i/>
      <w:iCs/>
      <w:color w:val="44546A"/>
      <w:sz w:val="21"/>
      <w:szCs w:val="21"/>
    </w:rPr>
  </w:style>
  <w:style w:type="character" w:customStyle="1" w:styleId="7Char">
    <w:name w:val="标题 7 Char"/>
    <w:link w:val="7"/>
    <w:uiPriority w:val="9"/>
    <w:semiHidden/>
    <w:rsid w:val="00C512A4"/>
    <w:rPr>
      <w:rFonts w:ascii="Calibri Light" w:eastAsia="宋体" w:hAnsi="Calibri Light" w:cs="Times New Roman"/>
      <w:i/>
      <w:iCs/>
      <w:color w:val="1F4E79"/>
      <w:sz w:val="21"/>
      <w:szCs w:val="21"/>
    </w:rPr>
  </w:style>
  <w:style w:type="character" w:customStyle="1" w:styleId="8Char">
    <w:name w:val="标题 8 Char"/>
    <w:link w:val="8"/>
    <w:uiPriority w:val="9"/>
    <w:semiHidden/>
    <w:rsid w:val="00C512A4"/>
    <w:rPr>
      <w:rFonts w:ascii="Calibri Light" w:eastAsia="宋体" w:hAnsi="Calibri Light" w:cs="Times New Roman"/>
      <w:b/>
      <w:bCs/>
      <w:color w:val="44546A"/>
    </w:rPr>
  </w:style>
  <w:style w:type="character" w:customStyle="1" w:styleId="9Char">
    <w:name w:val="标题 9 Char"/>
    <w:link w:val="9"/>
    <w:uiPriority w:val="9"/>
    <w:semiHidden/>
    <w:rsid w:val="00C512A4"/>
    <w:rPr>
      <w:rFonts w:ascii="Calibri Light" w:eastAsia="宋体" w:hAnsi="Calibri Light" w:cs="Times New Roman"/>
      <w:b/>
      <w:bCs/>
      <w:i/>
      <w:iCs/>
      <w:color w:val="44546A"/>
    </w:rPr>
  </w:style>
  <w:style w:type="paragraph" w:styleId="aa">
    <w:name w:val="caption"/>
    <w:basedOn w:val="a"/>
    <w:next w:val="a"/>
    <w:uiPriority w:val="35"/>
    <w:semiHidden/>
    <w:unhideWhenUsed/>
    <w:qFormat/>
    <w:rsid w:val="00C512A4"/>
    <w:pPr>
      <w:spacing w:line="240" w:lineRule="auto"/>
    </w:pPr>
    <w:rPr>
      <w:b/>
      <w:bCs/>
      <w:smallCaps/>
      <w:color w:val="595959"/>
      <w:spacing w:val="6"/>
    </w:rPr>
  </w:style>
  <w:style w:type="paragraph" w:styleId="ab">
    <w:name w:val="Title"/>
    <w:basedOn w:val="a"/>
    <w:next w:val="a"/>
    <w:link w:val="Char2"/>
    <w:uiPriority w:val="10"/>
    <w:qFormat/>
    <w:rsid w:val="00C512A4"/>
    <w:pPr>
      <w:spacing w:after="0" w:line="240" w:lineRule="auto"/>
      <w:contextualSpacing/>
    </w:pPr>
    <w:rPr>
      <w:rFonts w:ascii="Calibri Light" w:eastAsia="宋体" w:hAnsi="Calibri Light"/>
      <w:color w:val="5B9BD5"/>
      <w:spacing w:val="-10"/>
      <w:sz w:val="56"/>
      <w:szCs w:val="56"/>
    </w:rPr>
  </w:style>
  <w:style w:type="character" w:customStyle="1" w:styleId="Char2">
    <w:name w:val="标题 Char"/>
    <w:link w:val="ab"/>
    <w:uiPriority w:val="10"/>
    <w:rsid w:val="00C512A4"/>
    <w:rPr>
      <w:rFonts w:ascii="Calibri Light" w:eastAsia="宋体" w:hAnsi="Calibri Light" w:cs="Times New Roman"/>
      <w:color w:val="5B9BD5"/>
      <w:spacing w:val="-10"/>
      <w:sz w:val="56"/>
      <w:szCs w:val="56"/>
    </w:rPr>
  </w:style>
  <w:style w:type="paragraph" w:styleId="ac">
    <w:name w:val="Subtitle"/>
    <w:basedOn w:val="a"/>
    <w:next w:val="a"/>
    <w:link w:val="Char3"/>
    <w:uiPriority w:val="11"/>
    <w:qFormat/>
    <w:rsid w:val="00C512A4"/>
    <w:pPr>
      <w:numPr>
        <w:ilvl w:val="1"/>
      </w:numPr>
      <w:spacing w:line="240" w:lineRule="auto"/>
    </w:pPr>
    <w:rPr>
      <w:rFonts w:ascii="Calibri Light" w:eastAsia="宋体" w:hAnsi="Calibri Light"/>
      <w:sz w:val="24"/>
      <w:szCs w:val="24"/>
    </w:rPr>
  </w:style>
  <w:style w:type="character" w:customStyle="1" w:styleId="Char3">
    <w:name w:val="副标题 Char"/>
    <w:link w:val="ac"/>
    <w:uiPriority w:val="11"/>
    <w:rsid w:val="00C512A4"/>
    <w:rPr>
      <w:rFonts w:ascii="Calibri Light" w:eastAsia="宋体" w:hAnsi="Calibri Light" w:cs="Times New Roman"/>
      <w:sz w:val="24"/>
      <w:szCs w:val="24"/>
    </w:rPr>
  </w:style>
  <w:style w:type="character" w:styleId="ad">
    <w:name w:val="Strong"/>
    <w:uiPriority w:val="22"/>
    <w:qFormat/>
    <w:rsid w:val="00C512A4"/>
    <w:rPr>
      <w:b/>
      <w:bCs/>
    </w:rPr>
  </w:style>
  <w:style w:type="character" w:styleId="ae">
    <w:name w:val="Emphasis"/>
    <w:uiPriority w:val="20"/>
    <w:qFormat/>
    <w:rsid w:val="00C512A4"/>
    <w:rPr>
      <w:i/>
      <w:iCs/>
    </w:rPr>
  </w:style>
  <w:style w:type="paragraph" w:styleId="af">
    <w:name w:val="No Spacing"/>
    <w:uiPriority w:val="1"/>
    <w:qFormat/>
    <w:rsid w:val="00C512A4"/>
  </w:style>
  <w:style w:type="paragraph" w:styleId="af0">
    <w:name w:val="Quote"/>
    <w:basedOn w:val="a"/>
    <w:next w:val="a"/>
    <w:link w:val="Char4"/>
    <w:uiPriority w:val="29"/>
    <w:qFormat/>
    <w:rsid w:val="00C512A4"/>
    <w:pPr>
      <w:spacing w:before="160"/>
      <w:ind w:left="720" w:right="720"/>
    </w:pPr>
    <w:rPr>
      <w:i/>
      <w:iCs/>
      <w:color w:val="404040"/>
    </w:rPr>
  </w:style>
  <w:style w:type="character" w:customStyle="1" w:styleId="Char4">
    <w:name w:val="引用 Char"/>
    <w:link w:val="af0"/>
    <w:uiPriority w:val="29"/>
    <w:rsid w:val="00C512A4"/>
    <w:rPr>
      <w:i/>
      <w:iCs/>
      <w:color w:val="404040"/>
    </w:rPr>
  </w:style>
  <w:style w:type="paragraph" w:styleId="af1">
    <w:name w:val="Intense Quote"/>
    <w:basedOn w:val="a"/>
    <w:next w:val="a"/>
    <w:link w:val="Char5"/>
    <w:uiPriority w:val="30"/>
    <w:qFormat/>
    <w:rsid w:val="00C512A4"/>
    <w:pPr>
      <w:pBdr>
        <w:left w:val="single" w:sz="18" w:space="12" w:color="5B9BD5"/>
      </w:pBdr>
      <w:spacing w:before="100" w:beforeAutospacing="1" w:line="300" w:lineRule="auto"/>
      <w:ind w:left="1224" w:right="1224"/>
    </w:pPr>
    <w:rPr>
      <w:rFonts w:ascii="Calibri Light" w:eastAsia="宋体" w:hAnsi="Calibri Light"/>
      <w:color w:val="5B9BD5"/>
      <w:sz w:val="28"/>
      <w:szCs w:val="28"/>
    </w:rPr>
  </w:style>
  <w:style w:type="character" w:customStyle="1" w:styleId="Char5">
    <w:name w:val="明显引用 Char"/>
    <w:link w:val="af1"/>
    <w:uiPriority w:val="30"/>
    <w:rsid w:val="00C512A4"/>
    <w:rPr>
      <w:rFonts w:ascii="Calibri Light" w:eastAsia="宋体" w:hAnsi="Calibri Light" w:cs="Times New Roman"/>
      <w:color w:val="5B9BD5"/>
      <w:sz w:val="28"/>
      <w:szCs w:val="28"/>
    </w:rPr>
  </w:style>
  <w:style w:type="character" w:styleId="af2">
    <w:name w:val="Subtle Emphasis"/>
    <w:uiPriority w:val="19"/>
    <w:qFormat/>
    <w:rsid w:val="00C512A4"/>
    <w:rPr>
      <w:i/>
      <w:iCs/>
      <w:color w:val="404040"/>
    </w:rPr>
  </w:style>
  <w:style w:type="character" w:styleId="af3">
    <w:name w:val="Intense Emphasis"/>
    <w:uiPriority w:val="21"/>
    <w:qFormat/>
    <w:rsid w:val="00C512A4"/>
    <w:rPr>
      <w:b/>
      <w:bCs/>
      <w:i/>
      <w:iCs/>
    </w:rPr>
  </w:style>
  <w:style w:type="character" w:styleId="af4">
    <w:name w:val="Subtle Reference"/>
    <w:uiPriority w:val="31"/>
    <w:qFormat/>
    <w:rsid w:val="00C512A4"/>
    <w:rPr>
      <w:smallCaps/>
      <w:color w:val="404040"/>
      <w:u w:val="single" w:color="7F7F7F"/>
    </w:rPr>
  </w:style>
  <w:style w:type="character" w:styleId="af5">
    <w:name w:val="Intense Reference"/>
    <w:uiPriority w:val="32"/>
    <w:qFormat/>
    <w:rsid w:val="00C512A4"/>
    <w:rPr>
      <w:b/>
      <w:bCs/>
      <w:smallCaps/>
      <w:spacing w:val="5"/>
      <w:u w:val="single"/>
    </w:rPr>
  </w:style>
  <w:style w:type="character" w:styleId="af6">
    <w:name w:val="Book Title"/>
    <w:uiPriority w:val="33"/>
    <w:qFormat/>
    <w:rsid w:val="00C512A4"/>
    <w:rPr>
      <w:b/>
      <w:bCs/>
      <w:smallCaps/>
    </w:rPr>
  </w:style>
  <w:style w:type="paragraph" w:styleId="TOC">
    <w:name w:val="TOC Heading"/>
    <w:basedOn w:val="1"/>
    <w:next w:val="a"/>
    <w:uiPriority w:val="39"/>
    <w:semiHidden/>
    <w:unhideWhenUsed/>
    <w:qFormat/>
    <w:rsid w:val="00C512A4"/>
    <w:pPr>
      <w:outlineLvl w:val="9"/>
    </w:pPr>
  </w:style>
  <w:style w:type="paragraph" w:styleId="af7">
    <w:name w:val="Balloon Text"/>
    <w:basedOn w:val="a"/>
    <w:link w:val="Char6"/>
    <w:uiPriority w:val="99"/>
    <w:semiHidden/>
    <w:unhideWhenUsed/>
    <w:rsid w:val="009F35B7"/>
    <w:pPr>
      <w:spacing w:after="0" w:line="240" w:lineRule="auto"/>
    </w:pPr>
    <w:rPr>
      <w:rFonts w:ascii="Segoe UI" w:hAnsi="Segoe UI" w:cs="Segoe UI"/>
      <w:sz w:val="18"/>
      <w:szCs w:val="18"/>
    </w:rPr>
  </w:style>
  <w:style w:type="character" w:customStyle="1" w:styleId="Char6">
    <w:name w:val="批注框文本 Char"/>
    <w:link w:val="af7"/>
    <w:uiPriority w:val="99"/>
    <w:semiHidden/>
    <w:rsid w:val="009F35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A4"/>
    <w:pPr>
      <w:spacing w:after="120" w:line="264" w:lineRule="auto"/>
    </w:pPr>
  </w:style>
  <w:style w:type="paragraph" w:styleId="1">
    <w:name w:val="heading 1"/>
    <w:basedOn w:val="a"/>
    <w:next w:val="a"/>
    <w:link w:val="1Char"/>
    <w:uiPriority w:val="9"/>
    <w:qFormat/>
    <w:rsid w:val="00C512A4"/>
    <w:pPr>
      <w:keepNext/>
      <w:keepLines/>
      <w:spacing w:before="320" w:after="0" w:line="240" w:lineRule="auto"/>
      <w:outlineLvl w:val="0"/>
    </w:pPr>
    <w:rPr>
      <w:rFonts w:ascii="Calibri Light" w:eastAsia="宋体" w:hAnsi="Calibri Light"/>
      <w:color w:val="2E74B5"/>
      <w:sz w:val="32"/>
      <w:szCs w:val="32"/>
    </w:rPr>
  </w:style>
  <w:style w:type="paragraph" w:styleId="2">
    <w:name w:val="heading 2"/>
    <w:basedOn w:val="a"/>
    <w:next w:val="a"/>
    <w:link w:val="2Char"/>
    <w:uiPriority w:val="9"/>
    <w:semiHidden/>
    <w:unhideWhenUsed/>
    <w:qFormat/>
    <w:rsid w:val="00C512A4"/>
    <w:pPr>
      <w:keepNext/>
      <w:keepLines/>
      <w:spacing w:before="80" w:after="0" w:line="240" w:lineRule="auto"/>
      <w:outlineLvl w:val="1"/>
    </w:pPr>
    <w:rPr>
      <w:rFonts w:ascii="Calibri Light" w:eastAsia="宋体" w:hAnsi="Calibri Light"/>
      <w:color w:val="404040"/>
      <w:sz w:val="28"/>
      <w:szCs w:val="28"/>
    </w:rPr>
  </w:style>
  <w:style w:type="paragraph" w:styleId="3">
    <w:name w:val="heading 3"/>
    <w:basedOn w:val="a"/>
    <w:next w:val="a"/>
    <w:link w:val="3Char"/>
    <w:uiPriority w:val="9"/>
    <w:semiHidden/>
    <w:unhideWhenUsed/>
    <w:qFormat/>
    <w:rsid w:val="00C512A4"/>
    <w:pPr>
      <w:keepNext/>
      <w:keepLines/>
      <w:spacing w:before="40" w:after="0" w:line="240" w:lineRule="auto"/>
      <w:outlineLvl w:val="2"/>
    </w:pPr>
    <w:rPr>
      <w:rFonts w:ascii="Calibri Light" w:eastAsia="宋体" w:hAnsi="Calibri Light"/>
      <w:color w:val="44546A"/>
      <w:sz w:val="24"/>
      <w:szCs w:val="24"/>
    </w:rPr>
  </w:style>
  <w:style w:type="paragraph" w:styleId="4">
    <w:name w:val="heading 4"/>
    <w:basedOn w:val="a"/>
    <w:next w:val="a"/>
    <w:link w:val="4Char"/>
    <w:uiPriority w:val="9"/>
    <w:semiHidden/>
    <w:unhideWhenUsed/>
    <w:qFormat/>
    <w:rsid w:val="00C512A4"/>
    <w:pPr>
      <w:keepNext/>
      <w:keepLines/>
      <w:spacing w:before="40" w:after="0"/>
      <w:outlineLvl w:val="3"/>
    </w:pPr>
    <w:rPr>
      <w:rFonts w:ascii="Calibri Light" w:eastAsia="宋体" w:hAnsi="Calibri Light"/>
      <w:sz w:val="22"/>
      <w:szCs w:val="22"/>
    </w:rPr>
  </w:style>
  <w:style w:type="paragraph" w:styleId="5">
    <w:name w:val="heading 5"/>
    <w:basedOn w:val="a"/>
    <w:next w:val="a"/>
    <w:link w:val="5Char"/>
    <w:uiPriority w:val="9"/>
    <w:semiHidden/>
    <w:unhideWhenUsed/>
    <w:qFormat/>
    <w:rsid w:val="00C512A4"/>
    <w:pPr>
      <w:keepNext/>
      <w:keepLines/>
      <w:spacing w:before="40" w:after="0"/>
      <w:outlineLvl w:val="4"/>
    </w:pPr>
    <w:rPr>
      <w:rFonts w:ascii="Calibri Light" w:eastAsia="宋体" w:hAnsi="Calibri Light"/>
      <w:color w:val="44546A"/>
      <w:sz w:val="22"/>
      <w:szCs w:val="22"/>
    </w:rPr>
  </w:style>
  <w:style w:type="paragraph" w:styleId="6">
    <w:name w:val="heading 6"/>
    <w:basedOn w:val="a"/>
    <w:next w:val="a"/>
    <w:link w:val="6Char"/>
    <w:uiPriority w:val="9"/>
    <w:semiHidden/>
    <w:unhideWhenUsed/>
    <w:qFormat/>
    <w:rsid w:val="00C512A4"/>
    <w:pPr>
      <w:keepNext/>
      <w:keepLines/>
      <w:spacing w:before="40" w:after="0"/>
      <w:outlineLvl w:val="5"/>
    </w:pPr>
    <w:rPr>
      <w:rFonts w:ascii="Calibri Light" w:eastAsia="宋体" w:hAnsi="Calibri Light"/>
      <w:i/>
      <w:iCs/>
      <w:color w:val="44546A"/>
      <w:sz w:val="21"/>
      <w:szCs w:val="21"/>
    </w:rPr>
  </w:style>
  <w:style w:type="paragraph" w:styleId="7">
    <w:name w:val="heading 7"/>
    <w:basedOn w:val="a"/>
    <w:next w:val="a"/>
    <w:link w:val="7Char"/>
    <w:uiPriority w:val="9"/>
    <w:semiHidden/>
    <w:unhideWhenUsed/>
    <w:qFormat/>
    <w:rsid w:val="00C512A4"/>
    <w:pPr>
      <w:keepNext/>
      <w:keepLines/>
      <w:spacing w:before="40" w:after="0"/>
      <w:outlineLvl w:val="6"/>
    </w:pPr>
    <w:rPr>
      <w:rFonts w:ascii="Calibri Light" w:eastAsia="宋体" w:hAnsi="Calibri Light"/>
      <w:i/>
      <w:iCs/>
      <w:color w:val="1F4E79"/>
      <w:sz w:val="21"/>
      <w:szCs w:val="21"/>
    </w:rPr>
  </w:style>
  <w:style w:type="paragraph" w:styleId="8">
    <w:name w:val="heading 8"/>
    <w:basedOn w:val="a"/>
    <w:next w:val="a"/>
    <w:link w:val="8Char"/>
    <w:uiPriority w:val="9"/>
    <w:semiHidden/>
    <w:unhideWhenUsed/>
    <w:qFormat/>
    <w:rsid w:val="00C512A4"/>
    <w:pPr>
      <w:keepNext/>
      <w:keepLines/>
      <w:spacing w:before="40" w:after="0"/>
      <w:outlineLvl w:val="7"/>
    </w:pPr>
    <w:rPr>
      <w:rFonts w:ascii="Calibri Light" w:eastAsia="宋体" w:hAnsi="Calibri Light"/>
      <w:b/>
      <w:bCs/>
      <w:color w:val="44546A"/>
    </w:rPr>
  </w:style>
  <w:style w:type="paragraph" w:styleId="9">
    <w:name w:val="heading 9"/>
    <w:basedOn w:val="a"/>
    <w:next w:val="a"/>
    <w:link w:val="9Char"/>
    <w:uiPriority w:val="9"/>
    <w:semiHidden/>
    <w:unhideWhenUsed/>
    <w:qFormat/>
    <w:rsid w:val="00C512A4"/>
    <w:pPr>
      <w:keepNext/>
      <w:keepLines/>
      <w:spacing w:before="40" w:after="0"/>
      <w:outlineLvl w:val="8"/>
    </w:pPr>
    <w:rPr>
      <w:rFonts w:ascii="Calibri Light" w:eastAsia="宋体" w:hAnsi="Calibri Light"/>
      <w:b/>
      <w:bCs/>
      <w:i/>
      <w:iCs/>
      <w:color w:val="44546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B6A3A"/>
    <w:rPr>
      <w:color w:val="0563C1"/>
      <w:u w:val="single"/>
    </w:rPr>
  </w:style>
  <w:style w:type="character" w:customStyle="1" w:styleId="UnresolvedMention">
    <w:name w:val="Unresolved Mention"/>
    <w:uiPriority w:val="99"/>
    <w:semiHidden/>
    <w:unhideWhenUsed/>
    <w:rsid w:val="007B6A3A"/>
    <w:rPr>
      <w:color w:val="605E5C"/>
      <w:shd w:val="clear" w:color="auto" w:fill="E1DFDD"/>
    </w:rPr>
  </w:style>
  <w:style w:type="character" w:customStyle="1" w:styleId="1Char">
    <w:name w:val="标题 1 Char"/>
    <w:link w:val="1"/>
    <w:uiPriority w:val="9"/>
    <w:rsid w:val="00C512A4"/>
    <w:rPr>
      <w:rFonts w:ascii="Calibri Light" w:eastAsia="宋体" w:hAnsi="Calibri Light" w:cs="Times New Roman"/>
      <w:color w:val="2E74B5"/>
      <w:sz w:val="32"/>
      <w:szCs w:val="32"/>
    </w:rPr>
  </w:style>
  <w:style w:type="paragraph" w:styleId="a5">
    <w:name w:val="header"/>
    <w:basedOn w:val="a"/>
    <w:link w:val="Char"/>
    <w:uiPriority w:val="99"/>
    <w:unhideWhenUsed/>
    <w:rsid w:val="0068463B"/>
    <w:pPr>
      <w:tabs>
        <w:tab w:val="center" w:pos="4513"/>
        <w:tab w:val="right" w:pos="9026"/>
      </w:tabs>
    </w:pPr>
  </w:style>
  <w:style w:type="character" w:customStyle="1" w:styleId="Char">
    <w:name w:val="页眉 Char"/>
    <w:link w:val="a5"/>
    <w:uiPriority w:val="99"/>
    <w:rsid w:val="0068463B"/>
    <w:rPr>
      <w:sz w:val="22"/>
      <w:szCs w:val="22"/>
    </w:rPr>
  </w:style>
  <w:style w:type="paragraph" w:styleId="a6">
    <w:name w:val="footer"/>
    <w:basedOn w:val="a"/>
    <w:link w:val="Char0"/>
    <w:uiPriority w:val="99"/>
    <w:unhideWhenUsed/>
    <w:rsid w:val="0068463B"/>
    <w:pPr>
      <w:tabs>
        <w:tab w:val="center" w:pos="4513"/>
        <w:tab w:val="right" w:pos="9026"/>
      </w:tabs>
    </w:pPr>
  </w:style>
  <w:style w:type="character" w:customStyle="1" w:styleId="Char0">
    <w:name w:val="页脚 Char"/>
    <w:link w:val="a6"/>
    <w:uiPriority w:val="99"/>
    <w:rsid w:val="0068463B"/>
    <w:rPr>
      <w:sz w:val="22"/>
      <w:szCs w:val="22"/>
    </w:rPr>
  </w:style>
  <w:style w:type="paragraph" w:styleId="a7">
    <w:name w:val="Bibliography"/>
    <w:basedOn w:val="a"/>
    <w:next w:val="a"/>
    <w:uiPriority w:val="37"/>
    <w:unhideWhenUsed/>
    <w:rsid w:val="00EC1660"/>
    <w:pPr>
      <w:tabs>
        <w:tab w:val="left" w:pos="504"/>
      </w:tabs>
      <w:spacing w:after="240" w:line="240" w:lineRule="auto"/>
      <w:ind w:left="504" w:hanging="504"/>
    </w:pPr>
  </w:style>
  <w:style w:type="paragraph" w:styleId="a8">
    <w:name w:val="annotation text"/>
    <w:basedOn w:val="a"/>
    <w:link w:val="Char1"/>
    <w:uiPriority w:val="99"/>
    <w:unhideWhenUsed/>
    <w:rsid w:val="00EC1660"/>
    <w:pPr>
      <w:spacing w:after="0" w:line="240" w:lineRule="auto"/>
    </w:pPr>
    <w:rPr>
      <w:rFonts w:eastAsia="宋体"/>
    </w:rPr>
  </w:style>
  <w:style w:type="character" w:customStyle="1" w:styleId="Char1">
    <w:name w:val="批注文字 Char"/>
    <w:link w:val="a8"/>
    <w:uiPriority w:val="99"/>
    <w:rsid w:val="00EC1660"/>
    <w:rPr>
      <w:rFonts w:eastAsia="宋体"/>
      <w:lang w:val="en-US"/>
    </w:rPr>
  </w:style>
  <w:style w:type="paragraph" w:customStyle="1" w:styleId="Default">
    <w:name w:val="Default"/>
    <w:rsid w:val="00EC1660"/>
    <w:pPr>
      <w:autoSpaceDE w:val="0"/>
      <w:autoSpaceDN w:val="0"/>
      <w:adjustRightInd w:val="0"/>
      <w:spacing w:after="120" w:line="264" w:lineRule="auto"/>
    </w:pPr>
    <w:rPr>
      <w:rFonts w:ascii="Cambria" w:eastAsia="宋体" w:hAnsi="Cambria" w:cs="Cambria"/>
      <w:color w:val="000000"/>
      <w:sz w:val="24"/>
      <w:szCs w:val="24"/>
      <w:lang w:val="en-SG"/>
    </w:rPr>
  </w:style>
  <w:style w:type="paragraph" w:styleId="a9">
    <w:name w:val="Normal (Web)"/>
    <w:basedOn w:val="a"/>
    <w:uiPriority w:val="99"/>
    <w:semiHidden/>
    <w:unhideWhenUsed/>
    <w:rsid w:val="00C512A4"/>
    <w:pPr>
      <w:spacing w:before="100" w:beforeAutospacing="1" w:after="100" w:afterAutospacing="1" w:line="240" w:lineRule="auto"/>
    </w:pPr>
    <w:rPr>
      <w:rFonts w:ascii="Times New Roman" w:eastAsia="Times New Roman" w:hAnsi="Times New Roman"/>
      <w:sz w:val="24"/>
      <w:szCs w:val="24"/>
    </w:rPr>
  </w:style>
  <w:style w:type="character" w:customStyle="1" w:styleId="2Char">
    <w:name w:val="标题 2 Char"/>
    <w:link w:val="2"/>
    <w:uiPriority w:val="9"/>
    <w:semiHidden/>
    <w:rsid w:val="00C512A4"/>
    <w:rPr>
      <w:rFonts w:ascii="Calibri Light" w:eastAsia="宋体" w:hAnsi="Calibri Light" w:cs="Times New Roman"/>
      <w:color w:val="404040"/>
      <w:sz w:val="28"/>
      <w:szCs w:val="28"/>
    </w:rPr>
  </w:style>
  <w:style w:type="character" w:customStyle="1" w:styleId="3Char">
    <w:name w:val="标题 3 Char"/>
    <w:link w:val="3"/>
    <w:uiPriority w:val="9"/>
    <w:semiHidden/>
    <w:rsid w:val="00C512A4"/>
    <w:rPr>
      <w:rFonts w:ascii="Calibri Light" w:eastAsia="宋体" w:hAnsi="Calibri Light" w:cs="Times New Roman"/>
      <w:color w:val="44546A"/>
      <w:sz w:val="24"/>
      <w:szCs w:val="24"/>
    </w:rPr>
  </w:style>
  <w:style w:type="character" w:customStyle="1" w:styleId="4Char">
    <w:name w:val="标题 4 Char"/>
    <w:link w:val="4"/>
    <w:uiPriority w:val="9"/>
    <w:semiHidden/>
    <w:rsid w:val="00C512A4"/>
    <w:rPr>
      <w:rFonts w:ascii="Calibri Light" w:eastAsia="宋体" w:hAnsi="Calibri Light" w:cs="Times New Roman"/>
      <w:sz w:val="22"/>
      <w:szCs w:val="22"/>
    </w:rPr>
  </w:style>
  <w:style w:type="character" w:customStyle="1" w:styleId="5Char">
    <w:name w:val="标题 5 Char"/>
    <w:link w:val="5"/>
    <w:uiPriority w:val="9"/>
    <w:semiHidden/>
    <w:rsid w:val="00C512A4"/>
    <w:rPr>
      <w:rFonts w:ascii="Calibri Light" w:eastAsia="宋体" w:hAnsi="Calibri Light" w:cs="Times New Roman"/>
      <w:color w:val="44546A"/>
      <w:sz w:val="22"/>
      <w:szCs w:val="22"/>
    </w:rPr>
  </w:style>
  <w:style w:type="character" w:customStyle="1" w:styleId="6Char">
    <w:name w:val="标题 6 Char"/>
    <w:link w:val="6"/>
    <w:uiPriority w:val="9"/>
    <w:semiHidden/>
    <w:rsid w:val="00C512A4"/>
    <w:rPr>
      <w:rFonts w:ascii="Calibri Light" w:eastAsia="宋体" w:hAnsi="Calibri Light" w:cs="Times New Roman"/>
      <w:i/>
      <w:iCs/>
      <w:color w:val="44546A"/>
      <w:sz w:val="21"/>
      <w:szCs w:val="21"/>
    </w:rPr>
  </w:style>
  <w:style w:type="character" w:customStyle="1" w:styleId="7Char">
    <w:name w:val="标题 7 Char"/>
    <w:link w:val="7"/>
    <w:uiPriority w:val="9"/>
    <w:semiHidden/>
    <w:rsid w:val="00C512A4"/>
    <w:rPr>
      <w:rFonts w:ascii="Calibri Light" w:eastAsia="宋体" w:hAnsi="Calibri Light" w:cs="Times New Roman"/>
      <w:i/>
      <w:iCs/>
      <w:color w:val="1F4E79"/>
      <w:sz w:val="21"/>
      <w:szCs w:val="21"/>
    </w:rPr>
  </w:style>
  <w:style w:type="character" w:customStyle="1" w:styleId="8Char">
    <w:name w:val="标题 8 Char"/>
    <w:link w:val="8"/>
    <w:uiPriority w:val="9"/>
    <w:semiHidden/>
    <w:rsid w:val="00C512A4"/>
    <w:rPr>
      <w:rFonts w:ascii="Calibri Light" w:eastAsia="宋体" w:hAnsi="Calibri Light" w:cs="Times New Roman"/>
      <w:b/>
      <w:bCs/>
      <w:color w:val="44546A"/>
    </w:rPr>
  </w:style>
  <w:style w:type="character" w:customStyle="1" w:styleId="9Char">
    <w:name w:val="标题 9 Char"/>
    <w:link w:val="9"/>
    <w:uiPriority w:val="9"/>
    <w:semiHidden/>
    <w:rsid w:val="00C512A4"/>
    <w:rPr>
      <w:rFonts w:ascii="Calibri Light" w:eastAsia="宋体" w:hAnsi="Calibri Light" w:cs="Times New Roman"/>
      <w:b/>
      <w:bCs/>
      <w:i/>
      <w:iCs/>
      <w:color w:val="44546A"/>
    </w:rPr>
  </w:style>
  <w:style w:type="paragraph" w:styleId="aa">
    <w:name w:val="caption"/>
    <w:basedOn w:val="a"/>
    <w:next w:val="a"/>
    <w:uiPriority w:val="35"/>
    <w:semiHidden/>
    <w:unhideWhenUsed/>
    <w:qFormat/>
    <w:rsid w:val="00C512A4"/>
    <w:pPr>
      <w:spacing w:line="240" w:lineRule="auto"/>
    </w:pPr>
    <w:rPr>
      <w:b/>
      <w:bCs/>
      <w:smallCaps/>
      <w:color w:val="595959"/>
      <w:spacing w:val="6"/>
    </w:rPr>
  </w:style>
  <w:style w:type="paragraph" w:styleId="ab">
    <w:name w:val="Title"/>
    <w:basedOn w:val="a"/>
    <w:next w:val="a"/>
    <w:link w:val="Char2"/>
    <w:uiPriority w:val="10"/>
    <w:qFormat/>
    <w:rsid w:val="00C512A4"/>
    <w:pPr>
      <w:spacing w:after="0" w:line="240" w:lineRule="auto"/>
      <w:contextualSpacing/>
    </w:pPr>
    <w:rPr>
      <w:rFonts w:ascii="Calibri Light" w:eastAsia="宋体" w:hAnsi="Calibri Light"/>
      <w:color w:val="5B9BD5"/>
      <w:spacing w:val="-10"/>
      <w:sz w:val="56"/>
      <w:szCs w:val="56"/>
    </w:rPr>
  </w:style>
  <w:style w:type="character" w:customStyle="1" w:styleId="Char2">
    <w:name w:val="标题 Char"/>
    <w:link w:val="ab"/>
    <w:uiPriority w:val="10"/>
    <w:rsid w:val="00C512A4"/>
    <w:rPr>
      <w:rFonts w:ascii="Calibri Light" w:eastAsia="宋体" w:hAnsi="Calibri Light" w:cs="Times New Roman"/>
      <w:color w:val="5B9BD5"/>
      <w:spacing w:val="-10"/>
      <w:sz w:val="56"/>
      <w:szCs w:val="56"/>
    </w:rPr>
  </w:style>
  <w:style w:type="paragraph" w:styleId="ac">
    <w:name w:val="Subtitle"/>
    <w:basedOn w:val="a"/>
    <w:next w:val="a"/>
    <w:link w:val="Char3"/>
    <w:uiPriority w:val="11"/>
    <w:qFormat/>
    <w:rsid w:val="00C512A4"/>
    <w:pPr>
      <w:numPr>
        <w:ilvl w:val="1"/>
      </w:numPr>
      <w:spacing w:line="240" w:lineRule="auto"/>
    </w:pPr>
    <w:rPr>
      <w:rFonts w:ascii="Calibri Light" w:eastAsia="宋体" w:hAnsi="Calibri Light"/>
      <w:sz w:val="24"/>
      <w:szCs w:val="24"/>
    </w:rPr>
  </w:style>
  <w:style w:type="character" w:customStyle="1" w:styleId="Char3">
    <w:name w:val="副标题 Char"/>
    <w:link w:val="ac"/>
    <w:uiPriority w:val="11"/>
    <w:rsid w:val="00C512A4"/>
    <w:rPr>
      <w:rFonts w:ascii="Calibri Light" w:eastAsia="宋体" w:hAnsi="Calibri Light" w:cs="Times New Roman"/>
      <w:sz w:val="24"/>
      <w:szCs w:val="24"/>
    </w:rPr>
  </w:style>
  <w:style w:type="character" w:styleId="ad">
    <w:name w:val="Strong"/>
    <w:uiPriority w:val="22"/>
    <w:qFormat/>
    <w:rsid w:val="00C512A4"/>
    <w:rPr>
      <w:b/>
      <w:bCs/>
    </w:rPr>
  </w:style>
  <w:style w:type="character" w:styleId="ae">
    <w:name w:val="Emphasis"/>
    <w:uiPriority w:val="20"/>
    <w:qFormat/>
    <w:rsid w:val="00C512A4"/>
    <w:rPr>
      <w:i/>
      <w:iCs/>
    </w:rPr>
  </w:style>
  <w:style w:type="paragraph" w:styleId="af">
    <w:name w:val="No Spacing"/>
    <w:uiPriority w:val="1"/>
    <w:qFormat/>
    <w:rsid w:val="00C512A4"/>
  </w:style>
  <w:style w:type="paragraph" w:styleId="af0">
    <w:name w:val="Quote"/>
    <w:basedOn w:val="a"/>
    <w:next w:val="a"/>
    <w:link w:val="Char4"/>
    <w:uiPriority w:val="29"/>
    <w:qFormat/>
    <w:rsid w:val="00C512A4"/>
    <w:pPr>
      <w:spacing w:before="160"/>
      <w:ind w:left="720" w:right="720"/>
    </w:pPr>
    <w:rPr>
      <w:i/>
      <w:iCs/>
      <w:color w:val="404040"/>
    </w:rPr>
  </w:style>
  <w:style w:type="character" w:customStyle="1" w:styleId="Char4">
    <w:name w:val="引用 Char"/>
    <w:link w:val="af0"/>
    <w:uiPriority w:val="29"/>
    <w:rsid w:val="00C512A4"/>
    <w:rPr>
      <w:i/>
      <w:iCs/>
      <w:color w:val="404040"/>
    </w:rPr>
  </w:style>
  <w:style w:type="paragraph" w:styleId="af1">
    <w:name w:val="Intense Quote"/>
    <w:basedOn w:val="a"/>
    <w:next w:val="a"/>
    <w:link w:val="Char5"/>
    <w:uiPriority w:val="30"/>
    <w:qFormat/>
    <w:rsid w:val="00C512A4"/>
    <w:pPr>
      <w:pBdr>
        <w:left w:val="single" w:sz="18" w:space="12" w:color="5B9BD5"/>
      </w:pBdr>
      <w:spacing w:before="100" w:beforeAutospacing="1" w:line="300" w:lineRule="auto"/>
      <w:ind w:left="1224" w:right="1224"/>
    </w:pPr>
    <w:rPr>
      <w:rFonts w:ascii="Calibri Light" w:eastAsia="宋体" w:hAnsi="Calibri Light"/>
      <w:color w:val="5B9BD5"/>
      <w:sz w:val="28"/>
      <w:szCs w:val="28"/>
    </w:rPr>
  </w:style>
  <w:style w:type="character" w:customStyle="1" w:styleId="Char5">
    <w:name w:val="明显引用 Char"/>
    <w:link w:val="af1"/>
    <w:uiPriority w:val="30"/>
    <w:rsid w:val="00C512A4"/>
    <w:rPr>
      <w:rFonts w:ascii="Calibri Light" w:eastAsia="宋体" w:hAnsi="Calibri Light" w:cs="Times New Roman"/>
      <w:color w:val="5B9BD5"/>
      <w:sz w:val="28"/>
      <w:szCs w:val="28"/>
    </w:rPr>
  </w:style>
  <w:style w:type="character" w:styleId="af2">
    <w:name w:val="Subtle Emphasis"/>
    <w:uiPriority w:val="19"/>
    <w:qFormat/>
    <w:rsid w:val="00C512A4"/>
    <w:rPr>
      <w:i/>
      <w:iCs/>
      <w:color w:val="404040"/>
    </w:rPr>
  </w:style>
  <w:style w:type="character" w:styleId="af3">
    <w:name w:val="Intense Emphasis"/>
    <w:uiPriority w:val="21"/>
    <w:qFormat/>
    <w:rsid w:val="00C512A4"/>
    <w:rPr>
      <w:b/>
      <w:bCs/>
      <w:i/>
      <w:iCs/>
    </w:rPr>
  </w:style>
  <w:style w:type="character" w:styleId="af4">
    <w:name w:val="Subtle Reference"/>
    <w:uiPriority w:val="31"/>
    <w:qFormat/>
    <w:rsid w:val="00C512A4"/>
    <w:rPr>
      <w:smallCaps/>
      <w:color w:val="404040"/>
      <w:u w:val="single" w:color="7F7F7F"/>
    </w:rPr>
  </w:style>
  <w:style w:type="character" w:styleId="af5">
    <w:name w:val="Intense Reference"/>
    <w:uiPriority w:val="32"/>
    <w:qFormat/>
    <w:rsid w:val="00C512A4"/>
    <w:rPr>
      <w:b/>
      <w:bCs/>
      <w:smallCaps/>
      <w:spacing w:val="5"/>
      <w:u w:val="single"/>
    </w:rPr>
  </w:style>
  <w:style w:type="character" w:styleId="af6">
    <w:name w:val="Book Title"/>
    <w:uiPriority w:val="33"/>
    <w:qFormat/>
    <w:rsid w:val="00C512A4"/>
    <w:rPr>
      <w:b/>
      <w:bCs/>
      <w:smallCaps/>
    </w:rPr>
  </w:style>
  <w:style w:type="paragraph" w:styleId="TOC">
    <w:name w:val="TOC Heading"/>
    <w:basedOn w:val="1"/>
    <w:next w:val="a"/>
    <w:uiPriority w:val="39"/>
    <w:semiHidden/>
    <w:unhideWhenUsed/>
    <w:qFormat/>
    <w:rsid w:val="00C512A4"/>
    <w:pPr>
      <w:outlineLvl w:val="9"/>
    </w:pPr>
  </w:style>
  <w:style w:type="paragraph" w:styleId="af7">
    <w:name w:val="Balloon Text"/>
    <w:basedOn w:val="a"/>
    <w:link w:val="Char6"/>
    <w:uiPriority w:val="99"/>
    <w:semiHidden/>
    <w:unhideWhenUsed/>
    <w:rsid w:val="009F35B7"/>
    <w:pPr>
      <w:spacing w:after="0" w:line="240" w:lineRule="auto"/>
    </w:pPr>
    <w:rPr>
      <w:rFonts w:ascii="Segoe UI" w:hAnsi="Segoe UI" w:cs="Segoe UI"/>
      <w:sz w:val="18"/>
      <w:szCs w:val="18"/>
    </w:rPr>
  </w:style>
  <w:style w:type="character" w:customStyle="1" w:styleId="Char6">
    <w:name w:val="批注框文本 Char"/>
    <w:link w:val="af7"/>
    <w:uiPriority w:val="99"/>
    <w:semiHidden/>
    <w:rsid w:val="009F3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698">
      <w:bodyDiv w:val="1"/>
      <w:marLeft w:val="0"/>
      <w:marRight w:val="0"/>
      <w:marTop w:val="0"/>
      <w:marBottom w:val="0"/>
      <w:divBdr>
        <w:top w:val="none" w:sz="0" w:space="0" w:color="auto"/>
        <w:left w:val="none" w:sz="0" w:space="0" w:color="auto"/>
        <w:bottom w:val="none" w:sz="0" w:space="0" w:color="auto"/>
        <w:right w:val="none" w:sz="0" w:space="0" w:color="auto"/>
      </w:divBdr>
    </w:div>
    <w:div w:id="229926362">
      <w:bodyDiv w:val="1"/>
      <w:marLeft w:val="0"/>
      <w:marRight w:val="0"/>
      <w:marTop w:val="0"/>
      <w:marBottom w:val="0"/>
      <w:divBdr>
        <w:top w:val="none" w:sz="0" w:space="0" w:color="auto"/>
        <w:left w:val="none" w:sz="0" w:space="0" w:color="auto"/>
        <w:bottom w:val="none" w:sz="0" w:space="0" w:color="auto"/>
        <w:right w:val="none" w:sz="0" w:space="0" w:color="auto"/>
      </w:divBdr>
    </w:div>
    <w:div w:id="440341199">
      <w:bodyDiv w:val="1"/>
      <w:marLeft w:val="0"/>
      <w:marRight w:val="0"/>
      <w:marTop w:val="0"/>
      <w:marBottom w:val="0"/>
      <w:divBdr>
        <w:top w:val="none" w:sz="0" w:space="0" w:color="auto"/>
        <w:left w:val="none" w:sz="0" w:space="0" w:color="auto"/>
        <w:bottom w:val="none" w:sz="0" w:space="0" w:color="auto"/>
        <w:right w:val="none" w:sz="0" w:space="0" w:color="auto"/>
      </w:divBdr>
    </w:div>
    <w:div w:id="461190943">
      <w:bodyDiv w:val="1"/>
      <w:marLeft w:val="0"/>
      <w:marRight w:val="0"/>
      <w:marTop w:val="0"/>
      <w:marBottom w:val="0"/>
      <w:divBdr>
        <w:top w:val="none" w:sz="0" w:space="0" w:color="auto"/>
        <w:left w:val="none" w:sz="0" w:space="0" w:color="auto"/>
        <w:bottom w:val="none" w:sz="0" w:space="0" w:color="auto"/>
        <w:right w:val="none" w:sz="0" w:space="0" w:color="auto"/>
      </w:divBdr>
    </w:div>
    <w:div w:id="585113531">
      <w:bodyDiv w:val="1"/>
      <w:marLeft w:val="0"/>
      <w:marRight w:val="0"/>
      <w:marTop w:val="0"/>
      <w:marBottom w:val="0"/>
      <w:divBdr>
        <w:top w:val="none" w:sz="0" w:space="0" w:color="auto"/>
        <w:left w:val="none" w:sz="0" w:space="0" w:color="auto"/>
        <w:bottom w:val="none" w:sz="0" w:space="0" w:color="auto"/>
        <w:right w:val="none" w:sz="0" w:space="0" w:color="auto"/>
      </w:divBdr>
    </w:div>
    <w:div w:id="931933868">
      <w:bodyDiv w:val="1"/>
      <w:marLeft w:val="0"/>
      <w:marRight w:val="0"/>
      <w:marTop w:val="0"/>
      <w:marBottom w:val="0"/>
      <w:divBdr>
        <w:top w:val="none" w:sz="0" w:space="0" w:color="auto"/>
        <w:left w:val="none" w:sz="0" w:space="0" w:color="auto"/>
        <w:bottom w:val="none" w:sz="0" w:space="0" w:color="auto"/>
        <w:right w:val="none" w:sz="0" w:space="0" w:color="auto"/>
      </w:divBdr>
    </w:div>
    <w:div w:id="1029725823">
      <w:bodyDiv w:val="1"/>
      <w:marLeft w:val="0"/>
      <w:marRight w:val="0"/>
      <w:marTop w:val="0"/>
      <w:marBottom w:val="0"/>
      <w:divBdr>
        <w:top w:val="none" w:sz="0" w:space="0" w:color="auto"/>
        <w:left w:val="none" w:sz="0" w:space="0" w:color="auto"/>
        <w:bottom w:val="none" w:sz="0" w:space="0" w:color="auto"/>
        <w:right w:val="none" w:sz="0" w:space="0" w:color="auto"/>
      </w:divBdr>
    </w:div>
    <w:div w:id="1061977994">
      <w:bodyDiv w:val="1"/>
      <w:marLeft w:val="0"/>
      <w:marRight w:val="0"/>
      <w:marTop w:val="0"/>
      <w:marBottom w:val="0"/>
      <w:divBdr>
        <w:top w:val="none" w:sz="0" w:space="0" w:color="auto"/>
        <w:left w:val="none" w:sz="0" w:space="0" w:color="auto"/>
        <w:bottom w:val="none" w:sz="0" w:space="0" w:color="auto"/>
        <w:right w:val="none" w:sz="0" w:space="0" w:color="auto"/>
      </w:divBdr>
    </w:div>
    <w:div w:id="1128819416">
      <w:bodyDiv w:val="1"/>
      <w:marLeft w:val="0"/>
      <w:marRight w:val="0"/>
      <w:marTop w:val="0"/>
      <w:marBottom w:val="0"/>
      <w:divBdr>
        <w:top w:val="none" w:sz="0" w:space="0" w:color="auto"/>
        <w:left w:val="none" w:sz="0" w:space="0" w:color="auto"/>
        <w:bottom w:val="none" w:sz="0" w:space="0" w:color="auto"/>
        <w:right w:val="none" w:sz="0" w:space="0" w:color="auto"/>
      </w:divBdr>
    </w:div>
    <w:div w:id="1723023065">
      <w:bodyDiv w:val="1"/>
      <w:marLeft w:val="0"/>
      <w:marRight w:val="0"/>
      <w:marTop w:val="0"/>
      <w:marBottom w:val="0"/>
      <w:divBdr>
        <w:top w:val="none" w:sz="0" w:space="0" w:color="auto"/>
        <w:left w:val="none" w:sz="0" w:space="0" w:color="auto"/>
        <w:bottom w:val="none" w:sz="0" w:space="0" w:color="auto"/>
        <w:right w:val="none" w:sz="0" w:space="0" w:color="auto"/>
      </w:divBdr>
    </w:div>
    <w:div w:id="1766269643">
      <w:bodyDiv w:val="1"/>
      <w:marLeft w:val="0"/>
      <w:marRight w:val="0"/>
      <w:marTop w:val="0"/>
      <w:marBottom w:val="0"/>
      <w:divBdr>
        <w:top w:val="none" w:sz="0" w:space="0" w:color="auto"/>
        <w:left w:val="none" w:sz="0" w:space="0" w:color="auto"/>
        <w:bottom w:val="none" w:sz="0" w:space="0" w:color="auto"/>
        <w:right w:val="none" w:sz="0" w:space="0" w:color="auto"/>
      </w:divBdr>
    </w:div>
    <w:div w:id="20383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dx.doi.org/10.5306/wjco.v11.i3.143" TargetMode="External"/><Relationship Id="rId4" Type="http://schemas.microsoft.com/office/2007/relationships/stylesWithEffects" Target="stylesWithEffects.xml"/><Relationship Id="rId9" Type="http://schemas.openxmlformats.org/officeDocument/2006/relationships/hyperlink" Target="https://www.wjgnet.com/2218-4333/full/v11/i3/14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B3FA-3015-41BF-8197-4331B600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12795</Words>
  <Characters>72932</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85556</CharactersWithSpaces>
  <SharedDoc>false</SharedDoc>
  <HLinks>
    <vt:vector size="12" baseType="variant">
      <vt:variant>
        <vt:i4>6422589</vt:i4>
      </vt:variant>
      <vt:variant>
        <vt:i4>3</vt:i4>
      </vt:variant>
      <vt:variant>
        <vt:i4>0</vt:i4>
      </vt:variant>
      <vt:variant>
        <vt:i4>5</vt:i4>
      </vt:variant>
      <vt:variant>
        <vt:lpwstr>https://dx.doi.org/10.5306/wjco.v11.i3.143</vt:lpwstr>
      </vt:variant>
      <vt:variant>
        <vt:lpwstr/>
      </vt:variant>
      <vt:variant>
        <vt:i4>1507343</vt:i4>
      </vt:variant>
      <vt:variant>
        <vt:i4>0</vt:i4>
      </vt:variant>
      <vt:variant>
        <vt:i4>0</vt:i4>
      </vt:variant>
      <vt:variant>
        <vt:i4>5</vt:i4>
      </vt:variant>
      <vt:variant>
        <vt:lpwstr>https://www.wjgnet.com/2218-4333/full/v11/i3/143.htm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Sylwan Rahardja</dc:creator>
  <cp:lastModifiedBy>86151</cp:lastModifiedBy>
  <cp:revision>2</cp:revision>
  <dcterms:created xsi:type="dcterms:W3CDTF">2020-03-16T03:22:00Z</dcterms:created>
  <dcterms:modified xsi:type="dcterms:W3CDTF">2020-03-16T03:22:00Z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id="ai8Rcowb"/&gt;&lt;style id="http://www.zotero.org/styles/vancouver-brackets" locale="en-US" hasBibliography="1" bibliographyStyleHasBeenSet="1"/&gt;&lt;prefs&gt;&lt;pref name="fieldType" value="Field"/&gt;&lt;/prefs&gt;&lt;/d</vt:lpwstr>
  </property>
  <property fmtid="{D5CDD505-2E9C-101B-9397-08002B2CF9AE}" pid="3" name="ZOTERO_PREF_2">
    <vt:lpwstr>ata&gt;</vt:lpwstr>
  </property>
</Properties>
</file>