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A586" w14:textId="77777777" w:rsidR="00672C22" w:rsidRPr="003A1E48" w:rsidRDefault="00672C22" w:rsidP="00DD7F70">
      <w:pPr>
        <w:adjustRightInd w:val="0"/>
        <w:snapToGrid w:val="0"/>
        <w:spacing w:line="360" w:lineRule="auto"/>
        <w:jc w:val="both"/>
        <w:rPr>
          <w:rFonts w:ascii="Book Antiqua" w:hAnsi="Book Antiqua"/>
          <w:b/>
          <w:color w:val="0000FF"/>
        </w:rPr>
      </w:pPr>
      <w:bookmarkStart w:id="0" w:name="_Hlk29631101"/>
      <w:r w:rsidRPr="003A1E48">
        <w:rPr>
          <w:rFonts w:ascii="Book Antiqua" w:eastAsia="Times New Roman" w:hAnsi="Book Antiqua" w:cs="宋体"/>
          <w:b/>
          <w:color w:val="000000"/>
        </w:rPr>
        <w:t xml:space="preserve">Name of Journal: </w:t>
      </w:r>
      <w:r w:rsidRPr="003A1E48">
        <w:rPr>
          <w:rFonts w:ascii="Book Antiqua" w:eastAsia="Times New Roman" w:hAnsi="Book Antiqua" w:cs="宋体"/>
          <w:i/>
          <w:color w:val="000000"/>
        </w:rPr>
        <w:t>World Journal of Gastroenterology</w:t>
      </w:r>
    </w:p>
    <w:p w14:paraId="6097EC54" w14:textId="09320273" w:rsidR="00672C22" w:rsidRPr="003A1E48" w:rsidRDefault="00672C22" w:rsidP="00DD7F70">
      <w:pPr>
        <w:adjustRightInd w:val="0"/>
        <w:snapToGrid w:val="0"/>
        <w:spacing w:line="360" w:lineRule="auto"/>
        <w:jc w:val="both"/>
        <w:rPr>
          <w:rFonts w:ascii="Book Antiqua" w:eastAsia="Times New Roman" w:hAnsi="Book Antiqua" w:cs="宋体"/>
          <w:b/>
          <w:i/>
          <w:color w:val="000000"/>
        </w:rPr>
      </w:pPr>
      <w:r w:rsidRPr="003A1E48">
        <w:rPr>
          <w:rFonts w:ascii="Book Antiqua" w:hAnsi="Book Antiqua" w:cs="Arial"/>
          <w:b/>
          <w:color w:val="000000"/>
          <w:lang w:val="en"/>
        </w:rPr>
        <w:t xml:space="preserve">Manuscript NO: </w:t>
      </w:r>
      <w:r w:rsidRPr="003A1E48">
        <w:rPr>
          <w:rFonts w:ascii="Book Antiqua" w:hAnsi="Book Antiqua" w:cs="Arial"/>
          <w:color w:val="000000"/>
          <w:lang w:val="en"/>
        </w:rPr>
        <w:t>52447</w:t>
      </w:r>
    </w:p>
    <w:p w14:paraId="3F524D06" w14:textId="77777777" w:rsidR="00672C22" w:rsidRPr="003A1E48" w:rsidRDefault="00672C22" w:rsidP="00DD7F70">
      <w:pPr>
        <w:adjustRightInd w:val="0"/>
        <w:snapToGrid w:val="0"/>
        <w:spacing w:line="360" w:lineRule="auto"/>
        <w:jc w:val="both"/>
        <w:rPr>
          <w:rFonts w:ascii="Book Antiqua" w:eastAsia="幼圆" w:hAnsi="Book Antiqua"/>
          <w:b/>
          <w:i/>
          <w:color w:val="000000"/>
        </w:rPr>
      </w:pPr>
      <w:bookmarkStart w:id="1" w:name="OLE_LINK4"/>
      <w:r w:rsidRPr="003A1E48">
        <w:rPr>
          <w:rFonts w:ascii="Book Antiqua" w:hAnsi="Book Antiqua"/>
          <w:b/>
          <w:color w:val="000000"/>
          <w:shd w:val="clear" w:color="auto" w:fill="FFFFFF"/>
        </w:rPr>
        <w:t>Manuscript Type</w:t>
      </w:r>
      <w:bookmarkEnd w:id="1"/>
      <w:r w:rsidRPr="003A1E48">
        <w:rPr>
          <w:rFonts w:ascii="Book Antiqua" w:hAnsi="Book Antiqua"/>
          <w:b/>
          <w:color w:val="000000"/>
        </w:rPr>
        <w:t xml:space="preserve">: </w:t>
      </w:r>
      <w:r w:rsidRPr="003A1E48">
        <w:rPr>
          <w:rFonts w:ascii="Book Antiqua" w:hAnsi="Book Antiqua"/>
        </w:rPr>
        <w:t>ORIGINAL ARTICLE</w:t>
      </w:r>
    </w:p>
    <w:p w14:paraId="5361B858" w14:textId="77777777" w:rsidR="00672C22" w:rsidRPr="003A1E48" w:rsidRDefault="00672C22" w:rsidP="00DD7F70">
      <w:pPr>
        <w:autoSpaceDE w:val="0"/>
        <w:autoSpaceDN w:val="0"/>
        <w:adjustRightInd w:val="0"/>
        <w:snapToGrid w:val="0"/>
        <w:spacing w:line="360" w:lineRule="auto"/>
        <w:jc w:val="both"/>
        <w:rPr>
          <w:rFonts w:ascii="Book Antiqua" w:hAnsi="Book Antiqua"/>
          <w:b/>
          <w:color w:val="000000"/>
        </w:rPr>
      </w:pPr>
    </w:p>
    <w:p w14:paraId="66E9E7A6" w14:textId="77777777" w:rsidR="00672C22" w:rsidRPr="003A1E48" w:rsidRDefault="00672C22" w:rsidP="00DD7F70">
      <w:pPr>
        <w:adjustRightInd w:val="0"/>
        <w:snapToGrid w:val="0"/>
        <w:spacing w:line="360" w:lineRule="auto"/>
        <w:jc w:val="both"/>
        <w:rPr>
          <w:rFonts w:ascii="Book Antiqua" w:hAnsi="Book Antiqua"/>
          <w:b/>
          <w:i/>
          <w:color w:val="000000"/>
        </w:rPr>
      </w:pPr>
      <w:r w:rsidRPr="003A1E48">
        <w:rPr>
          <w:rFonts w:ascii="Book Antiqua" w:eastAsia="幼圆" w:hAnsi="Book Antiqua"/>
          <w:b/>
          <w:i/>
          <w:color w:val="000000"/>
        </w:rPr>
        <w:t>Observational Study</w:t>
      </w:r>
    </w:p>
    <w:p w14:paraId="2557361E" w14:textId="120BEA35" w:rsidR="00B755D0" w:rsidRPr="003A1E48" w:rsidRDefault="00F44900" w:rsidP="00DD7F70">
      <w:pPr>
        <w:spacing w:line="360" w:lineRule="auto"/>
        <w:jc w:val="both"/>
        <w:rPr>
          <w:rFonts w:ascii="Book Antiqua" w:hAnsi="Book Antiqua" w:cs="Arial"/>
          <w:b/>
          <w:bCs/>
          <w:lang w:val="en-CA"/>
        </w:rPr>
      </w:pPr>
      <w:bookmarkStart w:id="2" w:name="OLE_LINK3"/>
      <w:r w:rsidRPr="003A1E48">
        <w:rPr>
          <w:rFonts w:ascii="Book Antiqua" w:hAnsi="Book Antiqua" w:cs="Arial"/>
          <w:b/>
          <w:bCs/>
          <w:lang w:val="en-CA"/>
        </w:rPr>
        <w:t xml:space="preserve">Benefits of implementing a </w:t>
      </w:r>
      <w:r w:rsidR="002918E2" w:rsidRPr="003A1E48">
        <w:rPr>
          <w:rFonts w:ascii="Book Antiqua" w:hAnsi="Book Antiqua" w:cs="Arial"/>
          <w:b/>
          <w:bCs/>
          <w:lang w:val="en-CA"/>
        </w:rPr>
        <w:t xml:space="preserve">rapid access clinic </w:t>
      </w:r>
      <w:r w:rsidR="00423F88" w:rsidRPr="003A1E48">
        <w:rPr>
          <w:rFonts w:ascii="Book Antiqua" w:hAnsi="Book Antiqua" w:cs="Arial"/>
          <w:b/>
          <w:bCs/>
          <w:lang w:val="en-CA"/>
        </w:rPr>
        <w:t xml:space="preserve">in a </w:t>
      </w:r>
      <w:r w:rsidR="00672C22" w:rsidRPr="003A1E48">
        <w:rPr>
          <w:rFonts w:ascii="Book Antiqua" w:hAnsi="Book Antiqua" w:cs="Arial"/>
          <w:b/>
          <w:bCs/>
          <w:lang w:val="en-CA"/>
        </w:rPr>
        <w:t>high-volume</w:t>
      </w:r>
      <w:r w:rsidR="00423F88" w:rsidRPr="003A1E48">
        <w:rPr>
          <w:rFonts w:ascii="Book Antiqua" w:hAnsi="Book Antiqua" w:cs="Arial"/>
          <w:b/>
          <w:bCs/>
          <w:lang w:val="en-CA"/>
        </w:rPr>
        <w:t xml:space="preserve"> inflammatory bowel disease cent</w:t>
      </w:r>
      <w:r w:rsidR="00BB7F4F" w:rsidRPr="003A1E48">
        <w:rPr>
          <w:rFonts w:ascii="Book Antiqua" w:hAnsi="Book Antiqua" w:cs="Arial"/>
          <w:b/>
          <w:bCs/>
          <w:lang w:val="en-CA"/>
        </w:rPr>
        <w:t>er</w:t>
      </w:r>
      <w:r w:rsidR="00423F88" w:rsidRPr="003A1E48">
        <w:rPr>
          <w:rFonts w:ascii="Book Antiqua" w:hAnsi="Book Antiqua" w:cs="Arial"/>
          <w:b/>
          <w:bCs/>
          <w:lang w:val="en-CA"/>
        </w:rPr>
        <w:t xml:space="preserve">: </w:t>
      </w:r>
      <w:r w:rsidR="00672C22" w:rsidRPr="003A1E48">
        <w:rPr>
          <w:rFonts w:ascii="Book Antiqua" w:hAnsi="Book Antiqua" w:cs="Arial"/>
          <w:b/>
          <w:bCs/>
          <w:lang w:val="en-CA"/>
        </w:rPr>
        <w:t>Access</w:t>
      </w:r>
      <w:r w:rsidR="00423F88" w:rsidRPr="003A1E48">
        <w:rPr>
          <w:rFonts w:ascii="Book Antiqua" w:hAnsi="Book Antiqua" w:cs="Arial"/>
          <w:b/>
          <w:bCs/>
          <w:lang w:val="en-CA"/>
        </w:rPr>
        <w:t>, resource utilization and outcomes</w:t>
      </w:r>
    </w:p>
    <w:bookmarkEnd w:id="2"/>
    <w:p w14:paraId="28A4E159" w14:textId="77777777" w:rsidR="00D85FF2" w:rsidRPr="003A1E48" w:rsidRDefault="00D85FF2" w:rsidP="00DD7F70">
      <w:pPr>
        <w:spacing w:line="360" w:lineRule="auto"/>
        <w:jc w:val="both"/>
        <w:rPr>
          <w:rFonts w:ascii="Book Antiqua" w:hAnsi="Book Antiqua" w:cs="Arial"/>
          <w:lang w:val="en-CA"/>
        </w:rPr>
      </w:pPr>
    </w:p>
    <w:p w14:paraId="3F7F6F16" w14:textId="365AE72B" w:rsidR="00D85FF2" w:rsidRPr="003A1E48" w:rsidRDefault="00AB470A" w:rsidP="00DD7F70">
      <w:pPr>
        <w:spacing w:line="360" w:lineRule="auto"/>
        <w:jc w:val="both"/>
        <w:rPr>
          <w:rFonts w:ascii="Book Antiqua" w:hAnsi="Book Antiqua" w:cs="Arial"/>
          <w:lang w:val="en-CA"/>
        </w:rPr>
      </w:pPr>
      <w:r w:rsidRPr="003A1E48">
        <w:rPr>
          <w:rFonts w:ascii="Book Antiqua" w:hAnsi="Book Antiqua" w:cs="Arial"/>
          <w:lang w:val="en-CA"/>
        </w:rPr>
        <w:t xml:space="preserve">Nene S </w:t>
      </w:r>
      <w:r w:rsidRPr="003A1E48">
        <w:rPr>
          <w:rFonts w:ascii="Book Antiqua" w:hAnsi="Book Antiqua" w:cs="Arial"/>
          <w:i/>
          <w:iCs/>
          <w:lang w:val="en-CA"/>
        </w:rPr>
        <w:t>et al</w:t>
      </w:r>
      <w:r w:rsidR="00F44900" w:rsidRPr="003A1E48">
        <w:rPr>
          <w:rFonts w:ascii="Book Antiqua" w:hAnsi="Book Antiqua" w:cs="Arial"/>
          <w:lang w:val="en-CA"/>
        </w:rPr>
        <w:t xml:space="preserve">. </w:t>
      </w:r>
      <w:bookmarkStart w:id="3" w:name="OLE_LINK5"/>
      <w:r w:rsidR="00BD20CB" w:rsidRPr="003A1E48">
        <w:rPr>
          <w:rFonts w:ascii="Book Antiqua" w:hAnsi="Book Antiqua" w:cs="Arial"/>
          <w:lang w:val="en-CA" w:eastAsia="zh-CN"/>
        </w:rPr>
        <w:t>RAC</w:t>
      </w:r>
      <w:r w:rsidR="00D85FF2" w:rsidRPr="003A1E48">
        <w:rPr>
          <w:rFonts w:ascii="Book Antiqua" w:hAnsi="Book Antiqua" w:cs="Arial"/>
          <w:lang w:val="en-CA"/>
        </w:rPr>
        <w:t xml:space="preserve"> in IBD management</w:t>
      </w:r>
    </w:p>
    <w:bookmarkEnd w:id="3"/>
    <w:p w14:paraId="3870FA7B" w14:textId="77777777" w:rsidR="000040DB" w:rsidRPr="003A1E48" w:rsidRDefault="000040DB" w:rsidP="00DD7F70">
      <w:pPr>
        <w:spacing w:line="360" w:lineRule="auto"/>
        <w:jc w:val="both"/>
        <w:rPr>
          <w:rFonts w:ascii="Book Antiqua" w:hAnsi="Book Antiqua" w:cs="Arial"/>
          <w:lang w:val="en-CA"/>
        </w:rPr>
      </w:pPr>
    </w:p>
    <w:p w14:paraId="21A45153" w14:textId="1B4213A2" w:rsidR="002723D2" w:rsidRPr="003A1E48" w:rsidRDefault="00C02948" w:rsidP="00DD7F70">
      <w:pPr>
        <w:spacing w:line="360" w:lineRule="auto"/>
        <w:jc w:val="both"/>
        <w:rPr>
          <w:rFonts w:ascii="Book Antiqua" w:hAnsi="Book Antiqua" w:cs="Arial"/>
          <w:lang w:val="en-CA"/>
        </w:rPr>
      </w:pPr>
      <w:r w:rsidRPr="003A1E48">
        <w:rPr>
          <w:rFonts w:ascii="Book Antiqua" w:hAnsi="Book Antiqua" w:cs="Arial"/>
          <w:lang w:val="en-CA"/>
        </w:rPr>
        <w:t xml:space="preserve">Sofia Nene, </w:t>
      </w:r>
      <w:proofErr w:type="spellStart"/>
      <w:r w:rsidRPr="003A1E48">
        <w:rPr>
          <w:rFonts w:ascii="Book Antiqua" w:hAnsi="Book Antiqua" w:cs="Arial"/>
          <w:lang w:val="en-CA"/>
        </w:rPr>
        <w:t>Lorant</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Gonczi</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Zsuzsanna</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Kurti</w:t>
      </w:r>
      <w:proofErr w:type="spellEnd"/>
      <w:r w:rsidRPr="003A1E48">
        <w:rPr>
          <w:rFonts w:ascii="Book Antiqua" w:hAnsi="Book Antiqua" w:cs="Arial"/>
          <w:lang w:val="en-CA"/>
        </w:rPr>
        <w:t xml:space="preserve">, Isabelle Morin, Kelly Chavez, Christine Verdon, Jason </w:t>
      </w:r>
      <w:proofErr w:type="spellStart"/>
      <w:r w:rsidRPr="003A1E48">
        <w:rPr>
          <w:rFonts w:ascii="Book Antiqua" w:hAnsi="Book Antiqua" w:cs="Arial"/>
          <w:lang w:val="en-CA"/>
        </w:rPr>
        <w:t>Reinglas</w:t>
      </w:r>
      <w:proofErr w:type="spellEnd"/>
      <w:r w:rsidRPr="003A1E48">
        <w:rPr>
          <w:rFonts w:ascii="Book Antiqua" w:hAnsi="Book Antiqua" w:cs="Arial"/>
          <w:lang w:val="en-CA"/>
        </w:rPr>
        <w:t xml:space="preserve">, Rita Kohen, Talat </w:t>
      </w:r>
      <w:proofErr w:type="spellStart"/>
      <w:r w:rsidRPr="003A1E48">
        <w:rPr>
          <w:rFonts w:ascii="Book Antiqua" w:hAnsi="Book Antiqua" w:cs="Arial"/>
          <w:lang w:val="en-CA"/>
        </w:rPr>
        <w:t>Bessissow</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Waqqas</w:t>
      </w:r>
      <w:proofErr w:type="spellEnd"/>
      <w:r w:rsidRPr="003A1E48">
        <w:rPr>
          <w:rFonts w:ascii="Book Antiqua" w:hAnsi="Book Antiqua" w:cs="Arial"/>
          <w:lang w:val="en-CA"/>
        </w:rPr>
        <w:t xml:space="preserve"> </w:t>
      </w:r>
      <w:proofErr w:type="spellStart"/>
      <w:r w:rsidRPr="003A1E48">
        <w:rPr>
          <w:rFonts w:ascii="Book Antiqua" w:hAnsi="Book Antiqua" w:cs="Arial"/>
          <w:lang w:val="en-CA"/>
        </w:rPr>
        <w:t>Afif</w:t>
      </w:r>
      <w:proofErr w:type="spellEnd"/>
      <w:r w:rsidRPr="003A1E48">
        <w:rPr>
          <w:rFonts w:ascii="Book Antiqua" w:hAnsi="Book Antiqua" w:cs="Arial"/>
          <w:lang w:val="en-CA"/>
        </w:rPr>
        <w:t xml:space="preserve">, Gary Wild, Ernest Seidman, Alain </w:t>
      </w:r>
      <w:proofErr w:type="spellStart"/>
      <w:r w:rsidRPr="003A1E48">
        <w:rPr>
          <w:rFonts w:ascii="Book Antiqua" w:hAnsi="Book Antiqua" w:cs="Arial"/>
          <w:lang w:val="en-CA"/>
        </w:rPr>
        <w:t>Bitton</w:t>
      </w:r>
      <w:proofErr w:type="spellEnd"/>
      <w:r w:rsidRPr="003A1E48">
        <w:rPr>
          <w:rFonts w:ascii="Book Antiqua" w:hAnsi="Book Antiqua" w:cs="Arial"/>
          <w:lang w:val="en-CA"/>
        </w:rPr>
        <w:t>, Peter Laszlo Lakatos</w:t>
      </w:r>
    </w:p>
    <w:p w14:paraId="37D093A0" w14:textId="77777777" w:rsidR="002723D2" w:rsidRPr="003A1E48" w:rsidRDefault="002723D2" w:rsidP="00DD7F70">
      <w:pPr>
        <w:spacing w:line="360" w:lineRule="auto"/>
        <w:jc w:val="both"/>
        <w:rPr>
          <w:rFonts w:ascii="Book Antiqua" w:hAnsi="Book Antiqua" w:cs="Arial"/>
          <w:b/>
          <w:lang w:val="en-CA"/>
        </w:rPr>
      </w:pPr>
    </w:p>
    <w:p w14:paraId="7C028418" w14:textId="33DB2ABA" w:rsidR="00C02948" w:rsidRPr="003A1E48" w:rsidRDefault="00C02948" w:rsidP="00DD7F70">
      <w:pPr>
        <w:spacing w:line="360" w:lineRule="auto"/>
        <w:jc w:val="both"/>
        <w:rPr>
          <w:rFonts w:ascii="Book Antiqua" w:hAnsi="Book Antiqua" w:cs="Arial"/>
          <w:lang w:val="en-CA"/>
        </w:rPr>
      </w:pPr>
      <w:proofErr w:type="spellStart"/>
      <w:r w:rsidRPr="003A1E48">
        <w:rPr>
          <w:rFonts w:ascii="Book Antiqua" w:hAnsi="Book Antiqua" w:cs="Arial"/>
          <w:b/>
          <w:lang w:val="en-CA"/>
        </w:rPr>
        <w:t>Lorant</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Gonczi</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Zuszsanna</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Kurti</w:t>
      </w:r>
      <w:proofErr w:type="spellEnd"/>
      <w:r w:rsidRPr="003A1E48">
        <w:rPr>
          <w:rFonts w:ascii="Book Antiqua" w:hAnsi="Book Antiqua" w:cs="Arial"/>
          <w:b/>
          <w:lang w:val="en-CA"/>
        </w:rPr>
        <w:t xml:space="preserve">, Peter Laszlo Lakatos, </w:t>
      </w:r>
      <w:r w:rsidRPr="003A1E48">
        <w:rPr>
          <w:rFonts w:ascii="Book Antiqua" w:hAnsi="Book Antiqua" w:cs="Arial"/>
          <w:lang w:val="en-CA"/>
        </w:rPr>
        <w:t>First Department of Medicine, Semmelweis University, Budapest H-1083, Hungary</w:t>
      </w:r>
    </w:p>
    <w:p w14:paraId="07927A7E" w14:textId="77777777" w:rsidR="00C02948" w:rsidRPr="003A1E48" w:rsidRDefault="00C02948" w:rsidP="00DD7F70">
      <w:pPr>
        <w:spacing w:line="360" w:lineRule="auto"/>
        <w:jc w:val="both"/>
        <w:rPr>
          <w:rFonts w:ascii="Book Antiqua" w:hAnsi="Book Antiqua" w:cs="Arial"/>
          <w:b/>
          <w:lang w:val="en-CA"/>
        </w:rPr>
      </w:pPr>
    </w:p>
    <w:p w14:paraId="43D4EC56" w14:textId="1422A690" w:rsidR="000040DB" w:rsidRPr="003A1E48" w:rsidRDefault="00C02948" w:rsidP="00DD7F70">
      <w:pPr>
        <w:spacing w:line="360" w:lineRule="auto"/>
        <w:jc w:val="both"/>
        <w:rPr>
          <w:rFonts w:ascii="Book Antiqua" w:hAnsi="Book Antiqua" w:cs="Arial"/>
          <w:b/>
          <w:lang w:val="en-CA"/>
        </w:rPr>
      </w:pPr>
      <w:r w:rsidRPr="003A1E48">
        <w:rPr>
          <w:rFonts w:ascii="Book Antiqua" w:hAnsi="Book Antiqua" w:cs="Arial"/>
          <w:b/>
          <w:lang w:val="en-CA"/>
        </w:rPr>
        <w:t xml:space="preserve">Sofia Nene, Isabelle Morin, Kelly Chavez, Christine Verdon, Jason </w:t>
      </w:r>
      <w:proofErr w:type="spellStart"/>
      <w:r w:rsidRPr="003A1E48">
        <w:rPr>
          <w:rFonts w:ascii="Book Antiqua" w:hAnsi="Book Antiqua" w:cs="Arial"/>
          <w:b/>
          <w:lang w:val="en-CA"/>
        </w:rPr>
        <w:t>Reinglas</w:t>
      </w:r>
      <w:proofErr w:type="spellEnd"/>
      <w:r w:rsidRPr="003A1E48">
        <w:rPr>
          <w:rFonts w:ascii="Book Antiqua" w:hAnsi="Book Antiqua" w:cs="Arial"/>
          <w:b/>
          <w:lang w:val="en-CA"/>
        </w:rPr>
        <w:t xml:space="preserve">, Rita Kohen, Talat </w:t>
      </w:r>
      <w:proofErr w:type="spellStart"/>
      <w:r w:rsidRPr="003A1E48">
        <w:rPr>
          <w:rFonts w:ascii="Book Antiqua" w:hAnsi="Book Antiqua" w:cs="Arial"/>
          <w:b/>
          <w:lang w:val="en-CA"/>
        </w:rPr>
        <w:t>Bessissow</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Waqqas</w:t>
      </w:r>
      <w:proofErr w:type="spellEnd"/>
      <w:r w:rsidRPr="003A1E48">
        <w:rPr>
          <w:rFonts w:ascii="Book Antiqua" w:hAnsi="Book Antiqua" w:cs="Arial"/>
          <w:b/>
          <w:lang w:val="en-CA"/>
        </w:rPr>
        <w:t xml:space="preserve"> </w:t>
      </w:r>
      <w:proofErr w:type="spellStart"/>
      <w:r w:rsidRPr="003A1E48">
        <w:rPr>
          <w:rFonts w:ascii="Book Antiqua" w:hAnsi="Book Antiqua" w:cs="Arial"/>
          <w:b/>
          <w:lang w:val="en-CA"/>
        </w:rPr>
        <w:t>Afif</w:t>
      </w:r>
      <w:proofErr w:type="spellEnd"/>
      <w:r w:rsidRPr="003A1E48">
        <w:rPr>
          <w:rFonts w:ascii="Book Antiqua" w:hAnsi="Book Antiqua" w:cs="Arial"/>
          <w:b/>
          <w:lang w:val="en-CA"/>
        </w:rPr>
        <w:t xml:space="preserve">, Gary Wild, Ernest Seidman, Alain </w:t>
      </w:r>
      <w:proofErr w:type="spellStart"/>
      <w:r w:rsidRPr="003A1E48">
        <w:rPr>
          <w:rFonts w:ascii="Book Antiqua" w:hAnsi="Book Antiqua" w:cs="Arial"/>
          <w:b/>
          <w:lang w:val="en-CA"/>
        </w:rPr>
        <w:t>Bitton</w:t>
      </w:r>
      <w:proofErr w:type="spellEnd"/>
      <w:r w:rsidRPr="003A1E48">
        <w:rPr>
          <w:rFonts w:ascii="Book Antiqua" w:hAnsi="Book Antiqua" w:cs="Arial"/>
          <w:b/>
          <w:lang w:val="en-CA"/>
        </w:rPr>
        <w:t xml:space="preserve">, Peter Laszlo Lakatos, </w:t>
      </w:r>
      <w:r w:rsidRPr="003A1E48">
        <w:rPr>
          <w:rFonts w:ascii="Book Antiqua" w:hAnsi="Book Antiqua" w:cs="Arial"/>
          <w:lang w:val="en-CA"/>
        </w:rPr>
        <w:t xml:space="preserve">Division of Gastroenterology, McGill University Health Centre, </w:t>
      </w:r>
      <w:r w:rsidR="00672C22" w:rsidRPr="003A1E48">
        <w:rPr>
          <w:rFonts w:ascii="Book Antiqua" w:hAnsi="Book Antiqua" w:cs="Arial"/>
          <w:lang w:val="en-CA"/>
        </w:rPr>
        <w:t xml:space="preserve">Quebec, </w:t>
      </w:r>
      <w:r w:rsidRPr="003A1E48">
        <w:rPr>
          <w:rFonts w:ascii="Book Antiqua" w:hAnsi="Book Antiqua" w:cs="Arial"/>
          <w:lang w:val="en-CA"/>
        </w:rPr>
        <w:t>Montreal H3G1A4, Canada</w:t>
      </w:r>
    </w:p>
    <w:p w14:paraId="0700676C" w14:textId="77777777" w:rsidR="001E3588" w:rsidRPr="003A1E48" w:rsidRDefault="001E3588" w:rsidP="001E3588">
      <w:pPr>
        <w:spacing w:line="360" w:lineRule="auto"/>
        <w:jc w:val="both"/>
        <w:rPr>
          <w:rFonts w:ascii="Book Antiqua" w:hAnsi="Book Antiqua" w:cs="Arial"/>
          <w:b/>
          <w:lang w:val="en-CA"/>
        </w:rPr>
      </w:pPr>
    </w:p>
    <w:p w14:paraId="38FD7DF9" w14:textId="697C0388" w:rsidR="003C7B77" w:rsidRPr="003A1E48" w:rsidRDefault="00422EA1" w:rsidP="00DD7F70">
      <w:pPr>
        <w:spacing w:line="360" w:lineRule="auto"/>
        <w:jc w:val="both"/>
        <w:rPr>
          <w:rFonts w:ascii="Book Antiqua" w:hAnsi="Book Antiqua" w:cs="Arial"/>
          <w:bCs/>
          <w:lang w:val="en-CA"/>
        </w:rPr>
      </w:pPr>
      <w:r w:rsidRPr="003A1E48">
        <w:rPr>
          <w:rFonts w:ascii="Book Antiqua" w:hAnsi="Book Antiqua"/>
          <w:b/>
          <w:color w:val="000000"/>
        </w:rPr>
        <w:t>Author contributions:</w:t>
      </w:r>
      <w:r w:rsidR="003C7B77" w:rsidRPr="003A1E48">
        <w:rPr>
          <w:rFonts w:ascii="Book Antiqua" w:hAnsi="Book Antiqua" w:cs="Arial"/>
          <w:b/>
          <w:lang w:val="en-CA"/>
        </w:rPr>
        <w:t xml:space="preserve"> </w:t>
      </w:r>
      <w:r w:rsidR="00672C22" w:rsidRPr="003A1E48">
        <w:rPr>
          <w:rFonts w:ascii="Book Antiqua" w:hAnsi="Book Antiqua" w:cs="Arial"/>
          <w:lang w:val="en-CA"/>
        </w:rPr>
        <w:t>Nene S</w:t>
      </w:r>
      <w:r w:rsidR="00672C22" w:rsidRPr="003A1E48">
        <w:rPr>
          <w:rFonts w:ascii="Book Antiqua" w:hAnsi="Book Antiqua" w:cs="Arial"/>
          <w:bCs/>
          <w:lang w:val="en-CA"/>
        </w:rPr>
        <w:t xml:space="preserve"> </w:t>
      </w:r>
      <w:r w:rsidR="00672C22" w:rsidRPr="003A1E48">
        <w:rPr>
          <w:rFonts w:ascii="Book Antiqua" w:hAnsi="Book Antiqua" w:cs="Arial"/>
          <w:bCs/>
          <w:lang w:val="en-CA" w:eastAsia="zh-CN"/>
        </w:rPr>
        <w:t>an</w:t>
      </w:r>
      <w:r w:rsidR="00672C22" w:rsidRPr="003A1E48">
        <w:rPr>
          <w:rFonts w:ascii="Book Antiqua" w:hAnsi="Book Antiqua" w:cs="Arial"/>
          <w:bCs/>
          <w:lang w:val="en-CA"/>
        </w:rPr>
        <w:t xml:space="preserve">d </w:t>
      </w:r>
      <w:proofErr w:type="spellStart"/>
      <w:r w:rsidR="00672C22" w:rsidRPr="003A1E48">
        <w:rPr>
          <w:rFonts w:ascii="Book Antiqua" w:hAnsi="Book Antiqua" w:cs="Arial"/>
          <w:bCs/>
          <w:lang w:val="en-CA"/>
        </w:rPr>
        <w:t>Gonczi</w:t>
      </w:r>
      <w:proofErr w:type="spellEnd"/>
      <w:r w:rsidR="00672C22" w:rsidRPr="003A1E48">
        <w:rPr>
          <w:rFonts w:ascii="Book Antiqua" w:hAnsi="Book Antiqua" w:cs="Arial"/>
          <w:bCs/>
          <w:lang w:val="en-CA"/>
        </w:rPr>
        <w:t xml:space="preserve"> L contributed equally to this work. </w:t>
      </w:r>
      <w:r w:rsidR="003C7B77" w:rsidRPr="003A1E48">
        <w:rPr>
          <w:rFonts w:ascii="Book Antiqua" w:hAnsi="Book Antiqua" w:cs="Arial"/>
          <w:bCs/>
          <w:lang w:val="en-CA"/>
        </w:rPr>
        <w:t xml:space="preserve">Nene S and </w:t>
      </w:r>
      <w:proofErr w:type="spellStart"/>
      <w:r w:rsidR="003C7B77" w:rsidRPr="003A1E48">
        <w:rPr>
          <w:rFonts w:ascii="Book Antiqua" w:hAnsi="Book Antiqua" w:cs="Arial"/>
          <w:bCs/>
          <w:lang w:val="en-CA"/>
        </w:rPr>
        <w:t>Gonczi</w:t>
      </w:r>
      <w:proofErr w:type="spellEnd"/>
      <w:r w:rsidR="003C7B77" w:rsidRPr="003A1E48">
        <w:rPr>
          <w:rFonts w:ascii="Book Antiqua" w:hAnsi="Book Antiqua" w:cs="Arial"/>
          <w:bCs/>
          <w:lang w:val="en-CA"/>
        </w:rPr>
        <w:t xml:space="preserve"> L were responsible for data analysis, literature overview and drafting the manuscript. </w:t>
      </w:r>
      <w:proofErr w:type="spellStart"/>
      <w:r w:rsidR="003C7B77" w:rsidRPr="003A1E48">
        <w:rPr>
          <w:rFonts w:ascii="Book Antiqua" w:hAnsi="Book Antiqua" w:cs="Arial"/>
          <w:bCs/>
          <w:lang w:val="en-CA"/>
        </w:rPr>
        <w:t>Kurti</w:t>
      </w:r>
      <w:proofErr w:type="spellEnd"/>
      <w:r w:rsidR="003C7B77" w:rsidRPr="003A1E48">
        <w:rPr>
          <w:rFonts w:ascii="Book Antiqua" w:hAnsi="Book Antiqua" w:cs="Arial"/>
          <w:bCs/>
          <w:lang w:val="en-CA"/>
        </w:rPr>
        <w:t xml:space="preserve"> Z, Morin I, Chavez K, Verdon C, </w:t>
      </w:r>
      <w:proofErr w:type="spellStart"/>
      <w:r w:rsidR="003C7B77" w:rsidRPr="003A1E48">
        <w:rPr>
          <w:rFonts w:ascii="Book Antiqua" w:hAnsi="Book Antiqua" w:cs="Arial"/>
          <w:bCs/>
          <w:lang w:val="en-CA"/>
        </w:rPr>
        <w:t>Reinglas</w:t>
      </w:r>
      <w:proofErr w:type="spellEnd"/>
      <w:r w:rsidR="003C7B77" w:rsidRPr="003A1E48">
        <w:rPr>
          <w:rFonts w:ascii="Book Antiqua" w:hAnsi="Book Antiqua" w:cs="Arial"/>
          <w:bCs/>
          <w:lang w:val="en-CA"/>
        </w:rPr>
        <w:t xml:space="preserve"> J, Kohen R, </w:t>
      </w:r>
      <w:proofErr w:type="spellStart"/>
      <w:r w:rsidR="003C7B77" w:rsidRPr="003A1E48">
        <w:rPr>
          <w:rFonts w:ascii="Book Antiqua" w:hAnsi="Book Antiqua" w:cs="Arial"/>
          <w:bCs/>
          <w:lang w:val="en-CA"/>
        </w:rPr>
        <w:t>Bessissow</w:t>
      </w:r>
      <w:proofErr w:type="spellEnd"/>
      <w:r w:rsidR="003C7B77" w:rsidRPr="003A1E48">
        <w:rPr>
          <w:rFonts w:ascii="Book Antiqua" w:hAnsi="Book Antiqua" w:cs="Arial"/>
          <w:bCs/>
          <w:lang w:val="en-CA"/>
        </w:rPr>
        <w:t xml:space="preserve"> T, </w:t>
      </w:r>
      <w:proofErr w:type="spellStart"/>
      <w:r w:rsidR="003C7B77" w:rsidRPr="003A1E48">
        <w:rPr>
          <w:rFonts w:ascii="Book Antiqua" w:hAnsi="Book Antiqua" w:cs="Arial"/>
          <w:bCs/>
          <w:lang w:val="en-CA"/>
        </w:rPr>
        <w:t>Afif</w:t>
      </w:r>
      <w:proofErr w:type="spellEnd"/>
      <w:r w:rsidR="003C7B77" w:rsidRPr="003A1E48">
        <w:rPr>
          <w:rFonts w:ascii="Book Antiqua" w:hAnsi="Book Antiqua" w:cs="Arial"/>
          <w:bCs/>
          <w:lang w:val="en-CA"/>
        </w:rPr>
        <w:t xml:space="preserve"> W, Wild G, Seidman E and </w:t>
      </w:r>
      <w:proofErr w:type="spellStart"/>
      <w:r w:rsidR="003C7B77" w:rsidRPr="003A1E48">
        <w:rPr>
          <w:rFonts w:ascii="Book Antiqua" w:hAnsi="Book Antiqua" w:cs="Arial"/>
          <w:bCs/>
          <w:lang w:val="en-CA"/>
        </w:rPr>
        <w:t>Bitton</w:t>
      </w:r>
      <w:proofErr w:type="spellEnd"/>
      <w:r w:rsidR="003C7B77" w:rsidRPr="003A1E48">
        <w:rPr>
          <w:rFonts w:ascii="Book Antiqua" w:hAnsi="Book Antiqua" w:cs="Arial"/>
          <w:bCs/>
          <w:lang w:val="en-CA"/>
        </w:rPr>
        <w:t xml:space="preserve"> A contributed to the data collection and final analysis and conducted critical review of the manuscript. Lakatos PL was leader of research planning and result interpretation, also he contributed to the statistical planning and data analysis, supervised the manuscript preparation and is acting as guarantor of submission. </w:t>
      </w:r>
    </w:p>
    <w:p w14:paraId="123771C7" w14:textId="77777777" w:rsidR="003C7B77" w:rsidRPr="003A1E48" w:rsidRDefault="003C7B77" w:rsidP="00DD7F70">
      <w:pPr>
        <w:spacing w:line="360" w:lineRule="auto"/>
        <w:jc w:val="both"/>
        <w:rPr>
          <w:rFonts w:ascii="Book Antiqua" w:hAnsi="Book Antiqua" w:cs="Arial"/>
          <w:bCs/>
          <w:lang w:val="en-CA"/>
        </w:rPr>
      </w:pPr>
      <w:r w:rsidRPr="003A1E48">
        <w:rPr>
          <w:rFonts w:ascii="Book Antiqua" w:hAnsi="Book Antiqua" w:cs="Arial"/>
          <w:bCs/>
          <w:lang w:val="en-CA"/>
        </w:rPr>
        <w:t>All authors read and approved the final manuscript including the authorship list.</w:t>
      </w:r>
    </w:p>
    <w:p w14:paraId="3B9370D7" w14:textId="77777777" w:rsidR="003C7B77" w:rsidRPr="003A1E48" w:rsidRDefault="003C7B77" w:rsidP="00DD7F70">
      <w:pPr>
        <w:spacing w:line="360" w:lineRule="auto"/>
        <w:jc w:val="both"/>
        <w:rPr>
          <w:rFonts w:ascii="Book Antiqua" w:hAnsi="Book Antiqua" w:cs="Arial"/>
          <w:b/>
          <w:bCs/>
          <w:lang w:val="en-CA"/>
        </w:rPr>
      </w:pPr>
    </w:p>
    <w:p w14:paraId="3D2B9D1D" w14:textId="57B8C893" w:rsidR="003C7B77" w:rsidRPr="003A1E48" w:rsidRDefault="00422EA1" w:rsidP="00DD7F70">
      <w:pPr>
        <w:spacing w:line="360" w:lineRule="auto"/>
        <w:jc w:val="both"/>
        <w:rPr>
          <w:rFonts w:ascii="Book Antiqua" w:hAnsi="Book Antiqua" w:cs="Arial"/>
          <w:bCs/>
          <w:lang w:val="en-CA"/>
        </w:rPr>
      </w:pPr>
      <w:r w:rsidRPr="003A1E48">
        <w:rPr>
          <w:rFonts w:ascii="Book Antiqua" w:hAnsi="Book Antiqua"/>
          <w:b/>
          <w:color w:val="000000"/>
        </w:rPr>
        <w:t>Corresponding author:</w:t>
      </w:r>
      <w:r w:rsidRPr="003A1E48">
        <w:rPr>
          <w:rFonts w:ascii="Book Antiqua" w:hAnsi="Book Antiqua"/>
          <w:color w:val="000000"/>
        </w:rPr>
        <w:t xml:space="preserve"> </w:t>
      </w:r>
      <w:r w:rsidR="003C7B77" w:rsidRPr="003A1E48">
        <w:rPr>
          <w:rFonts w:ascii="Book Antiqua" w:hAnsi="Book Antiqua" w:cs="Arial"/>
          <w:b/>
          <w:lang w:val="en-CA"/>
        </w:rPr>
        <w:t xml:space="preserve">Peter L </w:t>
      </w:r>
      <w:r w:rsidR="00672C22" w:rsidRPr="003A1E48">
        <w:rPr>
          <w:rFonts w:ascii="Book Antiqua" w:hAnsi="Book Antiqua" w:cs="Arial"/>
          <w:b/>
          <w:lang w:val="en-CA"/>
        </w:rPr>
        <w:t>Lakatos</w:t>
      </w:r>
      <w:r w:rsidR="003C7B77" w:rsidRPr="003A1E48">
        <w:rPr>
          <w:rFonts w:ascii="Book Antiqua" w:hAnsi="Book Antiqua" w:cs="Arial"/>
          <w:b/>
          <w:lang w:val="en-CA"/>
        </w:rPr>
        <w:t xml:space="preserve">, </w:t>
      </w:r>
      <w:r w:rsidR="00672C22" w:rsidRPr="003A1E48">
        <w:rPr>
          <w:rFonts w:ascii="Book Antiqua" w:hAnsi="Book Antiqua" w:cs="Arial"/>
          <w:b/>
          <w:lang w:val="en-CA"/>
        </w:rPr>
        <w:t xml:space="preserve">AGAF, DSc, FEBG, FRCP (C), MD, Full Professor, Staff Physician, </w:t>
      </w:r>
      <w:r w:rsidR="00672C22" w:rsidRPr="003A1E48">
        <w:rPr>
          <w:rFonts w:ascii="Book Antiqua" w:hAnsi="Book Antiqua" w:cs="Arial"/>
          <w:bCs/>
          <w:lang w:val="en-CA"/>
        </w:rPr>
        <w:t>Division of Gastroenterology, McGill University Health Centre, Montreal General Hospital C7-200, 1650 Cedar Avenue, Montreal H3G1A4, Quebec, Canada.</w:t>
      </w:r>
      <w:r w:rsidRPr="003A1E48">
        <w:rPr>
          <w:rFonts w:ascii="Book Antiqua" w:hAnsi="Book Antiqua" w:cs="Arial"/>
          <w:bCs/>
          <w:lang w:val="en-CA"/>
        </w:rPr>
        <w:t xml:space="preserve"> </w:t>
      </w:r>
      <w:r w:rsidRPr="003A1E48">
        <w:rPr>
          <w:rFonts w:ascii="Book Antiqua" w:hAnsi="Book Antiqua" w:cs="Arial"/>
          <w:lang w:val="en-CA"/>
        </w:rPr>
        <w:t>peter.lakatos@muhc.mcgill.ca</w:t>
      </w:r>
    </w:p>
    <w:p w14:paraId="20F68A2B" w14:textId="77777777" w:rsidR="003C7B77" w:rsidRPr="003A1E48" w:rsidRDefault="003C7B77" w:rsidP="00DD7F70">
      <w:pPr>
        <w:spacing w:line="360" w:lineRule="auto"/>
        <w:jc w:val="both"/>
        <w:rPr>
          <w:rFonts w:ascii="Book Antiqua" w:hAnsi="Book Antiqua" w:cs="Arial"/>
          <w:lang w:val="en-CA"/>
        </w:rPr>
      </w:pPr>
    </w:p>
    <w:p w14:paraId="3E988844" w14:textId="6EA9070F"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 xml:space="preserve">Received: </w:t>
      </w:r>
      <w:r w:rsidRPr="003A1E48">
        <w:rPr>
          <w:rFonts w:ascii="Book Antiqua" w:hAnsi="Book Antiqua"/>
          <w:color w:val="000000"/>
          <w:lang w:eastAsia="zh-CN"/>
        </w:rPr>
        <w:t>November</w:t>
      </w:r>
      <w:r w:rsidRPr="003A1E48">
        <w:rPr>
          <w:rFonts w:ascii="Book Antiqua" w:hAnsi="Book Antiqua"/>
          <w:color w:val="000000"/>
        </w:rPr>
        <w:t xml:space="preserve"> 2, 2019</w:t>
      </w:r>
    </w:p>
    <w:p w14:paraId="7CB07503" w14:textId="07F91AA9"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 xml:space="preserve">Revised: </w:t>
      </w:r>
      <w:r w:rsidRPr="003A1E48">
        <w:rPr>
          <w:rFonts w:ascii="Book Antiqua" w:hAnsi="Book Antiqua"/>
          <w:color w:val="000000"/>
          <w:lang w:eastAsia="zh-CN"/>
        </w:rPr>
        <w:t>December</w:t>
      </w:r>
      <w:r w:rsidRPr="003A1E48">
        <w:rPr>
          <w:rFonts w:ascii="Book Antiqua" w:hAnsi="Book Antiqua"/>
          <w:color w:val="000000"/>
        </w:rPr>
        <w:t xml:space="preserve"> 29, 2019</w:t>
      </w:r>
      <w:r w:rsidRPr="003A1E48">
        <w:rPr>
          <w:rFonts w:ascii="Book Antiqua" w:hAnsi="Book Antiqua"/>
          <w:b/>
          <w:color w:val="000000"/>
        </w:rPr>
        <w:t xml:space="preserve"> </w:t>
      </w:r>
    </w:p>
    <w:p w14:paraId="1885EBE7" w14:textId="18E583A2"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Accepted:</w:t>
      </w:r>
      <w:r w:rsidR="00D652EE" w:rsidRPr="00D652EE">
        <w:t xml:space="preserve"> </w:t>
      </w:r>
      <w:r w:rsidR="00D652EE" w:rsidRPr="00D652EE">
        <w:rPr>
          <w:rFonts w:ascii="Book Antiqua" w:hAnsi="Book Antiqua"/>
          <w:bCs/>
          <w:color w:val="000000"/>
        </w:rPr>
        <w:t>January 19, 2020</w:t>
      </w:r>
      <w:r w:rsidRPr="00D652EE">
        <w:rPr>
          <w:rFonts w:ascii="Book Antiqua" w:hAnsi="Book Antiqua"/>
          <w:bCs/>
          <w:color w:val="000000"/>
        </w:rPr>
        <w:t xml:space="preserve"> </w:t>
      </w:r>
    </w:p>
    <w:p w14:paraId="64B7C17A" w14:textId="77777777" w:rsidR="00422EA1" w:rsidRPr="003A1E48" w:rsidRDefault="00422EA1" w:rsidP="00DD7F70">
      <w:pPr>
        <w:adjustRightInd w:val="0"/>
        <w:snapToGrid w:val="0"/>
        <w:spacing w:line="360" w:lineRule="auto"/>
        <w:jc w:val="both"/>
        <w:rPr>
          <w:rFonts w:ascii="Book Antiqua" w:hAnsi="Book Antiqua"/>
          <w:b/>
          <w:color w:val="000000"/>
        </w:rPr>
      </w:pPr>
      <w:r w:rsidRPr="003A1E48">
        <w:rPr>
          <w:rFonts w:ascii="Book Antiqua" w:hAnsi="Book Antiqua"/>
          <w:b/>
          <w:color w:val="000000"/>
        </w:rPr>
        <w:t>Published online:</w:t>
      </w:r>
    </w:p>
    <w:p w14:paraId="2D1F5902" w14:textId="26A65CD9" w:rsidR="003C7B77" w:rsidRPr="003A1E48" w:rsidRDefault="003C7B77" w:rsidP="00DD7F70">
      <w:pPr>
        <w:spacing w:line="360" w:lineRule="auto"/>
        <w:jc w:val="both"/>
        <w:rPr>
          <w:rFonts w:ascii="Book Antiqua" w:hAnsi="Book Antiqua" w:cs="Arial"/>
          <w:lang w:val="en-CA"/>
        </w:rPr>
      </w:pPr>
      <w:r w:rsidRPr="003A1E48">
        <w:rPr>
          <w:rFonts w:ascii="Book Antiqua" w:hAnsi="Book Antiqua" w:cs="Arial"/>
          <w:lang w:val="en-CA"/>
        </w:rPr>
        <w:br w:type="page"/>
      </w:r>
    </w:p>
    <w:p w14:paraId="1E45A040" w14:textId="77777777" w:rsidR="00422EA1" w:rsidRPr="003A1E48" w:rsidRDefault="00422EA1" w:rsidP="00DD7F70">
      <w:pPr>
        <w:adjustRightInd w:val="0"/>
        <w:snapToGrid w:val="0"/>
        <w:spacing w:line="360" w:lineRule="auto"/>
        <w:jc w:val="both"/>
        <w:rPr>
          <w:rFonts w:ascii="Book Antiqua" w:hAnsi="Book Antiqua"/>
          <w:b/>
          <w:color w:val="008000"/>
        </w:rPr>
      </w:pPr>
      <w:r w:rsidRPr="003A1E48">
        <w:rPr>
          <w:rFonts w:ascii="Book Antiqua" w:hAnsi="Book Antiqua"/>
          <w:b/>
          <w:color w:val="000000"/>
        </w:rPr>
        <w:lastRenderedPageBreak/>
        <w:t>Abstract</w:t>
      </w:r>
    </w:p>
    <w:p w14:paraId="702183D3" w14:textId="77777777" w:rsidR="00422EA1" w:rsidRPr="003A1E48" w:rsidRDefault="00422EA1" w:rsidP="00DD7F70">
      <w:pPr>
        <w:adjustRightInd w:val="0"/>
        <w:snapToGrid w:val="0"/>
        <w:spacing w:line="360" w:lineRule="auto"/>
        <w:jc w:val="both"/>
        <w:rPr>
          <w:rFonts w:ascii="Book Antiqua" w:hAnsi="Book Antiqua"/>
          <w:color w:val="000000"/>
        </w:rPr>
      </w:pPr>
      <w:r w:rsidRPr="003A1E48">
        <w:rPr>
          <w:rFonts w:ascii="Book Antiqua" w:hAnsi="Book Antiqua"/>
          <w:color w:val="000000"/>
        </w:rPr>
        <w:t>BACKGROUND</w:t>
      </w:r>
    </w:p>
    <w:p w14:paraId="29251CB6" w14:textId="254C9698" w:rsidR="003C7B77"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Emergency situations in inflammatory bowel diseases</w:t>
      </w:r>
      <w:r w:rsidR="003C7B77" w:rsidRPr="003A1E48">
        <w:rPr>
          <w:rFonts w:ascii="Book Antiqua" w:hAnsi="Book Antiqua" w:cs="Arial"/>
          <w:lang w:val="en-CA"/>
        </w:rPr>
        <w:t xml:space="preserve"> </w:t>
      </w:r>
      <w:r w:rsidRPr="003A1E48">
        <w:rPr>
          <w:rFonts w:ascii="Book Antiqua" w:hAnsi="Book Antiqua" w:cs="Arial"/>
          <w:lang w:val="en-CA"/>
        </w:rPr>
        <w:t xml:space="preserve">(IBD) put significant burden on </w:t>
      </w:r>
      <w:r w:rsidR="00F44900" w:rsidRPr="003A1E48">
        <w:rPr>
          <w:rFonts w:ascii="Book Antiqua" w:hAnsi="Book Antiqua" w:cs="Arial"/>
          <w:lang w:val="en-CA"/>
        </w:rPr>
        <w:t>both</w:t>
      </w:r>
      <w:r w:rsidRPr="003A1E48">
        <w:rPr>
          <w:rFonts w:ascii="Book Antiqua" w:hAnsi="Book Antiqua" w:cs="Arial"/>
          <w:lang w:val="en-CA"/>
        </w:rPr>
        <w:t xml:space="preserve"> </w:t>
      </w:r>
      <w:r w:rsidR="00695931" w:rsidRPr="003A1E48">
        <w:rPr>
          <w:rFonts w:ascii="Book Antiqua" w:hAnsi="Book Antiqua" w:cs="Arial"/>
          <w:lang w:val="en-CA"/>
        </w:rPr>
        <w:t xml:space="preserve">the </w:t>
      </w:r>
      <w:r w:rsidRPr="003A1E48">
        <w:rPr>
          <w:rFonts w:ascii="Book Antiqua" w:hAnsi="Book Antiqua" w:cs="Arial"/>
          <w:lang w:val="en-CA"/>
        </w:rPr>
        <w:t xml:space="preserve">patient and </w:t>
      </w:r>
      <w:r w:rsidR="00610CC4" w:rsidRPr="003A1E48">
        <w:rPr>
          <w:rFonts w:ascii="Book Antiqua" w:hAnsi="Book Antiqua" w:cs="Arial"/>
          <w:lang w:val="en-CA"/>
        </w:rPr>
        <w:t xml:space="preserve">the </w:t>
      </w:r>
      <w:r w:rsidRPr="003A1E48">
        <w:rPr>
          <w:rFonts w:ascii="Book Antiqua" w:hAnsi="Book Antiqua" w:cs="Arial"/>
          <w:lang w:val="en-CA"/>
        </w:rPr>
        <w:t>healthcare system.</w:t>
      </w:r>
      <w:r w:rsidR="00244166" w:rsidRPr="003A1E48">
        <w:rPr>
          <w:rFonts w:ascii="Book Antiqua" w:hAnsi="Book Antiqua" w:cs="Arial"/>
          <w:lang w:val="en-CA"/>
        </w:rPr>
        <w:t xml:space="preserve"> </w:t>
      </w:r>
    </w:p>
    <w:p w14:paraId="564594C9" w14:textId="77777777" w:rsidR="003C7B77" w:rsidRPr="003A1E48" w:rsidRDefault="003C7B77" w:rsidP="00DD7F70">
      <w:pPr>
        <w:spacing w:line="360" w:lineRule="auto"/>
        <w:jc w:val="both"/>
        <w:rPr>
          <w:rFonts w:ascii="Book Antiqua" w:hAnsi="Book Antiqua" w:cs="Arial"/>
          <w:b/>
          <w:i/>
          <w:lang w:val="en-CA"/>
        </w:rPr>
      </w:pPr>
    </w:p>
    <w:p w14:paraId="5C8D850D" w14:textId="77777777" w:rsidR="00422EA1" w:rsidRPr="003A1E48" w:rsidRDefault="00422EA1" w:rsidP="00DD7F70">
      <w:pPr>
        <w:adjustRightInd w:val="0"/>
        <w:snapToGrid w:val="0"/>
        <w:spacing w:line="360" w:lineRule="auto"/>
        <w:jc w:val="both"/>
        <w:rPr>
          <w:rFonts w:ascii="Book Antiqua" w:hAnsi="Book Antiqua"/>
          <w:color w:val="0000FF"/>
          <w:lang w:val="en"/>
        </w:rPr>
      </w:pPr>
      <w:r w:rsidRPr="003A1E48">
        <w:rPr>
          <w:rFonts w:ascii="Book Antiqua" w:hAnsi="Book Antiqua"/>
          <w:color w:val="000000"/>
        </w:rPr>
        <w:t>AIM</w:t>
      </w:r>
    </w:p>
    <w:p w14:paraId="7C7A398B" w14:textId="16B2692E" w:rsidR="00CE012E" w:rsidRPr="003A1E48" w:rsidRDefault="00422EA1" w:rsidP="00DD7F70">
      <w:pPr>
        <w:spacing w:line="360" w:lineRule="auto"/>
        <w:jc w:val="both"/>
        <w:rPr>
          <w:rFonts w:ascii="Book Antiqua" w:hAnsi="Book Antiqua" w:cs="Arial"/>
          <w:lang w:val="en-CA"/>
        </w:rPr>
      </w:pPr>
      <w:r w:rsidRPr="003A1E48">
        <w:rPr>
          <w:rFonts w:ascii="Book Antiqua" w:hAnsi="Book Antiqua" w:cs="Arial"/>
          <w:lang w:val="en-CA"/>
        </w:rPr>
        <w:t xml:space="preserve">To </w:t>
      </w:r>
      <w:r w:rsidR="00CE012E" w:rsidRPr="003A1E48">
        <w:rPr>
          <w:rFonts w:ascii="Book Antiqua" w:hAnsi="Book Antiqua" w:cs="Arial"/>
          <w:lang w:val="en-CA"/>
        </w:rPr>
        <w:t>prospectively measure Quality-of-Care</w:t>
      </w:r>
      <w:r w:rsidR="00ED2148" w:rsidRPr="003A1E48">
        <w:rPr>
          <w:rFonts w:ascii="Book Antiqua" w:hAnsi="Book Antiqua" w:cs="Arial"/>
          <w:lang w:val="en-CA"/>
        </w:rPr>
        <w:t xml:space="preserve"> indicators</w:t>
      </w:r>
      <w:r w:rsidR="00804F41" w:rsidRPr="003A1E48">
        <w:rPr>
          <w:rFonts w:ascii="Book Antiqua" w:hAnsi="Book Antiqua" w:cs="Arial"/>
          <w:lang w:val="en-CA"/>
        </w:rPr>
        <w:t xml:space="preserve"> and resource utilization</w:t>
      </w:r>
      <w:r w:rsidR="00CE012E" w:rsidRPr="003A1E48">
        <w:rPr>
          <w:rFonts w:ascii="Book Antiqua" w:hAnsi="Book Antiqua" w:cs="Arial"/>
          <w:lang w:val="en-CA"/>
        </w:rPr>
        <w:t xml:space="preserve"> after the implementation of </w:t>
      </w:r>
      <w:r w:rsidR="00A62AE4" w:rsidRPr="003A1E48">
        <w:rPr>
          <w:rFonts w:ascii="Book Antiqua" w:hAnsi="Book Antiqua" w:cs="Arial"/>
          <w:lang w:val="en-CA"/>
        </w:rPr>
        <w:t>the</w:t>
      </w:r>
      <w:r w:rsidR="00CE012E" w:rsidRPr="003A1E48">
        <w:rPr>
          <w:rFonts w:ascii="Book Antiqua" w:hAnsi="Book Antiqua" w:cs="Arial"/>
          <w:lang w:val="en-CA"/>
        </w:rPr>
        <w:t xml:space="preserve"> new </w:t>
      </w:r>
      <w:r w:rsidR="002918E2" w:rsidRPr="003A1E48">
        <w:rPr>
          <w:rFonts w:ascii="Book Antiqua" w:hAnsi="Book Antiqua" w:cs="Arial"/>
          <w:lang w:val="en-CA"/>
        </w:rPr>
        <w:t>rapid access clin</w:t>
      </w:r>
      <w:r w:rsidR="00CE012E" w:rsidRPr="003A1E48">
        <w:rPr>
          <w:rFonts w:ascii="Book Antiqua" w:hAnsi="Book Antiqua" w:cs="Arial"/>
          <w:lang w:val="en-CA"/>
        </w:rPr>
        <w:t>ic service</w:t>
      </w:r>
      <w:r w:rsidR="003C7B77" w:rsidRPr="003A1E48">
        <w:rPr>
          <w:rFonts w:ascii="Book Antiqua" w:hAnsi="Book Antiqua" w:cs="Arial"/>
          <w:lang w:val="en-CA"/>
        </w:rPr>
        <w:t xml:space="preserve"> </w:t>
      </w:r>
      <w:r w:rsidR="00CE012E" w:rsidRPr="003A1E48">
        <w:rPr>
          <w:rFonts w:ascii="Book Antiqua" w:hAnsi="Book Antiqua" w:cs="Arial"/>
          <w:lang w:val="en-CA"/>
        </w:rPr>
        <w:t xml:space="preserve">(RAC) at </w:t>
      </w:r>
      <w:r w:rsidR="00C20E02" w:rsidRPr="003A1E48">
        <w:rPr>
          <w:rFonts w:ascii="Book Antiqua" w:hAnsi="Book Antiqua" w:cs="Arial"/>
          <w:lang w:val="en-CA"/>
        </w:rPr>
        <w:t>a tertiary</w:t>
      </w:r>
      <w:r w:rsidR="00CE012E" w:rsidRPr="003A1E48">
        <w:rPr>
          <w:rFonts w:ascii="Book Antiqua" w:hAnsi="Book Antiqua" w:cs="Arial"/>
          <w:lang w:val="en-CA"/>
        </w:rPr>
        <w:t xml:space="preserve"> IBD cent</w:t>
      </w:r>
      <w:r w:rsidR="00BB7F4F" w:rsidRPr="003A1E48">
        <w:rPr>
          <w:rFonts w:ascii="Book Antiqua" w:hAnsi="Book Antiqua" w:cs="Arial"/>
          <w:lang w:val="en-CA"/>
        </w:rPr>
        <w:t>er</w:t>
      </w:r>
      <w:r w:rsidR="00CE012E" w:rsidRPr="003A1E48">
        <w:rPr>
          <w:rFonts w:ascii="Book Antiqua" w:hAnsi="Book Antiqua" w:cs="Arial"/>
          <w:lang w:val="en-CA"/>
        </w:rPr>
        <w:t xml:space="preserve">. </w:t>
      </w:r>
    </w:p>
    <w:p w14:paraId="1A18BA45" w14:textId="77777777" w:rsidR="00C27A75" w:rsidRPr="003A1E48" w:rsidRDefault="00C27A75" w:rsidP="00DD7F70">
      <w:pPr>
        <w:spacing w:line="360" w:lineRule="auto"/>
        <w:jc w:val="both"/>
        <w:rPr>
          <w:rFonts w:ascii="Book Antiqua" w:hAnsi="Book Antiqua" w:cs="Arial"/>
          <w:i/>
          <w:lang w:val="en-CA"/>
        </w:rPr>
      </w:pPr>
    </w:p>
    <w:p w14:paraId="71C0B6B1" w14:textId="77777777" w:rsidR="00BD20CB" w:rsidRPr="003A1E48" w:rsidRDefault="00BD20CB" w:rsidP="00DD7F70">
      <w:pPr>
        <w:adjustRightInd w:val="0"/>
        <w:snapToGrid w:val="0"/>
        <w:spacing w:line="360" w:lineRule="auto"/>
        <w:jc w:val="both"/>
        <w:rPr>
          <w:rFonts w:ascii="Book Antiqua" w:hAnsi="Book Antiqua"/>
          <w:color w:val="0000FF"/>
          <w:lang w:val="en"/>
        </w:rPr>
      </w:pPr>
      <w:r w:rsidRPr="003A1E48">
        <w:rPr>
          <w:rFonts w:ascii="Book Antiqua" w:hAnsi="Book Antiqua"/>
          <w:color w:val="000000"/>
        </w:rPr>
        <w:t>METHODS</w:t>
      </w:r>
    </w:p>
    <w:p w14:paraId="6831F2D9" w14:textId="713916B6" w:rsidR="00CE012E"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Patie</w:t>
      </w:r>
      <w:r w:rsidR="004C75AC" w:rsidRPr="003A1E48">
        <w:rPr>
          <w:rFonts w:ascii="Book Antiqua" w:hAnsi="Book Antiqua" w:cs="Arial"/>
          <w:lang w:val="en-CA"/>
        </w:rPr>
        <w:t>nt access</w:t>
      </w:r>
      <w:r w:rsidRPr="003A1E48">
        <w:rPr>
          <w:rFonts w:ascii="Book Antiqua" w:hAnsi="Book Antiqua" w:cs="Arial"/>
          <w:lang w:val="en-CA"/>
        </w:rPr>
        <w:t xml:space="preserve">, resource utilization and outcome parameters were collected </w:t>
      </w:r>
      <w:r w:rsidR="00506F58" w:rsidRPr="003A1E48">
        <w:rPr>
          <w:rFonts w:ascii="Book Antiqua" w:hAnsi="Book Antiqua" w:cs="Arial"/>
          <w:lang w:val="en-CA"/>
        </w:rPr>
        <w:t xml:space="preserve">from </w:t>
      </w:r>
      <w:r w:rsidR="00F44900" w:rsidRPr="003A1E48">
        <w:rPr>
          <w:rFonts w:ascii="Book Antiqua" w:hAnsi="Book Antiqua" w:cs="Arial"/>
          <w:lang w:val="en-CA"/>
        </w:rPr>
        <w:t xml:space="preserve">consecutive </w:t>
      </w:r>
      <w:r w:rsidRPr="003A1E48">
        <w:rPr>
          <w:rFonts w:ascii="Book Antiqua" w:hAnsi="Book Antiqua" w:cs="Arial"/>
          <w:lang w:val="en-CA"/>
        </w:rPr>
        <w:t>patients contact</w:t>
      </w:r>
      <w:r w:rsidR="00506F58" w:rsidRPr="003A1E48">
        <w:rPr>
          <w:rFonts w:ascii="Book Antiqua" w:hAnsi="Book Antiqua" w:cs="Arial"/>
          <w:lang w:val="en-CA"/>
        </w:rPr>
        <w:t>ing</w:t>
      </w:r>
      <w:r w:rsidRPr="003A1E48">
        <w:rPr>
          <w:rFonts w:ascii="Book Antiqua" w:hAnsi="Book Antiqua" w:cs="Arial"/>
          <w:lang w:val="en-CA"/>
        </w:rPr>
        <w:t xml:space="preserve"> the RAC between July 2017 and March 2019</w:t>
      </w:r>
      <w:r w:rsidR="00883C77" w:rsidRPr="003A1E48">
        <w:rPr>
          <w:rFonts w:ascii="Book Antiqua" w:hAnsi="Book Antiqua" w:cs="Arial"/>
          <w:lang w:val="en-CA"/>
        </w:rPr>
        <w:t xml:space="preserve"> in this observational study</w:t>
      </w:r>
      <w:r w:rsidRPr="003A1E48">
        <w:rPr>
          <w:rFonts w:ascii="Book Antiqua" w:hAnsi="Book Antiqua" w:cs="Arial"/>
          <w:lang w:val="en-CA"/>
        </w:rPr>
        <w:t>.</w:t>
      </w:r>
      <w:r w:rsidR="00244166" w:rsidRPr="003A1E48">
        <w:rPr>
          <w:rFonts w:ascii="Book Antiqua" w:hAnsi="Book Antiqua" w:cs="Arial"/>
          <w:lang w:val="en-CA"/>
        </w:rPr>
        <w:t xml:space="preserve"> </w:t>
      </w:r>
      <w:r w:rsidR="00EE010F" w:rsidRPr="003A1E48">
        <w:rPr>
          <w:rFonts w:ascii="Book Antiqua" w:hAnsi="Book Antiqua" w:cs="Arial"/>
          <w:lang w:val="en-CA"/>
        </w:rPr>
        <w:t>For comparing</w:t>
      </w:r>
      <w:r w:rsidR="0004746A" w:rsidRPr="003A1E48">
        <w:rPr>
          <w:rFonts w:ascii="Book Antiqua" w:hAnsi="Book Antiqua" w:cs="Arial"/>
          <w:lang w:val="en-CA"/>
        </w:rPr>
        <w:t xml:space="preserve"> resource utiliz</w:t>
      </w:r>
      <w:r w:rsidR="00AF1E0B" w:rsidRPr="003A1E48">
        <w:rPr>
          <w:rFonts w:ascii="Book Antiqua" w:hAnsi="Book Antiqua" w:cs="Arial"/>
          <w:lang w:val="en-CA"/>
        </w:rPr>
        <w:t>ation and healthcare costs</w:t>
      </w:r>
      <w:r w:rsidR="00506F58" w:rsidRPr="003A1E48">
        <w:rPr>
          <w:rFonts w:ascii="Book Antiqua" w:hAnsi="Book Antiqua" w:cs="Arial"/>
          <w:lang w:val="en-CA"/>
        </w:rPr>
        <w:t>,</w:t>
      </w:r>
      <w:r w:rsidR="00244166" w:rsidRPr="003A1E48">
        <w:rPr>
          <w:rFonts w:ascii="Book Antiqua" w:hAnsi="Book Antiqua" w:cs="Arial"/>
          <w:lang w:val="en-CA"/>
        </w:rPr>
        <w:t xml:space="preserve"> </w:t>
      </w:r>
      <w:r w:rsidR="003A1E48" w:rsidRPr="003A1E48">
        <w:rPr>
          <w:rFonts w:ascii="Book Antiqua" w:hAnsi="Book Antiqua" w:cs="Arial"/>
          <w:lang w:val="en-CA"/>
        </w:rPr>
        <w:t xml:space="preserve">emergency department </w:t>
      </w:r>
      <w:r w:rsidR="00BD20CB" w:rsidRPr="003A1E48">
        <w:rPr>
          <w:rFonts w:ascii="Book Antiqua" w:hAnsi="Book Antiqua" w:cs="Arial"/>
          <w:lang w:val="en-CA"/>
        </w:rPr>
        <w:t>(ED)</w:t>
      </w:r>
      <w:r w:rsidRPr="003A1E48">
        <w:rPr>
          <w:rFonts w:ascii="Book Antiqua" w:hAnsi="Book Antiqua" w:cs="Arial"/>
          <w:lang w:val="en-CA"/>
        </w:rPr>
        <w:t xml:space="preserve"> visits </w:t>
      </w:r>
      <w:r w:rsidR="00506F58" w:rsidRPr="003A1E48">
        <w:rPr>
          <w:rFonts w:ascii="Book Antiqua" w:hAnsi="Book Antiqua" w:cs="Arial"/>
          <w:lang w:val="en-CA"/>
        </w:rPr>
        <w:t xml:space="preserve">of </w:t>
      </w:r>
      <w:r w:rsidR="0063135A" w:rsidRPr="003A1E48">
        <w:rPr>
          <w:rFonts w:ascii="Book Antiqua" w:hAnsi="Book Antiqua" w:cs="Arial"/>
          <w:lang w:val="en-CA"/>
        </w:rPr>
        <w:t xml:space="preserve">IBD </w:t>
      </w:r>
      <w:r w:rsidRPr="003A1E48">
        <w:rPr>
          <w:rFonts w:ascii="Book Antiqua" w:hAnsi="Book Antiqua" w:cs="Arial"/>
          <w:lang w:val="en-CA"/>
        </w:rPr>
        <w:t xml:space="preserve">patients </w:t>
      </w:r>
      <w:r w:rsidR="00506F58" w:rsidRPr="003A1E48">
        <w:rPr>
          <w:rFonts w:ascii="Book Antiqua" w:hAnsi="Book Antiqua" w:cs="Arial"/>
          <w:lang w:val="en-CA"/>
        </w:rPr>
        <w:t xml:space="preserve">with no </w:t>
      </w:r>
      <w:r w:rsidRPr="003A1E48">
        <w:rPr>
          <w:rFonts w:ascii="Book Antiqua" w:hAnsi="Book Antiqua" w:cs="Arial"/>
          <w:lang w:val="en-CA"/>
        </w:rPr>
        <w:t xml:space="preserve">access to RAC services </w:t>
      </w:r>
      <w:r w:rsidR="004C75AC" w:rsidRPr="003A1E48">
        <w:rPr>
          <w:rFonts w:ascii="Book Antiqua" w:hAnsi="Book Antiqua" w:cs="Arial"/>
          <w:lang w:val="en-CA"/>
        </w:rPr>
        <w:t xml:space="preserve">were evaluated </w:t>
      </w:r>
      <w:r w:rsidRPr="003A1E48">
        <w:rPr>
          <w:rFonts w:ascii="Book Antiqua" w:hAnsi="Book Antiqua" w:cs="Arial"/>
          <w:lang w:val="en-CA"/>
        </w:rPr>
        <w:t>between January 2018 and January 2019.</w:t>
      </w:r>
      <w:r w:rsidR="00932E62" w:rsidRPr="003A1E48">
        <w:rPr>
          <w:rFonts w:ascii="Book Antiqua" w:hAnsi="Book Antiqua" w:cs="Arial"/>
          <w:lang w:val="en-CA"/>
        </w:rPr>
        <w:t xml:space="preserve"> </w:t>
      </w:r>
      <w:r w:rsidR="00DB3DA7" w:rsidRPr="003A1E48">
        <w:rPr>
          <w:rFonts w:ascii="Book Antiqua" w:hAnsi="Book Antiqua" w:cs="Arial"/>
          <w:lang w:val="en-CA"/>
        </w:rPr>
        <w:t>Time to appointment,</w:t>
      </w:r>
      <w:r w:rsidR="00244166" w:rsidRPr="003A1E48">
        <w:rPr>
          <w:rFonts w:ascii="Book Antiqua" w:hAnsi="Book Antiqua" w:cs="Arial"/>
          <w:lang w:val="en-CA"/>
        </w:rPr>
        <w:t xml:space="preserve"> </w:t>
      </w:r>
      <w:r w:rsidR="00DB3DA7" w:rsidRPr="003A1E48">
        <w:rPr>
          <w:rFonts w:ascii="Book Antiqua" w:hAnsi="Book Antiqua" w:cs="Arial"/>
          <w:lang w:val="en-CA"/>
        </w:rPr>
        <w:t>diagnostic methods,</w:t>
      </w:r>
      <w:r w:rsidR="00244166" w:rsidRPr="003A1E48">
        <w:rPr>
          <w:rFonts w:ascii="Book Antiqua" w:hAnsi="Book Antiqua" w:cs="Arial"/>
          <w:lang w:val="en-CA"/>
        </w:rPr>
        <w:t xml:space="preserve"> </w:t>
      </w:r>
      <w:r w:rsidR="00DB3DA7" w:rsidRPr="003A1E48">
        <w:rPr>
          <w:rFonts w:ascii="Book Antiqua" w:hAnsi="Book Antiqua" w:cs="Arial"/>
          <w:lang w:val="en-CA"/>
        </w:rPr>
        <w:t>change in medical therapy,</w:t>
      </w:r>
      <w:r w:rsidR="00244166" w:rsidRPr="003A1E48">
        <w:rPr>
          <w:rFonts w:ascii="Book Antiqua" w:hAnsi="Book Antiqua" w:cs="Arial"/>
          <w:lang w:val="en-CA"/>
        </w:rPr>
        <w:t xml:space="preserve"> </w:t>
      </w:r>
      <w:r w:rsidR="00DB3DA7" w:rsidRPr="003A1E48">
        <w:rPr>
          <w:rFonts w:ascii="Book Antiqua" w:hAnsi="Book Antiqua" w:cs="Arial"/>
          <w:lang w:val="en-CA"/>
        </w:rPr>
        <w:t>unplanned ED visits,</w:t>
      </w:r>
      <w:r w:rsidR="00244166" w:rsidRPr="003A1E48">
        <w:rPr>
          <w:rFonts w:ascii="Book Antiqua" w:hAnsi="Book Antiqua" w:cs="Arial"/>
          <w:lang w:val="en-CA"/>
        </w:rPr>
        <w:t xml:space="preserve"> </w:t>
      </w:r>
      <w:r w:rsidR="00DB3DA7" w:rsidRPr="003A1E48">
        <w:rPr>
          <w:rFonts w:ascii="Book Antiqua" w:hAnsi="Book Antiqua" w:cs="Arial"/>
          <w:lang w:val="en-CA"/>
        </w:rPr>
        <w:t>hospitalizations and surgical admissio</w:t>
      </w:r>
      <w:r w:rsidR="00244166" w:rsidRPr="003A1E48">
        <w:rPr>
          <w:rFonts w:ascii="Book Antiqua" w:hAnsi="Book Antiqua" w:cs="Arial"/>
          <w:lang w:val="en-CA"/>
        </w:rPr>
        <w:t>ns were calculated and compared</w:t>
      </w:r>
      <w:r w:rsidR="00DB3DA7" w:rsidRPr="003A1E48">
        <w:rPr>
          <w:rFonts w:ascii="Book Antiqua" w:hAnsi="Book Antiqua" w:cs="Arial"/>
          <w:lang w:val="en-CA"/>
        </w:rPr>
        <w:t xml:space="preserve">. </w:t>
      </w:r>
    </w:p>
    <w:p w14:paraId="4930F773" w14:textId="77777777" w:rsidR="00BD20CB" w:rsidRPr="003A1E48" w:rsidRDefault="00BD20CB" w:rsidP="00DD7F70">
      <w:pPr>
        <w:spacing w:line="360" w:lineRule="auto"/>
        <w:jc w:val="both"/>
        <w:rPr>
          <w:rFonts w:ascii="Book Antiqua" w:hAnsi="Book Antiqua" w:cs="Arial"/>
          <w:lang w:val="en-CA"/>
        </w:rPr>
      </w:pPr>
    </w:p>
    <w:p w14:paraId="5A3E3DED" w14:textId="77777777" w:rsidR="00BD20CB" w:rsidRPr="003A1E48" w:rsidRDefault="00BD20CB" w:rsidP="00DD7F70">
      <w:pPr>
        <w:adjustRightInd w:val="0"/>
        <w:snapToGrid w:val="0"/>
        <w:spacing w:line="360" w:lineRule="auto"/>
        <w:jc w:val="both"/>
        <w:rPr>
          <w:rFonts w:ascii="Book Antiqua" w:hAnsi="Book Antiqua"/>
          <w:color w:val="0000FF"/>
          <w:lang w:val="en"/>
        </w:rPr>
      </w:pPr>
      <w:r w:rsidRPr="003A1E48">
        <w:rPr>
          <w:rFonts w:ascii="Book Antiqua" w:hAnsi="Book Antiqua"/>
          <w:color w:val="000000"/>
        </w:rPr>
        <w:t>RESULTS</w:t>
      </w:r>
    </w:p>
    <w:p w14:paraId="786D46FE" w14:textId="60E8DBDF" w:rsidR="00CE012E"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488 patients</w:t>
      </w:r>
      <w:r w:rsidR="003C7B77" w:rsidRPr="003A1E48">
        <w:rPr>
          <w:rFonts w:ascii="Book Antiqua" w:hAnsi="Book Antiqua" w:cs="Arial"/>
          <w:lang w:val="en-CA"/>
        </w:rPr>
        <w:t xml:space="preserve"> </w:t>
      </w:r>
      <w:r w:rsidRPr="003A1E48">
        <w:rPr>
          <w:rFonts w:ascii="Book Antiqua" w:hAnsi="Book Antiqua" w:cs="Arial"/>
          <w:lang w:val="en-CA"/>
        </w:rPr>
        <w:t>(</w:t>
      </w:r>
      <w:r w:rsidR="00BD20CB" w:rsidRPr="003A1E48">
        <w:rPr>
          <w:rFonts w:ascii="Book Antiqua" w:hAnsi="Book Antiqua" w:cs="Arial"/>
          <w:bCs/>
          <w:lang w:val="en-CA"/>
        </w:rPr>
        <w:t>Crohn’s disease</w:t>
      </w:r>
      <w:r w:rsidRPr="003A1E48">
        <w:rPr>
          <w:rFonts w:ascii="Book Antiqua" w:hAnsi="Book Antiqua" w:cs="Arial"/>
          <w:lang w:val="en-CA"/>
        </w:rPr>
        <w:t>:</w:t>
      </w:r>
      <w:r w:rsidR="00BD20CB" w:rsidRPr="003A1E48">
        <w:rPr>
          <w:rFonts w:ascii="Book Antiqua" w:hAnsi="Book Antiqua" w:cs="Arial"/>
          <w:lang w:val="en-CA"/>
        </w:rPr>
        <w:t xml:space="preserve"> </w:t>
      </w:r>
      <w:r w:rsidR="00F44900" w:rsidRPr="003A1E48">
        <w:rPr>
          <w:rFonts w:ascii="Book Antiqua" w:hAnsi="Book Antiqua" w:cs="Arial"/>
          <w:lang w:val="en-CA"/>
        </w:rPr>
        <w:t>68.4%/</w:t>
      </w:r>
      <w:r w:rsidR="00BD20CB" w:rsidRPr="003A1E48">
        <w:rPr>
          <w:rFonts w:ascii="Book Antiqua" w:hAnsi="Book Antiqua" w:cs="Arial"/>
          <w:bCs/>
          <w:lang w:val="en-CA"/>
        </w:rPr>
        <w:t>ulcerative colitis</w:t>
      </w:r>
      <w:r w:rsidRPr="003A1E48">
        <w:rPr>
          <w:rFonts w:ascii="Book Antiqua" w:hAnsi="Book Antiqua" w:cs="Arial"/>
          <w:lang w:val="en-CA"/>
        </w:rPr>
        <w:t>:</w:t>
      </w:r>
      <w:r w:rsidR="00BD20CB" w:rsidRPr="003A1E48">
        <w:rPr>
          <w:rFonts w:ascii="Book Antiqua" w:hAnsi="Book Antiqua" w:cs="Arial"/>
          <w:lang w:val="en-CA"/>
        </w:rPr>
        <w:t xml:space="preserve"> </w:t>
      </w:r>
      <w:r w:rsidRPr="003A1E48">
        <w:rPr>
          <w:rFonts w:ascii="Book Antiqua" w:hAnsi="Book Antiqua" w:cs="Arial"/>
          <w:lang w:val="en-CA"/>
        </w:rPr>
        <w:t xml:space="preserve">31.6%) </w:t>
      </w:r>
      <w:r w:rsidR="00AA42D8" w:rsidRPr="003A1E48">
        <w:rPr>
          <w:rFonts w:ascii="Book Antiqua" w:hAnsi="Book Antiqua" w:cs="Arial"/>
          <w:lang w:val="en-CA"/>
        </w:rPr>
        <w:t>contacted</w:t>
      </w:r>
      <w:r w:rsidRPr="003A1E48">
        <w:rPr>
          <w:rFonts w:ascii="Book Antiqua" w:hAnsi="Book Antiqua" w:cs="Arial"/>
          <w:lang w:val="en-CA"/>
        </w:rPr>
        <w:t xml:space="preserve"> the RAC </w:t>
      </w:r>
      <w:r w:rsidR="00C20E02" w:rsidRPr="003A1E48">
        <w:rPr>
          <w:rFonts w:ascii="Book Antiqua" w:hAnsi="Book Antiqua" w:cs="Arial"/>
          <w:lang w:val="en-CA"/>
        </w:rPr>
        <w:t xml:space="preserve">with </w:t>
      </w:r>
      <w:r w:rsidR="0063135A" w:rsidRPr="003A1E48">
        <w:rPr>
          <w:rFonts w:ascii="Book Antiqua" w:hAnsi="Book Antiqua" w:cs="Arial"/>
          <w:lang w:val="en-CA"/>
        </w:rPr>
        <w:t xml:space="preserve">a </w:t>
      </w:r>
      <w:r w:rsidR="00C20E02" w:rsidRPr="003A1E48">
        <w:rPr>
          <w:rFonts w:ascii="Book Antiqua" w:hAnsi="Book Antiqua" w:cs="Arial"/>
          <w:lang w:val="en-CA"/>
        </w:rPr>
        <w:t>valid medical reason.</w:t>
      </w:r>
      <w:r w:rsidR="00244166" w:rsidRPr="003A1E48">
        <w:rPr>
          <w:rFonts w:ascii="Book Antiqua" w:hAnsi="Book Antiqua" w:cs="Arial"/>
          <w:lang w:val="en-CA"/>
        </w:rPr>
        <w:t xml:space="preserve"> </w:t>
      </w:r>
      <w:r w:rsidR="00506F58" w:rsidRPr="003A1E48">
        <w:rPr>
          <w:rFonts w:ascii="Book Antiqua" w:hAnsi="Book Antiqua" w:cs="Arial"/>
          <w:lang w:val="en-CA"/>
        </w:rPr>
        <w:t>M</w:t>
      </w:r>
      <w:r w:rsidRPr="003A1E48">
        <w:rPr>
          <w:rFonts w:ascii="Book Antiqua" w:hAnsi="Book Antiqua" w:cs="Arial"/>
          <w:lang w:val="en-CA"/>
        </w:rPr>
        <w:t xml:space="preserve">edian time to visit with </w:t>
      </w:r>
      <w:r w:rsidR="00AA42D8" w:rsidRPr="003A1E48">
        <w:rPr>
          <w:rFonts w:ascii="Book Antiqua" w:hAnsi="Book Antiqua" w:cs="Arial"/>
          <w:lang w:val="en-CA"/>
        </w:rPr>
        <w:t>an IBD specialist</w:t>
      </w:r>
      <w:r w:rsidRPr="003A1E48">
        <w:rPr>
          <w:rFonts w:ascii="Book Antiqua" w:hAnsi="Book Antiqua" w:cs="Arial"/>
          <w:lang w:val="en-CA"/>
        </w:rPr>
        <w:t xml:space="preserve"> </w:t>
      </w:r>
      <w:r w:rsidR="0063135A" w:rsidRPr="003A1E48">
        <w:rPr>
          <w:rFonts w:ascii="Book Antiqua" w:hAnsi="Book Antiqua" w:cs="Arial"/>
          <w:lang w:val="en-CA"/>
        </w:rPr>
        <w:t xml:space="preserve">following the index contact </w:t>
      </w:r>
      <w:r w:rsidRPr="003A1E48">
        <w:rPr>
          <w:rFonts w:ascii="Book Antiqua" w:hAnsi="Book Antiqua" w:cs="Arial"/>
          <w:lang w:val="en-CA"/>
        </w:rPr>
        <w:t>was 2 d.</w:t>
      </w:r>
      <w:r w:rsidR="00244166" w:rsidRPr="003A1E48">
        <w:rPr>
          <w:rFonts w:ascii="Book Antiqua" w:hAnsi="Book Antiqua" w:cs="Arial"/>
          <w:lang w:val="en-CA"/>
        </w:rPr>
        <w:t xml:space="preserve"> </w:t>
      </w:r>
      <w:r w:rsidRPr="003A1E48">
        <w:rPr>
          <w:rFonts w:ascii="Book Antiqua" w:hAnsi="Book Antiqua" w:cs="Arial"/>
          <w:lang w:val="en-CA"/>
        </w:rPr>
        <w:t xml:space="preserve">Patients had objective </w:t>
      </w:r>
      <w:r w:rsidR="00F44900" w:rsidRPr="003A1E48">
        <w:rPr>
          <w:rFonts w:ascii="Book Antiqua" w:hAnsi="Book Antiqua" w:cs="Arial"/>
          <w:lang w:val="en-CA"/>
        </w:rPr>
        <w:t xml:space="preserve">clinical and </w:t>
      </w:r>
      <w:r w:rsidRPr="003A1E48">
        <w:rPr>
          <w:rFonts w:ascii="Book Antiqua" w:hAnsi="Book Antiqua" w:cs="Arial"/>
          <w:lang w:val="en-CA"/>
        </w:rPr>
        <w:t>laboratory assessment</w:t>
      </w:r>
      <w:r w:rsidR="00A155C2" w:rsidRPr="003A1E48">
        <w:rPr>
          <w:rFonts w:ascii="Book Antiqua" w:hAnsi="Book Antiqua" w:cs="Arial"/>
          <w:lang w:val="en-CA"/>
        </w:rPr>
        <w:t xml:space="preserve"> </w:t>
      </w:r>
      <w:r w:rsidR="00F44900" w:rsidRPr="003A1E48">
        <w:rPr>
          <w:rFonts w:ascii="Book Antiqua" w:hAnsi="Book Antiqua" w:cs="Arial"/>
          <w:lang w:val="en-CA"/>
        </w:rPr>
        <w:t>(</w:t>
      </w:r>
      <w:r w:rsidR="00BD20CB" w:rsidRPr="003A1E48">
        <w:rPr>
          <w:rFonts w:ascii="Book Antiqua" w:hAnsi="Book Antiqua" w:cs="Arial"/>
          <w:lang w:val="en-CA"/>
        </w:rPr>
        <w:t xml:space="preserve">C-reactive protein </w:t>
      </w:r>
      <w:r w:rsidR="00F44900" w:rsidRPr="003A1E48">
        <w:rPr>
          <w:rFonts w:ascii="Book Antiqua" w:hAnsi="Book Antiqua" w:cs="Arial"/>
          <w:lang w:val="en-CA"/>
        </w:rPr>
        <w:t>and fecal calprotectin in 91% and 73%)</w:t>
      </w:r>
      <w:r w:rsidRPr="003A1E48">
        <w:rPr>
          <w:rFonts w:ascii="Book Antiqua" w:hAnsi="Book Antiqua" w:cs="Arial"/>
          <w:lang w:val="en-CA"/>
        </w:rPr>
        <w:t>.</w:t>
      </w:r>
      <w:r w:rsidR="00A155C2" w:rsidRPr="003A1E48">
        <w:rPr>
          <w:rFonts w:ascii="Book Antiqua" w:hAnsi="Book Antiqua" w:cs="Arial"/>
          <w:lang w:val="en-CA"/>
        </w:rPr>
        <w:t xml:space="preserve"> </w:t>
      </w:r>
      <w:r w:rsidR="004C75AC" w:rsidRPr="003A1E48">
        <w:rPr>
          <w:rFonts w:ascii="Book Antiqua" w:hAnsi="Book Antiqua" w:cs="Arial"/>
          <w:lang w:val="en-CA"/>
        </w:rPr>
        <w:t>Fast-</w:t>
      </w:r>
      <w:r w:rsidR="00C20E02" w:rsidRPr="003A1E48">
        <w:rPr>
          <w:rFonts w:ascii="Book Antiqua" w:hAnsi="Book Antiqua" w:cs="Arial"/>
          <w:lang w:val="en-CA"/>
        </w:rPr>
        <w:t>track colonoscopy</w:t>
      </w:r>
      <w:r w:rsidR="00F44900" w:rsidRPr="003A1E48">
        <w:rPr>
          <w:rFonts w:ascii="Book Antiqua" w:hAnsi="Book Antiqua" w:cs="Arial"/>
          <w:lang w:val="en-CA"/>
        </w:rPr>
        <w:t>/sigmoidoscopy</w:t>
      </w:r>
      <w:r w:rsidR="00C20E02" w:rsidRPr="003A1E48">
        <w:rPr>
          <w:rFonts w:ascii="Book Antiqua" w:hAnsi="Book Antiqua" w:cs="Arial"/>
          <w:lang w:val="en-CA"/>
        </w:rPr>
        <w:t xml:space="preserve"> </w:t>
      </w:r>
      <w:r w:rsidRPr="003A1E48">
        <w:rPr>
          <w:rFonts w:ascii="Book Antiqua" w:hAnsi="Book Antiqua" w:cs="Arial"/>
          <w:lang w:val="en-CA"/>
        </w:rPr>
        <w:t xml:space="preserve">was performed </w:t>
      </w:r>
      <w:r w:rsidR="00C20E02" w:rsidRPr="003A1E48">
        <w:rPr>
          <w:rFonts w:ascii="Book Antiqua" w:hAnsi="Book Antiqua" w:cs="Arial"/>
          <w:lang w:val="en-CA"/>
        </w:rPr>
        <w:t xml:space="preserve">in </w:t>
      </w:r>
      <w:r w:rsidR="00F44900" w:rsidRPr="003A1E48">
        <w:rPr>
          <w:rFonts w:ascii="Book Antiqua" w:hAnsi="Book Antiqua" w:cs="Arial"/>
          <w:lang w:val="en-CA"/>
        </w:rPr>
        <w:t>24.6</w:t>
      </w:r>
      <w:r w:rsidRPr="003A1E48">
        <w:rPr>
          <w:rFonts w:ascii="Book Antiqua" w:hAnsi="Book Antiqua" w:cs="Arial"/>
          <w:lang w:val="en-CA"/>
        </w:rPr>
        <w:t>%</w:t>
      </w:r>
      <w:r w:rsidR="00C20E02" w:rsidRPr="003A1E48">
        <w:rPr>
          <w:rFonts w:ascii="Book Antiqua" w:hAnsi="Book Antiqua" w:cs="Arial"/>
          <w:lang w:val="en-CA"/>
        </w:rPr>
        <w:t xml:space="preserve"> of the patients, while </w:t>
      </w:r>
      <w:r w:rsidR="00BD20CB" w:rsidRPr="003A1E48">
        <w:rPr>
          <w:rFonts w:ascii="Book Antiqua" w:hAnsi="Book Antiqua" w:cs="Arial"/>
          <w:bCs/>
          <w:lang w:val="en-CA"/>
        </w:rPr>
        <w:t>computed tomography/magnetic resonance imaging</w:t>
      </w:r>
      <w:r w:rsidR="00C20E02" w:rsidRPr="003A1E48">
        <w:rPr>
          <w:rFonts w:ascii="Book Antiqua" w:hAnsi="Book Antiqua" w:cs="Arial"/>
          <w:lang w:val="en-CA"/>
        </w:rPr>
        <w:t xml:space="preserve"> in only</w:t>
      </w:r>
      <w:r w:rsidR="00F44900" w:rsidRPr="003A1E48">
        <w:rPr>
          <w:rFonts w:ascii="Book Antiqua" w:hAnsi="Book Antiqua" w:cs="Arial"/>
          <w:lang w:val="en-CA"/>
        </w:rPr>
        <w:t xml:space="preserve"> 8.1</w:t>
      </w:r>
      <w:r w:rsidRPr="003A1E48">
        <w:rPr>
          <w:rFonts w:ascii="Book Antiqua" w:hAnsi="Book Antiqua" w:cs="Arial"/>
          <w:lang w:val="en-CA"/>
        </w:rPr>
        <w:t>%. Medical therapy was changed in 54.4%.</w:t>
      </w:r>
      <w:r w:rsidR="00A155C2" w:rsidRPr="003A1E48">
        <w:rPr>
          <w:rFonts w:ascii="Book Antiqua" w:hAnsi="Book Antiqua" w:cs="Arial"/>
          <w:lang w:val="en-CA"/>
        </w:rPr>
        <w:t xml:space="preserve"> </w:t>
      </w:r>
      <w:r w:rsidRPr="003A1E48">
        <w:rPr>
          <w:rFonts w:ascii="Book Antiqua" w:hAnsi="Book Antiqua" w:cs="Arial"/>
          <w:lang w:val="en-CA"/>
        </w:rPr>
        <w:t xml:space="preserve">ED visits within 30 d following </w:t>
      </w:r>
      <w:r w:rsidR="00C20E02" w:rsidRPr="003A1E48">
        <w:rPr>
          <w:rFonts w:ascii="Book Antiqua" w:hAnsi="Book Antiqua" w:cs="Arial"/>
          <w:lang w:val="en-CA"/>
        </w:rPr>
        <w:t xml:space="preserve">the </w:t>
      </w:r>
      <w:r w:rsidRPr="003A1E48">
        <w:rPr>
          <w:rFonts w:ascii="Book Antiqua" w:hAnsi="Book Antiqua" w:cs="Arial"/>
          <w:lang w:val="en-CA"/>
        </w:rPr>
        <w:t xml:space="preserve">RAC </w:t>
      </w:r>
      <w:r w:rsidR="00C20E02" w:rsidRPr="003A1E48">
        <w:rPr>
          <w:rFonts w:ascii="Book Antiqua" w:hAnsi="Book Antiqua" w:cs="Arial"/>
          <w:lang w:val="en-CA"/>
        </w:rPr>
        <w:t xml:space="preserve">visit </w:t>
      </w:r>
      <w:r w:rsidRPr="003A1E48">
        <w:rPr>
          <w:rFonts w:ascii="Book Antiqua" w:hAnsi="Book Antiqua" w:cs="Arial"/>
          <w:lang w:val="en-CA"/>
        </w:rPr>
        <w:t>occurred in 8.8%</w:t>
      </w:r>
      <w:r w:rsidR="00607B0C" w:rsidRPr="003A1E48">
        <w:rPr>
          <w:rFonts w:ascii="Book Antiqua" w:hAnsi="Book Antiqua" w:cs="Arial"/>
          <w:lang w:val="en-CA"/>
        </w:rPr>
        <w:t xml:space="preserve"> </w:t>
      </w:r>
      <w:r w:rsidRPr="003A1E48">
        <w:rPr>
          <w:rFonts w:ascii="Book Antiqua" w:hAnsi="Book Antiqua" w:cs="Arial"/>
          <w:lang w:val="en-CA"/>
        </w:rPr>
        <w:t>(unpla</w:t>
      </w:r>
      <w:r w:rsidR="00AE2B8E" w:rsidRPr="003A1E48">
        <w:rPr>
          <w:rFonts w:ascii="Book Antiqua" w:hAnsi="Book Antiqua" w:cs="Arial"/>
          <w:lang w:val="en-CA"/>
        </w:rPr>
        <w:t>nned ED visit rate: 5.9%).</w:t>
      </w:r>
      <w:r w:rsidR="00607B0C" w:rsidRPr="003A1E48">
        <w:rPr>
          <w:rFonts w:ascii="Book Antiqua" w:hAnsi="Book Antiqua" w:cs="Arial"/>
          <w:lang w:val="en-CA"/>
        </w:rPr>
        <w:t xml:space="preserve"> </w:t>
      </w:r>
      <w:r w:rsidRPr="003A1E48">
        <w:rPr>
          <w:rFonts w:ascii="Book Antiqua" w:hAnsi="Book Antiqua" w:cs="Arial"/>
          <w:lang w:val="en-CA"/>
        </w:rPr>
        <w:t xml:space="preserve">Diagnostic procedures and resource utilization at </w:t>
      </w:r>
      <w:r w:rsidR="00AA42D8" w:rsidRPr="003A1E48">
        <w:rPr>
          <w:rFonts w:ascii="Book Antiqua" w:hAnsi="Book Antiqua" w:cs="Arial"/>
          <w:lang w:val="en-CA"/>
        </w:rPr>
        <w:t xml:space="preserve">the </w:t>
      </w:r>
      <w:r w:rsidRPr="003A1E48">
        <w:rPr>
          <w:rFonts w:ascii="Book Antiqua" w:hAnsi="Book Antiqua" w:cs="Arial"/>
          <w:lang w:val="en-CA"/>
        </w:rPr>
        <w:t>ED</w:t>
      </w:r>
      <w:r w:rsidR="00607B0C" w:rsidRPr="003A1E48">
        <w:rPr>
          <w:rFonts w:ascii="Book Antiqua" w:hAnsi="Book Antiqua" w:cs="Arial"/>
          <w:lang w:val="en-CA"/>
        </w:rPr>
        <w:t xml:space="preserve"> </w:t>
      </w:r>
      <w:r w:rsidR="00AE2B8E" w:rsidRPr="003A1E48">
        <w:rPr>
          <w:rFonts w:ascii="Book Antiqua" w:hAnsi="Book Antiqua" w:cs="Arial"/>
          <w:lang w:val="en-CA"/>
        </w:rPr>
        <w:t>(</w:t>
      </w:r>
      <w:r w:rsidR="00CB1C2C" w:rsidRPr="003A1E48">
        <w:rPr>
          <w:rFonts w:ascii="Book Antiqua" w:hAnsi="Book Antiqua" w:cs="Arial"/>
          <w:i/>
          <w:iCs/>
          <w:lang w:val="en-CA"/>
        </w:rPr>
        <w:t>n</w:t>
      </w:r>
      <w:r w:rsidR="00BD20CB" w:rsidRPr="003A1E48">
        <w:rPr>
          <w:rFonts w:ascii="Book Antiqua" w:hAnsi="Book Antiqua" w:cs="Arial"/>
          <w:lang w:val="en-CA"/>
        </w:rPr>
        <w:t xml:space="preserve"> </w:t>
      </w:r>
      <w:r w:rsidR="00CB1C2C" w:rsidRPr="003A1E48">
        <w:rPr>
          <w:rFonts w:ascii="Book Antiqua" w:hAnsi="Book Antiqua" w:cs="Arial"/>
          <w:lang w:val="en-CA"/>
        </w:rPr>
        <w:t>=</w:t>
      </w:r>
      <w:r w:rsidR="00BD20CB" w:rsidRPr="003A1E48">
        <w:rPr>
          <w:rFonts w:ascii="Book Antiqua" w:hAnsi="Book Antiqua" w:cs="Arial"/>
          <w:lang w:val="en-CA"/>
        </w:rPr>
        <w:t xml:space="preserve"> </w:t>
      </w:r>
      <w:r w:rsidR="00AE2B8E" w:rsidRPr="003A1E48">
        <w:rPr>
          <w:rFonts w:ascii="Book Antiqua" w:hAnsi="Book Antiqua" w:cs="Arial"/>
          <w:lang w:val="en-CA"/>
        </w:rPr>
        <w:t>135 patients)</w:t>
      </w:r>
      <w:r w:rsidR="00E91748" w:rsidRPr="003A1E48">
        <w:rPr>
          <w:rFonts w:ascii="Book Antiqua" w:hAnsi="Book Antiqua" w:cs="Arial"/>
          <w:lang w:val="en-CA"/>
        </w:rPr>
        <w:t xml:space="preserve"> </w:t>
      </w:r>
      <w:r w:rsidR="00BD20CB" w:rsidRPr="003A1E48">
        <w:rPr>
          <w:rFonts w:ascii="Book Antiqua" w:hAnsi="Book Antiqua" w:cs="Arial"/>
          <w:lang w:val="en-CA"/>
        </w:rPr>
        <w:t>were</w:t>
      </w:r>
      <w:r w:rsidRPr="003A1E48">
        <w:rPr>
          <w:rFonts w:ascii="Book Antiqua" w:hAnsi="Book Antiqua" w:cs="Arial"/>
          <w:lang w:val="en-CA"/>
        </w:rPr>
        <w:t xml:space="preserve"> substantially different</w:t>
      </w:r>
      <w:r w:rsidR="00CB1C2C" w:rsidRPr="003A1E48">
        <w:rPr>
          <w:rFonts w:ascii="Book Antiqua" w:hAnsi="Book Antiqua" w:cs="Arial"/>
          <w:lang w:val="en-CA"/>
        </w:rPr>
        <w:t xml:space="preserve"> compared to RAC users</w:t>
      </w:r>
      <w:r w:rsidRPr="003A1E48">
        <w:rPr>
          <w:rFonts w:ascii="Book Antiqua" w:hAnsi="Book Antiqua" w:cs="Arial"/>
          <w:lang w:val="en-CA"/>
        </w:rPr>
        <w:t>:</w:t>
      </w:r>
      <w:r w:rsidR="00244166" w:rsidRPr="003A1E48">
        <w:rPr>
          <w:rFonts w:ascii="Book Antiqua" w:hAnsi="Book Antiqua" w:cs="Arial"/>
          <w:lang w:val="en-CA"/>
        </w:rPr>
        <w:t xml:space="preserve"> </w:t>
      </w:r>
      <w:r w:rsidRPr="003A1E48">
        <w:rPr>
          <w:rFonts w:ascii="Book Antiqua" w:hAnsi="Book Antiqua" w:cs="Arial"/>
          <w:lang w:val="en-CA"/>
        </w:rPr>
        <w:t xml:space="preserve">abdominal </w:t>
      </w:r>
      <w:r w:rsidR="00BD20CB" w:rsidRPr="003A1E48">
        <w:rPr>
          <w:rFonts w:ascii="Book Antiqua" w:hAnsi="Book Antiqua" w:cs="Arial"/>
          <w:bCs/>
          <w:lang w:val="en-CA"/>
        </w:rPr>
        <w:t>computed tomography</w:t>
      </w:r>
      <w:r w:rsidR="00BD20CB" w:rsidRPr="003A1E48">
        <w:rPr>
          <w:rFonts w:ascii="Book Antiqua" w:hAnsi="Book Antiqua" w:cs="Arial"/>
          <w:lang w:val="en-CA"/>
        </w:rPr>
        <w:t xml:space="preserve"> </w:t>
      </w:r>
      <w:r w:rsidRPr="003A1E48">
        <w:rPr>
          <w:rFonts w:ascii="Book Antiqua" w:hAnsi="Book Antiqua" w:cs="Arial"/>
          <w:lang w:val="en-CA"/>
        </w:rPr>
        <w:t xml:space="preserve">was </w:t>
      </w:r>
      <w:r w:rsidR="0014629C" w:rsidRPr="003A1E48">
        <w:rPr>
          <w:rFonts w:ascii="Book Antiqua" w:hAnsi="Book Antiqua" w:cs="Arial"/>
          <w:lang w:val="en-CA"/>
        </w:rPr>
        <w:t>more frequent</w:t>
      </w:r>
      <w:r w:rsidR="00A62AE4" w:rsidRPr="003A1E48">
        <w:rPr>
          <w:rFonts w:ascii="Book Antiqua" w:hAnsi="Book Antiqua" w:cs="Arial"/>
          <w:lang w:val="en-CA"/>
        </w:rPr>
        <w:t xml:space="preserve"> (</w:t>
      </w:r>
      <w:r w:rsidRPr="003A1E48">
        <w:rPr>
          <w:rFonts w:ascii="Book Antiqua" w:hAnsi="Book Antiqua" w:cs="Arial"/>
          <w:lang w:val="en-CA"/>
        </w:rPr>
        <w:t>65.7%</w:t>
      </w:r>
      <w:r w:rsidR="00A62AE4" w:rsidRPr="003A1E48">
        <w:rPr>
          <w:rFonts w:ascii="Book Antiqua" w:hAnsi="Book Antiqua" w:cs="Arial"/>
          <w:lang w:val="en-CA"/>
        </w:rPr>
        <w:t>,</w:t>
      </w:r>
      <w:r w:rsidR="00BD20CB" w:rsidRPr="003A1E48">
        <w:rPr>
          <w:rFonts w:ascii="Book Antiqua" w:hAnsi="Book Antiqua" w:cs="Arial"/>
          <w:lang w:val="en-CA"/>
        </w:rPr>
        <w:t xml:space="preserve"> </w:t>
      </w:r>
      <w:r w:rsidR="00BD20CB" w:rsidRPr="003A1E48">
        <w:rPr>
          <w:rFonts w:ascii="Book Antiqua" w:hAnsi="Book Antiqua" w:cs="Arial"/>
          <w:i/>
          <w:iCs/>
          <w:lang w:val="en-CA"/>
        </w:rPr>
        <w:t>P</w:t>
      </w:r>
      <w:r w:rsidR="00BD20CB" w:rsidRPr="003A1E48">
        <w:rPr>
          <w:rFonts w:ascii="Book Antiqua" w:hAnsi="Book Antiqua" w:cs="Arial"/>
          <w:lang w:val="en-CA"/>
        </w:rPr>
        <w:t xml:space="preserve"> </w:t>
      </w:r>
      <w:r w:rsidR="00785C0C" w:rsidRPr="003A1E48">
        <w:rPr>
          <w:rFonts w:ascii="Book Antiqua" w:hAnsi="Book Antiqua" w:cs="Arial"/>
          <w:lang w:val="en-CA"/>
        </w:rPr>
        <w:t>&lt;</w:t>
      </w:r>
      <w:r w:rsidR="00BD20CB" w:rsidRPr="003A1E48">
        <w:rPr>
          <w:rFonts w:ascii="Book Antiqua" w:hAnsi="Book Antiqua" w:cs="Arial"/>
          <w:lang w:val="en-CA"/>
        </w:rPr>
        <w:t xml:space="preserve"> </w:t>
      </w:r>
      <w:r w:rsidR="00785C0C" w:rsidRPr="003A1E48">
        <w:rPr>
          <w:rFonts w:ascii="Book Antiqua" w:hAnsi="Book Antiqua" w:cs="Arial"/>
          <w:lang w:val="en-CA"/>
        </w:rPr>
        <w:t>0.001)</w:t>
      </w:r>
      <w:r w:rsidRPr="003A1E48">
        <w:rPr>
          <w:rFonts w:ascii="Book Antiqua" w:hAnsi="Book Antiqua" w:cs="Arial"/>
          <w:lang w:val="en-CA"/>
        </w:rPr>
        <w:t>,</w:t>
      </w:r>
      <w:r w:rsidR="00607B0C" w:rsidRPr="003A1E48">
        <w:rPr>
          <w:rFonts w:ascii="Book Antiqua" w:hAnsi="Book Antiqua" w:cs="Arial"/>
          <w:lang w:val="en-CA"/>
        </w:rPr>
        <w:t xml:space="preserve"> </w:t>
      </w:r>
      <w:r w:rsidR="00AA42D8" w:rsidRPr="003A1E48">
        <w:rPr>
          <w:rFonts w:ascii="Book Antiqua" w:hAnsi="Book Antiqua" w:cs="Arial"/>
          <w:lang w:val="en-CA"/>
        </w:rPr>
        <w:t xml:space="preserve">coupled with </w:t>
      </w:r>
      <w:r w:rsidRPr="003A1E48">
        <w:rPr>
          <w:rFonts w:ascii="Book Antiqua" w:hAnsi="Book Antiqua" w:cs="Arial"/>
          <w:lang w:val="en-CA"/>
        </w:rPr>
        <w:t>multiple specialist consults</w:t>
      </w:r>
      <w:r w:rsidR="00785C0C" w:rsidRPr="003A1E48">
        <w:rPr>
          <w:rFonts w:ascii="Book Antiqua" w:hAnsi="Book Antiqua" w:cs="Arial"/>
          <w:lang w:val="en-CA"/>
        </w:rPr>
        <w:t>,</w:t>
      </w:r>
      <w:r w:rsidR="00244166" w:rsidRPr="003A1E48">
        <w:rPr>
          <w:rFonts w:ascii="Book Antiqua" w:hAnsi="Book Antiqua" w:cs="Arial"/>
          <w:lang w:val="en-CA"/>
        </w:rPr>
        <w:t xml:space="preserve"> </w:t>
      </w:r>
      <w:r w:rsidR="00932E62" w:rsidRPr="003A1E48">
        <w:rPr>
          <w:rFonts w:ascii="Book Antiqua" w:hAnsi="Book Antiqua" w:cs="Arial"/>
          <w:lang w:val="en-CA"/>
        </w:rPr>
        <w:t>more</w:t>
      </w:r>
      <w:r w:rsidR="00506F58" w:rsidRPr="003A1E48">
        <w:rPr>
          <w:rFonts w:ascii="Book Antiqua" w:hAnsi="Book Antiqua" w:cs="Arial"/>
          <w:lang w:val="en-CA"/>
        </w:rPr>
        <w:t xml:space="preserve"> frequent hospital admission</w:t>
      </w:r>
      <w:r w:rsidR="00607B0C" w:rsidRPr="003A1E48">
        <w:rPr>
          <w:rFonts w:ascii="Book Antiqua" w:hAnsi="Book Antiqua" w:cs="Arial"/>
          <w:lang w:val="en-CA"/>
        </w:rPr>
        <w:t xml:space="preserve"> </w:t>
      </w:r>
      <w:r w:rsidR="00785C0C" w:rsidRPr="003A1E48">
        <w:rPr>
          <w:rFonts w:ascii="Book Antiqua" w:hAnsi="Book Antiqua" w:cs="Arial"/>
          <w:lang w:val="en-CA"/>
        </w:rPr>
        <w:t>(</w:t>
      </w:r>
      <w:r w:rsidR="00BD20CB" w:rsidRPr="003A1E48">
        <w:rPr>
          <w:rFonts w:ascii="Book Antiqua" w:hAnsi="Book Antiqua" w:cs="Arial"/>
          <w:i/>
          <w:iCs/>
          <w:lang w:val="en-CA"/>
        </w:rPr>
        <w:t>P</w:t>
      </w:r>
      <w:r w:rsidR="00BD20CB" w:rsidRPr="003A1E48">
        <w:rPr>
          <w:rFonts w:ascii="Book Antiqua" w:hAnsi="Book Antiqua" w:cs="Arial"/>
          <w:lang w:val="en-CA"/>
        </w:rPr>
        <w:t xml:space="preserve"> </w:t>
      </w:r>
      <w:r w:rsidR="00785C0C" w:rsidRPr="003A1E48">
        <w:rPr>
          <w:rFonts w:ascii="Book Antiqua" w:hAnsi="Book Antiqua" w:cs="Arial"/>
          <w:lang w:val="en-CA"/>
        </w:rPr>
        <w:t>&lt;</w:t>
      </w:r>
      <w:r w:rsidR="00BD20CB" w:rsidRPr="003A1E48">
        <w:rPr>
          <w:rFonts w:ascii="Book Antiqua" w:hAnsi="Book Antiqua" w:cs="Arial"/>
          <w:lang w:val="en-CA"/>
        </w:rPr>
        <w:t xml:space="preserve"> </w:t>
      </w:r>
      <w:r w:rsidR="00785C0C" w:rsidRPr="003A1E48">
        <w:rPr>
          <w:rFonts w:ascii="Book Antiqua" w:hAnsi="Book Antiqua" w:cs="Arial"/>
          <w:lang w:val="en-CA"/>
        </w:rPr>
        <w:t>0.001),</w:t>
      </w:r>
      <w:r w:rsidR="00BD20CB" w:rsidRPr="003A1E48">
        <w:rPr>
          <w:rFonts w:ascii="Book Antiqua" w:hAnsi="Book Antiqua" w:cs="Arial"/>
          <w:lang w:val="en-CA"/>
        </w:rPr>
        <w:t xml:space="preserve"> </w:t>
      </w:r>
      <w:r w:rsidR="00785C0C" w:rsidRPr="003A1E48">
        <w:rPr>
          <w:rFonts w:ascii="Book Antiqua" w:hAnsi="Book Antiqua" w:cs="Arial"/>
          <w:lang w:val="en-CA"/>
        </w:rPr>
        <w:t xml:space="preserve">higher steroid </w:t>
      </w:r>
      <w:r w:rsidR="00A62AE4" w:rsidRPr="003A1E48">
        <w:rPr>
          <w:rFonts w:ascii="Book Antiqua" w:hAnsi="Book Antiqua" w:cs="Arial"/>
          <w:lang w:val="en-CA"/>
        </w:rPr>
        <w:t>initiation</w:t>
      </w:r>
      <w:r w:rsidR="00607B0C" w:rsidRPr="003A1E48">
        <w:rPr>
          <w:rFonts w:ascii="Book Antiqua" w:hAnsi="Book Antiqua" w:cs="Arial"/>
          <w:lang w:val="en-CA"/>
        </w:rPr>
        <w:t xml:space="preserve"> </w:t>
      </w:r>
      <w:r w:rsidR="00785C0C" w:rsidRPr="003A1E48">
        <w:rPr>
          <w:rFonts w:ascii="Book Antiqua" w:hAnsi="Book Antiqua" w:cs="Arial"/>
          <w:lang w:val="en-CA"/>
        </w:rPr>
        <w:t>(</w:t>
      </w:r>
      <w:r w:rsidR="00BD20CB" w:rsidRPr="003A1E48">
        <w:rPr>
          <w:rFonts w:ascii="Book Antiqua" w:hAnsi="Book Antiqua" w:cs="Arial"/>
          <w:i/>
          <w:iCs/>
          <w:lang w:val="en-CA"/>
        </w:rPr>
        <w:t>P</w:t>
      </w:r>
      <w:r w:rsidR="00BD20CB" w:rsidRPr="003A1E48">
        <w:rPr>
          <w:rFonts w:ascii="Book Antiqua" w:hAnsi="Book Antiqua" w:cs="Arial"/>
          <w:lang w:val="en-CA"/>
        </w:rPr>
        <w:t xml:space="preserve"> </w:t>
      </w:r>
      <w:r w:rsidR="00785C0C" w:rsidRPr="003A1E48">
        <w:rPr>
          <w:rFonts w:ascii="Book Antiqua" w:hAnsi="Book Antiqua" w:cs="Arial"/>
          <w:lang w:val="en-CA"/>
        </w:rPr>
        <w:t>&lt;</w:t>
      </w:r>
      <w:r w:rsidR="00BD20CB" w:rsidRPr="003A1E48">
        <w:rPr>
          <w:rFonts w:ascii="Book Antiqua" w:hAnsi="Book Antiqua" w:cs="Arial"/>
          <w:lang w:val="en-CA"/>
        </w:rPr>
        <w:t xml:space="preserve"> </w:t>
      </w:r>
      <w:r w:rsidR="00785C0C" w:rsidRPr="003A1E48">
        <w:rPr>
          <w:rFonts w:ascii="Book Antiqua" w:hAnsi="Book Antiqua" w:cs="Arial"/>
          <w:lang w:val="en-CA"/>
        </w:rPr>
        <w:t>0.001)</w:t>
      </w:r>
      <w:r w:rsidRPr="003A1E48">
        <w:rPr>
          <w:rFonts w:ascii="Book Antiqua" w:hAnsi="Book Antiqua" w:cs="Arial"/>
          <w:lang w:val="en-CA"/>
        </w:rPr>
        <w:t>.</w:t>
      </w:r>
      <w:r w:rsidR="00244166" w:rsidRPr="003A1E48">
        <w:rPr>
          <w:rFonts w:ascii="Book Antiqua" w:hAnsi="Book Antiqua" w:cs="Arial"/>
          <w:lang w:val="en-CA"/>
        </w:rPr>
        <w:t xml:space="preserve"> </w:t>
      </w:r>
      <w:r w:rsidRPr="003A1E48">
        <w:rPr>
          <w:rFonts w:ascii="Book Antiqua" w:hAnsi="Book Antiqua" w:cs="Arial"/>
          <w:bCs/>
          <w:lang w:val="en-CA"/>
        </w:rPr>
        <w:t xml:space="preserve">Average medical cost estimates </w:t>
      </w:r>
      <w:r w:rsidR="0014629C" w:rsidRPr="003A1E48">
        <w:rPr>
          <w:rFonts w:ascii="Book Antiqua" w:hAnsi="Book Antiqua" w:cs="Arial"/>
          <w:bCs/>
          <w:lang w:val="en-CA"/>
        </w:rPr>
        <w:lastRenderedPageBreak/>
        <w:t xml:space="preserve">of </w:t>
      </w:r>
      <w:r w:rsidR="0014629C" w:rsidRPr="003A1E48">
        <w:rPr>
          <w:rFonts w:ascii="Book Antiqua" w:hAnsi="Book Antiqua" w:cs="Arial"/>
          <w:iCs/>
          <w:lang w:val="en-CA"/>
        </w:rPr>
        <w:t xml:space="preserve">diagnostic procedures and services </w:t>
      </w:r>
      <w:r w:rsidRPr="003A1E48">
        <w:rPr>
          <w:rFonts w:ascii="Book Antiqua" w:hAnsi="Book Antiqua" w:cs="Arial"/>
          <w:bCs/>
          <w:lang w:val="en-CA"/>
        </w:rPr>
        <w:t>per patient was</w:t>
      </w:r>
      <w:r w:rsidRPr="003A1E48">
        <w:rPr>
          <w:rFonts w:ascii="Book Antiqua" w:hAnsi="Book Antiqua" w:cs="Arial"/>
          <w:lang w:val="en-CA"/>
        </w:rPr>
        <w:t xml:space="preserve"> </w:t>
      </w:r>
      <w:r w:rsidR="0014629C" w:rsidRPr="003A1E48">
        <w:rPr>
          <w:rFonts w:ascii="Book Antiqua" w:hAnsi="Book Antiqua" w:cs="Arial"/>
          <w:iCs/>
          <w:lang w:val="en-CA"/>
        </w:rPr>
        <w:t>$</w:t>
      </w:r>
      <w:r w:rsidRPr="003A1E48">
        <w:rPr>
          <w:rFonts w:ascii="Book Antiqua" w:hAnsi="Book Antiqua" w:cs="Arial"/>
          <w:lang w:val="en-CA"/>
        </w:rPr>
        <w:t>40</w:t>
      </w:r>
      <w:r w:rsidR="0014629C" w:rsidRPr="003A1E48">
        <w:rPr>
          <w:rFonts w:ascii="Book Antiqua" w:hAnsi="Book Antiqua" w:cs="Arial"/>
          <w:lang w:val="en-CA"/>
        </w:rPr>
        <w:t>3</w:t>
      </w:r>
      <w:r w:rsidR="00BD20CB" w:rsidRPr="003A1E48">
        <w:rPr>
          <w:rFonts w:ascii="Book Antiqua" w:hAnsi="Book Antiqua" w:cs="Arial"/>
          <w:lang w:val="en-CA"/>
        </w:rPr>
        <w:t xml:space="preserve"> </w:t>
      </w:r>
      <w:r w:rsidR="0014629C" w:rsidRPr="003A1E48">
        <w:rPr>
          <w:rFonts w:ascii="Book Antiqua" w:hAnsi="Book Antiqua" w:cs="Arial"/>
          <w:lang w:val="en-CA"/>
        </w:rPr>
        <w:t>CAD</w:t>
      </w:r>
      <w:r w:rsidR="00506F58" w:rsidRPr="003A1E48">
        <w:rPr>
          <w:rFonts w:ascii="Book Antiqua" w:hAnsi="Book Antiqua" w:cs="Arial"/>
          <w:lang w:val="en-CA"/>
        </w:rPr>
        <w:t xml:space="preserve"> </w:t>
      </w:r>
      <w:r w:rsidRPr="003A1E48">
        <w:rPr>
          <w:rFonts w:ascii="Book Antiqua" w:hAnsi="Book Antiqua" w:cs="Arial"/>
          <w:i/>
          <w:iCs/>
          <w:lang w:val="en-CA"/>
        </w:rPr>
        <w:t>vs</w:t>
      </w:r>
      <w:r w:rsidRPr="003A1E48">
        <w:rPr>
          <w:rFonts w:ascii="Book Antiqua" w:hAnsi="Book Antiqua" w:cs="Arial"/>
          <w:lang w:val="en-CA"/>
        </w:rPr>
        <w:t xml:space="preserve"> </w:t>
      </w:r>
      <w:r w:rsidR="0014629C" w:rsidRPr="003A1E48">
        <w:rPr>
          <w:rFonts w:ascii="Book Antiqua" w:hAnsi="Book Antiqua" w:cs="Arial"/>
          <w:iCs/>
          <w:lang w:val="en-CA"/>
        </w:rPr>
        <w:t>$</w:t>
      </w:r>
      <w:r w:rsidRPr="003A1E48">
        <w:rPr>
          <w:rFonts w:ascii="Book Antiqua" w:hAnsi="Book Antiqua" w:cs="Arial"/>
          <w:lang w:val="en-CA"/>
        </w:rPr>
        <w:t>1885</w:t>
      </w:r>
      <w:r w:rsidR="00BD20CB" w:rsidRPr="003A1E48">
        <w:rPr>
          <w:rFonts w:ascii="Book Antiqua" w:hAnsi="Book Antiqua" w:cs="Arial"/>
          <w:lang w:val="en-CA"/>
        </w:rPr>
        <w:t xml:space="preserve"> </w:t>
      </w:r>
      <w:r w:rsidRPr="003A1E48">
        <w:rPr>
          <w:rFonts w:ascii="Book Antiqua" w:hAnsi="Book Antiqua" w:cs="Arial"/>
          <w:lang w:val="en-CA"/>
        </w:rPr>
        <w:t>CAD</w:t>
      </w:r>
      <w:r w:rsidR="00802E4F" w:rsidRPr="003A1E48">
        <w:rPr>
          <w:rFonts w:ascii="Book Antiqua" w:hAnsi="Book Antiqua" w:cs="Arial"/>
          <w:lang w:val="en-CA"/>
        </w:rPr>
        <w:t xml:space="preserve"> comparing </w:t>
      </w:r>
      <w:r w:rsidR="00607B0C" w:rsidRPr="003A1E48">
        <w:rPr>
          <w:rFonts w:ascii="Book Antiqua" w:hAnsi="Book Antiqua" w:cs="Arial"/>
          <w:lang w:val="en-CA"/>
        </w:rPr>
        <w:t xml:space="preserve">all </w:t>
      </w:r>
      <w:r w:rsidR="00802E4F" w:rsidRPr="003A1E48">
        <w:rPr>
          <w:rFonts w:ascii="Book Antiqua" w:hAnsi="Book Antiqua" w:cs="Arial"/>
          <w:lang w:val="en-CA"/>
        </w:rPr>
        <w:t>RAC and ED visits</w:t>
      </w:r>
      <w:r w:rsidR="00506F58" w:rsidRPr="003A1E48">
        <w:rPr>
          <w:rFonts w:ascii="Book Antiqua" w:hAnsi="Book Antiqua" w:cs="Arial"/>
          <w:lang w:val="en-CA"/>
        </w:rPr>
        <w:t>.</w:t>
      </w:r>
    </w:p>
    <w:p w14:paraId="637BC95F" w14:textId="77777777" w:rsidR="00C27A75" w:rsidRPr="003A1E48" w:rsidRDefault="00C27A75" w:rsidP="00DD7F70">
      <w:pPr>
        <w:spacing w:line="360" w:lineRule="auto"/>
        <w:jc w:val="both"/>
        <w:rPr>
          <w:rFonts w:ascii="Book Antiqua" w:hAnsi="Book Antiqua" w:cs="Arial"/>
          <w:i/>
          <w:lang w:val="en-CA"/>
        </w:rPr>
      </w:pPr>
    </w:p>
    <w:p w14:paraId="64AD0F18" w14:textId="77777777" w:rsidR="00BD20CB" w:rsidRPr="003A1E48" w:rsidRDefault="00BD20CB" w:rsidP="00DD7F70">
      <w:pPr>
        <w:adjustRightInd w:val="0"/>
        <w:snapToGrid w:val="0"/>
        <w:spacing w:line="360" w:lineRule="auto"/>
        <w:jc w:val="both"/>
        <w:rPr>
          <w:rFonts w:ascii="Book Antiqua" w:hAnsi="Book Antiqua"/>
        </w:rPr>
      </w:pPr>
      <w:r w:rsidRPr="003A1E48">
        <w:rPr>
          <w:rFonts w:ascii="Book Antiqua" w:hAnsi="Book Antiqua"/>
          <w:color w:val="000000"/>
        </w:rPr>
        <w:t>CONCLUSION</w:t>
      </w:r>
    </w:p>
    <w:p w14:paraId="6EA19015" w14:textId="1427E6BC" w:rsidR="00CE012E" w:rsidRPr="003A1E48" w:rsidRDefault="00CE012E" w:rsidP="00DD7F70">
      <w:pPr>
        <w:spacing w:line="360" w:lineRule="auto"/>
        <w:jc w:val="both"/>
        <w:rPr>
          <w:rFonts w:ascii="Book Antiqua" w:hAnsi="Book Antiqua" w:cs="Arial"/>
          <w:lang w:val="en-CA"/>
        </w:rPr>
      </w:pPr>
      <w:r w:rsidRPr="003A1E48">
        <w:rPr>
          <w:rFonts w:ascii="Book Antiqua" w:hAnsi="Book Antiqua" w:cs="Arial"/>
          <w:lang w:val="en-CA"/>
        </w:rPr>
        <w:t>Implementation of a</w:t>
      </w:r>
      <w:r w:rsidR="00506F58" w:rsidRPr="003A1E48">
        <w:rPr>
          <w:rFonts w:ascii="Book Antiqua" w:hAnsi="Book Antiqua" w:cs="Arial"/>
          <w:lang w:val="en-CA"/>
        </w:rPr>
        <w:t xml:space="preserve"> </w:t>
      </w:r>
      <w:r w:rsidRPr="003A1E48">
        <w:rPr>
          <w:rFonts w:ascii="Book Antiqua" w:hAnsi="Book Antiqua" w:cs="Arial"/>
          <w:lang w:val="en-CA"/>
        </w:rPr>
        <w:t>RAC improved patient care by facilitating easier access to IBD specific medical care</w:t>
      </w:r>
      <w:r w:rsidR="00A62AE4" w:rsidRPr="003A1E48">
        <w:rPr>
          <w:rFonts w:ascii="Book Antiqua" w:hAnsi="Book Antiqua" w:cs="Arial"/>
          <w:lang w:val="en-CA"/>
        </w:rPr>
        <w:t>,</w:t>
      </w:r>
      <w:r w:rsidR="00244166" w:rsidRPr="003A1E48">
        <w:rPr>
          <w:rFonts w:ascii="Book Antiqua" w:hAnsi="Book Antiqua" w:cs="Arial"/>
          <w:lang w:val="en-CA"/>
        </w:rPr>
        <w:t xml:space="preserve"> </w:t>
      </w:r>
      <w:r w:rsidR="00A62AE4" w:rsidRPr="003A1E48">
        <w:rPr>
          <w:rFonts w:ascii="Book Antiqua" w:hAnsi="Book Antiqua" w:cs="Arial"/>
          <w:lang w:val="en-CA"/>
        </w:rPr>
        <w:t>optimized resource utilization</w:t>
      </w:r>
      <w:r w:rsidRPr="003A1E48">
        <w:rPr>
          <w:rFonts w:ascii="Book Antiqua" w:hAnsi="Book Antiqua" w:cs="Arial"/>
          <w:lang w:val="en-CA"/>
        </w:rPr>
        <w:t xml:space="preserve"> </w:t>
      </w:r>
      <w:r w:rsidR="00506F58" w:rsidRPr="003A1E48">
        <w:rPr>
          <w:rFonts w:ascii="Book Antiqua" w:hAnsi="Book Antiqua" w:cs="Arial"/>
          <w:lang w:val="en-CA"/>
        </w:rPr>
        <w:t>and</w:t>
      </w:r>
      <w:r w:rsidRPr="003A1E48">
        <w:rPr>
          <w:rFonts w:ascii="Book Antiqua" w:hAnsi="Book Antiqua" w:cs="Arial"/>
          <w:lang w:val="en-CA"/>
        </w:rPr>
        <w:t xml:space="preserve"> </w:t>
      </w:r>
      <w:r w:rsidR="0014629C" w:rsidRPr="003A1E48">
        <w:rPr>
          <w:rFonts w:ascii="Book Antiqua" w:hAnsi="Book Antiqua" w:cs="Arial"/>
          <w:lang w:val="en-CA"/>
        </w:rPr>
        <w:t xml:space="preserve">helped avoiding </w:t>
      </w:r>
      <w:r w:rsidRPr="003A1E48">
        <w:rPr>
          <w:rFonts w:ascii="Book Antiqua" w:hAnsi="Book Antiqua" w:cs="Arial"/>
          <w:lang w:val="en-CA"/>
        </w:rPr>
        <w:t>ED visits</w:t>
      </w:r>
      <w:r w:rsidR="00A62AE4" w:rsidRPr="003A1E48">
        <w:rPr>
          <w:rFonts w:ascii="Book Antiqua" w:hAnsi="Book Antiqua" w:cs="Arial"/>
          <w:lang w:val="en-CA"/>
        </w:rPr>
        <w:t xml:space="preserve"> and </w:t>
      </w:r>
      <w:r w:rsidR="00244166" w:rsidRPr="003A1E48">
        <w:rPr>
          <w:rFonts w:ascii="Book Antiqua" w:hAnsi="Book Antiqua" w:cs="Arial"/>
          <w:lang w:val="en-CA"/>
        </w:rPr>
        <w:t xml:space="preserve">subsequent </w:t>
      </w:r>
      <w:r w:rsidR="00A62AE4" w:rsidRPr="003A1E48">
        <w:rPr>
          <w:rFonts w:ascii="Book Antiqua" w:hAnsi="Book Antiqua" w:cs="Arial"/>
          <w:lang w:val="en-CA"/>
        </w:rPr>
        <w:t>hospitalizations</w:t>
      </w:r>
      <w:r w:rsidRPr="003A1E48">
        <w:rPr>
          <w:rFonts w:ascii="Book Antiqua" w:hAnsi="Book Antiqua" w:cs="Arial"/>
          <w:lang w:val="en-CA"/>
        </w:rPr>
        <w:t xml:space="preserve">. </w:t>
      </w:r>
    </w:p>
    <w:p w14:paraId="47217AC7" w14:textId="77777777" w:rsidR="00B755D0" w:rsidRPr="003A1E48" w:rsidRDefault="00B755D0" w:rsidP="00DD7F70">
      <w:pPr>
        <w:spacing w:line="360" w:lineRule="auto"/>
        <w:jc w:val="both"/>
        <w:rPr>
          <w:rFonts w:ascii="Book Antiqua" w:hAnsi="Book Antiqua" w:cs="Arial"/>
          <w:b/>
          <w:lang w:val="en-CA"/>
        </w:rPr>
      </w:pPr>
    </w:p>
    <w:p w14:paraId="6A700C84" w14:textId="3D6E7F23" w:rsidR="00CE012E" w:rsidRPr="003A1E48" w:rsidRDefault="007B0E0D" w:rsidP="00DD7F70">
      <w:pPr>
        <w:spacing w:line="360" w:lineRule="auto"/>
        <w:jc w:val="both"/>
        <w:rPr>
          <w:rFonts w:ascii="Book Antiqua" w:hAnsi="Book Antiqua" w:cs="Arial"/>
          <w:bCs/>
          <w:lang w:val="en-CA"/>
        </w:rPr>
      </w:pPr>
      <w:r w:rsidRPr="003A1E48">
        <w:rPr>
          <w:rFonts w:ascii="Book Antiqua" w:hAnsi="Book Antiqua" w:cs="Arial"/>
          <w:b/>
          <w:lang w:val="en-CA"/>
        </w:rPr>
        <w:t>Key words:</w:t>
      </w:r>
      <w:r w:rsidR="00E931F9" w:rsidRPr="003A1E48">
        <w:rPr>
          <w:rFonts w:ascii="Book Antiqua" w:hAnsi="Book Antiqua" w:cs="Arial"/>
          <w:b/>
          <w:lang w:val="en-CA"/>
        </w:rPr>
        <w:t xml:space="preserve"> </w:t>
      </w:r>
      <w:r w:rsidR="003C7B77" w:rsidRPr="003A1E48">
        <w:rPr>
          <w:rFonts w:ascii="Book Antiqua" w:hAnsi="Book Antiqua" w:cs="Arial"/>
          <w:bCs/>
          <w:lang w:val="en-CA"/>
        </w:rPr>
        <w:t xml:space="preserve">Crohn’s disease; </w:t>
      </w:r>
      <w:bookmarkStart w:id="4" w:name="OLE_LINK6"/>
      <w:bookmarkStart w:id="5" w:name="OLE_LINK7"/>
      <w:r w:rsidR="00BD20CB" w:rsidRPr="003A1E48">
        <w:rPr>
          <w:rFonts w:ascii="Book Antiqua" w:hAnsi="Book Antiqua" w:cs="Arial"/>
          <w:bCs/>
          <w:lang w:val="en-CA"/>
        </w:rPr>
        <w:t xml:space="preserve">Ulcerative </w:t>
      </w:r>
      <w:r w:rsidR="003C7B77" w:rsidRPr="003A1E48">
        <w:rPr>
          <w:rFonts w:ascii="Book Antiqua" w:hAnsi="Book Antiqua" w:cs="Arial"/>
          <w:bCs/>
          <w:lang w:val="en-CA"/>
        </w:rPr>
        <w:t>colitis</w:t>
      </w:r>
      <w:bookmarkEnd w:id="4"/>
      <w:bookmarkEnd w:id="5"/>
      <w:r w:rsidR="003C7B77" w:rsidRPr="003A1E48">
        <w:rPr>
          <w:rFonts w:ascii="Book Antiqua" w:hAnsi="Book Antiqua" w:cs="Arial"/>
          <w:bCs/>
          <w:lang w:val="en-CA"/>
        </w:rPr>
        <w:t>;</w:t>
      </w:r>
      <w:r w:rsidR="00E931F9" w:rsidRPr="003A1E48">
        <w:rPr>
          <w:rFonts w:ascii="Book Antiqua" w:hAnsi="Book Antiqua" w:cs="Arial"/>
          <w:bCs/>
          <w:lang w:val="en-CA"/>
        </w:rPr>
        <w:t xml:space="preserve"> </w:t>
      </w:r>
      <w:bookmarkStart w:id="6" w:name="OLE_LINK8"/>
      <w:bookmarkStart w:id="7" w:name="OLE_LINK9"/>
      <w:r w:rsidR="00BD20CB" w:rsidRPr="003A1E48">
        <w:rPr>
          <w:rFonts w:ascii="Book Antiqua" w:hAnsi="Book Antiqua" w:cs="Arial"/>
          <w:bCs/>
          <w:lang w:val="en-CA"/>
        </w:rPr>
        <w:t xml:space="preserve">Rapid </w:t>
      </w:r>
      <w:r w:rsidR="00341DFA" w:rsidRPr="003A1E48">
        <w:rPr>
          <w:rFonts w:ascii="Book Antiqua" w:hAnsi="Book Antiqua" w:cs="Arial"/>
          <w:bCs/>
          <w:lang w:val="en-CA"/>
        </w:rPr>
        <w:t>access</w:t>
      </w:r>
      <w:bookmarkEnd w:id="6"/>
      <w:bookmarkEnd w:id="7"/>
      <w:r w:rsidR="00341DFA" w:rsidRPr="003A1E48">
        <w:rPr>
          <w:rFonts w:ascii="Book Antiqua" w:hAnsi="Book Antiqua" w:cs="Arial"/>
          <w:bCs/>
          <w:lang w:val="en-CA"/>
        </w:rPr>
        <w:t xml:space="preserve">; </w:t>
      </w:r>
      <w:bookmarkStart w:id="8" w:name="OLE_LINK10"/>
      <w:r w:rsidR="00BD20CB" w:rsidRPr="003A1E48">
        <w:rPr>
          <w:rFonts w:ascii="Book Antiqua" w:hAnsi="Book Antiqua" w:cs="Arial"/>
          <w:bCs/>
          <w:lang w:val="en-CA"/>
        </w:rPr>
        <w:t>Quality</w:t>
      </w:r>
      <w:r w:rsidR="00341DFA" w:rsidRPr="003A1E48">
        <w:rPr>
          <w:rFonts w:ascii="Book Antiqua" w:hAnsi="Book Antiqua" w:cs="Arial"/>
          <w:bCs/>
          <w:lang w:val="en-CA"/>
        </w:rPr>
        <w:t>-of-care</w:t>
      </w:r>
      <w:bookmarkEnd w:id="8"/>
      <w:r w:rsidR="00341DFA" w:rsidRPr="003A1E48">
        <w:rPr>
          <w:rFonts w:ascii="Book Antiqua" w:hAnsi="Book Antiqua" w:cs="Arial"/>
          <w:bCs/>
          <w:lang w:val="en-CA"/>
        </w:rPr>
        <w:t xml:space="preserve">; </w:t>
      </w:r>
      <w:bookmarkStart w:id="9" w:name="OLE_LINK11"/>
      <w:r w:rsidR="00BD20CB" w:rsidRPr="003A1E48">
        <w:rPr>
          <w:rFonts w:ascii="Book Antiqua" w:hAnsi="Book Antiqua" w:cs="Arial"/>
          <w:bCs/>
          <w:lang w:val="en-CA"/>
        </w:rPr>
        <w:t xml:space="preserve">Emergency </w:t>
      </w:r>
      <w:r w:rsidR="00341DFA" w:rsidRPr="003A1E48">
        <w:rPr>
          <w:rFonts w:ascii="Book Antiqua" w:hAnsi="Book Antiqua" w:cs="Arial"/>
          <w:bCs/>
          <w:lang w:val="en-CA"/>
        </w:rPr>
        <w:t>department</w:t>
      </w:r>
      <w:bookmarkEnd w:id="9"/>
    </w:p>
    <w:p w14:paraId="71C6E3EC" w14:textId="77777777" w:rsidR="00BD20CB" w:rsidRPr="003A1E48" w:rsidRDefault="00BD20CB" w:rsidP="00DD7F70">
      <w:pPr>
        <w:spacing w:line="360" w:lineRule="auto"/>
        <w:jc w:val="both"/>
        <w:rPr>
          <w:rFonts w:ascii="Book Antiqua" w:hAnsi="Book Antiqua" w:cs="Arial"/>
          <w:b/>
          <w:bCs/>
          <w:lang w:val="en-CA"/>
        </w:rPr>
      </w:pPr>
    </w:p>
    <w:p w14:paraId="7622BB02" w14:textId="5CE49772" w:rsidR="00BD20CB" w:rsidRPr="003A1E48" w:rsidRDefault="00BD20CB" w:rsidP="00DD7F70">
      <w:pPr>
        <w:adjustRightInd w:val="0"/>
        <w:snapToGrid w:val="0"/>
        <w:spacing w:line="360" w:lineRule="auto"/>
        <w:jc w:val="both"/>
        <w:rPr>
          <w:rFonts w:ascii="Book Antiqua" w:hAnsi="Book Antiqua"/>
          <w:bCs/>
        </w:rPr>
      </w:pPr>
      <w:r w:rsidRPr="003A1E48">
        <w:rPr>
          <w:rFonts w:ascii="Book Antiqua" w:hAnsi="Book Antiqua" w:cs="Arial"/>
          <w:bCs/>
          <w:lang w:val="en-CA"/>
        </w:rPr>
        <w:t xml:space="preserve">Nene S, </w:t>
      </w:r>
      <w:proofErr w:type="spellStart"/>
      <w:r w:rsidRPr="003A1E48">
        <w:rPr>
          <w:rFonts w:ascii="Book Antiqua" w:hAnsi="Book Antiqua" w:cs="Arial"/>
          <w:bCs/>
          <w:lang w:val="en-CA"/>
        </w:rPr>
        <w:t>Gonczi</w:t>
      </w:r>
      <w:proofErr w:type="spellEnd"/>
      <w:r w:rsidRPr="003A1E48">
        <w:rPr>
          <w:rFonts w:ascii="Book Antiqua" w:hAnsi="Book Antiqua" w:cs="Arial"/>
          <w:bCs/>
          <w:lang w:val="en-CA"/>
        </w:rPr>
        <w:t xml:space="preserve"> L, </w:t>
      </w:r>
      <w:proofErr w:type="spellStart"/>
      <w:r w:rsidRPr="003A1E48">
        <w:rPr>
          <w:rFonts w:ascii="Book Antiqua" w:hAnsi="Book Antiqua" w:cs="Arial"/>
          <w:lang w:val="en-CA"/>
        </w:rPr>
        <w:t>Kurti</w:t>
      </w:r>
      <w:proofErr w:type="spellEnd"/>
      <w:r w:rsidRPr="003A1E48">
        <w:rPr>
          <w:rFonts w:ascii="Book Antiqua" w:hAnsi="Book Antiqua" w:cs="Arial"/>
          <w:lang w:val="en-CA"/>
        </w:rPr>
        <w:t xml:space="preserve"> Z, Morin I, Chavez K, Verdon C, </w:t>
      </w:r>
      <w:proofErr w:type="spellStart"/>
      <w:r w:rsidRPr="003A1E48">
        <w:rPr>
          <w:rFonts w:ascii="Book Antiqua" w:hAnsi="Book Antiqua" w:cs="Arial"/>
          <w:lang w:val="en-CA"/>
        </w:rPr>
        <w:t>Reinglas</w:t>
      </w:r>
      <w:proofErr w:type="spellEnd"/>
      <w:r w:rsidRPr="003A1E48">
        <w:rPr>
          <w:rFonts w:ascii="Book Antiqua" w:hAnsi="Book Antiqua" w:cs="Arial"/>
          <w:lang w:val="en-CA"/>
        </w:rPr>
        <w:t xml:space="preserve"> J, Kohen R, </w:t>
      </w:r>
      <w:proofErr w:type="spellStart"/>
      <w:r w:rsidRPr="003A1E48">
        <w:rPr>
          <w:rFonts w:ascii="Book Antiqua" w:hAnsi="Book Antiqua" w:cs="Arial"/>
          <w:lang w:val="en-CA"/>
        </w:rPr>
        <w:t>Bessissow</w:t>
      </w:r>
      <w:proofErr w:type="spellEnd"/>
      <w:r w:rsidRPr="003A1E48">
        <w:rPr>
          <w:rFonts w:ascii="Book Antiqua" w:hAnsi="Book Antiqua" w:cs="Arial"/>
          <w:lang w:val="en-CA"/>
        </w:rPr>
        <w:t xml:space="preserve"> T, </w:t>
      </w:r>
      <w:proofErr w:type="spellStart"/>
      <w:r w:rsidRPr="003A1E48">
        <w:rPr>
          <w:rFonts w:ascii="Book Antiqua" w:hAnsi="Book Antiqua" w:cs="Arial"/>
          <w:lang w:val="en-CA"/>
        </w:rPr>
        <w:t>Afif</w:t>
      </w:r>
      <w:proofErr w:type="spellEnd"/>
      <w:r w:rsidRPr="003A1E48">
        <w:rPr>
          <w:rFonts w:ascii="Book Antiqua" w:hAnsi="Book Antiqua" w:cs="Arial"/>
          <w:lang w:val="en-CA"/>
        </w:rPr>
        <w:t xml:space="preserve"> W, Wild G, Seidman E, </w:t>
      </w:r>
      <w:proofErr w:type="spellStart"/>
      <w:r w:rsidRPr="003A1E48">
        <w:rPr>
          <w:rFonts w:ascii="Book Antiqua" w:hAnsi="Book Antiqua" w:cs="Arial"/>
          <w:lang w:val="en-CA"/>
        </w:rPr>
        <w:t>Bitton</w:t>
      </w:r>
      <w:proofErr w:type="spellEnd"/>
      <w:r w:rsidRPr="003A1E48">
        <w:rPr>
          <w:rFonts w:ascii="Book Antiqua" w:hAnsi="Book Antiqua" w:cs="Arial"/>
          <w:lang w:val="en-CA"/>
        </w:rPr>
        <w:t xml:space="preserve"> A, Lakatos PL. </w:t>
      </w:r>
      <w:r w:rsidRPr="003A1E48">
        <w:rPr>
          <w:rFonts w:ascii="Book Antiqua" w:hAnsi="Book Antiqua" w:cs="Arial"/>
          <w:bCs/>
          <w:lang w:val="en-CA"/>
        </w:rPr>
        <w:t xml:space="preserve">Benefits of implementing a </w:t>
      </w:r>
      <w:r w:rsidR="002918E2" w:rsidRPr="003A1E48">
        <w:rPr>
          <w:rFonts w:ascii="Book Antiqua" w:hAnsi="Book Antiqua" w:cs="Arial"/>
          <w:bCs/>
          <w:lang w:val="en-CA"/>
        </w:rPr>
        <w:t>rapid access cli</w:t>
      </w:r>
      <w:r w:rsidR="00DD7F70" w:rsidRPr="003A1E48">
        <w:rPr>
          <w:rFonts w:ascii="Book Antiqua" w:hAnsi="Book Antiqua" w:cs="Arial"/>
          <w:bCs/>
          <w:lang w:val="en-CA"/>
        </w:rPr>
        <w:t>nic</w:t>
      </w:r>
      <w:r w:rsidRPr="003A1E48">
        <w:rPr>
          <w:rFonts w:ascii="Book Antiqua" w:hAnsi="Book Antiqua" w:cs="Arial"/>
          <w:bCs/>
          <w:lang w:val="en-CA"/>
        </w:rPr>
        <w:t xml:space="preserve"> in a high-volume inflammatory bowel disease center: Access, resource utilization and outcomes. </w:t>
      </w:r>
      <w:r w:rsidRPr="003A1E48">
        <w:rPr>
          <w:rFonts w:ascii="Book Antiqua" w:hAnsi="Book Antiqua"/>
          <w:i/>
          <w:color w:val="000000"/>
        </w:rPr>
        <w:t>World J Gastroenterol</w:t>
      </w:r>
      <w:r w:rsidRPr="003A1E48">
        <w:rPr>
          <w:rFonts w:ascii="Book Antiqua" w:hAnsi="Book Antiqua"/>
          <w:color w:val="000000"/>
        </w:rPr>
        <w:t xml:space="preserve"> 2020; </w:t>
      </w:r>
      <w:r w:rsidRPr="003A1E48">
        <w:rPr>
          <w:rFonts w:ascii="Book Antiqua" w:hAnsi="Book Antiqua"/>
          <w:bCs/>
        </w:rPr>
        <w:t>In press</w:t>
      </w:r>
    </w:p>
    <w:p w14:paraId="5FFECE28" w14:textId="77777777" w:rsidR="00341DFA" w:rsidRPr="003A1E48" w:rsidRDefault="00341DFA" w:rsidP="00DD7F70">
      <w:pPr>
        <w:spacing w:line="360" w:lineRule="auto"/>
        <w:jc w:val="both"/>
        <w:rPr>
          <w:rFonts w:ascii="Book Antiqua" w:hAnsi="Book Antiqua" w:cs="Arial"/>
          <w:bCs/>
          <w:lang w:val="en-CA"/>
        </w:rPr>
      </w:pPr>
    </w:p>
    <w:p w14:paraId="7B0CADCB" w14:textId="72B3BF66" w:rsidR="00341DFA" w:rsidRPr="003A1E48" w:rsidRDefault="00341DFA" w:rsidP="00DD7F70">
      <w:pPr>
        <w:spacing w:line="360" w:lineRule="auto"/>
        <w:jc w:val="both"/>
        <w:rPr>
          <w:rFonts w:ascii="Book Antiqua" w:hAnsi="Book Antiqua" w:cs="Arial"/>
        </w:rPr>
      </w:pPr>
      <w:r w:rsidRPr="003A1E48">
        <w:rPr>
          <w:rFonts w:ascii="Book Antiqua" w:hAnsi="Book Antiqua" w:cs="Arial"/>
          <w:b/>
          <w:bCs/>
          <w:lang w:val="en-CA"/>
        </w:rPr>
        <w:t xml:space="preserve">Core tip: </w:t>
      </w:r>
      <w:bookmarkStart w:id="10" w:name="OLE_LINK12"/>
      <w:r w:rsidR="0019373F" w:rsidRPr="003A1E48">
        <w:rPr>
          <w:rFonts w:ascii="Book Antiqua" w:hAnsi="Book Antiqua" w:cs="Arial"/>
          <w:bCs/>
          <w:lang w:val="en-CA"/>
        </w:rPr>
        <w:t xml:space="preserve">The present study </w:t>
      </w:r>
      <w:r w:rsidR="00BD20CB" w:rsidRPr="003A1E48">
        <w:rPr>
          <w:rFonts w:ascii="Book Antiqua" w:hAnsi="Book Antiqua" w:cs="Arial"/>
          <w:bCs/>
          <w:lang w:val="en-CA"/>
        </w:rPr>
        <w:t>reports</w:t>
      </w:r>
      <w:r w:rsidR="0019373F" w:rsidRPr="003A1E48">
        <w:rPr>
          <w:rFonts w:ascii="Book Antiqua" w:hAnsi="Book Antiqua" w:cs="Arial"/>
          <w:bCs/>
          <w:lang w:val="en-CA"/>
        </w:rPr>
        <w:t xml:space="preserve"> a </w:t>
      </w:r>
      <w:r w:rsidR="0019373F" w:rsidRPr="003A1E48">
        <w:rPr>
          <w:rFonts w:ascii="Book Antiqua" w:hAnsi="Book Antiqua" w:cs="Arial"/>
        </w:rPr>
        <w:t xml:space="preserve">comprehensive analysis of patient access, resource utilization, costs and outcome measures of a newly implemented formal </w:t>
      </w:r>
      <w:r w:rsidR="00BD20CB" w:rsidRPr="003A1E48">
        <w:rPr>
          <w:rFonts w:ascii="Book Antiqua" w:hAnsi="Book Antiqua" w:cs="Arial"/>
          <w:lang w:val="en-CA"/>
        </w:rPr>
        <w:t xml:space="preserve">inflammatory bowel diseases (IBD) </w:t>
      </w:r>
      <w:r w:rsidR="0019373F" w:rsidRPr="003A1E48">
        <w:rPr>
          <w:rFonts w:ascii="Book Antiqua" w:hAnsi="Book Antiqua" w:cs="Arial"/>
        </w:rPr>
        <w:t xml:space="preserve">specific </w:t>
      </w:r>
      <w:r w:rsidR="002918E2" w:rsidRPr="003A1E48">
        <w:rPr>
          <w:rFonts w:ascii="Book Antiqua" w:hAnsi="Book Antiqua" w:cs="Arial"/>
        </w:rPr>
        <w:t>rapid access cl</w:t>
      </w:r>
      <w:r w:rsidR="00DD7F70" w:rsidRPr="003A1E48">
        <w:rPr>
          <w:rFonts w:ascii="Book Antiqua" w:hAnsi="Book Antiqua" w:cs="Arial"/>
        </w:rPr>
        <w:t>inic</w:t>
      </w:r>
      <w:r w:rsidR="0019373F" w:rsidRPr="003A1E48">
        <w:rPr>
          <w:rFonts w:ascii="Book Antiqua" w:hAnsi="Book Antiqua" w:cs="Arial"/>
        </w:rPr>
        <w:t xml:space="preserve"> service compared to usual emergency department visits in IBD patients from a single academic center in North America. Creating a </w:t>
      </w:r>
      <w:r w:rsidR="002918E2" w:rsidRPr="003A1E48">
        <w:rPr>
          <w:rFonts w:ascii="Book Antiqua" w:hAnsi="Book Antiqua" w:cs="Arial"/>
          <w:lang w:val="en-CA"/>
        </w:rPr>
        <w:t>rapid access cl</w:t>
      </w:r>
      <w:r w:rsidR="00DD7F70" w:rsidRPr="003A1E48">
        <w:rPr>
          <w:rFonts w:ascii="Book Antiqua" w:hAnsi="Book Antiqua" w:cs="Arial"/>
          <w:lang w:val="en-CA"/>
        </w:rPr>
        <w:t>inic</w:t>
      </w:r>
      <w:r w:rsidR="00BD20CB" w:rsidRPr="003A1E48">
        <w:rPr>
          <w:rFonts w:ascii="Book Antiqua" w:hAnsi="Book Antiqua" w:cs="Arial"/>
          <w:lang w:val="en-CA"/>
        </w:rPr>
        <w:t xml:space="preserve"> </w:t>
      </w:r>
      <w:r w:rsidR="0019373F" w:rsidRPr="003A1E48">
        <w:rPr>
          <w:rFonts w:ascii="Book Antiqua" w:hAnsi="Book Antiqua" w:cs="Arial"/>
        </w:rPr>
        <w:t xml:space="preserve">service for IBD patients is associated with quick patient access, optimized and specific use of diagnostic procedures and services, with similar outcome parameters and lower resource utilization and overall costs compared to regular </w:t>
      </w:r>
      <w:r w:rsidR="003A1E48" w:rsidRPr="003A1E48">
        <w:rPr>
          <w:rFonts w:ascii="Book Antiqua" w:hAnsi="Book Antiqua" w:cs="Arial"/>
          <w:lang w:val="en-CA"/>
        </w:rPr>
        <w:t xml:space="preserve">emergency department </w:t>
      </w:r>
      <w:r w:rsidR="0019373F" w:rsidRPr="003A1E48">
        <w:rPr>
          <w:rFonts w:ascii="Book Antiqua" w:hAnsi="Book Antiqua" w:cs="Arial"/>
        </w:rPr>
        <w:t>visits for IBD patients.</w:t>
      </w:r>
    </w:p>
    <w:bookmarkEnd w:id="10"/>
    <w:p w14:paraId="6EAF3D87" w14:textId="086ACAEB" w:rsidR="00607B0C" w:rsidRPr="003A1E48" w:rsidRDefault="00607B0C" w:rsidP="00DD7F70">
      <w:pPr>
        <w:spacing w:line="360" w:lineRule="auto"/>
        <w:jc w:val="both"/>
        <w:rPr>
          <w:rFonts w:ascii="Book Antiqua" w:hAnsi="Book Antiqua" w:cs="Arial"/>
          <w:b/>
          <w:lang w:val="en-CA"/>
        </w:rPr>
      </w:pPr>
      <w:r w:rsidRPr="003A1E48">
        <w:rPr>
          <w:rFonts w:ascii="Book Antiqua" w:hAnsi="Book Antiqua" w:cs="Arial"/>
          <w:b/>
          <w:lang w:val="en-CA"/>
        </w:rPr>
        <w:br w:type="page"/>
      </w:r>
    </w:p>
    <w:p w14:paraId="2ED22CE9" w14:textId="77777777" w:rsidR="00BD20CB" w:rsidRPr="003A1E48" w:rsidRDefault="00BD20CB"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lastRenderedPageBreak/>
        <w:t>INTRODUCTION</w:t>
      </w:r>
    </w:p>
    <w:p w14:paraId="16D5440B" w14:textId="34B6413D" w:rsidR="006128B1" w:rsidRPr="003A1E48" w:rsidRDefault="005C4870" w:rsidP="00DD7F70">
      <w:pPr>
        <w:spacing w:line="360" w:lineRule="auto"/>
        <w:jc w:val="both"/>
        <w:rPr>
          <w:rFonts w:ascii="Book Antiqua" w:hAnsi="Book Antiqua" w:cs="Arial"/>
          <w:lang w:val="en-CA"/>
        </w:rPr>
      </w:pPr>
      <w:r w:rsidRPr="003A1E48">
        <w:rPr>
          <w:rFonts w:ascii="Book Antiqua" w:hAnsi="Book Antiqua" w:cs="Arial"/>
          <w:lang w:val="en-CA"/>
        </w:rPr>
        <w:t>Inflammatory bowel diseases (IBD)</w:t>
      </w:r>
      <w:r w:rsidR="00C95DD5" w:rsidRPr="003A1E48">
        <w:rPr>
          <w:rFonts w:ascii="Book Antiqua" w:hAnsi="Book Antiqua" w:cs="Arial"/>
          <w:lang w:val="en-CA"/>
        </w:rPr>
        <w:t xml:space="preserve"> </w:t>
      </w:r>
      <w:r w:rsidRPr="003A1E48">
        <w:rPr>
          <w:rFonts w:ascii="Book Antiqua" w:hAnsi="Book Antiqua" w:cs="Arial"/>
          <w:lang w:val="en-CA"/>
        </w:rPr>
        <w:t xml:space="preserve">are chronic inflammatory conditions </w:t>
      </w:r>
      <w:r w:rsidR="00482BC6" w:rsidRPr="003A1E48">
        <w:rPr>
          <w:rFonts w:ascii="Book Antiqua" w:hAnsi="Book Antiqua" w:cs="Arial"/>
          <w:lang w:val="en-CA"/>
        </w:rPr>
        <w:t xml:space="preserve">which </w:t>
      </w:r>
      <w:r w:rsidRPr="003A1E48">
        <w:rPr>
          <w:rFonts w:ascii="Book Antiqua" w:hAnsi="Book Antiqua" w:cs="Arial"/>
          <w:lang w:val="en-CA"/>
        </w:rPr>
        <w:t xml:space="preserve">affect </w:t>
      </w:r>
      <w:r w:rsidR="008246F2" w:rsidRPr="003A1E48">
        <w:rPr>
          <w:rFonts w:ascii="Book Antiqua" w:hAnsi="Book Antiqua" w:cs="Arial"/>
          <w:lang w:val="en-CA"/>
        </w:rPr>
        <w:t>the patient’s</w:t>
      </w:r>
      <w:r w:rsidRPr="003A1E48">
        <w:rPr>
          <w:rFonts w:ascii="Book Antiqua" w:hAnsi="Book Antiqua" w:cs="Arial"/>
          <w:lang w:val="en-CA"/>
        </w:rPr>
        <w:t xml:space="preserve"> physical health, quality of life and social functioning.</w:t>
      </w:r>
      <w:r w:rsidR="008246F2" w:rsidRPr="003A1E48">
        <w:rPr>
          <w:rFonts w:ascii="Book Antiqua" w:hAnsi="Book Antiqua" w:cs="Arial"/>
          <w:lang w:val="en-CA"/>
        </w:rPr>
        <w:t xml:space="preserve"> </w:t>
      </w:r>
      <w:r w:rsidR="00F341AE" w:rsidRPr="003A1E48">
        <w:rPr>
          <w:rFonts w:ascii="Book Antiqua" w:hAnsi="Book Antiqua" w:cs="Arial"/>
        </w:rPr>
        <w:t xml:space="preserve">This </w:t>
      </w:r>
      <w:r w:rsidR="0074410F" w:rsidRPr="003A1E48">
        <w:rPr>
          <w:rFonts w:ascii="Book Antiqua" w:hAnsi="Book Antiqua" w:cs="Arial"/>
        </w:rPr>
        <w:t>creates</w:t>
      </w:r>
      <w:r w:rsidR="00482BC6" w:rsidRPr="003A1E48">
        <w:rPr>
          <w:rFonts w:ascii="Book Antiqua" w:hAnsi="Book Antiqua" w:cs="Arial"/>
        </w:rPr>
        <w:t xml:space="preserve"> </w:t>
      </w:r>
      <w:r w:rsidR="00F341AE" w:rsidRPr="003A1E48">
        <w:rPr>
          <w:rFonts w:ascii="Book Antiqua" w:hAnsi="Book Antiqua" w:cs="Arial"/>
        </w:rPr>
        <w:t>an ongoing need for interactions with the healthcare system</w:t>
      </w:r>
      <w:r w:rsidR="00540451" w:rsidRPr="003A1E48">
        <w:rPr>
          <w:rFonts w:ascii="Book Antiqua" w:hAnsi="Book Antiqua" w:cs="Arial"/>
        </w:rPr>
        <w:t>,</w:t>
      </w:r>
      <w:r w:rsidR="00F341AE" w:rsidRPr="003A1E48">
        <w:rPr>
          <w:rFonts w:ascii="Book Antiqua" w:hAnsi="Book Antiqua" w:cs="Arial"/>
        </w:rPr>
        <w:t xml:space="preserve"> as </w:t>
      </w:r>
      <w:r w:rsidR="00C95DD5" w:rsidRPr="003A1E48">
        <w:rPr>
          <w:rFonts w:ascii="Book Antiqua" w:hAnsi="Book Antiqua" w:cs="Arial"/>
          <w:lang w:val="en-CA"/>
        </w:rPr>
        <w:t>IBD p</w:t>
      </w:r>
      <w:r w:rsidRPr="003A1E48">
        <w:rPr>
          <w:rFonts w:ascii="Book Antiqua" w:hAnsi="Book Antiqua" w:cs="Arial"/>
          <w:lang w:val="en-CA"/>
        </w:rPr>
        <w:t xml:space="preserve">atients are </w:t>
      </w:r>
      <w:r w:rsidR="00C95DD5" w:rsidRPr="003A1E48">
        <w:rPr>
          <w:rFonts w:ascii="Book Antiqua" w:hAnsi="Book Antiqua" w:cs="Arial"/>
          <w:lang w:val="en-CA"/>
        </w:rPr>
        <w:t>known to have high</w:t>
      </w:r>
      <w:r w:rsidRPr="003A1E48">
        <w:rPr>
          <w:rFonts w:ascii="Book Antiqua" w:hAnsi="Book Antiqua" w:cs="Arial"/>
          <w:lang w:val="en-CA"/>
        </w:rPr>
        <w:t xml:space="preserve"> risk </w:t>
      </w:r>
      <w:r w:rsidR="00C95DD5" w:rsidRPr="003A1E48">
        <w:rPr>
          <w:rFonts w:ascii="Book Antiqua" w:hAnsi="Book Antiqua" w:cs="Arial"/>
          <w:lang w:val="en-CA"/>
        </w:rPr>
        <w:t>for developing</w:t>
      </w:r>
      <w:r w:rsidRPr="003A1E48">
        <w:rPr>
          <w:rFonts w:ascii="Book Antiqua" w:hAnsi="Book Antiqua" w:cs="Arial"/>
          <w:lang w:val="en-CA"/>
        </w:rPr>
        <w:t xml:space="preserve"> </w:t>
      </w:r>
      <w:r w:rsidR="00F208EE" w:rsidRPr="003A1E48">
        <w:rPr>
          <w:rFonts w:ascii="Book Antiqua" w:hAnsi="Book Antiqua" w:cs="Arial"/>
          <w:lang w:val="en-CA"/>
        </w:rPr>
        <w:t>seve</w:t>
      </w:r>
      <w:r w:rsidR="00944CCB" w:rsidRPr="003A1E48">
        <w:rPr>
          <w:rFonts w:ascii="Book Antiqua" w:hAnsi="Book Antiqua" w:cs="Arial"/>
          <w:lang w:val="en-CA"/>
        </w:rPr>
        <w:t>r</w:t>
      </w:r>
      <w:r w:rsidR="00482BC6" w:rsidRPr="003A1E48">
        <w:rPr>
          <w:rFonts w:ascii="Book Antiqua" w:hAnsi="Book Antiqua" w:cs="Arial"/>
          <w:lang w:val="en-CA"/>
        </w:rPr>
        <w:t>e</w:t>
      </w:r>
      <w:r w:rsidR="00944CCB" w:rsidRPr="003A1E48">
        <w:rPr>
          <w:rFonts w:ascii="Book Antiqua" w:hAnsi="Book Antiqua" w:cs="Arial"/>
          <w:lang w:val="en-CA"/>
        </w:rPr>
        <w:t xml:space="preserve"> disease related complications</w:t>
      </w:r>
      <w:r w:rsidR="00540451" w:rsidRPr="003A1E48">
        <w:rPr>
          <w:rFonts w:ascii="Book Antiqua" w:hAnsi="Book Antiqua" w:cs="Arial"/>
          <w:lang w:val="en-CA"/>
        </w:rPr>
        <w:t>,</w:t>
      </w:r>
      <w:r w:rsidR="00AD5492" w:rsidRPr="003A1E48">
        <w:rPr>
          <w:rFonts w:ascii="Book Antiqua" w:hAnsi="Book Antiqua" w:cs="Arial"/>
          <w:lang w:val="en-CA"/>
        </w:rPr>
        <w:t xml:space="preserve"> </w:t>
      </w:r>
      <w:r w:rsidR="002A51C2" w:rsidRPr="003A1E48">
        <w:rPr>
          <w:rFonts w:ascii="Book Antiqua" w:hAnsi="Book Antiqua" w:cs="Arial"/>
          <w:lang w:val="en-CA"/>
        </w:rPr>
        <w:t>as well as</w:t>
      </w:r>
      <w:r w:rsidR="00AD5492" w:rsidRPr="003A1E48">
        <w:rPr>
          <w:rFonts w:ascii="Book Antiqua" w:hAnsi="Book Antiqua" w:cs="Arial"/>
          <w:lang w:val="en-CA"/>
        </w:rPr>
        <w:t xml:space="preserve"> drug related adverse </w:t>
      </w:r>
      <w:proofErr w:type="gramStart"/>
      <w:r w:rsidR="00AD5492" w:rsidRPr="003A1E48">
        <w:rPr>
          <w:rFonts w:ascii="Book Antiqua" w:hAnsi="Book Antiqua" w:cs="Arial"/>
          <w:lang w:val="en-CA"/>
        </w:rPr>
        <w:t>events</w:t>
      </w:r>
      <w:r w:rsidR="00BD20CB" w:rsidRPr="003A1E48">
        <w:rPr>
          <w:rFonts w:ascii="Book Antiqua" w:hAnsi="Book Antiqua" w:cs="Arial"/>
          <w:vertAlign w:val="superscript"/>
          <w:lang w:val="en-CA"/>
        </w:rPr>
        <w:t>[</w:t>
      </w:r>
      <w:proofErr w:type="gramEnd"/>
      <w:r w:rsidR="00BD20CB" w:rsidRPr="003A1E48">
        <w:rPr>
          <w:rFonts w:ascii="Book Antiqua" w:hAnsi="Book Antiqua" w:cs="Arial"/>
          <w:vertAlign w:val="superscript"/>
          <w:lang w:val="en-CA"/>
        </w:rPr>
        <w:t>1,2]</w:t>
      </w:r>
      <w:r w:rsidRPr="003A1E48">
        <w:rPr>
          <w:rFonts w:ascii="Book Antiqua" w:hAnsi="Book Antiqua" w:cs="Arial"/>
          <w:lang w:val="en-CA"/>
        </w:rPr>
        <w:t xml:space="preserve">. </w:t>
      </w:r>
      <w:r w:rsidR="00F208EE" w:rsidRPr="003A1E48">
        <w:rPr>
          <w:rFonts w:ascii="Book Antiqua" w:hAnsi="Book Antiqua" w:cs="Arial"/>
          <w:lang w:val="en-CA"/>
        </w:rPr>
        <w:t xml:space="preserve">As a result, </w:t>
      </w:r>
      <w:r w:rsidR="008246F2" w:rsidRPr="003A1E48">
        <w:rPr>
          <w:rFonts w:ascii="Book Antiqua" w:hAnsi="Book Antiqua" w:cs="Arial"/>
          <w:lang w:val="en-CA"/>
        </w:rPr>
        <w:t>IBD</w:t>
      </w:r>
      <w:r w:rsidR="00F208EE" w:rsidRPr="003A1E48">
        <w:rPr>
          <w:rFonts w:ascii="Book Antiqua" w:hAnsi="Book Antiqua" w:cs="Arial"/>
          <w:lang w:val="en-CA"/>
        </w:rPr>
        <w:t xml:space="preserve"> pat</w:t>
      </w:r>
      <w:r w:rsidRPr="003A1E48">
        <w:rPr>
          <w:rFonts w:ascii="Book Antiqua" w:hAnsi="Book Antiqua" w:cs="Arial"/>
          <w:lang w:val="en-CA"/>
        </w:rPr>
        <w:t>ients</w:t>
      </w:r>
      <w:r w:rsidR="00F208EE" w:rsidRPr="003A1E48">
        <w:rPr>
          <w:rFonts w:ascii="Book Antiqua" w:hAnsi="Book Antiqua" w:cs="Arial"/>
          <w:lang w:val="en-CA"/>
        </w:rPr>
        <w:t xml:space="preserve"> ar</w:t>
      </w:r>
      <w:r w:rsidR="0024230F" w:rsidRPr="003A1E48">
        <w:rPr>
          <w:rFonts w:ascii="Book Antiqua" w:hAnsi="Book Antiqua" w:cs="Arial"/>
          <w:lang w:val="en-CA"/>
        </w:rPr>
        <w:t>e</w:t>
      </w:r>
      <w:r w:rsidR="00F208EE" w:rsidRPr="003A1E48">
        <w:rPr>
          <w:rFonts w:ascii="Book Antiqua" w:hAnsi="Book Antiqua" w:cs="Arial"/>
          <w:lang w:val="en-CA"/>
        </w:rPr>
        <w:t xml:space="preserve"> high consumers of </w:t>
      </w:r>
      <w:r w:rsidR="00996B4B" w:rsidRPr="003A1E48">
        <w:rPr>
          <w:rFonts w:ascii="Book Antiqua" w:hAnsi="Book Antiqua" w:cs="Arial"/>
          <w:lang w:val="en-CA"/>
        </w:rPr>
        <w:t xml:space="preserve">acute-care services and </w:t>
      </w:r>
      <w:r w:rsidR="00F208EE" w:rsidRPr="003A1E48">
        <w:rPr>
          <w:rFonts w:ascii="Book Antiqua" w:hAnsi="Book Antiqua" w:cs="Arial"/>
          <w:lang w:val="en-CA"/>
        </w:rPr>
        <w:t xml:space="preserve">the initial point of care for persons having acute health issues related to their IBD are typically the </w:t>
      </w:r>
      <w:r w:rsidR="003A1E48" w:rsidRPr="003A1E48">
        <w:rPr>
          <w:rFonts w:ascii="Book Antiqua" w:hAnsi="Book Antiqua" w:cs="Arial"/>
          <w:lang w:val="en-CA"/>
        </w:rPr>
        <w:t xml:space="preserve">emergency department </w:t>
      </w:r>
      <w:r w:rsidR="00F208EE" w:rsidRPr="003A1E48">
        <w:rPr>
          <w:rFonts w:ascii="Book Antiqua" w:hAnsi="Book Antiqua" w:cs="Arial"/>
          <w:lang w:val="en-CA"/>
        </w:rPr>
        <w:t>(ED</w:t>
      </w:r>
      <w:proofErr w:type="gramStart"/>
      <w:r w:rsidR="00F208EE" w:rsidRPr="003A1E48">
        <w:rPr>
          <w:rFonts w:ascii="Book Antiqua" w:hAnsi="Book Antiqua" w:cs="Arial"/>
          <w:lang w:val="en-CA"/>
        </w:rPr>
        <w:t>)</w:t>
      </w:r>
      <w:r w:rsidR="00BD20CB" w:rsidRPr="003A1E48">
        <w:rPr>
          <w:rFonts w:ascii="Book Antiqua" w:hAnsi="Book Antiqua" w:cs="Arial"/>
          <w:vertAlign w:val="superscript"/>
          <w:lang w:val="en-CA"/>
        </w:rPr>
        <w:t>[</w:t>
      </w:r>
      <w:proofErr w:type="gramEnd"/>
      <w:r w:rsidR="00BD20CB" w:rsidRPr="003A1E48">
        <w:rPr>
          <w:rFonts w:ascii="Book Antiqua" w:hAnsi="Book Antiqua" w:cs="Arial"/>
          <w:vertAlign w:val="superscript"/>
          <w:lang w:val="en-CA"/>
        </w:rPr>
        <w:t>3]</w:t>
      </w:r>
      <w:r w:rsidR="00F208EE" w:rsidRPr="003A1E48">
        <w:rPr>
          <w:rFonts w:ascii="Book Antiqua" w:hAnsi="Book Antiqua" w:cs="Arial"/>
          <w:lang w:val="en-CA"/>
        </w:rPr>
        <w:t>.</w:t>
      </w:r>
      <w:r w:rsidR="00EC3500" w:rsidRPr="003A1E48">
        <w:rPr>
          <w:rFonts w:ascii="Book Antiqua" w:hAnsi="Book Antiqua" w:cs="Arial"/>
          <w:lang w:val="en-CA"/>
        </w:rPr>
        <w:t xml:space="preserve"> </w:t>
      </w:r>
      <w:r w:rsidR="0088304C" w:rsidRPr="003A1E48">
        <w:rPr>
          <w:rFonts w:ascii="Book Antiqua" w:hAnsi="Book Antiqua" w:cs="Arial"/>
          <w:lang w:val="en-CA"/>
        </w:rPr>
        <w:t>Seeking medical care through the ED has been shown to cause a significant socio-economic impact on our health care system</w:t>
      </w:r>
      <w:r w:rsidR="00AD5492" w:rsidRPr="003A1E48">
        <w:rPr>
          <w:rFonts w:ascii="Book Antiqua" w:hAnsi="Book Antiqua" w:cs="Arial"/>
          <w:lang w:val="en-CA"/>
        </w:rPr>
        <w:t xml:space="preserve"> </w:t>
      </w:r>
      <w:r w:rsidR="00162D78" w:rsidRPr="003A1E48">
        <w:rPr>
          <w:rFonts w:ascii="Book Antiqua" w:hAnsi="Book Antiqua" w:cs="Arial"/>
          <w:lang w:val="en-CA"/>
        </w:rPr>
        <w:t xml:space="preserve">due to the </w:t>
      </w:r>
      <w:r w:rsidR="00AD5492" w:rsidRPr="003A1E48">
        <w:rPr>
          <w:rFonts w:ascii="Book Antiqua" w:hAnsi="Book Antiqua" w:cs="Arial"/>
          <w:lang w:val="en-CA"/>
        </w:rPr>
        <w:t>substantial burden of resource utilization</w:t>
      </w:r>
      <w:r w:rsidR="0088304C" w:rsidRPr="003A1E48">
        <w:rPr>
          <w:rFonts w:ascii="Book Antiqua" w:hAnsi="Book Antiqua" w:cs="Arial"/>
          <w:lang w:val="en-CA"/>
        </w:rPr>
        <w:t xml:space="preserve">, especially in chronic conditions, such as </w:t>
      </w:r>
      <w:proofErr w:type="gramStart"/>
      <w:r w:rsidR="0088304C" w:rsidRPr="003A1E48">
        <w:rPr>
          <w:rFonts w:ascii="Book Antiqua" w:hAnsi="Book Antiqua" w:cs="Arial"/>
          <w:lang w:val="en-CA"/>
        </w:rPr>
        <w:t>IBD</w:t>
      </w:r>
      <w:r w:rsidR="00BD20CB" w:rsidRPr="003A1E48">
        <w:rPr>
          <w:rFonts w:ascii="Book Antiqua" w:hAnsi="Book Antiqua" w:cs="Arial"/>
          <w:vertAlign w:val="superscript"/>
          <w:lang w:val="en-CA"/>
        </w:rPr>
        <w:t>[</w:t>
      </w:r>
      <w:proofErr w:type="gramEnd"/>
      <w:r w:rsidR="00BD20CB" w:rsidRPr="003A1E48">
        <w:rPr>
          <w:rFonts w:ascii="Book Antiqua" w:hAnsi="Book Antiqua" w:cs="Arial"/>
          <w:vertAlign w:val="superscript"/>
          <w:lang w:val="en-CA"/>
        </w:rPr>
        <w:t>4]</w:t>
      </w:r>
      <w:r w:rsidR="0088304C" w:rsidRPr="003A1E48">
        <w:rPr>
          <w:rFonts w:ascii="Book Antiqua" w:hAnsi="Book Antiqua" w:cs="Arial"/>
          <w:lang w:val="en-CA"/>
        </w:rPr>
        <w:t>.</w:t>
      </w:r>
    </w:p>
    <w:p w14:paraId="0CA6E89E" w14:textId="1EA1ACFF" w:rsidR="006128B1" w:rsidRPr="003A1E48" w:rsidRDefault="00D932AE" w:rsidP="00DD7F70">
      <w:pPr>
        <w:spacing w:line="360" w:lineRule="auto"/>
        <w:ind w:firstLineChars="100" w:firstLine="240"/>
        <w:jc w:val="both"/>
        <w:rPr>
          <w:rFonts w:ascii="Book Antiqua" w:hAnsi="Book Antiqua" w:cs="Arial"/>
        </w:rPr>
      </w:pPr>
      <w:r w:rsidRPr="003A1E48">
        <w:rPr>
          <w:rFonts w:ascii="Book Antiqua" w:hAnsi="Book Antiqua" w:cs="Arial"/>
        </w:rPr>
        <w:t xml:space="preserve">IBD, </w:t>
      </w:r>
      <w:r w:rsidR="001433D5" w:rsidRPr="003A1E48">
        <w:rPr>
          <w:rFonts w:ascii="Book Antiqua" w:hAnsi="Book Antiqua" w:cs="Arial"/>
        </w:rPr>
        <w:t>similar to</w:t>
      </w:r>
      <w:r w:rsidRPr="003A1E48">
        <w:rPr>
          <w:rFonts w:ascii="Book Antiqua" w:hAnsi="Book Antiqua" w:cs="Arial"/>
        </w:rPr>
        <w:t xml:space="preserve"> many other chronic and progressive conditions require </w:t>
      </w:r>
      <w:r w:rsidR="001433D5" w:rsidRPr="003A1E48">
        <w:rPr>
          <w:rFonts w:ascii="Book Antiqua" w:hAnsi="Book Antiqua" w:cs="Arial"/>
        </w:rPr>
        <w:t xml:space="preserve">continuous </w:t>
      </w:r>
      <w:r w:rsidRPr="003A1E48">
        <w:rPr>
          <w:rFonts w:ascii="Book Antiqua" w:hAnsi="Book Antiqua" w:cs="Arial"/>
        </w:rPr>
        <w:t xml:space="preserve">follow-up. In the last decade, therapeutic options and </w:t>
      </w:r>
      <w:r w:rsidR="00162D78" w:rsidRPr="003A1E48">
        <w:rPr>
          <w:rFonts w:ascii="Book Antiqua" w:hAnsi="Book Antiqua" w:cs="Arial"/>
        </w:rPr>
        <w:t>tools</w:t>
      </w:r>
      <w:r w:rsidRPr="003A1E48">
        <w:rPr>
          <w:rFonts w:ascii="Book Antiqua" w:hAnsi="Book Antiqua" w:cs="Arial"/>
        </w:rPr>
        <w:t xml:space="preserve"> </w:t>
      </w:r>
      <w:r w:rsidR="00162D78" w:rsidRPr="003A1E48">
        <w:rPr>
          <w:rFonts w:ascii="Book Antiqua" w:hAnsi="Book Antiqua" w:cs="Arial"/>
        </w:rPr>
        <w:t>for</w:t>
      </w:r>
      <w:r w:rsidRPr="003A1E48">
        <w:rPr>
          <w:rFonts w:ascii="Book Antiqua" w:hAnsi="Book Antiqua" w:cs="Arial"/>
        </w:rPr>
        <w:t xml:space="preserve"> disease monitoring have become </w:t>
      </w:r>
      <w:r w:rsidR="00540451" w:rsidRPr="003A1E48">
        <w:rPr>
          <w:rFonts w:ascii="Book Antiqua" w:hAnsi="Book Antiqua" w:cs="Arial"/>
        </w:rPr>
        <w:t xml:space="preserve">increasingly </w:t>
      </w:r>
      <w:r w:rsidRPr="003A1E48">
        <w:rPr>
          <w:rFonts w:ascii="Book Antiqua" w:hAnsi="Book Antiqua" w:cs="Arial"/>
        </w:rPr>
        <w:t xml:space="preserve">complex, which </w:t>
      </w:r>
      <w:r w:rsidR="00482BC6" w:rsidRPr="003A1E48">
        <w:rPr>
          <w:rFonts w:ascii="Book Antiqua" w:hAnsi="Book Antiqua" w:cs="Arial"/>
        </w:rPr>
        <w:t>l</w:t>
      </w:r>
      <w:r w:rsidRPr="003A1E48">
        <w:rPr>
          <w:rFonts w:ascii="Book Antiqua" w:hAnsi="Book Antiqua" w:cs="Arial"/>
        </w:rPr>
        <w:t xml:space="preserve">ed to a paradigm shift in IBD management. Objective therapeutic </w:t>
      </w:r>
      <w:r w:rsidR="00540451" w:rsidRPr="003A1E48">
        <w:rPr>
          <w:rFonts w:ascii="Book Antiqua" w:hAnsi="Book Antiqua" w:cs="Arial"/>
        </w:rPr>
        <w:t>targets/</w:t>
      </w:r>
      <w:r w:rsidRPr="003A1E48">
        <w:rPr>
          <w:rFonts w:ascii="Book Antiqua" w:hAnsi="Book Antiqua" w:cs="Arial"/>
        </w:rPr>
        <w:t>endpoints have been defined and</w:t>
      </w:r>
      <w:r w:rsidR="00540451" w:rsidRPr="003A1E48">
        <w:rPr>
          <w:rFonts w:ascii="Book Antiqua" w:hAnsi="Book Antiqua" w:cs="Arial"/>
        </w:rPr>
        <w:t xml:space="preserve"> more </w:t>
      </w:r>
      <w:r w:rsidR="00482BC6" w:rsidRPr="003A1E48">
        <w:rPr>
          <w:rFonts w:ascii="Book Antiqua" w:hAnsi="Book Antiqua" w:cs="Arial"/>
        </w:rPr>
        <w:t xml:space="preserve">rigorous </w:t>
      </w:r>
      <w:r w:rsidR="00F341AE" w:rsidRPr="003A1E48">
        <w:rPr>
          <w:rFonts w:ascii="Book Antiqua" w:hAnsi="Book Antiqua" w:cs="Arial"/>
        </w:rPr>
        <w:t>disease monitoring</w:t>
      </w:r>
      <w:r w:rsidR="00540451" w:rsidRPr="003A1E48">
        <w:rPr>
          <w:rFonts w:ascii="Book Antiqua" w:hAnsi="Book Antiqua" w:cs="Arial"/>
        </w:rPr>
        <w:t xml:space="preserve"> strategies</w:t>
      </w:r>
      <w:r w:rsidR="00F341AE" w:rsidRPr="003A1E48">
        <w:rPr>
          <w:rFonts w:ascii="Book Antiqua" w:hAnsi="Book Antiqua" w:cs="Arial"/>
        </w:rPr>
        <w:t xml:space="preserve"> </w:t>
      </w:r>
      <w:r w:rsidR="00C5304C" w:rsidRPr="003A1E48">
        <w:rPr>
          <w:rFonts w:ascii="Book Antiqua" w:hAnsi="Book Antiqua" w:cs="Arial"/>
        </w:rPr>
        <w:t>ha</w:t>
      </w:r>
      <w:r w:rsidR="00540451" w:rsidRPr="003A1E48">
        <w:rPr>
          <w:rFonts w:ascii="Book Antiqua" w:hAnsi="Book Antiqua" w:cs="Arial"/>
        </w:rPr>
        <w:t>ve</w:t>
      </w:r>
      <w:r w:rsidR="00C5304C" w:rsidRPr="003A1E48">
        <w:rPr>
          <w:rFonts w:ascii="Book Antiqua" w:hAnsi="Book Antiqua" w:cs="Arial"/>
        </w:rPr>
        <w:t xml:space="preserve"> </w:t>
      </w:r>
      <w:r w:rsidR="00540451" w:rsidRPr="003A1E48">
        <w:rPr>
          <w:rFonts w:ascii="Book Antiqua" w:hAnsi="Book Antiqua" w:cs="Arial"/>
        </w:rPr>
        <w:t xml:space="preserve">been put forward in many expert recommendations, </w:t>
      </w:r>
      <w:r w:rsidR="00AA16FF" w:rsidRPr="003A1E48">
        <w:rPr>
          <w:rFonts w:ascii="Book Antiqua" w:hAnsi="Book Antiqua" w:cs="Arial"/>
        </w:rPr>
        <w:t xml:space="preserve">which </w:t>
      </w:r>
      <w:r w:rsidR="00540451" w:rsidRPr="003A1E48">
        <w:rPr>
          <w:rFonts w:ascii="Book Antiqua" w:hAnsi="Book Antiqua" w:cs="Arial"/>
        </w:rPr>
        <w:t xml:space="preserve">all </w:t>
      </w:r>
      <w:r w:rsidR="00AA16FF" w:rsidRPr="003A1E48">
        <w:rPr>
          <w:rFonts w:ascii="Book Antiqua" w:hAnsi="Book Antiqua" w:cs="Arial"/>
        </w:rPr>
        <w:t xml:space="preserve">require continuous interactions with IBD specialist </w:t>
      </w:r>
      <w:proofErr w:type="gramStart"/>
      <w:r w:rsidR="00AA16FF" w:rsidRPr="003A1E48">
        <w:rPr>
          <w:rFonts w:ascii="Book Antiqua" w:hAnsi="Book Antiqua" w:cs="Arial"/>
        </w:rPr>
        <w:t>physicians</w:t>
      </w:r>
      <w:r w:rsidR="002C1411" w:rsidRPr="003A1E48">
        <w:rPr>
          <w:rFonts w:ascii="Book Antiqua" w:hAnsi="Book Antiqua" w:cs="Arial"/>
          <w:vertAlign w:val="superscript"/>
        </w:rPr>
        <w:t>[</w:t>
      </w:r>
      <w:proofErr w:type="gramEnd"/>
      <w:r w:rsidR="002C1411" w:rsidRPr="003A1E48">
        <w:rPr>
          <w:rFonts w:ascii="Book Antiqua" w:hAnsi="Book Antiqua" w:cs="Arial"/>
          <w:vertAlign w:val="superscript"/>
        </w:rPr>
        <w:t>5,6]</w:t>
      </w:r>
      <w:r w:rsidRPr="003A1E48">
        <w:rPr>
          <w:rFonts w:ascii="Book Antiqua" w:hAnsi="Book Antiqua" w:cs="Arial"/>
        </w:rPr>
        <w:t>.</w:t>
      </w:r>
      <w:r w:rsidRPr="003A1E48">
        <w:rPr>
          <w:rFonts w:ascii="Book Antiqua" w:hAnsi="Book Antiqua" w:cs="Arial"/>
          <w:vertAlign w:val="superscript"/>
        </w:rPr>
        <w:t xml:space="preserve"> </w:t>
      </w:r>
      <w:r w:rsidR="009A3786" w:rsidRPr="003A1E48">
        <w:rPr>
          <w:rFonts w:ascii="Book Antiqua" w:hAnsi="Book Antiqua" w:cs="Arial"/>
        </w:rPr>
        <w:t xml:space="preserve">Recently, </w:t>
      </w:r>
      <w:r w:rsidR="00F341AE" w:rsidRPr="003A1E48">
        <w:rPr>
          <w:rFonts w:ascii="Book Antiqua" w:hAnsi="Book Antiqua" w:cs="Arial"/>
        </w:rPr>
        <w:t xml:space="preserve">multiple </w:t>
      </w:r>
      <w:r w:rsidR="00AA16FF" w:rsidRPr="003A1E48">
        <w:rPr>
          <w:rFonts w:ascii="Book Antiqua" w:hAnsi="Book Antiqua" w:cs="Arial"/>
        </w:rPr>
        <w:t>quality of care indicators</w:t>
      </w:r>
      <w:r w:rsidR="009A3786" w:rsidRPr="003A1E48">
        <w:rPr>
          <w:rFonts w:ascii="Book Antiqua" w:hAnsi="Book Antiqua" w:cs="Arial"/>
        </w:rPr>
        <w:t xml:space="preserve"> </w:t>
      </w:r>
      <w:proofErr w:type="gramStart"/>
      <w:r w:rsidR="009A3786" w:rsidRPr="003A1E48">
        <w:rPr>
          <w:rFonts w:ascii="Book Antiqua" w:hAnsi="Book Antiqua" w:cs="Arial"/>
        </w:rPr>
        <w:t>have</w:t>
      </w:r>
      <w:proofErr w:type="gramEnd"/>
      <w:r w:rsidR="009A3786" w:rsidRPr="003A1E48">
        <w:rPr>
          <w:rFonts w:ascii="Book Antiqua" w:hAnsi="Book Antiqua" w:cs="Arial"/>
        </w:rPr>
        <w:t xml:space="preserve"> been developed to ensure a standardized and high quality care in IBD management</w:t>
      </w:r>
      <w:r w:rsidR="00AA16FF" w:rsidRPr="003A1E48">
        <w:rPr>
          <w:rFonts w:ascii="Book Antiqua" w:hAnsi="Book Antiqua" w:cs="Arial"/>
        </w:rPr>
        <w:t>. Among many, p</w:t>
      </w:r>
      <w:r w:rsidR="006128B1" w:rsidRPr="003A1E48">
        <w:rPr>
          <w:rFonts w:ascii="Book Antiqua" w:hAnsi="Book Antiqua" w:cs="Arial"/>
        </w:rPr>
        <w:t xml:space="preserve">atient satisfaction is thought to be an integral part of high quality of </w:t>
      </w:r>
      <w:proofErr w:type="gramStart"/>
      <w:r w:rsidR="006128B1" w:rsidRPr="003A1E48">
        <w:rPr>
          <w:rFonts w:ascii="Book Antiqua" w:hAnsi="Book Antiqua" w:cs="Arial"/>
        </w:rPr>
        <w:t>care</w:t>
      </w:r>
      <w:r w:rsidR="002C1411" w:rsidRPr="003A1E48">
        <w:rPr>
          <w:rFonts w:ascii="Book Antiqua" w:hAnsi="Book Antiqua" w:cs="Arial"/>
          <w:vertAlign w:val="superscript"/>
        </w:rPr>
        <w:t>[</w:t>
      </w:r>
      <w:proofErr w:type="gramEnd"/>
      <w:r w:rsidR="002C1411" w:rsidRPr="003A1E48">
        <w:rPr>
          <w:rFonts w:ascii="Book Antiqua" w:hAnsi="Book Antiqua" w:cs="Arial"/>
          <w:vertAlign w:val="superscript"/>
        </w:rPr>
        <w:t>7]</w:t>
      </w:r>
      <w:r w:rsidR="006128B1" w:rsidRPr="003A1E48">
        <w:rPr>
          <w:rFonts w:ascii="Book Antiqua" w:hAnsi="Book Antiqua" w:cs="Arial"/>
        </w:rPr>
        <w:t xml:space="preserve">. </w:t>
      </w:r>
      <w:r w:rsidR="00846414" w:rsidRPr="003A1E48">
        <w:rPr>
          <w:rFonts w:ascii="Book Antiqua" w:hAnsi="Book Antiqua" w:cs="Arial"/>
        </w:rPr>
        <w:t>Several data show</w:t>
      </w:r>
      <w:r w:rsidR="006128B1" w:rsidRPr="003A1E48">
        <w:rPr>
          <w:rFonts w:ascii="Book Antiqua" w:hAnsi="Book Antiqua" w:cs="Arial"/>
        </w:rPr>
        <w:t xml:space="preserve"> that </w:t>
      </w:r>
      <w:r w:rsidR="002C1411" w:rsidRPr="003A1E48">
        <w:rPr>
          <w:rFonts w:ascii="Book Antiqua" w:hAnsi="Book Antiqua" w:cs="Arial"/>
        </w:rPr>
        <w:t>“</w:t>
      </w:r>
      <w:r w:rsidR="006128B1" w:rsidRPr="003A1E48">
        <w:rPr>
          <w:rFonts w:ascii="Book Antiqua" w:hAnsi="Book Antiqua" w:cs="Arial"/>
        </w:rPr>
        <w:t>patient access</w:t>
      </w:r>
      <w:r w:rsidR="002C1411" w:rsidRPr="003A1E48">
        <w:rPr>
          <w:rFonts w:ascii="Book Antiqua" w:hAnsi="Book Antiqua" w:cs="Arial"/>
        </w:rPr>
        <w:t>”</w:t>
      </w:r>
      <w:r w:rsidR="006128B1" w:rsidRPr="003A1E48">
        <w:rPr>
          <w:rFonts w:ascii="Book Antiqua" w:hAnsi="Book Antiqua" w:cs="Arial"/>
        </w:rPr>
        <w:t xml:space="preserve"> to treating physician or healthcare services in general is frequently a source of inadequate satisfaction</w:t>
      </w:r>
      <w:r w:rsidR="004B3645" w:rsidRPr="003A1E48">
        <w:rPr>
          <w:rFonts w:ascii="Book Antiqua" w:hAnsi="Book Antiqua" w:cs="Arial"/>
        </w:rPr>
        <w:t xml:space="preserve"> among IBD </w:t>
      </w:r>
      <w:proofErr w:type="gramStart"/>
      <w:r w:rsidR="004B3645" w:rsidRPr="003A1E48">
        <w:rPr>
          <w:rFonts w:ascii="Book Antiqua" w:hAnsi="Book Antiqua" w:cs="Arial"/>
        </w:rPr>
        <w:t>patients</w:t>
      </w:r>
      <w:r w:rsidR="002C1411" w:rsidRPr="003A1E48">
        <w:rPr>
          <w:rFonts w:ascii="Book Antiqua" w:hAnsi="Book Antiqua" w:cs="Arial"/>
          <w:vertAlign w:val="superscript"/>
        </w:rPr>
        <w:t>[</w:t>
      </w:r>
      <w:proofErr w:type="gramEnd"/>
      <w:r w:rsidR="002C1411" w:rsidRPr="003A1E48">
        <w:rPr>
          <w:rFonts w:ascii="Book Antiqua" w:hAnsi="Book Antiqua" w:cs="Arial"/>
          <w:vertAlign w:val="superscript"/>
        </w:rPr>
        <w:t>8,9]</w:t>
      </w:r>
      <w:r w:rsidR="004B3645" w:rsidRPr="003A1E48">
        <w:rPr>
          <w:rFonts w:ascii="Book Antiqua" w:hAnsi="Book Antiqua" w:cs="Arial"/>
        </w:rPr>
        <w:t>.</w:t>
      </w:r>
    </w:p>
    <w:p w14:paraId="18EF1CA8" w14:textId="34A7F777" w:rsidR="00CE174B" w:rsidRPr="003A1E48" w:rsidRDefault="00054639"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ED services</w:t>
      </w:r>
      <w:r w:rsidR="0065544A" w:rsidRPr="003A1E48">
        <w:rPr>
          <w:rFonts w:ascii="Book Antiqua" w:hAnsi="Book Antiqua" w:cs="Arial"/>
          <w:lang w:val="en-CA"/>
        </w:rPr>
        <w:t xml:space="preserve"> are best reserved for </w:t>
      </w:r>
      <w:r w:rsidR="001433D5" w:rsidRPr="003A1E48">
        <w:rPr>
          <w:rFonts w:ascii="Book Antiqua" w:hAnsi="Book Antiqua" w:cs="Arial"/>
          <w:lang w:val="en-CA"/>
        </w:rPr>
        <w:t xml:space="preserve">acute, </w:t>
      </w:r>
      <w:r w:rsidR="0065544A" w:rsidRPr="003A1E48">
        <w:rPr>
          <w:rFonts w:ascii="Book Antiqua" w:hAnsi="Book Antiqua" w:cs="Arial"/>
          <w:lang w:val="en-CA"/>
        </w:rPr>
        <w:t xml:space="preserve">serious and/or life-threatening </w:t>
      </w:r>
      <w:r w:rsidRPr="003A1E48">
        <w:rPr>
          <w:rFonts w:ascii="Book Antiqua" w:hAnsi="Book Antiqua" w:cs="Arial"/>
          <w:lang w:val="en-CA"/>
        </w:rPr>
        <w:t>disease states</w:t>
      </w:r>
      <w:r w:rsidR="006C3D15" w:rsidRPr="003A1E48">
        <w:rPr>
          <w:rFonts w:ascii="Book Antiqua" w:hAnsi="Book Antiqua" w:cs="Arial"/>
          <w:lang w:val="en-CA"/>
        </w:rPr>
        <w:t>. T</w:t>
      </w:r>
      <w:r w:rsidR="001433D5" w:rsidRPr="003A1E48">
        <w:rPr>
          <w:rFonts w:ascii="Book Antiqua" w:hAnsi="Book Antiqua" w:cs="Arial"/>
          <w:lang w:val="en-CA"/>
        </w:rPr>
        <w:t>hus</w:t>
      </w:r>
      <w:r w:rsidR="006644D1" w:rsidRPr="003A1E48">
        <w:rPr>
          <w:rFonts w:ascii="Book Antiqua" w:hAnsi="Book Antiqua" w:cs="Arial"/>
          <w:lang w:val="en-CA"/>
        </w:rPr>
        <w:t xml:space="preserve"> </w:t>
      </w:r>
      <w:r w:rsidR="001433D5" w:rsidRPr="003A1E48">
        <w:rPr>
          <w:rFonts w:ascii="Book Antiqua" w:hAnsi="Book Antiqua" w:cs="Arial"/>
          <w:lang w:val="en-CA"/>
        </w:rPr>
        <w:t xml:space="preserve">optimising and </w:t>
      </w:r>
      <w:r w:rsidR="006644D1" w:rsidRPr="003A1E48">
        <w:rPr>
          <w:rFonts w:ascii="Book Antiqua" w:hAnsi="Book Antiqua" w:cs="Arial"/>
          <w:lang w:val="en-CA"/>
        </w:rPr>
        <w:t xml:space="preserve">reducing </w:t>
      </w:r>
      <w:r w:rsidR="004F31AD" w:rsidRPr="003A1E48">
        <w:rPr>
          <w:rFonts w:ascii="Book Antiqua" w:hAnsi="Book Antiqua" w:cs="Arial"/>
          <w:lang w:val="en-CA"/>
        </w:rPr>
        <w:t>patient load</w:t>
      </w:r>
      <w:r w:rsidR="006644D1" w:rsidRPr="003A1E48">
        <w:rPr>
          <w:rFonts w:ascii="Book Antiqua" w:hAnsi="Book Antiqua" w:cs="Arial"/>
          <w:lang w:val="en-CA"/>
        </w:rPr>
        <w:t xml:space="preserve"> </w:t>
      </w:r>
      <w:r w:rsidR="006C3D15" w:rsidRPr="003A1E48">
        <w:rPr>
          <w:rFonts w:ascii="Book Antiqua" w:hAnsi="Book Antiqua" w:cs="Arial"/>
          <w:lang w:val="en-CA"/>
        </w:rPr>
        <w:t>to</w:t>
      </w:r>
      <w:r w:rsidR="006644D1" w:rsidRPr="003A1E48">
        <w:rPr>
          <w:rFonts w:ascii="Book Antiqua" w:hAnsi="Book Antiqua" w:cs="Arial"/>
          <w:lang w:val="en-CA"/>
        </w:rPr>
        <w:t xml:space="preserve"> the ED is an important goal for global healthcare </w:t>
      </w:r>
      <w:proofErr w:type="gramStart"/>
      <w:r w:rsidR="006644D1" w:rsidRPr="003A1E48">
        <w:rPr>
          <w:rFonts w:ascii="Book Antiqua" w:hAnsi="Book Antiqua" w:cs="Arial"/>
          <w:lang w:val="en-CA"/>
        </w:rPr>
        <w:t>delivery</w:t>
      </w:r>
      <w:r w:rsidR="002C1411" w:rsidRPr="003A1E48">
        <w:rPr>
          <w:rFonts w:ascii="Book Antiqua" w:hAnsi="Book Antiqua" w:cs="Arial"/>
          <w:vertAlign w:val="superscript"/>
          <w:lang w:val="en-CA"/>
        </w:rPr>
        <w:t>[</w:t>
      </w:r>
      <w:proofErr w:type="gramEnd"/>
      <w:r w:rsidR="002C1411" w:rsidRPr="003A1E48">
        <w:rPr>
          <w:rFonts w:ascii="Book Antiqua" w:hAnsi="Book Antiqua" w:cs="Arial"/>
          <w:vertAlign w:val="superscript"/>
          <w:lang w:val="en-CA"/>
        </w:rPr>
        <w:t>10]</w:t>
      </w:r>
      <w:r w:rsidR="006644D1" w:rsidRPr="003A1E48">
        <w:rPr>
          <w:rFonts w:ascii="Book Antiqua" w:hAnsi="Book Antiqua" w:cs="Arial"/>
          <w:lang w:val="en-CA"/>
        </w:rPr>
        <w:t xml:space="preserve">. </w:t>
      </w:r>
      <w:r w:rsidR="001433D5" w:rsidRPr="003A1E48">
        <w:rPr>
          <w:rFonts w:ascii="Book Antiqua" w:hAnsi="Book Antiqua" w:cs="Arial"/>
          <w:lang w:val="en-CA"/>
        </w:rPr>
        <w:t>A large proportion of p</w:t>
      </w:r>
      <w:r w:rsidRPr="003A1E48">
        <w:rPr>
          <w:rFonts w:ascii="Book Antiqua" w:hAnsi="Book Antiqua" w:cs="Arial"/>
          <w:lang w:val="en-CA"/>
        </w:rPr>
        <w:t>atients</w:t>
      </w:r>
      <w:r w:rsidR="0065544A" w:rsidRPr="003A1E48">
        <w:rPr>
          <w:rFonts w:ascii="Book Antiqua" w:hAnsi="Book Antiqua" w:cs="Arial"/>
          <w:lang w:val="en-CA"/>
        </w:rPr>
        <w:t xml:space="preserve"> with </w:t>
      </w:r>
      <w:r w:rsidR="009670F5" w:rsidRPr="003A1E48">
        <w:rPr>
          <w:rFonts w:ascii="Book Antiqua" w:hAnsi="Book Antiqua" w:cs="Arial"/>
          <w:lang w:val="en-CA"/>
        </w:rPr>
        <w:t xml:space="preserve">known </w:t>
      </w:r>
      <w:r w:rsidR="001433D5" w:rsidRPr="003A1E48">
        <w:rPr>
          <w:rFonts w:ascii="Book Antiqua" w:hAnsi="Book Antiqua" w:cs="Arial"/>
          <w:lang w:val="en-CA"/>
        </w:rPr>
        <w:t>chronic</w:t>
      </w:r>
      <w:r w:rsidR="0065544A" w:rsidRPr="003A1E48">
        <w:rPr>
          <w:rFonts w:ascii="Book Antiqua" w:hAnsi="Book Antiqua" w:cs="Arial"/>
          <w:lang w:val="en-CA"/>
        </w:rPr>
        <w:t xml:space="preserve"> </w:t>
      </w:r>
      <w:r w:rsidRPr="003A1E48">
        <w:rPr>
          <w:rFonts w:ascii="Book Antiqua" w:hAnsi="Book Antiqua" w:cs="Arial"/>
          <w:lang w:val="en-CA"/>
        </w:rPr>
        <w:t>conditions could potentially</w:t>
      </w:r>
      <w:r w:rsidR="0065544A" w:rsidRPr="003A1E48">
        <w:rPr>
          <w:rFonts w:ascii="Book Antiqua" w:hAnsi="Book Antiqua" w:cs="Arial"/>
          <w:lang w:val="en-CA"/>
        </w:rPr>
        <w:t xml:space="preserve"> be</w:t>
      </w:r>
      <w:r w:rsidRPr="003A1E48">
        <w:rPr>
          <w:rFonts w:ascii="Book Antiqua" w:hAnsi="Book Antiqua" w:cs="Arial"/>
          <w:lang w:val="en-CA"/>
        </w:rPr>
        <w:t xml:space="preserve"> </w:t>
      </w:r>
      <w:r w:rsidR="0065544A" w:rsidRPr="003A1E48">
        <w:rPr>
          <w:rFonts w:ascii="Book Antiqua" w:hAnsi="Book Antiqua" w:cs="Arial"/>
          <w:lang w:val="en-CA"/>
        </w:rPr>
        <w:t xml:space="preserve">managed in </w:t>
      </w:r>
      <w:r w:rsidR="001433D5" w:rsidRPr="003A1E48">
        <w:rPr>
          <w:rFonts w:ascii="Book Antiqua" w:hAnsi="Book Antiqua" w:cs="Arial"/>
          <w:lang w:val="en-CA"/>
        </w:rPr>
        <w:t xml:space="preserve">alternative </w:t>
      </w:r>
      <w:r w:rsidR="0065544A" w:rsidRPr="003A1E48">
        <w:rPr>
          <w:rFonts w:ascii="Book Antiqua" w:hAnsi="Book Antiqua" w:cs="Arial"/>
          <w:lang w:val="en-CA"/>
        </w:rPr>
        <w:t>care settings</w:t>
      </w:r>
      <w:r w:rsidR="001433D5" w:rsidRPr="003A1E48">
        <w:rPr>
          <w:rFonts w:ascii="Book Antiqua" w:hAnsi="Book Antiqua" w:cs="Arial"/>
          <w:lang w:val="en-CA"/>
        </w:rPr>
        <w:t xml:space="preserve">, more specific to their </w:t>
      </w:r>
      <w:r w:rsidR="009670F5" w:rsidRPr="003A1E48">
        <w:rPr>
          <w:rFonts w:ascii="Book Antiqua" w:hAnsi="Book Antiqua" w:cs="Arial"/>
          <w:lang w:val="en-CA"/>
        </w:rPr>
        <w:t>disease</w:t>
      </w:r>
      <w:r w:rsidR="00AE0D57" w:rsidRPr="003A1E48">
        <w:rPr>
          <w:rFonts w:ascii="Book Antiqua" w:hAnsi="Book Antiqua" w:cs="Arial"/>
          <w:lang w:val="en-CA"/>
        </w:rPr>
        <w:t>. Th</w:t>
      </w:r>
      <w:r w:rsidR="009670F5" w:rsidRPr="003A1E48">
        <w:rPr>
          <w:rFonts w:ascii="Book Antiqua" w:hAnsi="Book Antiqua" w:cs="Arial"/>
          <w:lang w:val="en-CA"/>
        </w:rPr>
        <w:t>ese specific</w:t>
      </w:r>
      <w:r w:rsidR="00AE0D57" w:rsidRPr="003A1E48">
        <w:rPr>
          <w:rFonts w:ascii="Book Antiqua" w:hAnsi="Book Antiqua" w:cs="Arial"/>
          <w:lang w:val="en-CA"/>
        </w:rPr>
        <w:t xml:space="preserve"> </w:t>
      </w:r>
      <w:r w:rsidR="002C1411" w:rsidRPr="003A1E48">
        <w:rPr>
          <w:rFonts w:ascii="Book Antiqua" w:hAnsi="Book Antiqua" w:cs="Arial"/>
          <w:lang w:val="en-CA"/>
        </w:rPr>
        <w:t>“</w:t>
      </w:r>
      <w:r w:rsidR="0065544A" w:rsidRPr="003A1E48">
        <w:rPr>
          <w:rFonts w:ascii="Book Antiqua" w:hAnsi="Book Antiqua" w:cs="Arial"/>
          <w:lang w:val="en-CA"/>
        </w:rPr>
        <w:t>rapid access</w:t>
      </w:r>
      <w:r w:rsidR="002C1411" w:rsidRPr="003A1E48">
        <w:rPr>
          <w:rFonts w:ascii="Book Antiqua" w:hAnsi="Book Antiqua" w:cs="Arial"/>
          <w:lang w:val="en-CA"/>
        </w:rPr>
        <w:t>”</w:t>
      </w:r>
      <w:r w:rsidRPr="003A1E48">
        <w:rPr>
          <w:rFonts w:ascii="Book Antiqua" w:hAnsi="Book Antiqua" w:cs="Arial"/>
          <w:lang w:val="en-CA"/>
        </w:rPr>
        <w:t xml:space="preserve"> patient </w:t>
      </w:r>
      <w:r w:rsidR="001433D5" w:rsidRPr="003A1E48">
        <w:rPr>
          <w:rFonts w:ascii="Book Antiqua" w:hAnsi="Book Antiqua" w:cs="Arial"/>
          <w:lang w:val="en-CA"/>
        </w:rPr>
        <w:t>path</w:t>
      </w:r>
      <w:r w:rsidR="004E488D" w:rsidRPr="003A1E48">
        <w:rPr>
          <w:rFonts w:ascii="Book Antiqua" w:hAnsi="Book Antiqua" w:cs="Arial"/>
          <w:lang w:val="en-CA"/>
        </w:rPr>
        <w:t>ways</w:t>
      </w:r>
      <w:r w:rsidRPr="003A1E48">
        <w:rPr>
          <w:rFonts w:ascii="Book Antiqua" w:hAnsi="Book Antiqua" w:cs="Arial"/>
          <w:lang w:val="en-CA"/>
        </w:rPr>
        <w:t xml:space="preserve"> </w:t>
      </w:r>
      <w:r w:rsidR="004E0B4F" w:rsidRPr="003A1E48">
        <w:rPr>
          <w:rFonts w:ascii="Book Antiqua" w:hAnsi="Book Antiqua" w:cs="Arial"/>
          <w:lang w:val="en-CA"/>
        </w:rPr>
        <w:t>for</w:t>
      </w:r>
      <w:r w:rsidRPr="003A1E48">
        <w:rPr>
          <w:rFonts w:ascii="Book Antiqua" w:hAnsi="Book Antiqua" w:cs="Arial"/>
          <w:lang w:val="en-CA"/>
        </w:rPr>
        <w:t xml:space="preserve"> </w:t>
      </w:r>
      <w:r w:rsidR="002C1411" w:rsidRPr="003A1E48">
        <w:rPr>
          <w:rFonts w:ascii="Book Antiqua" w:hAnsi="Book Antiqua" w:cs="Arial"/>
          <w:lang w:val="en-CA"/>
        </w:rPr>
        <w:t>“</w:t>
      </w:r>
      <w:r w:rsidR="009670F5" w:rsidRPr="003A1E48">
        <w:rPr>
          <w:rFonts w:ascii="Book Antiqua" w:hAnsi="Book Antiqua" w:cs="Arial"/>
          <w:lang w:val="en-CA"/>
        </w:rPr>
        <w:t>rapid</w:t>
      </w:r>
      <w:r w:rsidR="002C1411" w:rsidRPr="003A1E48">
        <w:rPr>
          <w:rFonts w:ascii="Book Antiqua" w:hAnsi="Book Antiqua" w:cs="Arial"/>
          <w:lang w:val="en-CA"/>
        </w:rPr>
        <w:t>”</w:t>
      </w:r>
      <w:r w:rsidR="009670F5" w:rsidRPr="003A1E48">
        <w:rPr>
          <w:rFonts w:ascii="Book Antiqua" w:hAnsi="Book Antiqua" w:cs="Arial"/>
          <w:lang w:val="en-CA"/>
        </w:rPr>
        <w:t xml:space="preserve"> </w:t>
      </w:r>
      <w:r w:rsidRPr="003A1E48">
        <w:rPr>
          <w:rFonts w:ascii="Book Antiqua" w:hAnsi="Book Antiqua" w:cs="Arial"/>
          <w:lang w:val="en-CA"/>
        </w:rPr>
        <w:t>evaluation</w:t>
      </w:r>
      <w:r w:rsidR="004E0B4F" w:rsidRPr="003A1E48">
        <w:rPr>
          <w:rFonts w:ascii="Book Antiqua" w:hAnsi="Book Antiqua" w:cs="Arial"/>
          <w:lang w:val="en-CA"/>
        </w:rPr>
        <w:t xml:space="preserve"> and </w:t>
      </w:r>
      <w:r w:rsidR="00AE0D57" w:rsidRPr="003A1E48">
        <w:rPr>
          <w:rFonts w:ascii="Book Antiqua" w:hAnsi="Book Antiqua" w:cs="Arial"/>
          <w:lang w:val="en-CA"/>
        </w:rPr>
        <w:t>management</w:t>
      </w:r>
      <w:r w:rsidR="0065544A" w:rsidRPr="003A1E48">
        <w:rPr>
          <w:rFonts w:ascii="Book Antiqua" w:hAnsi="Book Antiqua" w:cs="Arial"/>
          <w:lang w:val="en-CA"/>
        </w:rPr>
        <w:t xml:space="preserve"> </w:t>
      </w:r>
      <w:r w:rsidR="004E0B4F" w:rsidRPr="003A1E48">
        <w:rPr>
          <w:rFonts w:ascii="Book Antiqua" w:hAnsi="Book Antiqua" w:cs="Arial"/>
          <w:lang w:val="en-CA"/>
        </w:rPr>
        <w:t>can be establishe</w:t>
      </w:r>
      <w:r w:rsidR="00C5304C" w:rsidRPr="003A1E48">
        <w:rPr>
          <w:rFonts w:ascii="Book Antiqua" w:hAnsi="Book Antiqua" w:cs="Arial"/>
          <w:lang w:val="en-CA"/>
        </w:rPr>
        <w:t>d</w:t>
      </w:r>
      <w:r w:rsidR="004E0B4F" w:rsidRPr="003A1E48">
        <w:rPr>
          <w:rFonts w:ascii="Book Antiqua" w:hAnsi="Book Antiqua" w:cs="Arial"/>
          <w:lang w:val="en-CA"/>
        </w:rPr>
        <w:t xml:space="preserve"> through</w:t>
      </w:r>
      <w:r w:rsidR="0065544A" w:rsidRPr="003A1E48">
        <w:rPr>
          <w:rFonts w:ascii="Book Antiqua" w:hAnsi="Book Antiqua" w:cs="Arial"/>
          <w:lang w:val="en-CA"/>
        </w:rPr>
        <w:t xml:space="preserve"> regular </w:t>
      </w:r>
      <w:r w:rsidR="009670F5" w:rsidRPr="003A1E48">
        <w:rPr>
          <w:rFonts w:ascii="Book Antiqua" w:hAnsi="Book Antiqua" w:cs="Arial"/>
          <w:lang w:val="en-CA"/>
        </w:rPr>
        <w:t xml:space="preserve">outpatient </w:t>
      </w:r>
      <w:r w:rsidR="0065544A" w:rsidRPr="003A1E48">
        <w:rPr>
          <w:rFonts w:ascii="Book Antiqua" w:hAnsi="Book Antiqua" w:cs="Arial"/>
          <w:lang w:val="en-CA"/>
        </w:rPr>
        <w:t>care providers</w:t>
      </w:r>
      <w:r w:rsidR="009670F5" w:rsidRPr="003A1E48">
        <w:rPr>
          <w:rFonts w:ascii="Book Antiqua" w:hAnsi="Book Antiqua" w:cs="Arial"/>
          <w:lang w:val="en-CA"/>
        </w:rPr>
        <w:t>, which</w:t>
      </w:r>
      <w:r w:rsidR="004E0B4F" w:rsidRPr="003A1E48">
        <w:rPr>
          <w:rFonts w:ascii="Book Antiqua" w:hAnsi="Book Antiqua" w:cs="Arial"/>
          <w:lang w:val="en-CA"/>
        </w:rPr>
        <w:t xml:space="preserve"> can potentially </w:t>
      </w:r>
      <w:r w:rsidR="009670F5" w:rsidRPr="003A1E48">
        <w:rPr>
          <w:rFonts w:ascii="Book Antiqua" w:hAnsi="Book Antiqua" w:cs="Arial"/>
          <w:lang w:val="en-CA"/>
        </w:rPr>
        <w:t xml:space="preserve">reduce </w:t>
      </w:r>
      <w:r w:rsidR="004E0B4F" w:rsidRPr="003A1E48">
        <w:rPr>
          <w:rFonts w:ascii="Book Antiqua" w:hAnsi="Book Antiqua" w:cs="Arial"/>
          <w:lang w:val="en-CA"/>
        </w:rPr>
        <w:t>ED visits</w:t>
      </w:r>
      <w:r w:rsidR="009670F5" w:rsidRPr="003A1E48">
        <w:rPr>
          <w:rFonts w:ascii="Book Antiqua" w:hAnsi="Book Antiqua" w:cs="Arial"/>
          <w:lang w:val="en-CA"/>
        </w:rPr>
        <w:t>,</w:t>
      </w:r>
      <w:r w:rsidR="004E0B4F" w:rsidRPr="003A1E48">
        <w:rPr>
          <w:rFonts w:ascii="Book Antiqua" w:hAnsi="Book Antiqua" w:cs="Arial"/>
          <w:lang w:val="en-CA"/>
        </w:rPr>
        <w:t xml:space="preserve"> thus </w:t>
      </w:r>
      <w:r w:rsidR="002C1411" w:rsidRPr="003A1E48">
        <w:rPr>
          <w:rFonts w:ascii="Book Antiqua" w:hAnsi="Book Antiqua" w:cs="Arial"/>
          <w:lang w:val="en-CA"/>
        </w:rPr>
        <w:t>saving</w:t>
      </w:r>
      <w:r w:rsidR="009670F5" w:rsidRPr="003A1E48">
        <w:rPr>
          <w:rFonts w:ascii="Book Antiqua" w:hAnsi="Book Antiqua" w:cs="Arial"/>
          <w:lang w:val="en-CA"/>
        </w:rPr>
        <w:t xml:space="preserve"> </w:t>
      </w:r>
      <w:r w:rsidR="004E0B4F" w:rsidRPr="003A1E48">
        <w:rPr>
          <w:rFonts w:ascii="Book Antiqua" w:hAnsi="Book Antiqua" w:cs="Arial"/>
          <w:lang w:val="en-CA"/>
        </w:rPr>
        <w:t>costs.</w:t>
      </w:r>
      <w:r w:rsidR="005C4870" w:rsidRPr="003A1E48">
        <w:rPr>
          <w:rFonts w:ascii="Book Antiqua" w:hAnsi="Book Antiqua" w:cs="Arial"/>
          <w:lang w:val="en-CA"/>
        </w:rPr>
        <w:t xml:space="preserve"> </w:t>
      </w:r>
      <w:r w:rsidR="00A40D89" w:rsidRPr="003A1E48">
        <w:rPr>
          <w:rFonts w:ascii="Book Antiqua" w:hAnsi="Book Antiqua" w:cs="Arial"/>
          <w:lang w:val="en-CA"/>
        </w:rPr>
        <w:t xml:space="preserve">There are examples for </w:t>
      </w:r>
      <w:r w:rsidR="009670F5" w:rsidRPr="003A1E48">
        <w:rPr>
          <w:rFonts w:ascii="Book Antiqua" w:hAnsi="Book Antiqua" w:cs="Arial"/>
          <w:lang w:val="en-CA"/>
        </w:rPr>
        <w:t xml:space="preserve">a </w:t>
      </w:r>
      <w:r w:rsidR="00A40D89" w:rsidRPr="003A1E48">
        <w:rPr>
          <w:rFonts w:ascii="Book Antiqua" w:hAnsi="Book Antiqua" w:cs="Arial"/>
          <w:lang w:val="en-CA"/>
        </w:rPr>
        <w:t xml:space="preserve">good performance of </w:t>
      </w:r>
      <w:r w:rsidR="002918E2" w:rsidRPr="003A1E48">
        <w:rPr>
          <w:rFonts w:ascii="Book Antiqua" w:hAnsi="Book Antiqua" w:cs="Arial"/>
          <w:lang w:val="en-CA"/>
        </w:rPr>
        <w:t>rapid access clin</w:t>
      </w:r>
      <w:r w:rsidR="00DD7F70" w:rsidRPr="003A1E48">
        <w:rPr>
          <w:rFonts w:ascii="Book Antiqua" w:hAnsi="Book Antiqua" w:cs="Arial"/>
          <w:lang w:val="en-CA"/>
        </w:rPr>
        <w:t>ic</w:t>
      </w:r>
      <w:r w:rsidR="00A40D89" w:rsidRPr="003A1E48">
        <w:rPr>
          <w:rFonts w:ascii="Book Antiqua" w:hAnsi="Book Antiqua" w:cs="Arial"/>
          <w:lang w:val="en-CA"/>
        </w:rPr>
        <w:t>s</w:t>
      </w:r>
      <w:r w:rsidR="00BD20CB" w:rsidRPr="003A1E48">
        <w:rPr>
          <w:rFonts w:ascii="Book Antiqua" w:hAnsi="Book Antiqua" w:cs="Arial"/>
          <w:lang w:val="en-CA"/>
        </w:rPr>
        <w:t xml:space="preserve"> </w:t>
      </w:r>
      <w:r w:rsidR="00BD20CB" w:rsidRPr="003A1E48">
        <w:rPr>
          <w:rFonts w:ascii="Book Antiqua" w:hAnsi="Book Antiqua" w:cs="Arial"/>
          <w:lang w:val="en-CA" w:eastAsia="zh-CN"/>
        </w:rPr>
        <w:t xml:space="preserve">(RAC) </w:t>
      </w:r>
      <w:r w:rsidR="00A40D89" w:rsidRPr="003A1E48">
        <w:rPr>
          <w:rFonts w:ascii="Book Antiqua" w:hAnsi="Book Antiqua" w:cs="Arial"/>
          <w:lang w:val="en-CA"/>
        </w:rPr>
        <w:t xml:space="preserve">in other chronic conditions, </w:t>
      </w:r>
      <w:r w:rsidR="00A40D89" w:rsidRPr="003A1E48">
        <w:rPr>
          <w:rFonts w:ascii="Book Antiqua" w:hAnsi="Book Antiqua" w:cs="Arial"/>
          <w:i/>
          <w:iCs/>
          <w:lang w:val="en-CA"/>
        </w:rPr>
        <w:t>e.g.</w:t>
      </w:r>
      <w:r w:rsidR="002C1411" w:rsidRPr="003A1E48">
        <w:rPr>
          <w:rFonts w:ascii="Book Antiqua" w:hAnsi="Book Antiqua" w:cs="Arial"/>
          <w:lang w:val="en-CA"/>
        </w:rPr>
        <w:t>,</w:t>
      </w:r>
      <w:r w:rsidR="00A40D89" w:rsidRPr="003A1E48">
        <w:rPr>
          <w:rFonts w:ascii="Book Antiqua" w:hAnsi="Book Antiqua" w:cs="Arial"/>
          <w:lang w:val="en-CA"/>
        </w:rPr>
        <w:t xml:space="preserve"> diabetes</w:t>
      </w:r>
      <w:r w:rsidR="009670F5" w:rsidRPr="003A1E48">
        <w:rPr>
          <w:rFonts w:ascii="Book Antiqua" w:hAnsi="Book Antiqua" w:cs="Arial"/>
          <w:lang w:val="en-CA"/>
        </w:rPr>
        <w:t xml:space="preserve"> or</w:t>
      </w:r>
      <w:r w:rsidR="00A40D89" w:rsidRPr="003A1E48">
        <w:rPr>
          <w:rFonts w:ascii="Book Antiqua" w:hAnsi="Book Antiqua" w:cs="Arial"/>
          <w:lang w:val="en-CA"/>
        </w:rPr>
        <w:t xml:space="preserve"> </w:t>
      </w:r>
      <w:proofErr w:type="gramStart"/>
      <w:r w:rsidR="00A40D89" w:rsidRPr="003A1E48">
        <w:rPr>
          <w:rFonts w:ascii="Book Antiqua" w:hAnsi="Book Antiqua" w:cs="Arial"/>
          <w:lang w:val="en-CA"/>
        </w:rPr>
        <w:t>cardiology</w:t>
      </w:r>
      <w:r w:rsidR="002C1411" w:rsidRPr="003A1E48">
        <w:rPr>
          <w:rFonts w:ascii="Book Antiqua" w:hAnsi="Book Antiqua" w:cs="Arial"/>
          <w:vertAlign w:val="superscript"/>
          <w:lang w:val="en-CA"/>
        </w:rPr>
        <w:t>[</w:t>
      </w:r>
      <w:proofErr w:type="gramEnd"/>
      <w:r w:rsidR="002C1411" w:rsidRPr="003A1E48">
        <w:rPr>
          <w:rFonts w:ascii="Book Antiqua" w:hAnsi="Book Antiqua" w:cs="Arial"/>
          <w:vertAlign w:val="superscript"/>
          <w:lang w:val="en-CA"/>
        </w:rPr>
        <w:t>11,12]</w:t>
      </w:r>
      <w:r w:rsidR="00A40D89" w:rsidRPr="003A1E48">
        <w:rPr>
          <w:rFonts w:ascii="Book Antiqua" w:hAnsi="Book Antiqua" w:cs="Arial"/>
          <w:lang w:val="en-CA"/>
        </w:rPr>
        <w:t xml:space="preserve">. </w:t>
      </w:r>
      <w:r w:rsidR="004E0B4F" w:rsidRPr="003A1E48">
        <w:rPr>
          <w:rFonts w:ascii="Book Antiqua" w:hAnsi="Book Antiqua" w:cs="Arial"/>
          <w:lang w:val="en-CA"/>
        </w:rPr>
        <w:t>U</w:t>
      </w:r>
      <w:r w:rsidR="005C4870" w:rsidRPr="003A1E48">
        <w:rPr>
          <w:rFonts w:ascii="Book Antiqua" w:hAnsi="Book Antiqua" w:cs="Arial"/>
          <w:lang w:val="en-CA"/>
        </w:rPr>
        <w:t xml:space="preserve">ntil </w:t>
      </w:r>
      <w:r w:rsidR="005C4870" w:rsidRPr="003A1E48">
        <w:rPr>
          <w:rFonts w:ascii="Book Antiqua" w:hAnsi="Book Antiqua" w:cs="Arial"/>
          <w:lang w:val="en-CA"/>
        </w:rPr>
        <w:lastRenderedPageBreak/>
        <w:t xml:space="preserve">now, </w:t>
      </w:r>
      <w:r w:rsidR="00C86F54" w:rsidRPr="003A1E48">
        <w:rPr>
          <w:rFonts w:ascii="Book Antiqua" w:hAnsi="Book Antiqua" w:cs="Arial"/>
          <w:lang w:val="en-CA"/>
        </w:rPr>
        <w:t xml:space="preserve">there is no </w:t>
      </w:r>
      <w:r w:rsidR="005B7CAB" w:rsidRPr="003A1E48">
        <w:rPr>
          <w:rFonts w:ascii="Book Antiqua" w:hAnsi="Book Antiqua" w:cs="Arial"/>
          <w:lang w:val="en-CA"/>
        </w:rPr>
        <w:t>well-</w:t>
      </w:r>
      <w:r w:rsidR="005C4870" w:rsidRPr="003A1E48">
        <w:rPr>
          <w:rFonts w:ascii="Book Antiqua" w:hAnsi="Book Antiqua" w:cs="Arial"/>
          <w:lang w:val="en-CA"/>
        </w:rPr>
        <w:t xml:space="preserve">defined framework of outpatient </w:t>
      </w:r>
      <w:r w:rsidR="00A40D89" w:rsidRPr="003A1E48">
        <w:rPr>
          <w:rFonts w:ascii="Book Antiqua" w:hAnsi="Book Antiqua" w:cs="Arial"/>
          <w:lang w:val="en-CA"/>
        </w:rPr>
        <w:t>RAC</w:t>
      </w:r>
      <w:r w:rsidR="005C4870" w:rsidRPr="003A1E48">
        <w:rPr>
          <w:rFonts w:ascii="Book Antiqua" w:hAnsi="Book Antiqua" w:cs="Arial"/>
          <w:lang w:val="en-CA"/>
        </w:rPr>
        <w:t xml:space="preserve"> in IBD cent</w:t>
      </w:r>
      <w:r w:rsidR="00BB7F4F" w:rsidRPr="003A1E48">
        <w:rPr>
          <w:rFonts w:ascii="Book Antiqua" w:hAnsi="Book Antiqua" w:cs="Arial"/>
          <w:lang w:val="en-CA"/>
        </w:rPr>
        <w:t>er</w:t>
      </w:r>
      <w:r w:rsidR="005C4870" w:rsidRPr="003A1E48">
        <w:rPr>
          <w:rFonts w:ascii="Book Antiqua" w:hAnsi="Book Antiqua" w:cs="Arial"/>
          <w:lang w:val="en-CA"/>
        </w:rPr>
        <w:t>s across North America.</w:t>
      </w:r>
      <w:r w:rsidR="00846414" w:rsidRPr="003A1E48">
        <w:rPr>
          <w:rFonts w:ascii="Book Antiqua" w:hAnsi="Book Antiqua" w:cs="Arial"/>
          <w:lang w:val="en-CA"/>
        </w:rPr>
        <w:t xml:space="preserve"> A RAC service </w:t>
      </w:r>
      <w:r w:rsidR="00C86F54" w:rsidRPr="003A1E48">
        <w:rPr>
          <w:rFonts w:ascii="Book Antiqua" w:hAnsi="Book Antiqua" w:cs="Arial"/>
          <w:lang w:val="en-CA"/>
        </w:rPr>
        <w:t xml:space="preserve">can </w:t>
      </w:r>
      <w:r w:rsidR="00846414" w:rsidRPr="003A1E48">
        <w:rPr>
          <w:rFonts w:ascii="Book Antiqua" w:hAnsi="Book Antiqua" w:cs="Arial"/>
          <w:lang w:val="en-CA"/>
        </w:rPr>
        <w:t xml:space="preserve">provide </w:t>
      </w:r>
      <w:r w:rsidR="00C86F54" w:rsidRPr="003A1E48">
        <w:rPr>
          <w:rFonts w:ascii="Book Antiqua" w:hAnsi="Book Antiqua" w:cs="Arial"/>
          <w:lang w:val="en-CA"/>
        </w:rPr>
        <w:t xml:space="preserve">quick access and </w:t>
      </w:r>
      <w:r w:rsidR="004F31AD" w:rsidRPr="003A1E48">
        <w:rPr>
          <w:rFonts w:ascii="Book Antiqua" w:hAnsi="Book Antiqua" w:cs="Arial"/>
          <w:lang w:val="en-CA"/>
        </w:rPr>
        <w:t xml:space="preserve">rapid evaluation by an </w:t>
      </w:r>
      <w:r w:rsidR="00C86F54" w:rsidRPr="003A1E48">
        <w:rPr>
          <w:rFonts w:ascii="Book Antiqua" w:hAnsi="Book Antiqua" w:cs="Arial"/>
          <w:lang w:val="en-CA"/>
        </w:rPr>
        <w:t xml:space="preserve">IBD specialist </w:t>
      </w:r>
      <w:r w:rsidR="0065544A" w:rsidRPr="003A1E48">
        <w:rPr>
          <w:rFonts w:ascii="Book Antiqua" w:hAnsi="Book Antiqua" w:cs="Arial"/>
          <w:lang w:val="en-CA"/>
        </w:rPr>
        <w:t>for patients experiencing moderate to severe s</w:t>
      </w:r>
      <w:r w:rsidRPr="003A1E48">
        <w:rPr>
          <w:rFonts w:ascii="Book Antiqua" w:hAnsi="Book Antiqua" w:cs="Arial"/>
          <w:lang w:val="en-CA"/>
        </w:rPr>
        <w:t>ymptoms in non-</w:t>
      </w:r>
      <w:r w:rsidR="0065544A" w:rsidRPr="003A1E48">
        <w:rPr>
          <w:rFonts w:ascii="Book Antiqua" w:hAnsi="Book Antiqua" w:cs="Arial"/>
          <w:lang w:val="en-CA"/>
        </w:rPr>
        <w:t>emergency situations related to IBD</w:t>
      </w:r>
      <w:r w:rsidR="00846414" w:rsidRPr="003A1E48">
        <w:rPr>
          <w:rFonts w:ascii="Book Antiqua" w:hAnsi="Book Antiqua" w:cs="Arial"/>
          <w:lang w:val="en-CA"/>
        </w:rPr>
        <w:t>, thus potentially avoiding ED visits.</w:t>
      </w:r>
      <w:r w:rsidR="005C4870" w:rsidRPr="003A1E48">
        <w:rPr>
          <w:rFonts w:ascii="Book Antiqua" w:hAnsi="Book Antiqua" w:cs="Arial"/>
          <w:lang w:val="en-CA"/>
        </w:rPr>
        <w:t xml:space="preserve"> In this study, we aimed to prospectively measure quality of care </w:t>
      </w:r>
      <w:r w:rsidR="000E171D" w:rsidRPr="003A1E48">
        <w:rPr>
          <w:rFonts w:ascii="Book Antiqua" w:hAnsi="Book Antiqua" w:cs="Arial"/>
          <w:lang w:val="en-CA"/>
        </w:rPr>
        <w:t xml:space="preserve">indicators </w:t>
      </w:r>
      <w:r w:rsidR="00EC3500" w:rsidRPr="003A1E48">
        <w:rPr>
          <w:rFonts w:ascii="Book Antiqua" w:hAnsi="Book Antiqua" w:cs="Arial"/>
          <w:lang w:val="en-CA"/>
        </w:rPr>
        <w:t>by assessing patient access, diagnostic procedures, resource utilization</w:t>
      </w:r>
      <w:r w:rsidR="004E0B4F" w:rsidRPr="003A1E48">
        <w:rPr>
          <w:rFonts w:ascii="Book Antiqua" w:hAnsi="Book Antiqua" w:cs="Arial"/>
          <w:lang w:val="en-CA"/>
        </w:rPr>
        <w:t xml:space="preserve"> </w:t>
      </w:r>
      <w:r w:rsidR="00EC3500" w:rsidRPr="003A1E48">
        <w:rPr>
          <w:rFonts w:ascii="Book Antiqua" w:hAnsi="Book Antiqua" w:cs="Arial"/>
          <w:lang w:val="en-CA"/>
        </w:rPr>
        <w:t xml:space="preserve">and outcome parameters </w:t>
      </w:r>
      <w:r w:rsidR="005C4870" w:rsidRPr="003A1E48">
        <w:rPr>
          <w:rFonts w:ascii="Book Antiqua" w:hAnsi="Book Antiqua" w:cs="Arial"/>
          <w:lang w:val="en-CA"/>
        </w:rPr>
        <w:t xml:space="preserve">after </w:t>
      </w:r>
      <w:r w:rsidR="00B41784" w:rsidRPr="003A1E48">
        <w:rPr>
          <w:rFonts w:ascii="Book Antiqua" w:hAnsi="Book Antiqua" w:cs="Arial"/>
          <w:lang w:val="en-CA"/>
        </w:rPr>
        <w:t xml:space="preserve">the </w:t>
      </w:r>
      <w:r w:rsidR="005C4870" w:rsidRPr="003A1E48">
        <w:rPr>
          <w:rFonts w:ascii="Book Antiqua" w:hAnsi="Book Antiqua" w:cs="Arial"/>
          <w:lang w:val="en-CA"/>
        </w:rPr>
        <w:t xml:space="preserve">implementation of </w:t>
      </w:r>
      <w:r w:rsidR="004E0B4F" w:rsidRPr="003A1E48">
        <w:rPr>
          <w:rFonts w:ascii="Book Antiqua" w:hAnsi="Book Antiqua" w:cs="Arial"/>
          <w:lang w:val="en-CA"/>
        </w:rPr>
        <w:t>a</w:t>
      </w:r>
      <w:r w:rsidR="005C4870" w:rsidRPr="003A1E48">
        <w:rPr>
          <w:rFonts w:ascii="Book Antiqua" w:hAnsi="Book Antiqua" w:cs="Arial"/>
          <w:lang w:val="en-CA"/>
        </w:rPr>
        <w:t xml:space="preserve"> new</w:t>
      </w:r>
      <w:r w:rsidR="00C86F54" w:rsidRPr="003A1E48">
        <w:rPr>
          <w:rFonts w:ascii="Book Antiqua" w:hAnsi="Book Antiqua" w:cs="Arial"/>
          <w:lang w:val="en-CA"/>
        </w:rPr>
        <w:t>, formal</w:t>
      </w:r>
      <w:r w:rsidR="005C4870" w:rsidRPr="003A1E48">
        <w:rPr>
          <w:rFonts w:ascii="Book Antiqua" w:hAnsi="Book Antiqua" w:cs="Arial"/>
          <w:lang w:val="en-CA"/>
        </w:rPr>
        <w:t xml:space="preserve"> </w:t>
      </w:r>
      <w:r w:rsidR="000E171D" w:rsidRPr="003A1E48">
        <w:rPr>
          <w:rFonts w:ascii="Book Antiqua" w:hAnsi="Book Antiqua" w:cs="Arial"/>
          <w:lang w:val="en-CA"/>
        </w:rPr>
        <w:t xml:space="preserve">RAC </w:t>
      </w:r>
      <w:r w:rsidR="00EC3500" w:rsidRPr="003A1E48">
        <w:rPr>
          <w:rFonts w:ascii="Book Antiqua" w:hAnsi="Book Antiqua" w:cs="Arial"/>
          <w:lang w:val="en-CA"/>
        </w:rPr>
        <w:t xml:space="preserve">service </w:t>
      </w:r>
      <w:r w:rsidR="005C4870" w:rsidRPr="003A1E48">
        <w:rPr>
          <w:rFonts w:ascii="Book Antiqua" w:hAnsi="Book Antiqua" w:cs="Arial"/>
          <w:lang w:val="en-CA"/>
        </w:rPr>
        <w:t xml:space="preserve">at the </w:t>
      </w:r>
      <w:r w:rsidR="00B41784" w:rsidRPr="003A1E48">
        <w:rPr>
          <w:rFonts w:ascii="Book Antiqua" w:hAnsi="Book Antiqua" w:cs="Arial"/>
          <w:lang w:val="en-CA"/>
        </w:rPr>
        <w:t>McGill University Health Cent</w:t>
      </w:r>
      <w:r w:rsidR="00162D78" w:rsidRPr="003A1E48">
        <w:rPr>
          <w:rFonts w:ascii="Book Antiqua" w:hAnsi="Book Antiqua" w:cs="Arial"/>
          <w:lang w:val="en-CA"/>
        </w:rPr>
        <w:t>re</w:t>
      </w:r>
      <w:r w:rsidR="00B41784" w:rsidRPr="003A1E48">
        <w:rPr>
          <w:rFonts w:ascii="Book Antiqua" w:hAnsi="Book Antiqua" w:cs="Arial"/>
          <w:lang w:val="en-CA"/>
        </w:rPr>
        <w:t xml:space="preserve"> (MUHC) tertiary care IBD cent</w:t>
      </w:r>
      <w:r w:rsidR="00BB7F4F" w:rsidRPr="003A1E48">
        <w:rPr>
          <w:rFonts w:ascii="Book Antiqua" w:hAnsi="Book Antiqua" w:cs="Arial"/>
          <w:lang w:val="en-CA"/>
        </w:rPr>
        <w:t>er</w:t>
      </w:r>
      <w:r w:rsidR="005C4870" w:rsidRPr="003A1E48">
        <w:rPr>
          <w:rFonts w:ascii="Book Antiqua" w:hAnsi="Book Antiqua" w:cs="Arial"/>
          <w:lang w:val="en-CA"/>
        </w:rPr>
        <w:t>. We also aimed to compare the resource utilization</w:t>
      </w:r>
      <w:r w:rsidR="00B41784" w:rsidRPr="003A1E48">
        <w:rPr>
          <w:rFonts w:ascii="Book Antiqua" w:hAnsi="Book Antiqua" w:cs="Arial"/>
          <w:lang w:val="en-CA"/>
        </w:rPr>
        <w:t xml:space="preserve"> </w:t>
      </w:r>
      <w:r w:rsidR="00C86F54" w:rsidRPr="003A1E48">
        <w:rPr>
          <w:rFonts w:ascii="Book Antiqua" w:hAnsi="Book Antiqua" w:cs="Arial"/>
          <w:lang w:val="en-CA"/>
        </w:rPr>
        <w:t xml:space="preserve">and costs </w:t>
      </w:r>
      <w:r w:rsidR="00B41784" w:rsidRPr="003A1E48">
        <w:rPr>
          <w:rFonts w:ascii="Book Antiqua" w:hAnsi="Book Antiqua" w:cs="Arial"/>
          <w:lang w:val="en-CA"/>
        </w:rPr>
        <w:t xml:space="preserve">of </w:t>
      </w:r>
      <w:r w:rsidR="00EC3500" w:rsidRPr="003A1E48">
        <w:rPr>
          <w:rFonts w:ascii="Book Antiqua" w:hAnsi="Book Antiqua" w:cs="Arial"/>
          <w:lang w:val="en-CA"/>
        </w:rPr>
        <w:t>the RAC with regular ED visits of other IBD patients having no access to RAC services</w:t>
      </w:r>
      <w:r w:rsidR="005C4870" w:rsidRPr="003A1E48">
        <w:rPr>
          <w:rFonts w:ascii="Book Antiqua" w:hAnsi="Book Antiqua" w:cs="Arial"/>
          <w:lang w:val="en-CA"/>
        </w:rPr>
        <w:t xml:space="preserve">. </w:t>
      </w:r>
    </w:p>
    <w:p w14:paraId="6D7CBAA7" w14:textId="77777777" w:rsidR="00244166" w:rsidRPr="003A1E48" w:rsidRDefault="00244166" w:rsidP="00DD7F70">
      <w:pPr>
        <w:spacing w:line="360" w:lineRule="auto"/>
        <w:jc w:val="both"/>
        <w:rPr>
          <w:rFonts w:ascii="Book Antiqua" w:hAnsi="Book Antiqua" w:cs="Arial"/>
          <w:lang w:val="en-CA"/>
        </w:rPr>
      </w:pPr>
    </w:p>
    <w:p w14:paraId="2F0F4A9F" w14:textId="77777777" w:rsidR="002C1411" w:rsidRPr="003A1E48" w:rsidRDefault="002C1411"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t>MATERIALS AND METHODS</w:t>
      </w:r>
    </w:p>
    <w:p w14:paraId="6A6B4252" w14:textId="1274A7AB" w:rsidR="002C1411" w:rsidRPr="003A1E48" w:rsidRDefault="00A56242" w:rsidP="00DD7F70">
      <w:pPr>
        <w:spacing w:line="360" w:lineRule="auto"/>
        <w:jc w:val="both"/>
        <w:rPr>
          <w:rFonts w:ascii="Book Antiqua" w:hAnsi="Book Antiqua" w:cs="Arial"/>
          <w:lang w:val="en-CA"/>
        </w:rPr>
      </w:pPr>
      <w:r w:rsidRPr="003A1E48">
        <w:rPr>
          <w:rFonts w:ascii="Book Antiqua" w:hAnsi="Book Antiqua" w:cs="Arial"/>
          <w:lang w:val="en-CA"/>
        </w:rPr>
        <w:t xml:space="preserve">The </w:t>
      </w:r>
      <w:r w:rsidR="000E171D" w:rsidRPr="003A1E48">
        <w:rPr>
          <w:rFonts w:ascii="Book Antiqua" w:hAnsi="Book Antiqua" w:cs="Arial"/>
          <w:lang w:val="en-CA"/>
        </w:rPr>
        <w:t>MUHC</w:t>
      </w:r>
      <w:r w:rsidRPr="003A1E48">
        <w:rPr>
          <w:rFonts w:ascii="Book Antiqua" w:hAnsi="Book Antiqua" w:cs="Arial"/>
          <w:lang w:val="en-CA"/>
        </w:rPr>
        <w:t xml:space="preserve"> IBD cent</w:t>
      </w:r>
      <w:r w:rsidR="00C5304C" w:rsidRPr="003A1E48">
        <w:rPr>
          <w:rFonts w:ascii="Book Antiqua" w:hAnsi="Book Antiqua" w:cs="Arial"/>
          <w:lang w:val="en-CA"/>
        </w:rPr>
        <w:t>er</w:t>
      </w:r>
      <w:r w:rsidRPr="003A1E48">
        <w:rPr>
          <w:rFonts w:ascii="Book Antiqua" w:hAnsi="Book Antiqua" w:cs="Arial"/>
          <w:lang w:val="en-CA"/>
        </w:rPr>
        <w:t xml:space="preserve"> consists of a team of medical professionals including IBD speciali</w:t>
      </w:r>
      <w:r w:rsidR="004E0B4F" w:rsidRPr="003A1E48">
        <w:rPr>
          <w:rFonts w:ascii="Book Antiqua" w:hAnsi="Book Antiqua" w:cs="Arial"/>
          <w:lang w:val="en-CA"/>
        </w:rPr>
        <w:t>z</w:t>
      </w:r>
      <w:r w:rsidRPr="003A1E48">
        <w:rPr>
          <w:rFonts w:ascii="Book Antiqua" w:hAnsi="Book Antiqua" w:cs="Arial"/>
          <w:lang w:val="en-CA"/>
        </w:rPr>
        <w:t xml:space="preserve">ed </w:t>
      </w:r>
      <w:r w:rsidR="001C1386" w:rsidRPr="003A1E48">
        <w:rPr>
          <w:rFonts w:ascii="Book Antiqua" w:hAnsi="Book Antiqua" w:cs="Arial"/>
          <w:lang w:val="en-CA"/>
        </w:rPr>
        <w:t>gastroenterologists</w:t>
      </w:r>
      <w:r w:rsidRPr="003A1E48">
        <w:rPr>
          <w:rFonts w:ascii="Book Antiqua" w:hAnsi="Book Antiqua" w:cs="Arial"/>
          <w:lang w:val="en-CA"/>
        </w:rPr>
        <w:t xml:space="preserve"> and fellows, IBD nurses, </w:t>
      </w:r>
      <w:r w:rsidR="000E171D" w:rsidRPr="003A1E48">
        <w:rPr>
          <w:rFonts w:ascii="Book Antiqua" w:hAnsi="Book Antiqua" w:cs="Arial"/>
          <w:lang w:val="en-CA"/>
        </w:rPr>
        <w:t>research fellows</w:t>
      </w:r>
      <w:r w:rsidR="0040497E" w:rsidRPr="003A1E48">
        <w:rPr>
          <w:rFonts w:ascii="Book Antiqua" w:hAnsi="Book Antiqua" w:cs="Arial"/>
          <w:lang w:val="en-CA"/>
        </w:rPr>
        <w:t xml:space="preserve"> who </w:t>
      </w:r>
      <w:r w:rsidR="001C1386" w:rsidRPr="003A1E48">
        <w:rPr>
          <w:rFonts w:ascii="Book Antiqua" w:hAnsi="Book Antiqua" w:cs="Arial"/>
          <w:lang w:val="en-CA"/>
        </w:rPr>
        <w:t>work closely with other consult</w:t>
      </w:r>
      <w:r w:rsidR="003B6AD4" w:rsidRPr="003A1E48">
        <w:rPr>
          <w:rFonts w:ascii="Book Antiqua" w:hAnsi="Book Antiqua" w:cs="Arial"/>
          <w:lang w:val="en-CA"/>
        </w:rPr>
        <w:t>ing</w:t>
      </w:r>
      <w:r w:rsidR="001C1386" w:rsidRPr="003A1E48">
        <w:rPr>
          <w:rFonts w:ascii="Book Antiqua" w:hAnsi="Book Antiqua" w:cs="Arial"/>
          <w:lang w:val="en-CA"/>
        </w:rPr>
        <w:t xml:space="preserve"> professionals to offer a </w:t>
      </w:r>
      <w:r w:rsidR="00A61566" w:rsidRPr="003A1E48">
        <w:rPr>
          <w:rFonts w:ascii="Book Antiqua" w:hAnsi="Book Antiqua" w:cs="Arial"/>
          <w:lang w:val="en-CA"/>
        </w:rPr>
        <w:t>continuous,</w:t>
      </w:r>
      <w:r w:rsidR="001C1386" w:rsidRPr="003A1E48">
        <w:rPr>
          <w:rFonts w:ascii="Book Antiqua" w:hAnsi="Book Antiqua" w:cs="Arial"/>
          <w:lang w:val="en-CA"/>
        </w:rPr>
        <w:t xml:space="preserve"> </w:t>
      </w:r>
      <w:r w:rsidR="003B6AD4" w:rsidRPr="003A1E48">
        <w:rPr>
          <w:rFonts w:ascii="Book Antiqua" w:hAnsi="Book Antiqua" w:cs="Arial"/>
          <w:lang w:val="en-CA"/>
        </w:rPr>
        <w:t xml:space="preserve">multi-faceted care to </w:t>
      </w:r>
      <w:r w:rsidR="000E171D" w:rsidRPr="003A1E48">
        <w:rPr>
          <w:rFonts w:ascii="Book Antiqua" w:hAnsi="Book Antiqua" w:cs="Arial"/>
          <w:lang w:val="en-CA"/>
        </w:rPr>
        <w:t xml:space="preserve">IBD </w:t>
      </w:r>
      <w:proofErr w:type="gramStart"/>
      <w:r w:rsidR="000E171D" w:rsidRPr="003A1E48">
        <w:rPr>
          <w:rFonts w:ascii="Book Antiqua" w:hAnsi="Book Antiqua" w:cs="Arial"/>
          <w:lang w:val="en-CA"/>
        </w:rPr>
        <w:t>patients</w:t>
      </w:r>
      <w:r w:rsidR="002C1411" w:rsidRPr="003A1E48">
        <w:rPr>
          <w:rFonts w:ascii="Book Antiqua" w:hAnsi="Book Antiqua" w:cs="Arial"/>
          <w:vertAlign w:val="superscript"/>
          <w:lang w:val="en-CA"/>
        </w:rPr>
        <w:t>[</w:t>
      </w:r>
      <w:proofErr w:type="gramEnd"/>
      <w:r w:rsidR="002C1411" w:rsidRPr="003A1E48">
        <w:rPr>
          <w:rFonts w:ascii="Book Antiqua" w:hAnsi="Book Antiqua" w:cs="Arial"/>
          <w:vertAlign w:val="superscript"/>
          <w:lang w:val="en-CA"/>
        </w:rPr>
        <w:t>13]</w:t>
      </w:r>
      <w:r w:rsidR="000E171D" w:rsidRPr="003A1E48">
        <w:rPr>
          <w:rFonts w:ascii="Book Antiqua" w:hAnsi="Book Antiqua" w:cs="Arial"/>
          <w:lang w:val="en-CA"/>
        </w:rPr>
        <w:t>.</w:t>
      </w:r>
      <w:r w:rsidR="00BB10B7" w:rsidRPr="003A1E48">
        <w:rPr>
          <w:rFonts w:ascii="Book Antiqua" w:hAnsi="Book Antiqua" w:cs="Arial"/>
          <w:lang w:val="en-CA"/>
        </w:rPr>
        <w:t xml:space="preserve"> </w:t>
      </w:r>
      <w:r w:rsidR="007861A8" w:rsidRPr="003A1E48">
        <w:rPr>
          <w:rFonts w:ascii="Book Antiqua" w:hAnsi="Book Antiqua" w:cs="Arial"/>
          <w:lang w:val="en-CA"/>
        </w:rPr>
        <w:t xml:space="preserve">The </w:t>
      </w:r>
      <w:r w:rsidR="005C1E62" w:rsidRPr="003A1E48">
        <w:rPr>
          <w:rFonts w:ascii="Book Antiqua" w:hAnsi="Book Antiqua" w:cs="Arial"/>
          <w:lang w:val="en-CA"/>
        </w:rPr>
        <w:t xml:space="preserve">formal </w:t>
      </w:r>
      <w:r w:rsidR="007861A8" w:rsidRPr="003A1E48">
        <w:rPr>
          <w:rFonts w:ascii="Book Antiqua" w:hAnsi="Book Antiqua" w:cs="Arial"/>
          <w:lang w:val="en-CA"/>
        </w:rPr>
        <w:t xml:space="preserve">RAC service was </w:t>
      </w:r>
      <w:r w:rsidR="005C1E62" w:rsidRPr="003A1E48">
        <w:rPr>
          <w:rFonts w:ascii="Book Antiqua" w:hAnsi="Book Antiqua" w:cs="Arial"/>
          <w:lang w:val="en-CA"/>
        </w:rPr>
        <w:t xml:space="preserve">established </w:t>
      </w:r>
      <w:r w:rsidR="00E437C6" w:rsidRPr="003A1E48">
        <w:rPr>
          <w:rFonts w:ascii="Book Antiqua" w:hAnsi="Book Antiqua" w:cs="Arial"/>
          <w:lang w:val="en-CA"/>
        </w:rPr>
        <w:t>within the MUHC IBD center. Treating physicians provided</w:t>
      </w:r>
      <w:r w:rsidR="007861A8" w:rsidRPr="003A1E48">
        <w:rPr>
          <w:rFonts w:ascii="Book Antiqua" w:hAnsi="Book Antiqua" w:cs="Arial"/>
          <w:lang w:val="en-CA"/>
        </w:rPr>
        <w:t xml:space="preserve"> emergency contact information (email/telephone) to </w:t>
      </w:r>
      <w:r w:rsidR="00E437C6" w:rsidRPr="003A1E48">
        <w:rPr>
          <w:rFonts w:ascii="Book Antiqua" w:hAnsi="Book Antiqua" w:cs="Arial"/>
          <w:lang w:val="en-CA"/>
        </w:rPr>
        <w:t>all</w:t>
      </w:r>
      <w:r w:rsidR="007861A8" w:rsidRPr="003A1E48">
        <w:rPr>
          <w:rFonts w:ascii="Book Antiqua" w:hAnsi="Book Antiqua" w:cs="Arial"/>
          <w:lang w:val="en-CA"/>
        </w:rPr>
        <w:t xml:space="preserve"> patients</w:t>
      </w:r>
      <w:r w:rsidR="000E68F3" w:rsidRPr="003A1E48">
        <w:rPr>
          <w:rFonts w:ascii="Book Antiqua" w:hAnsi="Book Antiqua" w:cs="Arial"/>
          <w:lang w:val="en-CA"/>
        </w:rPr>
        <w:t>, as well as</w:t>
      </w:r>
      <w:r w:rsidR="00DA0AEA" w:rsidRPr="003A1E48">
        <w:rPr>
          <w:rFonts w:ascii="Book Antiqua" w:hAnsi="Book Antiqua" w:cs="Arial"/>
          <w:lang w:val="en-CA"/>
        </w:rPr>
        <w:t xml:space="preserve"> a framework of indications for </w:t>
      </w:r>
      <w:r w:rsidR="00AC6B9A" w:rsidRPr="003A1E48">
        <w:rPr>
          <w:rFonts w:ascii="Book Antiqua" w:hAnsi="Book Antiqua" w:cs="Arial"/>
          <w:lang w:val="en-CA"/>
        </w:rPr>
        <w:t>appropriate</w:t>
      </w:r>
      <w:r w:rsidR="00DA0AEA" w:rsidRPr="003A1E48">
        <w:rPr>
          <w:rFonts w:ascii="Book Antiqua" w:hAnsi="Book Antiqua" w:cs="Arial"/>
          <w:lang w:val="en-CA"/>
        </w:rPr>
        <w:t xml:space="preserve"> consultation</w:t>
      </w:r>
      <w:r w:rsidR="00AC6B9A" w:rsidRPr="003A1E48">
        <w:rPr>
          <w:rFonts w:ascii="Book Antiqua" w:hAnsi="Book Antiqua" w:cs="Arial"/>
          <w:lang w:val="en-CA"/>
        </w:rPr>
        <w:t xml:space="preserve"> </w:t>
      </w:r>
      <w:r w:rsidR="00637BAA" w:rsidRPr="003A1E48">
        <w:rPr>
          <w:rFonts w:ascii="Book Antiqua" w:hAnsi="Book Antiqua" w:cs="Arial"/>
          <w:lang w:val="en-CA"/>
        </w:rPr>
        <w:t>to the RAC</w:t>
      </w:r>
      <w:r w:rsidR="00AC6B9A" w:rsidRPr="003A1E48">
        <w:rPr>
          <w:rFonts w:ascii="Book Antiqua" w:hAnsi="Book Antiqua" w:cs="Arial"/>
          <w:lang w:val="en-CA"/>
        </w:rPr>
        <w:t>, known as the Urgent IBD care plan</w:t>
      </w:r>
      <w:r w:rsidR="00DA0AEA" w:rsidRPr="003A1E48">
        <w:rPr>
          <w:rFonts w:ascii="Book Antiqua" w:hAnsi="Book Antiqua" w:cs="Arial"/>
          <w:lang w:val="en-CA"/>
        </w:rPr>
        <w:t xml:space="preserve"> (</w:t>
      </w:r>
      <w:r w:rsidR="00014345" w:rsidRPr="00014345">
        <w:rPr>
          <w:rFonts w:ascii="Book Antiqua" w:hAnsi="Book Antiqua" w:cs="Arial"/>
          <w:lang w:val="en-CA"/>
        </w:rPr>
        <w:t xml:space="preserve">Supplementary </w:t>
      </w:r>
      <w:r w:rsidR="00A0336C">
        <w:rPr>
          <w:rFonts w:ascii="Book Antiqua" w:hAnsi="Book Antiqua" w:cs="Arial"/>
          <w:lang w:val="en-CA" w:eastAsia="zh-CN"/>
        </w:rPr>
        <w:t>Figure</w:t>
      </w:r>
      <w:r w:rsidR="00A0336C">
        <w:rPr>
          <w:rFonts w:ascii="Book Antiqua" w:hAnsi="Book Antiqua" w:cs="Arial"/>
          <w:lang w:val="en-CA"/>
        </w:rPr>
        <w:t xml:space="preserve"> 1</w:t>
      </w:r>
      <w:r w:rsidR="00DA0AEA" w:rsidRPr="003A1E48">
        <w:rPr>
          <w:rFonts w:ascii="Book Antiqua" w:hAnsi="Book Antiqua" w:cs="Arial"/>
          <w:lang w:val="en-CA"/>
        </w:rPr>
        <w:t xml:space="preserve">). </w:t>
      </w:r>
      <w:r w:rsidR="00637BAA" w:rsidRPr="003A1E48">
        <w:rPr>
          <w:rFonts w:ascii="Book Antiqua" w:hAnsi="Book Antiqua" w:cs="Arial"/>
          <w:lang w:val="en-CA"/>
        </w:rPr>
        <w:t xml:space="preserve">Each email was read and reviewed by an IBD-specialised nurse </w:t>
      </w:r>
      <w:r w:rsidR="005C1E62" w:rsidRPr="003A1E48">
        <w:rPr>
          <w:rFonts w:ascii="Book Antiqua" w:hAnsi="Book Antiqua" w:cs="Arial"/>
          <w:lang w:val="en-CA"/>
        </w:rPr>
        <w:t>and/</w:t>
      </w:r>
      <w:r w:rsidR="00637BAA" w:rsidRPr="003A1E48">
        <w:rPr>
          <w:rFonts w:ascii="Book Antiqua" w:hAnsi="Book Antiqua" w:cs="Arial"/>
          <w:lang w:val="en-CA"/>
        </w:rPr>
        <w:t xml:space="preserve">or physician. The patients were offered a RAC visit if </w:t>
      </w:r>
      <w:r w:rsidR="00A068D2" w:rsidRPr="003A1E48">
        <w:rPr>
          <w:rFonts w:ascii="Book Antiqua" w:hAnsi="Book Antiqua" w:cs="Arial"/>
          <w:lang w:val="en-CA"/>
        </w:rPr>
        <w:t xml:space="preserve">the </w:t>
      </w:r>
      <w:r w:rsidR="005C1E62" w:rsidRPr="003A1E48">
        <w:rPr>
          <w:rFonts w:ascii="Book Antiqua" w:hAnsi="Book Antiqua" w:cs="Arial"/>
          <w:lang w:val="en-CA"/>
        </w:rPr>
        <w:t xml:space="preserve">request was </w:t>
      </w:r>
      <w:r w:rsidR="00637BAA" w:rsidRPr="003A1E48">
        <w:rPr>
          <w:rFonts w:ascii="Book Antiqua" w:hAnsi="Book Antiqua" w:cs="Arial"/>
          <w:lang w:val="en-CA"/>
        </w:rPr>
        <w:t>deemed appropriate</w:t>
      </w:r>
      <w:r w:rsidR="000513A8" w:rsidRPr="003A1E48">
        <w:rPr>
          <w:rFonts w:ascii="Book Antiqua" w:hAnsi="Book Antiqua" w:cs="Arial"/>
          <w:lang w:val="en-CA"/>
        </w:rPr>
        <w:t xml:space="preserve">. </w:t>
      </w:r>
      <w:r w:rsidR="005C1E62" w:rsidRPr="003A1E48">
        <w:rPr>
          <w:rFonts w:ascii="Book Antiqua" w:hAnsi="Book Antiqua" w:cs="Arial"/>
          <w:lang w:val="en-CA"/>
        </w:rPr>
        <w:t>Consecutive p</w:t>
      </w:r>
      <w:r w:rsidR="000E68F3" w:rsidRPr="003A1E48">
        <w:rPr>
          <w:rFonts w:ascii="Book Antiqua" w:hAnsi="Book Antiqua" w:cs="Arial"/>
          <w:lang w:val="en-CA"/>
        </w:rPr>
        <w:t xml:space="preserve">atients from the MUHC IBD Center who contacted the RAC </w:t>
      </w:r>
      <w:r w:rsidR="000E68F3" w:rsidRPr="003A1E48">
        <w:rPr>
          <w:rFonts w:ascii="Book Antiqua" w:hAnsi="Book Antiqua" w:cs="Arial"/>
          <w:i/>
          <w:iCs/>
          <w:lang w:val="en-CA"/>
        </w:rPr>
        <w:t>via</w:t>
      </w:r>
      <w:r w:rsidR="000E68F3" w:rsidRPr="003A1E48">
        <w:rPr>
          <w:rFonts w:ascii="Book Antiqua" w:hAnsi="Book Antiqua" w:cs="Arial"/>
          <w:lang w:val="en-CA"/>
        </w:rPr>
        <w:t xml:space="preserve"> email/telephone or personal visit between July 2017 and April 2019 were prospectively included</w:t>
      </w:r>
      <w:r w:rsidR="000775C0" w:rsidRPr="003A1E48">
        <w:rPr>
          <w:rFonts w:ascii="Book Antiqua" w:hAnsi="Book Antiqua" w:cs="Arial"/>
          <w:lang w:val="en-CA"/>
        </w:rPr>
        <w:t xml:space="preserve"> in this study</w:t>
      </w:r>
      <w:r w:rsidR="000E68F3" w:rsidRPr="003A1E48">
        <w:rPr>
          <w:rFonts w:ascii="Book Antiqua" w:hAnsi="Book Antiqua" w:cs="Arial"/>
          <w:lang w:val="en-CA"/>
        </w:rPr>
        <w:t xml:space="preserve">. </w:t>
      </w:r>
      <w:r w:rsidR="000E68F3" w:rsidRPr="003A1E48">
        <w:rPr>
          <w:rFonts w:ascii="Book Antiqua" w:hAnsi="Book Antiqua" w:cs="Arial"/>
        </w:rPr>
        <w:t>Only those</w:t>
      </w:r>
      <w:r w:rsidR="000513A8" w:rsidRPr="003A1E48">
        <w:rPr>
          <w:rFonts w:ascii="Book Antiqua" w:hAnsi="Book Antiqua" w:cs="Arial"/>
        </w:rPr>
        <w:t xml:space="preserve"> above the age of 18 with a known diagnosis of </w:t>
      </w:r>
      <w:r w:rsidR="00A068D2" w:rsidRPr="003A1E48">
        <w:rPr>
          <w:rFonts w:ascii="Book Antiqua" w:hAnsi="Book Antiqua" w:cs="Arial"/>
        </w:rPr>
        <w:t>IBD</w:t>
      </w:r>
      <w:r w:rsidR="000513A8" w:rsidRPr="003A1E48">
        <w:rPr>
          <w:rFonts w:ascii="Book Antiqua" w:hAnsi="Book Antiqua" w:cs="Arial"/>
        </w:rPr>
        <w:t xml:space="preserve"> </w:t>
      </w:r>
      <w:r w:rsidR="00A068D2" w:rsidRPr="003A1E48">
        <w:rPr>
          <w:rFonts w:ascii="Book Antiqua" w:hAnsi="Book Antiqua" w:cs="Arial"/>
        </w:rPr>
        <w:t>and</w:t>
      </w:r>
      <w:r w:rsidR="005C1E62" w:rsidRPr="003A1E48">
        <w:rPr>
          <w:rFonts w:ascii="Book Antiqua" w:hAnsi="Book Antiqua" w:cs="Arial"/>
        </w:rPr>
        <w:t xml:space="preserve"> </w:t>
      </w:r>
      <w:r w:rsidR="00C86F54" w:rsidRPr="003A1E48">
        <w:rPr>
          <w:rFonts w:ascii="Book Antiqua" w:hAnsi="Book Antiqua" w:cs="Arial"/>
        </w:rPr>
        <w:t xml:space="preserve">followed-up </w:t>
      </w:r>
      <w:r w:rsidR="000513A8" w:rsidRPr="003A1E48">
        <w:rPr>
          <w:rFonts w:ascii="Book Antiqua" w:hAnsi="Book Antiqua" w:cs="Arial"/>
        </w:rPr>
        <w:t xml:space="preserve">at the </w:t>
      </w:r>
      <w:r w:rsidR="00A068D2" w:rsidRPr="003A1E48">
        <w:rPr>
          <w:rFonts w:ascii="Book Antiqua" w:hAnsi="Book Antiqua" w:cs="Arial"/>
          <w:lang w:val="en-CA"/>
        </w:rPr>
        <w:t xml:space="preserve">MUHC IBD center </w:t>
      </w:r>
      <w:r w:rsidR="000513A8" w:rsidRPr="003A1E48">
        <w:rPr>
          <w:rFonts w:ascii="Book Antiqua" w:hAnsi="Book Antiqua" w:cs="Arial"/>
        </w:rPr>
        <w:t>by a member of the gastroenterology service</w:t>
      </w:r>
      <w:r w:rsidR="000775C0" w:rsidRPr="003A1E48">
        <w:rPr>
          <w:rFonts w:ascii="Book Antiqua" w:hAnsi="Book Antiqua" w:cs="Arial"/>
        </w:rPr>
        <w:t xml:space="preserve"> were</w:t>
      </w:r>
      <w:r w:rsidR="002F52D4" w:rsidRPr="003A1E48">
        <w:rPr>
          <w:rFonts w:ascii="Book Antiqua" w:hAnsi="Book Antiqua" w:cs="Arial"/>
        </w:rPr>
        <w:t xml:space="preserve"> </w:t>
      </w:r>
      <w:r w:rsidR="005C1E62" w:rsidRPr="003A1E48">
        <w:rPr>
          <w:rFonts w:ascii="Book Antiqua" w:hAnsi="Book Antiqua" w:cs="Arial"/>
        </w:rPr>
        <w:t>offered the RAC service</w:t>
      </w:r>
      <w:r w:rsidR="000513A8" w:rsidRPr="003A1E48">
        <w:rPr>
          <w:rFonts w:ascii="Book Antiqua" w:hAnsi="Book Antiqua" w:cs="Arial"/>
        </w:rPr>
        <w:t xml:space="preserve">. Patients with a recent diagnosis (less than 1 year) or an uncertain diagnosis of IBD </w:t>
      </w:r>
      <w:r w:rsidR="002F52D4" w:rsidRPr="003A1E48">
        <w:rPr>
          <w:rFonts w:ascii="Book Antiqua" w:hAnsi="Book Antiqua" w:cs="Arial"/>
        </w:rPr>
        <w:t>were</w:t>
      </w:r>
      <w:r w:rsidR="000513A8" w:rsidRPr="003A1E48">
        <w:rPr>
          <w:rFonts w:ascii="Book Antiqua" w:hAnsi="Book Antiqua" w:cs="Arial"/>
        </w:rPr>
        <w:t xml:space="preserve"> excluded.</w:t>
      </w:r>
    </w:p>
    <w:p w14:paraId="52A1A17A" w14:textId="25726512" w:rsidR="002C1411" w:rsidRPr="003A1E48" w:rsidRDefault="001A3F6E"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P</w:t>
      </w:r>
      <w:r w:rsidR="0049058F" w:rsidRPr="003A1E48">
        <w:rPr>
          <w:rFonts w:ascii="Book Antiqua" w:hAnsi="Book Antiqua" w:cs="Arial"/>
          <w:lang w:val="en-CA"/>
        </w:rPr>
        <w:t xml:space="preserve">atient and disease related demographics including </w:t>
      </w:r>
      <w:r w:rsidR="00D8140F" w:rsidRPr="003A1E48">
        <w:rPr>
          <w:rFonts w:ascii="Book Antiqua" w:hAnsi="Book Antiqua" w:cs="Arial"/>
          <w:lang w:val="en-CA"/>
        </w:rPr>
        <w:t>disease phenotype</w:t>
      </w:r>
      <w:r w:rsidR="007B3349" w:rsidRPr="003A1E48">
        <w:rPr>
          <w:rFonts w:ascii="Book Antiqua" w:hAnsi="Book Antiqua" w:cs="Arial"/>
          <w:lang w:val="en-CA"/>
        </w:rPr>
        <w:t xml:space="preserve"> and severity as well as</w:t>
      </w:r>
      <w:r w:rsidR="00D8140F" w:rsidRPr="003A1E48">
        <w:rPr>
          <w:rFonts w:ascii="Book Antiqua" w:hAnsi="Book Antiqua" w:cs="Arial"/>
          <w:lang w:val="en-CA"/>
        </w:rPr>
        <w:t xml:space="preserve"> current and previous medication history</w:t>
      </w:r>
      <w:r w:rsidRPr="003A1E48">
        <w:rPr>
          <w:rFonts w:ascii="Book Antiqua" w:hAnsi="Book Antiqua" w:cs="Arial"/>
          <w:lang w:val="en-CA"/>
        </w:rPr>
        <w:t xml:space="preserve"> was captured upon the RAC visits</w:t>
      </w:r>
      <w:r w:rsidR="0049058F" w:rsidRPr="003A1E48">
        <w:rPr>
          <w:rFonts w:ascii="Book Antiqua" w:hAnsi="Book Antiqua" w:cs="Arial"/>
          <w:lang w:val="en-CA"/>
        </w:rPr>
        <w:t>. Patient acces</w:t>
      </w:r>
      <w:r w:rsidR="00FB3378" w:rsidRPr="003A1E48">
        <w:rPr>
          <w:rFonts w:ascii="Book Antiqua" w:hAnsi="Book Antiqua" w:cs="Arial"/>
          <w:lang w:val="en-CA"/>
        </w:rPr>
        <w:t>s to the RAC</w:t>
      </w:r>
      <w:r w:rsidR="0049058F" w:rsidRPr="003A1E48">
        <w:rPr>
          <w:rFonts w:ascii="Book Antiqua" w:hAnsi="Book Antiqua" w:cs="Arial"/>
          <w:lang w:val="en-CA"/>
        </w:rPr>
        <w:t xml:space="preserve"> in terms of the validity of the request, and time to medical appointment</w:t>
      </w:r>
      <w:r w:rsidR="0004746A" w:rsidRPr="003A1E48">
        <w:rPr>
          <w:rFonts w:ascii="Book Antiqua" w:hAnsi="Book Antiqua" w:cs="Arial"/>
          <w:lang w:val="en-CA"/>
        </w:rPr>
        <w:t xml:space="preserve"> were evaluated. Resource utiliz</w:t>
      </w:r>
      <w:r w:rsidR="0049058F" w:rsidRPr="003A1E48">
        <w:rPr>
          <w:rFonts w:ascii="Book Antiqua" w:hAnsi="Book Antiqua" w:cs="Arial"/>
          <w:lang w:val="en-CA"/>
        </w:rPr>
        <w:t xml:space="preserve">ation </w:t>
      </w:r>
      <w:r w:rsidR="005C1E62" w:rsidRPr="003A1E48">
        <w:rPr>
          <w:rFonts w:ascii="Book Antiqua" w:hAnsi="Book Antiqua" w:cs="Arial"/>
          <w:lang w:val="en-CA"/>
        </w:rPr>
        <w:t>included</w:t>
      </w:r>
      <w:r w:rsidR="0049058F" w:rsidRPr="003A1E48">
        <w:rPr>
          <w:rFonts w:ascii="Book Antiqua" w:hAnsi="Book Antiqua" w:cs="Arial"/>
          <w:lang w:val="en-CA"/>
        </w:rPr>
        <w:t xml:space="preserve"> </w:t>
      </w:r>
      <w:r w:rsidR="007B3349" w:rsidRPr="003A1E48">
        <w:rPr>
          <w:rFonts w:ascii="Book Antiqua" w:hAnsi="Book Antiqua" w:cs="Arial"/>
          <w:lang w:val="en-CA"/>
        </w:rPr>
        <w:t>l</w:t>
      </w:r>
      <w:r w:rsidR="00D8140F" w:rsidRPr="003A1E48">
        <w:rPr>
          <w:rFonts w:ascii="Book Antiqua" w:hAnsi="Book Antiqua" w:cs="Arial"/>
          <w:lang w:val="en-CA"/>
        </w:rPr>
        <w:t xml:space="preserve">aboratory inflammatory </w:t>
      </w:r>
      <w:r w:rsidR="00D8140F" w:rsidRPr="003A1E48">
        <w:rPr>
          <w:rFonts w:ascii="Book Antiqua" w:hAnsi="Book Antiqua" w:cs="Arial"/>
          <w:lang w:val="en-CA"/>
        </w:rPr>
        <w:lastRenderedPageBreak/>
        <w:t>markers</w:t>
      </w:r>
      <w:r w:rsidR="00C4682F" w:rsidRPr="003A1E48">
        <w:rPr>
          <w:rFonts w:ascii="Book Antiqua" w:hAnsi="Book Antiqua" w:cs="Arial"/>
          <w:lang w:val="en-CA"/>
        </w:rPr>
        <w:t xml:space="preserve"> and cultures</w:t>
      </w:r>
      <w:r w:rsidR="00D8140F" w:rsidRPr="003A1E48">
        <w:rPr>
          <w:rFonts w:ascii="Book Antiqua" w:hAnsi="Book Antiqua" w:cs="Arial"/>
          <w:lang w:val="en-CA"/>
        </w:rPr>
        <w:t xml:space="preserve"> ordered during the visit, </w:t>
      </w:r>
      <w:r w:rsidR="007B3349" w:rsidRPr="003A1E48">
        <w:rPr>
          <w:rFonts w:ascii="Book Antiqua" w:hAnsi="Book Antiqua" w:cs="Arial"/>
          <w:lang w:val="en-CA"/>
        </w:rPr>
        <w:t>e</w:t>
      </w:r>
      <w:r w:rsidR="00D8140F" w:rsidRPr="003A1E48">
        <w:rPr>
          <w:rFonts w:ascii="Book Antiqua" w:hAnsi="Book Antiqua" w:cs="Arial"/>
          <w:lang w:val="en-CA"/>
        </w:rPr>
        <w:t xml:space="preserve">ndoscopy and other imaging modalities, requests for </w:t>
      </w:r>
      <w:r w:rsidR="005E7EB1" w:rsidRPr="003A1E48">
        <w:rPr>
          <w:rFonts w:ascii="Book Antiqua" w:hAnsi="Book Antiqua" w:cs="Arial"/>
          <w:lang w:val="en-CA"/>
        </w:rPr>
        <w:t xml:space="preserve">consulting services as well as changes in treatment initiated during the </w:t>
      </w:r>
      <w:r w:rsidR="00740679" w:rsidRPr="003A1E48">
        <w:rPr>
          <w:rFonts w:ascii="Book Antiqua" w:hAnsi="Book Antiqua" w:cs="Arial"/>
          <w:lang w:val="en-CA"/>
        </w:rPr>
        <w:t xml:space="preserve">visit. </w:t>
      </w:r>
      <w:r w:rsidR="00C4682F" w:rsidRPr="003A1E48">
        <w:rPr>
          <w:rFonts w:ascii="Book Antiqua" w:hAnsi="Book Antiqua" w:cs="Arial"/>
          <w:lang w:val="en-CA"/>
        </w:rPr>
        <w:t xml:space="preserve">We also </w:t>
      </w:r>
      <w:r w:rsidR="00931AFE" w:rsidRPr="003A1E48">
        <w:rPr>
          <w:rFonts w:ascii="Book Antiqua" w:hAnsi="Book Antiqua" w:cs="Arial"/>
          <w:lang w:val="en-CA"/>
        </w:rPr>
        <w:t>evaluated outcome parameters such as</w:t>
      </w:r>
      <w:r w:rsidR="007138F9" w:rsidRPr="003A1E48">
        <w:rPr>
          <w:rFonts w:ascii="Book Antiqua" w:hAnsi="Book Antiqua" w:cs="Arial"/>
          <w:lang w:val="en-CA"/>
        </w:rPr>
        <w:t xml:space="preserve"> </w:t>
      </w:r>
      <w:r w:rsidR="005C1E62" w:rsidRPr="003A1E48">
        <w:rPr>
          <w:rFonts w:ascii="Book Antiqua" w:hAnsi="Book Antiqua" w:cs="Arial"/>
          <w:lang w:val="en-CA"/>
        </w:rPr>
        <w:t xml:space="preserve">need for </w:t>
      </w:r>
      <w:r w:rsidR="003A1E48">
        <w:rPr>
          <w:rFonts w:ascii="Book Antiqua" w:hAnsi="Book Antiqua" w:cs="Arial" w:hint="eastAsia"/>
          <w:lang w:val="en-CA" w:eastAsia="zh-CN"/>
        </w:rPr>
        <w:t>ED</w:t>
      </w:r>
      <w:r w:rsidR="007138F9" w:rsidRPr="003A1E48">
        <w:rPr>
          <w:rFonts w:ascii="Book Antiqua" w:hAnsi="Book Antiqua" w:cs="Arial"/>
          <w:lang w:val="en-CA"/>
        </w:rPr>
        <w:t xml:space="preserve"> visits within a 30 and 90 d period following the RAC visit</w:t>
      </w:r>
      <w:r w:rsidR="00CE174B" w:rsidRPr="003A1E48">
        <w:rPr>
          <w:rFonts w:ascii="Book Antiqua" w:hAnsi="Book Antiqua" w:cs="Arial"/>
          <w:lang w:val="en-CA"/>
        </w:rPr>
        <w:t>. These ED visits were categorised</w:t>
      </w:r>
      <w:r w:rsidR="00967E78" w:rsidRPr="003A1E48">
        <w:rPr>
          <w:rFonts w:ascii="Book Antiqua" w:hAnsi="Book Antiqua" w:cs="Arial"/>
          <w:lang w:val="en-CA"/>
        </w:rPr>
        <w:t xml:space="preserve"> based on the fact, </w:t>
      </w:r>
      <w:r w:rsidR="00CE174B" w:rsidRPr="003A1E48">
        <w:rPr>
          <w:rFonts w:ascii="Book Antiqua" w:hAnsi="Book Antiqua" w:cs="Arial"/>
          <w:lang w:val="en-CA"/>
        </w:rPr>
        <w:t>wh</w:t>
      </w:r>
      <w:r w:rsidR="00967E78" w:rsidRPr="003A1E48">
        <w:rPr>
          <w:rFonts w:ascii="Book Antiqua" w:hAnsi="Book Antiqua" w:cs="Arial"/>
          <w:lang w:val="en-CA"/>
        </w:rPr>
        <w:t xml:space="preserve">ether they </w:t>
      </w:r>
      <w:r w:rsidR="00CE174B" w:rsidRPr="003A1E48">
        <w:rPr>
          <w:rFonts w:ascii="Book Antiqua" w:hAnsi="Book Antiqua" w:cs="Arial"/>
          <w:lang w:val="en-CA"/>
        </w:rPr>
        <w:t xml:space="preserve">were organised by the RAC personnel or </w:t>
      </w:r>
      <w:r w:rsidR="005C1E62" w:rsidRPr="003A1E48">
        <w:rPr>
          <w:rFonts w:ascii="Book Antiqua" w:hAnsi="Book Antiqua" w:cs="Arial"/>
          <w:lang w:val="en-CA"/>
        </w:rPr>
        <w:t xml:space="preserve">initiated </w:t>
      </w:r>
      <w:r w:rsidR="00967E78" w:rsidRPr="003A1E48">
        <w:rPr>
          <w:rFonts w:ascii="Book Antiqua" w:hAnsi="Book Antiqua" w:cs="Arial"/>
          <w:lang w:val="en-CA"/>
        </w:rPr>
        <w:t xml:space="preserve">by the patient alone and the RAC service was unaware of the event (unplanned ED visits). </w:t>
      </w:r>
      <w:r w:rsidR="00CE174B" w:rsidRPr="003A1E48">
        <w:rPr>
          <w:rFonts w:ascii="Book Antiqua" w:hAnsi="Book Antiqua" w:cs="Arial"/>
          <w:lang w:val="en-CA"/>
        </w:rPr>
        <w:t>Hospital a</w:t>
      </w:r>
      <w:r w:rsidR="007138F9" w:rsidRPr="003A1E48">
        <w:rPr>
          <w:rFonts w:ascii="Book Antiqua" w:hAnsi="Book Antiqua" w:cs="Arial"/>
          <w:lang w:val="en-CA"/>
        </w:rPr>
        <w:t xml:space="preserve">dmissions </w:t>
      </w:r>
      <w:r w:rsidR="00CE174B" w:rsidRPr="003A1E48">
        <w:rPr>
          <w:rFonts w:ascii="Book Antiqua" w:hAnsi="Book Antiqua" w:cs="Arial"/>
          <w:lang w:val="en-CA"/>
        </w:rPr>
        <w:t xml:space="preserve">or surgery were also registered </w:t>
      </w:r>
      <w:r w:rsidR="007138F9" w:rsidRPr="003A1E48">
        <w:rPr>
          <w:rFonts w:ascii="Book Antiqua" w:hAnsi="Book Antiqua" w:cs="Arial"/>
          <w:lang w:val="en-CA"/>
        </w:rPr>
        <w:t xml:space="preserve">in the aforementioned period. </w:t>
      </w:r>
    </w:p>
    <w:p w14:paraId="2B4BE6FC" w14:textId="3F5CF68A" w:rsidR="00423F88" w:rsidRPr="003A1E48" w:rsidRDefault="003E6BD8"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To compare</w:t>
      </w:r>
      <w:r w:rsidR="0004746A" w:rsidRPr="003A1E48">
        <w:rPr>
          <w:rFonts w:ascii="Book Antiqua" w:hAnsi="Book Antiqua" w:cs="Arial"/>
          <w:lang w:val="en-CA"/>
        </w:rPr>
        <w:t xml:space="preserve"> resource utiliz</w:t>
      </w:r>
      <w:r w:rsidR="008B026D" w:rsidRPr="003A1E48">
        <w:rPr>
          <w:rFonts w:ascii="Book Antiqua" w:hAnsi="Book Antiqua" w:cs="Arial"/>
          <w:lang w:val="en-CA"/>
        </w:rPr>
        <w:t xml:space="preserve">ation </w:t>
      </w:r>
      <w:r w:rsidR="00CE174B" w:rsidRPr="003A1E48">
        <w:rPr>
          <w:rFonts w:ascii="Book Antiqua" w:hAnsi="Book Antiqua" w:cs="Arial"/>
          <w:lang w:val="en-CA"/>
        </w:rPr>
        <w:t xml:space="preserve">and healthcare costs </w:t>
      </w:r>
      <w:r w:rsidRPr="003A1E48">
        <w:rPr>
          <w:rFonts w:ascii="Book Antiqua" w:hAnsi="Book Antiqua" w:cs="Arial"/>
          <w:lang w:val="en-CA"/>
        </w:rPr>
        <w:t>we evaluated</w:t>
      </w:r>
      <w:r w:rsidR="008B026D" w:rsidRPr="003A1E48">
        <w:rPr>
          <w:rFonts w:ascii="Book Antiqua" w:hAnsi="Book Antiqua" w:cs="Arial"/>
          <w:lang w:val="en-CA"/>
        </w:rPr>
        <w:t xml:space="preserve"> </w:t>
      </w:r>
      <w:r w:rsidR="005C1E62" w:rsidRPr="003A1E48">
        <w:rPr>
          <w:rFonts w:ascii="Book Antiqua" w:hAnsi="Book Antiqua" w:cs="Arial"/>
          <w:lang w:val="en-CA"/>
        </w:rPr>
        <w:t xml:space="preserve">consecutive </w:t>
      </w:r>
      <w:r w:rsidR="00974975" w:rsidRPr="003A1E48">
        <w:rPr>
          <w:rFonts w:ascii="Book Antiqua" w:hAnsi="Book Antiqua" w:cs="Arial"/>
          <w:lang w:val="en-CA"/>
        </w:rPr>
        <w:t>IBD</w:t>
      </w:r>
      <w:r w:rsidR="008B026D" w:rsidRPr="003A1E48">
        <w:rPr>
          <w:rFonts w:ascii="Book Antiqua" w:hAnsi="Book Antiqua" w:cs="Arial"/>
          <w:lang w:val="en-CA"/>
        </w:rPr>
        <w:t xml:space="preserve"> patients</w:t>
      </w:r>
      <w:r w:rsidR="007B12D3" w:rsidRPr="003A1E48">
        <w:rPr>
          <w:rFonts w:ascii="Book Antiqua" w:hAnsi="Book Antiqua" w:cs="Arial"/>
          <w:lang w:val="en-CA"/>
        </w:rPr>
        <w:t xml:space="preserve"> </w:t>
      </w:r>
      <w:r w:rsidR="00CE174B" w:rsidRPr="003A1E48">
        <w:rPr>
          <w:rFonts w:ascii="Book Antiqua" w:hAnsi="Book Antiqua" w:cs="Arial"/>
          <w:lang w:val="en-CA"/>
        </w:rPr>
        <w:t xml:space="preserve">who </w:t>
      </w:r>
      <w:r w:rsidR="008B026D" w:rsidRPr="003A1E48">
        <w:rPr>
          <w:rFonts w:ascii="Book Antiqua" w:hAnsi="Book Antiqua" w:cs="Arial"/>
          <w:lang w:val="en-CA"/>
        </w:rPr>
        <w:t xml:space="preserve">presented to the </w:t>
      </w:r>
      <w:r w:rsidR="00CE174B" w:rsidRPr="003A1E48">
        <w:rPr>
          <w:rFonts w:ascii="Book Antiqua" w:hAnsi="Book Antiqua" w:cs="Arial"/>
          <w:lang w:val="en-CA"/>
        </w:rPr>
        <w:t xml:space="preserve">ED </w:t>
      </w:r>
      <w:r w:rsidR="007B12D3" w:rsidRPr="003A1E48">
        <w:rPr>
          <w:rFonts w:ascii="Book Antiqua" w:hAnsi="Book Antiqua" w:cs="Arial"/>
          <w:lang w:val="en-CA"/>
        </w:rPr>
        <w:t xml:space="preserve">at the MUHC </w:t>
      </w:r>
      <w:r w:rsidR="006B7883" w:rsidRPr="003A1E48">
        <w:rPr>
          <w:rFonts w:ascii="Book Antiqua" w:hAnsi="Book Antiqua" w:cs="Arial"/>
          <w:lang w:val="en-CA"/>
        </w:rPr>
        <w:t xml:space="preserve">but </w:t>
      </w:r>
      <w:r w:rsidR="005C1E62" w:rsidRPr="003A1E48">
        <w:rPr>
          <w:rFonts w:ascii="Book Antiqua" w:hAnsi="Book Antiqua" w:cs="Arial"/>
          <w:lang w:val="en-CA"/>
        </w:rPr>
        <w:t xml:space="preserve">did not have </w:t>
      </w:r>
      <w:r w:rsidR="00CE174B" w:rsidRPr="003A1E48">
        <w:rPr>
          <w:rFonts w:ascii="Book Antiqua" w:hAnsi="Book Antiqua" w:cs="Arial"/>
          <w:lang w:val="en-CA"/>
        </w:rPr>
        <w:t>access to the RAC services</w:t>
      </w:r>
      <w:r w:rsidR="008B026D" w:rsidRPr="003A1E48">
        <w:rPr>
          <w:rFonts w:ascii="Book Antiqua" w:hAnsi="Book Antiqua" w:cs="Arial"/>
          <w:lang w:val="en-CA"/>
        </w:rPr>
        <w:t xml:space="preserve">. </w:t>
      </w:r>
      <w:r w:rsidR="00CE174B" w:rsidRPr="003A1E48">
        <w:rPr>
          <w:rFonts w:ascii="Book Antiqua" w:hAnsi="Book Antiqua" w:cs="Arial"/>
          <w:lang w:val="en-CA"/>
        </w:rPr>
        <w:t>These patients</w:t>
      </w:r>
      <w:r w:rsidR="00974975" w:rsidRPr="003A1E48">
        <w:rPr>
          <w:rFonts w:ascii="Book Antiqua" w:hAnsi="Book Antiqua" w:cs="Arial"/>
          <w:lang w:val="en-CA"/>
        </w:rPr>
        <w:t xml:space="preserve"> were </w:t>
      </w:r>
      <w:r w:rsidR="00CE174B" w:rsidRPr="003A1E48">
        <w:rPr>
          <w:rFonts w:ascii="Book Antiqua" w:hAnsi="Book Antiqua" w:cs="Arial"/>
          <w:lang w:val="en-CA"/>
        </w:rPr>
        <w:t xml:space="preserve">included </w:t>
      </w:r>
      <w:r w:rsidR="0028033A" w:rsidRPr="003A1E48">
        <w:rPr>
          <w:rFonts w:ascii="Book Antiqua" w:hAnsi="Book Antiqua" w:cs="Arial"/>
          <w:lang w:val="en-CA"/>
        </w:rPr>
        <w:t>in the period</w:t>
      </w:r>
      <w:r w:rsidR="00A7682E" w:rsidRPr="003A1E48">
        <w:rPr>
          <w:rFonts w:ascii="Book Antiqua" w:hAnsi="Book Antiqua" w:cs="Arial"/>
          <w:lang w:val="en-CA"/>
        </w:rPr>
        <w:t xml:space="preserve"> between January 2018 and January 2019. </w:t>
      </w:r>
      <w:r w:rsidR="0028033A" w:rsidRPr="003A1E48">
        <w:rPr>
          <w:rFonts w:ascii="Book Antiqua" w:hAnsi="Book Antiqua" w:cs="Arial"/>
          <w:lang w:val="en-CA"/>
        </w:rPr>
        <w:t>Data pertaining to</w:t>
      </w:r>
      <w:r w:rsidR="008C0C8D" w:rsidRPr="003A1E48">
        <w:rPr>
          <w:rFonts w:ascii="Book Antiqua" w:hAnsi="Book Antiqua" w:cs="Arial"/>
          <w:lang w:val="en-CA"/>
        </w:rPr>
        <w:t xml:space="preserve"> patient access, </w:t>
      </w:r>
      <w:r w:rsidR="00CE174B" w:rsidRPr="003A1E48">
        <w:rPr>
          <w:rFonts w:ascii="Book Antiqua" w:hAnsi="Book Antiqua" w:cs="Arial"/>
          <w:lang w:val="en-CA"/>
        </w:rPr>
        <w:t>diagnostic procedures</w:t>
      </w:r>
      <w:r w:rsidR="008C0C8D" w:rsidRPr="003A1E48">
        <w:rPr>
          <w:rFonts w:ascii="Book Antiqua" w:hAnsi="Book Antiqua" w:cs="Arial"/>
          <w:lang w:val="en-CA"/>
        </w:rPr>
        <w:t xml:space="preserve"> and outcomes similar to the </w:t>
      </w:r>
      <w:r w:rsidR="000775C0" w:rsidRPr="003A1E48">
        <w:rPr>
          <w:rFonts w:ascii="Book Antiqua" w:hAnsi="Book Antiqua" w:cs="Arial"/>
          <w:lang w:val="en-CA"/>
        </w:rPr>
        <w:t>above-mentioned</w:t>
      </w:r>
      <w:r w:rsidR="0028033A" w:rsidRPr="003A1E48">
        <w:rPr>
          <w:rFonts w:ascii="Book Antiqua" w:hAnsi="Book Antiqua" w:cs="Arial"/>
          <w:lang w:val="en-CA"/>
        </w:rPr>
        <w:t xml:space="preserve"> was collected during this period.</w:t>
      </w:r>
      <w:r w:rsidR="00967E78" w:rsidRPr="003A1E48">
        <w:rPr>
          <w:rFonts w:ascii="Book Antiqua" w:hAnsi="Book Antiqua" w:cs="Arial"/>
          <w:lang w:val="en-CA"/>
        </w:rPr>
        <w:t xml:space="preserve"> </w:t>
      </w:r>
      <w:r w:rsidR="009A2540" w:rsidRPr="003A1E48">
        <w:rPr>
          <w:rFonts w:ascii="Book Antiqua" w:hAnsi="Book Antiqua" w:cs="Arial"/>
          <w:lang w:val="en-CA"/>
        </w:rPr>
        <w:t>Comparison of healthcare costs was performed using the non-industry cost estimates for diagnostic tests/procedures and medical services</w:t>
      </w:r>
      <w:r w:rsidR="00A068D2" w:rsidRPr="003A1E48">
        <w:rPr>
          <w:rFonts w:ascii="Book Antiqua" w:hAnsi="Book Antiqua" w:cs="Arial"/>
          <w:lang w:val="en-CA"/>
        </w:rPr>
        <w:t>,</w:t>
      </w:r>
      <w:r w:rsidR="009A2540" w:rsidRPr="003A1E48">
        <w:rPr>
          <w:rFonts w:ascii="Book Antiqua" w:hAnsi="Book Antiqua" w:cs="Arial"/>
          <w:lang w:val="en-CA"/>
        </w:rPr>
        <w:t xml:space="preserve"> </w:t>
      </w:r>
      <w:r w:rsidR="005C1E62" w:rsidRPr="003A1E48">
        <w:rPr>
          <w:rFonts w:ascii="Book Antiqua" w:hAnsi="Book Antiqua" w:cs="Arial"/>
          <w:lang w:val="en-CA"/>
        </w:rPr>
        <w:t xml:space="preserve">as reimbursed by the RAMQ </w:t>
      </w:r>
      <w:r w:rsidR="009A2540" w:rsidRPr="003A1E48">
        <w:rPr>
          <w:rFonts w:ascii="Book Antiqua" w:hAnsi="Book Antiqua" w:cs="Arial"/>
          <w:lang w:val="en-CA"/>
        </w:rPr>
        <w:t xml:space="preserve">in </w:t>
      </w:r>
      <w:proofErr w:type="gramStart"/>
      <w:r w:rsidR="009A2540" w:rsidRPr="003A1E48">
        <w:rPr>
          <w:rFonts w:ascii="Book Antiqua" w:hAnsi="Book Antiqua" w:cs="Arial"/>
          <w:lang w:val="en-CA"/>
        </w:rPr>
        <w:t>Quebec</w:t>
      </w:r>
      <w:r w:rsidR="002C1411" w:rsidRPr="003A1E48">
        <w:rPr>
          <w:rFonts w:ascii="Book Antiqua" w:hAnsi="Book Antiqua" w:cs="Arial"/>
          <w:vertAlign w:val="superscript"/>
          <w:lang w:val="en-CA"/>
        </w:rPr>
        <w:t>[</w:t>
      </w:r>
      <w:proofErr w:type="gramEnd"/>
      <w:r w:rsidR="002C1411" w:rsidRPr="003A1E48">
        <w:rPr>
          <w:rFonts w:ascii="Book Antiqua" w:hAnsi="Book Antiqua" w:cs="Arial"/>
          <w:vertAlign w:val="superscript"/>
          <w:lang w:val="en-CA"/>
        </w:rPr>
        <w:t>14]</w:t>
      </w:r>
      <w:r w:rsidR="009A2540" w:rsidRPr="003A1E48">
        <w:rPr>
          <w:rFonts w:ascii="Book Antiqua" w:hAnsi="Book Antiqua" w:cs="Arial"/>
          <w:lang w:val="en-CA"/>
        </w:rPr>
        <w:t>. Average medical cost estimates per patient were calculated for ED visits and RAC visits.</w:t>
      </w:r>
    </w:p>
    <w:p w14:paraId="2C3897AC" w14:textId="77777777" w:rsidR="00967E78" w:rsidRPr="003A1E48" w:rsidRDefault="00967E78" w:rsidP="00DD7F70">
      <w:pPr>
        <w:spacing w:line="360" w:lineRule="auto"/>
        <w:jc w:val="both"/>
        <w:rPr>
          <w:rFonts w:ascii="Book Antiqua" w:hAnsi="Book Antiqua" w:cs="Arial"/>
          <w:lang w:val="en-CA"/>
        </w:rPr>
      </w:pPr>
    </w:p>
    <w:p w14:paraId="7FCA7791" w14:textId="3061145D" w:rsidR="002F52D4" w:rsidRPr="003A1E48" w:rsidRDefault="00967E78" w:rsidP="00DD7F70">
      <w:pPr>
        <w:spacing w:line="360" w:lineRule="auto"/>
        <w:jc w:val="both"/>
        <w:rPr>
          <w:rFonts w:ascii="Book Antiqua" w:hAnsi="Book Antiqua" w:cs="Arial"/>
          <w:b/>
          <w:lang w:val="en-CA"/>
        </w:rPr>
      </w:pPr>
      <w:r w:rsidRPr="003A1E48">
        <w:rPr>
          <w:rFonts w:ascii="Book Antiqua" w:hAnsi="Book Antiqua" w:cs="Arial"/>
          <w:b/>
          <w:i/>
          <w:lang w:val="en-CA"/>
        </w:rPr>
        <w:t>Statistical analysis</w:t>
      </w:r>
    </w:p>
    <w:p w14:paraId="18A6DBD7" w14:textId="47D40AD8" w:rsidR="002C5409" w:rsidRPr="003A1E48" w:rsidRDefault="00CE174B" w:rsidP="00DD7F70">
      <w:pPr>
        <w:spacing w:line="360" w:lineRule="auto"/>
        <w:jc w:val="both"/>
        <w:rPr>
          <w:rFonts w:ascii="Book Antiqua" w:hAnsi="Book Antiqua" w:cs="Arial"/>
          <w:lang w:val="en-CA"/>
        </w:rPr>
      </w:pPr>
      <w:r w:rsidRPr="003A1E48">
        <w:rPr>
          <w:rFonts w:ascii="Book Antiqua" w:hAnsi="Book Antiqua" w:cs="Arial"/>
          <w:lang w:val="en-CA"/>
        </w:rPr>
        <w:t xml:space="preserve">Data was analyzed using SPSS 20.0 software. Descriptive statistics were used to evaluate </w:t>
      </w:r>
      <w:r w:rsidR="002C5409" w:rsidRPr="003A1E48">
        <w:rPr>
          <w:rFonts w:ascii="Book Antiqua" w:hAnsi="Book Antiqua" w:cs="Arial"/>
          <w:lang w:val="en-CA"/>
        </w:rPr>
        <w:t>demographic variables,</w:t>
      </w:r>
      <w:r w:rsidRPr="003A1E48">
        <w:rPr>
          <w:rFonts w:ascii="Book Antiqua" w:hAnsi="Book Antiqua" w:cs="Arial"/>
          <w:lang w:val="en-CA"/>
        </w:rPr>
        <w:t xml:space="preserve"> baseline patient characteristics</w:t>
      </w:r>
      <w:r w:rsidR="00967E78" w:rsidRPr="003A1E48">
        <w:rPr>
          <w:rFonts w:ascii="Book Antiqua" w:hAnsi="Book Antiqua" w:cs="Arial"/>
          <w:lang w:val="en-CA"/>
        </w:rPr>
        <w:t>, frequencies of diagnostic procedures, treatment change and o</w:t>
      </w:r>
      <w:r w:rsidR="002C5409" w:rsidRPr="003A1E48">
        <w:rPr>
          <w:rFonts w:ascii="Book Antiqua" w:hAnsi="Book Antiqua" w:cs="Arial"/>
          <w:lang w:val="en-CA"/>
        </w:rPr>
        <w:t xml:space="preserve">utcome </w:t>
      </w:r>
      <w:r w:rsidR="00967E78" w:rsidRPr="003A1E48">
        <w:rPr>
          <w:rFonts w:ascii="Book Antiqua" w:hAnsi="Book Antiqua" w:cs="Arial"/>
          <w:lang w:val="en-CA"/>
        </w:rPr>
        <w:t>parameters</w:t>
      </w:r>
      <w:r w:rsidR="002C5409" w:rsidRPr="003A1E48">
        <w:rPr>
          <w:rFonts w:ascii="Book Antiqua" w:hAnsi="Book Antiqua" w:cs="Arial"/>
          <w:lang w:val="en-CA"/>
        </w:rPr>
        <w:t>.</w:t>
      </w:r>
      <w:r w:rsidR="00967E78" w:rsidRPr="003A1E48">
        <w:rPr>
          <w:rFonts w:ascii="Book Antiqua" w:hAnsi="Book Antiqua" w:cs="Arial"/>
          <w:lang w:val="en-CA"/>
        </w:rPr>
        <w:t xml:space="preserve"> </w:t>
      </w:r>
      <w:r w:rsidR="005C1E62" w:rsidRPr="003A1E48">
        <w:rPr>
          <w:rFonts w:ascii="Book Antiqua" w:hAnsi="Book Antiqua" w:cs="Arial"/>
          <w:lang w:val="en-CA"/>
        </w:rPr>
        <w:t>Chi</w:t>
      </w:r>
      <w:r w:rsidR="005C1E62" w:rsidRPr="003A1E48">
        <w:rPr>
          <w:rFonts w:ascii="Book Antiqua" w:hAnsi="Book Antiqua" w:cs="Arial"/>
          <w:vertAlign w:val="superscript"/>
          <w:lang w:val="en-CA"/>
        </w:rPr>
        <w:t>2</w:t>
      </w:r>
      <w:r w:rsidR="005C1E62" w:rsidRPr="003A1E48">
        <w:rPr>
          <w:rFonts w:ascii="Book Antiqua" w:hAnsi="Book Antiqua" w:cs="Arial"/>
          <w:lang w:val="en-CA"/>
        </w:rPr>
        <w:t xml:space="preserve"> test was used to calculate differences in frequencies of resource utilization, change in medical therapy or hospitalization events, surgery requirements. Mean (SD) and median (IQR) time to events or length of stay and mean (SD) costs were calculated. A </w:t>
      </w:r>
      <w:r w:rsidR="002C1411" w:rsidRPr="003A1E48">
        <w:rPr>
          <w:rFonts w:ascii="Book Antiqua" w:hAnsi="Book Antiqua" w:cs="Arial"/>
          <w:i/>
          <w:iCs/>
          <w:lang w:val="en-CA"/>
        </w:rPr>
        <w:t>P</w:t>
      </w:r>
      <w:r w:rsidR="002C1411" w:rsidRPr="003A1E48">
        <w:rPr>
          <w:rFonts w:ascii="Book Antiqua" w:hAnsi="Book Antiqua" w:cs="Arial"/>
          <w:lang w:val="en-CA"/>
        </w:rPr>
        <w:t xml:space="preserve"> </w:t>
      </w:r>
      <w:r w:rsidR="005C1E62" w:rsidRPr="003A1E48">
        <w:rPr>
          <w:rFonts w:ascii="Book Antiqua" w:hAnsi="Book Antiqua" w:cs="Arial"/>
          <w:lang w:val="en-CA"/>
        </w:rPr>
        <w:t>&lt;</w:t>
      </w:r>
      <w:r w:rsidR="002C1411" w:rsidRPr="003A1E48">
        <w:rPr>
          <w:rFonts w:ascii="Book Antiqua" w:hAnsi="Book Antiqua" w:cs="Arial"/>
          <w:lang w:val="en-CA"/>
        </w:rPr>
        <w:t xml:space="preserve"> </w:t>
      </w:r>
      <w:r w:rsidR="005C1E62" w:rsidRPr="003A1E48">
        <w:rPr>
          <w:rFonts w:ascii="Book Antiqua" w:hAnsi="Book Antiqua" w:cs="Arial"/>
          <w:lang w:val="en-CA"/>
        </w:rPr>
        <w:t>0.05 was regarded as statistically significant.</w:t>
      </w:r>
    </w:p>
    <w:p w14:paraId="1D38B46C" w14:textId="77777777" w:rsidR="00423F88" w:rsidRPr="003A1E48" w:rsidRDefault="00423F88" w:rsidP="00DD7F70">
      <w:pPr>
        <w:spacing w:line="360" w:lineRule="auto"/>
        <w:jc w:val="both"/>
        <w:rPr>
          <w:rFonts w:ascii="Book Antiqua" w:hAnsi="Book Antiqua" w:cs="Arial"/>
          <w:lang w:val="en-CA"/>
        </w:rPr>
      </w:pPr>
    </w:p>
    <w:p w14:paraId="2B461A55" w14:textId="13C26010" w:rsidR="00C61DE8" w:rsidRPr="003A1E48" w:rsidRDefault="00423F88" w:rsidP="00DD7F70">
      <w:pPr>
        <w:spacing w:line="360" w:lineRule="auto"/>
        <w:jc w:val="both"/>
        <w:rPr>
          <w:rFonts w:ascii="Book Antiqua" w:hAnsi="Book Antiqua" w:cs="Arial"/>
          <w:b/>
          <w:i/>
          <w:lang w:val="en-CA"/>
        </w:rPr>
      </w:pPr>
      <w:r w:rsidRPr="003A1E48">
        <w:rPr>
          <w:rFonts w:ascii="Book Antiqua" w:hAnsi="Book Antiqua" w:cs="Arial"/>
          <w:b/>
          <w:i/>
          <w:lang w:val="en-CA"/>
        </w:rPr>
        <w:t xml:space="preserve">Ethical </w:t>
      </w:r>
      <w:r w:rsidR="002C1411" w:rsidRPr="003A1E48">
        <w:rPr>
          <w:rFonts w:ascii="Book Antiqua" w:hAnsi="Book Antiqua" w:cs="Arial"/>
          <w:b/>
          <w:i/>
          <w:lang w:val="en-CA"/>
        </w:rPr>
        <w:t xml:space="preserve">considerations </w:t>
      </w:r>
      <w:r w:rsidR="00BB066E" w:rsidRPr="003A1E48">
        <w:rPr>
          <w:rFonts w:ascii="Book Antiqua" w:hAnsi="Book Antiqua" w:cs="Arial"/>
          <w:b/>
          <w:i/>
          <w:lang w:val="en-CA"/>
        </w:rPr>
        <w:t>and confidentiality</w:t>
      </w:r>
    </w:p>
    <w:p w14:paraId="109459FF" w14:textId="372F813E" w:rsidR="00C61DE8" w:rsidRPr="003A1E48" w:rsidRDefault="00C61DE8" w:rsidP="00DD7F70">
      <w:pPr>
        <w:spacing w:line="360" w:lineRule="auto"/>
        <w:jc w:val="both"/>
        <w:rPr>
          <w:rFonts w:ascii="Book Antiqua" w:hAnsi="Book Antiqua" w:cs="Arial"/>
          <w:lang w:val="en-CA"/>
        </w:rPr>
      </w:pPr>
      <w:r w:rsidRPr="003A1E48">
        <w:rPr>
          <w:rFonts w:ascii="Book Antiqua" w:hAnsi="Book Antiqua" w:cs="Arial"/>
          <w:lang w:val="en-CA"/>
        </w:rPr>
        <w:t xml:space="preserve">Ethics Committee approval </w:t>
      </w:r>
      <w:r w:rsidR="00D8140F" w:rsidRPr="003A1E48">
        <w:rPr>
          <w:rFonts w:ascii="Book Antiqua" w:hAnsi="Book Antiqua" w:cs="Arial"/>
          <w:lang w:val="en-CA"/>
        </w:rPr>
        <w:t>was</w:t>
      </w:r>
      <w:r w:rsidRPr="003A1E48">
        <w:rPr>
          <w:rFonts w:ascii="Book Antiqua" w:hAnsi="Book Antiqua" w:cs="Arial"/>
          <w:lang w:val="en-CA"/>
        </w:rPr>
        <w:t xml:space="preserve"> obtained in accordance to ISO protocol, local legal regulations and McGill University Health Cente</w:t>
      </w:r>
      <w:r w:rsidR="00BB7F4F" w:rsidRPr="003A1E48">
        <w:rPr>
          <w:rFonts w:ascii="Book Antiqua" w:hAnsi="Book Antiqua" w:cs="Arial"/>
          <w:lang w:val="en-CA"/>
        </w:rPr>
        <w:t>r</w:t>
      </w:r>
      <w:r w:rsidRPr="003A1E48">
        <w:rPr>
          <w:rFonts w:ascii="Book Antiqua" w:hAnsi="Book Antiqua" w:cs="Arial"/>
          <w:lang w:val="en-CA"/>
        </w:rPr>
        <w:t xml:space="preserve"> Research Ethics Board guidelines, prior to initiation of this study. All information collected during the course of this study remain</w:t>
      </w:r>
      <w:r w:rsidR="00D8140F" w:rsidRPr="003A1E48">
        <w:rPr>
          <w:rFonts w:ascii="Book Antiqua" w:hAnsi="Book Antiqua" w:cs="Arial"/>
          <w:lang w:val="en-CA"/>
        </w:rPr>
        <w:t>ed</w:t>
      </w:r>
      <w:r w:rsidRPr="003A1E48">
        <w:rPr>
          <w:rFonts w:ascii="Book Antiqua" w:hAnsi="Book Antiqua" w:cs="Arial"/>
          <w:lang w:val="en-CA"/>
        </w:rPr>
        <w:t xml:space="preserve"> confidential to the extent required by law. Data </w:t>
      </w:r>
      <w:r w:rsidR="00D8140F" w:rsidRPr="003A1E48">
        <w:rPr>
          <w:rFonts w:ascii="Book Antiqua" w:hAnsi="Book Antiqua" w:cs="Arial"/>
          <w:lang w:val="en-CA"/>
        </w:rPr>
        <w:t>was</w:t>
      </w:r>
      <w:r w:rsidRPr="003A1E48">
        <w:rPr>
          <w:rFonts w:ascii="Book Antiqua" w:hAnsi="Book Antiqua" w:cs="Arial"/>
          <w:lang w:val="en-CA"/>
        </w:rPr>
        <w:t xml:space="preserve"> strictly limited to members </w:t>
      </w:r>
      <w:r w:rsidRPr="003A1E48">
        <w:rPr>
          <w:rFonts w:ascii="Book Antiqua" w:hAnsi="Book Antiqua" w:cs="Arial"/>
          <w:lang w:val="en-CA"/>
        </w:rPr>
        <w:lastRenderedPageBreak/>
        <w:t>of the research team.</w:t>
      </w:r>
      <w:r w:rsidR="00D8140F" w:rsidRPr="003A1E48">
        <w:rPr>
          <w:rFonts w:ascii="Book Antiqua" w:hAnsi="Book Antiqua" w:cs="Arial"/>
          <w:lang w:val="en-CA"/>
        </w:rPr>
        <w:t xml:space="preserve"> </w:t>
      </w:r>
      <w:r w:rsidRPr="003A1E48">
        <w:rPr>
          <w:rFonts w:ascii="Book Antiqua" w:hAnsi="Book Antiqua" w:cs="Arial"/>
          <w:lang w:val="en-CA"/>
        </w:rPr>
        <w:t xml:space="preserve">Authorization to access patient charts </w:t>
      </w:r>
      <w:r w:rsidR="00D8140F" w:rsidRPr="003A1E48">
        <w:rPr>
          <w:rFonts w:ascii="Book Antiqua" w:hAnsi="Book Antiqua" w:cs="Arial"/>
          <w:lang w:val="en-CA"/>
        </w:rPr>
        <w:t>was</w:t>
      </w:r>
      <w:r w:rsidRPr="003A1E48">
        <w:rPr>
          <w:rFonts w:ascii="Book Antiqua" w:hAnsi="Book Antiqua" w:cs="Arial"/>
          <w:lang w:val="en-CA"/>
        </w:rPr>
        <w:t xml:space="preserve"> obtained from the Director of Professional Services of the MUHC.</w:t>
      </w:r>
    </w:p>
    <w:p w14:paraId="615B46D1" w14:textId="77777777" w:rsidR="00244166" w:rsidRPr="003A1E48" w:rsidRDefault="00244166" w:rsidP="00DD7F70">
      <w:pPr>
        <w:spacing w:line="360" w:lineRule="auto"/>
        <w:jc w:val="both"/>
        <w:rPr>
          <w:rFonts w:ascii="Book Antiqua" w:hAnsi="Book Antiqua" w:cs="Arial"/>
          <w:lang w:val="en-CA"/>
        </w:rPr>
      </w:pPr>
    </w:p>
    <w:p w14:paraId="1510D01E" w14:textId="77777777" w:rsidR="002C1411" w:rsidRPr="003A1E48" w:rsidRDefault="002C1411"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t>RESULTS</w:t>
      </w:r>
    </w:p>
    <w:p w14:paraId="56272CD6" w14:textId="55274AE8" w:rsidR="002C1411" w:rsidRPr="003A1E48" w:rsidRDefault="00F0739F" w:rsidP="00DD7F70">
      <w:pPr>
        <w:spacing w:line="360" w:lineRule="auto"/>
        <w:jc w:val="both"/>
        <w:rPr>
          <w:rFonts w:ascii="Book Antiqua" w:hAnsi="Book Antiqua" w:cs="Arial"/>
          <w:lang w:val="en-CA"/>
        </w:rPr>
      </w:pPr>
      <w:r w:rsidRPr="003A1E48">
        <w:rPr>
          <w:rFonts w:ascii="Book Antiqua" w:hAnsi="Book Antiqua" w:cs="Arial"/>
          <w:lang w:val="en-CA"/>
        </w:rPr>
        <w:t>488 patients</w:t>
      </w:r>
      <w:r w:rsidR="00AB03E4" w:rsidRPr="003A1E48">
        <w:rPr>
          <w:rFonts w:ascii="Book Antiqua" w:hAnsi="Book Antiqua" w:cs="Arial"/>
          <w:lang w:val="en-CA"/>
        </w:rPr>
        <w:t xml:space="preserve"> </w:t>
      </w:r>
      <w:r w:rsidR="002C1411" w:rsidRPr="003A1E48">
        <w:rPr>
          <w:rFonts w:ascii="Book Antiqua" w:hAnsi="Book Antiqua" w:cs="Arial"/>
          <w:lang w:val="en-CA"/>
        </w:rPr>
        <w:t>[</w:t>
      </w:r>
      <w:r w:rsidR="00425EF2" w:rsidRPr="003A1E48">
        <w:rPr>
          <w:rFonts w:ascii="Book Antiqua" w:hAnsi="Book Antiqua" w:cs="Arial"/>
          <w:lang w:val="en-CA"/>
        </w:rPr>
        <w:t>41.3%</w:t>
      </w:r>
      <w:r w:rsidR="00AB03E4" w:rsidRPr="003A1E48">
        <w:rPr>
          <w:rFonts w:ascii="Book Antiqua" w:hAnsi="Book Antiqua" w:cs="Arial"/>
          <w:lang w:val="en-CA"/>
        </w:rPr>
        <w:t xml:space="preserve"> male, </w:t>
      </w:r>
      <w:r w:rsidR="002C1411" w:rsidRPr="003A1E48">
        <w:rPr>
          <w:rFonts w:ascii="Book Antiqua" w:hAnsi="Book Antiqua" w:cs="Arial"/>
          <w:bCs/>
          <w:lang w:val="en-CA"/>
        </w:rPr>
        <w:t xml:space="preserve">Crohn’s </w:t>
      </w:r>
      <w:r w:rsidR="00076BF8" w:rsidRPr="003A1E48">
        <w:rPr>
          <w:rFonts w:ascii="Book Antiqua" w:hAnsi="Book Antiqua" w:cs="Arial"/>
          <w:bCs/>
          <w:lang w:val="en-CA"/>
        </w:rPr>
        <w:t xml:space="preserve">disease </w:t>
      </w:r>
      <w:r w:rsidR="002C1411" w:rsidRPr="003A1E48">
        <w:rPr>
          <w:rFonts w:ascii="Book Antiqua" w:hAnsi="Book Antiqua" w:cs="Arial"/>
          <w:bCs/>
          <w:lang w:val="en-CA"/>
        </w:rPr>
        <w:t>(CD)/</w:t>
      </w:r>
      <w:bookmarkStart w:id="11" w:name="OLE_LINK2"/>
      <w:r w:rsidR="002C1411" w:rsidRPr="003A1E48">
        <w:rPr>
          <w:rFonts w:ascii="Book Antiqua" w:hAnsi="Book Antiqua" w:cs="Arial"/>
          <w:bCs/>
          <w:lang w:val="en-CA"/>
        </w:rPr>
        <w:t>ulcerative colitis</w:t>
      </w:r>
      <w:bookmarkEnd w:id="11"/>
      <w:r w:rsidR="002C1411" w:rsidRPr="003A1E48">
        <w:rPr>
          <w:rFonts w:ascii="Book Antiqua" w:hAnsi="Book Antiqua" w:cs="Arial"/>
          <w:lang w:val="en-CA"/>
        </w:rPr>
        <w:t xml:space="preserve"> (</w:t>
      </w:r>
      <w:r w:rsidR="00425EF2" w:rsidRPr="003A1E48">
        <w:rPr>
          <w:rFonts w:ascii="Book Antiqua" w:hAnsi="Book Antiqua" w:cs="Arial"/>
          <w:lang w:val="en-CA"/>
        </w:rPr>
        <w:t>UC</w:t>
      </w:r>
      <w:r w:rsidR="002C1411" w:rsidRPr="003A1E48">
        <w:rPr>
          <w:rFonts w:ascii="Book Antiqua" w:hAnsi="Book Antiqua" w:cs="Arial"/>
          <w:lang w:val="en-CA"/>
        </w:rPr>
        <w:t>)</w:t>
      </w:r>
      <w:r w:rsidR="00457997" w:rsidRPr="003A1E48">
        <w:rPr>
          <w:rFonts w:ascii="Book Antiqua" w:hAnsi="Book Antiqua" w:cs="Arial"/>
          <w:lang w:val="en-CA"/>
        </w:rPr>
        <w:t xml:space="preserve"> 68.5</w:t>
      </w:r>
      <w:r w:rsidR="002C1411" w:rsidRPr="003A1E48">
        <w:rPr>
          <w:rFonts w:ascii="Book Antiqua" w:hAnsi="Book Antiqua" w:cs="Arial"/>
          <w:lang w:val="en-CA"/>
        </w:rPr>
        <w:t>%</w:t>
      </w:r>
      <w:r w:rsidR="00457997" w:rsidRPr="003A1E48">
        <w:rPr>
          <w:rFonts w:ascii="Book Antiqua" w:hAnsi="Book Antiqua" w:cs="Arial"/>
          <w:lang w:val="en-CA"/>
        </w:rPr>
        <w:t>/31.5%</w:t>
      </w:r>
      <w:r w:rsidR="002C1411" w:rsidRPr="003A1E48">
        <w:rPr>
          <w:rFonts w:ascii="Book Antiqua" w:hAnsi="Book Antiqua" w:cs="Arial"/>
          <w:lang w:val="en-CA"/>
        </w:rPr>
        <w:t>]</w:t>
      </w:r>
      <w:r w:rsidRPr="003A1E48">
        <w:rPr>
          <w:rFonts w:ascii="Book Antiqua" w:hAnsi="Book Antiqua" w:cs="Arial"/>
          <w:lang w:val="en-CA"/>
        </w:rPr>
        <w:t xml:space="preserve"> </w:t>
      </w:r>
      <w:r w:rsidR="00457997" w:rsidRPr="003A1E48">
        <w:rPr>
          <w:rFonts w:ascii="Book Antiqua" w:hAnsi="Book Antiqua" w:cs="Arial"/>
          <w:lang w:val="en-CA"/>
        </w:rPr>
        <w:t xml:space="preserve">who had valid medical reason for contacting the RAC clinic </w:t>
      </w:r>
      <w:r w:rsidR="00940676" w:rsidRPr="003A1E48">
        <w:rPr>
          <w:rFonts w:ascii="Book Antiqua" w:hAnsi="Book Antiqua" w:cs="Arial"/>
          <w:lang w:val="en-CA"/>
        </w:rPr>
        <w:t xml:space="preserve">were </w:t>
      </w:r>
      <w:r w:rsidR="00A60CFC" w:rsidRPr="003A1E48">
        <w:rPr>
          <w:rFonts w:ascii="Book Antiqua" w:hAnsi="Book Antiqua" w:cs="Arial"/>
          <w:lang w:val="en-CA"/>
        </w:rPr>
        <w:t xml:space="preserve">included </w:t>
      </w:r>
      <w:r w:rsidR="00940676" w:rsidRPr="003A1E48">
        <w:rPr>
          <w:rFonts w:ascii="Book Antiqua" w:hAnsi="Book Antiqua" w:cs="Arial"/>
          <w:lang w:val="en-CA"/>
        </w:rPr>
        <w:t>during the</w:t>
      </w:r>
      <w:r w:rsidRPr="003A1E48">
        <w:rPr>
          <w:rFonts w:ascii="Book Antiqua" w:hAnsi="Book Antiqua" w:cs="Arial"/>
          <w:lang w:val="en-CA"/>
        </w:rPr>
        <w:t xml:space="preserve"> </w:t>
      </w:r>
      <w:r w:rsidR="00940676" w:rsidRPr="003A1E48">
        <w:rPr>
          <w:rFonts w:ascii="Book Antiqua" w:hAnsi="Book Antiqua" w:cs="Arial"/>
          <w:lang w:val="en-CA"/>
        </w:rPr>
        <w:t>investigation period</w:t>
      </w:r>
      <w:r w:rsidR="00AB03E4" w:rsidRPr="003A1E48">
        <w:rPr>
          <w:rFonts w:ascii="Book Antiqua" w:hAnsi="Book Antiqua" w:cs="Arial"/>
          <w:lang w:val="en-CA"/>
        </w:rPr>
        <w:t xml:space="preserve"> (</w:t>
      </w:r>
      <w:r w:rsidR="00A60CFC" w:rsidRPr="003A1E48">
        <w:rPr>
          <w:rFonts w:ascii="Book Antiqua" w:hAnsi="Book Antiqua" w:cs="Arial"/>
          <w:lang w:val="en-CA"/>
        </w:rPr>
        <w:t>Table 1)</w:t>
      </w:r>
      <w:r w:rsidR="00F81AE2" w:rsidRPr="003A1E48">
        <w:rPr>
          <w:rFonts w:ascii="Book Antiqua" w:hAnsi="Book Antiqua" w:cs="Arial"/>
          <w:lang w:val="en-CA"/>
        </w:rPr>
        <w:t xml:space="preserve">. </w:t>
      </w:r>
      <w:r w:rsidR="00457997" w:rsidRPr="003A1E48">
        <w:rPr>
          <w:rFonts w:ascii="Book Antiqua" w:hAnsi="Book Antiqua" w:cs="Arial"/>
          <w:lang w:val="en-CA"/>
        </w:rPr>
        <w:t xml:space="preserve">For </w:t>
      </w:r>
      <w:r w:rsidR="0004746A" w:rsidRPr="003A1E48">
        <w:rPr>
          <w:rFonts w:ascii="Book Antiqua" w:hAnsi="Book Antiqua" w:cs="Arial"/>
          <w:lang w:val="en-CA"/>
        </w:rPr>
        <w:t>cost- and resource utiliz</w:t>
      </w:r>
      <w:r w:rsidR="00EE010F" w:rsidRPr="003A1E48">
        <w:rPr>
          <w:rFonts w:ascii="Book Antiqua" w:hAnsi="Book Antiqua" w:cs="Arial"/>
          <w:lang w:val="en-CA"/>
        </w:rPr>
        <w:t>ation comparison</w:t>
      </w:r>
      <w:r w:rsidR="00457997" w:rsidRPr="003A1E48">
        <w:rPr>
          <w:rFonts w:ascii="Book Antiqua" w:hAnsi="Book Antiqua" w:cs="Arial"/>
          <w:lang w:val="en-CA"/>
        </w:rPr>
        <w:t xml:space="preserve">, </w:t>
      </w:r>
      <w:r w:rsidR="007D7D75" w:rsidRPr="003A1E48">
        <w:rPr>
          <w:rFonts w:ascii="Book Antiqua" w:hAnsi="Book Antiqua" w:cs="Arial"/>
          <w:lang w:val="en-CA"/>
        </w:rPr>
        <w:t>135 patients (60.7% male,</w:t>
      </w:r>
      <w:r w:rsidR="00457997" w:rsidRPr="003A1E48">
        <w:rPr>
          <w:rFonts w:ascii="Book Antiqua" w:hAnsi="Book Antiqua" w:cs="Arial"/>
          <w:lang w:val="en-CA"/>
        </w:rPr>
        <w:t xml:space="preserve"> CD/UC 68.5</w:t>
      </w:r>
      <w:r w:rsidR="002C1411" w:rsidRPr="003A1E48">
        <w:rPr>
          <w:rFonts w:ascii="Book Antiqua" w:hAnsi="Book Antiqua" w:cs="Arial"/>
          <w:lang w:val="en-CA"/>
        </w:rPr>
        <w:t>%</w:t>
      </w:r>
      <w:r w:rsidR="00457997" w:rsidRPr="003A1E48">
        <w:rPr>
          <w:rFonts w:ascii="Book Antiqua" w:hAnsi="Book Antiqua" w:cs="Arial"/>
          <w:lang w:val="en-CA"/>
        </w:rPr>
        <w:t>/31.5%</w:t>
      </w:r>
      <w:r w:rsidR="007D7D75" w:rsidRPr="003A1E48">
        <w:rPr>
          <w:rFonts w:ascii="Book Antiqua" w:hAnsi="Book Antiqua" w:cs="Arial"/>
          <w:lang w:val="en-CA"/>
        </w:rPr>
        <w:t xml:space="preserve">) who were not </w:t>
      </w:r>
      <w:r w:rsidR="005C1E62" w:rsidRPr="003A1E48">
        <w:rPr>
          <w:rFonts w:ascii="Book Antiqua" w:hAnsi="Book Antiqua" w:cs="Arial"/>
          <w:lang w:val="en-CA"/>
        </w:rPr>
        <w:t>followed-up in</w:t>
      </w:r>
      <w:r w:rsidR="007D7D75" w:rsidRPr="003A1E48">
        <w:rPr>
          <w:rFonts w:ascii="Book Antiqua" w:hAnsi="Book Antiqua" w:cs="Arial"/>
          <w:lang w:val="en-CA"/>
        </w:rPr>
        <w:t xml:space="preserve"> the MUHC IBD center and were presenting </w:t>
      </w:r>
      <w:r w:rsidR="008F0AE5" w:rsidRPr="003A1E48">
        <w:rPr>
          <w:rFonts w:ascii="Book Antiqua" w:hAnsi="Book Antiqua" w:cs="Arial"/>
          <w:lang w:val="en-CA"/>
        </w:rPr>
        <w:t xml:space="preserve">to the </w:t>
      </w:r>
      <w:r w:rsidR="003A1E48">
        <w:rPr>
          <w:rFonts w:ascii="Book Antiqua" w:hAnsi="Book Antiqua" w:cs="Arial"/>
          <w:lang w:val="en-CA"/>
        </w:rPr>
        <w:t>ED</w:t>
      </w:r>
      <w:r w:rsidR="008F0AE5" w:rsidRPr="003A1E48">
        <w:rPr>
          <w:rFonts w:ascii="Book Antiqua" w:hAnsi="Book Antiqua" w:cs="Arial"/>
          <w:lang w:val="en-CA"/>
        </w:rPr>
        <w:t xml:space="preserve"> at the MUHC </w:t>
      </w:r>
      <w:r w:rsidR="007D7D75" w:rsidRPr="003A1E48">
        <w:rPr>
          <w:rFonts w:ascii="Book Antiqua" w:hAnsi="Book Antiqua" w:cs="Arial"/>
          <w:lang w:val="en-CA"/>
        </w:rPr>
        <w:t xml:space="preserve">for symptoms pertaining to a potential IBD flare were included. </w:t>
      </w:r>
      <w:r w:rsidR="00457997" w:rsidRPr="003A1E48">
        <w:rPr>
          <w:rFonts w:ascii="Book Antiqua" w:hAnsi="Book Antiqua" w:cs="Arial"/>
          <w:lang w:val="en-CA"/>
        </w:rPr>
        <w:t>Detailed patient c</w:t>
      </w:r>
      <w:r w:rsidR="007D7D75" w:rsidRPr="003A1E48">
        <w:rPr>
          <w:rFonts w:ascii="Book Antiqua" w:hAnsi="Book Antiqua" w:cs="Arial"/>
          <w:lang w:val="en-CA"/>
        </w:rPr>
        <w:t>haracteristic</w:t>
      </w:r>
      <w:r w:rsidR="00457997" w:rsidRPr="003A1E48">
        <w:rPr>
          <w:rFonts w:ascii="Book Antiqua" w:hAnsi="Book Antiqua" w:cs="Arial"/>
          <w:lang w:val="en-CA"/>
        </w:rPr>
        <w:t>s</w:t>
      </w:r>
      <w:r w:rsidR="007D7D75" w:rsidRPr="003A1E48">
        <w:rPr>
          <w:rFonts w:ascii="Book Antiqua" w:hAnsi="Book Antiqua" w:cs="Arial"/>
          <w:lang w:val="en-CA"/>
        </w:rPr>
        <w:t xml:space="preserve"> data is depicted in Table 1.</w:t>
      </w:r>
    </w:p>
    <w:p w14:paraId="62A4954D" w14:textId="269BDDDC" w:rsidR="003E09D1" w:rsidRPr="003A1E48" w:rsidRDefault="00940676"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Amongst all the email</w:t>
      </w:r>
      <w:r w:rsidR="001C3798" w:rsidRPr="003A1E48">
        <w:rPr>
          <w:rFonts w:ascii="Book Antiqua" w:hAnsi="Book Antiqua" w:cs="Arial"/>
          <w:lang w:val="en-CA"/>
        </w:rPr>
        <w:t>/telephone</w:t>
      </w:r>
      <w:r w:rsidRPr="003A1E48">
        <w:rPr>
          <w:rFonts w:ascii="Book Antiqua" w:hAnsi="Book Antiqua" w:cs="Arial"/>
          <w:lang w:val="en-CA"/>
        </w:rPr>
        <w:t xml:space="preserve"> requests obtained during the study period, 85.8% were deemed</w:t>
      </w:r>
      <w:r w:rsidR="002F1AF9" w:rsidRPr="003A1E48">
        <w:rPr>
          <w:rFonts w:ascii="Book Antiqua" w:hAnsi="Book Antiqua" w:cs="Arial"/>
          <w:lang w:val="en-CA"/>
        </w:rPr>
        <w:t xml:space="preserve"> appropriate for a rapid appointment </w:t>
      </w:r>
      <w:r w:rsidRPr="003A1E48">
        <w:rPr>
          <w:rFonts w:ascii="Book Antiqua" w:hAnsi="Book Antiqua" w:cs="Arial"/>
          <w:lang w:val="en-CA"/>
        </w:rPr>
        <w:t xml:space="preserve">as per the Urgent IBD Care plan and consequently, these patients were given </w:t>
      </w:r>
      <w:r w:rsidR="002F3771" w:rsidRPr="003A1E48">
        <w:rPr>
          <w:rFonts w:ascii="Book Antiqua" w:hAnsi="Book Antiqua" w:cs="Arial"/>
          <w:lang w:val="en-CA"/>
        </w:rPr>
        <w:t>appointments</w:t>
      </w:r>
      <w:r w:rsidRPr="003A1E48">
        <w:rPr>
          <w:rFonts w:ascii="Book Antiqua" w:hAnsi="Book Antiqua" w:cs="Arial"/>
          <w:lang w:val="en-CA"/>
        </w:rPr>
        <w:t xml:space="preserve"> </w:t>
      </w:r>
      <w:r w:rsidR="002F1AF9" w:rsidRPr="003A1E48">
        <w:rPr>
          <w:rFonts w:ascii="Book Antiqua" w:hAnsi="Book Antiqua" w:cs="Arial"/>
          <w:lang w:val="en-CA"/>
        </w:rPr>
        <w:t>for a RAC visit</w:t>
      </w:r>
      <w:r w:rsidRPr="003A1E48">
        <w:rPr>
          <w:rFonts w:ascii="Book Antiqua" w:hAnsi="Book Antiqua" w:cs="Arial"/>
          <w:lang w:val="en-CA"/>
        </w:rPr>
        <w:t xml:space="preserve">. </w:t>
      </w:r>
      <w:r w:rsidR="002F1AF9" w:rsidRPr="003A1E48">
        <w:rPr>
          <w:rFonts w:ascii="Book Antiqua" w:hAnsi="Book Antiqua" w:cs="Arial"/>
          <w:lang w:val="en-CA"/>
        </w:rPr>
        <w:t xml:space="preserve">Amongst these total visits, 333 patients (68.2%) were granted an appointment with an IBD specialist gastroenterologist and 86 patients (17.6%) had a visit with a specialised IBD nurse, where the physician was kept notified of the situation. 69 patients (14.1%) had no visit as their request could be managed </w:t>
      </w:r>
      <w:r w:rsidR="002F1AF9" w:rsidRPr="00624E4A">
        <w:rPr>
          <w:rFonts w:ascii="Book Antiqua" w:hAnsi="Book Antiqua" w:cs="Arial"/>
          <w:i/>
          <w:iCs/>
          <w:lang w:val="en-CA"/>
        </w:rPr>
        <w:t>via</w:t>
      </w:r>
      <w:r w:rsidR="002F1AF9" w:rsidRPr="003A1E48">
        <w:rPr>
          <w:rFonts w:ascii="Book Antiqua" w:hAnsi="Book Antiqua" w:cs="Arial"/>
          <w:lang w:val="en-CA"/>
        </w:rPr>
        <w:t xml:space="preserve"> email or telephone. </w:t>
      </w:r>
      <w:r w:rsidR="009D16EA" w:rsidRPr="003A1E48">
        <w:rPr>
          <w:rFonts w:ascii="Book Antiqua" w:hAnsi="Book Antiqua" w:cs="Arial"/>
          <w:lang w:val="en-CA"/>
        </w:rPr>
        <w:t xml:space="preserve">The reason for </w:t>
      </w:r>
      <w:r w:rsidR="002F1AF9" w:rsidRPr="003A1E48">
        <w:rPr>
          <w:rFonts w:ascii="Book Antiqua" w:hAnsi="Book Antiqua" w:cs="Arial"/>
          <w:lang w:val="en-CA"/>
        </w:rPr>
        <w:t xml:space="preserve">a rapid </w:t>
      </w:r>
      <w:r w:rsidR="009D16EA" w:rsidRPr="003A1E48">
        <w:rPr>
          <w:rFonts w:ascii="Book Antiqua" w:hAnsi="Book Antiqua" w:cs="Arial"/>
          <w:lang w:val="en-CA"/>
        </w:rPr>
        <w:t>appointment was potential disease flare in 71.6% of patients</w:t>
      </w:r>
      <w:r w:rsidR="002F1AF9" w:rsidRPr="003A1E48">
        <w:rPr>
          <w:rFonts w:ascii="Book Antiqua" w:hAnsi="Book Antiqua" w:cs="Arial"/>
          <w:lang w:val="en-CA"/>
        </w:rPr>
        <w:t xml:space="preserve"> presenting for </w:t>
      </w:r>
      <w:r w:rsidR="00D60821" w:rsidRPr="003A1E48">
        <w:rPr>
          <w:rFonts w:ascii="Book Antiqua" w:hAnsi="Book Antiqua" w:cs="Arial"/>
          <w:lang w:val="en-CA"/>
        </w:rPr>
        <w:t xml:space="preserve">a </w:t>
      </w:r>
      <w:r w:rsidR="002F1AF9" w:rsidRPr="003A1E48">
        <w:rPr>
          <w:rFonts w:ascii="Book Antiqua" w:hAnsi="Book Antiqua" w:cs="Arial"/>
          <w:lang w:val="en-CA"/>
        </w:rPr>
        <w:t>RAC visit</w:t>
      </w:r>
      <w:r w:rsidR="009D16EA" w:rsidRPr="003A1E48">
        <w:rPr>
          <w:rFonts w:ascii="Book Antiqua" w:hAnsi="Book Antiqua" w:cs="Arial"/>
          <w:lang w:val="en-CA"/>
        </w:rPr>
        <w:t xml:space="preserve">. </w:t>
      </w:r>
      <w:r w:rsidRPr="003A1E48">
        <w:rPr>
          <w:rFonts w:ascii="Book Antiqua" w:hAnsi="Book Antiqua" w:cs="Arial"/>
          <w:lang w:val="en-CA"/>
        </w:rPr>
        <w:t>The</w:t>
      </w:r>
      <w:r w:rsidR="009D16EA" w:rsidRPr="003A1E48">
        <w:rPr>
          <w:rFonts w:ascii="Book Antiqua" w:hAnsi="Book Antiqua" w:cs="Arial"/>
          <w:lang w:val="en-CA"/>
        </w:rPr>
        <w:t xml:space="preserve"> median time to a RAC visit</w:t>
      </w:r>
      <w:r w:rsidR="002F1AF9" w:rsidRPr="003A1E48">
        <w:rPr>
          <w:rFonts w:ascii="Book Antiqua" w:hAnsi="Book Antiqua" w:cs="Arial"/>
          <w:lang w:val="en-CA"/>
        </w:rPr>
        <w:t xml:space="preserve"> with an IBD specialist physician</w:t>
      </w:r>
      <w:r w:rsidR="009D16EA" w:rsidRPr="003A1E48">
        <w:rPr>
          <w:rFonts w:ascii="Book Antiqua" w:hAnsi="Book Antiqua" w:cs="Arial"/>
          <w:lang w:val="en-CA"/>
        </w:rPr>
        <w:t xml:space="preserve"> </w:t>
      </w:r>
      <w:r w:rsidR="00C21330" w:rsidRPr="003A1E48">
        <w:rPr>
          <w:rFonts w:ascii="Book Antiqua" w:hAnsi="Book Antiqua" w:cs="Arial"/>
          <w:lang w:val="en-CA"/>
        </w:rPr>
        <w:t>was</w:t>
      </w:r>
      <w:r w:rsidR="009D16EA" w:rsidRPr="003A1E48">
        <w:rPr>
          <w:rFonts w:ascii="Book Antiqua" w:hAnsi="Book Antiqua" w:cs="Arial"/>
          <w:lang w:val="en-CA"/>
        </w:rPr>
        <w:t xml:space="preserve"> 2 d (IQR: 0-6 d) following the first </w:t>
      </w:r>
      <w:r w:rsidR="00ED3DF3" w:rsidRPr="003A1E48">
        <w:rPr>
          <w:rFonts w:ascii="Book Antiqua" w:hAnsi="Book Antiqua" w:cs="Arial"/>
          <w:lang w:val="en-CA"/>
        </w:rPr>
        <w:t xml:space="preserve">point of </w:t>
      </w:r>
      <w:r w:rsidR="009D16EA" w:rsidRPr="003A1E48">
        <w:rPr>
          <w:rFonts w:ascii="Book Antiqua" w:hAnsi="Book Antiqua" w:cs="Arial"/>
          <w:lang w:val="en-CA"/>
        </w:rPr>
        <w:t>contact</w:t>
      </w:r>
      <w:r w:rsidR="00ED3DF3" w:rsidRPr="003A1E48">
        <w:rPr>
          <w:rFonts w:ascii="Book Antiqua" w:hAnsi="Book Antiqua" w:cs="Arial"/>
          <w:lang w:val="en-CA"/>
        </w:rPr>
        <w:t xml:space="preserve"> (telephone or email) </w:t>
      </w:r>
      <w:r w:rsidR="006C1996" w:rsidRPr="003A1E48">
        <w:rPr>
          <w:rFonts w:ascii="Book Antiqua" w:hAnsi="Book Antiqua" w:cs="Arial"/>
          <w:lang w:val="en-CA"/>
        </w:rPr>
        <w:t xml:space="preserve">initiated </w:t>
      </w:r>
      <w:r w:rsidR="00ED3DF3" w:rsidRPr="003A1E48">
        <w:rPr>
          <w:rFonts w:ascii="Book Antiqua" w:hAnsi="Book Antiqua" w:cs="Arial"/>
          <w:lang w:val="en-CA"/>
        </w:rPr>
        <w:t>by the patient</w:t>
      </w:r>
      <w:r w:rsidR="009D16EA" w:rsidRPr="003A1E48">
        <w:rPr>
          <w:rFonts w:ascii="Book Antiqua" w:hAnsi="Book Antiqua" w:cs="Arial"/>
          <w:lang w:val="en-CA"/>
        </w:rPr>
        <w:t>.</w:t>
      </w:r>
    </w:p>
    <w:p w14:paraId="449B184A" w14:textId="77777777" w:rsidR="002C1411" w:rsidRPr="003A1E48" w:rsidRDefault="002C1411" w:rsidP="00DD7F70">
      <w:pPr>
        <w:spacing w:line="360" w:lineRule="auto"/>
        <w:ind w:firstLineChars="100" w:firstLine="240"/>
        <w:jc w:val="both"/>
        <w:rPr>
          <w:rFonts w:ascii="Book Antiqua" w:hAnsi="Book Antiqua" w:cs="Arial"/>
          <w:lang w:val="en-CA" w:eastAsia="zh-CN"/>
        </w:rPr>
      </w:pPr>
    </w:p>
    <w:p w14:paraId="5E359388" w14:textId="5692757C" w:rsidR="00D60821" w:rsidRPr="003A1E48" w:rsidRDefault="007B0E0D" w:rsidP="00DD7F70">
      <w:pPr>
        <w:spacing w:line="360" w:lineRule="auto"/>
        <w:jc w:val="both"/>
        <w:rPr>
          <w:rFonts w:ascii="Book Antiqua" w:hAnsi="Book Antiqua" w:cs="Arial"/>
          <w:b/>
          <w:i/>
          <w:iCs/>
          <w:lang w:val="en-CA"/>
        </w:rPr>
      </w:pPr>
      <w:r w:rsidRPr="003A1E48">
        <w:rPr>
          <w:rFonts w:ascii="Book Antiqua" w:hAnsi="Book Antiqua" w:cs="Arial"/>
          <w:b/>
          <w:i/>
          <w:iCs/>
          <w:lang w:val="en-CA"/>
        </w:rPr>
        <w:t xml:space="preserve">Resource utilization </w:t>
      </w:r>
      <w:r w:rsidR="00F170ED" w:rsidRPr="003A1E48">
        <w:rPr>
          <w:rFonts w:ascii="Book Antiqua" w:hAnsi="Book Antiqua" w:cs="Arial"/>
          <w:b/>
          <w:i/>
          <w:iCs/>
          <w:lang w:val="en-CA"/>
        </w:rPr>
        <w:t xml:space="preserve">and treatment change </w:t>
      </w:r>
      <w:r w:rsidR="00D60821" w:rsidRPr="003A1E48">
        <w:rPr>
          <w:rFonts w:ascii="Book Antiqua" w:hAnsi="Book Antiqua" w:cs="Arial"/>
          <w:b/>
          <w:i/>
          <w:iCs/>
          <w:lang w:val="en-CA"/>
        </w:rPr>
        <w:t xml:space="preserve">by </w:t>
      </w:r>
      <w:r w:rsidR="00EC4F46" w:rsidRPr="003A1E48">
        <w:rPr>
          <w:rFonts w:ascii="Book Antiqua" w:hAnsi="Book Antiqua" w:cs="Arial"/>
          <w:b/>
          <w:i/>
          <w:iCs/>
          <w:lang w:val="en-CA"/>
        </w:rPr>
        <w:t xml:space="preserve">the </w:t>
      </w:r>
      <w:r w:rsidRPr="003A1E48">
        <w:rPr>
          <w:rFonts w:ascii="Book Antiqua" w:hAnsi="Book Antiqua" w:cs="Arial"/>
          <w:b/>
          <w:i/>
          <w:iCs/>
          <w:lang w:val="en-CA"/>
        </w:rPr>
        <w:t xml:space="preserve">RAC </w:t>
      </w:r>
      <w:r w:rsidR="00F170ED" w:rsidRPr="003A1E48">
        <w:rPr>
          <w:rFonts w:ascii="Book Antiqua" w:hAnsi="Book Antiqua" w:cs="Arial"/>
          <w:b/>
          <w:i/>
          <w:iCs/>
          <w:lang w:val="en-CA"/>
        </w:rPr>
        <w:t>service</w:t>
      </w:r>
    </w:p>
    <w:p w14:paraId="4E47FC50" w14:textId="77777777" w:rsidR="00916DFF" w:rsidRPr="003A1E48" w:rsidRDefault="00AA41CB" w:rsidP="00DD7F70">
      <w:pPr>
        <w:spacing w:line="360" w:lineRule="auto"/>
        <w:jc w:val="both"/>
        <w:rPr>
          <w:rFonts w:ascii="Book Antiqua" w:hAnsi="Book Antiqua" w:cs="Arial"/>
          <w:lang w:val="en-CA"/>
        </w:rPr>
      </w:pPr>
      <w:r w:rsidRPr="003A1E48">
        <w:rPr>
          <w:rFonts w:ascii="Book Antiqua" w:hAnsi="Book Antiqua" w:cs="Arial"/>
          <w:lang w:val="en-CA"/>
        </w:rPr>
        <w:t xml:space="preserve">RAC </w:t>
      </w:r>
      <w:r w:rsidR="008345B3" w:rsidRPr="003A1E48">
        <w:rPr>
          <w:rFonts w:ascii="Book Antiqua" w:hAnsi="Book Antiqua" w:cs="Arial"/>
          <w:lang w:val="en-CA"/>
        </w:rPr>
        <w:t xml:space="preserve">visits </w:t>
      </w:r>
      <w:r w:rsidRPr="003A1E48">
        <w:rPr>
          <w:rFonts w:ascii="Book Antiqua" w:hAnsi="Book Antiqua" w:cs="Arial"/>
          <w:lang w:val="en-CA"/>
        </w:rPr>
        <w:t>consisted of fast</w:t>
      </w:r>
      <w:r w:rsidR="00EC4F46" w:rsidRPr="003A1E48">
        <w:rPr>
          <w:rFonts w:ascii="Book Antiqua" w:hAnsi="Book Antiqua" w:cs="Arial"/>
          <w:lang w:val="en-CA"/>
        </w:rPr>
        <w:t>-</w:t>
      </w:r>
      <w:r w:rsidRPr="003A1E48">
        <w:rPr>
          <w:rFonts w:ascii="Book Antiqua" w:hAnsi="Book Antiqua" w:cs="Arial"/>
          <w:lang w:val="en-CA"/>
        </w:rPr>
        <w:t xml:space="preserve">track evaluation of </w:t>
      </w:r>
      <w:r w:rsidR="00D60821" w:rsidRPr="003A1E48">
        <w:rPr>
          <w:rFonts w:ascii="Book Antiqua" w:hAnsi="Book Antiqua" w:cs="Arial"/>
          <w:lang w:val="en-CA"/>
        </w:rPr>
        <w:t xml:space="preserve">disease activity </w:t>
      </w:r>
      <w:r w:rsidRPr="003A1E48">
        <w:rPr>
          <w:rFonts w:ascii="Book Antiqua" w:hAnsi="Book Antiqua" w:cs="Arial"/>
          <w:lang w:val="en-CA"/>
        </w:rPr>
        <w:t xml:space="preserve">using </w:t>
      </w:r>
      <w:r w:rsidR="00D60821" w:rsidRPr="003A1E48">
        <w:rPr>
          <w:rFonts w:ascii="Book Antiqua" w:hAnsi="Book Antiqua" w:cs="Arial"/>
          <w:lang w:val="en-CA"/>
        </w:rPr>
        <w:t>clinical assessment</w:t>
      </w:r>
      <w:r w:rsidR="00EC4F46" w:rsidRPr="003A1E48">
        <w:rPr>
          <w:rFonts w:ascii="Book Antiqua" w:hAnsi="Book Antiqua" w:cs="Arial"/>
          <w:lang w:val="en-CA"/>
        </w:rPr>
        <w:t xml:space="preserve"> and </w:t>
      </w:r>
      <w:r w:rsidRPr="003A1E48">
        <w:rPr>
          <w:rFonts w:ascii="Book Antiqua" w:hAnsi="Book Antiqua" w:cs="Arial"/>
          <w:lang w:val="en-CA"/>
        </w:rPr>
        <w:t>laboratory markers</w:t>
      </w:r>
      <w:r w:rsidR="00D60821" w:rsidRPr="003A1E48">
        <w:rPr>
          <w:rFonts w:ascii="Book Antiqua" w:hAnsi="Book Antiqua" w:cs="Arial"/>
          <w:lang w:val="en-CA"/>
        </w:rPr>
        <w:t>. Complete blood count and C-reactive protein (CRP) measurements were performed in 90.9%, whi</w:t>
      </w:r>
      <w:r w:rsidR="00CA1F14" w:rsidRPr="003A1E48">
        <w:rPr>
          <w:rFonts w:ascii="Book Antiqua" w:hAnsi="Book Antiqua" w:cs="Arial"/>
          <w:lang w:val="en-CA"/>
        </w:rPr>
        <w:t xml:space="preserve">le </w:t>
      </w:r>
      <w:r w:rsidR="00D32A7D" w:rsidRPr="003A1E48">
        <w:rPr>
          <w:rFonts w:ascii="Book Antiqua" w:hAnsi="Book Antiqua" w:cs="Arial"/>
          <w:lang w:val="en-CA"/>
        </w:rPr>
        <w:t>f</w:t>
      </w:r>
      <w:r w:rsidRPr="003A1E48">
        <w:rPr>
          <w:rFonts w:ascii="Book Antiqua" w:hAnsi="Book Antiqua" w:cs="Arial"/>
          <w:lang w:val="en-CA"/>
        </w:rPr>
        <w:t>ecal calprotectin</w:t>
      </w:r>
      <w:r w:rsidR="00CA1F14" w:rsidRPr="003A1E48">
        <w:rPr>
          <w:rFonts w:ascii="Book Antiqua" w:hAnsi="Book Antiqua" w:cs="Arial"/>
          <w:lang w:val="en-CA"/>
        </w:rPr>
        <w:t xml:space="preserve"> (FCAL)</w:t>
      </w:r>
      <w:r w:rsidRPr="003A1E48">
        <w:rPr>
          <w:rFonts w:ascii="Book Antiqua" w:hAnsi="Book Antiqua" w:cs="Arial"/>
          <w:lang w:val="en-CA"/>
        </w:rPr>
        <w:t xml:space="preserve"> in 73%</w:t>
      </w:r>
      <w:r w:rsidR="00DF07E8" w:rsidRPr="003A1E48">
        <w:rPr>
          <w:rFonts w:ascii="Book Antiqua" w:hAnsi="Book Antiqua" w:cs="Arial"/>
          <w:lang w:val="en-CA"/>
        </w:rPr>
        <w:t>,</w:t>
      </w:r>
      <w:r w:rsidRPr="003A1E48">
        <w:rPr>
          <w:rFonts w:ascii="Book Antiqua" w:hAnsi="Book Antiqua" w:cs="Arial"/>
          <w:lang w:val="en-CA"/>
        </w:rPr>
        <w:t xml:space="preserve"> respectively. </w:t>
      </w:r>
      <w:r w:rsidR="00AC3780" w:rsidRPr="003A1E48">
        <w:rPr>
          <w:rFonts w:ascii="Book Antiqua" w:hAnsi="Book Antiqua" w:cs="Arial"/>
          <w:lang w:val="en-CA"/>
        </w:rPr>
        <w:t>Stool culture was ordered in 4</w:t>
      </w:r>
      <w:r w:rsidR="00515471" w:rsidRPr="003A1E48">
        <w:rPr>
          <w:rFonts w:ascii="Book Antiqua" w:hAnsi="Book Antiqua" w:cs="Arial"/>
          <w:lang w:val="en-CA"/>
        </w:rPr>
        <w:t>1.9</w:t>
      </w:r>
      <w:r w:rsidR="00AC3780" w:rsidRPr="003A1E48">
        <w:rPr>
          <w:rFonts w:ascii="Book Antiqua" w:hAnsi="Book Antiqua" w:cs="Arial"/>
          <w:lang w:val="en-CA"/>
        </w:rPr>
        <w:t xml:space="preserve">% of patients and </w:t>
      </w:r>
      <w:r w:rsidR="00AC3780" w:rsidRPr="003A1E48">
        <w:rPr>
          <w:rFonts w:ascii="Book Antiqua" w:hAnsi="Book Antiqua" w:cs="Arial"/>
          <w:i/>
          <w:iCs/>
          <w:lang w:val="en-CA"/>
        </w:rPr>
        <w:t>C</w:t>
      </w:r>
      <w:r w:rsidR="00515471" w:rsidRPr="003A1E48">
        <w:rPr>
          <w:rFonts w:ascii="Book Antiqua" w:hAnsi="Book Antiqua" w:cs="Arial"/>
          <w:i/>
          <w:iCs/>
          <w:lang w:val="en-CA"/>
        </w:rPr>
        <w:t>lostridium difficile</w:t>
      </w:r>
      <w:r w:rsidR="00515471" w:rsidRPr="003A1E48">
        <w:rPr>
          <w:rFonts w:ascii="Book Antiqua" w:hAnsi="Book Antiqua" w:cs="Arial"/>
          <w:lang w:val="en-CA"/>
        </w:rPr>
        <w:t xml:space="preserve"> toxin stool PCR in 43.1%. </w:t>
      </w:r>
      <w:r w:rsidR="00DF07E8" w:rsidRPr="003A1E48">
        <w:rPr>
          <w:rFonts w:ascii="Book Antiqua" w:hAnsi="Book Antiqua" w:cs="Arial"/>
          <w:lang w:val="en-CA"/>
        </w:rPr>
        <w:t xml:space="preserve">Colonoscopy and flexible sigmoidoscopy </w:t>
      </w:r>
      <w:proofErr w:type="gramStart"/>
      <w:r w:rsidR="00E67EBA" w:rsidRPr="003A1E48">
        <w:rPr>
          <w:rFonts w:ascii="Book Antiqua" w:hAnsi="Book Antiqua" w:cs="Arial"/>
          <w:lang w:val="en-CA"/>
        </w:rPr>
        <w:t>was</w:t>
      </w:r>
      <w:proofErr w:type="gramEnd"/>
      <w:r w:rsidR="008E5872" w:rsidRPr="003A1E48">
        <w:rPr>
          <w:rFonts w:ascii="Book Antiqua" w:hAnsi="Book Antiqua" w:cs="Arial"/>
          <w:lang w:val="en-CA"/>
        </w:rPr>
        <w:t xml:space="preserve"> requested in 17.9% </w:t>
      </w:r>
      <w:r w:rsidR="00DF07E8" w:rsidRPr="003A1E48">
        <w:rPr>
          <w:rFonts w:ascii="Book Antiqua" w:hAnsi="Book Antiqua" w:cs="Arial"/>
          <w:lang w:val="en-CA"/>
        </w:rPr>
        <w:t>and</w:t>
      </w:r>
      <w:r w:rsidR="008E5872" w:rsidRPr="003A1E48">
        <w:rPr>
          <w:rFonts w:ascii="Book Antiqua" w:hAnsi="Book Antiqua" w:cs="Arial"/>
          <w:lang w:val="en-CA"/>
        </w:rPr>
        <w:t xml:space="preserve"> 6.7% </w:t>
      </w:r>
      <w:r w:rsidR="00DF07E8" w:rsidRPr="003A1E48">
        <w:rPr>
          <w:rFonts w:ascii="Book Antiqua" w:hAnsi="Book Antiqua" w:cs="Arial"/>
          <w:lang w:val="en-CA"/>
        </w:rPr>
        <w:t>of the patients, while only a</w:t>
      </w:r>
      <w:r w:rsidR="006C1996" w:rsidRPr="003A1E48">
        <w:rPr>
          <w:rFonts w:ascii="Book Antiqua" w:hAnsi="Book Antiqua" w:cs="Arial"/>
          <w:lang w:val="en-CA"/>
        </w:rPr>
        <w:t xml:space="preserve"> minority of patients underwent imaging modalities, including 6.0% abdominal </w:t>
      </w:r>
      <w:r w:rsidR="002C1411" w:rsidRPr="003A1E48">
        <w:rPr>
          <w:rFonts w:ascii="Book Antiqua" w:hAnsi="Book Antiqua" w:cs="Arial"/>
          <w:lang w:val="en-CA"/>
        </w:rPr>
        <w:t>computed tomography (</w:t>
      </w:r>
      <w:r w:rsidR="006C1996" w:rsidRPr="003A1E48">
        <w:rPr>
          <w:rFonts w:ascii="Book Antiqua" w:hAnsi="Book Antiqua" w:cs="Arial"/>
          <w:lang w:val="en-CA"/>
        </w:rPr>
        <w:t>CT</w:t>
      </w:r>
      <w:r w:rsidR="002C1411" w:rsidRPr="003A1E48">
        <w:rPr>
          <w:rFonts w:ascii="Book Antiqua" w:hAnsi="Book Antiqua" w:cs="Arial"/>
          <w:lang w:val="en-CA"/>
        </w:rPr>
        <w:t>)</w:t>
      </w:r>
      <w:r w:rsidR="006C1996" w:rsidRPr="003A1E48">
        <w:rPr>
          <w:rFonts w:ascii="Book Antiqua" w:hAnsi="Book Antiqua" w:cs="Arial"/>
          <w:lang w:val="en-CA"/>
        </w:rPr>
        <w:t xml:space="preserve"> and 2.1% </w:t>
      </w:r>
      <w:r w:rsidR="002C1411" w:rsidRPr="003A1E48">
        <w:rPr>
          <w:rFonts w:ascii="Book Antiqua" w:hAnsi="Book Antiqua" w:cs="Arial"/>
          <w:bCs/>
          <w:lang w:val="en-CA"/>
        </w:rPr>
        <w:t>magnetic resonance imaging</w:t>
      </w:r>
      <w:r w:rsidR="002C1411" w:rsidRPr="003A1E48">
        <w:rPr>
          <w:rFonts w:ascii="Book Antiqua" w:hAnsi="Book Antiqua" w:cs="Arial"/>
          <w:lang w:val="en-CA"/>
        </w:rPr>
        <w:t xml:space="preserve"> (</w:t>
      </w:r>
      <w:r w:rsidR="006C1996" w:rsidRPr="003A1E48">
        <w:rPr>
          <w:rFonts w:ascii="Book Antiqua" w:hAnsi="Book Antiqua" w:cs="Arial"/>
          <w:lang w:val="en-CA"/>
        </w:rPr>
        <w:t>MRI</w:t>
      </w:r>
      <w:r w:rsidR="002C1411" w:rsidRPr="003A1E48">
        <w:rPr>
          <w:rFonts w:ascii="Book Antiqua" w:hAnsi="Book Antiqua" w:cs="Arial"/>
          <w:lang w:val="en-CA"/>
        </w:rPr>
        <w:t>)</w:t>
      </w:r>
      <w:r w:rsidR="006C1996" w:rsidRPr="003A1E48">
        <w:rPr>
          <w:rFonts w:ascii="Book Antiqua" w:hAnsi="Book Antiqua" w:cs="Arial"/>
          <w:lang w:val="en-CA"/>
        </w:rPr>
        <w:t xml:space="preserve">. </w:t>
      </w:r>
      <w:r w:rsidR="000D7F6C" w:rsidRPr="003A1E48">
        <w:rPr>
          <w:rFonts w:ascii="Book Antiqua" w:hAnsi="Book Antiqua" w:cs="Arial"/>
          <w:lang w:val="en-CA"/>
        </w:rPr>
        <w:t>Other specialist consults were ordered in 9.8% of the cases</w:t>
      </w:r>
      <w:r w:rsidR="0025115B" w:rsidRPr="003A1E48">
        <w:rPr>
          <w:rFonts w:ascii="Book Antiqua" w:hAnsi="Book Antiqua" w:cs="Arial"/>
          <w:lang w:val="en-CA"/>
        </w:rPr>
        <w:t xml:space="preserve">, which </w:t>
      </w:r>
      <w:r w:rsidR="0025115B" w:rsidRPr="003A1E48">
        <w:rPr>
          <w:rFonts w:ascii="Book Antiqua" w:hAnsi="Book Antiqua" w:cs="Arial"/>
          <w:lang w:val="en-CA"/>
        </w:rPr>
        <w:lastRenderedPageBreak/>
        <w:t>included ED visits/consult initiated during a RAC appointment</w:t>
      </w:r>
      <w:r w:rsidR="000D7F6C" w:rsidRPr="003A1E48">
        <w:rPr>
          <w:rFonts w:ascii="Book Antiqua" w:hAnsi="Book Antiqua" w:cs="Arial"/>
          <w:lang w:val="en-CA"/>
        </w:rPr>
        <w:t xml:space="preserve"> </w:t>
      </w:r>
      <w:r w:rsidR="00960F51" w:rsidRPr="003A1E48">
        <w:rPr>
          <w:rFonts w:ascii="Book Antiqua" w:hAnsi="Book Antiqua" w:cs="Arial"/>
          <w:lang w:val="en-CA"/>
        </w:rPr>
        <w:t>(</w:t>
      </w:r>
      <w:r w:rsidR="002A51C2" w:rsidRPr="003A1E48">
        <w:rPr>
          <w:rFonts w:ascii="Book Antiqua" w:hAnsi="Book Antiqua" w:cs="Arial"/>
          <w:lang w:val="en-CA"/>
        </w:rPr>
        <w:t>Table 2</w:t>
      </w:r>
      <w:r w:rsidR="00960F51" w:rsidRPr="003A1E48">
        <w:rPr>
          <w:rFonts w:ascii="Book Antiqua" w:hAnsi="Book Antiqua" w:cs="Arial"/>
          <w:lang w:val="en-CA"/>
        </w:rPr>
        <w:t>)</w:t>
      </w:r>
      <w:r w:rsidR="00EE010F" w:rsidRPr="003A1E48">
        <w:rPr>
          <w:rFonts w:ascii="Book Antiqua" w:hAnsi="Book Antiqua" w:cs="Arial"/>
          <w:lang w:val="en-CA"/>
        </w:rPr>
        <w:t>.</w:t>
      </w:r>
      <w:r w:rsidR="008E0B5A" w:rsidRPr="003A1E48">
        <w:rPr>
          <w:rFonts w:ascii="Book Antiqua" w:hAnsi="Book Antiqua" w:cs="Arial"/>
          <w:lang w:val="en-CA"/>
        </w:rPr>
        <w:t xml:space="preserve"> There was no significant di</w:t>
      </w:r>
      <w:r w:rsidR="0004746A" w:rsidRPr="003A1E48">
        <w:rPr>
          <w:rFonts w:ascii="Book Antiqua" w:hAnsi="Book Antiqua" w:cs="Arial"/>
          <w:lang w:val="en-CA"/>
        </w:rPr>
        <w:t>fference between resource utiliz</w:t>
      </w:r>
      <w:r w:rsidR="008E0B5A" w:rsidRPr="003A1E48">
        <w:rPr>
          <w:rFonts w:ascii="Book Antiqua" w:hAnsi="Book Antiqua" w:cs="Arial"/>
          <w:lang w:val="en-CA"/>
        </w:rPr>
        <w:t>ation and outcomes between patients with Crohn’s disease and Ulcerative colitis (Supplementary Figure 1)</w:t>
      </w:r>
      <w:r w:rsidR="0019373F" w:rsidRPr="003A1E48">
        <w:rPr>
          <w:rFonts w:ascii="Book Antiqua" w:hAnsi="Book Antiqua" w:cs="Arial"/>
          <w:lang w:val="en-CA"/>
        </w:rPr>
        <w:t>.</w:t>
      </w:r>
    </w:p>
    <w:p w14:paraId="3B2CE042" w14:textId="44DD0ED2" w:rsidR="0025115B" w:rsidRPr="003A1E48" w:rsidRDefault="000D7F6C"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T</w:t>
      </w:r>
      <w:r w:rsidR="00A277B8" w:rsidRPr="003A1E48">
        <w:rPr>
          <w:rFonts w:ascii="Book Antiqua" w:hAnsi="Book Antiqua" w:cs="Arial"/>
          <w:lang w:val="en-CA"/>
        </w:rPr>
        <w:t xml:space="preserve">he study </w:t>
      </w:r>
      <w:r w:rsidR="008345B3" w:rsidRPr="003A1E48">
        <w:rPr>
          <w:rFonts w:ascii="Book Antiqua" w:hAnsi="Book Antiqua" w:cs="Arial"/>
          <w:lang w:val="en-CA"/>
        </w:rPr>
        <w:t>revealed</w:t>
      </w:r>
      <w:r w:rsidR="00C21330" w:rsidRPr="003A1E48">
        <w:rPr>
          <w:rFonts w:ascii="Book Antiqua" w:hAnsi="Book Antiqua" w:cs="Arial"/>
          <w:lang w:val="en-CA"/>
        </w:rPr>
        <w:t xml:space="preserve"> a change in </w:t>
      </w:r>
      <w:r w:rsidRPr="003A1E48">
        <w:rPr>
          <w:rFonts w:ascii="Book Antiqua" w:hAnsi="Book Antiqua" w:cs="Arial"/>
          <w:lang w:val="en-CA"/>
        </w:rPr>
        <w:t xml:space="preserve">medical </w:t>
      </w:r>
      <w:r w:rsidR="00C21330" w:rsidRPr="003A1E48">
        <w:rPr>
          <w:rFonts w:ascii="Book Antiqua" w:hAnsi="Book Antiqua" w:cs="Arial"/>
          <w:lang w:val="en-CA"/>
        </w:rPr>
        <w:t>therapy in</w:t>
      </w:r>
      <w:r w:rsidR="00A277B8" w:rsidRPr="003A1E48">
        <w:rPr>
          <w:rFonts w:ascii="Book Antiqua" w:hAnsi="Book Antiqua" w:cs="Arial"/>
          <w:lang w:val="en-CA"/>
        </w:rPr>
        <w:t xml:space="preserve"> 54.4%</w:t>
      </w:r>
      <w:r w:rsidR="00C21330" w:rsidRPr="003A1E48">
        <w:rPr>
          <w:rFonts w:ascii="Book Antiqua" w:hAnsi="Book Antiqua" w:cs="Arial"/>
          <w:lang w:val="en-CA"/>
        </w:rPr>
        <w:t xml:space="preserve"> of </w:t>
      </w:r>
      <w:r w:rsidRPr="003A1E48">
        <w:rPr>
          <w:rFonts w:ascii="Book Antiqua" w:hAnsi="Book Antiqua" w:cs="Arial"/>
          <w:lang w:val="en-CA"/>
        </w:rPr>
        <w:t xml:space="preserve">the </w:t>
      </w:r>
      <w:r w:rsidR="00C21330" w:rsidRPr="003A1E48">
        <w:rPr>
          <w:rFonts w:ascii="Book Antiqua" w:hAnsi="Book Antiqua" w:cs="Arial"/>
          <w:lang w:val="en-CA"/>
        </w:rPr>
        <w:t>cases</w:t>
      </w:r>
      <w:r w:rsidR="00A277B8" w:rsidRPr="003A1E48">
        <w:rPr>
          <w:rFonts w:ascii="Book Antiqua" w:hAnsi="Book Antiqua" w:cs="Arial"/>
          <w:lang w:val="en-CA"/>
        </w:rPr>
        <w:t xml:space="preserve">. 21% of </w:t>
      </w:r>
      <w:r w:rsidR="008E0B5A" w:rsidRPr="003A1E48">
        <w:rPr>
          <w:rFonts w:ascii="Book Antiqua" w:hAnsi="Book Antiqua" w:cs="Arial"/>
          <w:lang w:val="en-CA"/>
        </w:rPr>
        <w:t xml:space="preserve">the </w:t>
      </w:r>
      <w:r w:rsidR="00A277B8" w:rsidRPr="003A1E48">
        <w:rPr>
          <w:rFonts w:ascii="Book Antiqua" w:hAnsi="Book Antiqua" w:cs="Arial"/>
          <w:lang w:val="en-CA"/>
        </w:rPr>
        <w:t xml:space="preserve">patients experienced initiation or </w:t>
      </w:r>
      <w:r w:rsidR="008E0B5A" w:rsidRPr="003A1E48">
        <w:rPr>
          <w:rFonts w:ascii="Book Antiqua" w:hAnsi="Book Antiqua" w:cs="Arial"/>
          <w:lang w:val="en-CA"/>
        </w:rPr>
        <w:t xml:space="preserve">dose </w:t>
      </w:r>
      <w:r w:rsidR="00A277B8" w:rsidRPr="003A1E48">
        <w:rPr>
          <w:rFonts w:ascii="Book Antiqua" w:hAnsi="Book Antiqua" w:cs="Arial"/>
          <w:lang w:val="en-CA"/>
        </w:rPr>
        <w:t>adjustment of systemic steroids</w:t>
      </w:r>
      <w:r w:rsidR="008E0B5A" w:rsidRPr="003A1E48">
        <w:rPr>
          <w:rFonts w:ascii="Book Antiqua" w:hAnsi="Book Antiqua" w:cs="Arial"/>
          <w:lang w:val="en-CA"/>
        </w:rPr>
        <w:t xml:space="preserve">, </w:t>
      </w:r>
      <w:r w:rsidR="008345B3" w:rsidRPr="003A1E48">
        <w:rPr>
          <w:rFonts w:ascii="Book Antiqua" w:hAnsi="Book Antiqua" w:cs="Arial"/>
          <w:lang w:val="en-CA"/>
        </w:rPr>
        <w:t xml:space="preserve">and biologics were started or optimized in </w:t>
      </w:r>
      <w:r w:rsidR="00B030B3" w:rsidRPr="003A1E48">
        <w:rPr>
          <w:rFonts w:ascii="Book Antiqua" w:hAnsi="Book Antiqua" w:cs="Arial"/>
          <w:lang w:val="en-CA"/>
        </w:rPr>
        <w:t>11.9</w:t>
      </w:r>
      <w:r w:rsidR="008345B3" w:rsidRPr="003A1E48">
        <w:rPr>
          <w:rFonts w:ascii="Book Antiqua" w:hAnsi="Book Antiqua" w:cs="Arial"/>
          <w:lang w:val="en-CA"/>
        </w:rPr>
        <w:t>% of cases</w:t>
      </w:r>
      <w:r w:rsidR="008E0B5A" w:rsidRPr="003A1E48">
        <w:rPr>
          <w:rFonts w:ascii="Book Antiqua" w:hAnsi="Book Antiqua" w:cs="Arial"/>
          <w:lang w:val="en-CA"/>
        </w:rPr>
        <w:t>,</w:t>
      </w:r>
      <w:r w:rsidR="008345B3" w:rsidRPr="003A1E48">
        <w:rPr>
          <w:rFonts w:ascii="Book Antiqua" w:hAnsi="Book Antiqua" w:cs="Arial"/>
          <w:lang w:val="en-CA"/>
        </w:rPr>
        <w:t xml:space="preserve"> respectively</w:t>
      </w:r>
      <w:r w:rsidR="00A277B8" w:rsidRPr="003A1E48">
        <w:rPr>
          <w:rFonts w:ascii="Book Antiqua" w:hAnsi="Book Antiqua" w:cs="Arial"/>
          <w:lang w:val="en-CA"/>
        </w:rPr>
        <w:t xml:space="preserve"> </w:t>
      </w:r>
      <w:r w:rsidR="002A51C2" w:rsidRPr="003A1E48">
        <w:rPr>
          <w:rFonts w:ascii="Book Antiqua" w:hAnsi="Book Antiqua" w:cs="Arial"/>
          <w:lang w:val="en-CA"/>
        </w:rPr>
        <w:t>(Table 3</w:t>
      </w:r>
      <w:r w:rsidR="00B030B3" w:rsidRPr="003A1E48">
        <w:rPr>
          <w:rFonts w:ascii="Book Antiqua" w:hAnsi="Book Antiqua" w:cs="Arial"/>
          <w:lang w:val="en-CA"/>
        </w:rPr>
        <w:t>)</w:t>
      </w:r>
      <w:r w:rsidR="00D32A7D" w:rsidRPr="003A1E48">
        <w:rPr>
          <w:rFonts w:ascii="Book Antiqua" w:hAnsi="Book Antiqua" w:cs="Arial"/>
          <w:lang w:val="en-CA"/>
        </w:rPr>
        <w:t>.</w:t>
      </w:r>
    </w:p>
    <w:p w14:paraId="1BDD8FC6" w14:textId="77777777" w:rsidR="0025115B" w:rsidRPr="003A1E48" w:rsidRDefault="0025115B" w:rsidP="00DD7F70">
      <w:pPr>
        <w:spacing w:line="360" w:lineRule="auto"/>
        <w:jc w:val="both"/>
        <w:rPr>
          <w:rFonts w:ascii="Book Antiqua" w:hAnsi="Book Antiqua" w:cs="Arial"/>
          <w:lang w:val="en-CA"/>
        </w:rPr>
      </w:pPr>
    </w:p>
    <w:p w14:paraId="26C9B00A" w14:textId="58C856E9" w:rsidR="0025115B" w:rsidRPr="003A1E48" w:rsidRDefault="0025115B" w:rsidP="00DD7F70">
      <w:pPr>
        <w:spacing w:line="360" w:lineRule="auto"/>
        <w:jc w:val="both"/>
        <w:rPr>
          <w:rFonts w:ascii="Book Antiqua" w:hAnsi="Book Antiqua" w:cs="Arial"/>
          <w:b/>
          <w:i/>
          <w:iCs/>
          <w:lang w:val="en-CA"/>
        </w:rPr>
      </w:pPr>
      <w:r w:rsidRPr="003A1E48">
        <w:rPr>
          <w:rFonts w:ascii="Book Antiqua" w:hAnsi="Book Antiqua" w:cs="Arial"/>
          <w:b/>
          <w:i/>
          <w:iCs/>
          <w:lang w:val="en-CA"/>
        </w:rPr>
        <w:t xml:space="preserve">Unplanned </w:t>
      </w:r>
      <w:r w:rsidR="003A1E48">
        <w:rPr>
          <w:rFonts w:ascii="Book Antiqua" w:hAnsi="Book Antiqua" w:cs="Arial"/>
          <w:b/>
          <w:i/>
          <w:iCs/>
          <w:lang w:val="en-CA"/>
        </w:rPr>
        <w:t>ED</w:t>
      </w:r>
      <w:r w:rsidRPr="003A1E48">
        <w:rPr>
          <w:rFonts w:ascii="Book Antiqua" w:hAnsi="Book Antiqua" w:cs="Arial"/>
          <w:b/>
          <w:i/>
          <w:iCs/>
          <w:lang w:val="en-CA"/>
        </w:rPr>
        <w:t xml:space="preserve"> visits </w:t>
      </w:r>
      <w:r w:rsidR="00215A75" w:rsidRPr="003A1E48">
        <w:rPr>
          <w:rFonts w:ascii="Book Antiqua" w:hAnsi="Book Antiqua" w:cs="Arial"/>
          <w:b/>
          <w:i/>
          <w:iCs/>
          <w:lang w:val="en-CA"/>
        </w:rPr>
        <w:t>and hospital admissions following the</w:t>
      </w:r>
      <w:r w:rsidRPr="003A1E48">
        <w:rPr>
          <w:rFonts w:ascii="Book Antiqua" w:hAnsi="Book Antiqua" w:cs="Arial"/>
          <w:b/>
          <w:i/>
          <w:iCs/>
          <w:lang w:val="en-CA"/>
        </w:rPr>
        <w:t xml:space="preserve"> RAC </w:t>
      </w:r>
      <w:r w:rsidR="00215A75" w:rsidRPr="003A1E48">
        <w:rPr>
          <w:rFonts w:ascii="Book Antiqua" w:hAnsi="Book Antiqua" w:cs="Arial"/>
          <w:b/>
          <w:i/>
          <w:iCs/>
          <w:lang w:val="en-CA"/>
        </w:rPr>
        <w:t>visits</w:t>
      </w:r>
    </w:p>
    <w:p w14:paraId="1DE16331" w14:textId="1946F05C" w:rsidR="0025115B" w:rsidRPr="003A1E48" w:rsidRDefault="0025115B" w:rsidP="00DD7F70">
      <w:pPr>
        <w:spacing w:line="360" w:lineRule="auto"/>
        <w:jc w:val="both"/>
        <w:rPr>
          <w:rFonts w:ascii="Book Antiqua" w:hAnsi="Book Antiqua" w:cs="Arial"/>
          <w:lang w:val="en-CA"/>
        </w:rPr>
      </w:pPr>
      <w:r w:rsidRPr="003A1E48">
        <w:rPr>
          <w:rFonts w:ascii="Book Antiqua" w:hAnsi="Book Antiqua" w:cs="Arial"/>
          <w:lang w:val="en-CA"/>
        </w:rPr>
        <w:t>There was an 8.8%</w:t>
      </w:r>
      <w:r w:rsidR="00E2536C" w:rsidRPr="003A1E48">
        <w:rPr>
          <w:rFonts w:ascii="Book Antiqua" w:hAnsi="Book Antiqua" w:cs="Arial"/>
          <w:lang w:val="en-CA"/>
        </w:rPr>
        <w:t xml:space="preserve"> (</w:t>
      </w:r>
      <w:r w:rsidR="00E2536C" w:rsidRPr="003A1E48">
        <w:rPr>
          <w:rFonts w:ascii="Book Antiqua" w:hAnsi="Book Antiqua" w:cs="Arial"/>
          <w:i/>
          <w:iCs/>
          <w:lang w:val="en-CA"/>
        </w:rPr>
        <w:t>n</w:t>
      </w:r>
      <w:r w:rsidR="00916DFF" w:rsidRPr="003A1E48">
        <w:rPr>
          <w:rFonts w:ascii="Book Antiqua" w:hAnsi="Book Antiqua" w:cs="Arial"/>
          <w:lang w:val="en-CA"/>
        </w:rPr>
        <w:t xml:space="preserve"> </w:t>
      </w:r>
      <w:r w:rsidR="00E2536C" w:rsidRPr="003A1E48">
        <w:rPr>
          <w:rFonts w:ascii="Book Antiqua" w:hAnsi="Book Antiqua" w:cs="Arial"/>
          <w:lang w:val="en-CA"/>
        </w:rPr>
        <w:t>=</w:t>
      </w:r>
      <w:r w:rsidR="00916DFF" w:rsidRPr="003A1E48">
        <w:rPr>
          <w:rFonts w:ascii="Book Antiqua" w:hAnsi="Book Antiqua" w:cs="Arial"/>
          <w:lang w:val="en-CA"/>
        </w:rPr>
        <w:t xml:space="preserve"> </w:t>
      </w:r>
      <w:r w:rsidR="00E2536C" w:rsidRPr="003A1E48">
        <w:rPr>
          <w:rFonts w:ascii="Book Antiqua" w:hAnsi="Book Antiqua" w:cs="Arial"/>
          <w:lang w:val="en-CA"/>
        </w:rPr>
        <w:t>43)</w:t>
      </w:r>
      <w:r w:rsidRPr="003A1E48">
        <w:rPr>
          <w:rFonts w:ascii="Book Antiqua" w:hAnsi="Book Antiqua" w:cs="Arial"/>
          <w:lang w:val="en-CA"/>
        </w:rPr>
        <w:t xml:space="preserve"> rate of ED visits within 30 d and 11.1% rate within 90 d following the initial </w:t>
      </w:r>
      <w:r w:rsidR="00215A75" w:rsidRPr="003A1E48">
        <w:rPr>
          <w:rFonts w:ascii="Book Antiqua" w:hAnsi="Book Antiqua" w:cs="Arial"/>
          <w:lang w:val="en-CA"/>
        </w:rPr>
        <w:t>contact with the RAC services</w:t>
      </w:r>
      <w:r w:rsidRPr="003A1E48">
        <w:rPr>
          <w:rFonts w:ascii="Book Antiqua" w:hAnsi="Book Antiqua" w:cs="Arial"/>
          <w:lang w:val="en-CA"/>
        </w:rPr>
        <w:t>.</w:t>
      </w:r>
      <w:r w:rsidR="00E2536C" w:rsidRPr="003A1E48">
        <w:rPr>
          <w:rFonts w:ascii="Book Antiqua" w:hAnsi="Book Antiqua" w:cs="Arial"/>
          <w:lang w:val="en-CA"/>
        </w:rPr>
        <w:t xml:space="preserve"> The overall rate of hospital admissions </w:t>
      </w:r>
      <w:r w:rsidR="00D32A7D" w:rsidRPr="003A1E48">
        <w:rPr>
          <w:rFonts w:ascii="Book Antiqua" w:hAnsi="Book Antiqua" w:cs="Arial"/>
          <w:lang w:val="en-CA"/>
        </w:rPr>
        <w:t>related to</w:t>
      </w:r>
      <w:r w:rsidR="00932E62" w:rsidRPr="003A1E48">
        <w:rPr>
          <w:rFonts w:ascii="Book Antiqua" w:hAnsi="Book Antiqua" w:cs="Arial"/>
          <w:lang w:val="en-CA"/>
        </w:rPr>
        <w:t xml:space="preserve"> IBD </w:t>
      </w:r>
      <w:r w:rsidR="00E2536C" w:rsidRPr="003A1E48">
        <w:rPr>
          <w:rFonts w:ascii="Book Antiqua" w:hAnsi="Book Antiqua" w:cs="Arial"/>
          <w:lang w:val="en-CA"/>
        </w:rPr>
        <w:t>within 30 d following the first contact with the RAC was 4.5% (</w:t>
      </w:r>
      <w:r w:rsidR="00E2536C" w:rsidRPr="003A1E48">
        <w:rPr>
          <w:rFonts w:ascii="Book Antiqua" w:hAnsi="Book Antiqua" w:cs="Arial"/>
          <w:i/>
          <w:iCs/>
          <w:lang w:val="en-CA"/>
        </w:rPr>
        <w:t>n</w:t>
      </w:r>
      <w:r w:rsidR="00916DFF" w:rsidRPr="003A1E48">
        <w:rPr>
          <w:rFonts w:ascii="Book Antiqua" w:hAnsi="Book Antiqua" w:cs="Arial"/>
          <w:lang w:val="en-CA"/>
        </w:rPr>
        <w:t xml:space="preserve"> </w:t>
      </w:r>
      <w:r w:rsidR="00E2536C" w:rsidRPr="003A1E48">
        <w:rPr>
          <w:rFonts w:ascii="Book Antiqua" w:hAnsi="Book Antiqua" w:cs="Arial"/>
          <w:lang w:val="en-CA"/>
        </w:rPr>
        <w:t>=</w:t>
      </w:r>
      <w:r w:rsidR="00916DFF" w:rsidRPr="003A1E48">
        <w:rPr>
          <w:rFonts w:ascii="Book Antiqua" w:hAnsi="Book Antiqua" w:cs="Arial"/>
          <w:lang w:val="en-CA"/>
        </w:rPr>
        <w:t xml:space="preserve"> </w:t>
      </w:r>
      <w:r w:rsidR="00E2536C" w:rsidRPr="003A1E48">
        <w:rPr>
          <w:rFonts w:ascii="Book Antiqua" w:hAnsi="Book Antiqua" w:cs="Arial"/>
          <w:lang w:val="en-CA"/>
        </w:rPr>
        <w:t xml:space="preserve">22). </w:t>
      </w:r>
      <w:r w:rsidRPr="003A1E48">
        <w:rPr>
          <w:rFonts w:ascii="Book Antiqua" w:hAnsi="Book Antiqua" w:cs="Arial"/>
          <w:lang w:val="en-CA"/>
        </w:rPr>
        <w:t xml:space="preserve">The overall </w:t>
      </w:r>
      <w:r w:rsidR="00215A75" w:rsidRPr="003A1E48">
        <w:rPr>
          <w:rFonts w:ascii="Book Antiqua" w:hAnsi="Book Antiqua" w:cs="Arial"/>
          <w:lang w:val="en-CA"/>
        </w:rPr>
        <w:t xml:space="preserve">incidence of </w:t>
      </w:r>
      <w:r w:rsidRPr="003A1E48">
        <w:rPr>
          <w:rFonts w:ascii="Book Antiqua" w:hAnsi="Book Antiqua" w:cs="Arial"/>
          <w:lang w:val="en-CA"/>
        </w:rPr>
        <w:t>unplanned ED visit</w:t>
      </w:r>
      <w:r w:rsidR="00215A75" w:rsidRPr="003A1E48">
        <w:rPr>
          <w:rFonts w:ascii="Book Antiqua" w:hAnsi="Book Antiqua" w:cs="Arial"/>
          <w:lang w:val="en-CA"/>
        </w:rPr>
        <w:t>s (not initiated by a physician or IBD nurse) was</w:t>
      </w:r>
      <w:r w:rsidRPr="003A1E48">
        <w:rPr>
          <w:rFonts w:ascii="Book Antiqua" w:hAnsi="Book Antiqua" w:cs="Arial"/>
          <w:lang w:val="en-CA"/>
        </w:rPr>
        <w:t xml:space="preserve"> 5.9%</w:t>
      </w:r>
      <w:r w:rsidR="00215A75" w:rsidRPr="003A1E48">
        <w:rPr>
          <w:rFonts w:ascii="Book Antiqua" w:hAnsi="Book Antiqua" w:cs="Arial"/>
          <w:lang w:val="en-CA"/>
        </w:rPr>
        <w:t xml:space="preserve"> (</w:t>
      </w:r>
      <w:r w:rsidR="00215A75" w:rsidRPr="003A1E48">
        <w:rPr>
          <w:rFonts w:ascii="Book Antiqua" w:hAnsi="Book Antiqua" w:cs="Arial"/>
          <w:i/>
          <w:iCs/>
          <w:lang w:val="en-CA"/>
        </w:rPr>
        <w:t>n</w:t>
      </w:r>
      <w:r w:rsidR="00916DFF" w:rsidRPr="003A1E48">
        <w:rPr>
          <w:rFonts w:ascii="Book Antiqua" w:hAnsi="Book Antiqua" w:cs="Arial"/>
          <w:lang w:val="en-CA"/>
        </w:rPr>
        <w:t xml:space="preserve"> </w:t>
      </w:r>
      <w:r w:rsidR="00215A75" w:rsidRPr="003A1E48">
        <w:rPr>
          <w:rFonts w:ascii="Book Antiqua" w:hAnsi="Book Antiqua" w:cs="Arial"/>
          <w:lang w:val="en-CA"/>
        </w:rPr>
        <w:t>=</w:t>
      </w:r>
      <w:r w:rsidR="00916DFF" w:rsidRPr="003A1E48">
        <w:rPr>
          <w:rFonts w:ascii="Book Antiqua" w:hAnsi="Book Antiqua" w:cs="Arial"/>
          <w:lang w:val="en-CA"/>
        </w:rPr>
        <w:t xml:space="preserve"> </w:t>
      </w:r>
      <w:r w:rsidR="00215A75" w:rsidRPr="003A1E48">
        <w:rPr>
          <w:rFonts w:ascii="Book Antiqua" w:hAnsi="Book Antiqua" w:cs="Arial"/>
          <w:lang w:val="en-CA"/>
        </w:rPr>
        <w:t>29)</w:t>
      </w:r>
      <w:r w:rsidR="00B51E56" w:rsidRPr="003A1E48">
        <w:rPr>
          <w:rFonts w:ascii="Book Antiqua" w:hAnsi="Book Antiqua" w:cs="Arial"/>
          <w:lang w:val="en-CA"/>
        </w:rPr>
        <w:t xml:space="preserve">. Twenty </w:t>
      </w:r>
      <w:r w:rsidRPr="003A1E48">
        <w:rPr>
          <w:rFonts w:ascii="Book Antiqua" w:hAnsi="Book Antiqua" w:cs="Arial"/>
          <w:lang w:val="en-CA"/>
        </w:rPr>
        <w:t>patients presented to the ED following a RAC visit</w:t>
      </w:r>
      <w:r w:rsidR="00215A75" w:rsidRPr="003A1E48">
        <w:rPr>
          <w:rFonts w:ascii="Book Antiqua" w:hAnsi="Book Antiqua" w:cs="Arial"/>
          <w:lang w:val="en-CA"/>
        </w:rPr>
        <w:t xml:space="preserve"> with an IBD specialist</w:t>
      </w:r>
      <w:r w:rsidRPr="003A1E48">
        <w:rPr>
          <w:rFonts w:ascii="Book Antiqua" w:hAnsi="Book Antiqua" w:cs="Arial"/>
          <w:lang w:val="en-CA"/>
        </w:rPr>
        <w:t xml:space="preserve"> and 9 patients </w:t>
      </w:r>
      <w:r w:rsidR="00215A75" w:rsidRPr="003A1E48">
        <w:rPr>
          <w:rFonts w:ascii="Book Antiqua" w:hAnsi="Book Antiqua" w:cs="Arial"/>
          <w:lang w:val="en-CA"/>
        </w:rPr>
        <w:t xml:space="preserve">were </w:t>
      </w:r>
      <w:r w:rsidRPr="003A1E48">
        <w:rPr>
          <w:rFonts w:ascii="Book Antiqua" w:hAnsi="Book Antiqua" w:cs="Arial"/>
          <w:lang w:val="en-CA"/>
        </w:rPr>
        <w:t xml:space="preserve">not deemed appropriate for RAC </w:t>
      </w:r>
      <w:r w:rsidR="00B51E56" w:rsidRPr="003A1E48">
        <w:rPr>
          <w:rFonts w:ascii="Book Antiqua" w:hAnsi="Book Antiqua" w:cs="Arial"/>
          <w:lang w:val="en-CA"/>
        </w:rPr>
        <w:t>visit with a physician based on complaints</w:t>
      </w:r>
      <w:r w:rsidRPr="003A1E48">
        <w:rPr>
          <w:rFonts w:ascii="Book Antiqua" w:hAnsi="Book Antiqua" w:cs="Arial"/>
          <w:lang w:val="en-CA"/>
        </w:rPr>
        <w:t xml:space="preserve">. </w:t>
      </w:r>
      <w:r w:rsidR="00E2536C" w:rsidRPr="003A1E48">
        <w:rPr>
          <w:rFonts w:ascii="Book Antiqua" w:hAnsi="Book Antiqua" w:cs="Arial"/>
          <w:lang w:val="en-CA"/>
        </w:rPr>
        <w:t xml:space="preserve">Among patients with unplanned ED visits 10 patients required hospital admission and no patient required surgery. </w:t>
      </w:r>
      <w:r w:rsidR="0011463A" w:rsidRPr="003A1E48">
        <w:rPr>
          <w:rFonts w:ascii="Book Antiqua" w:hAnsi="Book Antiqua" w:cs="Arial"/>
          <w:lang w:val="en-CA"/>
        </w:rPr>
        <w:t>Fourteen</w:t>
      </w:r>
      <w:r w:rsidRPr="003A1E48">
        <w:rPr>
          <w:rFonts w:ascii="Book Antiqua" w:hAnsi="Book Antiqua" w:cs="Arial"/>
          <w:lang w:val="en-CA"/>
        </w:rPr>
        <w:t xml:space="preserve"> patients had ED visits </w:t>
      </w:r>
      <w:r w:rsidR="0011463A" w:rsidRPr="003A1E48">
        <w:rPr>
          <w:rFonts w:ascii="Book Antiqua" w:hAnsi="Book Antiqua" w:cs="Arial"/>
          <w:lang w:val="en-CA"/>
        </w:rPr>
        <w:t>initiated</w:t>
      </w:r>
      <w:r w:rsidRPr="003A1E48">
        <w:rPr>
          <w:rFonts w:ascii="Book Antiqua" w:hAnsi="Book Antiqua" w:cs="Arial"/>
          <w:lang w:val="en-CA"/>
        </w:rPr>
        <w:t xml:space="preserve"> by an IBD specialist or IBD nurse following a RAC visit due to physician concerns during the triage process. </w:t>
      </w:r>
      <w:r w:rsidR="0011463A" w:rsidRPr="003A1E48">
        <w:rPr>
          <w:rFonts w:ascii="Book Antiqua" w:hAnsi="Book Antiqua" w:cs="Arial"/>
          <w:lang w:val="en-CA"/>
        </w:rPr>
        <w:t xml:space="preserve">Among those, </w:t>
      </w:r>
      <w:r w:rsidRPr="003A1E48">
        <w:rPr>
          <w:rFonts w:ascii="Book Antiqua" w:hAnsi="Book Antiqua" w:cs="Arial"/>
          <w:lang w:val="en-CA"/>
        </w:rPr>
        <w:t>9 patients</w:t>
      </w:r>
      <w:r w:rsidR="00B51E56" w:rsidRPr="003A1E48">
        <w:rPr>
          <w:rFonts w:ascii="Book Antiqua" w:hAnsi="Book Antiqua" w:cs="Arial"/>
          <w:lang w:val="en-CA"/>
        </w:rPr>
        <w:t xml:space="preserve"> required hospital admission</w:t>
      </w:r>
      <w:r w:rsidRPr="003A1E48">
        <w:rPr>
          <w:rFonts w:ascii="Book Antiqua" w:hAnsi="Book Antiqua" w:cs="Arial"/>
          <w:lang w:val="en-CA"/>
        </w:rPr>
        <w:t xml:space="preserve"> </w:t>
      </w:r>
      <w:r w:rsidR="00B51E56" w:rsidRPr="003A1E48">
        <w:rPr>
          <w:rFonts w:ascii="Book Antiqua" w:hAnsi="Book Antiqua" w:cs="Arial"/>
          <w:lang w:val="en-CA"/>
        </w:rPr>
        <w:t xml:space="preserve">and 5 patients </w:t>
      </w:r>
      <w:r w:rsidR="0011463A" w:rsidRPr="003A1E48">
        <w:rPr>
          <w:rFonts w:ascii="Book Antiqua" w:hAnsi="Book Antiqua" w:cs="Arial"/>
          <w:lang w:val="en-CA"/>
        </w:rPr>
        <w:t xml:space="preserve">underwent </w:t>
      </w:r>
      <w:r w:rsidRPr="003A1E48">
        <w:rPr>
          <w:rFonts w:ascii="Book Antiqua" w:hAnsi="Book Antiqua" w:cs="Arial"/>
          <w:lang w:val="en-CA"/>
        </w:rPr>
        <w:t>surgery.</w:t>
      </w:r>
      <w:r w:rsidR="00B51E56" w:rsidRPr="003A1E48">
        <w:rPr>
          <w:rFonts w:ascii="Book Antiqua" w:hAnsi="Book Antiqua" w:cs="Arial"/>
          <w:lang w:val="en-CA"/>
        </w:rPr>
        <w:t xml:space="preserve"> For deta</w:t>
      </w:r>
      <w:r w:rsidR="0066763F" w:rsidRPr="003A1E48">
        <w:rPr>
          <w:rFonts w:ascii="Book Antiqua" w:hAnsi="Book Antiqua" w:cs="Arial"/>
          <w:lang w:val="en-CA"/>
        </w:rPr>
        <w:t xml:space="preserve">iled patient routes see Figure </w:t>
      </w:r>
      <w:r w:rsidR="00461D36" w:rsidRPr="003A1E48">
        <w:rPr>
          <w:rFonts w:ascii="Book Antiqua" w:hAnsi="Book Antiqua" w:cs="Arial"/>
          <w:lang w:val="en-CA"/>
        </w:rPr>
        <w:t>1</w:t>
      </w:r>
      <w:r w:rsidR="00B51E56" w:rsidRPr="003A1E48">
        <w:rPr>
          <w:rFonts w:ascii="Book Antiqua" w:hAnsi="Book Antiqua" w:cs="Arial"/>
          <w:lang w:val="en-CA"/>
        </w:rPr>
        <w:t>.</w:t>
      </w:r>
    </w:p>
    <w:p w14:paraId="7856821B" w14:textId="77777777" w:rsidR="00792C4F" w:rsidRPr="003A1E48" w:rsidRDefault="00792C4F" w:rsidP="00DD7F70">
      <w:pPr>
        <w:spacing w:line="360" w:lineRule="auto"/>
        <w:jc w:val="both"/>
        <w:rPr>
          <w:rFonts w:ascii="Book Antiqua" w:hAnsi="Book Antiqua" w:cs="Arial"/>
          <w:i/>
          <w:iCs/>
          <w:lang w:val="en-CA"/>
        </w:rPr>
      </w:pPr>
    </w:p>
    <w:p w14:paraId="60DA20D0" w14:textId="517FC8D8" w:rsidR="00792C4F" w:rsidRPr="003A1E48" w:rsidRDefault="00792C4F" w:rsidP="00DD7F70">
      <w:pPr>
        <w:spacing w:line="360" w:lineRule="auto"/>
        <w:jc w:val="both"/>
        <w:rPr>
          <w:rFonts w:ascii="Book Antiqua" w:hAnsi="Book Antiqua" w:cs="Arial"/>
          <w:b/>
          <w:i/>
          <w:iCs/>
          <w:lang w:val="en-CA"/>
        </w:rPr>
      </w:pPr>
      <w:r w:rsidRPr="003A1E48">
        <w:rPr>
          <w:rFonts w:ascii="Book Antiqua" w:hAnsi="Book Antiqua" w:cs="Arial"/>
          <w:b/>
          <w:i/>
          <w:iCs/>
          <w:lang w:val="en-CA"/>
        </w:rPr>
        <w:t>Resource utilization</w:t>
      </w:r>
      <w:r w:rsidR="00F170ED" w:rsidRPr="003A1E48">
        <w:rPr>
          <w:rFonts w:ascii="Book Antiqua" w:hAnsi="Book Antiqua" w:cs="Arial"/>
          <w:b/>
          <w:i/>
          <w:iCs/>
          <w:lang w:val="en-CA"/>
        </w:rPr>
        <w:t xml:space="preserve"> and patient outcomes following ED visits</w:t>
      </w:r>
    </w:p>
    <w:p w14:paraId="1739BB94" w14:textId="77777777" w:rsidR="00916DFF" w:rsidRPr="003A1E48" w:rsidRDefault="007B0E0D" w:rsidP="00DD7F70">
      <w:pPr>
        <w:spacing w:line="360" w:lineRule="auto"/>
        <w:jc w:val="both"/>
        <w:rPr>
          <w:rFonts w:ascii="Book Antiqua" w:hAnsi="Book Antiqua" w:cs="Arial"/>
          <w:lang w:val="en-CA"/>
        </w:rPr>
      </w:pPr>
      <w:r w:rsidRPr="003A1E48">
        <w:rPr>
          <w:rFonts w:ascii="Book Antiqua" w:hAnsi="Book Antiqua" w:cs="Arial"/>
          <w:lang w:val="en-CA"/>
        </w:rPr>
        <w:t>Amongst the patients assessed in the ED, 98.5% had at least on</w:t>
      </w:r>
      <w:r w:rsidR="00D62CA7" w:rsidRPr="003A1E48">
        <w:rPr>
          <w:rFonts w:ascii="Book Antiqua" w:hAnsi="Book Antiqua" w:cs="Arial"/>
          <w:lang w:val="en-CA"/>
        </w:rPr>
        <w:t>e</w:t>
      </w:r>
      <w:r w:rsidRPr="003A1E48">
        <w:rPr>
          <w:rFonts w:ascii="Book Antiqua" w:hAnsi="Book Antiqua" w:cs="Arial"/>
          <w:lang w:val="en-CA"/>
        </w:rPr>
        <w:t xml:space="preserve"> CRP value drawn and </w:t>
      </w:r>
      <w:r w:rsidR="00D32A7D" w:rsidRPr="003A1E48">
        <w:rPr>
          <w:rFonts w:ascii="Book Antiqua" w:hAnsi="Book Antiqua" w:cs="Arial"/>
          <w:lang w:val="en-CA"/>
        </w:rPr>
        <w:t>FCAL</w:t>
      </w:r>
      <w:r w:rsidRPr="003A1E48">
        <w:rPr>
          <w:rFonts w:ascii="Book Antiqua" w:hAnsi="Book Antiqua" w:cs="Arial"/>
          <w:lang w:val="en-CA"/>
        </w:rPr>
        <w:t xml:space="preserve"> was measured in 10.4% of cases</w:t>
      </w:r>
      <w:r w:rsidR="002F2613" w:rsidRPr="003A1E48">
        <w:rPr>
          <w:rFonts w:ascii="Book Antiqua" w:hAnsi="Book Antiqua" w:cs="Arial"/>
          <w:lang w:val="en-CA"/>
        </w:rPr>
        <w:t>, significantly less frequent 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w:t>
      </w:r>
      <w:r w:rsidR="002F2613" w:rsidRPr="003A1E48">
        <w:rPr>
          <w:rFonts w:ascii="Book Antiqua" w:hAnsi="Book Antiqua" w:cs="Arial"/>
          <w:lang w:val="en-CA"/>
        </w:rPr>
        <w:t>&lt;</w:t>
      </w:r>
      <w:r w:rsidR="00916DFF" w:rsidRPr="003A1E48">
        <w:rPr>
          <w:rFonts w:ascii="Book Antiqua" w:hAnsi="Book Antiqua" w:cs="Arial"/>
          <w:lang w:val="en-CA"/>
        </w:rPr>
        <w:t xml:space="preserve"> </w:t>
      </w:r>
      <w:r w:rsidR="002F2613" w:rsidRPr="003A1E48">
        <w:rPr>
          <w:rFonts w:ascii="Book Antiqua" w:hAnsi="Book Antiqua" w:cs="Arial"/>
          <w:lang w:val="en-CA"/>
        </w:rPr>
        <w:t>0.001)</w:t>
      </w:r>
      <w:r w:rsidRPr="003A1E48">
        <w:rPr>
          <w:rFonts w:ascii="Book Antiqua" w:hAnsi="Book Antiqua" w:cs="Arial"/>
          <w:lang w:val="en-CA"/>
        </w:rPr>
        <w:t xml:space="preserve">. 51.1% and 48.9% of patients had a </w:t>
      </w:r>
      <w:r w:rsidRPr="003A1E48">
        <w:rPr>
          <w:rFonts w:ascii="Book Antiqua" w:hAnsi="Book Antiqua" w:cs="Arial"/>
          <w:i/>
          <w:iCs/>
          <w:lang w:val="en-CA"/>
        </w:rPr>
        <w:t>C. difficile</w:t>
      </w:r>
      <w:r w:rsidRPr="003A1E48">
        <w:rPr>
          <w:rFonts w:ascii="Book Antiqua" w:hAnsi="Book Antiqua" w:cs="Arial"/>
          <w:lang w:val="en-CA"/>
        </w:rPr>
        <w:t xml:space="preserve"> stool PCR test and stool cultures</w:t>
      </w:r>
      <w:r w:rsidR="00785C0C" w:rsidRPr="003A1E48">
        <w:rPr>
          <w:rFonts w:ascii="Book Antiqua" w:hAnsi="Book Antiqua" w:cs="Arial"/>
          <w:lang w:val="en-CA"/>
        </w:rPr>
        <w:t xml:space="preserve">, the earlier </w:t>
      </w:r>
      <w:r w:rsidR="00D32A7D" w:rsidRPr="003A1E48">
        <w:rPr>
          <w:rFonts w:ascii="Book Antiqua" w:hAnsi="Book Antiqua" w:cs="Arial"/>
          <w:lang w:val="en-CA"/>
        </w:rPr>
        <w:t xml:space="preserve">being </w:t>
      </w:r>
      <w:r w:rsidR="00785C0C" w:rsidRPr="003A1E48">
        <w:rPr>
          <w:rFonts w:ascii="Book Antiqua" w:hAnsi="Book Antiqua" w:cs="Arial"/>
          <w:lang w:val="en-CA"/>
        </w:rPr>
        <w:t>significantly more</w:t>
      </w:r>
      <w:r w:rsidR="00D32A7D" w:rsidRPr="003A1E48">
        <w:rPr>
          <w:rFonts w:ascii="Book Antiqua" w:hAnsi="Book Antiqua" w:cs="Arial"/>
          <w:lang w:val="en-CA"/>
        </w:rPr>
        <w:t xml:space="preserve"> frequent</w:t>
      </w:r>
      <w:r w:rsidR="00785C0C" w:rsidRPr="003A1E48">
        <w:rPr>
          <w:rFonts w:ascii="Book Antiqua" w:hAnsi="Book Antiqua" w:cs="Arial"/>
          <w:lang w:val="en-CA"/>
        </w:rPr>
        <w:t xml:space="preserve"> 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 </w:t>
      </w:r>
      <w:r w:rsidR="00785C0C" w:rsidRPr="003A1E48">
        <w:rPr>
          <w:rFonts w:ascii="Book Antiqua" w:hAnsi="Book Antiqua" w:cs="Arial"/>
          <w:lang w:val="en-CA"/>
        </w:rPr>
        <w:t>0.03)</w:t>
      </w:r>
      <w:r w:rsidRPr="003A1E48">
        <w:rPr>
          <w:rFonts w:ascii="Book Antiqua" w:hAnsi="Book Antiqua" w:cs="Arial"/>
          <w:lang w:val="en-CA"/>
        </w:rPr>
        <w:t>. A noteworthy 65.7% of patients underwent abdominal CT imaging</w:t>
      </w:r>
      <w:r w:rsidR="002F2613" w:rsidRPr="003A1E48">
        <w:rPr>
          <w:rFonts w:ascii="Book Antiqua" w:hAnsi="Book Antiqua" w:cs="Arial"/>
          <w:lang w:val="en-CA"/>
        </w:rPr>
        <w:t>, significantly more compared to that during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&lt; </w:t>
      </w:r>
      <w:r w:rsidR="002F2613" w:rsidRPr="003A1E48">
        <w:rPr>
          <w:rFonts w:ascii="Book Antiqua" w:hAnsi="Book Antiqua" w:cs="Arial"/>
          <w:lang w:val="en-CA"/>
        </w:rPr>
        <w:t>0.001)</w:t>
      </w:r>
      <w:r w:rsidRPr="003A1E48">
        <w:rPr>
          <w:rFonts w:ascii="Book Antiqua" w:hAnsi="Book Antiqua" w:cs="Arial"/>
          <w:lang w:val="en-CA"/>
        </w:rPr>
        <w:t>. The frequency of colonoscopy and sigmoidoscopy</w:t>
      </w:r>
      <w:r w:rsidR="00783832" w:rsidRPr="003A1E48">
        <w:rPr>
          <w:rFonts w:ascii="Book Antiqua" w:hAnsi="Book Antiqua" w:cs="Arial"/>
          <w:lang w:val="en-CA"/>
        </w:rPr>
        <w:t xml:space="preserve"> requested</w:t>
      </w:r>
      <w:r w:rsidRPr="003A1E48">
        <w:rPr>
          <w:rFonts w:ascii="Book Antiqua" w:hAnsi="Book Antiqua" w:cs="Arial"/>
          <w:lang w:val="en-CA"/>
        </w:rPr>
        <w:t xml:space="preserve"> were 26.7% and 14.8%</w:t>
      </w:r>
      <w:r w:rsidR="00783832" w:rsidRPr="003A1E48">
        <w:rPr>
          <w:rFonts w:ascii="Book Antiqua" w:hAnsi="Book Antiqua" w:cs="Arial"/>
          <w:lang w:val="en-CA"/>
        </w:rPr>
        <w:t>,</w:t>
      </w:r>
      <w:r w:rsidRPr="003A1E48">
        <w:rPr>
          <w:rFonts w:ascii="Book Antiqua" w:hAnsi="Book Antiqua" w:cs="Arial"/>
          <w:lang w:val="en-CA"/>
        </w:rPr>
        <w:t xml:space="preserve"> </w:t>
      </w:r>
      <w:r w:rsidR="002F2613" w:rsidRPr="003A1E48">
        <w:rPr>
          <w:rFonts w:ascii="Book Antiqua" w:hAnsi="Book Antiqua" w:cs="Arial"/>
          <w:lang w:val="en-CA"/>
        </w:rPr>
        <w:t>again significantly more 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 </w:t>
      </w:r>
      <w:r w:rsidR="00785C0C" w:rsidRPr="003A1E48">
        <w:rPr>
          <w:rFonts w:ascii="Book Antiqua" w:hAnsi="Book Antiqua" w:cs="Arial"/>
          <w:lang w:val="en-CA"/>
        </w:rPr>
        <w:t xml:space="preserve">0.005 and </w:t>
      </w:r>
      <w:r w:rsidR="00916DFF" w:rsidRPr="003A1E48">
        <w:rPr>
          <w:rFonts w:ascii="Book Antiqua" w:hAnsi="Book Antiqua" w:cs="Arial"/>
          <w:i/>
          <w:iCs/>
          <w:lang w:val="en-CA"/>
        </w:rPr>
        <w:t>P</w:t>
      </w:r>
      <w:r w:rsidR="00916DFF" w:rsidRPr="003A1E48">
        <w:rPr>
          <w:rFonts w:ascii="Book Antiqua" w:hAnsi="Book Antiqua" w:cs="Arial"/>
          <w:lang w:val="en-CA"/>
        </w:rPr>
        <w:t xml:space="preserve"> &lt; </w:t>
      </w:r>
      <w:r w:rsidR="00785C0C" w:rsidRPr="003A1E48">
        <w:rPr>
          <w:rFonts w:ascii="Book Antiqua" w:hAnsi="Book Antiqua" w:cs="Arial"/>
          <w:lang w:val="en-CA"/>
        </w:rPr>
        <w:t>0.001</w:t>
      </w:r>
      <w:r w:rsidR="002F2613" w:rsidRPr="003A1E48">
        <w:rPr>
          <w:rFonts w:ascii="Book Antiqua" w:hAnsi="Book Antiqua" w:cs="Arial"/>
          <w:lang w:val="en-CA"/>
        </w:rPr>
        <w:t>)</w:t>
      </w:r>
      <w:r w:rsidRPr="003A1E48">
        <w:rPr>
          <w:rFonts w:ascii="Book Antiqua" w:hAnsi="Book Antiqua" w:cs="Arial"/>
          <w:lang w:val="en-CA"/>
        </w:rPr>
        <w:t xml:space="preserve">. All the patients </w:t>
      </w:r>
      <w:r w:rsidR="00783832" w:rsidRPr="003A1E48">
        <w:rPr>
          <w:rFonts w:ascii="Book Antiqua" w:hAnsi="Book Antiqua" w:cs="Arial"/>
          <w:lang w:val="en-CA"/>
        </w:rPr>
        <w:t xml:space="preserve">were </w:t>
      </w:r>
      <w:r w:rsidRPr="003A1E48">
        <w:rPr>
          <w:rFonts w:ascii="Book Antiqua" w:hAnsi="Book Antiqua" w:cs="Arial"/>
          <w:lang w:val="en-CA"/>
        </w:rPr>
        <w:t xml:space="preserve">assessed </w:t>
      </w:r>
      <w:r w:rsidR="00792C4F" w:rsidRPr="003A1E48">
        <w:rPr>
          <w:rFonts w:ascii="Book Antiqua" w:hAnsi="Book Antiqua" w:cs="Arial"/>
          <w:lang w:val="en-CA"/>
        </w:rPr>
        <w:t xml:space="preserve">by a consultant </w:t>
      </w:r>
      <w:r w:rsidR="00792C4F" w:rsidRPr="003A1E48">
        <w:rPr>
          <w:rFonts w:ascii="Book Antiqua" w:hAnsi="Book Antiqua" w:cs="Arial"/>
          <w:lang w:val="en-CA"/>
        </w:rPr>
        <w:lastRenderedPageBreak/>
        <w:t>gastroenterology service</w:t>
      </w:r>
      <w:r w:rsidRPr="003A1E48">
        <w:rPr>
          <w:rFonts w:ascii="Book Antiqua" w:hAnsi="Book Antiqua" w:cs="Arial"/>
          <w:lang w:val="en-CA"/>
        </w:rPr>
        <w:t xml:space="preserve">. 50.4% were equally seen by </w:t>
      </w:r>
      <w:r w:rsidR="00783832" w:rsidRPr="003A1E48">
        <w:rPr>
          <w:rFonts w:ascii="Book Antiqua" w:hAnsi="Book Antiqua" w:cs="Arial"/>
          <w:lang w:val="en-CA"/>
        </w:rPr>
        <w:t>i</w:t>
      </w:r>
      <w:r w:rsidRPr="003A1E48">
        <w:rPr>
          <w:rFonts w:ascii="Book Antiqua" w:hAnsi="Book Antiqua" w:cs="Arial"/>
          <w:lang w:val="en-CA"/>
        </w:rPr>
        <w:t xml:space="preserve">nternal medicine, 37.8% by colorectal surgery and 9.6% by other consultant services </w:t>
      </w:r>
      <w:r w:rsidR="0066763F" w:rsidRPr="003A1E48">
        <w:rPr>
          <w:rFonts w:ascii="Book Antiqua" w:hAnsi="Book Antiqua" w:cs="Arial"/>
          <w:lang w:val="en-CA"/>
        </w:rPr>
        <w:t>(</w:t>
      </w:r>
      <w:r w:rsidR="002A51C2" w:rsidRPr="003A1E48">
        <w:rPr>
          <w:rFonts w:ascii="Book Antiqua" w:hAnsi="Book Antiqua" w:cs="Arial"/>
          <w:lang w:val="en-CA"/>
        </w:rPr>
        <w:t>Table 2</w:t>
      </w:r>
      <w:r w:rsidR="00792C4F" w:rsidRPr="003A1E48">
        <w:rPr>
          <w:rFonts w:ascii="Book Antiqua" w:hAnsi="Book Antiqua" w:cs="Arial"/>
          <w:lang w:val="en-CA"/>
        </w:rPr>
        <w:t>)</w:t>
      </w:r>
      <w:r w:rsidR="00D32A7D" w:rsidRPr="003A1E48">
        <w:rPr>
          <w:rFonts w:ascii="Book Antiqua" w:hAnsi="Book Antiqua" w:cs="Arial"/>
          <w:lang w:val="en-CA"/>
        </w:rPr>
        <w:t>.</w:t>
      </w:r>
      <w:r w:rsidR="00A927A4" w:rsidRPr="003A1E48">
        <w:rPr>
          <w:rFonts w:ascii="Book Antiqua" w:hAnsi="Book Antiqua" w:cs="Arial"/>
          <w:iCs/>
          <w:lang w:val="en-CA"/>
        </w:rPr>
        <w:t xml:space="preserve"> </w:t>
      </w:r>
    </w:p>
    <w:p w14:paraId="403E82C8" w14:textId="77777777" w:rsidR="00916DFF" w:rsidRPr="003A1E48" w:rsidRDefault="00D51672"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The overall treatment change rate was similar to that of the RAC cohort, however there was a 42.2% rate of steroid use</w:t>
      </w:r>
      <w:r w:rsidR="002F2613" w:rsidRPr="003A1E48">
        <w:rPr>
          <w:rFonts w:ascii="Book Antiqua" w:hAnsi="Book Antiqua" w:cs="Arial"/>
          <w:lang w:val="en-CA"/>
        </w:rPr>
        <w:t>, significantly more compared to the RAC visits (</w:t>
      </w:r>
      <w:r w:rsidR="00916DFF" w:rsidRPr="003A1E48">
        <w:rPr>
          <w:rFonts w:ascii="Book Antiqua" w:hAnsi="Book Antiqua" w:cs="Arial"/>
          <w:i/>
          <w:iCs/>
          <w:lang w:val="en-CA"/>
        </w:rPr>
        <w:t>P</w:t>
      </w:r>
      <w:r w:rsidR="00916DFF" w:rsidRPr="003A1E48">
        <w:rPr>
          <w:rFonts w:ascii="Book Antiqua" w:hAnsi="Book Antiqua" w:cs="Arial"/>
          <w:lang w:val="en-CA"/>
        </w:rPr>
        <w:t xml:space="preserve"> &lt; </w:t>
      </w:r>
      <w:r w:rsidR="00022B02" w:rsidRPr="003A1E48">
        <w:rPr>
          <w:rFonts w:ascii="Book Antiqua" w:hAnsi="Book Antiqua" w:cs="Arial"/>
          <w:lang w:val="en-CA"/>
        </w:rPr>
        <w:t>0.001)</w:t>
      </w:r>
      <w:r w:rsidRPr="003A1E48">
        <w:rPr>
          <w:rFonts w:ascii="Book Antiqua" w:hAnsi="Book Antiqua" w:cs="Arial"/>
          <w:lang w:val="en-CA"/>
        </w:rPr>
        <w:t xml:space="preserve"> </w:t>
      </w:r>
      <w:r w:rsidR="002A51C2" w:rsidRPr="003A1E48">
        <w:rPr>
          <w:rFonts w:ascii="Book Antiqua" w:hAnsi="Book Antiqua" w:cs="Arial"/>
          <w:lang w:val="en-CA"/>
        </w:rPr>
        <w:t>(Table 3</w:t>
      </w:r>
      <w:r w:rsidR="00D01ECB" w:rsidRPr="003A1E48">
        <w:rPr>
          <w:rFonts w:ascii="Book Antiqua" w:hAnsi="Book Antiqua" w:cs="Arial"/>
          <w:lang w:val="en-CA"/>
        </w:rPr>
        <w:t>)</w:t>
      </w:r>
      <w:r w:rsidR="00783832" w:rsidRPr="003A1E48">
        <w:rPr>
          <w:rFonts w:ascii="Book Antiqua" w:hAnsi="Book Antiqua" w:cs="Arial"/>
          <w:lang w:val="en-CA"/>
        </w:rPr>
        <w:t>.</w:t>
      </w:r>
    </w:p>
    <w:p w14:paraId="4EF154C2" w14:textId="1EC74D6F" w:rsidR="00357987" w:rsidRPr="003A1E48" w:rsidRDefault="00357987" w:rsidP="00DD7F70">
      <w:pPr>
        <w:spacing w:line="360" w:lineRule="auto"/>
        <w:ind w:firstLineChars="100" w:firstLine="240"/>
        <w:jc w:val="both"/>
        <w:rPr>
          <w:rFonts w:ascii="Book Antiqua" w:hAnsi="Book Antiqua" w:cs="Arial"/>
          <w:lang w:val="en-CA"/>
        </w:rPr>
      </w:pPr>
      <w:r w:rsidRPr="003A1E48">
        <w:rPr>
          <w:rFonts w:ascii="Book Antiqua" w:hAnsi="Book Antiqua" w:cs="Arial"/>
          <w:lang w:val="en-CA"/>
        </w:rPr>
        <w:t>Hospital admissions were initiated during an ED visit in 64.4% of the patients, with 5.9%</w:t>
      </w:r>
      <w:r w:rsidR="00F170ED" w:rsidRPr="003A1E48">
        <w:rPr>
          <w:rFonts w:ascii="Book Antiqua" w:hAnsi="Book Antiqua" w:cs="Arial"/>
          <w:lang w:val="en-CA"/>
        </w:rPr>
        <w:t xml:space="preserve"> (</w:t>
      </w:r>
      <w:r w:rsidR="00F170ED" w:rsidRPr="003A1E48">
        <w:rPr>
          <w:rFonts w:ascii="Book Antiqua" w:hAnsi="Book Antiqua" w:cs="Arial"/>
          <w:i/>
          <w:iCs/>
          <w:lang w:val="en-CA"/>
        </w:rPr>
        <w:t>n</w:t>
      </w:r>
      <w:r w:rsidR="00916DFF" w:rsidRPr="003A1E48">
        <w:rPr>
          <w:rFonts w:ascii="Book Antiqua" w:hAnsi="Book Antiqua" w:cs="Arial"/>
          <w:lang w:val="en-CA"/>
        </w:rPr>
        <w:t xml:space="preserve"> </w:t>
      </w:r>
      <w:r w:rsidR="00F170ED" w:rsidRPr="003A1E48">
        <w:rPr>
          <w:rFonts w:ascii="Book Antiqua" w:hAnsi="Book Antiqua" w:cs="Arial"/>
          <w:lang w:val="en-CA"/>
        </w:rPr>
        <w:t>=</w:t>
      </w:r>
      <w:r w:rsidR="00916DFF" w:rsidRPr="003A1E48">
        <w:rPr>
          <w:rFonts w:ascii="Book Antiqua" w:hAnsi="Book Antiqua" w:cs="Arial"/>
          <w:lang w:val="en-CA"/>
        </w:rPr>
        <w:t xml:space="preserve"> </w:t>
      </w:r>
      <w:r w:rsidR="00F170ED" w:rsidRPr="003A1E48">
        <w:rPr>
          <w:rFonts w:ascii="Book Antiqua" w:hAnsi="Book Antiqua" w:cs="Arial"/>
          <w:lang w:val="en-CA"/>
        </w:rPr>
        <w:t>8)</w:t>
      </w:r>
      <w:r w:rsidRPr="003A1E48">
        <w:rPr>
          <w:rFonts w:ascii="Book Antiqua" w:hAnsi="Book Antiqua" w:cs="Arial"/>
          <w:lang w:val="en-CA"/>
        </w:rPr>
        <w:t xml:space="preserve"> of patients requiring surgery.</w:t>
      </w:r>
      <w:r w:rsidR="00F170ED" w:rsidRPr="003A1E48">
        <w:rPr>
          <w:rFonts w:ascii="Book Antiqua" w:hAnsi="Book Antiqua" w:cs="Arial"/>
          <w:lang w:val="en-CA"/>
        </w:rPr>
        <w:t xml:space="preserve"> </w:t>
      </w:r>
      <w:r w:rsidR="00EF43C6" w:rsidRPr="003A1E48">
        <w:rPr>
          <w:rFonts w:ascii="Book Antiqua" w:hAnsi="Book Antiqua" w:cs="Arial"/>
          <w:lang w:val="en-CA"/>
        </w:rPr>
        <w:t xml:space="preserve">The mean and median length of hospital stay was 8.4 (SD 9.9) and 5 (IQR: 3-10) d with only 16.9% and 13.5% of patient having a 1-2 or 3 d hospital admission. </w:t>
      </w:r>
      <w:r w:rsidR="00F170ED" w:rsidRPr="003A1E48">
        <w:rPr>
          <w:rFonts w:ascii="Book Antiqua" w:hAnsi="Book Antiqua" w:cs="Arial"/>
          <w:lang w:val="en-CA"/>
        </w:rPr>
        <w:t>Additional hospitalisations within 30 d following the ED visit occurred in 8.1%</w:t>
      </w:r>
      <w:r w:rsidR="00C711B1" w:rsidRPr="003A1E48">
        <w:rPr>
          <w:rFonts w:ascii="Book Antiqua" w:hAnsi="Book Antiqua" w:cs="Arial"/>
          <w:lang w:val="en-CA"/>
        </w:rPr>
        <w:t xml:space="preserve"> (</w:t>
      </w:r>
      <w:r w:rsidR="00C711B1" w:rsidRPr="003A1E48">
        <w:rPr>
          <w:rFonts w:ascii="Book Antiqua" w:hAnsi="Book Antiqua" w:cs="Arial"/>
          <w:i/>
          <w:iCs/>
          <w:lang w:val="en-CA"/>
        </w:rPr>
        <w:t>n</w:t>
      </w:r>
      <w:r w:rsidR="00916DFF" w:rsidRPr="003A1E48">
        <w:rPr>
          <w:rFonts w:ascii="Book Antiqua" w:hAnsi="Book Antiqua" w:cs="Arial"/>
          <w:lang w:val="en-CA"/>
        </w:rPr>
        <w:t xml:space="preserve"> </w:t>
      </w:r>
      <w:r w:rsidR="00C711B1" w:rsidRPr="003A1E48">
        <w:rPr>
          <w:rFonts w:ascii="Book Antiqua" w:hAnsi="Book Antiqua" w:cs="Arial"/>
          <w:lang w:val="en-CA"/>
        </w:rPr>
        <w:t>=</w:t>
      </w:r>
      <w:r w:rsidR="00916DFF" w:rsidRPr="003A1E48">
        <w:rPr>
          <w:rFonts w:ascii="Book Antiqua" w:hAnsi="Book Antiqua" w:cs="Arial"/>
          <w:lang w:val="en-CA"/>
        </w:rPr>
        <w:t xml:space="preserve"> </w:t>
      </w:r>
      <w:r w:rsidR="00C711B1" w:rsidRPr="003A1E48">
        <w:rPr>
          <w:rFonts w:ascii="Book Antiqua" w:hAnsi="Book Antiqua" w:cs="Arial"/>
          <w:lang w:val="en-CA"/>
        </w:rPr>
        <w:t>11)</w:t>
      </w:r>
      <w:r w:rsidR="00F170ED" w:rsidRPr="003A1E48">
        <w:rPr>
          <w:rFonts w:ascii="Book Antiqua" w:hAnsi="Book Antiqua" w:cs="Arial"/>
          <w:lang w:val="en-CA"/>
        </w:rPr>
        <w:t xml:space="preserve"> of the patients.</w:t>
      </w:r>
    </w:p>
    <w:p w14:paraId="3A23AE70" w14:textId="01FAA64A" w:rsidR="001C6C97" w:rsidRPr="003A1E48" w:rsidRDefault="001C6C97" w:rsidP="00DD7F70">
      <w:pPr>
        <w:spacing w:line="360" w:lineRule="auto"/>
        <w:jc w:val="both"/>
        <w:rPr>
          <w:rFonts w:ascii="Book Antiqua" w:hAnsi="Book Antiqua" w:cs="Arial"/>
          <w:lang w:val="en-CA"/>
        </w:rPr>
      </w:pPr>
    </w:p>
    <w:p w14:paraId="29106475" w14:textId="77A8F7BE" w:rsidR="004F6820" w:rsidRPr="003A1E48" w:rsidRDefault="007B0E0D" w:rsidP="00DD7F70">
      <w:pPr>
        <w:spacing w:line="360" w:lineRule="auto"/>
        <w:jc w:val="both"/>
        <w:rPr>
          <w:rFonts w:ascii="Book Antiqua" w:hAnsi="Book Antiqua" w:cs="Arial"/>
          <w:b/>
          <w:i/>
          <w:iCs/>
          <w:lang w:val="en-CA"/>
        </w:rPr>
      </w:pPr>
      <w:r w:rsidRPr="003A1E48">
        <w:rPr>
          <w:rFonts w:ascii="Book Antiqua" w:hAnsi="Book Antiqua" w:cs="Arial"/>
          <w:b/>
          <w:i/>
          <w:iCs/>
          <w:lang w:val="en-CA"/>
        </w:rPr>
        <w:t>Cost</w:t>
      </w:r>
      <w:r w:rsidR="00D01ECB" w:rsidRPr="003A1E48">
        <w:rPr>
          <w:rFonts w:ascii="Book Antiqua" w:hAnsi="Book Antiqua" w:cs="Arial"/>
          <w:b/>
          <w:i/>
          <w:iCs/>
          <w:lang w:val="en-CA"/>
        </w:rPr>
        <w:t xml:space="preserve"> comparison of patient </w:t>
      </w:r>
      <w:r w:rsidR="0008539E" w:rsidRPr="003A1E48">
        <w:rPr>
          <w:rFonts w:ascii="Book Antiqua" w:hAnsi="Book Antiqua" w:cs="Arial"/>
          <w:b/>
          <w:i/>
          <w:iCs/>
          <w:lang w:val="en-CA"/>
        </w:rPr>
        <w:t>management</w:t>
      </w:r>
      <w:r w:rsidR="004F6820" w:rsidRPr="003A1E48">
        <w:rPr>
          <w:rFonts w:ascii="Book Antiqua" w:hAnsi="Book Antiqua" w:cs="Arial"/>
          <w:b/>
          <w:i/>
          <w:iCs/>
          <w:lang w:val="en-CA"/>
        </w:rPr>
        <w:t xml:space="preserve"> by the RAC and ED</w:t>
      </w:r>
    </w:p>
    <w:p w14:paraId="26DDE568" w14:textId="624541C3" w:rsidR="001C6C97" w:rsidRPr="003A1E48" w:rsidRDefault="004F6820" w:rsidP="00DD7F70">
      <w:pPr>
        <w:spacing w:line="360" w:lineRule="auto"/>
        <w:jc w:val="both"/>
        <w:rPr>
          <w:rFonts w:ascii="Book Antiqua" w:hAnsi="Book Antiqua" w:cs="Arial"/>
          <w:lang w:val="en-CA"/>
        </w:rPr>
      </w:pPr>
      <w:r w:rsidRPr="003A1E48">
        <w:rPr>
          <w:rFonts w:ascii="Book Antiqua" w:hAnsi="Book Antiqua" w:cs="Arial"/>
          <w:iCs/>
          <w:lang w:val="en-CA"/>
        </w:rPr>
        <w:t xml:space="preserve">We further analyzed </w:t>
      </w:r>
      <w:r w:rsidR="006B7883" w:rsidRPr="003A1E48">
        <w:rPr>
          <w:rFonts w:ascii="Book Antiqua" w:hAnsi="Book Antiqua" w:cs="Arial"/>
          <w:iCs/>
          <w:lang w:val="en-CA"/>
        </w:rPr>
        <w:t>medical expenses</w:t>
      </w:r>
      <w:r w:rsidRPr="003A1E48">
        <w:rPr>
          <w:rFonts w:ascii="Book Antiqua" w:hAnsi="Book Antiqua" w:cs="Arial"/>
          <w:iCs/>
          <w:lang w:val="en-CA"/>
        </w:rPr>
        <w:t xml:space="preserve"> comparing the average </w:t>
      </w:r>
      <w:r w:rsidR="0008539E" w:rsidRPr="003A1E48">
        <w:rPr>
          <w:rFonts w:ascii="Book Antiqua" w:hAnsi="Book Antiqua" w:cs="Arial"/>
          <w:iCs/>
          <w:lang w:val="en-CA"/>
        </w:rPr>
        <w:t xml:space="preserve">per-patient costs of </w:t>
      </w:r>
      <w:r w:rsidRPr="003A1E48">
        <w:rPr>
          <w:rFonts w:ascii="Book Antiqua" w:hAnsi="Book Antiqua" w:cs="Arial"/>
          <w:iCs/>
          <w:lang w:val="en-CA"/>
        </w:rPr>
        <w:t xml:space="preserve">resources used </w:t>
      </w:r>
      <w:r w:rsidR="0008539E" w:rsidRPr="003A1E48">
        <w:rPr>
          <w:rFonts w:ascii="Book Antiqua" w:hAnsi="Book Antiqua" w:cs="Arial"/>
          <w:iCs/>
          <w:lang w:val="en-CA"/>
        </w:rPr>
        <w:t xml:space="preserve">for patient assessment by the RAC </w:t>
      </w:r>
      <w:r w:rsidR="0008539E" w:rsidRPr="003A1E48">
        <w:rPr>
          <w:rFonts w:ascii="Book Antiqua" w:hAnsi="Book Antiqua" w:cs="Arial"/>
          <w:i/>
          <w:lang w:val="en-CA"/>
        </w:rPr>
        <w:t>vs</w:t>
      </w:r>
      <w:r w:rsidR="0008539E" w:rsidRPr="003A1E48">
        <w:rPr>
          <w:rFonts w:ascii="Book Antiqua" w:hAnsi="Book Antiqua" w:cs="Arial"/>
          <w:iCs/>
          <w:lang w:val="en-CA"/>
        </w:rPr>
        <w:t xml:space="preserve"> the ED</w:t>
      </w:r>
      <w:r w:rsidRPr="003A1E48">
        <w:rPr>
          <w:rFonts w:ascii="Book Antiqua" w:hAnsi="Book Antiqua" w:cs="Arial"/>
          <w:iCs/>
          <w:lang w:val="en-CA"/>
        </w:rPr>
        <w:t xml:space="preserve">. Amongst the 419 patients seen in the RAC, estimated costs per person based </w:t>
      </w:r>
      <w:r w:rsidR="0008539E" w:rsidRPr="003A1E48">
        <w:rPr>
          <w:rFonts w:ascii="Book Antiqua" w:hAnsi="Book Antiqua" w:cs="Arial"/>
          <w:iCs/>
          <w:lang w:val="en-CA"/>
        </w:rPr>
        <w:t xml:space="preserve">on the diagnostic procedures and services </w:t>
      </w:r>
      <w:r w:rsidRPr="003A1E48">
        <w:rPr>
          <w:rFonts w:ascii="Book Antiqua" w:hAnsi="Book Antiqua" w:cs="Arial"/>
          <w:iCs/>
          <w:lang w:val="en-CA"/>
        </w:rPr>
        <w:t>utilized was $403.30 CAD. This is to be compared to ED visits, with an average cost of $1885.50 CAD per patient</w:t>
      </w:r>
      <w:r w:rsidR="0008539E" w:rsidRPr="003A1E48">
        <w:rPr>
          <w:rFonts w:ascii="Book Antiqua" w:hAnsi="Book Antiqua" w:cs="Arial"/>
          <w:iCs/>
          <w:lang w:val="en-CA"/>
        </w:rPr>
        <w:t>,</w:t>
      </w:r>
      <w:r w:rsidRPr="003A1E48">
        <w:rPr>
          <w:rFonts w:ascii="Book Antiqua" w:hAnsi="Book Antiqua" w:cs="Arial"/>
          <w:iCs/>
          <w:lang w:val="en-CA"/>
        </w:rPr>
        <w:t xml:space="preserve"> with the cost of emergency visit, interdisciplinary consult and imaging being the </w:t>
      </w:r>
      <w:r w:rsidR="0019373F" w:rsidRPr="003A1E48">
        <w:rPr>
          <w:rFonts w:ascii="Book Antiqua" w:hAnsi="Book Antiqua" w:cs="Arial"/>
          <w:iCs/>
          <w:lang w:val="en-CA"/>
        </w:rPr>
        <w:t>most contributive to this total</w:t>
      </w:r>
      <w:r w:rsidR="0066763F" w:rsidRPr="003A1E48">
        <w:rPr>
          <w:rFonts w:ascii="Book Antiqua" w:hAnsi="Book Antiqua" w:cs="Arial"/>
          <w:iCs/>
          <w:lang w:val="en-CA"/>
        </w:rPr>
        <w:t xml:space="preserve"> (Figure </w:t>
      </w:r>
      <w:r w:rsidR="00461D36" w:rsidRPr="003A1E48">
        <w:rPr>
          <w:rFonts w:ascii="Book Antiqua" w:hAnsi="Book Antiqua" w:cs="Arial"/>
          <w:iCs/>
          <w:lang w:val="en-CA"/>
        </w:rPr>
        <w:t>2</w:t>
      </w:r>
      <w:r w:rsidR="002E0860" w:rsidRPr="003A1E48">
        <w:rPr>
          <w:rFonts w:ascii="Book Antiqua" w:hAnsi="Book Antiqua" w:cs="Arial"/>
          <w:iCs/>
          <w:lang w:val="en-CA"/>
        </w:rPr>
        <w:t>)</w:t>
      </w:r>
      <w:r w:rsidR="0019373F" w:rsidRPr="003A1E48">
        <w:rPr>
          <w:rFonts w:ascii="Book Antiqua" w:hAnsi="Book Antiqua" w:cs="Arial"/>
          <w:iCs/>
          <w:lang w:val="en-CA"/>
        </w:rPr>
        <w:t>.</w:t>
      </w:r>
      <w:r w:rsidRPr="003A1E48">
        <w:rPr>
          <w:rFonts w:ascii="Book Antiqua" w:hAnsi="Book Antiqua" w:cs="Arial"/>
          <w:iCs/>
          <w:lang w:val="en-CA"/>
        </w:rPr>
        <w:t xml:space="preserve"> </w:t>
      </w:r>
      <w:r w:rsidR="0008539E" w:rsidRPr="003A1E48">
        <w:rPr>
          <w:rFonts w:ascii="Book Antiqua" w:hAnsi="Book Antiqua" w:cs="Arial"/>
          <w:iCs/>
          <w:lang w:val="en-CA"/>
        </w:rPr>
        <w:t xml:space="preserve">This estimate </w:t>
      </w:r>
      <w:proofErr w:type="gramStart"/>
      <w:r w:rsidR="0008539E" w:rsidRPr="003A1E48">
        <w:rPr>
          <w:rFonts w:ascii="Book Antiqua" w:hAnsi="Book Antiqua" w:cs="Arial"/>
          <w:iCs/>
          <w:lang w:val="en-CA"/>
        </w:rPr>
        <w:t>do</w:t>
      </w:r>
      <w:proofErr w:type="gramEnd"/>
      <w:r w:rsidR="0008539E" w:rsidRPr="003A1E48">
        <w:rPr>
          <w:rFonts w:ascii="Book Antiqua" w:hAnsi="Book Antiqua" w:cs="Arial"/>
          <w:iCs/>
          <w:lang w:val="en-CA"/>
        </w:rPr>
        <w:t xml:space="preserve"> not include the expenses of hospital admission</w:t>
      </w:r>
      <w:r w:rsidR="002E0860" w:rsidRPr="003A1E48">
        <w:rPr>
          <w:rFonts w:ascii="Book Antiqua" w:hAnsi="Book Antiqua" w:cs="Arial"/>
          <w:iCs/>
          <w:lang w:val="en-CA"/>
        </w:rPr>
        <w:t>s</w:t>
      </w:r>
      <w:r w:rsidR="0008539E" w:rsidRPr="003A1E48">
        <w:rPr>
          <w:rFonts w:ascii="Book Antiqua" w:hAnsi="Book Antiqua" w:cs="Arial"/>
          <w:iCs/>
          <w:lang w:val="en-CA"/>
        </w:rPr>
        <w:t>,</w:t>
      </w:r>
      <w:r w:rsidR="002E0860" w:rsidRPr="003A1E48">
        <w:rPr>
          <w:rFonts w:ascii="Book Antiqua" w:hAnsi="Book Antiqua" w:cs="Arial"/>
          <w:iCs/>
          <w:lang w:val="en-CA"/>
        </w:rPr>
        <w:t xml:space="preserve"> although </w:t>
      </w:r>
      <w:r w:rsidRPr="003A1E48">
        <w:rPr>
          <w:rFonts w:ascii="Book Antiqua" w:hAnsi="Book Antiqua" w:cs="Arial"/>
          <w:iCs/>
          <w:lang w:val="en-CA"/>
        </w:rPr>
        <w:t xml:space="preserve">64.4% of the patients presenting at the ED required at least 1 </w:t>
      </w:r>
      <w:r w:rsidR="00916DFF" w:rsidRPr="003A1E48">
        <w:rPr>
          <w:rFonts w:ascii="Book Antiqua" w:hAnsi="Book Antiqua" w:cs="Arial"/>
          <w:iCs/>
          <w:lang w:val="en-CA"/>
        </w:rPr>
        <w:t>[</w:t>
      </w:r>
      <w:r w:rsidR="003A0A51" w:rsidRPr="003A1E48">
        <w:rPr>
          <w:rFonts w:ascii="Book Antiqua" w:hAnsi="Book Antiqua" w:cs="Arial"/>
          <w:iCs/>
          <w:lang w:val="en-CA"/>
        </w:rPr>
        <w:t>median 5 (IQR 3-10)</w:t>
      </w:r>
      <w:r w:rsidR="00916DFF" w:rsidRPr="003A1E48">
        <w:rPr>
          <w:rFonts w:ascii="Book Antiqua" w:hAnsi="Book Antiqua" w:cs="Arial"/>
          <w:iCs/>
          <w:lang w:val="en-CA"/>
        </w:rPr>
        <w:t>]</w:t>
      </w:r>
      <w:r w:rsidR="00785C0C" w:rsidRPr="003A1E48">
        <w:rPr>
          <w:rFonts w:ascii="Book Antiqua" w:hAnsi="Book Antiqua" w:cs="Arial"/>
          <w:iCs/>
          <w:lang w:val="en-CA"/>
        </w:rPr>
        <w:t xml:space="preserve"> </w:t>
      </w:r>
      <w:r w:rsidRPr="003A1E48">
        <w:rPr>
          <w:rFonts w:ascii="Book Antiqua" w:hAnsi="Book Antiqua" w:cs="Arial"/>
          <w:iCs/>
          <w:lang w:val="en-CA"/>
        </w:rPr>
        <w:t>d of hospital admission</w:t>
      </w:r>
      <w:r w:rsidR="00875911" w:rsidRPr="003A1E48">
        <w:rPr>
          <w:rFonts w:ascii="Book Antiqua" w:hAnsi="Book Antiqua" w:cs="Arial"/>
          <w:iCs/>
          <w:lang w:val="en-CA"/>
        </w:rPr>
        <w:t>. This</w:t>
      </w:r>
      <w:r w:rsidRPr="003A1E48">
        <w:rPr>
          <w:rFonts w:ascii="Book Antiqua" w:hAnsi="Book Antiqua" w:cs="Arial"/>
          <w:iCs/>
          <w:lang w:val="en-CA"/>
        </w:rPr>
        <w:t xml:space="preserve"> produced an a</w:t>
      </w:r>
      <w:r w:rsidR="006A5660" w:rsidRPr="003A1E48">
        <w:rPr>
          <w:rFonts w:ascii="Book Antiqua" w:hAnsi="Book Antiqua" w:cs="Arial"/>
          <w:iCs/>
          <w:lang w:val="en-CA"/>
        </w:rPr>
        <w:t>verage additional cost of $3143 CAD</w:t>
      </w:r>
      <w:r w:rsidRPr="003A1E48">
        <w:rPr>
          <w:rFonts w:ascii="Book Antiqua" w:hAnsi="Book Antiqua" w:cs="Arial"/>
          <w:iCs/>
          <w:lang w:val="en-CA"/>
        </w:rPr>
        <w:t xml:space="preserve"> per patient</w:t>
      </w:r>
      <w:r w:rsidR="00785C0C" w:rsidRPr="003A1E48">
        <w:rPr>
          <w:rFonts w:ascii="Book Antiqua" w:hAnsi="Book Antiqua" w:cs="Arial"/>
          <w:iCs/>
          <w:lang w:val="en-CA"/>
        </w:rPr>
        <w:t xml:space="preserve"> per day</w:t>
      </w:r>
      <w:r w:rsidR="00875911" w:rsidRPr="003A1E48">
        <w:rPr>
          <w:rFonts w:ascii="Book Antiqua" w:hAnsi="Book Antiqua" w:cs="Arial"/>
          <w:iCs/>
          <w:lang w:val="en-CA"/>
        </w:rPr>
        <w:t xml:space="preserve"> related to hospitalisations (the estimated cost of admitting was $4881 CAD per day)</w:t>
      </w:r>
      <w:r w:rsidRPr="003A1E48">
        <w:rPr>
          <w:rFonts w:ascii="Book Antiqua" w:hAnsi="Book Antiqua" w:cs="Arial"/>
          <w:iCs/>
          <w:lang w:val="en-CA"/>
        </w:rPr>
        <w:t>.</w:t>
      </w:r>
      <w:r w:rsidR="003417E0" w:rsidRPr="003A1E48">
        <w:rPr>
          <w:rFonts w:ascii="Book Antiqua" w:eastAsia="Times New Roman" w:hAnsi="Book Antiqua" w:cs="Arial"/>
          <w:lang w:val="en-CA"/>
        </w:rPr>
        <w:t xml:space="preserve"> </w:t>
      </w:r>
      <w:r w:rsidR="002E0860" w:rsidRPr="003A1E48">
        <w:rPr>
          <w:rFonts w:ascii="Book Antiqua" w:eastAsia="Times New Roman" w:hAnsi="Book Antiqua" w:cs="Arial"/>
          <w:lang w:val="en-CA"/>
        </w:rPr>
        <w:t>Of note, t</w:t>
      </w:r>
      <w:r w:rsidR="003417E0" w:rsidRPr="003A1E48">
        <w:rPr>
          <w:rFonts w:ascii="Book Antiqua" w:eastAsia="Times New Roman" w:hAnsi="Book Antiqua" w:cs="Arial"/>
          <w:lang w:val="en-CA"/>
        </w:rPr>
        <w:t xml:space="preserve">he </w:t>
      </w:r>
      <w:r w:rsidR="00785C0C" w:rsidRPr="003A1E48">
        <w:rPr>
          <w:rFonts w:ascii="Book Antiqua" w:eastAsia="Times New Roman" w:hAnsi="Book Antiqua" w:cs="Arial"/>
          <w:lang w:val="en-CA"/>
        </w:rPr>
        <w:t xml:space="preserve">average </w:t>
      </w:r>
      <w:r w:rsidR="00875911" w:rsidRPr="003A1E48">
        <w:rPr>
          <w:rFonts w:ascii="Book Antiqua" w:eastAsia="Times New Roman" w:hAnsi="Book Antiqua" w:cs="Arial"/>
          <w:lang w:val="en-CA"/>
        </w:rPr>
        <w:t xml:space="preserve">cost related to </w:t>
      </w:r>
      <w:r w:rsidR="00785C0C" w:rsidRPr="003A1E48">
        <w:rPr>
          <w:rFonts w:ascii="Book Antiqua" w:eastAsia="Times New Roman" w:hAnsi="Book Antiqua" w:cs="Arial"/>
          <w:lang w:val="en-CA"/>
        </w:rPr>
        <w:t xml:space="preserve">hospitalizations </w:t>
      </w:r>
      <w:r w:rsidR="00875911" w:rsidRPr="003A1E48">
        <w:rPr>
          <w:rFonts w:ascii="Book Antiqua" w:eastAsia="Times New Roman" w:hAnsi="Book Antiqua" w:cs="Arial"/>
          <w:lang w:val="en-CA"/>
        </w:rPr>
        <w:t>which</w:t>
      </w:r>
      <w:r w:rsidR="00785C0C" w:rsidRPr="003A1E48">
        <w:rPr>
          <w:rFonts w:ascii="Book Antiqua" w:eastAsia="Times New Roman" w:hAnsi="Book Antiqua" w:cs="Arial"/>
          <w:lang w:val="en-CA"/>
        </w:rPr>
        <w:t xml:space="preserve"> incurred during </w:t>
      </w:r>
      <w:r w:rsidR="00875911" w:rsidRPr="003A1E48">
        <w:rPr>
          <w:rFonts w:ascii="Book Antiqua" w:eastAsia="Times New Roman" w:hAnsi="Book Antiqua" w:cs="Arial"/>
          <w:lang w:val="en-CA"/>
        </w:rPr>
        <w:t xml:space="preserve">all of the </w:t>
      </w:r>
      <w:r w:rsidR="003417E0" w:rsidRPr="003A1E48">
        <w:rPr>
          <w:rFonts w:ascii="Book Antiqua" w:eastAsia="Times New Roman" w:hAnsi="Book Antiqua" w:cs="Arial"/>
          <w:lang w:val="en-CA"/>
        </w:rPr>
        <w:t xml:space="preserve">RAC </w:t>
      </w:r>
      <w:r w:rsidR="00785C0C" w:rsidRPr="003A1E48">
        <w:rPr>
          <w:rFonts w:ascii="Book Antiqua" w:eastAsia="Times New Roman" w:hAnsi="Book Antiqua" w:cs="Arial"/>
          <w:lang w:val="en-CA"/>
        </w:rPr>
        <w:t>visit</w:t>
      </w:r>
      <w:r w:rsidR="00875911" w:rsidRPr="003A1E48">
        <w:rPr>
          <w:rFonts w:ascii="Book Antiqua" w:eastAsia="Times New Roman" w:hAnsi="Book Antiqua" w:cs="Arial"/>
          <w:lang w:val="en-CA"/>
        </w:rPr>
        <w:t xml:space="preserve">s </w:t>
      </w:r>
      <w:r w:rsidR="00991608" w:rsidRPr="003A1E48">
        <w:rPr>
          <w:rFonts w:ascii="Book Antiqua" w:eastAsia="Times New Roman" w:hAnsi="Book Antiqua" w:cs="Arial"/>
          <w:lang w:val="en-CA"/>
        </w:rPr>
        <w:t>was $104.8 CAD</w:t>
      </w:r>
      <w:r w:rsidR="003417E0" w:rsidRPr="003A1E48">
        <w:rPr>
          <w:rFonts w:ascii="Book Antiqua" w:eastAsia="Times New Roman" w:hAnsi="Book Antiqua" w:cs="Arial"/>
          <w:lang w:val="en-CA"/>
        </w:rPr>
        <w:t xml:space="preserve"> per patient</w:t>
      </w:r>
      <w:r w:rsidR="00991608" w:rsidRPr="003A1E48">
        <w:rPr>
          <w:rFonts w:ascii="Book Antiqua" w:eastAsia="Times New Roman" w:hAnsi="Book Antiqua" w:cs="Arial"/>
          <w:lang w:val="en-CA"/>
        </w:rPr>
        <w:t xml:space="preserve"> per day</w:t>
      </w:r>
      <w:r w:rsidR="003417E0" w:rsidRPr="003A1E48">
        <w:rPr>
          <w:rFonts w:ascii="Book Antiqua" w:eastAsia="Times New Roman" w:hAnsi="Book Antiqua" w:cs="Arial"/>
          <w:lang w:val="en-CA"/>
        </w:rPr>
        <w:t>.</w:t>
      </w:r>
    </w:p>
    <w:p w14:paraId="730AB3BA" w14:textId="77777777" w:rsidR="002E0860" w:rsidRPr="003A1E48" w:rsidRDefault="002E0860" w:rsidP="00DD7F70">
      <w:pPr>
        <w:spacing w:line="360" w:lineRule="auto"/>
        <w:jc w:val="both"/>
        <w:rPr>
          <w:rFonts w:ascii="Book Antiqua" w:hAnsi="Book Antiqua" w:cs="Arial"/>
          <w:b/>
          <w:bCs/>
        </w:rPr>
      </w:pPr>
    </w:p>
    <w:p w14:paraId="639C7E1E" w14:textId="77777777" w:rsidR="00916DFF" w:rsidRPr="003A1E48" w:rsidRDefault="00916DFF" w:rsidP="00DD7F70">
      <w:pPr>
        <w:adjustRightInd w:val="0"/>
        <w:snapToGrid w:val="0"/>
        <w:spacing w:line="360" w:lineRule="auto"/>
        <w:jc w:val="both"/>
        <w:rPr>
          <w:rFonts w:ascii="Book Antiqua" w:hAnsi="Book Antiqua"/>
          <w:b/>
          <w:color w:val="000000"/>
          <w:u w:val="single"/>
        </w:rPr>
      </w:pPr>
      <w:r w:rsidRPr="003A1E48">
        <w:rPr>
          <w:rFonts w:ascii="Book Antiqua" w:hAnsi="Book Antiqua"/>
          <w:b/>
          <w:color w:val="000000"/>
          <w:u w:val="single"/>
        </w:rPr>
        <w:t>DISCUSSION</w:t>
      </w:r>
    </w:p>
    <w:p w14:paraId="4C85F703" w14:textId="2F714E89" w:rsidR="00996B4B" w:rsidRPr="003A1E48" w:rsidRDefault="009A3A4B" w:rsidP="00DD7F70">
      <w:pPr>
        <w:spacing w:line="360" w:lineRule="auto"/>
        <w:jc w:val="both"/>
        <w:rPr>
          <w:rFonts w:ascii="Book Antiqua" w:hAnsi="Book Antiqua" w:cs="Arial"/>
        </w:rPr>
      </w:pPr>
      <w:r w:rsidRPr="003A1E48">
        <w:rPr>
          <w:rFonts w:ascii="Book Antiqua" w:hAnsi="Book Antiqua" w:cs="Arial"/>
        </w:rPr>
        <w:t xml:space="preserve">This is the first comprehensive analysis of </w:t>
      </w:r>
      <w:r w:rsidR="00357987" w:rsidRPr="003A1E48">
        <w:rPr>
          <w:rFonts w:ascii="Book Antiqua" w:hAnsi="Book Antiqua" w:cs="Arial"/>
        </w:rPr>
        <w:t xml:space="preserve">patient </w:t>
      </w:r>
      <w:r w:rsidRPr="003A1E48">
        <w:rPr>
          <w:rFonts w:ascii="Book Antiqua" w:hAnsi="Book Antiqua" w:cs="Arial"/>
        </w:rPr>
        <w:t xml:space="preserve">access, resource </w:t>
      </w:r>
      <w:r w:rsidR="00F61598" w:rsidRPr="003A1E48">
        <w:rPr>
          <w:rFonts w:ascii="Book Antiqua" w:hAnsi="Book Antiqua" w:cs="Arial"/>
        </w:rPr>
        <w:t>utilization</w:t>
      </w:r>
      <w:r w:rsidR="00357987" w:rsidRPr="003A1E48">
        <w:rPr>
          <w:rFonts w:ascii="Book Antiqua" w:hAnsi="Book Antiqua" w:cs="Arial"/>
        </w:rPr>
        <w:t>, costs</w:t>
      </w:r>
      <w:r w:rsidRPr="003A1E48">
        <w:rPr>
          <w:rFonts w:ascii="Book Antiqua" w:hAnsi="Book Antiqua" w:cs="Arial"/>
        </w:rPr>
        <w:t xml:space="preserve"> and outcome</w:t>
      </w:r>
      <w:r w:rsidR="00C711B1" w:rsidRPr="003A1E48">
        <w:rPr>
          <w:rFonts w:ascii="Book Antiqua" w:hAnsi="Book Antiqua" w:cs="Arial"/>
        </w:rPr>
        <w:t xml:space="preserve"> measures</w:t>
      </w:r>
      <w:r w:rsidRPr="003A1E48">
        <w:rPr>
          <w:rFonts w:ascii="Book Antiqua" w:hAnsi="Book Antiqua" w:cs="Arial"/>
        </w:rPr>
        <w:t xml:space="preserve"> </w:t>
      </w:r>
      <w:r w:rsidR="00357987" w:rsidRPr="003A1E48">
        <w:rPr>
          <w:rFonts w:ascii="Book Antiqua" w:hAnsi="Book Antiqua" w:cs="Arial"/>
        </w:rPr>
        <w:t xml:space="preserve">of a newly implemented </w:t>
      </w:r>
      <w:r w:rsidR="0019373F" w:rsidRPr="003A1E48">
        <w:rPr>
          <w:rFonts w:ascii="Book Antiqua" w:hAnsi="Book Antiqua" w:cs="Arial"/>
        </w:rPr>
        <w:t xml:space="preserve">formal </w:t>
      </w:r>
      <w:r w:rsidR="00357987" w:rsidRPr="003A1E48">
        <w:rPr>
          <w:rFonts w:ascii="Book Antiqua" w:hAnsi="Book Antiqua" w:cs="Arial"/>
        </w:rPr>
        <w:t>IBD specific</w:t>
      </w:r>
      <w:r w:rsidRPr="003A1E48">
        <w:rPr>
          <w:rFonts w:ascii="Book Antiqua" w:hAnsi="Book Antiqua" w:cs="Arial"/>
        </w:rPr>
        <w:t xml:space="preserve"> </w:t>
      </w:r>
      <w:r w:rsidR="00BD20CB" w:rsidRPr="003A1E48">
        <w:rPr>
          <w:rFonts w:ascii="Book Antiqua" w:hAnsi="Book Antiqua" w:cs="Arial"/>
        </w:rPr>
        <w:t>RAC</w:t>
      </w:r>
      <w:r w:rsidR="00357987" w:rsidRPr="003A1E48">
        <w:rPr>
          <w:rFonts w:ascii="Book Antiqua" w:hAnsi="Book Antiqua" w:cs="Arial"/>
        </w:rPr>
        <w:t xml:space="preserve"> service</w:t>
      </w:r>
      <w:r w:rsidRPr="003A1E48">
        <w:rPr>
          <w:rFonts w:ascii="Book Antiqua" w:hAnsi="Book Antiqua" w:cs="Arial"/>
        </w:rPr>
        <w:t xml:space="preserve"> compared to usual </w:t>
      </w:r>
      <w:r w:rsidR="003A1E48">
        <w:rPr>
          <w:rFonts w:ascii="Book Antiqua" w:hAnsi="Book Antiqua" w:cs="Arial"/>
        </w:rPr>
        <w:t>ED</w:t>
      </w:r>
      <w:r w:rsidRPr="003A1E48">
        <w:rPr>
          <w:rFonts w:ascii="Book Antiqua" w:hAnsi="Book Antiqua" w:cs="Arial"/>
        </w:rPr>
        <w:t xml:space="preserve"> visits in IBD patients from a single academic center</w:t>
      </w:r>
      <w:r w:rsidR="003C4CED" w:rsidRPr="003A1E48">
        <w:rPr>
          <w:rFonts w:ascii="Book Antiqua" w:hAnsi="Book Antiqua" w:cs="Arial"/>
        </w:rPr>
        <w:t xml:space="preserve"> in North America</w:t>
      </w:r>
      <w:r w:rsidRPr="003A1E48">
        <w:rPr>
          <w:rFonts w:ascii="Book Antiqua" w:hAnsi="Book Antiqua" w:cs="Arial"/>
        </w:rPr>
        <w:t xml:space="preserve">. The major finding of the present study was that creating a </w:t>
      </w:r>
      <w:r w:rsidR="00357987" w:rsidRPr="003A1E48">
        <w:rPr>
          <w:rFonts w:ascii="Book Antiqua" w:hAnsi="Book Antiqua" w:cs="Arial"/>
        </w:rPr>
        <w:t>RAC service for IBD patients</w:t>
      </w:r>
      <w:r w:rsidRPr="003A1E48">
        <w:rPr>
          <w:rFonts w:ascii="Book Antiqua" w:hAnsi="Book Antiqua" w:cs="Arial"/>
        </w:rPr>
        <w:t xml:space="preserve"> is </w:t>
      </w:r>
      <w:r w:rsidRPr="003A1E48">
        <w:rPr>
          <w:rFonts w:ascii="Book Antiqua" w:hAnsi="Book Antiqua" w:cs="Arial"/>
        </w:rPr>
        <w:lastRenderedPageBreak/>
        <w:t xml:space="preserve">associated with </w:t>
      </w:r>
      <w:r w:rsidR="00C86F54" w:rsidRPr="003A1E48">
        <w:rPr>
          <w:rFonts w:ascii="Book Antiqua" w:hAnsi="Book Antiqua" w:cs="Arial"/>
        </w:rPr>
        <w:t xml:space="preserve">quick </w:t>
      </w:r>
      <w:r w:rsidR="00357987" w:rsidRPr="003A1E48">
        <w:rPr>
          <w:rFonts w:ascii="Book Antiqua" w:hAnsi="Book Antiqua" w:cs="Arial"/>
        </w:rPr>
        <w:t xml:space="preserve">patient </w:t>
      </w:r>
      <w:r w:rsidRPr="003A1E48">
        <w:rPr>
          <w:rFonts w:ascii="Book Antiqua" w:hAnsi="Book Antiqua" w:cs="Arial"/>
        </w:rPr>
        <w:t>access</w:t>
      </w:r>
      <w:r w:rsidR="00357987" w:rsidRPr="003A1E48">
        <w:rPr>
          <w:rFonts w:ascii="Book Antiqua" w:hAnsi="Book Antiqua" w:cs="Arial"/>
        </w:rPr>
        <w:t xml:space="preserve">, optimized and specific use of diagnostic procedures and services, </w:t>
      </w:r>
      <w:r w:rsidR="00F170ED" w:rsidRPr="003A1E48">
        <w:rPr>
          <w:rFonts w:ascii="Book Antiqua" w:hAnsi="Book Antiqua" w:cs="Arial"/>
        </w:rPr>
        <w:t>with similar</w:t>
      </w:r>
      <w:r w:rsidRPr="003A1E48">
        <w:rPr>
          <w:rFonts w:ascii="Book Antiqua" w:hAnsi="Book Antiqua" w:cs="Arial"/>
        </w:rPr>
        <w:t xml:space="preserve"> outcome</w:t>
      </w:r>
      <w:r w:rsidR="00F170ED" w:rsidRPr="003A1E48">
        <w:rPr>
          <w:rFonts w:ascii="Book Antiqua" w:hAnsi="Book Antiqua" w:cs="Arial"/>
        </w:rPr>
        <w:t xml:space="preserve"> parameters and</w:t>
      </w:r>
      <w:r w:rsidRPr="003A1E48">
        <w:rPr>
          <w:rFonts w:ascii="Book Antiqua" w:hAnsi="Book Antiqua" w:cs="Arial"/>
        </w:rPr>
        <w:t xml:space="preserve"> lower resource </w:t>
      </w:r>
      <w:r w:rsidR="00F61598" w:rsidRPr="003A1E48">
        <w:rPr>
          <w:rFonts w:ascii="Book Antiqua" w:hAnsi="Book Antiqua" w:cs="Arial"/>
        </w:rPr>
        <w:t>utilization</w:t>
      </w:r>
      <w:r w:rsidRPr="003A1E48">
        <w:rPr>
          <w:rFonts w:ascii="Book Antiqua" w:hAnsi="Book Antiqua" w:cs="Arial"/>
        </w:rPr>
        <w:t xml:space="preserve"> compared to </w:t>
      </w:r>
      <w:r w:rsidR="00996B4B" w:rsidRPr="003A1E48">
        <w:rPr>
          <w:rFonts w:ascii="Book Antiqua" w:hAnsi="Book Antiqua" w:cs="Arial"/>
        </w:rPr>
        <w:t>regular</w:t>
      </w:r>
      <w:r w:rsidR="00C711B1" w:rsidRPr="003A1E48">
        <w:rPr>
          <w:rFonts w:ascii="Book Antiqua" w:hAnsi="Book Antiqua" w:cs="Arial"/>
        </w:rPr>
        <w:t xml:space="preserve"> </w:t>
      </w:r>
      <w:r w:rsidRPr="003A1E48">
        <w:rPr>
          <w:rFonts w:ascii="Book Antiqua" w:hAnsi="Book Antiqua" w:cs="Arial"/>
        </w:rPr>
        <w:t>ED</w:t>
      </w:r>
      <w:r w:rsidR="00996B4B" w:rsidRPr="003A1E48">
        <w:rPr>
          <w:rFonts w:ascii="Book Antiqua" w:hAnsi="Book Antiqua" w:cs="Arial"/>
        </w:rPr>
        <w:t xml:space="preserve"> visits for IBD patients</w:t>
      </w:r>
      <w:r w:rsidRPr="003A1E48">
        <w:rPr>
          <w:rFonts w:ascii="Book Antiqua" w:hAnsi="Book Antiqua" w:cs="Arial"/>
        </w:rPr>
        <w:t>.</w:t>
      </w:r>
    </w:p>
    <w:p w14:paraId="37FDA91E" w14:textId="01BB3E6B" w:rsidR="00916DFF" w:rsidRPr="003A1E48" w:rsidRDefault="00996B4B" w:rsidP="00DD7F70">
      <w:pPr>
        <w:spacing w:line="360" w:lineRule="auto"/>
        <w:ind w:firstLineChars="100" w:firstLine="240"/>
        <w:jc w:val="both"/>
        <w:rPr>
          <w:rFonts w:ascii="Book Antiqua" w:hAnsi="Book Antiqua" w:cs="Arial"/>
        </w:rPr>
      </w:pPr>
      <w:r w:rsidRPr="003A1E48">
        <w:rPr>
          <w:rFonts w:ascii="Book Antiqua" w:hAnsi="Book Antiqua" w:cs="Arial"/>
        </w:rPr>
        <w:t>E</w:t>
      </w:r>
      <w:r w:rsidR="003A1E48">
        <w:rPr>
          <w:rFonts w:ascii="Book Antiqua" w:hAnsi="Book Antiqua" w:cs="Arial"/>
        </w:rPr>
        <w:t>D</w:t>
      </w:r>
      <w:r w:rsidRPr="003A1E48">
        <w:rPr>
          <w:rFonts w:ascii="Book Antiqua" w:hAnsi="Book Antiqua" w:cs="Arial"/>
        </w:rPr>
        <w:t xml:space="preserve"> attendance </w:t>
      </w:r>
      <w:r w:rsidR="00C86F54" w:rsidRPr="003A1E48">
        <w:rPr>
          <w:rFonts w:ascii="Book Antiqua" w:hAnsi="Book Antiqua" w:cs="Arial"/>
        </w:rPr>
        <w:t xml:space="preserve">has been reported </w:t>
      </w:r>
      <w:r w:rsidRPr="003A1E48">
        <w:rPr>
          <w:rFonts w:ascii="Book Antiqua" w:hAnsi="Book Antiqua" w:cs="Arial"/>
        </w:rPr>
        <w:t xml:space="preserve">high </w:t>
      </w:r>
      <w:r w:rsidR="00C86F54" w:rsidRPr="003A1E48">
        <w:rPr>
          <w:rFonts w:ascii="Book Antiqua" w:hAnsi="Book Antiqua" w:cs="Arial"/>
        </w:rPr>
        <w:t xml:space="preserve">for </w:t>
      </w:r>
      <w:r w:rsidRPr="003A1E48">
        <w:rPr>
          <w:rFonts w:ascii="Book Antiqua" w:hAnsi="Book Antiqua" w:cs="Arial"/>
        </w:rPr>
        <w:t xml:space="preserve">both incident and prevalent cases of IBD. </w:t>
      </w:r>
      <w:r w:rsidR="004B3721" w:rsidRPr="003A1E48">
        <w:rPr>
          <w:rFonts w:ascii="Book Antiqua" w:hAnsi="Book Antiqua" w:cs="Arial"/>
        </w:rPr>
        <w:t xml:space="preserve">By analyzing trends in ED visits and subsequent hospitalizations </w:t>
      </w:r>
      <w:r w:rsidR="005E2BB5" w:rsidRPr="003A1E48">
        <w:rPr>
          <w:rFonts w:ascii="Book Antiqua" w:hAnsi="Book Antiqua" w:cs="Arial"/>
        </w:rPr>
        <w:t>in the United States</w:t>
      </w:r>
      <w:r w:rsidR="004B3721" w:rsidRPr="003A1E48">
        <w:rPr>
          <w:rFonts w:ascii="Book Antiqua" w:hAnsi="Book Antiqua" w:cs="Arial"/>
        </w:rPr>
        <w:t>, t</w:t>
      </w:r>
      <w:r w:rsidR="00607A03" w:rsidRPr="003A1E48">
        <w:rPr>
          <w:rFonts w:ascii="Book Antiqua" w:hAnsi="Book Antiqua" w:cs="Arial"/>
        </w:rPr>
        <w:t>he frequency of IBD related ED visits increased by 51.8%, from 90846 visits in 2006 to 137946 in 2014</w:t>
      </w:r>
      <w:r w:rsidR="004B3721" w:rsidRPr="003A1E48">
        <w:rPr>
          <w:rFonts w:ascii="Book Antiqua" w:hAnsi="Book Antiqua" w:cs="Arial"/>
        </w:rPr>
        <w:t xml:space="preserve"> based on </w:t>
      </w:r>
      <w:r w:rsidR="00C04943" w:rsidRPr="003A1E48">
        <w:rPr>
          <w:rFonts w:ascii="Book Antiqua" w:hAnsi="Book Antiqua" w:cs="Arial"/>
        </w:rPr>
        <w:t>the National Emergency Department Sample</w:t>
      </w:r>
      <w:r w:rsidR="00916DFF" w:rsidRPr="003A1E48">
        <w:rPr>
          <w:rFonts w:ascii="Book Antiqua" w:hAnsi="Book Antiqua" w:cs="Arial"/>
        </w:rPr>
        <w:t xml:space="preserve"> </w:t>
      </w:r>
      <w:proofErr w:type="gramStart"/>
      <w:r w:rsidR="004B3721" w:rsidRPr="003A1E48">
        <w:rPr>
          <w:rFonts w:ascii="Book Antiqua" w:hAnsi="Book Antiqua" w:cs="Arial"/>
        </w:rPr>
        <w:t>data</w:t>
      </w:r>
      <w:r w:rsidR="00C04943" w:rsidRPr="003A1E48">
        <w:rPr>
          <w:rFonts w:ascii="Book Antiqua" w:hAnsi="Book Antiqua" w:cs="Arial"/>
        </w:rPr>
        <w:t>base</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15]</w:t>
      </w:r>
      <w:r w:rsidR="00607A03" w:rsidRPr="003A1E48">
        <w:rPr>
          <w:rFonts w:ascii="Book Antiqua" w:hAnsi="Book Antiqua" w:cs="Arial"/>
        </w:rPr>
        <w:t>.</w:t>
      </w:r>
      <w:r w:rsidR="004B3721" w:rsidRPr="003A1E48">
        <w:rPr>
          <w:rFonts w:ascii="Book Antiqua" w:hAnsi="Book Antiqua" w:cs="Arial"/>
        </w:rPr>
        <w:t xml:space="preserve"> </w:t>
      </w:r>
      <w:r w:rsidR="00607A03" w:rsidRPr="003A1E48">
        <w:rPr>
          <w:rFonts w:ascii="Book Antiqua" w:hAnsi="Book Antiqua" w:cs="Arial"/>
        </w:rPr>
        <w:t xml:space="preserve">For comparison, all-case ED use </w:t>
      </w:r>
      <w:r w:rsidR="00CB34C1" w:rsidRPr="003A1E48">
        <w:rPr>
          <w:rFonts w:ascii="Book Antiqua" w:hAnsi="Book Antiqua" w:cs="Arial"/>
        </w:rPr>
        <w:t>in this period</w:t>
      </w:r>
      <w:r w:rsidR="00607A03" w:rsidRPr="003A1E48">
        <w:rPr>
          <w:rFonts w:ascii="Book Antiqua" w:hAnsi="Book Antiqua" w:cs="Arial"/>
        </w:rPr>
        <w:t xml:space="preserve"> increased by 14.8%. Inpatient hospitalizations following the ED visits</w:t>
      </w:r>
      <w:r w:rsidR="00C86F54" w:rsidRPr="003A1E48">
        <w:rPr>
          <w:rFonts w:ascii="Book Antiqua" w:hAnsi="Book Antiqua" w:cs="Arial"/>
        </w:rPr>
        <w:t xml:space="preserve"> was </w:t>
      </w:r>
      <w:r w:rsidR="00F15DFA" w:rsidRPr="003A1E48">
        <w:rPr>
          <w:rFonts w:ascii="Book Antiqua" w:hAnsi="Book Antiqua" w:cs="Arial"/>
        </w:rPr>
        <w:t xml:space="preserve">high, yet showed a decreasing trend </w:t>
      </w:r>
      <w:r w:rsidR="00607A03" w:rsidRPr="003A1E48">
        <w:rPr>
          <w:rFonts w:ascii="Book Antiqua" w:hAnsi="Book Antiqua" w:cs="Arial"/>
        </w:rPr>
        <w:t xml:space="preserve">for IBD patients (from 64.7% to 52.6%). Of note, the rates of </w:t>
      </w:r>
      <w:r w:rsidR="00F15DFA" w:rsidRPr="003A1E48">
        <w:rPr>
          <w:rFonts w:ascii="Book Antiqua" w:hAnsi="Book Antiqua" w:cs="Arial"/>
        </w:rPr>
        <w:t xml:space="preserve">urgent </w:t>
      </w:r>
      <w:r w:rsidR="00607A03" w:rsidRPr="003A1E48">
        <w:rPr>
          <w:rFonts w:ascii="Book Antiqua" w:hAnsi="Book Antiqua" w:cs="Arial"/>
        </w:rPr>
        <w:t xml:space="preserve">surgery in IBD patients admitted from the ED also decreased from 9.1% of all ED visits in 2006 to 5.6% in 2014. </w:t>
      </w:r>
      <w:r w:rsidR="00F15DFA" w:rsidRPr="003A1E48">
        <w:rPr>
          <w:rFonts w:ascii="Book Antiqua" w:hAnsi="Book Antiqua" w:cs="Arial"/>
        </w:rPr>
        <w:t>Trends were largely similar for pediatric onset IBD patients, a</w:t>
      </w:r>
      <w:r w:rsidR="006A200B" w:rsidRPr="003A1E48">
        <w:rPr>
          <w:rFonts w:ascii="Book Antiqua" w:hAnsi="Book Antiqua" w:cs="Arial"/>
        </w:rPr>
        <w:t>ccording to a nationwide report on the use of ED resources by children with IBD in the United States</w:t>
      </w:r>
      <w:r w:rsidR="007E3042" w:rsidRPr="003A1E48">
        <w:rPr>
          <w:rFonts w:ascii="Book Antiqua" w:hAnsi="Book Antiqua" w:cs="Arial"/>
        </w:rPr>
        <w:t>. T</w:t>
      </w:r>
      <w:r w:rsidR="006A200B" w:rsidRPr="003A1E48">
        <w:rPr>
          <w:rFonts w:ascii="Book Antiqua" w:hAnsi="Book Antiqua" w:cs="Arial"/>
        </w:rPr>
        <w:t xml:space="preserve">he rate of hospital admission for children </w:t>
      </w:r>
      <w:r w:rsidR="00C04943" w:rsidRPr="003A1E48">
        <w:rPr>
          <w:rFonts w:ascii="Book Antiqua" w:hAnsi="Book Antiqua" w:cs="Arial"/>
        </w:rPr>
        <w:t>was approximately 40</w:t>
      </w:r>
      <w:r w:rsidR="006A200B" w:rsidRPr="003A1E48">
        <w:rPr>
          <w:rFonts w:ascii="Book Antiqua" w:hAnsi="Book Antiqua" w:cs="Arial"/>
        </w:rPr>
        <w:t xml:space="preserve">% </w:t>
      </w:r>
      <w:r w:rsidR="00C06C32" w:rsidRPr="003A1E48">
        <w:rPr>
          <w:rFonts w:ascii="Book Antiqua" w:hAnsi="Book Antiqua" w:cs="Arial"/>
        </w:rPr>
        <w:t xml:space="preserve">in CD </w:t>
      </w:r>
      <w:r w:rsidR="006A200B" w:rsidRPr="003A1E48">
        <w:rPr>
          <w:rFonts w:ascii="Book Antiqua" w:hAnsi="Book Antiqua" w:cs="Arial"/>
        </w:rPr>
        <w:t xml:space="preserve">and </w:t>
      </w:r>
      <w:r w:rsidR="00C04943" w:rsidRPr="003A1E48">
        <w:rPr>
          <w:rFonts w:ascii="Book Antiqua" w:hAnsi="Book Antiqua" w:cs="Arial"/>
        </w:rPr>
        <w:t xml:space="preserve">60% </w:t>
      </w:r>
      <w:r w:rsidR="00C06C32" w:rsidRPr="003A1E48">
        <w:rPr>
          <w:rFonts w:ascii="Book Antiqua" w:hAnsi="Book Antiqua" w:cs="Arial"/>
        </w:rPr>
        <w:t>in</w:t>
      </w:r>
      <w:r w:rsidR="00C04943" w:rsidRPr="003A1E48">
        <w:rPr>
          <w:rFonts w:ascii="Book Antiqua" w:hAnsi="Book Antiqua" w:cs="Arial"/>
        </w:rPr>
        <w:t xml:space="preserve"> </w:t>
      </w:r>
      <w:proofErr w:type="gramStart"/>
      <w:r w:rsidR="00C04943" w:rsidRPr="003A1E48">
        <w:rPr>
          <w:rFonts w:ascii="Book Antiqua" w:hAnsi="Book Antiqua" w:cs="Arial"/>
        </w:rPr>
        <w:t>UC</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16]</w:t>
      </w:r>
      <w:r w:rsidR="006A200B" w:rsidRPr="003A1E48">
        <w:rPr>
          <w:rFonts w:ascii="Book Antiqua" w:hAnsi="Book Antiqua" w:cs="Arial"/>
        </w:rPr>
        <w:t>.</w:t>
      </w:r>
      <w:r w:rsidR="00630640" w:rsidRPr="003A1E48">
        <w:rPr>
          <w:rFonts w:ascii="Book Antiqua" w:hAnsi="Book Antiqua" w:cs="Arial"/>
        </w:rPr>
        <w:t xml:space="preserve"> </w:t>
      </w:r>
      <w:r w:rsidR="004B3721" w:rsidRPr="003A1E48">
        <w:rPr>
          <w:rFonts w:ascii="Book Antiqua" w:hAnsi="Book Antiqua" w:cs="Arial"/>
        </w:rPr>
        <w:t xml:space="preserve">In a recent </w:t>
      </w:r>
      <w:r w:rsidR="00F15DFA" w:rsidRPr="003A1E48">
        <w:rPr>
          <w:rFonts w:ascii="Book Antiqua" w:hAnsi="Book Antiqua" w:cs="Arial"/>
        </w:rPr>
        <w:t xml:space="preserve">population-based </w:t>
      </w:r>
      <w:r w:rsidR="004B3721" w:rsidRPr="003A1E48">
        <w:rPr>
          <w:rFonts w:ascii="Book Antiqua" w:hAnsi="Book Antiqua" w:cs="Arial"/>
        </w:rPr>
        <w:t xml:space="preserve">study from Manitoba including 300 incident and 3394 prevalent IBD cases, 76% and 49% of patients attended the ED at least once during the study period of 3 </w:t>
      </w:r>
      <w:proofErr w:type="gramStart"/>
      <w:r w:rsidR="004B3721" w:rsidRPr="003A1E48">
        <w:rPr>
          <w:rFonts w:ascii="Book Antiqua" w:hAnsi="Book Antiqua" w:cs="Arial"/>
        </w:rPr>
        <w:t>years</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3]</w:t>
      </w:r>
      <w:r w:rsidR="004B3721" w:rsidRPr="003A1E48">
        <w:rPr>
          <w:rFonts w:ascii="Book Antiqua" w:hAnsi="Book Antiqua" w:cs="Arial"/>
        </w:rPr>
        <w:t>.</w:t>
      </w:r>
      <w:r w:rsidR="004B3721" w:rsidRPr="003A1E48">
        <w:rPr>
          <w:rFonts w:ascii="Book Antiqua" w:hAnsi="Book Antiqua" w:cs="Arial"/>
          <w:vertAlign w:val="superscript"/>
        </w:rPr>
        <w:t xml:space="preserve"> </w:t>
      </w:r>
      <w:r w:rsidR="004B3721" w:rsidRPr="003A1E48">
        <w:rPr>
          <w:rFonts w:ascii="Book Antiqua" w:hAnsi="Book Antiqua" w:cs="Arial"/>
        </w:rPr>
        <w:t>Hospitalization rates we</w:t>
      </w:r>
      <w:r w:rsidR="00CB34C1" w:rsidRPr="003A1E48">
        <w:rPr>
          <w:rFonts w:ascii="Book Antiqua" w:hAnsi="Book Antiqua" w:cs="Arial"/>
        </w:rPr>
        <w:t>re reported lower in this study</w:t>
      </w:r>
      <w:r w:rsidR="004B3721" w:rsidRPr="003A1E48">
        <w:rPr>
          <w:rFonts w:ascii="Book Antiqua" w:hAnsi="Book Antiqua" w:cs="Arial"/>
        </w:rPr>
        <w:t xml:space="preserve"> after presentation to the ED, </w:t>
      </w:r>
      <w:r w:rsidR="00CB34C1" w:rsidRPr="003A1E48">
        <w:rPr>
          <w:rFonts w:ascii="Book Antiqua" w:hAnsi="Book Antiqua" w:cs="Arial"/>
        </w:rPr>
        <w:t xml:space="preserve">with </w:t>
      </w:r>
      <w:r w:rsidR="004B3721" w:rsidRPr="003A1E48">
        <w:rPr>
          <w:rFonts w:ascii="Book Antiqua" w:hAnsi="Book Antiqua" w:cs="Arial"/>
        </w:rPr>
        <w:t xml:space="preserve">only 15% of the patients with known IBD and 44% with a new diagnosis of IBD were </w:t>
      </w:r>
      <w:r w:rsidR="00CB34C1" w:rsidRPr="003A1E48">
        <w:rPr>
          <w:rFonts w:ascii="Book Antiqua" w:hAnsi="Book Antiqua" w:cs="Arial"/>
        </w:rPr>
        <w:t xml:space="preserve">being </w:t>
      </w:r>
      <w:r w:rsidR="004B3721" w:rsidRPr="003A1E48">
        <w:rPr>
          <w:rFonts w:ascii="Book Antiqua" w:hAnsi="Book Antiqua" w:cs="Arial"/>
        </w:rPr>
        <w:t xml:space="preserve">admitted to the hospital. </w:t>
      </w:r>
      <w:r w:rsidR="00CB5B0A" w:rsidRPr="003A1E48">
        <w:rPr>
          <w:rFonts w:ascii="Book Antiqua" w:hAnsi="Book Antiqua" w:cs="Arial"/>
        </w:rPr>
        <w:t xml:space="preserve">Our results </w:t>
      </w:r>
      <w:r w:rsidR="007B05BB" w:rsidRPr="003A1E48">
        <w:rPr>
          <w:rFonts w:ascii="Book Antiqua" w:hAnsi="Book Antiqua" w:cs="Arial"/>
        </w:rPr>
        <w:t>show</w:t>
      </w:r>
      <w:r w:rsidR="00C96F13" w:rsidRPr="003A1E48">
        <w:rPr>
          <w:rFonts w:ascii="Book Antiqua" w:hAnsi="Book Antiqua" w:cs="Arial"/>
        </w:rPr>
        <w:t xml:space="preserve"> high </w:t>
      </w:r>
      <w:r w:rsidR="007B05BB" w:rsidRPr="003A1E48">
        <w:rPr>
          <w:rFonts w:ascii="Book Antiqua" w:hAnsi="Book Antiqua" w:cs="Arial"/>
        </w:rPr>
        <w:t xml:space="preserve">rates (64%) for overall hospitalization of IBD patients presenting for regular ED department visits, </w:t>
      </w:r>
      <w:r w:rsidR="0020191D" w:rsidRPr="003A1E48">
        <w:rPr>
          <w:rFonts w:ascii="Book Antiqua" w:hAnsi="Book Antiqua" w:cs="Arial"/>
        </w:rPr>
        <w:t xml:space="preserve">however </w:t>
      </w:r>
      <w:r w:rsidR="007B05BB" w:rsidRPr="003A1E48">
        <w:rPr>
          <w:rFonts w:ascii="Book Antiqua" w:hAnsi="Book Antiqua" w:cs="Arial"/>
        </w:rPr>
        <w:t xml:space="preserve">the rate of surgical intervention was </w:t>
      </w:r>
      <w:r w:rsidR="00F15DFA" w:rsidRPr="003A1E48">
        <w:rPr>
          <w:rFonts w:ascii="Book Antiqua" w:hAnsi="Book Antiqua" w:cs="Arial"/>
        </w:rPr>
        <w:t xml:space="preserve">low, </w:t>
      </w:r>
      <w:r w:rsidR="007B05BB" w:rsidRPr="003A1E48">
        <w:rPr>
          <w:rFonts w:ascii="Book Antiqua" w:hAnsi="Book Antiqua" w:cs="Arial"/>
        </w:rPr>
        <w:t>only 5.9%. Direct comparison between these rates is difficult because of different methodology</w:t>
      </w:r>
      <w:r w:rsidR="00D74DEE" w:rsidRPr="003A1E48">
        <w:rPr>
          <w:rFonts w:ascii="Book Antiqua" w:hAnsi="Book Antiqua" w:cs="Arial"/>
        </w:rPr>
        <w:t xml:space="preserve"> </w:t>
      </w:r>
      <w:r w:rsidR="007B05BB" w:rsidRPr="003A1E48">
        <w:rPr>
          <w:rFonts w:ascii="Book Antiqua" w:hAnsi="Book Antiqua" w:cs="Arial"/>
        </w:rPr>
        <w:t xml:space="preserve">and </w:t>
      </w:r>
      <w:r w:rsidR="00F15DFA" w:rsidRPr="003A1E48">
        <w:rPr>
          <w:rFonts w:ascii="Book Antiqua" w:hAnsi="Book Antiqua" w:cs="Arial"/>
        </w:rPr>
        <w:t xml:space="preserve">IBD setting (IBD center </w:t>
      </w:r>
      <w:r w:rsidR="00F15DFA" w:rsidRPr="003A1E48">
        <w:rPr>
          <w:rFonts w:ascii="Book Antiqua" w:hAnsi="Book Antiqua" w:cs="Arial"/>
          <w:i/>
          <w:iCs/>
        </w:rPr>
        <w:t>vs</w:t>
      </w:r>
      <w:r w:rsidR="00F15DFA" w:rsidRPr="003A1E48">
        <w:rPr>
          <w:rFonts w:ascii="Book Antiqua" w:hAnsi="Book Antiqua" w:cs="Arial"/>
        </w:rPr>
        <w:t xml:space="preserve"> population-based)</w:t>
      </w:r>
      <w:r w:rsidR="007B05BB" w:rsidRPr="003A1E48">
        <w:rPr>
          <w:rFonts w:ascii="Book Antiqua" w:hAnsi="Book Antiqua" w:cs="Arial"/>
        </w:rPr>
        <w:t xml:space="preserve">, </w:t>
      </w:r>
      <w:r w:rsidR="00C06C32" w:rsidRPr="003A1E48">
        <w:rPr>
          <w:rFonts w:ascii="Book Antiqua" w:hAnsi="Book Antiqua" w:cs="Arial"/>
        </w:rPr>
        <w:t>or</w:t>
      </w:r>
      <w:r w:rsidR="007B05BB" w:rsidRPr="003A1E48">
        <w:rPr>
          <w:rFonts w:ascii="Book Antiqua" w:hAnsi="Book Antiqua" w:cs="Arial"/>
        </w:rPr>
        <w:t xml:space="preserve"> </w:t>
      </w:r>
      <w:r w:rsidR="00C06C32" w:rsidRPr="003A1E48">
        <w:rPr>
          <w:rFonts w:ascii="Book Antiqua" w:hAnsi="Book Antiqua" w:cs="Arial"/>
        </w:rPr>
        <w:t>other contributing</w:t>
      </w:r>
      <w:r w:rsidR="00D74DEE" w:rsidRPr="003A1E48">
        <w:rPr>
          <w:rFonts w:ascii="Book Antiqua" w:hAnsi="Book Antiqua" w:cs="Arial"/>
        </w:rPr>
        <w:t xml:space="preserve"> factors (</w:t>
      </w:r>
      <w:r w:rsidR="00D74DEE" w:rsidRPr="003A1E48">
        <w:rPr>
          <w:rFonts w:ascii="Book Antiqua" w:hAnsi="Book Antiqua" w:cs="Arial"/>
          <w:i/>
          <w:iCs/>
        </w:rPr>
        <w:t>e.g.</w:t>
      </w:r>
      <w:r w:rsidR="00916DFF" w:rsidRPr="003A1E48">
        <w:rPr>
          <w:rFonts w:ascii="Book Antiqua" w:hAnsi="Book Antiqua" w:cs="Arial"/>
        </w:rPr>
        <w:t>,</w:t>
      </w:r>
      <w:r w:rsidR="00D74DEE" w:rsidRPr="003A1E48">
        <w:rPr>
          <w:rFonts w:ascii="Book Antiqua" w:hAnsi="Book Antiqua" w:cs="Arial"/>
        </w:rPr>
        <w:t xml:space="preserve"> the availability of IBD specialist gastroenterology consu</w:t>
      </w:r>
      <w:r w:rsidR="00632513" w:rsidRPr="003A1E48">
        <w:rPr>
          <w:rFonts w:ascii="Book Antiqua" w:hAnsi="Book Antiqua" w:cs="Arial"/>
        </w:rPr>
        <w:t xml:space="preserve">lts). </w:t>
      </w:r>
      <w:r w:rsidR="00D93D61" w:rsidRPr="003A1E48">
        <w:rPr>
          <w:rFonts w:ascii="Book Antiqua" w:hAnsi="Book Antiqua" w:cs="Arial"/>
        </w:rPr>
        <w:t xml:space="preserve">Considering all the above, </w:t>
      </w:r>
      <w:r w:rsidR="00C06C32" w:rsidRPr="003A1E48">
        <w:rPr>
          <w:rFonts w:ascii="Book Antiqua" w:hAnsi="Book Antiqua" w:cs="Arial"/>
        </w:rPr>
        <w:t>results</w:t>
      </w:r>
      <w:r w:rsidR="00D93D61" w:rsidRPr="003A1E48">
        <w:rPr>
          <w:rFonts w:ascii="Book Antiqua" w:hAnsi="Book Antiqua" w:cs="Arial"/>
        </w:rPr>
        <w:t xml:space="preserve"> could </w:t>
      </w:r>
      <w:r w:rsidR="00AD5492" w:rsidRPr="003A1E48">
        <w:rPr>
          <w:rFonts w:ascii="Book Antiqua" w:hAnsi="Book Antiqua" w:cs="Arial"/>
        </w:rPr>
        <w:t xml:space="preserve">suggest that </w:t>
      </w:r>
      <w:r w:rsidR="006A200B" w:rsidRPr="003A1E48">
        <w:rPr>
          <w:rFonts w:ascii="Book Antiqua" w:hAnsi="Book Antiqua" w:cs="Arial"/>
        </w:rPr>
        <w:t>in a significant proportion</w:t>
      </w:r>
      <w:r w:rsidR="00AD5492" w:rsidRPr="003A1E48">
        <w:rPr>
          <w:rFonts w:ascii="Book Antiqua" w:hAnsi="Book Antiqua" w:cs="Arial"/>
        </w:rPr>
        <w:t xml:space="preserve"> of cases, IBD care provided in the ED could have been effectively and safely mana</w:t>
      </w:r>
      <w:r w:rsidR="006644D1" w:rsidRPr="003A1E48">
        <w:rPr>
          <w:rFonts w:ascii="Book Antiqua" w:hAnsi="Book Antiqua" w:cs="Arial"/>
        </w:rPr>
        <w:t xml:space="preserve">ged in a more cost-optimized outpatient </w:t>
      </w:r>
      <w:proofErr w:type="gramStart"/>
      <w:r w:rsidR="00AD5492" w:rsidRPr="003A1E48">
        <w:rPr>
          <w:rFonts w:ascii="Book Antiqua" w:hAnsi="Book Antiqua" w:cs="Arial"/>
        </w:rPr>
        <w:t>setting</w:t>
      </w:r>
      <w:r w:rsidR="006644D1" w:rsidRPr="003A1E48">
        <w:rPr>
          <w:rFonts w:ascii="Book Antiqua" w:hAnsi="Book Antiqua" w:cs="Arial"/>
        </w:rPr>
        <w:t>s</w:t>
      </w:r>
      <w:proofErr w:type="gramEnd"/>
      <w:r w:rsidR="00D93D61" w:rsidRPr="003A1E48">
        <w:rPr>
          <w:rFonts w:ascii="Book Antiqua" w:hAnsi="Book Antiqua" w:cs="Arial"/>
        </w:rPr>
        <w:t>, preferably by the attending IBD specialist</w:t>
      </w:r>
      <w:r w:rsidR="006644D1" w:rsidRPr="003A1E48">
        <w:rPr>
          <w:rFonts w:ascii="Book Antiqua" w:hAnsi="Book Antiqua" w:cs="Arial"/>
        </w:rPr>
        <w:t>.</w:t>
      </w:r>
    </w:p>
    <w:p w14:paraId="018B65E6" w14:textId="5F8F3237" w:rsidR="006644D1" w:rsidRPr="003A1E48" w:rsidRDefault="00D93D61" w:rsidP="00DD7F70">
      <w:pPr>
        <w:spacing w:line="360" w:lineRule="auto"/>
        <w:ind w:firstLineChars="100" w:firstLine="240"/>
        <w:jc w:val="both"/>
        <w:rPr>
          <w:rFonts w:ascii="Book Antiqua" w:hAnsi="Book Antiqua" w:cs="Arial"/>
        </w:rPr>
      </w:pPr>
      <w:r w:rsidRPr="003A1E48">
        <w:rPr>
          <w:rFonts w:ascii="Book Antiqua" w:hAnsi="Book Antiqua" w:cs="Arial"/>
        </w:rPr>
        <w:t>The</w:t>
      </w:r>
      <w:r w:rsidR="008C62A4" w:rsidRPr="003A1E48">
        <w:rPr>
          <w:rFonts w:ascii="Book Antiqua" w:hAnsi="Book Antiqua" w:cs="Arial"/>
        </w:rPr>
        <w:t xml:space="preserve"> </w:t>
      </w:r>
      <w:r w:rsidR="00F15DFA" w:rsidRPr="003A1E48">
        <w:rPr>
          <w:rFonts w:ascii="Book Antiqua" w:hAnsi="Book Antiqua" w:cs="Arial"/>
        </w:rPr>
        <w:t>need for</w:t>
      </w:r>
      <w:r w:rsidR="008C62A4" w:rsidRPr="003A1E48">
        <w:rPr>
          <w:rFonts w:ascii="Book Antiqua" w:hAnsi="Book Antiqua" w:cs="Arial"/>
        </w:rPr>
        <w:t xml:space="preserve"> </w:t>
      </w:r>
      <w:r w:rsidR="00F15DFA" w:rsidRPr="003A1E48">
        <w:rPr>
          <w:rFonts w:ascii="Book Antiqua" w:hAnsi="Book Antiqua" w:cs="Arial"/>
        </w:rPr>
        <w:t xml:space="preserve">optimized </w:t>
      </w:r>
      <w:r w:rsidR="00916DFF" w:rsidRPr="003A1E48">
        <w:rPr>
          <w:rFonts w:ascii="Book Antiqua" w:hAnsi="Book Antiqua" w:cs="Arial"/>
        </w:rPr>
        <w:t>“</w:t>
      </w:r>
      <w:r w:rsidR="008C62A4" w:rsidRPr="003A1E48">
        <w:rPr>
          <w:rFonts w:ascii="Book Antiqua" w:hAnsi="Book Antiqua" w:cs="Arial"/>
        </w:rPr>
        <w:t>patient access</w:t>
      </w:r>
      <w:r w:rsidR="00916DFF" w:rsidRPr="003A1E48">
        <w:rPr>
          <w:rFonts w:ascii="Book Antiqua" w:hAnsi="Book Antiqua" w:cs="Arial"/>
        </w:rPr>
        <w:t>”</w:t>
      </w:r>
      <w:r w:rsidR="008C62A4" w:rsidRPr="003A1E48">
        <w:rPr>
          <w:rFonts w:ascii="Book Antiqua" w:hAnsi="Book Antiqua" w:cs="Arial"/>
        </w:rPr>
        <w:t xml:space="preserve"> </w:t>
      </w:r>
      <w:r w:rsidR="00F15DFA" w:rsidRPr="003A1E48">
        <w:rPr>
          <w:rFonts w:ascii="Book Antiqua" w:hAnsi="Book Antiqua" w:cs="Arial"/>
        </w:rPr>
        <w:t>and monitoring algor</w:t>
      </w:r>
      <w:r w:rsidR="00CA2AC2" w:rsidRPr="003A1E48">
        <w:rPr>
          <w:rFonts w:ascii="Book Antiqua" w:hAnsi="Book Antiqua" w:cs="Arial"/>
        </w:rPr>
        <w:t>i</w:t>
      </w:r>
      <w:r w:rsidR="00F15DFA" w:rsidRPr="003A1E48">
        <w:rPr>
          <w:rFonts w:ascii="Book Antiqua" w:hAnsi="Book Antiqua" w:cs="Arial"/>
        </w:rPr>
        <w:t xml:space="preserve">thms </w:t>
      </w:r>
      <w:r w:rsidR="008C62A4" w:rsidRPr="003A1E48">
        <w:rPr>
          <w:rFonts w:ascii="Book Antiqua" w:hAnsi="Book Antiqua" w:cs="Arial"/>
        </w:rPr>
        <w:t xml:space="preserve">for specialized care in </w:t>
      </w:r>
      <w:r w:rsidR="00F15DFA" w:rsidRPr="003A1E48">
        <w:rPr>
          <w:rFonts w:ascii="Book Antiqua" w:hAnsi="Book Antiqua" w:cs="Arial"/>
        </w:rPr>
        <w:t xml:space="preserve">acute </w:t>
      </w:r>
      <w:r w:rsidR="008C62A4" w:rsidRPr="003A1E48">
        <w:rPr>
          <w:rFonts w:ascii="Book Antiqua" w:hAnsi="Book Antiqua" w:cs="Arial"/>
        </w:rPr>
        <w:t>IBD</w:t>
      </w:r>
      <w:r w:rsidR="00F15DFA" w:rsidRPr="003A1E48">
        <w:rPr>
          <w:rFonts w:ascii="Book Antiqua" w:hAnsi="Book Antiqua" w:cs="Arial"/>
        </w:rPr>
        <w:t>-</w:t>
      </w:r>
      <w:r w:rsidR="008C62A4" w:rsidRPr="003A1E48">
        <w:rPr>
          <w:rFonts w:ascii="Book Antiqua" w:hAnsi="Book Antiqua" w:cs="Arial"/>
        </w:rPr>
        <w:t xml:space="preserve">related </w:t>
      </w:r>
      <w:r w:rsidR="00F15DFA" w:rsidRPr="003A1E48">
        <w:rPr>
          <w:rFonts w:ascii="Book Antiqua" w:hAnsi="Book Antiqua" w:cs="Arial"/>
        </w:rPr>
        <w:t>conditions</w:t>
      </w:r>
      <w:r w:rsidR="008C62A4" w:rsidRPr="003A1E48">
        <w:rPr>
          <w:rFonts w:ascii="Book Antiqua" w:hAnsi="Book Antiqua" w:cs="Arial"/>
        </w:rPr>
        <w:t xml:space="preserve"> is </w:t>
      </w:r>
      <w:r w:rsidR="00CA2AC2" w:rsidRPr="003A1E48">
        <w:rPr>
          <w:rFonts w:ascii="Book Antiqua" w:hAnsi="Book Antiqua" w:cs="Arial"/>
        </w:rPr>
        <w:t xml:space="preserve">also </w:t>
      </w:r>
      <w:r w:rsidR="008C62A4" w:rsidRPr="003A1E48">
        <w:rPr>
          <w:rFonts w:ascii="Book Antiqua" w:hAnsi="Book Antiqua" w:cs="Arial"/>
        </w:rPr>
        <w:t>expressed</w:t>
      </w:r>
      <w:r w:rsidR="00F15DFA" w:rsidRPr="003A1E48">
        <w:rPr>
          <w:rFonts w:ascii="Book Antiqua" w:hAnsi="Book Antiqua" w:cs="Arial"/>
        </w:rPr>
        <w:t xml:space="preserve"> </w:t>
      </w:r>
      <w:r w:rsidR="008C62A4" w:rsidRPr="003A1E48">
        <w:rPr>
          <w:rFonts w:ascii="Book Antiqua" w:hAnsi="Book Antiqua" w:cs="Arial"/>
        </w:rPr>
        <w:t xml:space="preserve">by </w:t>
      </w:r>
      <w:r w:rsidR="00C06C32" w:rsidRPr="003A1E48">
        <w:rPr>
          <w:rFonts w:ascii="Book Antiqua" w:hAnsi="Book Antiqua" w:cs="Arial"/>
        </w:rPr>
        <w:t xml:space="preserve">the </w:t>
      </w:r>
      <w:r w:rsidR="008C62A4" w:rsidRPr="003A1E48">
        <w:rPr>
          <w:rFonts w:ascii="Book Antiqua" w:hAnsi="Book Antiqua" w:cs="Arial"/>
        </w:rPr>
        <w:t xml:space="preserve">patients. ED care </w:t>
      </w:r>
      <w:r w:rsidR="00F15DFA" w:rsidRPr="003A1E48">
        <w:rPr>
          <w:rFonts w:ascii="Book Antiqua" w:hAnsi="Book Antiqua" w:cs="Arial"/>
        </w:rPr>
        <w:t xml:space="preserve">is associated </w:t>
      </w:r>
      <w:r w:rsidR="00F15DFA" w:rsidRPr="003A1E48">
        <w:rPr>
          <w:rFonts w:ascii="Book Antiqua" w:hAnsi="Book Antiqua" w:cs="Arial"/>
        </w:rPr>
        <w:lastRenderedPageBreak/>
        <w:t>with a high health care burden (</w:t>
      </w:r>
      <w:r w:rsidR="00F15DFA" w:rsidRPr="003A1E48">
        <w:rPr>
          <w:rFonts w:ascii="Book Antiqua" w:hAnsi="Book Antiqua" w:cs="Arial"/>
          <w:i/>
          <w:iCs/>
        </w:rPr>
        <w:t>e.g.</w:t>
      </w:r>
      <w:r w:rsidR="00916DFF" w:rsidRPr="003A1E48">
        <w:rPr>
          <w:rFonts w:ascii="Book Antiqua" w:hAnsi="Book Antiqua" w:cs="Arial"/>
        </w:rPr>
        <w:t>,</w:t>
      </w:r>
      <w:r w:rsidR="008C62A4" w:rsidRPr="003A1E48">
        <w:rPr>
          <w:rFonts w:ascii="Book Antiqua" w:hAnsi="Book Antiqua" w:cs="Arial"/>
        </w:rPr>
        <w:t xml:space="preserve"> long waiting hours, </w:t>
      </w:r>
      <w:r w:rsidR="00F15DFA" w:rsidRPr="003A1E48">
        <w:rPr>
          <w:rFonts w:ascii="Book Antiqua" w:hAnsi="Book Antiqua" w:cs="Arial"/>
        </w:rPr>
        <w:t>assessment and care provided by non-specialized</w:t>
      </w:r>
      <w:r w:rsidR="008C62A4" w:rsidRPr="003A1E48">
        <w:rPr>
          <w:rFonts w:ascii="Book Antiqua" w:hAnsi="Book Antiqua" w:cs="Arial"/>
        </w:rPr>
        <w:t xml:space="preserve"> physicians </w:t>
      </w:r>
      <w:r w:rsidR="00F15DFA" w:rsidRPr="003A1E48">
        <w:rPr>
          <w:rFonts w:ascii="Book Antiqua" w:hAnsi="Book Antiqua" w:cs="Arial"/>
        </w:rPr>
        <w:t>and high costs)</w:t>
      </w:r>
      <w:r w:rsidR="008C62A4" w:rsidRPr="003A1E48">
        <w:rPr>
          <w:rFonts w:ascii="Book Antiqua" w:hAnsi="Book Antiqua" w:cs="Arial"/>
        </w:rPr>
        <w:t xml:space="preserve">. </w:t>
      </w:r>
      <w:r w:rsidR="00D75A2D" w:rsidRPr="003A1E48">
        <w:rPr>
          <w:rFonts w:ascii="Book Antiqua" w:hAnsi="Book Antiqua" w:cs="Arial"/>
        </w:rPr>
        <w:t xml:space="preserve">Based on </w:t>
      </w:r>
      <w:r w:rsidR="00CB34C1" w:rsidRPr="003A1E48">
        <w:rPr>
          <w:rFonts w:ascii="Book Antiqua" w:hAnsi="Book Antiqua" w:cs="Arial"/>
        </w:rPr>
        <w:t>a survey</w:t>
      </w:r>
      <w:r w:rsidR="00D75A2D" w:rsidRPr="003A1E48">
        <w:rPr>
          <w:rFonts w:ascii="Book Antiqua" w:hAnsi="Book Antiqua" w:cs="Arial"/>
        </w:rPr>
        <w:t xml:space="preserve"> from Manitoba, </w:t>
      </w:r>
      <w:r w:rsidR="00CB34C1" w:rsidRPr="003A1E48">
        <w:rPr>
          <w:rFonts w:ascii="Book Antiqua" w:hAnsi="Book Antiqua" w:cs="Arial"/>
        </w:rPr>
        <w:t xml:space="preserve">the majority of persons would be receptive to options other than ED visit when experiencing IBD related symptoms: 77% and 75% of the participants </w:t>
      </w:r>
      <w:r w:rsidR="00F15DFA" w:rsidRPr="003A1E48">
        <w:rPr>
          <w:rFonts w:ascii="Book Antiqua" w:hAnsi="Book Antiqua" w:cs="Arial"/>
        </w:rPr>
        <w:t xml:space="preserve">expressed to </w:t>
      </w:r>
      <w:r w:rsidR="00CB34C1" w:rsidRPr="003A1E48">
        <w:rPr>
          <w:rFonts w:ascii="Book Antiqua" w:hAnsi="Book Antiqua" w:cs="Arial"/>
        </w:rPr>
        <w:t>likely use a phone contact with a specialized IBD nurse, or a gastroenterologist, and 71% would use a walk-in gastroenterology clinic service</w:t>
      </w:r>
      <w:r w:rsidR="00916DFF" w:rsidRPr="003A1E48">
        <w:rPr>
          <w:rFonts w:ascii="Book Antiqua" w:hAnsi="Book Antiqua" w:cs="Arial"/>
          <w:vertAlign w:val="superscript"/>
        </w:rPr>
        <w:t>[17]</w:t>
      </w:r>
      <w:r w:rsidR="00CB34C1" w:rsidRPr="003A1E48">
        <w:rPr>
          <w:rFonts w:ascii="Book Antiqua" w:hAnsi="Book Antiqua" w:cs="Arial"/>
        </w:rPr>
        <w:t xml:space="preserve">. </w:t>
      </w:r>
      <w:r w:rsidR="006A51EE" w:rsidRPr="003A1E48">
        <w:rPr>
          <w:rFonts w:ascii="Book Antiqua" w:hAnsi="Book Antiqua" w:cs="Arial"/>
        </w:rPr>
        <w:t xml:space="preserve">In a previous study, our group evaluated results from patient satisfaction surveys at the MUHC IBD center, using the </w:t>
      </w:r>
      <w:r w:rsidR="00916DFF" w:rsidRPr="003A1E48">
        <w:rPr>
          <w:rFonts w:ascii="Book Antiqua" w:hAnsi="Book Antiqua" w:cs="Arial"/>
        </w:rPr>
        <w:t>“</w:t>
      </w:r>
      <w:r w:rsidR="006A51EE" w:rsidRPr="003A1E48">
        <w:rPr>
          <w:rFonts w:ascii="Book Antiqua" w:hAnsi="Book Antiqua" w:cs="Arial"/>
        </w:rPr>
        <w:t xml:space="preserve">Quality of Care Through the Patient's Eyes </w:t>
      </w:r>
      <w:r w:rsidR="00916DFF" w:rsidRPr="003A1E48">
        <w:rPr>
          <w:rFonts w:ascii="Book Antiqua" w:hAnsi="Book Antiqua" w:cs="Arial"/>
        </w:rPr>
        <w:t>-</w:t>
      </w:r>
      <w:r w:rsidR="006A51EE" w:rsidRPr="003A1E48">
        <w:rPr>
          <w:rFonts w:ascii="Book Antiqua" w:hAnsi="Book Antiqua" w:cs="Arial"/>
        </w:rPr>
        <w:t xml:space="preserve"> Inflammatory Bowel Disease</w:t>
      </w:r>
      <w:r w:rsidR="00916DFF" w:rsidRPr="003A1E48">
        <w:rPr>
          <w:rFonts w:ascii="Book Antiqua" w:hAnsi="Book Antiqua" w:cs="Arial"/>
        </w:rPr>
        <w:t>”</w:t>
      </w:r>
      <w:r w:rsidR="006A51EE" w:rsidRPr="003A1E48">
        <w:rPr>
          <w:rFonts w:ascii="Book Antiqua" w:hAnsi="Book Antiqua" w:cs="Arial"/>
        </w:rPr>
        <w:t xml:space="preserve"> </w:t>
      </w:r>
      <w:proofErr w:type="gramStart"/>
      <w:r w:rsidR="006A51EE" w:rsidRPr="003A1E48">
        <w:rPr>
          <w:rFonts w:ascii="Book Antiqua" w:hAnsi="Book Antiqua" w:cs="Arial"/>
        </w:rPr>
        <w:t>questionnaire</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9]</w:t>
      </w:r>
      <w:r w:rsidR="006A51EE" w:rsidRPr="003A1E48">
        <w:rPr>
          <w:rFonts w:ascii="Book Antiqua" w:hAnsi="Book Antiqua" w:cs="Arial"/>
        </w:rPr>
        <w:t xml:space="preserve">. Results showed that </w:t>
      </w:r>
      <w:r w:rsidR="00916DFF" w:rsidRPr="003A1E48">
        <w:rPr>
          <w:rFonts w:ascii="Book Antiqua" w:hAnsi="Book Antiqua" w:cs="Arial"/>
        </w:rPr>
        <w:t>“</w:t>
      </w:r>
      <w:r w:rsidR="006A51EE" w:rsidRPr="003A1E48">
        <w:rPr>
          <w:rFonts w:ascii="Book Antiqua" w:hAnsi="Book Antiqua" w:cs="Arial"/>
        </w:rPr>
        <w:t>accessibility</w:t>
      </w:r>
      <w:r w:rsidR="00916DFF" w:rsidRPr="003A1E48">
        <w:rPr>
          <w:rFonts w:ascii="Book Antiqua" w:hAnsi="Book Antiqua" w:cs="Arial"/>
        </w:rPr>
        <w:t>”</w:t>
      </w:r>
      <w:r w:rsidR="006A51EE" w:rsidRPr="003A1E48">
        <w:rPr>
          <w:rFonts w:ascii="Book Antiqua" w:hAnsi="Book Antiqua" w:cs="Arial"/>
        </w:rPr>
        <w:t xml:space="preserve"> </w:t>
      </w:r>
      <w:r w:rsidR="003F336D" w:rsidRPr="003A1E48">
        <w:rPr>
          <w:rFonts w:ascii="Book Antiqua" w:hAnsi="Book Antiqua" w:cs="Arial"/>
        </w:rPr>
        <w:t xml:space="preserve">especially </w:t>
      </w:r>
      <w:r w:rsidR="00632513" w:rsidRPr="003A1E48">
        <w:rPr>
          <w:rFonts w:ascii="Book Antiqua" w:hAnsi="Book Antiqua" w:cs="Arial"/>
        </w:rPr>
        <w:t xml:space="preserve">in </w:t>
      </w:r>
      <w:r w:rsidR="003F336D" w:rsidRPr="003A1E48">
        <w:rPr>
          <w:rFonts w:ascii="Book Antiqua" w:hAnsi="Book Antiqua" w:cs="Arial"/>
        </w:rPr>
        <w:t xml:space="preserve">case of acute situation </w:t>
      </w:r>
      <w:r w:rsidR="006A51EE" w:rsidRPr="003A1E48">
        <w:rPr>
          <w:rFonts w:ascii="Book Antiqua" w:hAnsi="Book Antiqua" w:cs="Arial"/>
        </w:rPr>
        <w:t>was one of the lowest rated aspects of perceived quality of care</w:t>
      </w:r>
      <w:r w:rsidR="007E3042" w:rsidRPr="003A1E48">
        <w:rPr>
          <w:rFonts w:ascii="Book Antiqua" w:hAnsi="Book Antiqua" w:cs="Arial"/>
        </w:rPr>
        <w:t xml:space="preserve">. These findings </w:t>
      </w:r>
      <w:r w:rsidR="006A51EE" w:rsidRPr="003A1E48">
        <w:rPr>
          <w:rFonts w:ascii="Book Antiqua" w:hAnsi="Book Antiqua" w:cs="Arial"/>
        </w:rPr>
        <w:t>also strengthen the importance of establishing a new route of patient access to IBD specific care.</w:t>
      </w:r>
    </w:p>
    <w:p w14:paraId="6F768F81" w14:textId="13865155" w:rsidR="00CE5571" w:rsidRPr="003A1E48" w:rsidRDefault="00D936AE" w:rsidP="00DD7F70">
      <w:pPr>
        <w:spacing w:line="360" w:lineRule="auto"/>
        <w:ind w:firstLineChars="100" w:firstLine="240"/>
        <w:jc w:val="both"/>
        <w:rPr>
          <w:rFonts w:ascii="Book Antiqua" w:hAnsi="Book Antiqua" w:cs="Arial"/>
        </w:rPr>
      </w:pPr>
      <w:r w:rsidRPr="003A1E48">
        <w:rPr>
          <w:rFonts w:ascii="Book Antiqua" w:hAnsi="Book Antiqua" w:cs="Arial"/>
        </w:rPr>
        <w:t xml:space="preserve">Our study is the first to </w:t>
      </w:r>
      <w:r w:rsidR="007E3042" w:rsidRPr="003A1E48">
        <w:rPr>
          <w:rFonts w:ascii="Book Antiqua" w:hAnsi="Book Antiqua" w:cs="Arial"/>
        </w:rPr>
        <w:t xml:space="preserve">comparatively </w:t>
      </w:r>
      <w:r w:rsidRPr="003A1E48">
        <w:rPr>
          <w:rFonts w:ascii="Book Antiqua" w:hAnsi="Book Antiqua" w:cs="Arial"/>
        </w:rPr>
        <w:t xml:space="preserve">evaluate </w:t>
      </w:r>
      <w:r w:rsidR="003F336D" w:rsidRPr="003A1E48">
        <w:rPr>
          <w:rFonts w:ascii="Book Antiqua" w:hAnsi="Book Antiqua" w:cs="Arial"/>
        </w:rPr>
        <w:t xml:space="preserve">the performance of RAC and ED care pathways, including </w:t>
      </w:r>
      <w:r w:rsidRPr="003A1E48">
        <w:rPr>
          <w:rFonts w:ascii="Book Antiqua" w:hAnsi="Book Antiqua" w:cs="Arial"/>
        </w:rPr>
        <w:t xml:space="preserve">utilization of diagnostic tests and </w:t>
      </w:r>
      <w:r w:rsidR="003F336D" w:rsidRPr="003A1E48">
        <w:rPr>
          <w:rFonts w:ascii="Book Antiqua" w:hAnsi="Book Antiqua" w:cs="Arial"/>
        </w:rPr>
        <w:t xml:space="preserve">consulting </w:t>
      </w:r>
      <w:r w:rsidRPr="003A1E48">
        <w:rPr>
          <w:rFonts w:ascii="Book Antiqua" w:hAnsi="Book Antiqua" w:cs="Arial"/>
        </w:rPr>
        <w:t xml:space="preserve">services. </w:t>
      </w:r>
      <w:r w:rsidR="00CA7387" w:rsidRPr="003A1E48">
        <w:rPr>
          <w:rFonts w:ascii="Book Antiqua" w:hAnsi="Book Antiqua" w:cs="Arial"/>
        </w:rPr>
        <w:t xml:space="preserve">Our results </w:t>
      </w:r>
      <w:r w:rsidR="00DD3E4C" w:rsidRPr="003A1E48">
        <w:rPr>
          <w:rFonts w:ascii="Book Antiqua" w:hAnsi="Book Antiqua" w:cs="Arial"/>
        </w:rPr>
        <w:t>confirm that</w:t>
      </w:r>
      <w:r w:rsidR="008773E8" w:rsidRPr="003A1E48">
        <w:rPr>
          <w:rFonts w:ascii="Book Antiqua" w:hAnsi="Book Antiqua" w:cs="Arial"/>
        </w:rPr>
        <w:t xml:space="preserve"> objective and rapid evaluation </w:t>
      </w:r>
      <w:r w:rsidR="00DD3E4C" w:rsidRPr="003A1E48">
        <w:rPr>
          <w:rFonts w:ascii="Book Antiqua" w:hAnsi="Book Antiqua" w:cs="Arial"/>
        </w:rPr>
        <w:t xml:space="preserve">was performed at the RAC, including </w:t>
      </w:r>
      <w:r w:rsidR="008773E8" w:rsidRPr="003A1E48">
        <w:rPr>
          <w:rFonts w:ascii="Book Antiqua" w:hAnsi="Book Antiqua" w:cs="Arial"/>
        </w:rPr>
        <w:t>high rate</w:t>
      </w:r>
      <w:r w:rsidR="00DD3E4C" w:rsidRPr="003A1E48">
        <w:rPr>
          <w:rFonts w:ascii="Book Antiqua" w:hAnsi="Book Antiqua" w:cs="Arial"/>
        </w:rPr>
        <w:t>s</w:t>
      </w:r>
      <w:r w:rsidR="008773E8" w:rsidRPr="003A1E48">
        <w:rPr>
          <w:rFonts w:ascii="Book Antiqua" w:hAnsi="Book Antiqua" w:cs="Arial"/>
        </w:rPr>
        <w:t xml:space="preserve"> of CRP and FCAL testing (frequently coupled with </w:t>
      </w:r>
      <w:r w:rsidR="008773E8" w:rsidRPr="003A1E48">
        <w:rPr>
          <w:rFonts w:ascii="Book Antiqua" w:hAnsi="Book Antiqua" w:cs="Arial"/>
          <w:i/>
        </w:rPr>
        <w:t>Clostridium difficile</w:t>
      </w:r>
      <w:r w:rsidR="008773E8" w:rsidRPr="003A1E48">
        <w:rPr>
          <w:rFonts w:ascii="Book Antiqua" w:hAnsi="Book Antiqua" w:cs="Arial"/>
        </w:rPr>
        <w:t xml:space="preserve"> and stool cultures), and </w:t>
      </w:r>
      <w:r w:rsidR="00DD3E4C" w:rsidRPr="003A1E48">
        <w:rPr>
          <w:rFonts w:ascii="Book Antiqua" w:hAnsi="Book Antiqua" w:cs="Arial"/>
        </w:rPr>
        <w:t xml:space="preserve">careful use of </w:t>
      </w:r>
      <w:r w:rsidR="008773E8" w:rsidRPr="003A1E48">
        <w:rPr>
          <w:rFonts w:ascii="Book Antiqua" w:hAnsi="Book Antiqua" w:cs="Arial"/>
        </w:rPr>
        <w:t xml:space="preserve">fast-track endoscopies </w:t>
      </w:r>
      <w:r w:rsidR="00CE5571" w:rsidRPr="003A1E48">
        <w:rPr>
          <w:rFonts w:ascii="Book Antiqua" w:hAnsi="Book Antiqua" w:cs="Arial"/>
        </w:rPr>
        <w:t>in line with</w:t>
      </w:r>
      <w:r w:rsidR="008773E8" w:rsidRPr="003A1E48">
        <w:rPr>
          <w:rFonts w:ascii="Book Antiqua" w:hAnsi="Book Antiqua" w:cs="Arial"/>
        </w:rPr>
        <w:t xml:space="preserve"> a </w:t>
      </w:r>
      <w:r w:rsidR="00DD3E4C" w:rsidRPr="003A1E48">
        <w:rPr>
          <w:rFonts w:ascii="Book Antiqua" w:hAnsi="Book Antiqua" w:cs="Arial"/>
        </w:rPr>
        <w:t>“</w:t>
      </w:r>
      <w:r w:rsidR="008773E8" w:rsidRPr="003A1E48">
        <w:rPr>
          <w:rFonts w:ascii="Book Antiqua" w:hAnsi="Book Antiqua" w:cs="Arial"/>
        </w:rPr>
        <w:t>treat-to-target</w:t>
      </w:r>
      <w:r w:rsidR="00DD3E4C" w:rsidRPr="003A1E48">
        <w:rPr>
          <w:rFonts w:ascii="Book Antiqua" w:hAnsi="Book Antiqua" w:cs="Arial"/>
        </w:rPr>
        <w:t>”</w:t>
      </w:r>
      <w:r w:rsidR="008773E8" w:rsidRPr="003A1E48">
        <w:rPr>
          <w:rFonts w:ascii="Book Antiqua" w:hAnsi="Book Antiqua" w:cs="Arial"/>
        </w:rPr>
        <w:t xml:space="preserve"> framework and objective, timely disease monitoring</w:t>
      </w:r>
      <w:r w:rsidR="00916DFF" w:rsidRPr="003A1E48">
        <w:rPr>
          <w:rFonts w:ascii="Book Antiqua" w:hAnsi="Book Antiqua" w:cs="Arial"/>
          <w:vertAlign w:val="superscript"/>
        </w:rPr>
        <w:t>[5,6]</w:t>
      </w:r>
      <w:r w:rsidR="008773E8" w:rsidRPr="003A1E48">
        <w:rPr>
          <w:rFonts w:ascii="Book Antiqua" w:hAnsi="Book Antiqua" w:cs="Arial"/>
        </w:rPr>
        <w:t>.</w:t>
      </w:r>
      <w:r w:rsidR="00CE5571" w:rsidRPr="003A1E48">
        <w:rPr>
          <w:rFonts w:ascii="Book Antiqua" w:hAnsi="Book Antiqua" w:cs="Arial"/>
        </w:rPr>
        <w:t xml:space="preserve"> Cross sectional imaging was</w:t>
      </w:r>
      <w:r w:rsidR="008773E8" w:rsidRPr="003A1E48">
        <w:rPr>
          <w:rFonts w:ascii="Book Antiqua" w:hAnsi="Book Antiqua" w:cs="Arial"/>
        </w:rPr>
        <w:t xml:space="preserve"> reserved for suspicion of complicated disease behavior</w:t>
      </w:r>
      <w:r w:rsidR="00CE5571" w:rsidRPr="003A1E48">
        <w:rPr>
          <w:rFonts w:ascii="Book Antiqua" w:hAnsi="Book Antiqua" w:cs="Arial"/>
        </w:rPr>
        <w:t xml:space="preserve"> and/or emergency situations</w:t>
      </w:r>
      <w:r w:rsidR="008773E8" w:rsidRPr="003A1E48">
        <w:rPr>
          <w:rFonts w:ascii="Book Antiqua" w:hAnsi="Book Antiqua" w:cs="Arial"/>
        </w:rPr>
        <w:t>, and mainly for CD patients.</w:t>
      </w:r>
    </w:p>
    <w:p w14:paraId="24609390" w14:textId="72CBC429" w:rsidR="00916DFF" w:rsidRPr="003A1E48" w:rsidRDefault="00CE5571"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 xml:space="preserve">In contrast, </w:t>
      </w:r>
      <w:r w:rsidR="00387705" w:rsidRPr="003A1E48">
        <w:rPr>
          <w:rFonts w:ascii="Book Antiqua" w:hAnsi="Book Antiqua" w:cs="Arial"/>
        </w:rPr>
        <w:t>diagnostic test and service</w:t>
      </w:r>
      <w:r w:rsidRPr="003A1E48">
        <w:rPr>
          <w:rFonts w:ascii="Book Antiqua" w:hAnsi="Book Antiqua" w:cs="Arial"/>
        </w:rPr>
        <w:t xml:space="preserve"> utilization by the ED </w:t>
      </w:r>
      <w:r w:rsidR="00DD3E4C" w:rsidRPr="003A1E48">
        <w:rPr>
          <w:rFonts w:ascii="Book Antiqua" w:hAnsi="Book Antiqua" w:cs="Arial"/>
        </w:rPr>
        <w:t xml:space="preserve">was </w:t>
      </w:r>
      <w:r w:rsidRPr="003A1E48">
        <w:rPr>
          <w:rFonts w:ascii="Book Antiqua" w:hAnsi="Book Antiqua" w:cs="Arial"/>
        </w:rPr>
        <w:t>significant</w:t>
      </w:r>
      <w:r w:rsidR="00DD3E4C" w:rsidRPr="003A1E48">
        <w:rPr>
          <w:rFonts w:ascii="Book Antiqua" w:hAnsi="Book Antiqua" w:cs="Arial"/>
        </w:rPr>
        <w:t>ly</w:t>
      </w:r>
      <w:r w:rsidRPr="003A1E48">
        <w:rPr>
          <w:rFonts w:ascii="Book Antiqua" w:hAnsi="Book Antiqua" w:cs="Arial"/>
        </w:rPr>
        <w:t xml:space="preserve"> differen</w:t>
      </w:r>
      <w:r w:rsidR="00DD3E4C" w:rsidRPr="003A1E48">
        <w:rPr>
          <w:rFonts w:ascii="Book Antiqua" w:hAnsi="Book Antiqua" w:cs="Arial"/>
        </w:rPr>
        <w:t xml:space="preserve">t, including a very high utilization of </w:t>
      </w:r>
      <w:r w:rsidR="00916DFF" w:rsidRPr="003A1E48">
        <w:rPr>
          <w:rFonts w:ascii="Book Antiqua" w:hAnsi="Book Antiqua" w:cs="Arial"/>
        </w:rPr>
        <w:t>cross-sectional</w:t>
      </w:r>
      <w:r w:rsidR="00DD3E4C" w:rsidRPr="003A1E48">
        <w:rPr>
          <w:rFonts w:ascii="Book Antiqua" w:hAnsi="Book Antiqua" w:cs="Arial"/>
        </w:rPr>
        <w:t xml:space="preserve"> </w:t>
      </w:r>
      <w:r w:rsidR="005E2BB5" w:rsidRPr="003A1E48">
        <w:rPr>
          <w:rFonts w:ascii="Book Antiqua" w:hAnsi="Book Antiqua" w:cs="Arial"/>
        </w:rPr>
        <w:t>imaging.</w:t>
      </w:r>
      <w:r w:rsidR="00B273F3" w:rsidRPr="003A1E48">
        <w:rPr>
          <w:rFonts w:ascii="Book Antiqua" w:hAnsi="Book Antiqua" w:cs="Arial"/>
        </w:rPr>
        <w:t xml:space="preserve"> More than </w:t>
      </w:r>
      <w:r w:rsidR="00BF27B4" w:rsidRPr="003A1E48">
        <w:rPr>
          <w:rFonts w:ascii="Book Antiqua" w:hAnsi="Book Antiqua" w:cs="Arial"/>
        </w:rPr>
        <w:t>two thirds</w:t>
      </w:r>
      <w:r w:rsidR="00B273F3" w:rsidRPr="003A1E48">
        <w:rPr>
          <w:rFonts w:ascii="Book Antiqua" w:hAnsi="Book Antiqua" w:cs="Arial"/>
        </w:rPr>
        <w:t xml:space="preserve"> of the patients underwent CT</w:t>
      </w:r>
      <w:r w:rsidR="00BF27B4" w:rsidRPr="003A1E48">
        <w:rPr>
          <w:rFonts w:ascii="Book Antiqua" w:hAnsi="Book Antiqua" w:cs="Arial"/>
        </w:rPr>
        <w:t xml:space="preserve"> imaging</w:t>
      </w:r>
      <w:r w:rsidR="00B273F3" w:rsidRPr="003A1E48">
        <w:rPr>
          <w:rFonts w:ascii="Book Antiqua" w:hAnsi="Book Antiqua" w:cs="Arial"/>
        </w:rPr>
        <w:t xml:space="preserve"> who presented to the ED, while in the RAC CT was </w:t>
      </w:r>
      <w:r w:rsidR="00DD3E4C" w:rsidRPr="003A1E48">
        <w:rPr>
          <w:rFonts w:ascii="Book Antiqua" w:hAnsi="Book Antiqua" w:cs="Arial"/>
        </w:rPr>
        <w:t xml:space="preserve">performed </w:t>
      </w:r>
      <w:r w:rsidR="00B273F3" w:rsidRPr="003A1E48">
        <w:rPr>
          <w:rFonts w:ascii="Book Antiqua" w:hAnsi="Book Antiqua" w:cs="Arial"/>
        </w:rPr>
        <w:t>in 6% of the IBD patients.</w:t>
      </w:r>
      <w:r w:rsidR="00E437C6" w:rsidRPr="003A1E48">
        <w:rPr>
          <w:rFonts w:ascii="Book Antiqua" w:hAnsi="Book Antiqua" w:cs="Arial"/>
        </w:rPr>
        <w:t xml:space="preserve"> </w:t>
      </w:r>
      <w:r w:rsidR="005E2BB5" w:rsidRPr="003A1E48">
        <w:rPr>
          <w:rFonts w:ascii="Book Antiqua" w:hAnsi="Book Antiqua" w:cs="Arial"/>
        </w:rPr>
        <w:t xml:space="preserve">The wide use of </w:t>
      </w:r>
      <w:proofErr w:type="spellStart"/>
      <w:r w:rsidR="005E2BB5" w:rsidRPr="003A1E48">
        <w:rPr>
          <w:rFonts w:ascii="Book Antiqua" w:hAnsi="Book Antiqua" w:cs="Arial"/>
        </w:rPr>
        <w:t>abdomino</w:t>
      </w:r>
      <w:proofErr w:type="spellEnd"/>
      <w:r w:rsidR="005E2BB5" w:rsidRPr="003A1E48">
        <w:rPr>
          <w:rFonts w:ascii="Book Antiqua" w:hAnsi="Book Antiqua" w:cs="Arial"/>
        </w:rPr>
        <w:t xml:space="preserve">-pelvic </w:t>
      </w:r>
      <w:r w:rsidR="00B273F3" w:rsidRPr="003A1E48">
        <w:rPr>
          <w:rFonts w:ascii="Book Antiqua" w:hAnsi="Book Antiqua" w:cs="Arial"/>
        </w:rPr>
        <w:t xml:space="preserve">CT </w:t>
      </w:r>
      <w:r w:rsidR="005E2BB5" w:rsidRPr="003A1E48">
        <w:rPr>
          <w:rFonts w:ascii="Book Antiqua" w:hAnsi="Book Antiqua" w:cs="Arial"/>
        </w:rPr>
        <w:t>in</w:t>
      </w:r>
      <w:r w:rsidR="00916DFF" w:rsidRPr="003A1E48">
        <w:rPr>
          <w:rFonts w:ascii="Book Antiqua" w:hAnsi="Book Antiqua" w:cs="Arial"/>
        </w:rPr>
        <w:t xml:space="preserve"> </w:t>
      </w:r>
      <w:r w:rsidR="005E2BB5" w:rsidRPr="003A1E48">
        <w:rPr>
          <w:rFonts w:ascii="Book Antiqua" w:hAnsi="Book Antiqua" w:cs="Arial"/>
        </w:rPr>
        <w:t xml:space="preserve">ED </w:t>
      </w:r>
      <w:r w:rsidR="004A1D2E" w:rsidRPr="003A1E48">
        <w:rPr>
          <w:rFonts w:ascii="Book Antiqua" w:hAnsi="Book Antiqua" w:cs="Arial"/>
        </w:rPr>
        <w:t>is of</w:t>
      </w:r>
      <w:r w:rsidR="005E2BB5" w:rsidRPr="003A1E48">
        <w:rPr>
          <w:rFonts w:ascii="Book Antiqua" w:hAnsi="Book Antiqua" w:cs="Arial"/>
        </w:rPr>
        <w:t xml:space="preserve"> concern for radiation exposure and costs. </w:t>
      </w:r>
      <w:proofErr w:type="spellStart"/>
      <w:r w:rsidR="000A5F83" w:rsidRPr="003A1E48">
        <w:rPr>
          <w:rFonts w:ascii="Book Antiqua" w:hAnsi="Book Antiqua" w:cs="Arial"/>
        </w:rPr>
        <w:t>Yarur</w:t>
      </w:r>
      <w:proofErr w:type="spellEnd"/>
      <w:r w:rsidR="000A5F83" w:rsidRPr="003A1E48">
        <w:rPr>
          <w:rFonts w:ascii="Book Antiqua" w:hAnsi="Book Antiqua" w:cs="Arial"/>
        </w:rPr>
        <w:t xml:space="preserve"> </w:t>
      </w:r>
      <w:r w:rsidR="000A5F83" w:rsidRPr="003A1E48">
        <w:rPr>
          <w:rFonts w:ascii="Book Antiqua" w:hAnsi="Book Antiqua" w:cs="Arial"/>
          <w:i/>
          <w:iCs/>
        </w:rPr>
        <w:t xml:space="preserve">et </w:t>
      </w:r>
      <w:proofErr w:type="gramStart"/>
      <w:r w:rsidR="000A5F83" w:rsidRPr="003A1E48">
        <w:rPr>
          <w:rFonts w:ascii="Book Antiqua" w:hAnsi="Book Antiqua" w:cs="Arial"/>
          <w:i/>
          <w:iCs/>
        </w:rPr>
        <w:t>al</w:t>
      </w:r>
      <w:r w:rsidR="003A1E48" w:rsidRPr="003A1E48">
        <w:rPr>
          <w:rFonts w:ascii="Book Antiqua" w:hAnsi="Book Antiqua" w:cs="Arial"/>
          <w:vertAlign w:val="superscript"/>
        </w:rPr>
        <w:t>[</w:t>
      </w:r>
      <w:proofErr w:type="gramEnd"/>
      <w:r w:rsidR="003A1E48" w:rsidRPr="003A1E48">
        <w:rPr>
          <w:rFonts w:ascii="Book Antiqua" w:hAnsi="Book Antiqua" w:cs="Arial"/>
          <w:vertAlign w:val="superscript"/>
        </w:rPr>
        <w:t>18]</w:t>
      </w:r>
      <w:r w:rsidR="000A5F83" w:rsidRPr="003A1E48">
        <w:rPr>
          <w:rFonts w:ascii="Book Antiqua" w:hAnsi="Book Antiqua" w:cs="Arial"/>
        </w:rPr>
        <w:t xml:space="preserve"> found in a cross-sectional study that </w:t>
      </w:r>
      <w:r w:rsidR="008E3159" w:rsidRPr="003A1E48">
        <w:rPr>
          <w:rFonts w:ascii="Book Antiqua" w:hAnsi="Book Antiqua" w:cs="Arial"/>
        </w:rPr>
        <w:t xml:space="preserve">the rate of </w:t>
      </w:r>
      <w:r w:rsidR="005E2BB5" w:rsidRPr="003A1E48">
        <w:rPr>
          <w:rFonts w:ascii="Book Antiqua" w:hAnsi="Book Antiqua" w:cs="Arial"/>
        </w:rPr>
        <w:t>clin</w:t>
      </w:r>
      <w:r w:rsidR="008E3159" w:rsidRPr="003A1E48">
        <w:rPr>
          <w:rFonts w:ascii="Book Antiqua" w:hAnsi="Book Antiqua" w:cs="Arial"/>
        </w:rPr>
        <w:t xml:space="preserve">ically actionable finding with </w:t>
      </w:r>
      <w:r w:rsidR="00916DFF" w:rsidRPr="003A1E48">
        <w:rPr>
          <w:rFonts w:ascii="Book Antiqua" w:hAnsi="Book Antiqua" w:cs="Arial"/>
        </w:rPr>
        <w:t>abdomin</w:t>
      </w:r>
      <w:r w:rsidR="008E3159" w:rsidRPr="003A1E48">
        <w:rPr>
          <w:rFonts w:ascii="Book Antiqua" w:hAnsi="Book Antiqua" w:cs="Arial"/>
        </w:rPr>
        <w:t xml:space="preserve">-pelvic </w:t>
      </w:r>
      <w:r w:rsidR="005E2BB5" w:rsidRPr="003A1E48">
        <w:rPr>
          <w:rFonts w:ascii="Book Antiqua" w:hAnsi="Book Antiqua" w:cs="Arial"/>
        </w:rPr>
        <w:t xml:space="preserve">CT was </w:t>
      </w:r>
      <w:r w:rsidR="008E3159" w:rsidRPr="003A1E48">
        <w:rPr>
          <w:rFonts w:ascii="Book Antiqua" w:hAnsi="Book Antiqua" w:cs="Arial"/>
        </w:rPr>
        <w:t>moderate</w:t>
      </w:r>
      <w:r w:rsidR="005E2BB5" w:rsidRPr="003A1E48">
        <w:rPr>
          <w:rFonts w:ascii="Book Antiqua" w:hAnsi="Book Antiqua" w:cs="Arial"/>
        </w:rPr>
        <w:t xml:space="preserve"> for CD patients</w:t>
      </w:r>
      <w:r w:rsidR="008E3159" w:rsidRPr="003A1E48">
        <w:rPr>
          <w:rFonts w:ascii="Book Antiqua" w:hAnsi="Book Antiqua" w:cs="Arial"/>
        </w:rPr>
        <w:t xml:space="preserve"> (32.1%)</w:t>
      </w:r>
      <w:r w:rsidR="005E2BB5" w:rsidRPr="003A1E48">
        <w:rPr>
          <w:rFonts w:ascii="Book Antiqua" w:hAnsi="Book Antiqua" w:cs="Arial"/>
        </w:rPr>
        <w:t xml:space="preserve"> but minimal for UC </w:t>
      </w:r>
      <w:r w:rsidR="008E3159" w:rsidRPr="003A1E48">
        <w:rPr>
          <w:rFonts w:ascii="Book Antiqua" w:hAnsi="Book Antiqua" w:cs="Arial"/>
        </w:rPr>
        <w:t xml:space="preserve">(12.8%) </w:t>
      </w:r>
      <w:r w:rsidR="005E2BB5" w:rsidRPr="003A1E48">
        <w:rPr>
          <w:rFonts w:ascii="Book Antiqua" w:hAnsi="Book Antiqua" w:cs="Arial"/>
        </w:rPr>
        <w:t xml:space="preserve">patients </w:t>
      </w:r>
      <w:r w:rsidR="008E3159" w:rsidRPr="003A1E48">
        <w:rPr>
          <w:rFonts w:ascii="Book Antiqua" w:hAnsi="Book Antiqua" w:cs="Arial"/>
        </w:rPr>
        <w:t>who visited the ED in the United States</w:t>
      </w:r>
      <w:r w:rsidR="00A043A9" w:rsidRPr="003A1E48">
        <w:rPr>
          <w:rFonts w:ascii="Book Antiqua" w:hAnsi="Book Antiqua" w:cs="Arial"/>
        </w:rPr>
        <w:t>.</w:t>
      </w:r>
      <w:r w:rsidR="008E3159" w:rsidRPr="003A1E48">
        <w:rPr>
          <w:rFonts w:ascii="Book Antiqua" w:hAnsi="Book Antiqua" w:cs="Arial"/>
        </w:rPr>
        <w:t xml:space="preserve"> </w:t>
      </w:r>
      <w:r w:rsidR="002B26CB" w:rsidRPr="003A1E48">
        <w:rPr>
          <w:rFonts w:ascii="Book Antiqua" w:hAnsi="Book Antiqua" w:cs="Arial"/>
        </w:rPr>
        <w:t xml:space="preserve">For comparison, </w:t>
      </w:r>
      <w:r w:rsidR="004A1D2E" w:rsidRPr="003A1E48">
        <w:rPr>
          <w:rFonts w:ascii="Book Antiqua" w:hAnsi="Book Antiqua" w:cs="Arial"/>
        </w:rPr>
        <w:t>in the present study,</w:t>
      </w:r>
      <w:r w:rsidR="002B26CB" w:rsidRPr="003A1E48">
        <w:rPr>
          <w:rFonts w:ascii="Book Antiqua" w:hAnsi="Book Antiqua" w:cs="Arial"/>
        </w:rPr>
        <w:t xml:space="preserve"> 47.3% of patients underwent CT in the ED</w:t>
      </w:r>
      <w:r w:rsidR="004A1D2E" w:rsidRPr="003A1E48">
        <w:rPr>
          <w:rFonts w:ascii="Book Antiqua" w:hAnsi="Book Antiqua" w:cs="Arial"/>
        </w:rPr>
        <w:t xml:space="preserve"> even in UC</w:t>
      </w:r>
      <w:r w:rsidR="002B26CB" w:rsidRPr="003A1E48">
        <w:rPr>
          <w:rFonts w:ascii="Book Antiqua" w:hAnsi="Book Antiqua" w:cs="Arial"/>
        </w:rPr>
        <w:t xml:space="preserve">. </w:t>
      </w:r>
      <w:r w:rsidR="008773E8" w:rsidRPr="003A1E48">
        <w:rPr>
          <w:rFonts w:ascii="Book Antiqua" w:hAnsi="Book Antiqua" w:cs="Arial"/>
        </w:rPr>
        <w:t>FCAL test</w:t>
      </w:r>
      <w:r w:rsidR="00C219B5" w:rsidRPr="003A1E48">
        <w:rPr>
          <w:rFonts w:ascii="Book Antiqua" w:hAnsi="Book Antiqua" w:cs="Arial"/>
        </w:rPr>
        <w:t xml:space="preserve"> was </w:t>
      </w:r>
      <w:r w:rsidR="008773E8" w:rsidRPr="003A1E48">
        <w:rPr>
          <w:rFonts w:ascii="Book Antiqua" w:hAnsi="Book Antiqua" w:cs="Arial"/>
        </w:rPr>
        <w:t xml:space="preserve">performed </w:t>
      </w:r>
      <w:r w:rsidR="004A1D2E" w:rsidRPr="003A1E48">
        <w:rPr>
          <w:rFonts w:ascii="Book Antiqua" w:hAnsi="Book Antiqua" w:cs="Arial"/>
        </w:rPr>
        <w:t xml:space="preserve">only </w:t>
      </w:r>
      <w:r w:rsidR="008773E8" w:rsidRPr="003A1E48">
        <w:rPr>
          <w:rFonts w:ascii="Book Antiqua" w:hAnsi="Book Antiqua" w:cs="Arial"/>
        </w:rPr>
        <w:t>in 10.4%</w:t>
      </w:r>
      <w:r w:rsidR="00C219B5" w:rsidRPr="003A1E48">
        <w:rPr>
          <w:rFonts w:ascii="Book Antiqua" w:hAnsi="Book Antiqua" w:cs="Arial"/>
        </w:rPr>
        <w:t xml:space="preserve"> of </w:t>
      </w:r>
      <w:r w:rsidR="00541FE0" w:rsidRPr="003A1E48">
        <w:rPr>
          <w:rFonts w:ascii="Book Antiqua" w:hAnsi="Book Antiqua" w:cs="Arial"/>
        </w:rPr>
        <w:t xml:space="preserve">the </w:t>
      </w:r>
      <w:r w:rsidR="00C219B5" w:rsidRPr="003A1E48">
        <w:rPr>
          <w:rFonts w:ascii="Book Antiqua" w:hAnsi="Book Antiqua" w:cs="Arial"/>
        </w:rPr>
        <w:t>ED visits</w:t>
      </w:r>
      <w:r w:rsidR="00541FE0" w:rsidRPr="003A1E48">
        <w:rPr>
          <w:rFonts w:ascii="Book Antiqua" w:hAnsi="Book Antiqua" w:cs="Arial"/>
        </w:rPr>
        <w:t xml:space="preserve"> in </w:t>
      </w:r>
      <w:r w:rsidR="004A1D2E" w:rsidRPr="003A1E48">
        <w:rPr>
          <w:rFonts w:ascii="Book Antiqua" w:hAnsi="Book Antiqua" w:cs="Arial"/>
        </w:rPr>
        <w:t xml:space="preserve">the present </w:t>
      </w:r>
      <w:r w:rsidR="00541FE0" w:rsidRPr="003A1E48">
        <w:rPr>
          <w:rFonts w:ascii="Book Antiqua" w:hAnsi="Book Antiqua" w:cs="Arial"/>
        </w:rPr>
        <w:t>study</w:t>
      </w:r>
      <w:r w:rsidR="00C219B5" w:rsidRPr="003A1E48">
        <w:rPr>
          <w:rFonts w:ascii="Book Antiqua" w:hAnsi="Book Antiqua" w:cs="Arial"/>
        </w:rPr>
        <w:t>.</w:t>
      </w:r>
      <w:r w:rsidRPr="003A1E48">
        <w:rPr>
          <w:rFonts w:ascii="Book Antiqua" w:hAnsi="Book Antiqua" w:cs="Arial"/>
        </w:rPr>
        <w:t xml:space="preserve"> </w:t>
      </w:r>
      <w:r w:rsidR="005E2BB5" w:rsidRPr="003A1E48">
        <w:rPr>
          <w:rFonts w:ascii="Book Antiqua" w:hAnsi="Book Antiqua" w:cs="Arial"/>
        </w:rPr>
        <w:t xml:space="preserve">The high frequency of urgent/same day hospitalizations </w:t>
      </w:r>
      <w:r w:rsidR="00EF43C6" w:rsidRPr="003A1E48">
        <w:rPr>
          <w:rFonts w:ascii="Book Antiqua" w:hAnsi="Book Antiqua" w:cs="Arial"/>
        </w:rPr>
        <w:t>and relatively long in</w:t>
      </w:r>
      <w:r w:rsidR="00BF27B4" w:rsidRPr="003A1E48">
        <w:rPr>
          <w:rFonts w:ascii="Book Antiqua" w:hAnsi="Book Antiqua" w:cs="Arial"/>
        </w:rPr>
        <w:t>-</w:t>
      </w:r>
      <w:r w:rsidR="00EF43C6" w:rsidRPr="003A1E48">
        <w:rPr>
          <w:rFonts w:ascii="Book Antiqua" w:hAnsi="Book Antiqua" w:cs="Arial"/>
        </w:rPr>
        <w:t xml:space="preserve">hospital </w:t>
      </w:r>
      <w:r w:rsidR="00EF43C6" w:rsidRPr="003A1E48">
        <w:rPr>
          <w:rFonts w:ascii="Book Antiqua" w:hAnsi="Book Antiqua" w:cs="Arial"/>
        </w:rPr>
        <w:lastRenderedPageBreak/>
        <w:t xml:space="preserve">stay </w:t>
      </w:r>
      <w:r w:rsidR="00916DFF" w:rsidRPr="003A1E48">
        <w:rPr>
          <w:rFonts w:ascii="Book Antiqua" w:hAnsi="Book Antiqua" w:cs="Arial"/>
        </w:rPr>
        <w:t>[</w:t>
      </w:r>
      <w:r w:rsidR="00EF43C6" w:rsidRPr="003A1E48">
        <w:rPr>
          <w:rFonts w:ascii="Book Antiqua" w:hAnsi="Book Antiqua" w:cs="Arial"/>
        </w:rPr>
        <w:t>5</w:t>
      </w:r>
      <w:r w:rsidR="003A0A51" w:rsidRPr="003A1E48">
        <w:rPr>
          <w:rFonts w:ascii="Book Antiqua" w:hAnsi="Book Antiqua" w:cs="Arial"/>
        </w:rPr>
        <w:t xml:space="preserve"> d</w:t>
      </w:r>
      <w:r w:rsidR="00EF43C6" w:rsidRPr="003A1E48">
        <w:rPr>
          <w:rFonts w:ascii="Book Antiqua" w:hAnsi="Book Antiqua" w:cs="Arial"/>
        </w:rPr>
        <w:t xml:space="preserve">, </w:t>
      </w:r>
      <w:r w:rsidR="003A0A51" w:rsidRPr="003A1E48">
        <w:rPr>
          <w:rFonts w:ascii="Book Antiqua" w:hAnsi="Book Antiqua" w:cs="Arial"/>
        </w:rPr>
        <w:t>(</w:t>
      </w:r>
      <w:r w:rsidR="00EF43C6" w:rsidRPr="003A1E48">
        <w:rPr>
          <w:rFonts w:ascii="Book Antiqua" w:hAnsi="Book Antiqua" w:cs="Arial"/>
        </w:rPr>
        <w:t>IQR 3-10 d</w:t>
      </w:r>
      <w:r w:rsidR="003A0A51" w:rsidRPr="003A1E48">
        <w:rPr>
          <w:rFonts w:ascii="Book Antiqua" w:hAnsi="Book Antiqua" w:cs="Arial"/>
        </w:rPr>
        <w:t>)</w:t>
      </w:r>
      <w:r w:rsidR="00916DFF" w:rsidRPr="003A1E48">
        <w:rPr>
          <w:rFonts w:ascii="Book Antiqua" w:hAnsi="Book Antiqua" w:cs="Arial"/>
        </w:rPr>
        <w:t>]</w:t>
      </w:r>
      <w:r w:rsidR="00EF43C6" w:rsidRPr="003A1E48">
        <w:rPr>
          <w:rFonts w:ascii="Book Antiqua" w:hAnsi="Book Antiqua" w:cs="Arial"/>
        </w:rPr>
        <w:t xml:space="preserve"> </w:t>
      </w:r>
      <w:r w:rsidR="005E2BB5" w:rsidRPr="003A1E48">
        <w:rPr>
          <w:rFonts w:ascii="Book Antiqua" w:hAnsi="Book Antiqua" w:cs="Arial"/>
        </w:rPr>
        <w:t xml:space="preserve">by the ED is also an important aspect of excessive resource utilizations. </w:t>
      </w:r>
    </w:p>
    <w:p w14:paraId="7B60CBBB" w14:textId="527602ED" w:rsidR="00916DFF" w:rsidRPr="003A1E48" w:rsidRDefault="00E57C87"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Of note, 10% of the RAC patients underwent abdominal ultrasound</w:t>
      </w:r>
      <w:r w:rsidR="00BF04D7" w:rsidRPr="003A1E48">
        <w:rPr>
          <w:rFonts w:ascii="Book Antiqua" w:hAnsi="Book Antiqua" w:cs="Arial"/>
        </w:rPr>
        <w:t xml:space="preserve"> (US) examination as part of their evaluation</w:t>
      </w:r>
      <w:r w:rsidRPr="003A1E48">
        <w:rPr>
          <w:rFonts w:ascii="Book Antiqua" w:hAnsi="Book Antiqua" w:cs="Arial"/>
        </w:rPr>
        <w:t xml:space="preserve">. </w:t>
      </w:r>
      <w:r w:rsidR="00916DFF" w:rsidRPr="003A1E48">
        <w:rPr>
          <w:rFonts w:ascii="Book Antiqua" w:hAnsi="Book Antiqua" w:cs="Arial"/>
        </w:rPr>
        <w:t>US</w:t>
      </w:r>
      <w:r w:rsidRPr="003A1E48">
        <w:rPr>
          <w:rFonts w:ascii="Book Antiqua" w:hAnsi="Book Antiqua" w:cs="Arial"/>
        </w:rPr>
        <w:t xml:space="preserve"> was the preferred method of choice </w:t>
      </w:r>
      <w:r w:rsidR="00D510C1" w:rsidRPr="003A1E48">
        <w:rPr>
          <w:rFonts w:ascii="Book Antiqua" w:hAnsi="Book Antiqua" w:cs="Arial"/>
        </w:rPr>
        <w:t xml:space="preserve">against CT or MRI imaging </w:t>
      </w:r>
      <w:r w:rsidRPr="003A1E48">
        <w:rPr>
          <w:rFonts w:ascii="Book Antiqua" w:hAnsi="Book Antiqua" w:cs="Arial"/>
        </w:rPr>
        <w:t xml:space="preserve">in patients with </w:t>
      </w:r>
      <w:r w:rsidR="00D510C1" w:rsidRPr="003A1E48">
        <w:rPr>
          <w:rFonts w:ascii="Book Antiqua" w:hAnsi="Book Antiqua" w:cs="Arial"/>
        </w:rPr>
        <w:t xml:space="preserve">the </w:t>
      </w:r>
      <w:r w:rsidRPr="003A1E48">
        <w:rPr>
          <w:rFonts w:ascii="Book Antiqua" w:hAnsi="Book Antiqua" w:cs="Arial"/>
        </w:rPr>
        <w:t>appropriate disease phenotype.</w:t>
      </w:r>
      <w:r w:rsidR="00BF04D7" w:rsidRPr="003A1E48">
        <w:rPr>
          <w:rFonts w:ascii="Book Antiqua" w:hAnsi="Book Antiqua" w:cs="Arial"/>
        </w:rPr>
        <w:t xml:space="preserve"> Transabdominal US was reported to have comparable overall sensitivity and specificity to MRI and CT imaging in diagnosing ileal </w:t>
      </w:r>
      <w:proofErr w:type="gramStart"/>
      <w:r w:rsidR="00BF04D7" w:rsidRPr="003A1E48">
        <w:rPr>
          <w:rFonts w:ascii="Book Antiqua" w:hAnsi="Book Antiqua" w:cs="Arial"/>
        </w:rPr>
        <w:t>CD</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1</w:t>
      </w:r>
      <w:r w:rsidR="00A043A9" w:rsidRPr="003A1E48">
        <w:rPr>
          <w:rFonts w:ascii="Book Antiqua" w:hAnsi="Book Antiqua" w:cs="Arial"/>
          <w:vertAlign w:val="superscript"/>
        </w:rPr>
        <w:t>9</w:t>
      </w:r>
      <w:r w:rsidR="00916DFF" w:rsidRPr="003A1E48">
        <w:rPr>
          <w:rFonts w:ascii="Book Antiqua" w:hAnsi="Book Antiqua" w:cs="Arial"/>
          <w:vertAlign w:val="superscript"/>
        </w:rPr>
        <w:t>,</w:t>
      </w:r>
      <w:r w:rsidR="00A043A9" w:rsidRPr="003A1E48">
        <w:rPr>
          <w:rFonts w:ascii="Book Antiqua" w:hAnsi="Book Antiqua" w:cs="Arial"/>
          <w:vertAlign w:val="superscript"/>
        </w:rPr>
        <w:t>20</w:t>
      </w:r>
      <w:r w:rsidR="00916DFF" w:rsidRPr="003A1E48">
        <w:rPr>
          <w:rFonts w:ascii="Book Antiqua" w:hAnsi="Book Antiqua" w:cs="Arial"/>
          <w:vertAlign w:val="superscript"/>
        </w:rPr>
        <w:t>]</w:t>
      </w:r>
      <w:r w:rsidR="00BF04D7" w:rsidRPr="003A1E48">
        <w:rPr>
          <w:rFonts w:ascii="Book Antiqua" w:hAnsi="Book Antiqua" w:cs="Arial"/>
        </w:rPr>
        <w:t xml:space="preserve">. </w:t>
      </w:r>
      <w:r w:rsidR="00393164" w:rsidRPr="003A1E48">
        <w:rPr>
          <w:rFonts w:ascii="Book Antiqua" w:hAnsi="Book Antiqua" w:cs="Arial"/>
        </w:rPr>
        <w:t xml:space="preserve">The evolution of </w:t>
      </w:r>
      <w:r w:rsidR="00916DFF" w:rsidRPr="003A1E48">
        <w:rPr>
          <w:rFonts w:ascii="Book Antiqua" w:hAnsi="Book Antiqua" w:cs="Arial"/>
        </w:rPr>
        <w:t>US</w:t>
      </w:r>
      <w:r w:rsidR="00393164" w:rsidRPr="003A1E48">
        <w:rPr>
          <w:rFonts w:ascii="Book Antiqua" w:hAnsi="Book Antiqua" w:cs="Arial"/>
        </w:rPr>
        <w:t xml:space="preserve"> equipment, growing expertise, rapid access and relatively low costs </w:t>
      </w:r>
      <w:r w:rsidR="00D510C1" w:rsidRPr="003A1E48">
        <w:rPr>
          <w:rFonts w:ascii="Book Antiqua" w:hAnsi="Book Antiqua" w:cs="Arial"/>
        </w:rPr>
        <w:t>lead</w:t>
      </w:r>
      <w:r w:rsidR="00393164" w:rsidRPr="003A1E48">
        <w:rPr>
          <w:rFonts w:ascii="Book Antiqua" w:hAnsi="Book Antiqua" w:cs="Arial"/>
        </w:rPr>
        <w:t xml:space="preserve"> to a growing </w:t>
      </w:r>
      <w:r w:rsidR="00D510C1" w:rsidRPr="003A1E48">
        <w:rPr>
          <w:rFonts w:ascii="Book Antiqua" w:hAnsi="Book Antiqua" w:cs="Arial"/>
        </w:rPr>
        <w:t>use</w:t>
      </w:r>
      <w:r w:rsidR="00393164" w:rsidRPr="003A1E48">
        <w:rPr>
          <w:rFonts w:ascii="Book Antiqua" w:hAnsi="Book Antiqua" w:cs="Arial"/>
        </w:rPr>
        <w:t xml:space="preserve"> of intestinal </w:t>
      </w:r>
      <w:r w:rsidR="00916DFF" w:rsidRPr="003A1E48">
        <w:rPr>
          <w:rFonts w:ascii="Book Antiqua" w:hAnsi="Book Antiqua" w:cs="Arial"/>
        </w:rPr>
        <w:t>US</w:t>
      </w:r>
      <w:r w:rsidR="00393164" w:rsidRPr="003A1E48">
        <w:rPr>
          <w:rFonts w:ascii="Book Antiqua" w:hAnsi="Book Antiqua" w:cs="Arial"/>
        </w:rPr>
        <w:t xml:space="preserve"> in </w:t>
      </w:r>
      <w:r w:rsidR="00D510C1" w:rsidRPr="003A1E48">
        <w:rPr>
          <w:rFonts w:ascii="Book Antiqua" w:hAnsi="Book Antiqua" w:cs="Arial"/>
        </w:rPr>
        <w:t>the</w:t>
      </w:r>
      <w:r w:rsidR="00393164" w:rsidRPr="003A1E48">
        <w:rPr>
          <w:rFonts w:ascii="Book Antiqua" w:hAnsi="Book Antiqua" w:cs="Arial"/>
        </w:rPr>
        <w:t xml:space="preserve"> clinical assessment of IBD patients, especially in countries where </w:t>
      </w:r>
      <w:r w:rsidR="00D510C1" w:rsidRPr="003A1E48">
        <w:rPr>
          <w:rFonts w:ascii="Book Antiqua" w:hAnsi="Book Antiqua" w:cs="Arial"/>
        </w:rPr>
        <w:t>the use of abdominal ultrasonography</w:t>
      </w:r>
      <w:r w:rsidR="00393164" w:rsidRPr="003A1E48">
        <w:rPr>
          <w:rFonts w:ascii="Book Antiqua" w:hAnsi="Book Antiqua" w:cs="Arial"/>
        </w:rPr>
        <w:t xml:space="preserve"> has a traditional</w:t>
      </w:r>
      <w:r w:rsidR="00D510C1" w:rsidRPr="003A1E48">
        <w:rPr>
          <w:rFonts w:ascii="Book Antiqua" w:hAnsi="Book Antiqua" w:cs="Arial"/>
        </w:rPr>
        <w:t xml:space="preserve"> role in everyday gastroenterology practice, </w:t>
      </w:r>
      <w:r w:rsidR="00D510C1" w:rsidRPr="003A1E48">
        <w:rPr>
          <w:rFonts w:ascii="Book Antiqua" w:hAnsi="Book Antiqua" w:cs="Arial"/>
          <w:i/>
          <w:iCs/>
        </w:rPr>
        <w:t>e.g.</w:t>
      </w:r>
      <w:r w:rsidR="00916DFF" w:rsidRPr="003A1E48">
        <w:rPr>
          <w:rFonts w:ascii="Book Antiqua" w:hAnsi="Book Antiqua" w:cs="Arial"/>
        </w:rPr>
        <w:t>,</w:t>
      </w:r>
      <w:r w:rsidR="00D510C1" w:rsidRPr="003A1E48">
        <w:rPr>
          <w:rFonts w:ascii="Book Antiqua" w:hAnsi="Book Antiqua" w:cs="Arial"/>
        </w:rPr>
        <w:t xml:space="preserve"> Germany, </w:t>
      </w:r>
      <w:proofErr w:type="gramStart"/>
      <w:r w:rsidR="00D510C1" w:rsidRPr="003A1E48">
        <w:rPr>
          <w:rFonts w:ascii="Book Antiqua" w:hAnsi="Book Antiqua" w:cs="Arial"/>
        </w:rPr>
        <w:t>Italy</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2</w:t>
      </w:r>
      <w:r w:rsidR="00A043A9" w:rsidRPr="003A1E48">
        <w:rPr>
          <w:rFonts w:ascii="Book Antiqua" w:hAnsi="Book Antiqua" w:cs="Arial"/>
          <w:vertAlign w:val="superscript"/>
        </w:rPr>
        <w:t>1</w:t>
      </w:r>
      <w:r w:rsidR="00916DFF" w:rsidRPr="003A1E48">
        <w:rPr>
          <w:rFonts w:ascii="Book Antiqua" w:hAnsi="Book Antiqua" w:cs="Arial"/>
          <w:vertAlign w:val="superscript"/>
        </w:rPr>
        <w:t>]</w:t>
      </w:r>
      <w:r w:rsidR="00D510C1" w:rsidRPr="003A1E48">
        <w:rPr>
          <w:rFonts w:ascii="Book Antiqua" w:hAnsi="Book Antiqua" w:cs="Arial"/>
        </w:rPr>
        <w:t>.</w:t>
      </w:r>
      <w:r w:rsidR="00393164" w:rsidRPr="003A1E48">
        <w:rPr>
          <w:rFonts w:ascii="Book Antiqua" w:hAnsi="Book Antiqua" w:cs="Arial"/>
        </w:rPr>
        <w:t xml:space="preserve"> </w:t>
      </w:r>
      <w:r w:rsidR="00BF04D7" w:rsidRPr="003A1E48">
        <w:rPr>
          <w:rFonts w:ascii="Book Antiqua" w:hAnsi="Book Antiqua" w:cs="Arial"/>
        </w:rPr>
        <w:t>A recent study showed that point of care US examinations could play a significant role in guiding therapeutic</w:t>
      </w:r>
      <w:r w:rsidR="00E13329" w:rsidRPr="003A1E48">
        <w:rPr>
          <w:rFonts w:ascii="Book Antiqua" w:hAnsi="Book Antiqua" w:cs="Arial"/>
        </w:rPr>
        <w:t xml:space="preserve"> </w:t>
      </w:r>
      <w:r w:rsidR="00BF04D7" w:rsidRPr="003A1E48">
        <w:rPr>
          <w:rFonts w:ascii="Book Antiqua" w:hAnsi="Book Antiqua" w:cs="Arial"/>
        </w:rPr>
        <w:t>management in CD, althou</w:t>
      </w:r>
      <w:r w:rsidR="00E13329" w:rsidRPr="003A1E48">
        <w:rPr>
          <w:rFonts w:ascii="Book Antiqua" w:hAnsi="Book Antiqua" w:cs="Arial"/>
        </w:rPr>
        <w:t xml:space="preserve">gh the proper characterization of disease specific lesions requires </w:t>
      </w:r>
      <w:r w:rsidR="00BF04D7" w:rsidRPr="003A1E48">
        <w:rPr>
          <w:rFonts w:ascii="Book Antiqua" w:hAnsi="Book Antiqua" w:cs="Arial"/>
        </w:rPr>
        <w:t xml:space="preserve">training </w:t>
      </w:r>
      <w:r w:rsidR="00E13329" w:rsidRPr="003A1E48">
        <w:rPr>
          <w:rFonts w:ascii="Book Antiqua" w:hAnsi="Book Antiqua" w:cs="Arial"/>
        </w:rPr>
        <w:t xml:space="preserve">and </w:t>
      </w:r>
      <w:proofErr w:type="gramStart"/>
      <w:r w:rsidR="00E13329" w:rsidRPr="003A1E48">
        <w:rPr>
          <w:rFonts w:ascii="Book Antiqua" w:hAnsi="Book Antiqua" w:cs="Arial"/>
        </w:rPr>
        <w:t>expertise</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2</w:t>
      </w:r>
      <w:r w:rsidR="00A043A9" w:rsidRPr="003A1E48">
        <w:rPr>
          <w:rFonts w:ascii="Book Antiqua" w:hAnsi="Book Antiqua" w:cs="Arial"/>
          <w:vertAlign w:val="superscript"/>
        </w:rPr>
        <w:t>2</w:t>
      </w:r>
      <w:r w:rsidR="00916DFF" w:rsidRPr="003A1E48">
        <w:rPr>
          <w:rFonts w:ascii="Book Antiqua" w:hAnsi="Book Antiqua" w:cs="Arial"/>
          <w:vertAlign w:val="superscript"/>
        </w:rPr>
        <w:t>]</w:t>
      </w:r>
      <w:r w:rsidR="00E13329" w:rsidRPr="003A1E48">
        <w:rPr>
          <w:rFonts w:ascii="Book Antiqua" w:hAnsi="Book Antiqua" w:cs="Arial"/>
        </w:rPr>
        <w:t>.</w:t>
      </w:r>
      <w:r w:rsidR="00D510C1" w:rsidRPr="003A1E48">
        <w:rPr>
          <w:rFonts w:ascii="Book Antiqua" w:hAnsi="Book Antiqua" w:cs="Arial"/>
        </w:rPr>
        <w:t xml:space="preserve"> Another study group reported initial experience of a rapid access </w:t>
      </w:r>
      <w:r w:rsidR="00916DFF" w:rsidRPr="003A1E48">
        <w:rPr>
          <w:rFonts w:ascii="Book Antiqua" w:hAnsi="Book Antiqua" w:cs="Arial"/>
        </w:rPr>
        <w:t>US</w:t>
      </w:r>
      <w:r w:rsidR="00D510C1" w:rsidRPr="003A1E48">
        <w:rPr>
          <w:rFonts w:ascii="Book Antiqua" w:hAnsi="Book Antiqua" w:cs="Arial"/>
        </w:rPr>
        <w:t xml:space="preserve"> imaging clinic in IBD from the </w:t>
      </w:r>
      <w:r w:rsidR="00DD7F70" w:rsidRPr="003A1E48">
        <w:rPr>
          <w:rFonts w:ascii="Book Antiqua" w:hAnsi="Book Antiqua" w:cs="Arial"/>
        </w:rPr>
        <w:t>United Kingdom</w:t>
      </w:r>
      <w:r w:rsidR="00D510C1" w:rsidRPr="003A1E48">
        <w:rPr>
          <w:rFonts w:ascii="Book Antiqua" w:hAnsi="Book Antiqua" w:cs="Arial"/>
        </w:rPr>
        <w:t xml:space="preserve">, demonstrating that </w:t>
      </w:r>
      <w:r w:rsidR="000B290F" w:rsidRPr="003A1E48">
        <w:rPr>
          <w:rFonts w:ascii="Book Antiqua" w:hAnsi="Book Antiqua" w:cs="Arial"/>
        </w:rPr>
        <w:t>a</w:t>
      </w:r>
      <w:r w:rsidR="00D510C1" w:rsidRPr="003A1E48">
        <w:rPr>
          <w:rFonts w:ascii="Book Antiqua" w:hAnsi="Book Antiqua" w:cs="Arial"/>
        </w:rPr>
        <w:t xml:space="preserve"> </w:t>
      </w:r>
      <w:r w:rsidR="000B290F" w:rsidRPr="003A1E48">
        <w:rPr>
          <w:rFonts w:ascii="Book Antiqua" w:hAnsi="Book Antiqua" w:cs="Arial"/>
        </w:rPr>
        <w:t xml:space="preserve">combined </w:t>
      </w:r>
      <w:r w:rsidR="00916DFF" w:rsidRPr="003A1E48">
        <w:rPr>
          <w:rFonts w:ascii="Book Antiqua" w:hAnsi="Book Antiqua" w:cs="Arial"/>
        </w:rPr>
        <w:t>clinic</w:t>
      </w:r>
      <w:r w:rsidR="000B290F" w:rsidRPr="003A1E48">
        <w:rPr>
          <w:rFonts w:ascii="Book Antiqua" w:hAnsi="Book Antiqua" w:cs="Arial"/>
        </w:rPr>
        <w:t xml:space="preserve">-radiological approach using fast-track US offers the opportunity for urgent treatment changes and more proper triage of follow up appointment </w:t>
      </w:r>
      <w:proofErr w:type="gramStart"/>
      <w:r w:rsidR="000B290F" w:rsidRPr="003A1E48">
        <w:rPr>
          <w:rFonts w:ascii="Book Antiqua" w:hAnsi="Book Antiqua" w:cs="Arial"/>
        </w:rPr>
        <w:t>scheduling</w:t>
      </w:r>
      <w:r w:rsidR="00916DFF" w:rsidRPr="003A1E48">
        <w:rPr>
          <w:rFonts w:ascii="Book Antiqua" w:hAnsi="Book Antiqua" w:cs="Arial"/>
          <w:vertAlign w:val="superscript"/>
        </w:rPr>
        <w:t>[</w:t>
      </w:r>
      <w:proofErr w:type="gramEnd"/>
      <w:r w:rsidR="00916DFF" w:rsidRPr="003A1E48">
        <w:rPr>
          <w:rFonts w:ascii="Book Antiqua" w:hAnsi="Book Antiqua" w:cs="Arial"/>
          <w:vertAlign w:val="superscript"/>
        </w:rPr>
        <w:t>2</w:t>
      </w:r>
      <w:r w:rsidR="00A043A9" w:rsidRPr="003A1E48">
        <w:rPr>
          <w:rFonts w:ascii="Book Antiqua" w:hAnsi="Book Antiqua" w:cs="Arial"/>
          <w:vertAlign w:val="superscript"/>
        </w:rPr>
        <w:t>3</w:t>
      </w:r>
      <w:r w:rsidR="00916DFF" w:rsidRPr="003A1E48">
        <w:rPr>
          <w:rFonts w:ascii="Book Antiqua" w:hAnsi="Book Antiqua" w:cs="Arial"/>
          <w:vertAlign w:val="superscript"/>
        </w:rPr>
        <w:t>]</w:t>
      </w:r>
      <w:r w:rsidR="000B290F" w:rsidRPr="003A1E48">
        <w:rPr>
          <w:rFonts w:ascii="Book Antiqua" w:hAnsi="Book Antiqua" w:cs="Arial"/>
        </w:rPr>
        <w:t>.</w:t>
      </w:r>
    </w:p>
    <w:p w14:paraId="0093B0B6" w14:textId="77777777" w:rsidR="00916DFF" w:rsidRPr="003A1E48" w:rsidRDefault="00541FE0"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 xml:space="preserve">Our results also </w:t>
      </w:r>
      <w:r w:rsidR="001B430B" w:rsidRPr="003A1E48">
        <w:rPr>
          <w:rFonts w:ascii="Book Antiqua" w:hAnsi="Book Antiqua" w:cs="Arial"/>
        </w:rPr>
        <w:t xml:space="preserve">confirm that the therapeutic decisions and optimization of medical therapy were significantly different </w:t>
      </w:r>
      <w:r w:rsidR="00BF27B4" w:rsidRPr="003A1E48">
        <w:rPr>
          <w:rFonts w:ascii="Book Antiqua" w:hAnsi="Book Antiqua" w:cs="Arial"/>
        </w:rPr>
        <w:t xml:space="preserve">in the case of </w:t>
      </w:r>
      <w:r w:rsidRPr="003A1E48">
        <w:rPr>
          <w:rFonts w:ascii="Book Antiqua" w:hAnsi="Book Antiqua" w:cs="Arial"/>
        </w:rPr>
        <w:t xml:space="preserve">RAC </w:t>
      </w:r>
      <w:r w:rsidRPr="003A1E48">
        <w:rPr>
          <w:rFonts w:ascii="Book Antiqua" w:hAnsi="Book Antiqua" w:cs="Arial"/>
          <w:i/>
          <w:iCs/>
        </w:rPr>
        <w:t>vs</w:t>
      </w:r>
      <w:r w:rsidRPr="003A1E48">
        <w:rPr>
          <w:rFonts w:ascii="Book Antiqua" w:hAnsi="Book Antiqua" w:cs="Arial"/>
        </w:rPr>
        <w:t xml:space="preserve"> ED visit. Fewer </w:t>
      </w:r>
      <w:r w:rsidR="00BF27B4" w:rsidRPr="003A1E48">
        <w:rPr>
          <w:rFonts w:ascii="Book Antiqua" w:hAnsi="Book Antiqua" w:cs="Arial"/>
        </w:rPr>
        <w:t xml:space="preserve">cases of </w:t>
      </w:r>
      <w:r w:rsidRPr="003A1E48">
        <w:rPr>
          <w:rFonts w:ascii="Book Antiqua" w:hAnsi="Book Antiqua" w:cs="Arial"/>
        </w:rPr>
        <w:t>steroid initiation/dose adjustment were performed by IBD specialist physician</w:t>
      </w:r>
      <w:r w:rsidR="00BF27B4" w:rsidRPr="003A1E48">
        <w:rPr>
          <w:rFonts w:ascii="Book Antiqua" w:hAnsi="Book Antiqua" w:cs="Arial"/>
        </w:rPr>
        <w:t>s</w:t>
      </w:r>
      <w:r w:rsidRPr="003A1E48">
        <w:rPr>
          <w:rFonts w:ascii="Book Antiqua" w:hAnsi="Book Antiqua" w:cs="Arial"/>
        </w:rPr>
        <w:t xml:space="preserve"> in contrast to the ED. In addition, optimization of biologic</w:t>
      </w:r>
      <w:r w:rsidR="001B430B" w:rsidRPr="003A1E48">
        <w:rPr>
          <w:rFonts w:ascii="Book Antiqua" w:hAnsi="Book Antiqua" w:cs="Arial"/>
        </w:rPr>
        <w:t xml:space="preserve">als and </w:t>
      </w:r>
      <w:r w:rsidR="00916DFF" w:rsidRPr="003A1E48">
        <w:rPr>
          <w:rFonts w:ascii="Book Antiqua" w:hAnsi="Book Antiqua" w:cs="Arial"/>
        </w:rPr>
        <w:t>immunosuppressive</w:t>
      </w:r>
      <w:r w:rsidR="001B430B" w:rsidRPr="003A1E48">
        <w:rPr>
          <w:rFonts w:ascii="Book Antiqua" w:hAnsi="Book Antiqua" w:cs="Arial"/>
        </w:rPr>
        <w:t xml:space="preserve"> was more frequent</w:t>
      </w:r>
      <w:r w:rsidRPr="003A1E48">
        <w:rPr>
          <w:rFonts w:ascii="Book Antiqua" w:hAnsi="Book Antiqua" w:cs="Arial"/>
        </w:rPr>
        <w:t xml:space="preserve"> out in RAC settings.</w:t>
      </w:r>
    </w:p>
    <w:p w14:paraId="6B68CA0D" w14:textId="77777777" w:rsidR="00916DFF" w:rsidRPr="003A1E48" w:rsidRDefault="001B430B"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 xml:space="preserve">An important outcome parameter is the need for </w:t>
      </w:r>
      <w:r w:rsidR="004144B9" w:rsidRPr="003A1E48">
        <w:rPr>
          <w:rFonts w:ascii="Book Antiqua" w:hAnsi="Book Antiqua" w:cs="Arial"/>
        </w:rPr>
        <w:t>ED visits</w:t>
      </w:r>
      <w:r w:rsidR="00772FF9" w:rsidRPr="003A1E48">
        <w:rPr>
          <w:rFonts w:ascii="Book Antiqua" w:hAnsi="Book Antiqua" w:cs="Arial"/>
        </w:rPr>
        <w:t xml:space="preserve"> following a RAC visit</w:t>
      </w:r>
      <w:r w:rsidR="004144B9" w:rsidRPr="003A1E48">
        <w:rPr>
          <w:rFonts w:ascii="Book Antiqua" w:hAnsi="Book Antiqua" w:cs="Arial"/>
        </w:rPr>
        <w:t xml:space="preserve">, </w:t>
      </w:r>
      <w:r w:rsidRPr="003A1E48">
        <w:rPr>
          <w:rFonts w:ascii="Book Antiqua" w:hAnsi="Book Antiqua" w:cs="Arial"/>
        </w:rPr>
        <w:t xml:space="preserve">and need for </w:t>
      </w:r>
      <w:r w:rsidR="00BA120F" w:rsidRPr="003A1E48">
        <w:rPr>
          <w:rFonts w:ascii="Book Antiqua" w:hAnsi="Book Antiqua" w:cs="Arial"/>
        </w:rPr>
        <w:t>hospital admission</w:t>
      </w:r>
      <w:r w:rsidR="004144B9" w:rsidRPr="003A1E48">
        <w:rPr>
          <w:rFonts w:ascii="Book Antiqua" w:hAnsi="Book Antiqua" w:cs="Arial"/>
        </w:rPr>
        <w:t xml:space="preserve"> and surgery rates</w:t>
      </w:r>
      <w:r w:rsidR="000A4664" w:rsidRPr="003A1E48">
        <w:rPr>
          <w:rFonts w:ascii="Book Antiqua" w:hAnsi="Book Antiqua" w:cs="Arial"/>
        </w:rPr>
        <w:t xml:space="preserve"> </w:t>
      </w:r>
      <w:r w:rsidR="00BA120F" w:rsidRPr="003A1E48">
        <w:rPr>
          <w:rFonts w:ascii="Book Antiqua" w:hAnsi="Book Antiqua" w:cs="Arial"/>
          <w:lang w:val="en-CA"/>
        </w:rPr>
        <w:t xml:space="preserve">within the next 30 </w:t>
      </w:r>
      <w:r w:rsidRPr="003A1E48">
        <w:rPr>
          <w:rFonts w:ascii="Book Antiqua" w:hAnsi="Book Antiqua" w:cs="Arial"/>
          <w:lang w:val="en-CA"/>
        </w:rPr>
        <w:t xml:space="preserve">or 90 </w:t>
      </w:r>
      <w:r w:rsidR="00BA120F" w:rsidRPr="003A1E48">
        <w:rPr>
          <w:rFonts w:ascii="Book Antiqua" w:hAnsi="Book Antiqua" w:cs="Arial"/>
          <w:lang w:val="en-CA"/>
        </w:rPr>
        <w:t>d following the RAC or ED visits</w:t>
      </w:r>
      <w:r w:rsidR="00BA120F" w:rsidRPr="003A1E48">
        <w:rPr>
          <w:rFonts w:ascii="Book Antiqua" w:hAnsi="Book Antiqua" w:cs="Arial"/>
        </w:rPr>
        <w:t xml:space="preserve">. </w:t>
      </w:r>
      <w:r w:rsidRPr="003A1E48">
        <w:rPr>
          <w:rFonts w:ascii="Book Antiqua" w:hAnsi="Book Antiqua" w:cs="Arial"/>
        </w:rPr>
        <w:t>Only</w:t>
      </w:r>
      <w:r w:rsidR="00321DE1" w:rsidRPr="003A1E48">
        <w:rPr>
          <w:rFonts w:ascii="Book Antiqua" w:hAnsi="Book Antiqua" w:cs="Arial"/>
        </w:rPr>
        <w:t xml:space="preserve"> 4.1% of patients </w:t>
      </w:r>
      <w:r w:rsidRPr="003A1E48">
        <w:rPr>
          <w:rFonts w:ascii="Book Antiqua" w:hAnsi="Book Antiqua" w:cs="Arial"/>
        </w:rPr>
        <w:t>needed</w:t>
      </w:r>
      <w:r w:rsidR="00321DE1" w:rsidRPr="003A1E48">
        <w:rPr>
          <w:rFonts w:ascii="Book Antiqua" w:hAnsi="Book Antiqua" w:cs="Arial"/>
        </w:rPr>
        <w:t xml:space="preserve"> an ED visit following a RAC visit, while the number of those patients who were not granted a RAC visit with a physician and reported to the ED</w:t>
      </w:r>
      <w:r w:rsidR="008E1C7E" w:rsidRPr="003A1E48">
        <w:rPr>
          <w:rFonts w:ascii="Book Antiqua" w:hAnsi="Book Antiqua" w:cs="Arial"/>
        </w:rPr>
        <w:t xml:space="preserve"> anyway</w:t>
      </w:r>
      <w:r w:rsidR="00321DE1" w:rsidRPr="003A1E48">
        <w:rPr>
          <w:rFonts w:ascii="Book Antiqua" w:hAnsi="Book Antiqua" w:cs="Arial"/>
        </w:rPr>
        <w:t xml:space="preserve"> was even less (1.8%).</w:t>
      </w:r>
      <w:r w:rsidR="00151008" w:rsidRPr="003A1E48">
        <w:rPr>
          <w:rFonts w:ascii="Book Antiqua" w:hAnsi="Book Antiqua" w:cs="Arial"/>
        </w:rPr>
        <w:t xml:space="preserve"> A significant proportion of the ED visits following the RAC appointment reflected ongoing disease activity.</w:t>
      </w:r>
      <w:r w:rsidR="00321DE1" w:rsidRPr="003A1E48">
        <w:rPr>
          <w:rFonts w:ascii="Book Antiqua" w:hAnsi="Book Antiqua" w:cs="Arial"/>
        </w:rPr>
        <w:t xml:space="preserve"> </w:t>
      </w:r>
      <w:r w:rsidR="00151008" w:rsidRPr="003A1E48">
        <w:rPr>
          <w:rFonts w:ascii="Book Antiqua" w:hAnsi="Book Antiqua" w:cs="Arial"/>
        </w:rPr>
        <w:t>S</w:t>
      </w:r>
      <w:r w:rsidR="003829FC" w:rsidRPr="003A1E48">
        <w:rPr>
          <w:rFonts w:ascii="Book Antiqua" w:hAnsi="Book Antiqua" w:cs="Arial"/>
        </w:rPr>
        <w:t>ame day hospitalization rates were much higher following a regular ED visit</w:t>
      </w:r>
      <w:r w:rsidR="00884A95" w:rsidRPr="003A1E48">
        <w:rPr>
          <w:rFonts w:ascii="Book Antiqua" w:hAnsi="Book Antiqua" w:cs="Arial"/>
        </w:rPr>
        <w:t>. H</w:t>
      </w:r>
      <w:r w:rsidR="003829FC" w:rsidRPr="003A1E48">
        <w:rPr>
          <w:rFonts w:ascii="Book Antiqua" w:hAnsi="Book Antiqua" w:cs="Arial"/>
        </w:rPr>
        <w:t xml:space="preserve">ospital admissions </w:t>
      </w:r>
      <w:r w:rsidR="003829FC" w:rsidRPr="003A1E48">
        <w:rPr>
          <w:rFonts w:ascii="Book Antiqua" w:hAnsi="Book Antiqua" w:cs="Arial"/>
        </w:rPr>
        <w:lastRenderedPageBreak/>
        <w:t>in the next 30 d</w:t>
      </w:r>
      <w:r w:rsidR="0042100D" w:rsidRPr="003A1E48">
        <w:rPr>
          <w:rFonts w:ascii="Book Antiqua" w:hAnsi="Book Antiqua" w:cs="Arial"/>
        </w:rPr>
        <w:t xml:space="preserve"> after a RAC visit</w:t>
      </w:r>
      <w:r w:rsidR="00151008" w:rsidRPr="003A1E48">
        <w:rPr>
          <w:rFonts w:ascii="Book Antiqua" w:hAnsi="Book Antiqua" w:cs="Arial"/>
        </w:rPr>
        <w:t xml:space="preserve"> was low</w:t>
      </w:r>
      <w:r w:rsidR="0042100D" w:rsidRPr="003A1E48">
        <w:rPr>
          <w:rFonts w:ascii="Book Antiqua" w:hAnsi="Book Antiqua" w:cs="Arial"/>
        </w:rPr>
        <w:t xml:space="preserve"> (4.5%</w:t>
      </w:r>
      <w:r w:rsidR="00151008" w:rsidRPr="003A1E48">
        <w:rPr>
          <w:rFonts w:ascii="Book Antiqua" w:hAnsi="Book Antiqua" w:cs="Arial"/>
        </w:rPr>
        <w:t xml:space="preserve">), this was also higher after an ED visit </w:t>
      </w:r>
      <w:r w:rsidR="003A0A51" w:rsidRPr="003A1E48">
        <w:rPr>
          <w:rFonts w:ascii="Book Antiqua" w:hAnsi="Book Antiqua" w:cs="Arial"/>
        </w:rPr>
        <w:t>(</w:t>
      </w:r>
      <w:r w:rsidR="0042100D" w:rsidRPr="003A1E48">
        <w:rPr>
          <w:rFonts w:ascii="Book Antiqua" w:hAnsi="Book Antiqua" w:cs="Arial"/>
        </w:rPr>
        <w:t>8.1%</w:t>
      </w:r>
      <w:r w:rsidR="003A0A51" w:rsidRPr="003A1E48">
        <w:rPr>
          <w:rFonts w:ascii="Book Antiqua" w:hAnsi="Book Antiqua" w:cs="Arial"/>
        </w:rPr>
        <w:t>)</w:t>
      </w:r>
      <w:r w:rsidR="0042100D" w:rsidRPr="003A1E48">
        <w:rPr>
          <w:rFonts w:ascii="Book Antiqua" w:hAnsi="Book Antiqua" w:cs="Arial"/>
        </w:rPr>
        <w:t>. T</w:t>
      </w:r>
      <w:r w:rsidR="003829FC" w:rsidRPr="003A1E48">
        <w:rPr>
          <w:rFonts w:ascii="Book Antiqua" w:hAnsi="Book Antiqua" w:cs="Arial"/>
        </w:rPr>
        <w:t>he requirement of urgent</w:t>
      </w:r>
      <w:r w:rsidR="0042100D" w:rsidRPr="003A1E48">
        <w:rPr>
          <w:rFonts w:ascii="Book Antiqua" w:hAnsi="Book Antiqua" w:cs="Arial"/>
        </w:rPr>
        <w:t xml:space="preserve"> surgical interventions</w:t>
      </w:r>
      <w:r w:rsidR="003829FC" w:rsidRPr="003A1E48">
        <w:rPr>
          <w:rFonts w:ascii="Book Antiqua" w:hAnsi="Book Antiqua" w:cs="Arial"/>
        </w:rPr>
        <w:t xml:space="preserve"> </w:t>
      </w:r>
      <w:r w:rsidR="0042100D" w:rsidRPr="003A1E48">
        <w:rPr>
          <w:rFonts w:ascii="Book Antiqua" w:hAnsi="Book Antiqua" w:cs="Arial"/>
        </w:rPr>
        <w:t>was</w:t>
      </w:r>
      <w:r w:rsidR="003829FC" w:rsidRPr="003A1E48">
        <w:rPr>
          <w:rFonts w:ascii="Book Antiqua" w:hAnsi="Book Antiqua" w:cs="Arial"/>
        </w:rPr>
        <w:t xml:space="preserve"> </w:t>
      </w:r>
      <w:r w:rsidR="0042100D" w:rsidRPr="003A1E48">
        <w:rPr>
          <w:rFonts w:ascii="Book Antiqua" w:hAnsi="Book Antiqua" w:cs="Arial"/>
        </w:rPr>
        <w:t xml:space="preserve">also lower in patients presenting for the RAC </w:t>
      </w:r>
      <w:r w:rsidR="00916DFF" w:rsidRPr="003A1E48">
        <w:rPr>
          <w:rFonts w:ascii="Book Antiqua" w:hAnsi="Book Antiqua" w:cs="Arial"/>
        </w:rPr>
        <w:t>[</w:t>
      </w:r>
      <w:r w:rsidR="0042100D" w:rsidRPr="003A1E48">
        <w:rPr>
          <w:rFonts w:ascii="Book Antiqua" w:hAnsi="Book Antiqua" w:cs="Arial"/>
        </w:rPr>
        <w:t>1.3%</w:t>
      </w:r>
      <w:r w:rsidR="00916DFF" w:rsidRPr="003A1E48">
        <w:rPr>
          <w:rFonts w:ascii="Book Antiqua" w:hAnsi="Book Antiqua" w:cs="Arial"/>
        </w:rPr>
        <w:t xml:space="preserve"> </w:t>
      </w:r>
      <w:r w:rsidR="0042100D" w:rsidRPr="003A1E48">
        <w:rPr>
          <w:rFonts w:ascii="Book Antiqua" w:hAnsi="Book Antiqua" w:cs="Arial"/>
        </w:rPr>
        <w:t>(</w:t>
      </w:r>
      <w:r w:rsidR="0042100D" w:rsidRPr="003A1E48">
        <w:rPr>
          <w:rFonts w:ascii="Book Antiqua" w:hAnsi="Book Antiqua" w:cs="Arial"/>
          <w:i/>
          <w:iCs/>
        </w:rPr>
        <w:t>n</w:t>
      </w:r>
      <w:r w:rsidR="00916DFF" w:rsidRPr="003A1E48">
        <w:rPr>
          <w:rFonts w:ascii="Book Antiqua" w:hAnsi="Book Antiqua" w:cs="Arial"/>
        </w:rPr>
        <w:t xml:space="preserve"> </w:t>
      </w:r>
      <w:r w:rsidR="0042100D" w:rsidRPr="003A1E48">
        <w:rPr>
          <w:rFonts w:ascii="Book Antiqua" w:hAnsi="Book Antiqua" w:cs="Arial"/>
        </w:rPr>
        <w:t>=</w:t>
      </w:r>
      <w:r w:rsidR="00916DFF" w:rsidRPr="003A1E48">
        <w:rPr>
          <w:rFonts w:ascii="Book Antiqua" w:hAnsi="Book Antiqua" w:cs="Arial"/>
        </w:rPr>
        <w:t xml:space="preserve"> </w:t>
      </w:r>
      <w:r w:rsidR="0042100D" w:rsidRPr="003A1E48">
        <w:rPr>
          <w:rFonts w:ascii="Book Antiqua" w:hAnsi="Book Antiqua" w:cs="Arial"/>
        </w:rPr>
        <w:t xml:space="preserve">5) </w:t>
      </w:r>
      <w:r w:rsidR="0042100D" w:rsidRPr="003A1E48">
        <w:rPr>
          <w:rFonts w:ascii="Book Antiqua" w:hAnsi="Book Antiqua" w:cs="Arial"/>
          <w:i/>
          <w:iCs/>
        </w:rPr>
        <w:t>vs</w:t>
      </w:r>
      <w:r w:rsidR="0042100D" w:rsidRPr="003A1E48">
        <w:rPr>
          <w:rFonts w:ascii="Book Antiqua" w:hAnsi="Book Antiqua" w:cs="Arial"/>
        </w:rPr>
        <w:t xml:space="preserve"> 5.9%</w:t>
      </w:r>
      <w:r w:rsidR="00916DFF" w:rsidRPr="003A1E48">
        <w:rPr>
          <w:rFonts w:ascii="Book Antiqua" w:hAnsi="Book Antiqua" w:cs="Arial"/>
        </w:rPr>
        <w:t xml:space="preserve"> </w:t>
      </w:r>
      <w:r w:rsidR="0042100D" w:rsidRPr="003A1E48">
        <w:rPr>
          <w:rFonts w:ascii="Book Antiqua" w:hAnsi="Book Antiqua" w:cs="Arial"/>
        </w:rPr>
        <w:t>(</w:t>
      </w:r>
      <w:r w:rsidR="0042100D" w:rsidRPr="003A1E48">
        <w:rPr>
          <w:rFonts w:ascii="Book Antiqua" w:hAnsi="Book Antiqua" w:cs="Arial"/>
          <w:i/>
          <w:iCs/>
        </w:rPr>
        <w:t>n</w:t>
      </w:r>
      <w:r w:rsidR="00916DFF" w:rsidRPr="003A1E48">
        <w:rPr>
          <w:rFonts w:ascii="Book Antiqua" w:hAnsi="Book Antiqua" w:cs="Arial"/>
          <w:i/>
          <w:iCs/>
        </w:rPr>
        <w:t xml:space="preserve"> </w:t>
      </w:r>
      <w:r w:rsidR="0042100D" w:rsidRPr="003A1E48">
        <w:rPr>
          <w:rFonts w:ascii="Book Antiqua" w:hAnsi="Book Antiqua" w:cs="Arial"/>
        </w:rPr>
        <w:t>=</w:t>
      </w:r>
      <w:r w:rsidR="00916DFF" w:rsidRPr="003A1E48">
        <w:rPr>
          <w:rFonts w:ascii="Book Antiqua" w:hAnsi="Book Antiqua" w:cs="Arial"/>
        </w:rPr>
        <w:t xml:space="preserve"> </w:t>
      </w:r>
      <w:r w:rsidR="0042100D" w:rsidRPr="003A1E48">
        <w:rPr>
          <w:rFonts w:ascii="Book Antiqua" w:hAnsi="Book Antiqua" w:cs="Arial"/>
        </w:rPr>
        <w:t>8)</w:t>
      </w:r>
      <w:r w:rsidR="00916DFF" w:rsidRPr="003A1E48">
        <w:rPr>
          <w:rFonts w:ascii="Book Antiqua" w:hAnsi="Book Antiqua" w:cs="Arial"/>
        </w:rPr>
        <w:t>]</w:t>
      </w:r>
      <w:r w:rsidR="00CA75D1" w:rsidRPr="003A1E48">
        <w:rPr>
          <w:rFonts w:ascii="Book Antiqua" w:hAnsi="Book Antiqua" w:cs="Arial"/>
        </w:rPr>
        <w:t xml:space="preserve">. </w:t>
      </w:r>
    </w:p>
    <w:p w14:paraId="21812A8F" w14:textId="05D1C271" w:rsidR="000746DA" w:rsidRPr="003A1E48" w:rsidRDefault="00151008"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Finally, ED</w:t>
      </w:r>
      <w:r w:rsidR="009A3A4B" w:rsidRPr="003A1E48">
        <w:rPr>
          <w:rFonts w:ascii="Book Antiqua" w:hAnsi="Book Antiqua" w:cs="Arial"/>
        </w:rPr>
        <w:t xml:space="preserve"> visits</w:t>
      </w:r>
      <w:r w:rsidR="00BF27B4" w:rsidRPr="003A1E48">
        <w:rPr>
          <w:rFonts w:ascii="Book Antiqua" w:hAnsi="Book Antiqua" w:cs="Arial"/>
        </w:rPr>
        <w:t xml:space="preserve"> </w:t>
      </w:r>
      <w:r w:rsidR="00916DFF" w:rsidRPr="003A1E48">
        <w:rPr>
          <w:rFonts w:ascii="Book Antiqua" w:hAnsi="Book Antiqua" w:cs="Arial"/>
        </w:rPr>
        <w:t>-</w:t>
      </w:r>
      <w:r w:rsidR="00BF27B4" w:rsidRPr="003A1E48">
        <w:rPr>
          <w:rFonts w:ascii="Book Antiqua" w:hAnsi="Book Antiqua" w:cs="Arial"/>
        </w:rPr>
        <w:t xml:space="preserve"> </w:t>
      </w:r>
      <w:r w:rsidRPr="003A1E48">
        <w:rPr>
          <w:rFonts w:ascii="Book Antiqua" w:hAnsi="Book Antiqua" w:cs="Arial"/>
        </w:rPr>
        <w:t>frequently used by IBD patients</w:t>
      </w:r>
      <w:r w:rsidR="00BF27B4" w:rsidRPr="003A1E48">
        <w:rPr>
          <w:rFonts w:ascii="Book Antiqua" w:hAnsi="Book Antiqua" w:cs="Arial"/>
        </w:rPr>
        <w:t xml:space="preserve"> </w:t>
      </w:r>
      <w:r w:rsidR="00916DFF" w:rsidRPr="003A1E48">
        <w:rPr>
          <w:rFonts w:ascii="Book Antiqua" w:hAnsi="Book Antiqua" w:cs="Arial"/>
        </w:rPr>
        <w:t>-</w:t>
      </w:r>
      <w:r w:rsidR="00BF27B4" w:rsidRPr="003A1E48">
        <w:rPr>
          <w:rFonts w:ascii="Book Antiqua" w:hAnsi="Book Antiqua" w:cs="Arial"/>
        </w:rPr>
        <w:t xml:space="preserve"> </w:t>
      </w:r>
      <w:r w:rsidR="009A3A4B" w:rsidRPr="003A1E48">
        <w:rPr>
          <w:rFonts w:ascii="Book Antiqua" w:hAnsi="Book Antiqua" w:cs="Arial"/>
        </w:rPr>
        <w:t xml:space="preserve">are associated with a </w:t>
      </w:r>
      <w:r w:rsidRPr="003A1E48">
        <w:rPr>
          <w:rFonts w:ascii="Book Antiqua" w:hAnsi="Book Antiqua" w:cs="Arial"/>
        </w:rPr>
        <w:t xml:space="preserve">known </w:t>
      </w:r>
      <w:r w:rsidR="009A3A4B" w:rsidRPr="003A1E48">
        <w:rPr>
          <w:rFonts w:ascii="Book Antiqua" w:hAnsi="Book Antiqua" w:cs="Arial"/>
        </w:rPr>
        <w:t>economic burden</w:t>
      </w:r>
      <w:r w:rsidR="00387705" w:rsidRPr="003A1E48">
        <w:rPr>
          <w:rFonts w:ascii="Book Antiqua" w:hAnsi="Book Antiqua" w:cs="Arial"/>
        </w:rPr>
        <w:t xml:space="preserve">, thus </w:t>
      </w:r>
      <w:r w:rsidRPr="003A1E48">
        <w:rPr>
          <w:rFonts w:ascii="Book Antiqua" w:hAnsi="Book Antiqua" w:cs="Arial"/>
        </w:rPr>
        <w:t>decreasing ED access offers the potential for cost savings</w:t>
      </w:r>
      <w:r w:rsidR="008014EE" w:rsidRPr="003A1E48">
        <w:rPr>
          <w:rFonts w:ascii="Book Antiqua" w:hAnsi="Book Antiqua" w:cs="Arial"/>
        </w:rPr>
        <w:t xml:space="preserve">. </w:t>
      </w:r>
      <w:r w:rsidR="00E65A01" w:rsidRPr="003A1E48">
        <w:rPr>
          <w:rFonts w:ascii="Book Antiqua" w:hAnsi="Book Antiqua" w:cs="Arial"/>
        </w:rPr>
        <w:t xml:space="preserve">ED visits contribute to approximately 10% of all ambulatory medical care visits in the </w:t>
      </w:r>
      <w:r w:rsidR="00916DFF" w:rsidRPr="003A1E48">
        <w:rPr>
          <w:rFonts w:ascii="Book Antiqua" w:hAnsi="Book Antiqua" w:cs="Arial"/>
        </w:rPr>
        <w:t xml:space="preserve">United </w:t>
      </w:r>
      <w:proofErr w:type="gramStart"/>
      <w:r w:rsidR="00916DFF" w:rsidRPr="003A1E48">
        <w:rPr>
          <w:rFonts w:ascii="Book Antiqua" w:hAnsi="Book Antiqua" w:cs="Arial"/>
        </w:rPr>
        <w:t>States</w:t>
      </w:r>
      <w:r w:rsidR="000746DA" w:rsidRPr="003A1E48">
        <w:rPr>
          <w:rFonts w:ascii="Book Antiqua" w:hAnsi="Book Antiqua" w:cs="Arial"/>
          <w:vertAlign w:val="superscript"/>
        </w:rPr>
        <w:t>[</w:t>
      </w:r>
      <w:proofErr w:type="gramEnd"/>
      <w:r w:rsidR="000746DA" w:rsidRPr="003A1E48">
        <w:rPr>
          <w:rFonts w:ascii="Book Antiqua" w:hAnsi="Book Antiqua" w:cs="Arial"/>
          <w:vertAlign w:val="superscript"/>
        </w:rPr>
        <w:t>2</w:t>
      </w:r>
      <w:r w:rsidR="00A043A9" w:rsidRPr="003A1E48">
        <w:rPr>
          <w:rFonts w:ascii="Book Antiqua" w:hAnsi="Book Antiqua" w:cs="Arial"/>
          <w:vertAlign w:val="superscript"/>
        </w:rPr>
        <w:t>4</w:t>
      </w:r>
      <w:r w:rsidR="000746DA" w:rsidRPr="003A1E48">
        <w:rPr>
          <w:rFonts w:ascii="Book Antiqua" w:hAnsi="Book Antiqua" w:cs="Arial"/>
          <w:vertAlign w:val="superscript"/>
        </w:rPr>
        <w:t>,2</w:t>
      </w:r>
      <w:r w:rsidR="00A043A9" w:rsidRPr="003A1E48">
        <w:rPr>
          <w:rFonts w:ascii="Book Antiqua" w:hAnsi="Book Antiqua" w:cs="Arial"/>
          <w:vertAlign w:val="superscript"/>
        </w:rPr>
        <w:t>5</w:t>
      </w:r>
      <w:r w:rsidR="000746DA" w:rsidRPr="003A1E48">
        <w:rPr>
          <w:rFonts w:ascii="Book Antiqua" w:hAnsi="Book Antiqua" w:cs="Arial"/>
          <w:vertAlign w:val="superscript"/>
        </w:rPr>
        <w:t>]</w:t>
      </w:r>
      <w:r w:rsidR="00E65A01" w:rsidRPr="003A1E48">
        <w:rPr>
          <w:rFonts w:ascii="Book Antiqua" w:hAnsi="Book Antiqua" w:cs="Arial"/>
        </w:rPr>
        <w:t xml:space="preserve">. </w:t>
      </w:r>
      <w:r w:rsidR="00863394" w:rsidRPr="003A1E48">
        <w:rPr>
          <w:rFonts w:ascii="Book Antiqua" w:hAnsi="Book Antiqua" w:cs="Arial"/>
        </w:rPr>
        <w:t xml:space="preserve">Ballou </w:t>
      </w:r>
      <w:r w:rsidR="00863394" w:rsidRPr="003A1E48">
        <w:rPr>
          <w:rFonts w:ascii="Book Antiqua" w:hAnsi="Book Antiqua" w:cs="Arial"/>
          <w:i/>
          <w:iCs/>
        </w:rPr>
        <w:t>et al</w:t>
      </w:r>
      <w:r w:rsidR="000746DA" w:rsidRPr="003A1E48">
        <w:rPr>
          <w:rFonts w:ascii="Book Antiqua" w:hAnsi="Book Antiqua" w:cs="Arial"/>
          <w:vertAlign w:val="superscript"/>
        </w:rPr>
        <w:t>[15]</w:t>
      </w:r>
      <w:r w:rsidR="00863394" w:rsidRPr="003A1E48">
        <w:rPr>
          <w:rFonts w:ascii="Book Antiqua" w:hAnsi="Book Antiqua" w:cs="Arial"/>
        </w:rPr>
        <w:t xml:space="preserve"> reported that the frequency of IBD-ED visits increased by 51.8% during an 8 year period (2006-2014)</w:t>
      </w:r>
      <w:r w:rsidRPr="003A1E48">
        <w:rPr>
          <w:rFonts w:ascii="Book Antiqua" w:hAnsi="Book Antiqua" w:cs="Arial"/>
        </w:rPr>
        <w:t xml:space="preserve"> </w:t>
      </w:r>
      <w:r w:rsidR="00BF27B4" w:rsidRPr="003A1E48">
        <w:rPr>
          <w:rFonts w:ascii="Book Antiqua" w:hAnsi="Book Antiqua" w:cs="Arial"/>
        </w:rPr>
        <w:t xml:space="preserve">in </w:t>
      </w:r>
      <w:r w:rsidRPr="003A1E48">
        <w:rPr>
          <w:rFonts w:ascii="Book Antiqua" w:hAnsi="Book Antiqua" w:cs="Arial"/>
        </w:rPr>
        <w:t xml:space="preserve">parallel </w:t>
      </w:r>
      <w:r w:rsidR="00863394" w:rsidRPr="003A1E48">
        <w:rPr>
          <w:rFonts w:ascii="Book Antiqua" w:hAnsi="Book Antiqua" w:cs="Arial"/>
        </w:rPr>
        <w:t xml:space="preserve">by </w:t>
      </w:r>
      <w:r w:rsidRPr="003A1E48">
        <w:rPr>
          <w:rFonts w:ascii="Book Antiqua" w:hAnsi="Book Antiqua" w:cs="Arial"/>
        </w:rPr>
        <w:t xml:space="preserve">a </w:t>
      </w:r>
      <w:r w:rsidR="00863394" w:rsidRPr="003A1E48">
        <w:rPr>
          <w:rFonts w:ascii="Book Antiqua" w:hAnsi="Book Antiqua" w:cs="Arial"/>
        </w:rPr>
        <w:t xml:space="preserve">102.5% </w:t>
      </w:r>
      <w:r w:rsidRPr="003A1E48">
        <w:rPr>
          <w:rFonts w:ascii="Book Antiqua" w:hAnsi="Book Antiqua" w:cs="Arial"/>
        </w:rPr>
        <w:t xml:space="preserve">rise in the per patient costs </w:t>
      </w:r>
      <w:r w:rsidR="00863394" w:rsidRPr="003A1E48">
        <w:rPr>
          <w:rFonts w:ascii="Book Antiqua" w:hAnsi="Book Antiqua" w:cs="Arial"/>
        </w:rPr>
        <w:t xml:space="preserve">and </w:t>
      </w:r>
      <w:r w:rsidR="00A46ECB" w:rsidRPr="003A1E48">
        <w:rPr>
          <w:rFonts w:ascii="Book Antiqua" w:hAnsi="Book Antiqua" w:cs="Arial"/>
        </w:rPr>
        <w:t xml:space="preserve">a 207.5% increase in </w:t>
      </w:r>
      <w:r w:rsidR="00863394" w:rsidRPr="003A1E48">
        <w:rPr>
          <w:rFonts w:ascii="Book Antiqua" w:hAnsi="Book Antiqua" w:cs="Arial"/>
        </w:rPr>
        <w:t>the aggregate national cost of IBD-ED visits</w:t>
      </w:r>
      <w:r w:rsidR="00A46ECB" w:rsidRPr="003A1E48">
        <w:rPr>
          <w:rFonts w:ascii="Book Antiqua" w:hAnsi="Book Antiqua" w:cs="Arial"/>
        </w:rPr>
        <w:t>, based on the Nationwide Emergency Department Sample database from the United States</w:t>
      </w:r>
      <w:r w:rsidR="00863394" w:rsidRPr="003A1E48">
        <w:rPr>
          <w:rFonts w:ascii="Book Antiqua" w:hAnsi="Book Antiqua" w:cs="Arial"/>
        </w:rPr>
        <w:t>.</w:t>
      </w:r>
      <w:r w:rsidR="00A46ECB" w:rsidRPr="003A1E48">
        <w:rPr>
          <w:rFonts w:ascii="Book Antiqua" w:hAnsi="Book Antiqua" w:cs="Arial"/>
        </w:rPr>
        <w:t xml:space="preserve"> </w:t>
      </w:r>
      <w:r w:rsidR="00AE3FF4" w:rsidRPr="003A1E48">
        <w:rPr>
          <w:rFonts w:ascii="Book Antiqua" w:hAnsi="Book Antiqua" w:cs="Arial"/>
        </w:rPr>
        <w:t xml:space="preserve">The mean </w:t>
      </w:r>
      <w:r w:rsidR="006A5660" w:rsidRPr="003A1E48">
        <w:rPr>
          <w:rFonts w:ascii="Book Antiqua" w:hAnsi="Book Antiqua" w:cs="Arial"/>
        </w:rPr>
        <w:t xml:space="preserve">total </w:t>
      </w:r>
      <w:r w:rsidR="00AE3FF4" w:rsidRPr="003A1E48">
        <w:rPr>
          <w:rFonts w:ascii="Book Antiqua" w:hAnsi="Book Antiqua" w:cs="Arial"/>
        </w:rPr>
        <w:t>charge of a single ED visit for IBD was $4342 in 2014</w:t>
      </w:r>
      <w:r w:rsidR="000746DA" w:rsidRPr="003A1E48">
        <w:rPr>
          <w:rFonts w:ascii="Book Antiqua" w:hAnsi="Book Antiqua" w:cs="Arial"/>
          <w:vertAlign w:val="superscript"/>
        </w:rPr>
        <w:t>[15]</w:t>
      </w:r>
      <w:r w:rsidR="00AE3FF4" w:rsidRPr="003A1E48">
        <w:rPr>
          <w:rFonts w:ascii="Book Antiqua" w:hAnsi="Book Antiqua" w:cs="Arial"/>
        </w:rPr>
        <w:t xml:space="preserve">. To our knowledge, our study is the first in the North American region to </w:t>
      </w:r>
      <w:r w:rsidR="00CB5B0A" w:rsidRPr="003A1E48">
        <w:rPr>
          <w:rFonts w:ascii="Book Antiqua" w:hAnsi="Book Antiqua" w:cs="Arial"/>
        </w:rPr>
        <w:t>compare costs and resource utilization</w:t>
      </w:r>
      <w:r w:rsidR="009A3A4B" w:rsidRPr="003A1E48">
        <w:rPr>
          <w:rFonts w:ascii="Book Antiqua" w:hAnsi="Book Antiqua" w:cs="Arial"/>
        </w:rPr>
        <w:t xml:space="preserve"> between </w:t>
      </w:r>
      <w:r w:rsidR="00AE3FF4" w:rsidRPr="003A1E48">
        <w:rPr>
          <w:rFonts w:ascii="Book Antiqua" w:hAnsi="Book Antiqua" w:cs="Arial"/>
        </w:rPr>
        <w:t xml:space="preserve">IBD </w:t>
      </w:r>
      <w:r w:rsidR="009A3A4B" w:rsidRPr="003A1E48">
        <w:rPr>
          <w:rFonts w:ascii="Book Antiqua" w:hAnsi="Book Antiqua" w:cs="Arial"/>
        </w:rPr>
        <w:t xml:space="preserve">patients seen in </w:t>
      </w:r>
      <w:r w:rsidR="00AE3FF4" w:rsidRPr="003A1E48">
        <w:rPr>
          <w:rFonts w:ascii="Book Antiqua" w:hAnsi="Book Antiqua" w:cs="Arial"/>
        </w:rPr>
        <w:t xml:space="preserve">a </w:t>
      </w:r>
      <w:r w:rsidR="009A3A4B" w:rsidRPr="003A1E48">
        <w:rPr>
          <w:rFonts w:ascii="Book Antiqua" w:hAnsi="Book Antiqua" w:cs="Arial"/>
        </w:rPr>
        <w:t xml:space="preserve">RAC </w:t>
      </w:r>
      <w:r w:rsidR="00AE3FF4" w:rsidRPr="003A1E48">
        <w:rPr>
          <w:rFonts w:ascii="Book Antiqua" w:hAnsi="Book Antiqua" w:cs="Arial"/>
        </w:rPr>
        <w:t xml:space="preserve">service </w:t>
      </w:r>
      <w:r w:rsidR="009A3A4B" w:rsidRPr="003A1E48">
        <w:rPr>
          <w:rFonts w:ascii="Book Antiqua" w:hAnsi="Book Antiqua" w:cs="Arial"/>
        </w:rPr>
        <w:t xml:space="preserve">and those who presented to ED. </w:t>
      </w:r>
      <w:r w:rsidR="00CB5B0A" w:rsidRPr="003A1E48">
        <w:rPr>
          <w:rFonts w:ascii="Book Antiqua" w:hAnsi="Book Antiqua" w:cs="Arial"/>
        </w:rPr>
        <w:t>B</w:t>
      </w:r>
      <w:r w:rsidR="00AE3FF4" w:rsidRPr="003A1E48">
        <w:rPr>
          <w:rFonts w:ascii="Book Antiqua" w:hAnsi="Book Antiqua" w:cs="Arial"/>
        </w:rPr>
        <w:t xml:space="preserve">ased on </w:t>
      </w:r>
      <w:r w:rsidRPr="003A1E48">
        <w:rPr>
          <w:rFonts w:ascii="Book Antiqua" w:hAnsi="Book Antiqua" w:cs="Arial"/>
        </w:rPr>
        <w:t>the RAMQ reimbursement plan</w:t>
      </w:r>
      <w:r w:rsidR="00AE3FF4" w:rsidRPr="003A1E48">
        <w:rPr>
          <w:rFonts w:ascii="Book Antiqua" w:hAnsi="Book Antiqua" w:cs="Arial"/>
        </w:rPr>
        <w:t xml:space="preserve"> </w:t>
      </w:r>
      <w:r w:rsidR="00CB5B0A" w:rsidRPr="003A1E48">
        <w:rPr>
          <w:rFonts w:ascii="Book Antiqua" w:hAnsi="Book Antiqua" w:cs="Arial"/>
        </w:rPr>
        <w:t xml:space="preserve">data </w:t>
      </w:r>
      <w:r w:rsidR="00717174" w:rsidRPr="003A1E48">
        <w:rPr>
          <w:rFonts w:ascii="Book Antiqua" w:hAnsi="Book Antiqua" w:cs="Arial"/>
        </w:rPr>
        <w:t xml:space="preserve">for procedures and services, and the number of patients included in our observation period </w:t>
      </w:r>
      <w:r w:rsidR="00CB5B0A" w:rsidRPr="003A1E48">
        <w:rPr>
          <w:rFonts w:ascii="Book Antiqua" w:hAnsi="Book Antiqua" w:cs="Arial"/>
        </w:rPr>
        <w:t xml:space="preserve">we </w:t>
      </w:r>
      <w:r w:rsidR="00AE3FF4" w:rsidRPr="003A1E48">
        <w:rPr>
          <w:rFonts w:ascii="Book Antiqua" w:hAnsi="Book Antiqua" w:cs="Arial"/>
        </w:rPr>
        <w:t>estimate</w:t>
      </w:r>
      <w:r w:rsidRPr="003A1E48">
        <w:rPr>
          <w:rFonts w:ascii="Book Antiqua" w:hAnsi="Book Antiqua" w:cs="Arial"/>
        </w:rPr>
        <w:t>d</w:t>
      </w:r>
      <w:r w:rsidR="00AE3FF4" w:rsidRPr="003A1E48">
        <w:rPr>
          <w:rFonts w:ascii="Book Antiqua" w:hAnsi="Book Antiqua" w:cs="Arial"/>
        </w:rPr>
        <w:t xml:space="preserve"> </w:t>
      </w:r>
      <w:r w:rsidR="00022B02" w:rsidRPr="003A1E48">
        <w:rPr>
          <w:rFonts w:ascii="Book Antiqua" w:hAnsi="Book Antiqua" w:cs="Arial"/>
        </w:rPr>
        <w:t>the per-</w:t>
      </w:r>
      <w:r w:rsidRPr="003A1E48">
        <w:rPr>
          <w:rFonts w:ascii="Book Antiqua" w:hAnsi="Book Antiqua" w:cs="Arial"/>
        </w:rPr>
        <w:t>patient costs of one RAC visit</w:t>
      </w:r>
      <w:r w:rsidR="00884A95" w:rsidRPr="003A1E48">
        <w:rPr>
          <w:rFonts w:ascii="Book Antiqua" w:hAnsi="Book Antiqua" w:cs="Arial"/>
        </w:rPr>
        <w:t xml:space="preserve"> </w:t>
      </w:r>
      <w:r w:rsidRPr="003A1E48">
        <w:rPr>
          <w:rFonts w:ascii="Book Antiqua" w:hAnsi="Book Antiqua" w:cs="Arial"/>
        </w:rPr>
        <w:t xml:space="preserve">at </w:t>
      </w:r>
      <w:r w:rsidR="009A3A4B" w:rsidRPr="003A1E48">
        <w:rPr>
          <w:rFonts w:ascii="Book Antiqua" w:hAnsi="Book Antiqua" w:cs="Arial"/>
        </w:rPr>
        <w:t xml:space="preserve">$403.30 CAD, whereas the </w:t>
      </w:r>
      <w:r w:rsidRPr="003A1E48">
        <w:rPr>
          <w:rFonts w:ascii="Book Antiqua" w:hAnsi="Book Antiqua" w:cs="Arial"/>
        </w:rPr>
        <w:t>per</w:t>
      </w:r>
      <w:r w:rsidR="00CB5B0A" w:rsidRPr="003A1E48">
        <w:rPr>
          <w:rFonts w:ascii="Book Antiqua" w:hAnsi="Book Antiqua" w:cs="Arial"/>
        </w:rPr>
        <w:t>-</w:t>
      </w:r>
      <w:r w:rsidRPr="003A1E48">
        <w:rPr>
          <w:rFonts w:ascii="Book Antiqua" w:hAnsi="Book Antiqua" w:cs="Arial"/>
        </w:rPr>
        <w:t xml:space="preserve">patient </w:t>
      </w:r>
      <w:r w:rsidR="009A3A4B" w:rsidRPr="003A1E48">
        <w:rPr>
          <w:rFonts w:ascii="Book Antiqua" w:hAnsi="Book Antiqua" w:cs="Arial"/>
        </w:rPr>
        <w:t>cost incurred during an ED averaged at $1885.50 CAD.</w:t>
      </w:r>
      <w:r w:rsidR="00BB2F67" w:rsidRPr="003A1E48">
        <w:rPr>
          <w:rFonts w:ascii="Book Antiqua" w:hAnsi="Book Antiqua" w:cs="Arial"/>
        </w:rPr>
        <w:t xml:space="preserve"> </w:t>
      </w:r>
      <w:r w:rsidR="00AE3FF4" w:rsidRPr="003A1E48">
        <w:rPr>
          <w:rFonts w:ascii="Book Antiqua" w:hAnsi="Book Antiqua" w:cs="Arial"/>
        </w:rPr>
        <w:t xml:space="preserve">The main cost drivers of </w:t>
      </w:r>
      <w:r w:rsidR="00FB768E" w:rsidRPr="003A1E48">
        <w:rPr>
          <w:rFonts w:ascii="Book Antiqua" w:hAnsi="Book Antiqua" w:cs="Arial"/>
        </w:rPr>
        <w:t xml:space="preserve">the </w:t>
      </w:r>
      <w:r w:rsidR="00AE3FF4" w:rsidRPr="003A1E48">
        <w:rPr>
          <w:rFonts w:ascii="Book Antiqua" w:hAnsi="Book Antiqua" w:cs="Arial"/>
        </w:rPr>
        <w:t xml:space="preserve">ED visit </w:t>
      </w:r>
      <w:r w:rsidR="00FB768E" w:rsidRPr="003A1E48">
        <w:rPr>
          <w:rFonts w:ascii="Book Antiqua" w:hAnsi="Book Antiqua" w:cs="Arial"/>
        </w:rPr>
        <w:t>were</w:t>
      </w:r>
      <w:r w:rsidR="006A5660" w:rsidRPr="003A1E48">
        <w:rPr>
          <w:rFonts w:ascii="Book Antiqua" w:hAnsi="Book Antiqua" w:cs="Arial"/>
        </w:rPr>
        <w:t xml:space="preserve"> emergency service</w:t>
      </w:r>
      <w:r w:rsidR="00FB768E" w:rsidRPr="003A1E48">
        <w:rPr>
          <w:rFonts w:ascii="Book Antiqua" w:hAnsi="Book Antiqua" w:cs="Arial"/>
        </w:rPr>
        <w:t xml:space="preserve"> facility fee</w:t>
      </w:r>
      <w:r w:rsidR="006A5660" w:rsidRPr="003A1E48">
        <w:rPr>
          <w:rFonts w:ascii="Book Antiqua" w:hAnsi="Book Antiqua" w:cs="Arial"/>
        </w:rPr>
        <w:t>s ($716 CAD</w:t>
      </w:r>
      <w:r w:rsidR="00AE3FF4" w:rsidRPr="003A1E48">
        <w:rPr>
          <w:rFonts w:ascii="Book Antiqua" w:hAnsi="Book Antiqua" w:cs="Arial"/>
        </w:rPr>
        <w:t xml:space="preserve"> per patient), interdisciplinary consults</w:t>
      </w:r>
      <w:r w:rsidR="006A5660" w:rsidRPr="003A1E48">
        <w:rPr>
          <w:rFonts w:ascii="Book Antiqua" w:hAnsi="Book Antiqua" w:cs="Arial"/>
        </w:rPr>
        <w:t xml:space="preserve"> ($337 CAD per patient)</w:t>
      </w:r>
      <w:r w:rsidR="00AE3FF4" w:rsidRPr="003A1E48">
        <w:rPr>
          <w:rFonts w:ascii="Book Antiqua" w:hAnsi="Book Antiqua" w:cs="Arial"/>
        </w:rPr>
        <w:t xml:space="preserve"> and </w:t>
      </w:r>
      <w:proofErr w:type="gramStart"/>
      <w:r w:rsidR="00FB768E" w:rsidRPr="003A1E48">
        <w:rPr>
          <w:rFonts w:ascii="Book Antiqua" w:hAnsi="Book Antiqua" w:cs="Arial"/>
        </w:rPr>
        <w:t>cros</w:t>
      </w:r>
      <w:r w:rsidR="0014629C" w:rsidRPr="003A1E48">
        <w:rPr>
          <w:rFonts w:ascii="Book Antiqua" w:hAnsi="Book Antiqua" w:cs="Arial"/>
        </w:rPr>
        <w:t>s</w:t>
      </w:r>
      <w:r w:rsidR="00FB768E" w:rsidRPr="003A1E48">
        <w:rPr>
          <w:rFonts w:ascii="Book Antiqua" w:hAnsi="Book Antiqua" w:cs="Arial"/>
        </w:rPr>
        <w:t xml:space="preserve"> sectional</w:t>
      </w:r>
      <w:proofErr w:type="gramEnd"/>
      <w:r w:rsidR="00AE3FF4" w:rsidRPr="003A1E48">
        <w:rPr>
          <w:rFonts w:ascii="Book Antiqua" w:hAnsi="Book Antiqua" w:cs="Arial"/>
        </w:rPr>
        <w:t xml:space="preserve"> CT imaging</w:t>
      </w:r>
      <w:r w:rsidR="006A5660" w:rsidRPr="003A1E48">
        <w:rPr>
          <w:rFonts w:ascii="Book Antiqua" w:hAnsi="Book Antiqua" w:cs="Arial"/>
        </w:rPr>
        <w:t xml:space="preserve"> ($447 CAD per patient)</w:t>
      </w:r>
      <w:r w:rsidR="00AE3FF4" w:rsidRPr="003A1E48">
        <w:rPr>
          <w:rFonts w:ascii="Book Antiqua" w:hAnsi="Book Antiqua" w:cs="Arial"/>
        </w:rPr>
        <w:t>.</w:t>
      </w:r>
      <w:r w:rsidR="006A5660" w:rsidRPr="003A1E48">
        <w:rPr>
          <w:rFonts w:ascii="Book Antiqua" w:hAnsi="Book Antiqua" w:cs="Arial"/>
        </w:rPr>
        <w:t xml:space="preserve"> These estimates</w:t>
      </w:r>
      <w:r w:rsidR="00FB768E" w:rsidRPr="003A1E48">
        <w:rPr>
          <w:rFonts w:ascii="Book Antiqua" w:hAnsi="Book Antiqua" w:cs="Arial"/>
        </w:rPr>
        <w:t>,</w:t>
      </w:r>
      <w:r w:rsidR="006A5660" w:rsidRPr="003A1E48">
        <w:rPr>
          <w:rFonts w:ascii="Book Antiqua" w:hAnsi="Book Antiqua" w:cs="Arial"/>
        </w:rPr>
        <w:t xml:space="preserve"> however</w:t>
      </w:r>
      <w:r w:rsidR="00FB768E" w:rsidRPr="003A1E48">
        <w:rPr>
          <w:rFonts w:ascii="Book Antiqua" w:hAnsi="Book Antiqua" w:cs="Arial"/>
        </w:rPr>
        <w:t>,</w:t>
      </w:r>
      <w:r w:rsidR="006A5660" w:rsidRPr="003A1E48">
        <w:rPr>
          <w:rFonts w:ascii="Book Antiqua" w:hAnsi="Book Antiqua" w:cs="Arial"/>
        </w:rPr>
        <w:t xml:space="preserve"> do not include</w:t>
      </w:r>
      <w:r w:rsidR="00FB768E" w:rsidRPr="003A1E48">
        <w:rPr>
          <w:rFonts w:ascii="Book Antiqua" w:hAnsi="Book Antiqua" w:cs="Arial"/>
        </w:rPr>
        <w:t xml:space="preserve"> inpatient costs. Of note, </w:t>
      </w:r>
      <w:r w:rsidR="00EF43C6" w:rsidRPr="003A1E48">
        <w:rPr>
          <w:rFonts w:ascii="Book Antiqua" w:hAnsi="Book Antiqua" w:cs="Arial"/>
        </w:rPr>
        <w:t>&gt;</w:t>
      </w:r>
      <w:r w:rsidR="000746DA" w:rsidRPr="003A1E48">
        <w:rPr>
          <w:rFonts w:ascii="Book Antiqua" w:hAnsi="Book Antiqua" w:cs="Arial"/>
        </w:rPr>
        <w:t xml:space="preserve"> </w:t>
      </w:r>
      <w:r w:rsidR="006A5660" w:rsidRPr="003A1E48">
        <w:rPr>
          <w:rFonts w:ascii="Book Antiqua" w:hAnsi="Book Antiqua" w:cs="Arial"/>
        </w:rPr>
        <w:t xml:space="preserve">60% of patients attending an ED visit </w:t>
      </w:r>
      <w:r w:rsidR="00FB768E" w:rsidRPr="003A1E48">
        <w:rPr>
          <w:rFonts w:ascii="Book Antiqua" w:hAnsi="Book Antiqua" w:cs="Arial"/>
        </w:rPr>
        <w:t xml:space="preserve">had </w:t>
      </w:r>
      <w:r w:rsidR="003A0A51" w:rsidRPr="003A1E48">
        <w:rPr>
          <w:rFonts w:ascii="Book Antiqua" w:hAnsi="Book Antiqua" w:cs="Arial"/>
        </w:rPr>
        <w:t>a</w:t>
      </w:r>
      <w:r w:rsidR="006A5660" w:rsidRPr="003A1E48">
        <w:rPr>
          <w:rFonts w:ascii="Book Antiqua" w:hAnsi="Book Antiqua" w:cs="Arial"/>
        </w:rPr>
        <w:t xml:space="preserve"> </w:t>
      </w:r>
      <w:r w:rsidR="00EF43C6" w:rsidRPr="003A1E48">
        <w:rPr>
          <w:rFonts w:ascii="Book Antiqua" w:hAnsi="Book Antiqua" w:cs="Arial"/>
        </w:rPr>
        <w:t>median 5</w:t>
      </w:r>
      <w:r w:rsidR="006A5660" w:rsidRPr="003A1E48">
        <w:rPr>
          <w:rFonts w:ascii="Book Antiqua" w:hAnsi="Book Antiqua" w:cs="Arial"/>
        </w:rPr>
        <w:t xml:space="preserve"> night of hospital admission, which </w:t>
      </w:r>
      <w:r w:rsidR="00FB768E" w:rsidRPr="003A1E48">
        <w:rPr>
          <w:rFonts w:ascii="Book Antiqua" w:hAnsi="Book Antiqua" w:cs="Arial"/>
        </w:rPr>
        <w:t xml:space="preserve">adds </w:t>
      </w:r>
      <w:r w:rsidR="00EF43C6" w:rsidRPr="003A1E48">
        <w:rPr>
          <w:rFonts w:ascii="Book Antiqua" w:hAnsi="Book Antiqua" w:cs="Arial"/>
        </w:rPr>
        <w:t>$157</w:t>
      </w:r>
      <w:r w:rsidR="006A5660" w:rsidRPr="003A1E48">
        <w:rPr>
          <w:rFonts w:ascii="Book Antiqua" w:hAnsi="Book Antiqua" w:cs="Arial"/>
        </w:rPr>
        <w:t>1</w:t>
      </w:r>
      <w:r w:rsidR="00EF43C6" w:rsidRPr="003A1E48">
        <w:rPr>
          <w:rFonts w:ascii="Book Antiqua" w:hAnsi="Book Antiqua" w:cs="Arial"/>
        </w:rPr>
        <w:t>5 CAD ($3143 CAD/d)</w:t>
      </w:r>
      <w:r w:rsidR="006A5660" w:rsidRPr="003A1E48">
        <w:rPr>
          <w:rFonts w:ascii="Book Antiqua" w:hAnsi="Book Antiqua" w:cs="Arial"/>
        </w:rPr>
        <w:t xml:space="preserve"> additional cost per patient. </w:t>
      </w:r>
      <w:r w:rsidR="00A96976" w:rsidRPr="003A1E48">
        <w:rPr>
          <w:rFonts w:ascii="Book Antiqua" w:hAnsi="Book Antiqua" w:cs="Arial"/>
        </w:rPr>
        <w:t xml:space="preserve">Implementation of a RAC service </w:t>
      </w:r>
      <w:r w:rsidR="006A5660" w:rsidRPr="003A1E48">
        <w:rPr>
          <w:rFonts w:ascii="Book Antiqua" w:hAnsi="Book Antiqua" w:cs="Arial"/>
        </w:rPr>
        <w:t xml:space="preserve">in IBD </w:t>
      </w:r>
      <w:r w:rsidR="009A3A4B" w:rsidRPr="003A1E48">
        <w:rPr>
          <w:rFonts w:ascii="Book Antiqua" w:hAnsi="Book Antiqua" w:cs="Arial"/>
        </w:rPr>
        <w:t>would thus alleviate an already saturated acute care pathwa</w:t>
      </w:r>
      <w:r w:rsidR="00CA75D1" w:rsidRPr="003A1E48">
        <w:rPr>
          <w:rFonts w:ascii="Book Antiqua" w:hAnsi="Book Antiqua" w:cs="Arial"/>
        </w:rPr>
        <w:t xml:space="preserve">y and reduce health care costs, as similar outcomes are achievable with </w:t>
      </w:r>
      <w:r w:rsidR="00A96976" w:rsidRPr="003A1E48">
        <w:rPr>
          <w:rFonts w:ascii="Book Antiqua" w:hAnsi="Book Antiqua" w:cs="Arial"/>
        </w:rPr>
        <w:t xml:space="preserve">an </w:t>
      </w:r>
      <w:r w:rsidR="005B7CAB" w:rsidRPr="003A1E48">
        <w:rPr>
          <w:rFonts w:ascii="Book Antiqua" w:hAnsi="Book Antiqua" w:cs="Arial"/>
        </w:rPr>
        <w:t>optimized resource utilization.</w:t>
      </w:r>
    </w:p>
    <w:p w14:paraId="2A08D93D" w14:textId="05BFA586" w:rsidR="009A3A4B" w:rsidRPr="003A1E48" w:rsidRDefault="00FB768E" w:rsidP="00DD7F70">
      <w:pPr>
        <w:tabs>
          <w:tab w:val="left" w:pos="3402"/>
        </w:tabs>
        <w:spacing w:line="360" w:lineRule="auto"/>
        <w:ind w:firstLineChars="100" w:firstLine="240"/>
        <w:jc w:val="both"/>
        <w:rPr>
          <w:rFonts w:ascii="Book Antiqua" w:hAnsi="Book Antiqua" w:cs="Arial"/>
        </w:rPr>
      </w:pPr>
      <w:r w:rsidRPr="003A1E48">
        <w:rPr>
          <w:rFonts w:ascii="Book Antiqua" w:hAnsi="Book Antiqua" w:cs="Arial"/>
        </w:rPr>
        <w:t>Nevertheless</w:t>
      </w:r>
      <w:r w:rsidR="003D3E4B" w:rsidRPr="003A1E48">
        <w:rPr>
          <w:rFonts w:ascii="Book Antiqua" w:hAnsi="Book Antiqua" w:cs="Arial"/>
        </w:rPr>
        <w:t xml:space="preserve">, the concept of RAC may be less transmissible to community gastroenterology services given </w:t>
      </w:r>
      <w:r w:rsidRPr="003A1E48">
        <w:rPr>
          <w:rFonts w:ascii="Book Antiqua" w:hAnsi="Book Antiqua" w:cs="Arial"/>
        </w:rPr>
        <w:t xml:space="preserve">differences in IBD patient load and </w:t>
      </w:r>
      <w:r w:rsidR="003D3E4B" w:rsidRPr="003A1E48">
        <w:rPr>
          <w:rFonts w:ascii="Book Antiqua" w:hAnsi="Book Antiqua" w:cs="Arial"/>
        </w:rPr>
        <w:t xml:space="preserve">the potential lack of resources, however </w:t>
      </w:r>
      <w:r w:rsidRPr="003A1E48">
        <w:rPr>
          <w:rFonts w:ascii="Book Antiqua" w:hAnsi="Book Antiqua" w:cs="Arial"/>
        </w:rPr>
        <w:t xml:space="preserve">this strategy was shown clearly beneficial in our </w:t>
      </w:r>
      <w:r w:rsidR="000746DA" w:rsidRPr="003A1E48">
        <w:rPr>
          <w:rFonts w:ascii="Book Antiqua" w:hAnsi="Book Antiqua" w:cs="Arial"/>
        </w:rPr>
        <w:t>high-volume</w:t>
      </w:r>
      <w:r w:rsidRPr="003A1E48">
        <w:rPr>
          <w:rFonts w:ascii="Book Antiqua" w:hAnsi="Book Antiqua" w:cs="Arial"/>
        </w:rPr>
        <w:t xml:space="preserve"> academic </w:t>
      </w:r>
      <w:r w:rsidR="00A46ECB" w:rsidRPr="003A1E48">
        <w:rPr>
          <w:rFonts w:ascii="Book Antiqua" w:hAnsi="Book Antiqua" w:cs="Arial"/>
        </w:rPr>
        <w:t xml:space="preserve">tertiary care </w:t>
      </w:r>
      <w:r w:rsidRPr="003A1E48">
        <w:rPr>
          <w:rFonts w:ascii="Book Antiqua" w:hAnsi="Book Antiqua" w:cs="Arial"/>
        </w:rPr>
        <w:t>IBD center.</w:t>
      </w:r>
      <w:r w:rsidR="00A46ECB" w:rsidRPr="003A1E48">
        <w:rPr>
          <w:rFonts w:ascii="Book Antiqua" w:hAnsi="Book Antiqua" w:cs="Arial"/>
        </w:rPr>
        <w:t xml:space="preserve"> </w:t>
      </w:r>
      <w:r w:rsidR="003D3E4B" w:rsidRPr="003A1E48">
        <w:rPr>
          <w:rFonts w:ascii="Book Antiqua" w:hAnsi="Book Antiqua" w:cs="Arial"/>
          <w:bCs/>
          <w:lang w:val="hu-HU"/>
        </w:rPr>
        <w:t xml:space="preserve">There are other examples of </w:t>
      </w:r>
      <w:r w:rsidR="003D3E4B" w:rsidRPr="003A1E48">
        <w:rPr>
          <w:rFonts w:ascii="Book Antiqua" w:hAnsi="Book Antiqua" w:cs="Arial"/>
        </w:rPr>
        <w:t xml:space="preserve">alternative follow-up options/rapid access </w:t>
      </w:r>
      <w:r w:rsidRPr="003A1E48">
        <w:rPr>
          <w:rFonts w:ascii="Book Antiqua" w:hAnsi="Book Antiqua" w:cs="Arial"/>
        </w:rPr>
        <w:t xml:space="preserve">pathways </w:t>
      </w:r>
      <w:r w:rsidR="00F330EE" w:rsidRPr="003A1E48">
        <w:rPr>
          <w:rFonts w:ascii="Book Antiqua" w:hAnsi="Book Antiqua" w:cs="Arial"/>
          <w:bCs/>
          <w:lang w:val="hu-HU"/>
        </w:rPr>
        <w:t xml:space="preserve">for </w:t>
      </w:r>
      <w:r w:rsidR="003D3E4B" w:rsidRPr="003A1E48">
        <w:rPr>
          <w:rFonts w:ascii="Book Antiqua" w:hAnsi="Book Antiqua" w:cs="Arial"/>
          <w:bCs/>
          <w:lang w:val="hu-HU"/>
        </w:rPr>
        <w:t xml:space="preserve">IBD patients. A pediatric study by Dykes </w:t>
      </w:r>
      <w:r w:rsidR="003D3E4B" w:rsidRPr="003A1E48">
        <w:rPr>
          <w:rFonts w:ascii="Book Antiqua" w:hAnsi="Book Antiqua" w:cs="Arial"/>
          <w:bCs/>
          <w:i/>
          <w:iCs/>
          <w:lang w:val="hu-HU"/>
        </w:rPr>
        <w:t>et al</w:t>
      </w:r>
      <w:r w:rsidR="000746DA" w:rsidRPr="003A1E48">
        <w:rPr>
          <w:rFonts w:ascii="Book Antiqua" w:hAnsi="Book Antiqua" w:cs="Arial"/>
          <w:bCs/>
          <w:vertAlign w:val="superscript"/>
          <w:lang w:val="hu-HU"/>
        </w:rPr>
        <w:t>[2</w:t>
      </w:r>
      <w:r w:rsidR="00A043A9" w:rsidRPr="003A1E48">
        <w:rPr>
          <w:rFonts w:ascii="Book Antiqua" w:hAnsi="Book Antiqua" w:cs="Arial"/>
          <w:bCs/>
          <w:vertAlign w:val="superscript"/>
          <w:lang w:val="hu-HU"/>
        </w:rPr>
        <w:t>6</w:t>
      </w:r>
      <w:r w:rsidR="000746DA" w:rsidRPr="003A1E48">
        <w:rPr>
          <w:rFonts w:ascii="Book Antiqua" w:hAnsi="Book Antiqua" w:cs="Arial"/>
          <w:bCs/>
          <w:vertAlign w:val="superscript"/>
          <w:lang w:val="hu-HU"/>
        </w:rPr>
        <w:t>]</w:t>
      </w:r>
      <w:r w:rsidR="003D3E4B" w:rsidRPr="003A1E48">
        <w:rPr>
          <w:rFonts w:ascii="Book Antiqua" w:hAnsi="Book Antiqua" w:cs="Arial"/>
          <w:bCs/>
          <w:lang w:val="hu-HU"/>
        </w:rPr>
        <w:t xml:space="preserve"> </w:t>
      </w:r>
      <w:r w:rsidR="003D3E4B" w:rsidRPr="003A1E48">
        <w:rPr>
          <w:rFonts w:ascii="Book Antiqua" w:hAnsi="Book Antiqua" w:cs="Arial"/>
          <w:bCs/>
          <w:lang w:val="hu-HU"/>
        </w:rPr>
        <w:lastRenderedPageBreak/>
        <w:t xml:space="preserve">showed that increasing the availability of IBD specialists and specialized nurses </w:t>
      </w:r>
      <w:r w:rsidR="003D3E4B" w:rsidRPr="003A1E48">
        <w:rPr>
          <w:rFonts w:ascii="Book Antiqua" w:hAnsi="Book Antiqua" w:cs="Arial"/>
          <w:bCs/>
          <w:i/>
          <w:iCs/>
          <w:lang w:val="hu-HU"/>
        </w:rPr>
        <w:t>via</w:t>
      </w:r>
      <w:r w:rsidR="003D3E4B" w:rsidRPr="003A1E48">
        <w:rPr>
          <w:rFonts w:ascii="Book Antiqua" w:hAnsi="Book Antiqua" w:cs="Arial"/>
          <w:bCs/>
          <w:lang w:val="hu-HU"/>
        </w:rPr>
        <w:t xml:space="preserve"> telemedicine (</w:t>
      </w:r>
      <w:r w:rsidR="003D3E4B" w:rsidRPr="003A1E48">
        <w:rPr>
          <w:rFonts w:ascii="Book Antiqua" w:hAnsi="Book Antiqua" w:cs="Arial"/>
        </w:rPr>
        <w:t xml:space="preserve">e-visit/e-messaging model) </w:t>
      </w:r>
      <w:r w:rsidR="003D3E4B" w:rsidRPr="003A1E48">
        <w:rPr>
          <w:rFonts w:ascii="Book Antiqua" w:hAnsi="Book Antiqua" w:cs="Arial"/>
          <w:bCs/>
          <w:lang w:val="hu-HU"/>
        </w:rPr>
        <w:t xml:space="preserve">can also decrease the frequency of </w:t>
      </w:r>
      <w:r w:rsidR="00F330EE" w:rsidRPr="003A1E48">
        <w:rPr>
          <w:rFonts w:ascii="Book Antiqua" w:hAnsi="Book Antiqua" w:cs="Arial"/>
          <w:bCs/>
          <w:lang w:val="hu-HU"/>
        </w:rPr>
        <w:t xml:space="preserve">IBD related </w:t>
      </w:r>
      <w:r w:rsidR="003D3E4B" w:rsidRPr="003A1E48">
        <w:rPr>
          <w:rFonts w:ascii="Book Antiqua" w:hAnsi="Book Antiqua" w:cs="Arial"/>
          <w:bCs/>
          <w:lang w:val="hu-HU"/>
        </w:rPr>
        <w:t>ED visits.</w:t>
      </w:r>
      <w:r w:rsidR="00DD0F9E" w:rsidRPr="003A1E48">
        <w:rPr>
          <w:rFonts w:ascii="Book Antiqua" w:hAnsi="Book Antiqua" w:cs="Arial"/>
          <w:lang w:val="en-CA"/>
        </w:rPr>
        <w:t xml:space="preserve"> </w:t>
      </w:r>
      <w:r w:rsidR="00655FA0" w:rsidRPr="003A1E48">
        <w:rPr>
          <w:rFonts w:ascii="Book Antiqua" w:hAnsi="Book Antiqua" w:cs="Arial"/>
          <w:lang w:val="en-CA"/>
        </w:rPr>
        <w:t xml:space="preserve">Another large-scale quality improvement project at a tertiary IBD centre in the UK reported results on the stratification of adult IBD outpatients </w:t>
      </w:r>
      <w:r w:rsidR="00DD0F9E" w:rsidRPr="003A1E48">
        <w:rPr>
          <w:rFonts w:ascii="Book Antiqua" w:hAnsi="Book Antiqua" w:cs="Arial"/>
          <w:lang w:val="en-CA"/>
        </w:rPr>
        <w:t>by risk and disease activity to achieve a more optimal</w:t>
      </w:r>
      <w:r w:rsidR="00655FA0" w:rsidRPr="003A1E48">
        <w:rPr>
          <w:rFonts w:ascii="Book Antiqua" w:hAnsi="Book Antiqua" w:cs="Arial"/>
          <w:lang w:val="en-CA"/>
        </w:rPr>
        <w:t xml:space="preserve"> setting for </w:t>
      </w:r>
      <w:r w:rsidR="00DD0F9E" w:rsidRPr="003A1E48">
        <w:rPr>
          <w:rFonts w:ascii="Book Antiqua" w:hAnsi="Book Antiqua" w:cs="Arial"/>
          <w:lang w:val="en-CA"/>
        </w:rPr>
        <w:t xml:space="preserve">outpatient monitoring. Patients in long-standing remission with a low risk of complications were transferred to a nurse-led telephone clinic monitoring service, with high non-inferior satisfaction rates being reported compared with existing face-to-face clinics. In parallel, the authors reported positive satisfaction results in establishing IBD referral hotlines and RACs, </w:t>
      </w:r>
      <w:r w:rsidR="007B3EAC" w:rsidRPr="003A1E48">
        <w:rPr>
          <w:rFonts w:ascii="Book Antiqua" w:hAnsi="Book Antiqua" w:cs="Arial"/>
          <w:lang w:val="en-CA"/>
        </w:rPr>
        <w:t>providing a responsive service for patients requiring urgent specialist attention</w:t>
      </w:r>
      <w:r w:rsidR="00DD0F9E" w:rsidRPr="003A1E48">
        <w:rPr>
          <w:rFonts w:ascii="Book Antiqua" w:hAnsi="Book Antiqua" w:cs="Arial"/>
          <w:lang w:val="en-CA"/>
        </w:rPr>
        <w:t xml:space="preserve">. The median waiting time to a RAC visit was 6.5 </w:t>
      </w:r>
      <w:proofErr w:type="gramStart"/>
      <w:r w:rsidR="00DD0F9E" w:rsidRPr="003A1E48">
        <w:rPr>
          <w:rFonts w:ascii="Book Antiqua" w:hAnsi="Book Antiqua" w:cs="Arial"/>
          <w:lang w:val="en-CA"/>
        </w:rPr>
        <w:t>d</w:t>
      </w:r>
      <w:r w:rsidR="000746DA" w:rsidRPr="003A1E48">
        <w:rPr>
          <w:rFonts w:ascii="Book Antiqua" w:hAnsi="Book Antiqua" w:cs="Arial"/>
          <w:vertAlign w:val="superscript"/>
          <w:lang w:val="en-CA"/>
        </w:rPr>
        <w:t>[</w:t>
      </w:r>
      <w:proofErr w:type="gramEnd"/>
      <w:r w:rsidR="000746DA" w:rsidRPr="003A1E48">
        <w:rPr>
          <w:rFonts w:ascii="Book Antiqua" w:hAnsi="Book Antiqua" w:cs="Arial"/>
          <w:vertAlign w:val="superscript"/>
          <w:lang w:val="en-CA"/>
        </w:rPr>
        <w:t>2</w:t>
      </w:r>
      <w:r w:rsidR="00A043A9" w:rsidRPr="003A1E48">
        <w:rPr>
          <w:rFonts w:ascii="Book Antiqua" w:hAnsi="Book Antiqua" w:cs="Arial"/>
          <w:vertAlign w:val="superscript"/>
          <w:lang w:val="en-CA"/>
        </w:rPr>
        <w:t>7</w:t>
      </w:r>
      <w:r w:rsidR="000746DA" w:rsidRPr="003A1E48">
        <w:rPr>
          <w:rFonts w:ascii="Book Antiqua" w:hAnsi="Book Antiqua" w:cs="Arial"/>
          <w:vertAlign w:val="superscript"/>
          <w:lang w:val="en-CA"/>
        </w:rPr>
        <w:t>]</w:t>
      </w:r>
      <w:r w:rsidR="00DD0F9E" w:rsidRPr="003A1E48">
        <w:rPr>
          <w:rFonts w:ascii="Book Antiqua" w:hAnsi="Book Antiqua" w:cs="Arial"/>
          <w:lang w:val="en-CA"/>
        </w:rPr>
        <w:t>.</w:t>
      </w:r>
    </w:p>
    <w:p w14:paraId="77D99A8F" w14:textId="77777777" w:rsidR="000746DA" w:rsidRPr="003A1E48" w:rsidRDefault="00983765" w:rsidP="00DD7F70">
      <w:pPr>
        <w:spacing w:line="360" w:lineRule="auto"/>
        <w:ind w:firstLineChars="100" w:firstLine="240"/>
        <w:jc w:val="both"/>
        <w:rPr>
          <w:rFonts w:ascii="Book Antiqua" w:eastAsia="Times New Roman" w:hAnsi="Book Antiqua" w:cs="Times New Roman"/>
          <w:color w:val="000000"/>
          <w:lang w:val="en-CA"/>
        </w:rPr>
      </w:pPr>
      <w:r w:rsidRPr="003A1E48">
        <w:rPr>
          <w:rFonts w:ascii="Book Antiqua" w:hAnsi="Book Antiqua" w:cs="Arial"/>
        </w:rPr>
        <w:t xml:space="preserve">The strengths of the present study include the </w:t>
      </w:r>
      <w:r w:rsidR="00FB768E" w:rsidRPr="003A1E48">
        <w:rPr>
          <w:rFonts w:ascii="Book Antiqua" w:hAnsi="Book Antiqua" w:cs="Arial"/>
        </w:rPr>
        <w:t xml:space="preserve">single center design in a specialized tertiary care IBD </w:t>
      </w:r>
      <w:r w:rsidRPr="003A1E48">
        <w:rPr>
          <w:rFonts w:ascii="Book Antiqua" w:hAnsi="Book Antiqua" w:cs="Arial"/>
        </w:rPr>
        <w:t xml:space="preserve">center </w:t>
      </w:r>
      <w:r w:rsidR="00FB768E" w:rsidRPr="003A1E48">
        <w:rPr>
          <w:rFonts w:ascii="Book Antiqua" w:hAnsi="Book Antiqua" w:cs="Arial"/>
        </w:rPr>
        <w:t>staffed with specialized IBD clinicians leading to harmonized care and less variation in treatment decisions</w:t>
      </w:r>
      <w:r w:rsidRPr="003A1E48">
        <w:rPr>
          <w:rFonts w:ascii="Book Antiqua" w:hAnsi="Book Antiqua" w:cs="Arial"/>
        </w:rPr>
        <w:t>, and consecutive</w:t>
      </w:r>
      <w:r w:rsidR="00FB768E" w:rsidRPr="003A1E48">
        <w:rPr>
          <w:rFonts w:ascii="Book Antiqua" w:hAnsi="Book Antiqua" w:cs="Arial"/>
        </w:rPr>
        <w:t>, pro</w:t>
      </w:r>
      <w:r w:rsidR="003A0A51" w:rsidRPr="003A1E48">
        <w:rPr>
          <w:rFonts w:ascii="Book Antiqua" w:hAnsi="Book Antiqua" w:cs="Arial"/>
        </w:rPr>
        <w:t>s</w:t>
      </w:r>
      <w:r w:rsidR="00FB768E" w:rsidRPr="003A1E48">
        <w:rPr>
          <w:rFonts w:ascii="Book Antiqua" w:hAnsi="Book Antiqua" w:cs="Arial"/>
        </w:rPr>
        <w:t>pective</w:t>
      </w:r>
      <w:r w:rsidRPr="003A1E48">
        <w:rPr>
          <w:rFonts w:ascii="Book Antiqua" w:hAnsi="Book Antiqua" w:cs="Arial"/>
        </w:rPr>
        <w:t xml:space="preserve"> patient inclusion with a </w:t>
      </w:r>
      <w:r w:rsidR="00FB768E" w:rsidRPr="003A1E48">
        <w:rPr>
          <w:rFonts w:ascii="Book Antiqua" w:hAnsi="Book Antiqua" w:cs="Arial"/>
        </w:rPr>
        <w:t xml:space="preserve">large </w:t>
      </w:r>
      <w:r w:rsidRPr="003A1E48">
        <w:rPr>
          <w:rFonts w:ascii="Book Antiqua" w:hAnsi="Book Antiqua" w:cs="Arial"/>
        </w:rPr>
        <w:t xml:space="preserve">cohort size. The study </w:t>
      </w:r>
      <w:r w:rsidR="00CC31E0" w:rsidRPr="003A1E48">
        <w:rPr>
          <w:rFonts w:ascii="Book Antiqua" w:hAnsi="Book Antiqua" w:cs="Arial"/>
        </w:rPr>
        <w:t xml:space="preserve">provides a comprehensive and comparative analysis of </w:t>
      </w:r>
      <w:r w:rsidR="00DB2D33" w:rsidRPr="003A1E48">
        <w:rPr>
          <w:rFonts w:ascii="Book Antiqua" w:hAnsi="Book Antiqua" w:cs="Arial"/>
        </w:rPr>
        <w:t xml:space="preserve">two </w:t>
      </w:r>
      <w:r w:rsidR="00CC31E0" w:rsidRPr="003A1E48">
        <w:rPr>
          <w:rFonts w:ascii="Book Antiqua" w:hAnsi="Book Antiqua" w:cs="Arial"/>
        </w:rPr>
        <w:t>acute-care management</w:t>
      </w:r>
      <w:r w:rsidR="00DB2D33" w:rsidRPr="003A1E48">
        <w:rPr>
          <w:rFonts w:ascii="Book Antiqua" w:hAnsi="Book Antiqua" w:cs="Arial"/>
        </w:rPr>
        <w:t xml:space="preserve"> </w:t>
      </w:r>
      <w:r w:rsidR="00FB768E" w:rsidRPr="003A1E48">
        <w:rPr>
          <w:rFonts w:ascii="Book Antiqua" w:hAnsi="Book Antiqua" w:cs="Arial"/>
        </w:rPr>
        <w:t xml:space="preserve">pathways </w:t>
      </w:r>
      <w:r w:rsidR="00DB2D33" w:rsidRPr="003A1E48">
        <w:rPr>
          <w:rFonts w:ascii="Book Antiqua" w:hAnsi="Book Antiqua" w:cs="Arial"/>
        </w:rPr>
        <w:t>for</w:t>
      </w:r>
      <w:r w:rsidR="00CC31E0" w:rsidRPr="003A1E48">
        <w:rPr>
          <w:rFonts w:ascii="Book Antiqua" w:hAnsi="Book Antiqua" w:cs="Arial"/>
        </w:rPr>
        <w:t xml:space="preserve"> IBD patients</w:t>
      </w:r>
      <w:r w:rsidR="00FB768E" w:rsidRPr="003A1E48">
        <w:rPr>
          <w:rFonts w:ascii="Book Antiqua" w:hAnsi="Book Antiqua" w:cs="Arial"/>
        </w:rPr>
        <w:t>, including evaluation of p</w:t>
      </w:r>
      <w:r w:rsidR="00DB2D33" w:rsidRPr="003A1E48">
        <w:rPr>
          <w:rFonts w:ascii="Book Antiqua" w:hAnsi="Book Antiqua" w:cs="Arial"/>
        </w:rPr>
        <w:t xml:space="preserve">atient access, </w:t>
      </w:r>
      <w:r w:rsidR="00CC31E0" w:rsidRPr="003A1E48">
        <w:rPr>
          <w:rFonts w:ascii="Book Antiqua" w:hAnsi="Book Antiqua" w:cs="Arial"/>
        </w:rPr>
        <w:t>resource utilization</w:t>
      </w:r>
      <w:r w:rsidR="00DB2D33" w:rsidRPr="003A1E48">
        <w:rPr>
          <w:rFonts w:ascii="Book Antiqua" w:hAnsi="Book Antiqua" w:cs="Arial"/>
        </w:rPr>
        <w:t>, costs and disease outcome parameters</w:t>
      </w:r>
      <w:r w:rsidR="00667E54" w:rsidRPr="003A1E48">
        <w:rPr>
          <w:rFonts w:ascii="Book Antiqua" w:hAnsi="Book Antiqua" w:cs="Arial"/>
        </w:rPr>
        <w:t xml:space="preserve">. </w:t>
      </w:r>
      <w:r w:rsidRPr="003A1E48">
        <w:rPr>
          <w:rFonts w:ascii="Book Antiqua" w:hAnsi="Book Antiqua" w:cs="Arial"/>
        </w:rPr>
        <w:t>A l</w:t>
      </w:r>
      <w:r w:rsidRPr="003A1E48">
        <w:rPr>
          <w:rFonts w:ascii="Book Antiqua" w:hAnsi="Book Antiqua" w:cs="Arial"/>
          <w:lang w:val="en-CA"/>
        </w:rPr>
        <w:t xml:space="preserve">imitation to our study is that </w:t>
      </w:r>
      <w:r w:rsidR="00FB768E" w:rsidRPr="003A1E48">
        <w:rPr>
          <w:rFonts w:ascii="Book Antiqua" w:hAnsi="Book Antiqua" w:cs="Arial"/>
          <w:lang w:val="en-CA"/>
        </w:rPr>
        <w:t>the IBD</w:t>
      </w:r>
      <w:r w:rsidRPr="003A1E48">
        <w:rPr>
          <w:rFonts w:ascii="Book Antiqua" w:hAnsi="Book Antiqua" w:cs="Arial"/>
          <w:lang w:val="en-CA"/>
        </w:rPr>
        <w:t xml:space="preserve"> patient populations attending the RAC and ED</w:t>
      </w:r>
      <w:r w:rsidR="007B12D3" w:rsidRPr="003A1E48">
        <w:rPr>
          <w:rFonts w:ascii="Book Antiqua" w:hAnsi="Book Antiqua" w:cs="Arial"/>
          <w:lang w:val="en-CA"/>
        </w:rPr>
        <w:t xml:space="preserve"> services in real-</w:t>
      </w:r>
      <w:r w:rsidRPr="003A1E48">
        <w:rPr>
          <w:rFonts w:ascii="Book Antiqua" w:hAnsi="Book Antiqua" w:cs="Arial"/>
          <w:lang w:val="en-CA"/>
        </w:rPr>
        <w:t xml:space="preserve">life setting </w:t>
      </w:r>
      <w:r w:rsidR="00FB768E" w:rsidRPr="003A1E48">
        <w:rPr>
          <w:rFonts w:ascii="Book Antiqua" w:hAnsi="Book Antiqua" w:cs="Arial"/>
          <w:lang w:val="en-CA"/>
        </w:rPr>
        <w:t>are not fully similar</w:t>
      </w:r>
      <w:r w:rsidR="00325E93" w:rsidRPr="003A1E48">
        <w:rPr>
          <w:rFonts w:ascii="Book Antiqua" w:hAnsi="Book Antiqua" w:cs="Arial"/>
          <w:lang w:val="en-CA"/>
        </w:rPr>
        <w:t>.</w:t>
      </w:r>
      <w:r w:rsidR="00884A95" w:rsidRPr="003A1E48">
        <w:rPr>
          <w:rFonts w:ascii="Book Antiqua" w:hAnsi="Book Antiqua" w:cs="Arial"/>
          <w:lang w:val="en-CA"/>
        </w:rPr>
        <w:t xml:space="preserve"> </w:t>
      </w:r>
      <w:r w:rsidR="00325E93" w:rsidRPr="003A1E48">
        <w:rPr>
          <w:rFonts w:ascii="Book Antiqua" w:hAnsi="Book Antiqua" w:cs="Arial"/>
          <w:lang w:val="en-CA"/>
        </w:rPr>
        <w:t>T</w:t>
      </w:r>
      <w:r w:rsidR="00FB1336" w:rsidRPr="003A1E48">
        <w:rPr>
          <w:rFonts w:ascii="Book Antiqua" w:hAnsi="Book Antiqua" w:cs="Arial"/>
          <w:lang w:val="en-CA"/>
        </w:rPr>
        <w:t>h</w:t>
      </w:r>
      <w:r w:rsidR="007B12D3" w:rsidRPr="003A1E48">
        <w:rPr>
          <w:rFonts w:ascii="Book Antiqua" w:hAnsi="Book Antiqua" w:cs="Arial"/>
          <w:lang w:val="en-CA"/>
        </w:rPr>
        <w:t>e two populations ha</w:t>
      </w:r>
      <w:r w:rsidR="00FB1336" w:rsidRPr="003A1E48">
        <w:rPr>
          <w:rFonts w:ascii="Book Antiqua" w:hAnsi="Book Antiqua" w:cs="Arial"/>
          <w:lang w:val="en-CA"/>
        </w:rPr>
        <w:t xml:space="preserve">d </w:t>
      </w:r>
      <w:r w:rsidR="007B12D3" w:rsidRPr="003A1E48">
        <w:rPr>
          <w:rFonts w:ascii="Book Antiqua" w:hAnsi="Book Antiqua" w:cs="Arial"/>
          <w:lang w:val="en-CA"/>
        </w:rPr>
        <w:t>differences in disease characteristics</w:t>
      </w:r>
      <w:r w:rsidR="00FB1336" w:rsidRPr="003A1E48">
        <w:rPr>
          <w:rFonts w:ascii="Book Antiqua" w:hAnsi="Book Antiqua" w:cs="Arial"/>
          <w:lang w:val="en-CA"/>
        </w:rPr>
        <w:t xml:space="preserve">, pointing to the more complex phenotype </w:t>
      </w:r>
      <w:r w:rsidR="007B12D3" w:rsidRPr="003A1E48">
        <w:rPr>
          <w:rFonts w:ascii="Book Antiqua" w:hAnsi="Book Antiqua" w:cs="Arial"/>
          <w:lang w:val="en-CA"/>
        </w:rPr>
        <w:t xml:space="preserve">of the </w:t>
      </w:r>
      <w:r w:rsidR="00884A95" w:rsidRPr="003A1E48">
        <w:rPr>
          <w:rFonts w:ascii="Book Antiqua" w:hAnsi="Book Antiqua" w:cs="Arial"/>
          <w:lang w:val="en-CA"/>
        </w:rPr>
        <w:t>ED</w:t>
      </w:r>
      <w:r w:rsidR="007B12D3" w:rsidRPr="003A1E48">
        <w:rPr>
          <w:rFonts w:ascii="Book Antiqua" w:hAnsi="Book Antiqua" w:cs="Arial"/>
          <w:lang w:val="en-CA"/>
        </w:rPr>
        <w:t xml:space="preserve"> cohort. </w:t>
      </w:r>
      <w:r w:rsidR="00FB1336" w:rsidRPr="003A1E48">
        <w:rPr>
          <w:rFonts w:ascii="Book Antiqua" w:hAnsi="Book Antiqua" w:cs="Arial"/>
          <w:lang w:val="en-CA"/>
        </w:rPr>
        <w:t xml:space="preserve">Providing easy access could have potentially boosted patient </w:t>
      </w:r>
      <w:r w:rsidR="006F01F2" w:rsidRPr="003A1E48">
        <w:rPr>
          <w:rFonts w:ascii="Book Antiqua" w:hAnsi="Book Antiqua" w:cs="Arial"/>
          <w:lang w:val="en-CA"/>
        </w:rPr>
        <w:t xml:space="preserve">contact </w:t>
      </w:r>
      <w:r w:rsidR="00FB1336" w:rsidRPr="003A1E48">
        <w:rPr>
          <w:rFonts w:ascii="Book Antiqua" w:hAnsi="Book Antiqua" w:cs="Arial"/>
          <w:lang w:val="en-CA"/>
        </w:rPr>
        <w:t xml:space="preserve">to </w:t>
      </w:r>
      <w:r w:rsidR="006F01F2" w:rsidRPr="003A1E48">
        <w:rPr>
          <w:rFonts w:ascii="Book Antiqua" w:hAnsi="Book Antiqua" w:cs="Arial"/>
          <w:lang w:val="en-CA"/>
        </w:rPr>
        <w:t xml:space="preserve">the </w:t>
      </w:r>
      <w:r w:rsidR="00FB1336" w:rsidRPr="003A1E48">
        <w:rPr>
          <w:rFonts w:ascii="Book Antiqua" w:hAnsi="Book Antiqua" w:cs="Arial"/>
          <w:lang w:val="en-CA"/>
        </w:rPr>
        <w:t xml:space="preserve">RAC clinic, and not all patients would have presented at ED. This is a potential confounder we are not able to fully control for. </w:t>
      </w:r>
      <w:r w:rsidR="005F0AEB" w:rsidRPr="003A1E48">
        <w:rPr>
          <w:rFonts w:ascii="Book Antiqua" w:eastAsia="Times New Roman" w:hAnsi="Book Antiqua" w:cs="Times New Roman"/>
          <w:color w:val="000000"/>
          <w:lang w:val="en-CA"/>
        </w:rPr>
        <w:t>It may be hypothesized though, that the majority of those patients, who were seen in the RAC clinic would have alternatively presented to the ER (</w:t>
      </w:r>
      <w:r w:rsidR="005F0AEB" w:rsidRPr="003A1E48">
        <w:rPr>
          <w:rFonts w:ascii="Book Antiqua" w:hAnsi="Book Antiqua" w:cs="Arial"/>
          <w:lang w:val="en-CA"/>
        </w:rPr>
        <w:t xml:space="preserve">only 14.1% of the requests were deemed inappropriate as triaged by an IBD specialist or nurse). </w:t>
      </w:r>
      <w:r w:rsidR="005F0AEB" w:rsidRPr="003A1E48">
        <w:rPr>
          <w:rFonts w:ascii="Book Antiqua" w:hAnsi="Book Antiqua" w:cs="Arial"/>
        </w:rPr>
        <w:t>W</w:t>
      </w:r>
      <w:r w:rsidR="008F2FBB" w:rsidRPr="003A1E48">
        <w:rPr>
          <w:rFonts w:ascii="Book Antiqua" w:hAnsi="Book Antiqua" w:cs="Arial"/>
        </w:rPr>
        <w:t>e believe that the differences in resource utilization</w:t>
      </w:r>
      <w:r w:rsidR="00FB1336" w:rsidRPr="003A1E48">
        <w:rPr>
          <w:rFonts w:ascii="Book Antiqua" w:hAnsi="Book Antiqua" w:cs="Arial"/>
        </w:rPr>
        <w:t>, treatment decisions, outcomes and costs</w:t>
      </w:r>
      <w:r w:rsidR="008F2FBB" w:rsidRPr="003A1E48">
        <w:rPr>
          <w:rFonts w:ascii="Book Antiqua" w:hAnsi="Book Antiqua" w:cs="Arial"/>
        </w:rPr>
        <w:t xml:space="preserve"> between the RAC and the ED are </w:t>
      </w:r>
      <w:r w:rsidR="00AA1338" w:rsidRPr="003A1E48">
        <w:rPr>
          <w:rFonts w:ascii="Book Antiqua" w:hAnsi="Book Antiqua" w:cs="Arial"/>
        </w:rPr>
        <w:t xml:space="preserve">straightforward </w:t>
      </w:r>
      <w:r w:rsidR="008F2FBB" w:rsidRPr="003A1E48">
        <w:rPr>
          <w:rFonts w:ascii="Book Antiqua" w:hAnsi="Book Antiqua" w:cs="Arial"/>
        </w:rPr>
        <w:t xml:space="preserve">and </w:t>
      </w:r>
      <w:r w:rsidR="00FB1336" w:rsidRPr="003A1E48">
        <w:rPr>
          <w:rFonts w:ascii="Book Antiqua" w:hAnsi="Book Antiqua" w:cs="Arial"/>
        </w:rPr>
        <w:t xml:space="preserve">show a </w:t>
      </w:r>
      <w:r w:rsidR="00325E93" w:rsidRPr="003A1E48">
        <w:rPr>
          <w:rFonts w:ascii="Book Antiqua" w:hAnsi="Book Antiqua" w:cs="Arial"/>
        </w:rPr>
        <w:t xml:space="preserve">clear </w:t>
      </w:r>
      <w:r w:rsidR="00FB1336" w:rsidRPr="003A1E48">
        <w:rPr>
          <w:rFonts w:ascii="Book Antiqua" w:hAnsi="Book Antiqua" w:cs="Arial"/>
        </w:rPr>
        <w:t xml:space="preserve">benefit of </w:t>
      </w:r>
      <w:r w:rsidR="006F01F2" w:rsidRPr="003A1E48">
        <w:rPr>
          <w:rFonts w:ascii="Book Antiqua" w:hAnsi="Book Antiqua" w:cs="Arial"/>
        </w:rPr>
        <w:t xml:space="preserve">this </w:t>
      </w:r>
      <w:r w:rsidR="00FB1336" w:rsidRPr="003A1E48">
        <w:rPr>
          <w:rFonts w:ascii="Book Antiqua" w:hAnsi="Book Antiqua" w:cs="Arial"/>
        </w:rPr>
        <w:t xml:space="preserve">alterative rapid care pathway for IBD. </w:t>
      </w:r>
      <w:r w:rsidR="005F0AEB" w:rsidRPr="003A1E48">
        <w:rPr>
          <w:rFonts w:ascii="Book Antiqua" w:eastAsia="Times New Roman" w:hAnsi="Book Antiqua" w:cs="Times New Roman"/>
          <w:color w:val="000000"/>
          <w:lang w:val="en-CA"/>
        </w:rPr>
        <w:t>Thus, the RAC may have accounted for approximately two thirds of potential E</w:t>
      </w:r>
      <w:r w:rsidR="008D2A23" w:rsidRPr="003A1E48">
        <w:rPr>
          <w:rFonts w:ascii="Book Antiqua" w:eastAsia="Times New Roman" w:hAnsi="Book Antiqua" w:cs="Times New Roman"/>
          <w:color w:val="000000"/>
          <w:lang w:val="en-CA"/>
        </w:rPr>
        <w:t>D</w:t>
      </w:r>
      <w:r w:rsidR="005F0AEB" w:rsidRPr="003A1E48">
        <w:rPr>
          <w:rFonts w:ascii="Book Antiqua" w:eastAsia="Times New Roman" w:hAnsi="Book Antiqua" w:cs="Times New Roman"/>
          <w:color w:val="000000"/>
          <w:lang w:val="en-CA"/>
        </w:rPr>
        <w:t xml:space="preserve"> IBD visits in 2018, where RAC and E</w:t>
      </w:r>
      <w:r w:rsidR="008D2A23" w:rsidRPr="003A1E48">
        <w:rPr>
          <w:rFonts w:ascii="Book Antiqua" w:eastAsia="Times New Roman" w:hAnsi="Book Antiqua" w:cs="Times New Roman"/>
          <w:color w:val="000000"/>
          <w:lang w:val="en-CA"/>
        </w:rPr>
        <w:t>D</w:t>
      </w:r>
      <w:r w:rsidR="005F0AEB" w:rsidRPr="003A1E48">
        <w:rPr>
          <w:rFonts w:ascii="Book Antiqua" w:eastAsia="Times New Roman" w:hAnsi="Book Antiqua" w:cs="Times New Roman"/>
          <w:color w:val="000000"/>
          <w:lang w:val="en-CA"/>
        </w:rPr>
        <w:t xml:space="preserve"> visits </w:t>
      </w:r>
      <w:r w:rsidR="005F0AEB" w:rsidRPr="003A1E48">
        <w:rPr>
          <w:rFonts w:ascii="Book Antiqua" w:eastAsia="Times New Roman" w:hAnsi="Book Antiqua" w:cs="Times New Roman"/>
          <w:color w:val="000000"/>
          <w:lang w:val="en-CA"/>
        </w:rPr>
        <w:lastRenderedPageBreak/>
        <w:t xml:space="preserve">were monitored prospectively and in parallel. </w:t>
      </w:r>
      <w:r w:rsidR="00847B3D" w:rsidRPr="003A1E48">
        <w:rPr>
          <w:rFonts w:ascii="Book Antiqua" w:hAnsi="Book Antiqua" w:cs="Arial"/>
        </w:rPr>
        <w:t>Of note</w:t>
      </w:r>
      <w:r w:rsidR="003C4CED" w:rsidRPr="003A1E48">
        <w:rPr>
          <w:rFonts w:ascii="Book Antiqua" w:hAnsi="Book Antiqua" w:cs="Arial"/>
        </w:rPr>
        <w:t xml:space="preserve">, </w:t>
      </w:r>
      <w:r w:rsidR="003C4CED" w:rsidRPr="003A1E48">
        <w:rPr>
          <w:rFonts w:ascii="Book Antiqua" w:eastAsia="Times New Roman" w:hAnsi="Book Antiqua" w:cs="Times New Roman"/>
          <w:color w:val="000000"/>
          <w:lang w:val="en-CA"/>
        </w:rPr>
        <w:t xml:space="preserve">we could not calculate the exact </w:t>
      </w:r>
      <w:r w:rsidR="00932E62" w:rsidRPr="003A1E48">
        <w:rPr>
          <w:rFonts w:ascii="Book Antiqua" w:eastAsia="Times New Roman" w:hAnsi="Book Antiqua" w:cs="Times New Roman"/>
          <w:color w:val="000000"/>
          <w:lang w:val="en-CA"/>
        </w:rPr>
        <w:t>change</w:t>
      </w:r>
      <w:r w:rsidR="003C4CED" w:rsidRPr="003A1E48">
        <w:rPr>
          <w:rFonts w:ascii="Book Antiqua" w:eastAsia="Times New Roman" w:hAnsi="Book Antiqua" w:cs="Times New Roman"/>
          <w:color w:val="000000"/>
          <w:lang w:val="en-CA"/>
        </w:rPr>
        <w:t xml:space="preserve"> in the E</w:t>
      </w:r>
      <w:r w:rsidR="00843E99" w:rsidRPr="003A1E48">
        <w:rPr>
          <w:rFonts w:ascii="Book Antiqua" w:eastAsia="Times New Roman" w:hAnsi="Book Antiqua" w:cs="Times New Roman"/>
          <w:color w:val="000000"/>
          <w:lang w:val="en-CA"/>
        </w:rPr>
        <w:t>D</w:t>
      </w:r>
      <w:r w:rsidR="003C4CED" w:rsidRPr="003A1E48">
        <w:rPr>
          <w:rFonts w:ascii="Book Antiqua" w:eastAsia="Times New Roman" w:hAnsi="Book Antiqua" w:cs="Times New Roman"/>
          <w:color w:val="000000"/>
          <w:lang w:val="en-CA"/>
        </w:rPr>
        <w:t xml:space="preserve"> exposure by IBD patients </w:t>
      </w:r>
      <w:r w:rsidR="00847B3D" w:rsidRPr="003A1E48">
        <w:rPr>
          <w:rFonts w:ascii="Book Antiqua" w:eastAsia="Times New Roman" w:hAnsi="Book Antiqua" w:cs="Times New Roman"/>
          <w:color w:val="000000"/>
          <w:lang w:val="en-CA"/>
        </w:rPr>
        <w:t xml:space="preserve">before and </w:t>
      </w:r>
      <w:r w:rsidR="003C4CED" w:rsidRPr="003A1E48">
        <w:rPr>
          <w:rFonts w:ascii="Book Antiqua" w:eastAsia="Times New Roman" w:hAnsi="Book Antiqua" w:cs="Times New Roman"/>
          <w:color w:val="000000"/>
          <w:lang w:val="en-CA"/>
        </w:rPr>
        <w:t>after the creation of the RAC, since we did not track E</w:t>
      </w:r>
      <w:r w:rsidR="00843E99" w:rsidRPr="003A1E48">
        <w:rPr>
          <w:rFonts w:ascii="Book Antiqua" w:eastAsia="Times New Roman" w:hAnsi="Book Antiqua" w:cs="Times New Roman"/>
          <w:color w:val="000000"/>
          <w:lang w:val="en-CA"/>
        </w:rPr>
        <w:t>D</w:t>
      </w:r>
      <w:r w:rsidR="003C4CED" w:rsidRPr="003A1E48">
        <w:rPr>
          <w:rFonts w:ascii="Book Antiqua" w:eastAsia="Times New Roman" w:hAnsi="Book Antiqua" w:cs="Times New Roman"/>
          <w:color w:val="000000"/>
          <w:lang w:val="en-CA"/>
        </w:rPr>
        <w:t xml:space="preserve"> IBD visit counts before the </w:t>
      </w:r>
      <w:r w:rsidR="00932E62" w:rsidRPr="003A1E48">
        <w:rPr>
          <w:rFonts w:ascii="Book Antiqua" w:eastAsia="Times New Roman" w:hAnsi="Book Antiqua" w:cs="Times New Roman"/>
          <w:color w:val="000000"/>
          <w:lang w:val="en-CA"/>
        </w:rPr>
        <w:t>initiation</w:t>
      </w:r>
      <w:r w:rsidR="003C4CED" w:rsidRPr="003A1E48">
        <w:rPr>
          <w:rFonts w:ascii="Book Antiqua" w:eastAsia="Times New Roman" w:hAnsi="Book Antiqua" w:cs="Times New Roman"/>
          <w:color w:val="000000"/>
          <w:lang w:val="en-CA"/>
        </w:rPr>
        <w:t xml:space="preserve"> of the RAC.</w:t>
      </w:r>
    </w:p>
    <w:p w14:paraId="34FCB152" w14:textId="4443CB43" w:rsidR="00BB066E" w:rsidRPr="003A1E48" w:rsidRDefault="00541FE0" w:rsidP="00DD7F70">
      <w:pPr>
        <w:spacing w:line="360" w:lineRule="auto"/>
        <w:ind w:firstLineChars="100" w:firstLine="240"/>
        <w:jc w:val="both"/>
        <w:rPr>
          <w:rFonts w:ascii="Book Antiqua" w:eastAsia="Times New Roman" w:hAnsi="Book Antiqua" w:cs="Times New Roman"/>
          <w:color w:val="000000"/>
          <w:lang w:val="en-CA"/>
        </w:rPr>
      </w:pPr>
      <w:r w:rsidRPr="003A1E48">
        <w:rPr>
          <w:rFonts w:ascii="Book Antiqua" w:hAnsi="Book Antiqua" w:cs="Arial"/>
          <w:lang w:val="en-CA"/>
        </w:rPr>
        <w:t xml:space="preserve">In </w:t>
      </w:r>
      <w:r w:rsidR="00FB1336" w:rsidRPr="003A1E48">
        <w:rPr>
          <w:rFonts w:ascii="Book Antiqua" w:hAnsi="Book Antiqua" w:cs="Arial"/>
          <w:lang w:val="en-CA"/>
        </w:rPr>
        <w:t>conclusion</w:t>
      </w:r>
      <w:r w:rsidRPr="003A1E48">
        <w:rPr>
          <w:rFonts w:ascii="Book Antiqua" w:hAnsi="Book Antiqua" w:cs="Arial"/>
          <w:lang w:val="en-CA"/>
        </w:rPr>
        <w:t xml:space="preserve">, </w:t>
      </w:r>
      <w:r w:rsidR="00FB1336" w:rsidRPr="003A1E48">
        <w:rPr>
          <w:rFonts w:ascii="Book Antiqua" w:hAnsi="Book Antiqua" w:cs="Arial"/>
          <w:lang w:val="en-CA"/>
        </w:rPr>
        <w:t>r</w:t>
      </w:r>
      <w:r w:rsidR="00910044" w:rsidRPr="003A1E48">
        <w:rPr>
          <w:rFonts w:ascii="Book Antiqua" w:hAnsi="Book Antiqua" w:cs="Arial"/>
          <w:bCs/>
          <w:lang w:val="en-CA"/>
        </w:rPr>
        <w:t xml:space="preserve">esults from the present study </w:t>
      </w:r>
      <w:r w:rsidR="008B1852" w:rsidRPr="003A1E48">
        <w:rPr>
          <w:rFonts w:ascii="Book Antiqua" w:hAnsi="Book Antiqua" w:cs="Arial"/>
          <w:bCs/>
          <w:lang w:val="en-CA"/>
        </w:rPr>
        <w:t xml:space="preserve">demonstrate </w:t>
      </w:r>
      <w:r w:rsidR="00910044" w:rsidRPr="003A1E48">
        <w:rPr>
          <w:rFonts w:ascii="Book Antiqua" w:hAnsi="Book Antiqua" w:cs="Arial"/>
          <w:bCs/>
          <w:lang w:val="en-CA"/>
        </w:rPr>
        <w:t>that i</w:t>
      </w:r>
      <w:r w:rsidR="000D23B5" w:rsidRPr="003A1E48">
        <w:rPr>
          <w:rFonts w:ascii="Book Antiqua" w:hAnsi="Book Antiqua" w:cs="Arial"/>
          <w:bCs/>
          <w:lang w:val="en-CA"/>
        </w:rPr>
        <w:t xml:space="preserve">mplementation of a RAC </w:t>
      </w:r>
      <w:r w:rsidR="00FB1336" w:rsidRPr="003A1E48">
        <w:rPr>
          <w:rFonts w:ascii="Book Antiqua" w:hAnsi="Book Antiqua" w:cs="Arial"/>
          <w:bCs/>
          <w:lang w:val="en-CA"/>
        </w:rPr>
        <w:t xml:space="preserve">care pathway </w:t>
      </w:r>
      <w:r w:rsidR="000D23B5" w:rsidRPr="003A1E48">
        <w:rPr>
          <w:rFonts w:ascii="Book Antiqua" w:hAnsi="Book Antiqua" w:cs="Arial"/>
          <w:bCs/>
          <w:lang w:val="en-CA"/>
        </w:rPr>
        <w:t>improved healthcare delivery by facilitating easier access</w:t>
      </w:r>
      <w:r w:rsidR="00FB1336" w:rsidRPr="003A1E48">
        <w:rPr>
          <w:rFonts w:ascii="Book Antiqua" w:hAnsi="Book Antiqua" w:cs="Arial"/>
          <w:bCs/>
          <w:lang w:val="en-CA"/>
        </w:rPr>
        <w:t>, optimizing resource utilization for patient evaluation and treatment decisions</w:t>
      </w:r>
      <w:r w:rsidR="000D23B5" w:rsidRPr="003A1E48">
        <w:rPr>
          <w:rFonts w:ascii="Book Antiqua" w:hAnsi="Book Antiqua" w:cs="Arial"/>
          <w:bCs/>
          <w:lang w:val="en-CA"/>
        </w:rPr>
        <w:t xml:space="preserve"> to IBD specific medical care</w:t>
      </w:r>
      <w:r w:rsidR="00CC31E0" w:rsidRPr="003A1E48">
        <w:rPr>
          <w:rFonts w:ascii="Book Antiqua" w:hAnsi="Book Antiqua" w:cs="Arial"/>
          <w:bCs/>
          <w:lang w:val="en-CA"/>
        </w:rPr>
        <w:t xml:space="preserve"> in urgent situations, thus preventing unnecessary ED visits. Patients</w:t>
      </w:r>
      <w:r w:rsidR="00FB1336" w:rsidRPr="003A1E48">
        <w:rPr>
          <w:rFonts w:ascii="Book Antiqua" w:hAnsi="Book Antiqua" w:cs="Arial"/>
          <w:bCs/>
          <w:lang w:val="en-CA"/>
        </w:rPr>
        <w:t>, who</w:t>
      </w:r>
      <w:r w:rsidR="00CC31E0" w:rsidRPr="003A1E48">
        <w:rPr>
          <w:rFonts w:ascii="Book Antiqua" w:hAnsi="Book Antiqua" w:cs="Arial"/>
          <w:bCs/>
          <w:lang w:val="en-CA"/>
        </w:rPr>
        <w:t xml:space="preserve"> underwent fast-track evaluation by an IBD specialist</w:t>
      </w:r>
      <w:r w:rsidR="00FB1336" w:rsidRPr="003A1E48">
        <w:rPr>
          <w:rFonts w:ascii="Book Antiqua" w:hAnsi="Book Antiqua" w:cs="Arial"/>
          <w:bCs/>
          <w:lang w:val="en-CA"/>
        </w:rPr>
        <w:t xml:space="preserve"> had low rates of further ED visits and </w:t>
      </w:r>
      <w:r w:rsidR="00CC31E0" w:rsidRPr="003A1E48">
        <w:rPr>
          <w:rFonts w:ascii="Book Antiqua" w:hAnsi="Book Antiqua" w:cs="Arial"/>
          <w:bCs/>
          <w:lang w:val="en-CA"/>
        </w:rPr>
        <w:t xml:space="preserve">hospital admissions. </w:t>
      </w:r>
      <w:r w:rsidR="00CD7FEE" w:rsidRPr="003A1E48">
        <w:rPr>
          <w:rFonts w:ascii="Book Antiqua" w:hAnsi="Book Antiqua" w:cs="Arial"/>
          <w:bCs/>
          <w:lang w:val="en-CA"/>
        </w:rPr>
        <w:t>In addition, RAC pathway was associated with a</w:t>
      </w:r>
      <w:r w:rsidR="00CC31E0" w:rsidRPr="003A1E48">
        <w:rPr>
          <w:rFonts w:ascii="Book Antiqua" w:hAnsi="Book Antiqua" w:cs="Arial"/>
          <w:bCs/>
          <w:lang w:val="en-CA"/>
        </w:rPr>
        <w:t xml:space="preserve"> significant cost reduction compared to ED services</w:t>
      </w:r>
      <w:r w:rsidR="000D23B5" w:rsidRPr="003A1E48">
        <w:rPr>
          <w:rFonts w:ascii="Book Antiqua" w:hAnsi="Book Antiqua" w:cs="Arial"/>
          <w:bCs/>
          <w:lang w:val="en-CA"/>
        </w:rPr>
        <w:t>.</w:t>
      </w:r>
    </w:p>
    <w:p w14:paraId="7541D394" w14:textId="77777777" w:rsidR="0014629C" w:rsidRPr="003A1E48" w:rsidRDefault="0014629C" w:rsidP="00DD7F70">
      <w:pPr>
        <w:spacing w:line="360" w:lineRule="auto"/>
        <w:jc w:val="both"/>
        <w:rPr>
          <w:rFonts w:ascii="Book Antiqua" w:hAnsi="Book Antiqua" w:cs="Arial"/>
          <w:bCs/>
          <w:lang w:val="en-CA"/>
        </w:rPr>
      </w:pPr>
    </w:p>
    <w:p w14:paraId="62D377A5" w14:textId="77777777" w:rsidR="00D676DE" w:rsidRPr="003A1E48" w:rsidRDefault="00D676DE" w:rsidP="00D676DE">
      <w:pPr>
        <w:snapToGrid w:val="0"/>
        <w:spacing w:line="360" w:lineRule="auto"/>
        <w:rPr>
          <w:rFonts w:ascii="Book Antiqua" w:hAnsi="Book Antiqua"/>
          <w:b/>
          <w:caps/>
          <w:u w:val="single"/>
        </w:rPr>
      </w:pPr>
      <w:bookmarkStart w:id="12" w:name="_Hlk15543807"/>
      <w:bookmarkStart w:id="13" w:name="_Hlk17811696"/>
      <w:r w:rsidRPr="003A1E48">
        <w:rPr>
          <w:rFonts w:ascii="Book Antiqua" w:hAnsi="Book Antiqua" w:cs="Segoe UI"/>
          <w:b/>
          <w:caps/>
          <w:u w:val="single"/>
          <w:shd w:val="clear" w:color="auto" w:fill="FFFFFF"/>
        </w:rPr>
        <w:t>Article Highlights</w:t>
      </w:r>
    </w:p>
    <w:p w14:paraId="65A1EA6D"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background</w:t>
      </w:r>
    </w:p>
    <w:p w14:paraId="0FAB509C" w14:textId="3715B6DA" w:rsidR="00D676DE" w:rsidRPr="003A1E48" w:rsidRDefault="009F11BC" w:rsidP="00186CFB">
      <w:pPr>
        <w:spacing w:line="360" w:lineRule="auto"/>
        <w:jc w:val="both"/>
        <w:rPr>
          <w:rFonts w:ascii="Book Antiqua" w:hAnsi="Book Antiqua" w:cs="Arial"/>
          <w:lang w:val="en-CA"/>
        </w:rPr>
      </w:pPr>
      <w:r w:rsidRPr="003A1E48">
        <w:rPr>
          <w:rFonts w:ascii="Book Antiqua" w:hAnsi="Book Antiqua" w:cs="Arial"/>
          <w:lang w:val="en-CA"/>
        </w:rPr>
        <w:t>Emergency department</w:t>
      </w:r>
      <w:r w:rsidR="003A1E48">
        <w:rPr>
          <w:rFonts w:ascii="Book Antiqua" w:hAnsi="Book Antiqua" w:cs="Arial"/>
          <w:lang w:val="en-CA"/>
        </w:rPr>
        <w:t xml:space="preserve"> (ED)</w:t>
      </w:r>
      <w:r w:rsidRPr="003A1E48">
        <w:rPr>
          <w:rFonts w:ascii="Book Antiqua" w:hAnsi="Book Antiqua" w:cs="Arial"/>
          <w:lang w:val="en-CA"/>
        </w:rPr>
        <w:t xml:space="preserve"> attendance in inflammatory bowel disease (IBD) patients put significant burden on the healthcare system. </w:t>
      </w:r>
    </w:p>
    <w:p w14:paraId="239B207E" w14:textId="77777777" w:rsidR="009420C2" w:rsidRPr="003A1E48" w:rsidRDefault="009420C2" w:rsidP="00186CFB">
      <w:pPr>
        <w:spacing w:line="360" w:lineRule="auto"/>
        <w:jc w:val="both"/>
        <w:rPr>
          <w:rFonts w:ascii="Book Antiqua" w:hAnsi="Book Antiqua" w:cs="Arial"/>
          <w:lang w:val="en-CA"/>
        </w:rPr>
      </w:pPr>
    </w:p>
    <w:p w14:paraId="3A40318F"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motivation</w:t>
      </w:r>
    </w:p>
    <w:p w14:paraId="73ECAB3C" w14:textId="4828B92C" w:rsidR="009420C2" w:rsidRPr="003A1E48" w:rsidRDefault="009420C2" w:rsidP="00186CFB">
      <w:pPr>
        <w:adjustRightInd w:val="0"/>
        <w:snapToGrid w:val="0"/>
        <w:spacing w:line="360" w:lineRule="auto"/>
        <w:jc w:val="both"/>
        <w:rPr>
          <w:rFonts w:ascii="Book Antiqua" w:hAnsi="Book Antiqua"/>
          <w:color w:val="000000"/>
        </w:rPr>
      </w:pPr>
      <w:r w:rsidRPr="003A1E48">
        <w:rPr>
          <w:rFonts w:ascii="Book Antiqua" w:hAnsi="Book Antiqua"/>
          <w:color w:val="000000"/>
        </w:rPr>
        <w:t xml:space="preserve">We theorize that a </w:t>
      </w:r>
      <w:r w:rsidRPr="003A1E48">
        <w:rPr>
          <w:rFonts w:ascii="Book Antiqua" w:hAnsi="Book Antiqua" w:cs="Arial"/>
          <w:lang w:val="en-CA"/>
        </w:rPr>
        <w:t xml:space="preserve">large proportion of IBD patients presenting with urgent </w:t>
      </w:r>
      <w:r w:rsidR="00186CFB" w:rsidRPr="003A1E48">
        <w:rPr>
          <w:rFonts w:ascii="Book Antiqua" w:hAnsi="Book Antiqua" w:cs="Arial"/>
          <w:lang w:val="en-CA"/>
        </w:rPr>
        <w:t xml:space="preserve">IBD specific complaints </w:t>
      </w:r>
      <w:r w:rsidRPr="003A1E48">
        <w:rPr>
          <w:rFonts w:ascii="Book Antiqua" w:hAnsi="Book Antiqua" w:cs="Arial"/>
          <w:lang w:val="en-CA"/>
        </w:rPr>
        <w:t>could potentially be managed in alternative care settings</w:t>
      </w:r>
      <w:r w:rsidR="00186CFB" w:rsidRPr="003A1E48">
        <w:rPr>
          <w:rFonts w:ascii="Book Antiqua" w:hAnsi="Book Antiqua"/>
          <w:color w:val="000000"/>
        </w:rPr>
        <w:t xml:space="preserve">, thus avoiding unnecessary </w:t>
      </w:r>
      <w:r w:rsidR="003A1E48">
        <w:rPr>
          <w:rFonts w:ascii="Book Antiqua" w:hAnsi="Book Antiqua"/>
          <w:color w:val="000000"/>
        </w:rPr>
        <w:t xml:space="preserve">ED </w:t>
      </w:r>
      <w:r w:rsidR="00186CFB" w:rsidRPr="003A1E48">
        <w:rPr>
          <w:rFonts w:ascii="Book Antiqua" w:hAnsi="Book Antiqua"/>
          <w:color w:val="000000"/>
        </w:rPr>
        <w:t>visits.</w:t>
      </w:r>
    </w:p>
    <w:p w14:paraId="4BBA2054" w14:textId="77777777" w:rsidR="00D676DE" w:rsidRPr="003A1E48" w:rsidRDefault="00D676DE" w:rsidP="00186CFB">
      <w:pPr>
        <w:adjustRightInd w:val="0"/>
        <w:snapToGrid w:val="0"/>
        <w:spacing w:line="360" w:lineRule="auto"/>
        <w:jc w:val="both"/>
        <w:rPr>
          <w:rFonts w:ascii="Book Antiqua" w:hAnsi="Book Antiqua"/>
          <w:b/>
          <w:i/>
          <w:color w:val="000000"/>
        </w:rPr>
      </w:pPr>
    </w:p>
    <w:p w14:paraId="3E770724"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objectives</w:t>
      </w:r>
    </w:p>
    <w:p w14:paraId="7102A80A" w14:textId="7D078955" w:rsidR="009420C2" w:rsidRPr="003A1E48" w:rsidRDefault="009420C2" w:rsidP="00186CFB">
      <w:pPr>
        <w:adjustRightInd w:val="0"/>
        <w:snapToGrid w:val="0"/>
        <w:spacing w:line="360" w:lineRule="auto"/>
        <w:jc w:val="both"/>
        <w:rPr>
          <w:rFonts w:ascii="Book Antiqua" w:hAnsi="Book Antiqua"/>
          <w:color w:val="000000"/>
        </w:rPr>
      </w:pPr>
      <w:r w:rsidRPr="003A1E48">
        <w:rPr>
          <w:rFonts w:ascii="Book Antiqua" w:hAnsi="Book Antiqua" w:cs="Arial"/>
          <w:bCs/>
          <w:lang w:val="en-CA"/>
        </w:rPr>
        <w:t xml:space="preserve">To report a </w:t>
      </w:r>
      <w:r w:rsidRPr="003A1E48">
        <w:rPr>
          <w:rFonts w:ascii="Book Antiqua" w:hAnsi="Book Antiqua" w:cs="Arial"/>
        </w:rPr>
        <w:t>comprehensive analysis of patient access</w:t>
      </w:r>
      <w:r w:rsidRPr="003A1E48">
        <w:rPr>
          <w:rFonts w:ascii="Book Antiqua" w:hAnsi="Book Antiqua" w:cs="Arial"/>
          <w:lang w:val="en-CA"/>
        </w:rPr>
        <w:t xml:space="preserve"> and resource utilization after the implementation of the new </w:t>
      </w:r>
      <w:r w:rsidR="002918E2" w:rsidRPr="003A1E48">
        <w:rPr>
          <w:rFonts w:ascii="Book Antiqua" w:hAnsi="Book Antiqua" w:cs="Arial"/>
          <w:lang w:val="en-CA"/>
        </w:rPr>
        <w:t>rapid access cli</w:t>
      </w:r>
      <w:r w:rsidRPr="003A1E48">
        <w:rPr>
          <w:rFonts w:ascii="Book Antiqua" w:hAnsi="Book Antiqua" w:cs="Arial"/>
          <w:lang w:val="en-CA"/>
        </w:rPr>
        <w:t xml:space="preserve">nic </w:t>
      </w:r>
      <w:r w:rsidR="002918E2" w:rsidRPr="003A1E48">
        <w:rPr>
          <w:rFonts w:ascii="Book Antiqua" w:hAnsi="Book Antiqua" w:cs="Arial"/>
          <w:lang w:val="en-CA"/>
        </w:rPr>
        <w:t>(RAC)</w:t>
      </w:r>
      <w:r w:rsidR="002918E2">
        <w:rPr>
          <w:rFonts w:ascii="Book Antiqua" w:hAnsi="Book Antiqua" w:cs="Arial"/>
          <w:lang w:val="en-CA"/>
        </w:rPr>
        <w:t xml:space="preserve"> </w:t>
      </w:r>
      <w:r w:rsidRPr="003A1E48">
        <w:rPr>
          <w:rFonts w:ascii="Book Antiqua" w:hAnsi="Book Antiqua" w:cs="Arial"/>
          <w:lang w:val="en-CA"/>
        </w:rPr>
        <w:t xml:space="preserve">service at a tertiary IBD center, </w:t>
      </w:r>
      <w:r w:rsidRPr="003A1E48">
        <w:rPr>
          <w:rFonts w:ascii="Book Antiqua" w:hAnsi="Book Antiqua" w:cs="Arial"/>
        </w:rPr>
        <w:t>compared to usual ED</w:t>
      </w:r>
      <w:r w:rsidR="003A1E48">
        <w:rPr>
          <w:rFonts w:ascii="Book Antiqua" w:hAnsi="Book Antiqua" w:cs="Arial"/>
        </w:rPr>
        <w:t xml:space="preserve"> </w:t>
      </w:r>
      <w:r w:rsidRPr="003A1E48">
        <w:rPr>
          <w:rFonts w:ascii="Book Antiqua" w:hAnsi="Book Antiqua" w:cs="Arial"/>
        </w:rPr>
        <w:t>visits in IBD patients.</w:t>
      </w:r>
    </w:p>
    <w:p w14:paraId="7759B4A2" w14:textId="77777777" w:rsidR="00D676DE" w:rsidRPr="003A1E48" w:rsidRDefault="00D676DE" w:rsidP="00186CFB">
      <w:pPr>
        <w:adjustRightInd w:val="0"/>
        <w:snapToGrid w:val="0"/>
        <w:spacing w:line="360" w:lineRule="auto"/>
        <w:jc w:val="both"/>
        <w:rPr>
          <w:rFonts w:ascii="Book Antiqua" w:hAnsi="Book Antiqua"/>
          <w:b/>
          <w:i/>
          <w:color w:val="000000"/>
        </w:rPr>
      </w:pPr>
    </w:p>
    <w:p w14:paraId="4773B2C5"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methods</w:t>
      </w:r>
    </w:p>
    <w:p w14:paraId="06D7A85C" w14:textId="0871ECCC" w:rsidR="009420C2" w:rsidRPr="003A1E48" w:rsidRDefault="009420C2" w:rsidP="00186CFB">
      <w:pPr>
        <w:adjustRightInd w:val="0"/>
        <w:snapToGrid w:val="0"/>
        <w:spacing w:line="360" w:lineRule="auto"/>
        <w:jc w:val="both"/>
        <w:rPr>
          <w:rFonts w:ascii="Book Antiqua" w:hAnsi="Book Antiqua"/>
          <w:b/>
          <w:color w:val="000000"/>
        </w:rPr>
      </w:pPr>
      <w:r w:rsidRPr="003A1E48">
        <w:rPr>
          <w:rFonts w:ascii="Book Antiqua" w:hAnsi="Book Antiqua" w:cs="Arial"/>
          <w:lang w:val="en-CA"/>
        </w:rPr>
        <w:t xml:space="preserve">Patient access, resource utilization and outcome parameters were collected from consecutive patients contacting the RAC in a </w:t>
      </w:r>
      <w:proofErr w:type="gramStart"/>
      <w:r w:rsidRPr="003A1E48">
        <w:rPr>
          <w:rFonts w:ascii="Book Antiqua" w:hAnsi="Book Antiqua" w:cs="Arial"/>
          <w:lang w:val="en-CA"/>
        </w:rPr>
        <w:t>two year</w:t>
      </w:r>
      <w:proofErr w:type="gramEnd"/>
      <w:r w:rsidRPr="003A1E48">
        <w:rPr>
          <w:rFonts w:ascii="Book Antiqua" w:hAnsi="Book Antiqua" w:cs="Arial"/>
          <w:lang w:val="en-CA"/>
        </w:rPr>
        <w:t xml:space="preserve"> period. Comparative analysis of </w:t>
      </w:r>
      <w:r w:rsidRPr="003A1E48">
        <w:rPr>
          <w:rFonts w:ascii="Book Antiqua" w:hAnsi="Book Antiqua" w:cs="Arial"/>
          <w:lang w:val="en-CA"/>
        </w:rPr>
        <w:lastRenderedPageBreak/>
        <w:t>resource utilization and healthcare costs were carried out evaluating ED visits of IBD patients with no access to RAC services.</w:t>
      </w:r>
    </w:p>
    <w:p w14:paraId="3C9E1C96" w14:textId="77777777" w:rsidR="00D676DE" w:rsidRPr="003A1E48" w:rsidRDefault="00D676DE" w:rsidP="00186CFB">
      <w:pPr>
        <w:adjustRightInd w:val="0"/>
        <w:snapToGrid w:val="0"/>
        <w:spacing w:line="360" w:lineRule="auto"/>
        <w:jc w:val="both"/>
        <w:rPr>
          <w:rFonts w:ascii="Book Antiqua" w:hAnsi="Book Antiqua"/>
          <w:b/>
          <w:i/>
          <w:color w:val="000000"/>
        </w:rPr>
      </w:pPr>
    </w:p>
    <w:p w14:paraId="18BB8B59"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results</w:t>
      </w:r>
    </w:p>
    <w:p w14:paraId="1393399F" w14:textId="6477577F" w:rsidR="00186CFB" w:rsidRPr="003A1E48" w:rsidRDefault="00186CFB" w:rsidP="00186CFB">
      <w:pPr>
        <w:adjustRightInd w:val="0"/>
        <w:snapToGrid w:val="0"/>
        <w:spacing w:line="360" w:lineRule="auto"/>
        <w:jc w:val="both"/>
        <w:rPr>
          <w:rFonts w:ascii="Book Antiqua" w:hAnsi="Book Antiqua"/>
          <w:b/>
          <w:color w:val="000000"/>
        </w:rPr>
      </w:pPr>
      <w:r w:rsidRPr="003A1E48">
        <w:rPr>
          <w:rFonts w:ascii="Book Antiqua" w:hAnsi="Book Antiqua" w:cs="Arial"/>
        </w:rPr>
        <w:t xml:space="preserve">Creating a </w:t>
      </w:r>
      <w:r w:rsidR="003A1E48">
        <w:rPr>
          <w:rFonts w:ascii="Book Antiqua" w:hAnsi="Book Antiqua" w:cs="Arial" w:hint="eastAsia"/>
          <w:lang w:val="en-CA" w:eastAsia="zh-CN"/>
        </w:rPr>
        <w:t>RAC</w:t>
      </w:r>
      <w:r w:rsidRPr="003A1E48">
        <w:rPr>
          <w:rFonts w:ascii="Book Antiqua" w:hAnsi="Book Antiqua" w:cs="Arial"/>
        </w:rPr>
        <w:t xml:space="preserve"> for IBD patients is associated with quick patient access, optimized and specific use of diagnostic procedures and services, with similar outcome parameters and lower resource utilization and overall costs compared to regular </w:t>
      </w:r>
      <w:r w:rsidR="003A1E48">
        <w:rPr>
          <w:rFonts w:ascii="Book Antiqua" w:hAnsi="Book Antiqua" w:cs="Arial"/>
          <w:lang w:val="en-CA"/>
        </w:rPr>
        <w:t>ED</w:t>
      </w:r>
      <w:r w:rsidRPr="003A1E48">
        <w:rPr>
          <w:rFonts w:ascii="Book Antiqua" w:hAnsi="Book Antiqua" w:cs="Arial"/>
          <w:lang w:val="en-CA"/>
        </w:rPr>
        <w:t xml:space="preserve"> </w:t>
      </w:r>
      <w:r w:rsidRPr="003A1E48">
        <w:rPr>
          <w:rFonts w:ascii="Book Antiqua" w:hAnsi="Book Antiqua" w:cs="Arial"/>
        </w:rPr>
        <w:t>visits for IBD patients.</w:t>
      </w:r>
    </w:p>
    <w:p w14:paraId="6DDD9B8A" w14:textId="77777777" w:rsidR="00D676DE" w:rsidRPr="003A1E48" w:rsidRDefault="00D676DE" w:rsidP="00186CFB">
      <w:pPr>
        <w:adjustRightInd w:val="0"/>
        <w:snapToGrid w:val="0"/>
        <w:spacing w:line="360" w:lineRule="auto"/>
        <w:jc w:val="both"/>
        <w:rPr>
          <w:rFonts w:ascii="Book Antiqua" w:hAnsi="Book Antiqua"/>
          <w:b/>
          <w:i/>
          <w:color w:val="000000"/>
        </w:rPr>
      </w:pPr>
    </w:p>
    <w:p w14:paraId="69A4DE8A" w14:textId="77777777" w:rsidR="00D676DE"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conclusions</w:t>
      </w:r>
    </w:p>
    <w:p w14:paraId="74FA3310" w14:textId="46B201E1" w:rsidR="00D676DE" w:rsidRPr="003A1E48" w:rsidRDefault="00186CFB" w:rsidP="00186CFB">
      <w:pPr>
        <w:adjustRightInd w:val="0"/>
        <w:snapToGrid w:val="0"/>
        <w:spacing w:line="360" w:lineRule="auto"/>
        <w:jc w:val="both"/>
        <w:rPr>
          <w:rFonts w:ascii="Book Antiqua" w:hAnsi="Book Antiqua" w:cs="Arial"/>
          <w:lang w:val="en-CA"/>
        </w:rPr>
      </w:pPr>
      <w:r w:rsidRPr="003A1E48">
        <w:rPr>
          <w:rFonts w:ascii="Book Antiqua" w:hAnsi="Book Antiqua" w:cs="Arial"/>
          <w:lang w:val="en-CA"/>
        </w:rPr>
        <w:t xml:space="preserve">Implementation of a RAC facilitated easier access to IBD specific medical care, with optimized resource utilization and helped avoiding potential ED visits and subsequent hospitalisations. </w:t>
      </w:r>
    </w:p>
    <w:p w14:paraId="48963D14" w14:textId="77777777" w:rsidR="00186CFB" w:rsidRPr="003A1E48" w:rsidRDefault="00186CFB" w:rsidP="00186CFB">
      <w:pPr>
        <w:adjustRightInd w:val="0"/>
        <w:snapToGrid w:val="0"/>
        <w:spacing w:line="360" w:lineRule="auto"/>
        <w:jc w:val="both"/>
        <w:rPr>
          <w:rFonts w:ascii="Book Antiqua" w:hAnsi="Book Antiqua"/>
          <w:b/>
          <w:i/>
          <w:color w:val="000000"/>
        </w:rPr>
      </w:pPr>
    </w:p>
    <w:p w14:paraId="48D641B3" w14:textId="0183B9B8" w:rsidR="00D316D7" w:rsidRPr="003A1E48" w:rsidRDefault="00D676DE" w:rsidP="00186CFB">
      <w:pPr>
        <w:adjustRightInd w:val="0"/>
        <w:snapToGrid w:val="0"/>
        <w:spacing w:line="360" w:lineRule="auto"/>
        <w:jc w:val="both"/>
        <w:rPr>
          <w:rFonts w:ascii="Book Antiqua" w:hAnsi="Book Antiqua"/>
          <w:b/>
          <w:i/>
          <w:color w:val="000000"/>
        </w:rPr>
      </w:pPr>
      <w:r w:rsidRPr="003A1E48">
        <w:rPr>
          <w:rFonts w:ascii="Book Antiqua" w:hAnsi="Book Antiqua"/>
          <w:b/>
          <w:i/>
          <w:color w:val="000000"/>
        </w:rPr>
        <w:t>Research perspectives</w:t>
      </w:r>
      <w:bookmarkEnd w:id="12"/>
      <w:bookmarkEnd w:id="13"/>
    </w:p>
    <w:p w14:paraId="12CD65B3" w14:textId="354DEB79" w:rsidR="00D676DE" w:rsidRPr="003A1E48" w:rsidRDefault="00186CFB" w:rsidP="00186CFB">
      <w:pPr>
        <w:adjustRightInd w:val="0"/>
        <w:snapToGrid w:val="0"/>
        <w:spacing w:line="360" w:lineRule="auto"/>
        <w:jc w:val="both"/>
        <w:rPr>
          <w:rFonts w:ascii="Book Antiqua" w:hAnsi="Book Antiqua"/>
          <w:color w:val="000000"/>
        </w:rPr>
      </w:pPr>
      <w:r w:rsidRPr="003A1E48">
        <w:rPr>
          <w:rFonts w:ascii="Book Antiqua" w:hAnsi="Book Antiqua"/>
          <w:color w:val="000000"/>
        </w:rPr>
        <w:t xml:space="preserve">A </w:t>
      </w:r>
      <w:r w:rsidR="003A1E48">
        <w:rPr>
          <w:rFonts w:ascii="Book Antiqua" w:hAnsi="Book Antiqua"/>
          <w:color w:val="000000"/>
        </w:rPr>
        <w:t>RAC</w:t>
      </w:r>
      <w:r w:rsidRPr="003A1E48">
        <w:rPr>
          <w:rFonts w:ascii="Book Antiqua" w:hAnsi="Book Antiqua"/>
          <w:color w:val="000000"/>
        </w:rPr>
        <w:t xml:space="preserve"> is ideal for providing </w:t>
      </w:r>
      <w:r w:rsidRPr="003A1E48">
        <w:rPr>
          <w:rFonts w:ascii="Book Antiqua" w:hAnsi="Book Antiqua" w:cs="Arial"/>
          <w:bCs/>
          <w:lang w:val="en-CA"/>
        </w:rPr>
        <w:t>IBD specific medical care in urgent situations, reducing burden to both the healthcare system and patients.</w:t>
      </w:r>
    </w:p>
    <w:p w14:paraId="5EA349DD" w14:textId="77777777" w:rsidR="00D316D7" w:rsidRPr="003A1E48" w:rsidRDefault="00D316D7" w:rsidP="00DD7F70">
      <w:pPr>
        <w:spacing w:line="360" w:lineRule="auto"/>
        <w:jc w:val="both"/>
        <w:rPr>
          <w:rFonts w:ascii="Book Antiqua" w:hAnsi="Book Antiqua" w:cs="Arial"/>
          <w:b/>
        </w:rPr>
      </w:pPr>
    </w:p>
    <w:p w14:paraId="7F36085E" w14:textId="0E315CB2" w:rsidR="00434835" w:rsidRPr="003A1E48" w:rsidRDefault="00607B0C" w:rsidP="00DD7F70">
      <w:pPr>
        <w:spacing w:line="360" w:lineRule="auto"/>
        <w:jc w:val="both"/>
        <w:rPr>
          <w:rFonts w:ascii="Book Antiqua" w:hAnsi="Book Antiqua" w:cs="Arial"/>
          <w:b/>
        </w:rPr>
      </w:pPr>
      <w:r w:rsidRPr="003A1E48">
        <w:rPr>
          <w:rFonts w:ascii="Book Antiqua" w:hAnsi="Book Antiqua" w:cs="Arial"/>
          <w:b/>
        </w:rPr>
        <w:t>REFERENCES</w:t>
      </w:r>
    </w:p>
    <w:p w14:paraId="7267D4E8" w14:textId="77777777" w:rsidR="000746DA" w:rsidRPr="003A1E48" w:rsidRDefault="000746DA" w:rsidP="00DD7F70">
      <w:pPr>
        <w:spacing w:line="360" w:lineRule="auto"/>
        <w:jc w:val="both"/>
        <w:rPr>
          <w:rFonts w:ascii="Book Antiqua" w:hAnsi="Book Antiqua"/>
        </w:rPr>
      </w:pPr>
      <w:bookmarkStart w:id="14" w:name="OLE_LINK1"/>
      <w:r w:rsidRPr="003A1E48">
        <w:rPr>
          <w:rFonts w:ascii="Book Antiqua" w:hAnsi="Book Antiqua"/>
        </w:rPr>
        <w:t xml:space="preserve">1 </w:t>
      </w:r>
      <w:r w:rsidRPr="003A1E48">
        <w:rPr>
          <w:rFonts w:ascii="Book Antiqua" w:hAnsi="Book Antiqua"/>
          <w:b/>
        </w:rPr>
        <w:t xml:space="preserve">Le </w:t>
      </w:r>
      <w:proofErr w:type="spellStart"/>
      <w:r w:rsidRPr="003A1E48">
        <w:rPr>
          <w:rFonts w:ascii="Book Antiqua" w:hAnsi="Book Antiqua"/>
          <w:b/>
        </w:rPr>
        <w:t>Berre</w:t>
      </w:r>
      <w:proofErr w:type="spellEnd"/>
      <w:r w:rsidRPr="003A1E48">
        <w:rPr>
          <w:rFonts w:ascii="Book Antiqua" w:hAnsi="Book Antiqua"/>
          <w:b/>
        </w:rPr>
        <w:t xml:space="preserve"> C</w:t>
      </w:r>
      <w:r w:rsidRPr="003A1E48">
        <w:rPr>
          <w:rFonts w:ascii="Book Antiqua" w:hAnsi="Book Antiqua"/>
        </w:rPr>
        <w:t xml:space="preserve">, </w:t>
      </w:r>
      <w:proofErr w:type="spellStart"/>
      <w:r w:rsidRPr="003A1E48">
        <w:rPr>
          <w:rFonts w:ascii="Book Antiqua" w:hAnsi="Book Antiqua"/>
        </w:rPr>
        <w:t>Ananthakrishnan</w:t>
      </w:r>
      <w:proofErr w:type="spellEnd"/>
      <w:r w:rsidRPr="003A1E48">
        <w:rPr>
          <w:rFonts w:ascii="Book Antiqua" w:hAnsi="Book Antiqua"/>
        </w:rPr>
        <w:t xml:space="preserve"> AN, </w:t>
      </w:r>
      <w:proofErr w:type="spellStart"/>
      <w:r w:rsidRPr="003A1E48">
        <w:rPr>
          <w:rFonts w:ascii="Book Antiqua" w:hAnsi="Book Antiqua"/>
        </w:rPr>
        <w:t>Danese</w:t>
      </w:r>
      <w:proofErr w:type="spellEnd"/>
      <w:r w:rsidRPr="003A1E48">
        <w:rPr>
          <w:rFonts w:ascii="Book Antiqua" w:hAnsi="Book Antiqua"/>
        </w:rPr>
        <w:t xml:space="preserve"> S, Singh S, </w:t>
      </w:r>
      <w:proofErr w:type="spellStart"/>
      <w:r w:rsidRPr="003A1E48">
        <w:rPr>
          <w:rFonts w:ascii="Book Antiqua" w:hAnsi="Book Antiqua"/>
        </w:rPr>
        <w:t>Peyrin-Biroulet</w:t>
      </w:r>
      <w:proofErr w:type="spellEnd"/>
      <w:r w:rsidRPr="003A1E48">
        <w:rPr>
          <w:rFonts w:ascii="Book Antiqua" w:hAnsi="Book Antiqua"/>
        </w:rPr>
        <w:t xml:space="preserve"> L. Ulcerative Colitis and Crohn's Disease Have Similar Burden and Goals for Treatment. </w:t>
      </w:r>
      <w:r w:rsidRPr="003A1E48">
        <w:rPr>
          <w:rFonts w:ascii="Book Antiqua" w:hAnsi="Book Antiqua"/>
          <w:i/>
        </w:rPr>
        <w:t xml:space="preserve">Clin Gastroenterol </w:t>
      </w:r>
      <w:proofErr w:type="spellStart"/>
      <w:r w:rsidRPr="003A1E48">
        <w:rPr>
          <w:rFonts w:ascii="Book Antiqua" w:hAnsi="Book Antiqua"/>
          <w:i/>
        </w:rPr>
        <w:t>Hepatol</w:t>
      </w:r>
      <w:proofErr w:type="spellEnd"/>
      <w:r w:rsidRPr="003A1E48">
        <w:rPr>
          <w:rFonts w:ascii="Book Antiqua" w:hAnsi="Book Antiqua"/>
        </w:rPr>
        <w:t xml:space="preserve"> 2020; </w:t>
      </w:r>
      <w:r w:rsidRPr="003A1E48">
        <w:rPr>
          <w:rFonts w:ascii="Book Antiqua" w:hAnsi="Book Antiqua"/>
          <w:b/>
        </w:rPr>
        <w:t>18</w:t>
      </w:r>
      <w:r w:rsidRPr="003A1E48">
        <w:rPr>
          <w:rFonts w:ascii="Book Antiqua" w:hAnsi="Book Antiqua"/>
        </w:rPr>
        <w:t>: 14-23 [PMID: 31301452 DOI: 10.1016/j.cgh.2019.07.005]</w:t>
      </w:r>
    </w:p>
    <w:p w14:paraId="145FBE85"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2 </w:t>
      </w:r>
      <w:proofErr w:type="spellStart"/>
      <w:r w:rsidRPr="003A1E48">
        <w:rPr>
          <w:rFonts w:ascii="Book Antiqua" w:hAnsi="Book Antiqua"/>
          <w:b/>
        </w:rPr>
        <w:t>Danese</w:t>
      </w:r>
      <w:proofErr w:type="spellEnd"/>
      <w:r w:rsidRPr="003A1E48">
        <w:rPr>
          <w:rFonts w:ascii="Book Antiqua" w:hAnsi="Book Antiqua"/>
          <w:b/>
        </w:rPr>
        <w:t xml:space="preserve"> S</w:t>
      </w:r>
      <w:r w:rsidRPr="003A1E48">
        <w:rPr>
          <w:rFonts w:ascii="Book Antiqua" w:hAnsi="Book Antiqua"/>
        </w:rPr>
        <w:t xml:space="preserve">, Semeraro S, Papa A, Roberto I, </w:t>
      </w:r>
      <w:proofErr w:type="spellStart"/>
      <w:r w:rsidRPr="003A1E48">
        <w:rPr>
          <w:rFonts w:ascii="Book Antiqua" w:hAnsi="Book Antiqua"/>
        </w:rPr>
        <w:t>Scaldaferri</w:t>
      </w:r>
      <w:proofErr w:type="spellEnd"/>
      <w:r w:rsidRPr="003A1E48">
        <w:rPr>
          <w:rFonts w:ascii="Book Antiqua" w:hAnsi="Book Antiqua"/>
        </w:rPr>
        <w:t xml:space="preserve"> F, </w:t>
      </w:r>
      <w:proofErr w:type="spellStart"/>
      <w:r w:rsidRPr="003A1E48">
        <w:rPr>
          <w:rFonts w:ascii="Book Antiqua" w:hAnsi="Book Antiqua"/>
        </w:rPr>
        <w:t>Fedeli</w:t>
      </w:r>
      <w:proofErr w:type="spellEnd"/>
      <w:r w:rsidRPr="003A1E48">
        <w:rPr>
          <w:rFonts w:ascii="Book Antiqua" w:hAnsi="Book Antiqua"/>
        </w:rPr>
        <w:t xml:space="preserve"> G, </w:t>
      </w:r>
      <w:proofErr w:type="spellStart"/>
      <w:r w:rsidRPr="003A1E48">
        <w:rPr>
          <w:rFonts w:ascii="Book Antiqua" w:hAnsi="Book Antiqua"/>
        </w:rPr>
        <w:t>Gasbarrini</w:t>
      </w:r>
      <w:proofErr w:type="spellEnd"/>
      <w:r w:rsidRPr="003A1E48">
        <w:rPr>
          <w:rFonts w:ascii="Book Antiqua" w:hAnsi="Book Antiqua"/>
        </w:rPr>
        <w:t xml:space="preserve"> G, </w:t>
      </w:r>
      <w:proofErr w:type="spellStart"/>
      <w:r w:rsidRPr="003A1E48">
        <w:rPr>
          <w:rFonts w:ascii="Book Antiqua" w:hAnsi="Book Antiqua"/>
        </w:rPr>
        <w:t>Gasbarrini</w:t>
      </w:r>
      <w:proofErr w:type="spellEnd"/>
      <w:r w:rsidRPr="003A1E48">
        <w:rPr>
          <w:rFonts w:ascii="Book Antiqua" w:hAnsi="Book Antiqua"/>
        </w:rPr>
        <w:t xml:space="preserve"> A. Extraintestinal manifestations in inflammatory bowel disease. </w:t>
      </w:r>
      <w:r w:rsidRPr="003A1E48">
        <w:rPr>
          <w:rFonts w:ascii="Book Antiqua" w:hAnsi="Book Antiqua"/>
          <w:i/>
        </w:rPr>
        <w:t>World J Gastroenterol</w:t>
      </w:r>
      <w:r w:rsidRPr="003A1E48">
        <w:rPr>
          <w:rFonts w:ascii="Book Antiqua" w:hAnsi="Book Antiqua"/>
        </w:rPr>
        <w:t xml:space="preserve"> 2005; </w:t>
      </w:r>
      <w:r w:rsidRPr="003A1E48">
        <w:rPr>
          <w:rFonts w:ascii="Book Antiqua" w:hAnsi="Book Antiqua"/>
          <w:b/>
        </w:rPr>
        <w:t>11</w:t>
      </w:r>
      <w:r w:rsidRPr="003A1E48">
        <w:rPr>
          <w:rFonts w:ascii="Book Antiqua" w:hAnsi="Book Antiqua"/>
        </w:rPr>
        <w:t>: 7227-7236 [PMID: 16437620 DOI: 10.3748/</w:t>
      </w:r>
      <w:proofErr w:type="gramStart"/>
      <w:r w:rsidRPr="003A1E48">
        <w:rPr>
          <w:rFonts w:ascii="Book Antiqua" w:hAnsi="Book Antiqua"/>
        </w:rPr>
        <w:t>wjg.v11.i</w:t>
      </w:r>
      <w:proofErr w:type="gramEnd"/>
      <w:r w:rsidRPr="003A1E48">
        <w:rPr>
          <w:rFonts w:ascii="Book Antiqua" w:hAnsi="Book Antiqua"/>
        </w:rPr>
        <w:t>46.7227]</w:t>
      </w:r>
    </w:p>
    <w:p w14:paraId="381CC012"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3 </w:t>
      </w:r>
      <w:r w:rsidRPr="003A1E48">
        <w:rPr>
          <w:rFonts w:ascii="Book Antiqua" w:hAnsi="Book Antiqua"/>
          <w:b/>
        </w:rPr>
        <w:t>Nugent Z</w:t>
      </w:r>
      <w:r w:rsidRPr="003A1E48">
        <w:rPr>
          <w:rFonts w:ascii="Book Antiqua" w:hAnsi="Book Antiqua"/>
        </w:rPr>
        <w:t xml:space="preserve">, Singh H, </w:t>
      </w:r>
      <w:proofErr w:type="spellStart"/>
      <w:r w:rsidRPr="003A1E48">
        <w:rPr>
          <w:rFonts w:ascii="Book Antiqua" w:hAnsi="Book Antiqua"/>
        </w:rPr>
        <w:t>Targownik</w:t>
      </w:r>
      <w:proofErr w:type="spellEnd"/>
      <w:r w:rsidRPr="003A1E48">
        <w:rPr>
          <w:rFonts w:ascii="Book Antiqua" w:hAnsi="Book Antiqua"/>
        </w:rPr>
        <w:t xml:space="preserve"> LE, Strome T, Snider C, Bernstein CN. Predictors of Emergency Department Use by Persons with Inflammatory Bowel Diseases: A Population-based Study. </w:t>
      </w:r>
      <w:proofErr w:type="spellStart"/>
      <w:r w:rsidRPr="003A1E48">
        <w:rPr>
          <w:rFonts w:ascii="Book Antiqua" w:hAnsi="Book Antiqua"/>
          <w:i/>
        </w:rPr>
        <w:t>Inflamm</w:t>
      </w:r>
      <w:proofErr w:type="spellEnd"/>
      <w:r w:rsidRPr="003A1E48">
        <w:rPr>
          <w:rFonts w:ascii="Book Antiqua" w:hAnsi="Book Antiqua"/>
          <w:i/>
        </w:rPr>
        <w:t xml:space="preserve"> Bowel Dis</w:t>
      </w:r>
      <w:r w:rsidRPr="003A1E48">
        <w:rPr>
          <w:rFonts w:ascii="Book Antiqua" w:hAnsi="Book Antiqua"/>
        </w:rPr>
        <w:t xml:space="preserve"> 2016; </w:t>
      </w:r>
      <w:r w:rsidRPr="003A1E48">
        <w:rPr>
          <w:rFonts w:ascii="Book Antiqua" w:hAnsi="Book Antiqua"/>
          <w:b/>
        </w:rPr>
        <w:t>22</w:t>
      </w:r>
      <w:r w:rsidRPr="003A1E48">
        <w:rPr>
          <w:rFonts w:ascii="Book Antiqua" w:hAnsi="Book Antiqua"/>
        </w:rPr>
        <w:t>: 2907-2916 [PMID: 27846193 DOI: 10.1097/MIB.0000000000000965]</w:t>
      </w:r>
    </w:p>
    <w:p w14:paraId="42013E84" w14:textId="77777777" w:rsidR="000746DA" w:rsidRPr="003A1E48" w:rsidRDefault="000746DA" w:rsidP="00DD7F70">
      <w:pPr>
        <w:spacing w:line="360" w:lineRule="auto"/>
        <w:jc w:val="both"/>
        <w:rPr>
          <w:rFonts w:ascii="Book Antiqua" w:hAnsi="Book Antiqua"/>
        </w:rPr>
      </w:pPr>
      <w:r w:rsidRPr="003A1E48">
        <w:rPr>
          <w:rFonts w:ascii="Book Antiqua" w:hAnsi="Book Antiqua"/>
        </w:rPr>
        <w:lastRenderedPageBreak/>
        <w:t xml:space="preserve">4 </w:t>
      </w:r>
      <w:r w:rsidRPr="003A1E48">
        <w:rPr>
          <w:rFonts w:ascii="Book Antiqua" w:hAnsi="Book Antiqua"/>
          <w:b/>
        </w:rPr>
        <w:t>Tang N</w:t>
      </w:r>
      <w:r w:rsidRPr="003A1E48">
        <w:rPr>
          <w:rFonts w:ascii="Book Antiqua" w:hAnsi="Book Antiqua"/>
        </w:rPr>
        <w:t xml:space="preserve">, Stein J, Hsia RY, </w:t>
      </w:r>
      <w:proofErr w:type="spellStart"/>
      <w:r w:rsidRPr="003A1E48">
        <w:rPr>
          <w:rFonts w:ascii="Book Antiqua" w:hAnsi="Book Antiqua"/>
        </w:rPr>
        <w:t>Maselli</w:t>
      </w:r>
      <w:proofErr w:type="spellEnd"/>
      <w:r w:rsidRPr="003A1E48">
        <w:rPr>
          <w:rFonts w:ascii="Book Antiqua" w:hAnsi="Book Antiqua"/>
        </w:rPr>
        <w:t xml:space="preserve"> JH, Gonzales R. Trends and characteristics of US emergency department visits, 1997-2007. </w:t>
      </w:r>
      <w:r w:rsidRPr="003A1E48">
        <w:rPr>
          <w:rFonts w:ascii="Book Antiqua" w:hAnsi="Book Antiqua"/>
          <w:i/>
        </w:rPr>
        <w:t>JAMA</w:t>
      </w:r>
      <w:r w:rsidRPr="003A1E48">
        <w:rPr>
          <w:rFonts w:ascii="Book Antiqua" w:hAnsi="Book Antiqua"/>
        </w:rPr>
        <w:t xml:space="preserve"> 2010; </w:t>
      </w:r>
      <w:r w:rsidRPr="003A1E48">
        <w:rPr>
          <w:rFonts w:ascii="Book Antiqua" w:hAnsi="Book Antiqua"/>
          <w:b/>
        </w:rPr>
        <w:t>304</w:t>
      </w:r>
      <w:r w:rsidRPr="003A1E48">
        <w:rPr>
          <w:rFonts w:ascii="Book Antiqua" w:hAnsi="Book Antiqua"/>
        </w:rPr>
        <w:t>: 664-670 [PMID: 20699458 DOI: 10.1001/jama.2010.1112]</w:t>
      </w:r>
    </w:p>
    <w:p w14:paraId="44C82ED6"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5 </w:t>
      </w:r>
      <w:proofErr w:type="spellStart"/>
      <w:r w:rsidRPr="003A1E48">
        <w:rPr>
          <w:rFonts w:ascii="Book Antiqua" w:hAnsi="Book Antiqua"/>
          <w:b/>
        </w:rPr>
        <w:t>Peyrin-Biroulet</w:t>
      </w:r>
      <w:proofErr w:type="spellEnd"/>
      <w:r w:rsidRPr="003A1E48">
        <w:rPr>
          <w:rFonts w:ascii="Book Antiqua" w:hAnsi="Book Antiqua"/>
          <w:b/>
        </w:rPr>
        <w:t xml:space="preserve"> L</w:t>
      </w:r>
      <w:r w:rsidRPr="003A1E48">
        <w:rPr>
          <w:rFonts w:ascii="Book Antiqua" w:hAnsi="Book Antiqua"/>
        </w:rPr>
        <w:t xml:space="preserve">, </w:t>
      </w:r>
      <w:proofErr w:type="spellStart"/>
      <w:r w:rsidRPr="003A1E48">
        <w:rPr>
          <w:rFonts w:ascii="Book Antiqua" w:hAnsi="Book Antiqua"/>
        </w:rPr>
        <w:t>Sandborn</w:t>
      </w:r>
      <w:proofErr w:type="spellEnd"/>
      <w:r w:rsidRPr="003A1E48">
        <w:rPr>
          <w:rFonts w:ascii="Book Antiqua" w:hAnsi="Book Antiqua"/>
        </w:rPr>
        <w:t xml:space="preserve"> W, Sands BE, </w:t>
      </w:r>
      <w:proofErr w:type="spellStart"/>
      <w:r w:rsidRPr="003A1E48">
        <w:rPr>
          <w:rFonts w:ascii="Book Antiqua" w:hAnsi="Book Antiqua"/>
        </w:rPr>
        <w:t>Reinisch</w:t>
      </w:r>
      <w:proofErr w:type="spellEnd"/>
      <w:r w:rsidRPr="003A1E48">
        <w:rPr>
          <w:rFonts w:ascii="Book Antiqua" w:hAnsi="Book Antiqua"/>
        </w:rPr>
        <w:t xml:space="preserve"> W, </w:t>
      </w:r>
      <w:proofErr w:type="spellStart"/>
      <w:r w:rsidRPr="003A1E48">
        <w:rPr>
          <w:rFonts w:ascii="Book Antiqua" w:hAnsi="Book Antiqua"/>
        </w:rPr>
        <w:t>Bemelman</w:t>
      </w:r>
      <w:proofErr w:type="spellEnd"/>
      <w:r w:rsidRPr="003A1E48">
        <w:rPr>
          <w:rFonts w:ascii="Book Antiqua" w:hAnsi="Book Antiqua"/>
        </w:rPr>
        <w:t xml:space="preserve"> W, Bryant RV, </w:t>
      </w:r>
      <w:proofErr w:type="spellStart"/>
      <w:r w:rsidRPr="003A1E48">
        <w:rPr>
          <w:rFonts w:ascii="Book Antiqua" w:hAnsi="Book Antiqua"/>
        </w:rPr>
        <w:t>D'Haens</w:t>
      </w:r>
      <w:proofErr w:type="spellEnd"/>
      <w:r w:rsidRPr="003A1E48">
        <w:rPr>
          <w:rFonts w:ascii="Book Antiqua" w:hAnsi="Book Antiqua"/>
        </w:rPr>
        <w:t xml:space="preserve"> G, </w:t>
      </w:r>
      <w:proofErr w:type="spellStart"/>
      <w:r w:rsidRPr="003A1E48">
        <w:rPr>
          <w:rFonts w:ascii="Book Antiqua" w:hAnsi="Book Antiqua"/>
        </w:rPr>
        <w:t>Dotan</w:t>
      </w:r>
      <w:proofErr w:type="spellEnd"/>
      <w:r w:rsidRPr="003A1E48">
        <w:rPr>
          <w:rFonts w:ascii="Book Antiqua" w:hAnsi="Book Antiqua"/>
        </w:rPr>
        <w:t xml:space="preserve"> I, Dubinsky M, </w:t>
      </w:r>
      <w:proofErr w:type="spellStart"/>
      <w:r w:rsidRPr="003A1E48">
        <w:rPr>
          <w:rFonts w:ascii="Book Antiqua" w:hAnsi="Book Antiqua"/>
        </w:rPr>
        <w:t>Feagan</w:t>
      </w:r>
      <w:proofErr w:type="spellEnd"/>
      <w:r w:rsidRPr="003A1E48">
        <w:rPr>
          <w:rFonts w:ascii="Book Antiqua" w:hAnsi="Book Antiqua"/>
        </w:rPr>
        <w:t xml:space="preserve"> B, Fiorino G, </w:t>
      </w:r>
      <w:proofErr w:type="spellStart"/>
      <w:r w:rsidRPr="003A1E48">
        <w:rPr>
          <w:rFonts w:ascii="Book Antiqua" w:hAnsi="Book Antiqua"/>
        </w:rPr>
        <w:t>Gearry</w:t>
      </w:r>
      <w:proofErr w:type="spellEnd"/>
      <w:r w:rsidRPr="003A1E48">
        <w:rPr>
          <w:rFonts w:ascii="Book Antiqua" w:hAnsi="Book Antiqua"/>
        </w:rPr>
        <w:t xml:space="preserve"> R, </w:t>
      </w:r>
      <w:proofErr w:type="spellStart"/>
      <w:r w:rsidRPr="003A1E48">
        <w:rPr>
          <w:rFonts w:ascii="Book Antiqua" w:hAnsi="Book Antiqua"/>
        </w:rPr>
        <w:t>Krishnareddy</w:t>
      </w:r>
      <w:proofErr w:type="spellEnd"/>
      <w:r w:rsidRPr="003A1E48">
        <w:rPr>
          <w:rFonts w:ascii="Book Antiqua" w:hAnsi="Book Antiqua"/>
        </w:rPr>
        <w:t xml:space="preserve"> S, Lakatos PL, Loftus EV Jr, Marteau P, </w:t>
      </w:r>
      <w:proofErr w:type="spellStart"/>
      <w:r w:rsidRPr="003A1E48">
        <w:rPr>
          <w:rFonts w:ascii="Book Antiqua" w:hAnsi="Book Antiqua"/>
        </w:rPr>
        <w:t>Munkholm</w:t>
      </w:r>
      <w:proofErr w:type="spellEnd"/>
      <w:r w:rsidRPr="003A1E48">
        <w:rPr>
          <w:rFonts w:ascii="Book Antiqua" w:hAnsi="Book Antiqua"/>
        </w:rPr>
        <w:t xml:space="preserve"> P, Murdoch TB, </w:t>
      </w:r>
      <w:proofErr w:type="spellStart"/>
      <w:r w:rsidRPr="003A1E48">
        <w:rPr>
          <w:rFonts w:ascii="Book Antiqua" w:hAnsi="Book Antiqua"/>
        </w:rPr>
        <w:t>Ordás</w:t>
      </w:r>
      <w:proofErr w:type="spellEnd"/>
      <w:r w:rsidRPr="003A1E48">
        <w:rPr>
          <w:rFonts w:ascii="Book Antiqua" w:hAnsi="Book Antiqua"/>
        </w:rPr>
        <w:t xml:space="preserve"> I, </w:t>
      </w:r>
      <w:proofErr w:type="spellStart"/>
      <w:r w:rsidRPr="003A1E48">
        <w:rPr>
          <w:rFonts w:ascii="Book Antiqua" w:hAnsi="Book Antiqua"/>
        </w:rPr>
        <w:t>Panaccione</w:t>
      </w:r>
      <w:proofErr w:type="spellEnd"/>
      <w:r w:rsidRPr="003A1E48">
        <w:rPr>
          <w:rFonts w:ascii="Book Antiqua" w:hAnsi="Book Antiqua"/>
        </w:rPr>
        <w:t xml:space="preserve"> R, Riddell RH, Ruel J, Rubin DT, Samaan M, Siegel CA, Silverberg MS, Stoker J, Schreiber S, Travis S, Van </w:t>
      </w:r>
      <w:proofErr w:type="spellStart"/>
      <w:r w:rsidRPr="003A1E48">
        <w:rPr>
          <w:rFonts w:ascii="Book Antiqua" w:hAnsi="Book Antiqua"/>
        </w:rPr>
        <w:t>Assche</w:t>
      </w:r>
      <w:proofErr w:type="spellEnd"/>
      <w:r w:rsidRPr="003A1E48">
        <w:rPr>
          <w:rFonts w:ascii="Book Antiqua" w:hAnsi="Book Antiqua"/>
        </w:rPr>
        <w:t xml:space="preserve"> G, </w:t>
      </w:r>
      <w:proofErr w:type="spellStart"/>
      <w:r w:rsidRPr="003A1E48">
        <w:rPr>
          <w:rFonts w:ascii="Book Antiqua" w:hAnsi="Book Antiqua"/>
        </w:rPr>
        <w:t>Danese</w:t>
      </w:r>
      <w:proofErr w:type="spellEnd"/>
      <w:r w:rsidRPr="003A1E48">
        <w:rPr>
          <w:rFonts w:ascii="Book Antiqua" w:hAnsi="Book Antiqua"/>
        </w:rPr>
        <w:t xml:space="preserve"> S, Panes J, </w:t>
      </w:r>
      <w:proofErr w:type="spellStart"/>
      <w:r w:rsidRPr="003A1E48">
        <w:rPr>
          <w:rFonts w:ascii="Book Antiqua" w:hAnsi="Book Antiqua"/>
        </w:rPr>
        <w:t>Bouguen</w:t>
      </w:r>
      <w:proofErr w:type="spellEnd"/>
      <w:r w:rsidRPr="003A1E48">
        <w:rPr>
          <w:rFonts w:ascii="Book Antiqua" w:hAnsi="Book Antiqua"/>
        </w:rPr>
        <w:t xml:space="preserve"> G, O'Donnell S, </w:t>
      </w:r>
      <w:proofErr w:type="spellStart"/>
      <w:r w:rsidRPr="003A1E48">
        <w:rPr>
          <w:rFonts w:ascii="Book Antiqua" w:hAnsi="Book Antiqua"/>
        </w:rPr>
        <w:t>Pariente</w:t>
      </w:r>
      <w:proofErr w:type="spellEnd"/>
      <w:r w:rsidRPr="003A1E48">
        <w:rPr>
          <w:rFonts w:ascii="Book Antiqua" w:hAnsi="Book Antiqua"/>
        </w:rPr>
        <w:t xml:space="preserve"> B, Winer S, </w:t>
      </w:r>
      <w:proofErr w:type="spellStart"/>
      <w:r w:rsidRPr="003A1E48">
        <w:rPr>
          <w:rFonts w:ascii="Book Antiqua" w:hAnsi="Book Antiqua"/>
        </w:rPr>
        <w:t>Hanauer</w:t>
      </w:r>
      <w:proofErr w:type="spellEnd"/>
      <w:r w:rsidRPr="003A1E48">
        <w:rPr>
          <w:rFonts w:ascii="Book Antiqua" w:hAnsi="Book Antiqua"/>
        </w:rPr>
        <w:t xml:space="preserve"> S, </w:t>
      </w:r>
      <w:proofErr w:type="spellStart"/>
      <w:r w:rsidRPr="003A1E48">
        <w:rPr>
          <w:rFonts w:ascii="Book Antiqua" w:hAnsi="Book Antiqua"/>
        </w:rPr>
        <w:t>Colombel</w:t>
      </w:r>
      <w:proofErr w:type="spellEnd"/>
      <w:r w:rsidRPr="003A1E48">
        <w:rPr>
          <w:rFonts w:ascii="Book Antiqua" w:hAnsi="Book Antiqua"/>
        </w:rPr>
        <w:t xml:space="preserve"> JF. Selecting Therapeutic Targets in Inflammatory Bowel Disease (STRIDE): Determining Therapeutic Goals for Treat-to-Target. </w:t>
      </w:r>
      <w:r w:rsidRPr="003A1E48">
        <w:rPr>
          <w:rFonts w:ascii="Book Antiqua" w:hAnsi="Book Antiqua"/>
          <w:i/>
        </w:rPr>
        <w:t>Am J Gastroenterol</w:t>
      </w:r>
      <w:r w:rsidRPr="003A1E48">
        <w:rPr>
          <w:rFonts w:ascii="Book Antiqua" w:hAnsi="Book Antiqua"/>
        </w:rPr>
        <w:t xml:space="preserve"> 2015; </w:t>
      </w:r>
      <w:r w:rsidRPr="003A1E48">
        <w:rPr>
          <w:rFonts w:ascii="Book Antiqua" w:hAnsi="Book Antiqua"/>
          <w:b/>
        </w:rPr>
        <w:t>110</w:t>
      </w:r>
      <w:r w:rsidRPr="003A1E48">
        <w:rPr>
          <w:rFonts w:ascii="Book Antiqua" w:hAnsi="Book Antiqua"/>
        </w:rPr>
        <w:t>: 1324-1338 [PMID: 26303131 DOI: 10.1038/ajg.2015.233]</w:t>
      </w:r>
    </w:p>
    <w:p w14:paraId="4EB99C43"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6 </w:t>
      </w:r>
      <w:proofErr w:type="spellStart"/>
      <w:r w:rsidRPr="003A1E48">
        <w:rPr>
          <w:rFonts w:ascii="Book Antiqua" w:hAnsi="Book Antiqua"/>
          <w:b/>
        </w:rPr>
        <w:t>Colombel</w:t>
      </w:r>
      <w:proofErr w:type="spellEnd"/>
      <w:r w:rsidRPr="003A1E48">
        <w:rPr>
          <w:rFonts w:ascii="Book Antiqua" w:hAnsi="Book Antiqua"/>
          <w:b/>
        </w:rPr>
        <w:t xml:space="preserve"> JF</w:t>
      </w:r>
      <w:r w:rsidRPr="003A1E48">
        <w:rPr>
          <w:rFonts w:ascii="Book Antiqua" w:hAnsi="Book Antiqua"/>
        </w:rPr>
        <w:t xml:space="preserve">, </w:t>
      </w:r>
      <w:proofErr w:type="spellStart"/>
      <w:r w:rsidRPr="003A1E48">
        <w:rPr>
          <w:rFonts w:ascii="Book Antiqua" w:hAnsi="Book Antiqua"/>
        </w:rPr>
        <w:t>Panaccione</w:t>
      </w:r>
      <w:proofErr w:type="spellEnd"/>
      <w:r w:rsidRPr="003A1E48">
        <w:rPr>
          <w:rFonts w:ascii="Book Antiqua" w:hAnsi="Book Antiqua"/>
        </w:rPr>
        <w:t xml:space="preserve"> R, </w:t>
      </w:r>
      <w:proofErr w:type="spellStart"/>
      <w:r w:rsidRPr="003A1E48">
        <w:rPr>
          <w:rFonts w:ascii="Book Antiqua" w:hAnsi="Book Antiqua"/>
        </w:rPr>
        <w:t>Bossuyt</w:t>
      </w:r>
      <w:proofErr w:type="spellEnd"/>
      <w:r w:rsidRPr="003A1E48">
        <w:rPr>
          <w:rFonts w:ascii="Book Antiqua" w:hAnsi="Book Antiqua"/>
        </w:rPr>
        <w:t xml:space="preserve"> P, Lukas M, </w:t>
      </w:r>
      <w:proofErr w:type="spellStart"/>
      <w:r w:rsidRPr="003A1E48">
        <w:rPr>
          <w:rFonts w:ascii="Book Antiqua" w:hAnsi="Book Antiqua"/>
        </w:rPr>
        <w:t>Baert</w:t>
      </w:r>
      <w:proofErr w:type="spellEnd"/>
      <w:r w:rsidRPr="003A1E48">
        <w:rPr>
          <w:rFonts w:ascii="Book Antiqua" w:hAnsi="Book Antiqua"/>
        </w:rPr>
        <w:t xml:space="preserve"> F, </w:t>
      </w:r>
      <w:proofErr w:type="spellStart"/>
      <w:r w:rsidRPr="003A1E48">
        <w:rPr>
          <w:rFonts w:ascii="Book Antiqua" w:hAnsi="Book Antiqua"/>
        </w:rPr>
        <w:t>Vaňásek</w:t>
      </w:r>
      <w:proofErr w:type="spellEnd"/>
      <w:r w:rsidRPr="003A1E48">
        <w:rPr>
          <w:rFonts w:ascii="Book Antiqua" w:hAnsi="Book Antiqua"/>
        </w:rPr>
        <w:t xml:space="preserve"> T, </w:t>
      </w:r>
      <w:proofErr w:type="spellStart"/>
      <w:r w:rsidRPr="003A1E48">
        <w:rPr>
          <w:rFonts w:ascii="Book Antiqua" w:hAnsi="Book Antiqua"/>
        </w:rPr>
        <w:t>Danalioglu</w:t>
      </w:r>
      <w:proofErr w:type="spellEnd"/>
      <w:r w:rsidRPr="003A1E48">
        <w:rPr>
          <w:rFonts w:ascii="Book Antiqua" w:hAnsi="Book Antiqua"/>
        </w:rPr>
        <w:t xml:space="preserve"> A, </w:t>
      </w:r>
      <w:proofErr w:type="spellStart"/>
      <w:r w:rsidRPr="003A1E48">
        <w:rPr>
          <w:rFonts w:ascii="Book Antiqua" w:hAnsi="Book Antiqua"/>
        </w:rPr>
        <w:t>Novacek</w:t>
      </w:r>
      <w:proofErr w:type="spellEnd"/>
      <w:r w:rsidRPr="003A1E48">
        <w:rPr>
          <w:rFonts w:ascii="Book Antiqua" w:hAnsi="Book Antiqua"/>
        </w:rPr>
        <w:t xml:space="preserve"> G, </w:t>
      </w:r>
      <w:proofErr w:type="spellStart"/>
      <w:r w:rsidRPr="003A1E48">
        <w:rPr>
          <w:rFonts w:ascii="Book Antiqua" w:hAnsi="Book Antiqua"/>
        </w:rPr>
        <w:t>Armuzzi</w:t>
      </w:r>
      <w:proofErr w:type="spellEnd"/>
      <w:r w:rsidRPr="003A1E48">
        <w:rPr>
          <w:rFonts w:ascii="Book Antiqua" w:hAnsi="Book Antiqua"/>
        </w:rPr>
        <w:t xml:space="preserve"> A, </w:t>
      </w:r>
      <w:proofErr w:type="spellStart"/>
      <w:r w:rsidRPr="003A1E48">
        <w:rPr>
          <w:rFonts w:ascii="Book Antiqua" w:hAnsi="Book Antiqua"/>
        </w:rPr>
        <w:t>Hébuterne</w:t>
      </w:r>
      <w:proofErr w:type="spellEnd"/>
      <w:r w:rsidRPr="003A1E48">
        <w:rPr>
          <w:rFonts w:ascii="Book Antiqua" w:hAnsi="Book Antiqua"/>
        </w:rPr>
        <w:t xml:space="preserve"> X, Travis S, </w:t>
      </w:r>
      <w:proofErr w:type="spellStart"/>
      <w:r w:rsidRPr="003A1E48">
        <w:rPr>
          <w:rFonts w:ascii="Book Antiqua" w:hAnsi="Book Antiqua"/>
        </w:rPr>
        <w:t>Danese</w:t>
      </w:r>
      <w:proofErr w:type="spellEnd"/>
      <w:r w:rsidRPr="003A1E48">
        <w:rPr>
          <w:rFonts w:ascii="Book Antiqua" w:hAnsi="Book Antiqua"/>
        </w:rPr>
        <w:t xml:space="preserve"> S, </w:t>
      </w:r>
      <w:proofErr w:type="spellStart"/>
      <w:r w:rsidRPr="003A1E48">
        <w:rPr>
          <w:rFonts w:ascii="Book Antiqua" w:hAnsi="Book Antiqua"/>
        </w:rPr>
        <w:t>Reinisch</w:t>
      </w:r>
      <w:proofErr w:type="spellEnd"/>
      <w:r w:rsidRPr="003A1E48">
        <w:rPr>
          <w:rFonts w:ascii="Book Antiqua" w:hAnsi="Book Antiqua"/>
        </w:rPr>
        <w:t xml:space="preserve"> W, </w:t>
      </w:r>
      <w:proofErr w:type="spellStart"/>
      <w:r w:rsidRPr="003A1E48">
        <w:rPr>
          <w:rFonts w:ascii="Book Antiqua" w:hAnsi="Book Antiqua"/>
        </w:rPr>
        <w:t>Sandborn</w:t>
      </w:r>
      <w:proofErr w:type="spellEnd"/>
      <w:r w:rsidRPr="003A1E48">
        <w:rPr>
          <w:rFonts w:ascii="Book Antiqua" w:hAnsi="Book Antiqua"/>
        </w:rPr>
        <w:t xml:space="preserve"> WJ, </w:t>
      </w:r>
      <w:proofErr w:type="spellStart"/>
      <w:r w:rsidRPr="003A1E48">
        <w:rPr>
          <w:rFonts w:ascii="Book Antiqua" w:hAnsi="Book Antiqua"/>
        </w:rPr>
        <w:t>Rutgeerts</w:t>
      </w:r>
      <w:proofErr w:type="spellEnd"/>
      <w:r w:rsidRPr="003A1E48">
        <w:rPr>
          <w:rFonts w:ascii="Book Antiqua" w:hAnsi="Book Antiqua"/>
        </w:rPr>
        <w:t xml:space="preserve"> P, Hommes D, Schreiber S, </w:t>
      </w:r>
      <w:proofErr w:type="spellStart"/>
      <w:r w:rsidRPr="003A1E48">
        <w:rPr>
          <w:rFonts w:ascii="Book Antiqua" w:hAnsi="Book Antiqua"/>
        </w:rPr>
        <w:t>Neimark</w:t>
      </w:r>
      <w:proofErr w:type="spellEnd"/>
      <w:r w:rsidRPr="003A1E48">
        <w:rPr>
          <w:rFonts w:ascii="Book Antiqua" w:hAnsi="Book Antiqua"/>
        </w:rPr>
        <w:t xml:space="preserve"> E, Huang B, Zhou Q, Mendez P, </w:t>
      </w:r>
      <w:proofErr w:type="spellStart"/>
      <w:r w:rsidRPr="003A1E48">
        <w:rPr>
          <w:rFonts w:ascii="Book Antiqua" w:hAnsi="Book Antiqua"/>
        </w:rPr>
        <w:t>Petersson</w:t>
      </w:r>
      <w:proofErr w:type="spellEnd"/>
      <w:r w:rsidRPr="003A1E48">
        <w:rPr>
          <w:rFonts w:ascii="Book Antiqua" w:hAnsi="Book Antiqua"/>
        </w:rPr>
        <w:t xml:space="preserve"> J, Wallace K, Robinson AM, Thakkar RB, </w:t>
      </w:r>
      <w:proofErr w:type="spellStart"/>
      <w:r w:rsidRPr="003A1E48">
        <w:rPr>
          <w:rFonts w:ascii="Book Antiqua" w:hAnsi="Book Antiqua"/>
        </w:rPr>
        <w:t>D'Haens</w:t>
      </w:r>
      <w:proofErr w:type="spellEnd"/>
      <w:r w:rsidRPr="003A1E48">
        <w:rPr>
          <w:rFonts w:ascii="Book Antiqua" w:hAnsi="Book Antiqua"/>
        </w:rPr>
        <w:t xml:space="preserve"> G. Effect of tight control management on Crohn's disease (CALM): a </w:t>
      </w:r>
      <w:proofErr w:type="spellStart"/>
      <w:r w:rsidRPr="003A1E48">
        <w:rPr>
          <w:rFonts w:ascii="Book Antiqua" w:hAnsi="Book Antiqua"/>
        </w:rPr>
        <w:t>multicentre</w:t>
      </w:r>
      <w:proofErr w:type="spellEnd"/>
      <w:r w:rsidRPr="003A1E48">
        <w:rPr>
          <w:rFonts w:ascii="Book Antiqua" w:hAnsi="Book Antiqua"/>
        </w:rPr>
        <w:t xml:space="preserve">, </w:t>
      </w:r>
      <w:proofErr w:type="spellStart"/>
      <w:r w:rsidRPr="003A1E48">
        <w:rPr>
          <w:rFonts w:ascii="Book Antiqua" w:hAnsi="Book Antiqua"/>
        </w:rPr>
        <w:t>randomised</w:t>
      </w:r>
      <w:proofErr w:type="spellEnd"/>
      <w:r w:rsidRPr="003A1E48">
        <w:rPr>
          <w:rFonts w:ascii="Book Antiqua" w:hAnsi="Book Antiqua"/>
        </w:rPr>
        <w:t xml:space="preserve">, controlled phase 3 trial. </w:t>
      </w:r>
      <w:r w:rsidRPr="003A1E48">
        <w:rPr>
          <w:rFonts w:ascii="Book Antiqua" w:hAnsi="Book Antiqua"/>
          <w:i/>
        </w:rPr>
        <w:t>Lancet</w:t>
      </w:r>
      <w:r w:rsidRPr="003A1E48">
        <w:rPr>
          <w:rFonts w:ascii="Book Antiqua" w:hAnsi="Book Antiqua"/>
        </w:rPr>
        <w:t xml:space="preserve"> 2018; </w:t>
      </w:r>
      <w:r w:rsidRPr="003A1E48">
        <w:rPr>
          <w:rFonts w:ascii="Book Antiqua" w:hAnsi="Book Antiqua"/>
          <w:b/>
        </w:rPr>
        <w:t>390</w:t>
      </w:r>
      <w:r w:rsidRPr="003A1E48">
        <w:rPr>
          <w:rFonts w:ascii="Book Antiqua" w:hAnsi="Book Antiqua"/>
        </w:rPr>
        <w:t>: 2779-2789 [PMID: 29096949 DOI: 10.1016/S0140-6736(17)32641-7]</w:t>
      </w:r>
    </w:p>
    <w:p w14:paraId="41AC8BFC"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7 </w:t>
      </w:r>
      <w:proofErr w:type="spellStart"/>
      <w:r w:rsidRPr="003A1E48">
        <w:rPr>
          <w:rFonts w:ascii="Book Antiqua" w:hAnsi="Book Antiqua"/>
          <w:b/>
        </w:rPr>
        <w:t>Bitton</w:t>
      </w:r>
      <w:proofErr w:type="spellEnd"/>
      <w:r w:rsidRPr="003A1E48">
        <w:rPr>
          <w:rFonts w:ascii="Book Antiqua" w:hAnsi="Book Antiqua"/>
          <w:b/>
        </w:rPr>
        <w:t xml:space="preserve"> A</w:t>
      </w:r>
      <w:r w:rsidRPr="003A1E48">
        <w:rPr>
          <w:rFonts w:ascii="Book Antiqua" w:hAnsi="Book Antiqua"/>
        </w:rPr>
        <w:t xml:space="preserve">, </w:t>
      </w:r>
      <w:proofErr w:type="spellStart"/>
      <w:r w:rsidRPr="003A1E48">
        <w:rPr>
          <w:rFonts w:ascii="Book Antiqua" w:hAnsi="Book Antiqua"/>
        </w:rPr>
        <w:t>Vutcovici</w:t>
      </w:r>
      <w:proofErr w:type="spellEnd"/>
      <w:r w:rsidRPr="003A1E48">
        <w:rPr>
          <w:rFonts w:ascii="Book Antiqua" w:hAnsi="Book Antiqua"/>
        </w:rPr>
        <w:t xml:space="preserve"> M, </w:t>
      </w:r>
      <w:proofErr w:type="spellStart"/>
      <w:r w:rsidRPr="003A1E48">
        <w:rPr>
          <w:rFonts w:ascii="Book Antiqua" w:hAnsi="Book Antiqua"/>
        </w:rPr>
        <w:t>Lytvyak</w:t>
      </w:r>
      <w:proofErr w:type="spellEnd"/>
      <w:r w:rsidRPr="003A1E48">
        <w:rPr>
          <w:rFonts w:ascii="Book Antiqua" w:hAnsi="Book Antiqua"/>
        </w:rPr>
        <w:t xml:space="preserve"> E, </w:t>
      </w:r>
      <w:proofErr w:type="spellStart"/>
      <w:r w:rsidRPr="003A1E48">
        <w:rPr>
          <w:rFonts w:ascii="Book Antiqua" w:hAnsi="Book Antiqua"/>
        </w:rPr>
        <w:t>Kachan</w:t>
      </w:r>
      <w:proofErr w:type="spellEnd"/>
      <w:r w:rsidRPr="003A1E48">
        <w:rPr>
          <w:rFonts w:ascii="Book Antiqua" w:hAnsi="Book Antiqua"/>
        </w:rPr>
        <w:t xml:space="preserve"> N, Bressler B, Jones J, Lakatos PL, </w:t>
      </w:r>
      <w:proofErr w:type="spellStart"/>
      <w:r w:rsidRPr="003A1E48">
        <w:rPr>
          <w:rFonts w:ascii="Book Antiqua" w:hAnsi="Book Antiqua"/>
        </w:rPr>
        <w:t>Sewitch</w:t>
      </w:r>
      <w:proofErr w:type="spellEnd"/>
      <w:r w:rsidRPr="003A1E48">
        <w:rPr>
          <w:rFonts w:ascii="Book Antiqua" w:hAnsi="Book Antiqua"/>
        </w:rPr>
        <w:t xml:space="preserve"> M, El-</w:t>
      </w:r>
      <w:proofErr w:type="spellStart"/>
      <w:r w:rsidRPr="003A1E48">
        <w:rPr>
          <w:rFonts w:ascii="Book Antiqua" w:hAnsi="Book Antiqua"/>
        </w:rPr>
        <w:t>Matary</w:t>
      </w:r>
      <w:proofErr w:type="spellEnd"/>
      <w:r w:rsidRPr="003A1E48">
        <w:rPr>
          <w:rFonts w:ascii="Book Antiqua" w:hAnsi="Book Antiqua"/>
        </w:rPr>
        <w:t xml:space="preserve"> W, </w:t>
      </w:r>
      <w:proofErr w:type="spellStart"/>
      <w:r w:rsidRPr="003A1E48">
        <w:rPr>
          <w:rFonts w:ascii="Book Antiqua" w:hAnsi="Book Antiqua"/>
        </w:rPr>
        <w:t>Melmed</w:t>
      </w:r>
      <w:proofErr w:type="spellEnd"/>
      <w:r w:rsidRPr="003A1E48">
        <w:rPr>
          <w:rFonts w:ascii="Book Antiqua" w:hAnsi="Book Antiqua"/>
        </w:rPr>
        <w:t xml:space="preserve"> G, Nguyen G; QI consensus group; Promoting Access and Care through Centers of Excellence-PACE program). Selection of Quality Indicators in IBD: Integrating Physician and Patient Perspectives. </w:t>
      </w:r>
      <w:proofErr w:type="spellStart"/>
      <w:r w:rsidRPr="003A1E48">
        <w:rPr>
          <w:rFonts w:ascii="Book Antiqua" w:hAnsi="Book Antiqua"/>
          <w:i/>
        </w:rPr>
        <w:t>Inflamm</w:t>
      </w:r>
      <w:proofErr w:type="spellEnd"/>
      <w:r w:rsidRPr="003A1E48">
        <w:rPr>
          <w:rFonts w:ascii="Book Antiqua" w:hAnsi="Book Antiqua"/>
          <w:i/>
        </w:rPr>
        <w:t xml:space="preserve"> Bowel Dis</w:t>
      </w:r>
      <w:r w:rsidRPr="003A1E48">
        <w:rPr>
          <w:rFonts w:ascii="Book Antiqua" w:hAnsi="Book Antiqua"/>
        </w:rPr>
        <w:t xml:space="preserve"> 2019; </w:t>
      </w:r>
      <w:r w:rsidRPr="003A1E48">
        <w:rPr>
          <w:rFonts w:ascii="Book Antiqua" w:hAnsi="Book Antiqua"/>
          <w:b/>
        </w:rPr>
        <w:t>25</w:t>
      </w:r>
      <w:r w:rsidRPr="003A1E48">
        <w:rPr>
          <w:rFonts w:ascii="Book Antiqua" w:hAnsi="Book Antiqua"/>
        </w:rPr>
        <w:t>: 403-409 [PMID: 30169582 DOI: 10.1093/</w:t>
      </w:r>
      <w:proofErr w:type="spellStart"/>
      <w:r w:rsidRPr="003A1E48">
        <w:rPr>
          <w:rFonts w:ascii="Book Antiqua" w:hAnsi="Book Antiqua"/>
        </w:rPr>
        <w:t>ibd</w:t>
      </w:r>
      <w:proofErr w:type="spellEnd"/>
      <w:r w:rsidRPr="003A1E48">
        <w:rPr>
          <w:rFonts w:ascii="Book Antiqua" w:hAnsi="Book Antiqua"/>
        </w:rPr>
        <w:t>/izy259]</w:t>
      </w:r>
    </w:p>
    <w:p w14:paraId="13830DA1"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8 </w:t>
      </w:r>
      <w:r w:rsidRPr="003A1E48">
        <w:rPr>
          <w:rFonts w:ascii="Book Antiqua" w:hAnsi="Book Antiqua"/>
          <w:b/>
        </w:rPr>
        <w:t>Vasudevan A</w:t>
      </w:r>
      <w:r w:rsidRPr="003A1E48">
        <w:rPr>
          <w:rFonts w:ascii="Book Antiqua" w:hAnsi="Book Antiqua"/>
        </w:rPr>
        <w:t xml:space="preserve">, </w:t>
      </w:r>
      <w:proofErr w:type="spellStart"/>
      <w:r w:rsidRPr="003A1E48">
        <w:rPr>
          <w:rFonts w:ascii="Book Antiqua" w:hAnsi="Book Antiqua"/>
        </w:rPr>
        <w:t>Arachchi</w:t>
      </w:r>
      <w:proofErr w:type="spellEnd"/>
      <w:r w:rsidRPr="003A1E48">
        <w:rPr>
          <w:rFonts w:ascii="Book Antiqua" w:hAnsi="Book Antiqua"/>
        </w:rPr>
        <w:t xml:space="preserve"> A, van </w:t>
      </w:r>
      <w:proofErr w:type="spellStart"/>
      <w:r w:rsidRPr="003A1E48">
        <w:rPr>
          <w:rFonts w:ascii="Book Antiqua" w:hAnsi="Book Antiqua"/>
        </w:rPr>
        <w:t>Langenberg</w:t>
      </w:r>
      <w:proofErr w:type="spellEnd"/>
      <w:r w:rsidRPr="003A1E48">
        <w:rPr>
          <w:rFonts w:ascii="Book Antiqua" w:hAnsi="Book Antiqua"/>
        </w:rPr>
        <w:t xml:space="preserve"> DR. Assessing patient satisfaction in inflammatory bowel disease using the QUOTE-IBD survey: a small step for clinicians, a potentially large step for improving quality of care.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2013; </w:t>
      </w:r>
      <w:r w:rsidRPr="003A1E48">
        <w:rPr>
          <w:rFonts w:ascii="Book Antiqua" w:hAnsi="Book Antiqua"/>
          <w:b/>
        </w:rPr>
        <w:t>7</w:t>
      </w:r>
      <w:r w:rsidRPr="003A1E48">
        <w:rPr>
          <w:rFonts w:ascii="Book Antiqua" w:hAnsi="Book Antiqua"/>
        </w:rPr>
        <w:t>: e367-e374 [PMID: 23528836 DOI: 10.1016/j.crohns.2013.02.012]</w:t>
      </w:r>
    </w:p>
    <w:p w14:paraId="25AE8D1E"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9 </w:t>
      </w:r>
      <w:proofErr w:type="spellStart"/>
      <w:r w:rsidRPr="003A1E48">
        <w:rPr>
          <w:rFonts w:ascii="Book Antiqua" w:hAnsi="Book Antiqua"/>
          <w:b/>
        </w:rPr>
        <w:t>Gonczi</w:t>
      </w:r>
      <w:proofErr w:type="spellEnd"/>
      <w:r w:rsidRPr="003A1E48">
        <w:rPr>
          <w:rFonts w:ascii="Book Antiqua" w:hAnsi="Book Antiqua"/>
          <w:b/>
        </w:rPr>
        <w:t xml:space="preserve"> L</w:t>
      </w:r>
      <w:r w:rsidRPr="003A1E48">
        <w:rPr>
          <w:rFonts w:ascii="Book Antiqua" w:hAnsi="Book Antiqua"/>
        </w:rPr>
        <w:t xml:space="preserve">, </w:t>
      </w:r>
      <w:proofErr w:type="spellStart"/>
      <w:r w:rsidRPr="003A1E48">
        <w:rPr>
          <w:rFonts w:ascii="Book Antiqua" w:hAnsi="Book Antiqua"/>
        </w:rPr>
        <w:t>Kurti</w:t>
      </w:r>
      <w:proofErr w:type="spellEnd"/>
      <w:r w:rsidRPr="003A1E48">
        <w:rPr>
          <w:rFonts w:ascii="Book Antiqua" w:hAnsi="Book Antiqua"/>
        </w:rPr>
        <w:t xml:space="preserve"> Z, Verdon C, </w:t>
      </w:r>
      <w:proofErr w:type="spellStart"/>
      <w:r w:rsidRPr="003A1E48">
        <w:rPr>
          <w:rFonts w:ascii="Book Antiqua" w:hAnsi="Book Antiqua"/>
        </w:rPr>
        <w:t>Reinglas</w:t>
      </w:r>
      <w:proofErr w:type="spellEnd"/>
      <w:r w:rsidRPr="003A1E48">
        <w:rPr>
          <w:rFonts w:ascii="Book Antiqua" w:hAnsi="Book Antiqua"/>
        </w:rPr>
        <w:t xml:space="preserve"> J, Kohen R, Morin I, Chavez K, </w:t>
      </w:r>
      <w:proofErr w:type="spellStart"/>
      <w:r w:rsidRPr="003A1E48">
        <w:rPr>
          <w:rFonts w:ascii="Book Antiqua" w:hAnsi="Book Antiqua"/>
        </w:rPr>
        <w:t>Bessissow</w:t>
      </w:r>
      <w:proofErr w:type="spellEnd"/>
      <w:r w:rsidRPr="003A1E48">
        <w:rPr>
          <w:rFonts w:ascii="Book Antiqua" w:hAnsi="Book Antiqua"/>
        </w:rPr>
        <w:t xml:space="preserve"> T, </w:t>
      </w:r>
      <w:proofErr w:type="spellStart"/>
      <w:r w:rsidRPr="003A1E48">
        <w:rPr>
          <w:rFonts w:ascii="Book Antiqua" w:hAnsi="Book Antiqua"/>
        </w:rPr>
        <w:t>Afif</w:t>
      </w:r>
      <w:proofErr w:type="spellEnd"/>
      <w:r w:rsidRPr="003A1E48">
        <w:rPr>
          <w:rFonts w:ascii="Book Antiqua" w:hAnsi="Book Antiqua"/>
        </w:rPr>
        <w:t xml:space="preserve"> W, Wild G, Seidman E, </w:t>
      </w:r>
      <w:proofErr w:type="spellStart"/>
      <w:r w:rsidRPr="003A1E48">
        <w:rPr>
          <w:rFonts w:ascii="Book Antiqua" w:hAnsi="Book Antiqua"/>
        </w:rPr>
        <w:t>Bitton</w:t>
      </w:r>
      <w:proofErr w:type="spellEnd"/>
      <w:r w:rsidRPr="003A1E48">
        <w:rPr>
          <w:rFonts w:ascii="Book Antiqua" w:hAnsi="Book Antiqua"/>
        </w:rPr>
        <w:t xml:space="preserve"> A, Lakatos PL. Perceived Quality of Care is Associated with Disease Activity, Quality of Life, Work Productivity, and Gender, but not Disease </w:t>
      </w:r>
      <w:r w:rsidRPr="003A1E48">
        <w:rPr>
          <w:rFonts w:ascii="Book Antiqua" w:hAnsi="Book Antiqua"/>
        </w:rPr>
        <w:lastRenderedPageBreak/>
        <w:t xml:space="preserve">Phenotype: A Prospective Study in a High-volume IBD Centre.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2019; </w:t>
      </w:r>
      <w:r w:rsidRPr="003A1E48">
        <w:rPr>
          <w:rFonts w:ascii="Book Antiqua" w:hAnsi="Book Antiqua"/>
          <w:b/>
        </w:rPr>
        <w:t>13</w:t>
      </w:r>
      <w:r w:rsidRPr="003A1E48">
        <w:rPr>
          <w:rFonts w:ascii="Book Antiqua" w:hAnsi="Book Antiqua"/>
        </w:rPr>
        <w:t>: 1138-1147 [PMID: 30793162 DOI: 10.1093/</w:t>
      </w:r>
      <w:proofErr w:type="spellStart"/>
      <w:r w:rsidRPr="003A1E48">
        <w:rPr>
          <w:rFonts w:ascii="Book Antiqua" w:hAnsi="Book Antiqua"/>
        </w:rPr>
        <w:t>ecco-jcc</w:t>
      </w:r>
      <w:proofErr w:type="spellEnd"/>
      <w:r w:rsidRPr="003A1E48">
        <w:rPr>
          <w:rFonts w:ascii="Book Antiqua" w:hAnsi="Book Antiqua"/>
        </w:rPr>
        <w:t>/jjz035]</w:t>
      </w:r>
    </w:p>
    <w:p w14:paraId="34687125"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10 </w:t>
      </w:r>
      <w:r w:rsidRPr="003A1E48">
        <w:rPr>
          <w:rFonts w:ascii="Book Antiqua" w:hAnsi="Book Antiqua"/>
          <w:b/>
        </w:rPr>
        <w:t>Bond K</w:t>
      </w:r>
      <w:r w:rsidRPr="003A1E48">
        <w:rPr>
          <w:rFonts w:ascii="Book Antiqua" w:hAnsi="Book Antiqua"/>
        </w:rPr>
        <w:t xml:space="preserve">, Ospina MB, Blitz S, </w:t>
      </w:r>
      <w:proofErr w:type="spellStart"/>
      <w:r w:rsidRPr="003A1E48">
        <w:rPr>
          <w:rFonts w:ascii="Book Antiqua" w:hAnsi="Book Antiqua"/>
        </w:rPr>
        <w:t>Afilalo</w:t>
      </w:r>
      <w:proofErr w:type="spellEnd"/>
      <w:r w:rsidRPr="003A1E48">
        <w:rPr>
          <w:rFonts w:ascii="Book Antiqua" w:hAnsi="Book Antiqua"/>
        </w:rPr>
        <w:t xml:space="preserve"> M, Campbell SG, Bullard M, Innes G, Holroyd B, Curry G, Schull M, Rowe BH. Frequency, determinants and impact of overcrowding in emergency departments in Canada: a national survey. </w:t>
      </w:r>
      <w:proofErr w:type="spellStart"/>
      <w:r w:rsidRPr="003A1E48">
        <w:rPr>
          <w:rFonts w:ascii="Book Antiqua" w:hAnsi="Book Antiqua"/>
          <w:i/>
        </w:rPr>
        <w:t>Healthc</w:t>
      </w:r>
      <w:proofErr w:type="spellEnd"/>
      <w:r w:rsidRPr="003A1E48">
        <w:rPr>
          <w:rFonts w:ascii="Book Antiqua" w:hAnsi="Book Antiqua"/>
          <w:i/>
        </w:rPr>
        <w:t xml:space="preserve"> Q</w:t>
      </w:r>
      <w:r w:rsidRPr="003A1E48">
        <w:rPr>
          <w:rFonts w:ascii="Book Antiqua" w:hAnsi="Book Antiqua"/>
        </w:rPr>
        <w:t xml:space="preserve"> 2007; </w:t>
      </w:r>
      <w:r w:rsidRPr="003A1E48">
        <w:rPr>
          <w:rFonts w:ascii="Book Antiqua" w:hAnsi="Book Antiqua"/>
          <w:b/>
        </w:rPr>
        <w:t>10</w:t>
      </w:r>
      <w:r w:rsidRPr="003A1E48">
        <w:rPr>
          <w:rFonts w:ascii="Book Antiqua" w:hAnsi="Book Antiqua"/>
        </w:rPr>
        <w:t>: 32-40 [PMID: 18019897 DOI: 10.12927/hcq.2007.19312]</w:t>
      </w:r>
    </w:p>
    <w:p w14:paraId="25C96997"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11 </w:t>
      </w:r>
      <w:r w:rsidRPr="003A1E48">
        <w:rPr>
          <w:rFonts w:ascii="Book Antiqua" w:hAnsi="Book Antiqua"/>
          <w:b/>
        </w:rPr>
        <w:t>Newlyn N</w:t>
      </w:r>
      <w:r w:rsidRPr="003A1E48">
        <w:rPr>
          <w:rFonts w:ascii="Book Antiqua" w:hAnsi="Book Antiqua"/>
        </w:rPr>
        <w:t xml:space="preserve">, McGrath RT, Fulcher GR. Evaluation of the performance and outcomes for the first year of a diabetes rapid access clinic. </w:t>
      </w:r>
      <w:r w:rsidRPr="003A1E48">
        <w:rPr>
          <w:rFonts w:ascii="Book Antiqua" w:hAnsi="Book Antiqua"/>
          <w:i/>
        </w:rPr>
        <w:t>Med J Aust</w:t>
      </w:r>
      <w:r w:rsidRPr="003A1E48">
        <w:rPr>
          <w:rFonts w:ascii="Book Antiqua" w:hAnsi="Book Antiqua"/>
        </w:rPr>
        <w:t xml:space="preserve"> 2016; </w:t>
      </w:r>
      <w:r w:rsidRPr="003A1E48">
        <w:rPr>
          <w:rFonts w:ascii="Book Antiqua" w:hAnsi="Book Antiqua"/>
          <w:b/>
        </w:rPr>
        <w:t>205</w:t>
      </w:r>
      <w:r w:rsidRPr="003A1E48">
        <w:rPr>
          <w:rFonts w:ascii="Book Antiqua" w:hAnsi="Book Antiqua"/>
        </w:rPr>
        <w:t>: 172 [PMID: 27510347 DOI: 10.5694/mja16.00460]</w:t>
      </w:r>
    </w:p>
    <w:p w14:paraId="3AE494D5"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12 </w:t>
      </w:r>
      <w:proofErr w:type="spellStart"/>
      <w:r w:rsidRPr="003A1E48">
        <w:rPr>
          <w:rFonts w:ascii="Book Antiqua" w:hAnsi="Book Antiqua"/>
          <w:b/>
        </w:rPr>
        <w:t>Klimis</w:t>
      </w:r>
      <w:proofErr w:type="spellEnd"/>
      <w:r w:rsidRPr="003A1E48">
        <w:rPr>
          <w:rFonts w:ascii="Book Antiqua" w:hAnsi="Book Antiqua"/>
          <w:b/>
        </w:rPr>
        <w:t xml:space="preserve"> H</w:t>
      </w:r>
      <w:r w:rsidRPr="003A1E48">
        <w:rPr>
          <w:rFonts w:ascii="Book Antiqua" w:hAnsi="Book Antiqua"/>
        </w:rPr>
        <w:t xml:space="preserve">, </w:t>
      </w:r>
      <w:proofErr w:type="spellStart"/>
      <w:r w:rsidRPr="003A1E48">
        <w:rPr>
          <w:rFonts w:ascii="Book Antiqua" w:hAnsi="Book Antiqua"/>
        </w:rPr>
        <w:t>Thiagalingam</w:t>
      </w:r>
      <w:proofErr w:type="spellEnd"/>
      <w:r w:rsidRPr="003A1E48">
        <w:rPr>
          <w:rFonts w:ascii="Book Antiqua" w:hAnsi="Book Antiqua"/>
        </w:rPr>
        <w:t xml:space="preserve"> A, Altman M, Atkins E, Figtree G, Lowe H, Cheung NW, </w:t>
      </w:r>
      <w:proofErr w:type="spellStart"/>
      <w:r w:rsidRPr="003A1E48">
        <w:rPr>
          <w:rFonts w:ascii="Book Antiqua" w:hAnsi="Book Antiqua"/>
        </w:rPr>
        <w:t>Kovoor</w:t>
      </w:r>
      <w:proofErr w:type="spellEnd"/>
      <w:r w:rsidRPr="003A1E48">
        <w:rPr>
          <w:rFonts w:ascii="Book Antiqua" w:hAnsi="Book Antiqua"/>
        </w:rPr>
        <w:t xml:space="preserve"> P, </w:t>
      </w:r>
      <w:proofErr w:type="spellStart"/>
      <w:r w:rsidRPr="003A1E48">
        <w:rPr>
          <w:rFonts w:ascii="Book Antiqua" w:hAnsi="Book Antiqua"/>
        </w:rPr>
        <w:t>Denniss</w:t>
      </w:r>
      <w:proofErr w:type="spellEnd"/>
      <w:r w:rsidRPr="003A1E48">
        <w:rPr>
          <w:rFonts w:ascii="Book Antiqua" w:hAnsi="Book Antiqua"/>
        </w:rPr>
        <w:t xml:space="preserve"> AR, Chow CK. Rapid-access cardiology services: can these reduce the burden of acute chest pain on Australian and New Zealand health services? </w:t>
      </w:r>
      <w:r w:rsidRPr="003A1E48">
        <w:rPr>
          <w:rFonts w:ascii="Book Antiqua" w:hAnsi="Book Antiqua"/>
          <w:i/>
        </w:rPr>
        <w:t>Intern Med J</w:t>
      </w:r>
      <w:r w:rsidRPr="003A1E48">
        <w:rPr>
          <w:rFonts w:ascii="Book Antiqua" w:hAnsi="Book Antiqua"/>
        </w:rPr>
        <w:t xml:space="preserve"> 2017; </w:t>
      </w:r>
      <w:r w:rsidRPr="003A1E48">
        <w:rPr>
          <w:rFonts w:ascii="Book Antiqua" w:hAnsi="Book Antiqua"/>
          <w:b/>
        </w:rPr>
        <w:t>47</w:t>
      </w:r>
      <w:r w:rsidRPr="003A1E48">
        <w:rPr>
          <w:rFonts w:ascii="Book Antiqua" w:hAnsi="Book Antiqua"/>
        </w:rPr>
        <w:t>: 986-991 [PMID: 27860148 DOI: 10.1111/imj.13334]</w:t>
      </w:r>
    </w:p>
    <w:p w14:paraId="6E2E7416"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13 </w:t>
      </w:r>
      <w:proofErr w:type="spellStart"/>
      <w:r w:rsidRPr="003A1E48">
        <w:rPr>
          <w:rFonts w:ascii="Book Antiqua" w:hAnsi="Book Antiqua"/>
          <w:b/>
        </w:rPr>
        <w:t>Reinglas</w:t>
      </w:r>
      <w:proofErr w:type="spellEnd"/>
      <w:r w:rsidRPr="003A1E48">
        <w:rPr>
          <w:rFonts w:ascii="Book Antiqua" w:hAnsi="Book Antiqua"/>
          <w:b/>
        </w:rPr>
        <w:t xml:space="preserve"> J</w:t>
      </w:r>
      <w:r w:rsidRPr="003A1E48">
        <w:rPr>
          <w:rFonts w:ascii="Book Antiqua" w:hAnsi="Book Antiqua"/>
        </w:rPr>
        <w:t xml:space="preserve">, </w:t>
      </w:r>
      <w:proofErr w:type="spellStart"/>
      <w:r w:rsidRPr="003A1E48">
        <w:rPr>
          <w:rFonts w:ascii="Book Antiqua" w:hAnsi="Book Antiqua"/>
        </w:rPr>
        <w:t>Restellini</w:t>
      </w:r>
      <w:proofErr w:type="spellEnd"/>
      <w:r w:rsidRPr="003A1E48">
        <w:rPr>
          <w:rFonts w:ascii="Book Antiqua" w:hAnsi="Book Antiqua"/>
        </w:rPr>
        <w:t xml:space="preserve"> S, </w:t>
      </w:r>
      <w:proofErr w:type="spellStart"/>
      <w:r w:rsidRPr="003A1E48">
        <w:rPr>
          <w:rFonts w:ascii="Book Antiqua" w:hAnsi="Book Antiqua"/>
        </w:rPr>
        <w:t>Gonczi</w:t>
      </w:r>
      <w:proofErr w:type="spellEnd"/>
      <w:r w:rsidRPr="003A1E48">
        <w:rPr>
          <w:rFonts w:ascii="Book Antiqua" w:hAnsi="Book Antiqua"/>
        </w:rPr>
        <w:t xml:space="preserve"> L, </w:t>
      </w:r>
      <w:proofErr w:type="spellStart"/>
      <w:r w:rsidRPr="003A1E48">
        <w:rPr>
          <w:rFonts w:ascii="Book Antiqua" w:hAnsi="Book Antiqua"/>
        </w:rPr>
        <w:t>Kurti</w:t>
      </w:r>
      <w:proofErr w:type="spellEnd"/>
      <w:r w:rsidRPr="003A1E48">
        <w:rPr>
          <w:rFonts w:ascii="Book Antiqua" w:hAnsi="Book Antiqua"/>
        </w:rPr>
        <w:t xml:space="preserve"> Z, Verdon C, Nene S, Kohen R, </w:t>
      </w:r>
      <w:proofErr w:type="spellStart"/>
      <w:r w:rsidRPr="003A1E48">
        <w:rPr>
          <w:rFonts w:ascii="Book Antiqua" w:hAnsi="Book Antiqua"/>
        </w:rPr>
        <w:t>Afif</w:t>
      </w:r>
      <w:proofErr w:type="spellEnd"/>
      <w:r w:rsidRPr="003A1E48">
        <w:rPr>
          <w:rFonts w:ascii="Book Antiqua" w:hAnsi="Book Antiqua"/>
        </w:rPr>
        <w:t xml:space="preserve"> W, </w:t>
      </w:r>
      <w:proofErr w:type="spellStart"/>
      <w:r w:rsidRPr="003A1E48">
        <w:rPr>
          <w:rFonts w:ascii="Book Antiqua" w:hAnsi="Book Antiqua"/>
        </w:rPr>
        <w:t>Bessissow</w:t>
      </w:r>
      <w:proofErr w:type="spellEnd"/>
      <w:r w:rsidRPr="003A1E48">
        <w:rPr>
          <w:rFonts w:ascii="Book Antiqua" w:hAnsi="Book Antiqua"/>
        </w:rPr>
        <w:t xml:space="preserve"> T, Wild G, Seidman E, </w:t>
      </w:r>
      <w:proofErr w:type="spellStart"/>
      <w:r w:rsidRPr="003A1E48">
        <w:rPr>
          <w:rFonts w:ascii="Book Antiqua" w:hAnsi="Book Antiqua"/>
        </w:rPr>
        <w:t>Bitton</w:t>
      </w:r>
      <w:proofErr w:type="spellEnd"/>
      <w:r w:rsidRPr="003A1E48">
        <w:rPr>
          <w:rFonts w:ascii="Book Antiqua" w:hAnsi="Book Antiqua"/>
        </w:rPr>
        <w:t xml:space="preserve"> A, Lakatos PL. Harmonization of quality of care in an IBD center impacts disease outcomes: Importance of structure, process indicators and rapid access clinic. </w:t>
      </w:r>
      <w:r w:rsidRPr="003A1E48">
        <w:rPr>
          <w:rFonts w:ascii="Book Antiqua" w:hAnsi="Book Antiqua"/>
          <w:i/>
        </w:rPr>
        <w:t>Dig Liver Dis</w:t>
      </w:r>
      <w:r w:rsidRPr="003A1E48">
        <w:rPr>
          <w:rFonts w:ascii="Book Antiqua" w:hAnsi="Book Antiqua"/>
        </w:rPr>
        <w:t xml:space="preserve"> 2019; </w:t>
      </w:r>
      <w:r w:rsidRPr="003A1E48">
        <w:rPr>
          <w:rFonts w:ascii="Book Antiqua" w:hAnsi="Book Antiqua"/>
          <w:b/>
        </w:rPr>
        <w:t>51</w:t>
      </w:r>
      <w:r w:rsidRPr="003A1E48">
        <w:rPr>
          <w:rFonts w:ascii="Book Antiqua" w:hAnsi="Book Antiqua"/>
        </w:rPr>
        <w:t>: 340-345 [PMID: 30591367 DOI: 10.1016/j.dld.2018.11.013]</w:t>
      </w:r>
    </w:p>
    <w:p w14:paraId="07285F7D" w14:textId="2299F0E2" w:rsidR="000746DA" w:rsidRPr="003A1E48" w:rsidRDefault="000746DA" w:rsidP="00DD7F70">
      <w:pPr>
        <w:spacing w:line="360" w:lineRule="auto"/>
        <w:jc w:val="both"/>
        <w:rPr>
          <w:rFonts w:ascii="Book Antiqua" w:hAnsi="Book Antiqua"/>
        </w:rPr>
      </w:pPr>
      <w:r w:rsidRPr="003A1E48">
        <w:rPr>
          <w:rFonts w:ascii="Book Antiqua" w:hAnsi="Book Antiqua"/>
        </w:rPr>
        <w:t xml:space="preserve">14 </w:t>
      </w:r>
      <w:proofErr w:type="spellStart"/>
      <w:r w:rsidRPr="003A1E48">
        <w:rPr>
          <w:rFonts w:ascii="Book Antiqua" w:hAnsi="Book Antiqua"/>
        </w:rPr>
        <w:t>Répertoire</w:t>
      </w:r>
      <w:proofErr w:type="spellEnd"/>
      <w:r w:rsidRPr="003A1E48">
        <w:rPr>
          <w:rFonts w:ascii="Book Antiqua" w:hAnsi="Book Antiqua"/>
        </w:rPr>
        <w:t xml:space="preserve"> Québécois et </w:t>
      </w:r>
      <w:proofErr w:type="spellStart"/>
      <w:r w:rsidRPr="003A1E48">
        <w:rPr>
          <w:rFonts w:ascii="Book Antiqua" w:hAnsi="Book Antiqua"/>
        </w:rPr>
        <w:t>système</w:t>
      </w:r>
      <w:proofErr w:type="spellEnd"/>
      <w:r w:rsidRPr="003A1E48">
        <w:rPr>
          <w:rFonts w:ascii="Book Antiqua" w:hAnsi="Book Antiqua"/>
        </w:rPr>
        <w:t xml:space="preserve"> de </w:t>
      </w:r>
      <w:proofErr w:type="spellStart"/>
      <w:r w:rsidRPr="003A1E48">
        <w:rPr>
          <w:rFonts w:ascii="Book Antiqua" w:hAnsi="Book Antiqua"/>
        </w:rPr>
        <w:t>mesure</w:t>
      </w:r>
      <w:proofErr w:type="spellEnd"/>
      <w:r w:rsidRPr="003A1E48">
        <w:rPr>
          <w:rFonts w:ascii="Book Antiqua" w:hAnsi="Book Antiqua"/>
        </w:rPr>
        <w:t xml:space="preserve"> des procedures de </w:t>
      </w:r>
      <w:proofErr w:type="spellStart"/>
      <w:r w:rsidRPr="003A1E48">
        <w:rPr>
          <w:rFonts w:ascii="Book Antiqua" w:hAnsi="Book Antiqua"/>
        </w:rPr>
        <w:t>biologie</w:t>
      </w:r>
      <w:proofErr w:type="spellEnd"/>
      <w:r w:rsidRPr="003A1E48">
        <w:rPr>
          <w:rFonts w:ascii="Book Antiqua" w:hAnsi="Book Antiqua"/>
        </w:rPr>
        <w:t xml:space="preserve"> </w:t>
      </w:r>
      <w:proofErr w:type="spellStart"/>
      <w:r w:rsidRPr="003A1E48">
        <w:rPr>
          <w:rFonts w:ascii="Book Antiqua" w:hAnsi="Book Antiqua"/>
        </w:rPr>
        <w:t>médicale</w:t>
      </w:r>
      <w:proofErr w:type="spellEnd"/>
      <w:r w:rsidRPr="003A1E48">
        <w:rPr>
          <w:rFonts w:ascii="Book Antiqua" w:hAnsi="Book Antiqua"/>
        </w:rPr>
        <w:t xml:space="preserve"> 2018-2019. Direction de la biovigilance et de la </w:t>
      </w:r>
      <w:proofErr w:type="spellStart"/>
      <w:r w:rsidRPr="003A1E48">
        <w:rPr>
          <w:rFonts w:ascii="Book Antiqua" w:hAnsi="Book Antiqua"/>
        </w:rPr>
        <w:t>biologie</w:t>
      </w:r>
      <w:proofErr w:type="spellEnd"/>
      <w:r w:rsidRPr="003A1E48">
        <w:rPr>
          <w:rFonts w:ascii="Book Antiqua" w:hAnsi="Book Antiqua"/>
        </w:rPr>
        <w:t xml:space="preserve"> </w:t>
      </w:r>
      <w:proofErr w:type="spellStart"/>
      <w:r w:rsidRPr="003A1E48">
        <w:rPr>
          <w:rFonts w:ascii="Book Antiqua" w:hAnsi="Book Antiqua"/>
        </w:rPr>
        <w:t>médicale</w:t>
      </w:r>
      <w:proofErr w:type="spellEnd"/>
      <w:r w:rsidRPr="003A1E48">
        <w:rPr>
          <w:rFonts w:ascii="Book Antiqua" w:hAnsi="Book Antiqua"/>
        </w:rPr>
        <w:t xml:space="preserve"> </w:t>
      </w:r>
      <w:proofErr w:type="spellStart"/>
      <w:r w:rsidRPr="003A1E48">
        <w:rPr>
          <w:rFonts w:ascii="Book Antiqua" w:hAnsi="Book Antiqua"/>
        </w:rPr>
        <w:t>Ministère</w:t>
      </w:r>
      <w:proofErr w:type="spellEnd"/>
      <w:r w:rsidRPr="003A1E48">
        <w:rPr>
          <w:rFonts w:ascii="Book Antiqua" w:hAnsi="Book Antiqua"/>
        </w:rPr>
        <w:t xml:space="preserve"> de la Santé et des Services </w:t>
      </w:r>
      <w:proofErr w:type="spellStart"/>
      <w:r w:rsidRPr="003A1E48">
        <w:rPr>
          <w:rFonts w:ascii="Book Antiqua" w:hAnsi="Book Antiqua"/>
        </w:rPr>
        <w:t>sociaux</w:t>
      </w:r>
      <w:proofErr w:type="spellEnd"/>
      <w:r w:rsidRPr="003A1E48">
        <w:rPr>
          <w:rFonts w:ascii="Book Antiqua" w:hAnsi="Book Antiqua"/>
        </w:rPr>
        <w:t xml:space="preserve">. Available </w:t>
      </w:r>
      <w:r w:rsidR="00175321">
        <w:rPr>
          <w:rFonts w:ascii="Book Antiqua" w:hAnsi="Book Antiqua"/>
        </w:rPr>
        <w:t>from</w:t>
      </w:r>
      <w:r w:rsidRPr="003A1E48">
        <w:rPr>
          <w:rFonts w:ascii="Book Antiqua" w:hAnsi="Book Antiqua"/>
        </w:rPr>
        <w:t xml:space="preserve">: </w:t>
      </w:r>
      <w:bookmarkStart w:id="15" w:name="OLE_LINK23"/>
      <w:r w:rsidRPr="003A1E48">
        <w:rPr>
          <w:rFonts w:ascii="Book Antiqua" w:hAnsi="Book Antiqua"/>
        </w:rPr>
        <w:t>http://publications.msss.gouv.qc.ca/msss/fichiers/2017/17-922-06W.pdf</w:t>
      </w:r>
      <w:bookmarkEnd w:id="15"/>
    </w:p>
    <w:p w14:paraId="32E3FCAD"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15 </w:t>
      </w:r>
      <w:r w:rsidRPr="003A1E48">
        <w:rPr>
          <w:rFonts w:ascii="Book Antiqua" w:hAnsi="Book Antiqua"/>
          <w:b/>
        </w:rPr>
        <w:t>Ballou S</w:t>
      </w:r>
      <w:r w:rsidRPr="003A1E48">
        <w:rPr>
          <w:rFonts w:ascii="Book Antiqua" w:hAnsi="Book Antiqua"/>
        </w:rPr>
        <w:t xml:space="preserve">, Hirsch W, Singh P, </w:t>
      </w:r>
      <w:proofErr w:type="spellStart"/>
      <w:r w:rsidRPr="003A1E48">
        <w:rPr>
          <w:rFonts w:ascii="Book Antiqua" w:hAnsi="Book Antiqua"/>
        </w:rPr>
        <w:t>Rangan</w:t>
      </w:r>
      <w:proofErr w:type="spellEnd"/>
      <w:r w:rsidRPr="003A1E48">
        <w:rPr>
          <w:rFonts w:ascii="Book Antiqua" w:hAnsi="Book Antiqua"/>
        </w:rPr>
        <w:t xml:space="preserve"> V, Nee J, </w:t>
      </w:r>
      <w:proofErr w:type="spellStart"/>
      <w:r w:rsidRPr="003A1E48">
        <w:rPr>
          <w:rFonts w:ascii="Book Antiqua" w:hAnsi="Book Antiqua"/>
        </w:rPr>
        <w:t>Iturrino</w:t>
      </w:r>
      <w:proofErr w:type="spellEnd"/>
      <w:r w:rsidRPr="003A1E48">
        <w:rPr>
          <w:rFonts w:ascii="Book Antiqua" w:hAnsi="Book Antiqua"/>
        </w:rPr>
        <w:t xml:space="preserve"> J, Sommers T, </w:t>
      </w:r>
      <w:proofErr w:type="spellStart"/>
      <w:r w:rsidRPr="003A1E48">
        <w:rPr>
          <w:rFonts w:ascii="Book Antiqua" w:hAnsi="Book Antiqua"/>
        </w:rPr>
        <w:t>Zubiago</w:t>
      </w:r>
      <w:proofErr w:type="spellEnd"/>
      <w:r w:rsidRPr="003A1E48">
        <w:rPr>
          <w:rFonts w:ascii="Book Antiqua" w:hAnsi="Book Antiqua"/>
        </w:rPr>
        <w:t xml:space="preserve"> J, Sengupta N, </w:t>
      </w:r>
      <w:proofErr w:type="spellStart"/>
      <w:r w:rsidRPr="003A1E48">
        <w:rPr>
          <w:rFonts w:ascii="Book Antiqua" w:hAnsi="Book Antiqua"/>
        </w:rPr>
        <w:t>Bollom</w:t>
      </w:r>
      <w:proofErr w:type="spellEnd"/>
      <w:r w:rsidRPr="003A1E48">
        <w:rPr>
          <w:rFonts w:ascii="Book Antiqua" w:hAnsi="Book Antiqua"/>
        </w:rPr>
        <w:t xml:space="preserve"> A, Jones M, Moss AC, Flier SN, </w:t>
      </w:r>
      <w:proofErr w:type="spellStart"/>
      <w:r w:rsidRPr="003A1E48">
        <w:rPr>
          <w:rFonts w:ascii="Book Antiqua" w:hAnsi="Book Antiqua"/>
        </w:rPr>
        <w:t>Cheifetz</w:t>
      </w:r>
      <w:proofErr w:type="spellEnd"/>
      <w:r w:rsidRPr="003A1E48">
        <w:rPr>
          <w:rFonts w:ascii="Book Antiqua" w:hAnsi="Book Antiqua"/>
        </w:rPr>
        <w:t xml:space="preserve"> AS, </w:t>
      </w:r>
      <w:proofErr w:type="spellStart"/>
      <w:r w:rsidRPr="003A1E48">
        <w:rPr>
          <w:rFonts w:ascii="Book Antiqua" w:hAnsi="Book Antiqua"/>
        </w:rPr>
        <w:t>Lembo</w:t>
      </w:r>
      <w:proofErr w:type="spellEnd"/>
      <w:r w:rsidRPr="003A1E48">
        <w:rPr>
          <w:rFonts w:ascii="Book Antiqua" w:hAnsi="Book Antiqua"/>
        </w:rPr>
        <w:t xml:space="preserve"> A. Emergency department </w:t>
      </w:r>
      <w:proofErr w:type="spellStart"/>
      <w:r w:rsidRPr="003A1E48">
        <w:rPr>
          <w:rFonts w:ascii="Book Antiqua" w:hAnsi="Book Antiqua"/>
        </w:rPr>
        <w:t>utilisation</w:t>
      </w:r>
      <w:proofErr w:type="spellEnd"/>
      <w:r w:rsidRPr="003A1E48">
        <w:rPr>
          <w:rFonts w:ascii="Book Antiqua" w:hAnsi="Book Antiqua"/>
        </w:rPr>
        <w:t xml:space="preserve"> for inflammatory bowel disease in the United States from 2006 to 2014. </w:t>
      </w:r>
      <w:r w:rsidRPr="003A1E48">
        <w:rPr>
          <w:rFonts w:ascii="Book Antiqua" w:hAnsi="Book Antiqua"/>
          <w:i/>
        </w:rPr>
        <w:t xml:space="preserve">Aliment </w:t>
      </w:r>
      <w:proofErr w:type="spellStart"/>
      <w:r w:rsidRPr="003A1E48">
        <w:rPr>
          <w:rFonts w:ascii="Book Antiqua" w:hAnsi="Book Antiqua"/>
          <w:i/>
        </w:rPr>
        <w:t>Pharmacol</w:t>
      </w:r>
      <w:proofErr w:type="spellEnd"/>
      <w:r w:rsidRPr="003A1E48">
        <w:rPr>
          <w:rFonts w:ascii="Book Antiqua" w:hAnsi="Book Antiqua"/>
          <w:i/>
        </w:rPr>
        <w:t xml:space="preserve"> </w:t>
      </w:r>
      <w:proofErr w:type="spellStart"/>
      <w:r w:rsidRPr="003A1E48">
        <w:rPr>
          <w:rFonts w:ascii="Book Antiqua" w:hAnsi="Book Antiqua"/>
          <w:i/>
        </w:rPr>
        <w:t>Ther</w:t>
      </w:r>
      <w:proofErr w:type="spellEnd"/>
      <w:r w:rsidRPr="003A1E48">
        <w:rPr>
          <w:rFonts w:ascii="Book Antiqua" w:hAnsi="Book Antiqua"/>
        </w:rPr>
        <w:t xml:space="preserve"> 2018; </w:t>
      </w:r>
      <w:r w:rsidRPr="003A1E48">
        <w:rPr>
          <w:rFonts w:ascii="Book Antiqua" w:hAnsi="Book Antiqua"/>
          <w:b/>
        </w:rPr>
        <w:t>47</w:t>
      </w:r>
      <w:r w:rsidRPr="003A1E48">
        <w:rPr>
          <w:rFonts w:ascii="Book Antiqua" w:hAnsi="Book Antiqua"/>
        </w:rPr>
        <w:t>: 913-921 [PMID: 29411411 DOI: 10.1111/apt.14551]</w:t>
      </w:r>
    </w:p>
    <w:p w14:paraId="6F615083" w14:textId="77777777" w:rsidR="000746DA" w:rsidRPr="003A1E48" w:rsidRDefault="000746DA" w:rsidP="00DD7F70">
      <w:pPr>
        <w:spacing w:line="360" w:lineRule="auto"/>
        <w:jc w:val="both"/>
        <w:rPr>
          <w:rFonts w:ascii="Book Antiqua" w:hAnsi="Book Antiqua"/>
        </w:rPr>
      </w:pPr>
      <w:r w:rsidRPr="003A1E48">
        <w:rPr>
          <w:rFonts w:ascii="Book Antiqua" w:hAnsi="Book Antiqua"/>
        </w:rPr>
        <w:t xml:space="preserve">16 </w:t>
      </w:r>
      <w:r w:rsidRPr="003A1E48">
        <w:rPr>
          <w:rFonts w:ascii="Book Antiqua" w:hAnsi="Book Antiqua"/>
          <w:b/>
        </w:rPr>
        <w:t>Pant C</w:t>
      </w:r>
      <w:r w:rsidRPr="003A1E48">
        <w:rPr>
          <w:rFonts w:ascii="Book Antiqua" w:hAnsi="Book Antiqua"/>
        </w:rPr>
        <w:t xml:space="preserve">, Deshpande A, Fraga-Lovejoy C, O'Connor J, Gilroy R, </w:t>
      </w:r>
      <w:proofErr w:type="spellStart"/>
      <w:r w:rsidRPr="003A1E48">
        <w:rPr>
          <w:rFonts w:ascii="Book Antiqua" w:hAnsi="Book Antiqua"/>
        </w:rPr>
        <w:t>Olyaee</w:t>
      </w:r>
      <w:proofErr w:type="spellEnd"/>
      <w:r w:rsidRPr="003A1E48">
        <w:rPr>
          <w:rFonts w:ascii="Book Antiqua" w:hAnsi="Book Antiqua"/>
        </w:rPr>
        <w:t xml:space="preserve"> M. Emergency Department Visits Related to Inflammatory Bowel Disease: Results </w:t>
      </w:r>
      <w:proofErr w:type="gramStart"/>
      <w:r w:rsidRPr="003A1E48">
        <w:rPr>
          <w:rFonts w:ascii="Book Antiqua" w:hAnsi="Book Antiqua"/>
        </w:rPr>
        <w:t>From</w:t>
      </w:r>
      <w:proofErr w:type="gramEnd"/>
      <w:r w:rsidRPr="003A1E48">
        <w:rPr>
          <w:rFonts w:ascii="Book Antiqua" w:hAnsi="Book Antiqua"/>
        </w:rPr>
        <w:t xml:space="preserve"> Nationwide </w:t>
      </w:r>
      <w:r w:rsidRPr="003A1E48">
        <w:rPr>
          <w:rFonts w:ascii="Book Antiqua" w:hAnsi="Book Antiqua"/>
        </w:rPr>
        <w:lastRenderedPageBreak/>
        <w:t xml:space="preserve">Emergency Department Sample. </w:t>
      </w:r>
      <w:r w:rsidRPr="003A1E48">
        <w:rPr>
          <w:rFonts w:ascii="Book Antiqua" w:hAnsi="Book Antiqua"/>
          <w:i/>
        </w:rPr>
        <w:t xml:space="preserve">J </w:t>
      </w:r>
      <w:proofErr w:type="spellStart"/>
      <w:r w:rsidRPr="003A1E48">
        <w:rPr>
          <w:rFonts w:ascii="Book Antiqua" w:hAnsi="Book Antiqua"/>
          <w:i/>
        </w:rPr>
        <w:t>Pediatr</w:t>
      </w:r>
      <w:proofErr w:type="spellEnd"/>
      <w:r w:rsidRPr="003A1E48">
        <w:rPr>
          <w:rFonts w:ascii="Book Antiqua" w:hAnsi="Book Antiqua"/>
          <w:i/>
        </w:rPr>
        <w:t xml:space="preserve"> Gastroenterol </w:t>
      </w:r>
      <w:proofErr w:type="spellStart"/>
      <w:r w:rsidRPr="003A1E48">
        <w:rPr>
          <w:rFonts w:ascii="Book Antiqua" w:hAnsi="Book Antiqua"/>
          <w:i/>
        </w:rPr>
        <w:t>Nutr</w:t>
      </w:r>
      <w:proofErr w:type="spellEnd"/>
      <w:r w:rsidRPr="003A1E48">
        <w:rPr>
          <w:rFonts w:ascii="Book Antiqua" w:hAnsi="Book Antiqua"/>
        </w:rPr>
        <w:t xml:space="preserve"> 2015; </w:t>
      </w:r>
      <w:r w:rsidRPr="003A1E48">
        <w:rPr>
          <w:rFonts w:ascii="Book Antiqua" w:hAnsi="Book Antiqua"/>
          <w:b/>
        </w:rPr>
        <w:t>61</w:t>
      </w:r>
      <w:r w:rsidRPr="003A1E48">
        <w:rPr>
          <w:rFonts w:ascii="Book Antiqua" w:hAnsi="Book Antiqua"/>
        </w:rPr>
        <w:t>: 282-284 [PMID: 25859825 DOI: 10.1097/MPG.0000000000000815]</w:t>
      </w:r>
    </w:p>
    <w:p w14:paraId="2FDC432A" w14:textId="300973A2" w:rsidR="00A043A9" w:rsidRPr="003A1E48" w:rsidRDefault="000746DA" w:rsidP="00DD7F70">
      <w:pPr>
        <w:spacing w:line="360" w:lineRule="auto"/>
        <w:jc w:val="both"/>
        <w:rPr>
          <w:rFonts w:ascii="Book Antiqua" w:hAnsi="Book Antiqua"/>
        </w:rPr>
      </w:pPr>
      <w:r w:rsidRPr="003A1E48">
        <w:rPr>
          <w:rFonts w:ascii="Book Antiqua" w:hAnsi="Book Antiqua"/>
        </w:rPr>
        <w:t xml:space="preserve">17 </w:t>
      </w:r>
      <w:r w:rsidRPr="003A1E48">
        <w:rPr>
          <w:rFonts w:ascii="Book Antiqua" w:hAnsi="Book Antiqua"/>
          <w:b/>
        </w:rPr>
        <w:t>Bernstein MT</w:t>
      </w:r>
      <w:r w:rsidRPr="003A1E48">
        <w:rPr>
          <w:rFonts w:ascii="Book Antiqua" w:hAnsi="Book Antiqua"/>
        </w:rPr>
        <w:t xml:space="preserve">, Walker JR, </w:t>
      </w:r>
      <w:proofErr w:type="spellStart"/>
      <w:r w:rsidRPr="003A1E48">
        <w:rPr>
          <w:rFonts w:ascii="Book Antiqua" w:hAnsi="Book Antiqua"/>
        </w:rPr>
        <w:t>Chhibba</w:t>
      </w:r>
      <w:proofErr w:type="spellEnd"/>
      <w:r w:rsidRPr="003A1E48">
        <w:rPr>
          <w:rFonts w:ascii="Book Antiqua" w:hAnsi="Book Antiqua"/>
        </w:rPr>
        <w:t xml:space="preserve"> T, </w:t>
      </w:r>
      <w:proofErr w:type="spellStart"/>
      <w:r w:rsidRPr="003A1E48">
        <w:rPr>
          <w:rFonts w:ascii="Book Antiqua" w:hAnsi="Book Antiqua"/>
        </w:rPr>
        <w:t>Ivekovic</w:t>
      </w:r>
      <w:proofErr w:type="spellEnd"/>
      <w:r w:rsidRPr="003A1E48">
        <w:rPr>
          <w:rFonts w:ascii="Book Antiqua" w:hAnsi="Book Antiqua"/>
        </w:rPr>
        <w:t xml:space="preserve"> M, Singh H, </w:t>
      </w:r>
      <w:proofErr w:type="spellStart"/>
      <w:r w:rsidRPr="003A1E48">
        <w:rPr>
          <w:rFonts w:ascii="Book Antiqua" w:hAnsi="Book Antiqua"/>
        </w:rPr>
        <w:t>Targownik</w:t>
      </w:r>
      <w:proofErr w:type="spellEnd"/>
      <w:r w:rsidRPr="003A1E48">
        <w:rPr>
          <w:rFonts w:ascii="Book Antiqua" w:hAnsi="Book Antiqua"/>
        </w:rPr>
        <w:t xml:space="preserve"> LE, Bernstein CN. Health Care Services in IBD: Factors Associated with Service Utilization and Preferences for Service Options for Routine and Urgent Care. </w:t>
      </w:r>
      <w:proofErr w:type="spellStart"/>
      <w:r w:rsidRPr="003A1E48">
        <w:rPr>
          <w:rFonts w:ascii="Book Antiqua" w:hAnsi="Book Antiqua"/>
          <w:i/>
        </w:rPr>
        <w:t>Inflamm</w:t>
      </w:r>
      <w:proofErr w:type="spellEnd"/>
      <w:r w:rsidRPr="003A1E48">
        <w:rPr>
          <w:rFonts w:ascii="Book Antiqua" w:hAnsi="Book Antiqua"/>
          <w:i/>
        </w:rPr>
        <w:t xml:space="preserve"> Bowel Dis</w:t>
      </w:r>
      <w:r w:rsidRPr="003A1E48">
        <w:rPr>
          <w:rFonts w:ascii="Book Antiqua" w:hAnsi="Book Antiqua"/>
        </w:rPr>
        <w:t xml:space="preserve"> 2017; </w:t>
      </w:r>
      <w:r w:rsidRPr="003A1E48">
        <w:rPr>
          <w:rFonts w:ascii="Book Antiqua" w:hAnsi="Book Antiqua"/>
          <w:b/>
        </w:rPr>
        <w:t>23</w:t>
      </w:r>
      <w:r w:rsidRPr="003A1E48">
        <w:rPr>
          <w:rFonts w:ascii="Book Antiqua" w:hAnsi="Book Antiqua"/>
        </w:rPr>
        <w:t>: 1461-1469 [PMID: 28816754 DOI: 10.1097/MIB.0000000000001215]</w:t>
      </w:r>
    </w:p>
    <w:p w14:paraId="75A5CB5D" w14:textId="216FFDCE" w:rsidR="00A043A9" w:rsidRPr="003A1E48" w:rsidRDefault="00A043A9" w:rsidP="00A043A9">
      <w:pPr>
        <w:spacing w:line="360" w:lineRule="auto"/>
        <w:jc w:val="both"/>
        <w:rPr>
          <w:rFonts w:ascii="Book Antiqua" w:hAnsi="Book Antiqua"/>
        </w:rPr>
      </w:pPr>
      <w:r w:rsidRPr="003A1E48">
        <w:rPr>
          <w:rFonts w:ascii="Book Antiqua" w:hAnsi="Book Antiqua"/>
        </w:rPr>
        <w:t xml:space="preserve">18 </w:t>
      </w:r>
      <w:proofErr w:type="spellStart"/>
      <w:r w:rsidRPr="003A1E48">
        <w:rPr>
          <w:rFonts w:ascii="Book Antiqua" w:hAnsi="Book Antiqua"/>
          <w:b/>
        </w:rPr>
        <w:t>Yarur</w:t>
      </w:r>
      <w:proofErr w:type="spellEnd"/>
      <w:r w:rsidRPr="003A1E48">
        <w:rPr>
          <w:rFonts w:ascii="Book Antiqua" w:hAnsi="Book Antiqua"/>
          <w:b/>
        </w:rPr>
        <w:t xml:space="preserve"> AJ</w:t>
      </w:r>
      <w:r w:rsidRPr="003A1E48">
        <w:rPr>
          <w:rFonts w:ascii="Book Antiqua" w:hAnsi="Book Antiqua"/>
        </w:rPr>
        <w:t xml:space="preserve">, </w:t>
      </w:r>
      <w:proofErr w:type="spellStart"/>
      <w:r w:rsidRPr="003A1E48">
        <w:rPr>
          <w:rFonts w:ascii="Book Antiqua" w:hAnsi="Book Antiqua"/>
        </w:rPr>
        <w:t>Mandalia</w:t>
      </w:r>
      <w:proofErr w:type="spellEnd"/>
      <w:r w:rsidRPr="003A1E48">
        <w:rPr>
          <w:rFonts w:ascii="Book Antiqua" w:hAnsi="Book Antiqua"/>
        </w:rPr>
        <w:t xml:space="preserve"> AB, Dauer RM, </w:t>
      </w:r>
      <w:proofErr w:type="spellStart"/>
      <w:r w:rsidRPr="003A1E48">
        <w:rPr>
          <w:rFonts w:ascii="Book Antiqua" w:hAnsi="Book Antiqua"/>
        </w:rPr>
        <w:t>Czul</w:t>
      </w:r>
      <w:proofErr w:type="spellEnd"/>
      <w:r w:rsidRPr="003A1E48">
        <w:rPr>
          <w:rFonts w:ascii="Book Antiqua" w:hAnsi="Book Antiqua"/>
        </w:rPr>
        <w:t xml:space="preserve"> F, Deshpande AR, Kerman DH, Abreu MT, Sussman DA. Predictive factors for clinically actionable computed tomography findings in inflammatory bowel disease patients seen in the emergency department with acute gastrointestinal symptoms.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2014; </w:t>
      </w:r>
      <w:r w:rsidRPr="00014345">
        <w:rPr>
          <w:rFonts w:ascii="Book Antiqua" w:hAnsi="Book Antiqua"/>
          <w:b/>
          <w:bCs/>
        </w:rPr>
        <w:t>8</w:t>
      </w:r>
      <w:r w:rsidRPr="003A1E48">
        <w:rPr>
          <w:rFonts w:ascii="Book Antiqua" w:hAnsi="Book Antiqua"/>
        </w:rPr>
        <w:t>:</w:t>
      </w:r>
      <w:r w:rsidR="00014345">
        <w:rPr>
          <w:rFonts w:ascii="Book Antiqua" w:hAnsi="Book Antiqua"/>
        </w:rPr>
        <w:t xml:space="preserve"> </w:t>
      </w:r>
      <w:r w:rsidRPr="003A1E48">
        <w:rPr>
          <w:rFonts w:ascii="Book Antiqua" w:hAnsi="Book Antiqua"/>
        </w:rPr>
        <w:t>504-</w:t>
      </w:r>
      <w:r w:rsidR="00014345">
        <w:rPr>
          <w:rFonts w:ascii="Book Antiqua" w:hAnsi="Book Antiqua"/>
        </w:rPr>
        <w:t>5</w:t>
      </w:r>
      <w:r w:rsidRPr="003A1E48">
        <w:rPr>
          <w:rFonts w:ascii="Book Antiqua" w:hAnsi="Book Antiqua"/>
        </w:rPr>
        <w:t>12 [PMID: 24275204 DOI: 10.1016/j.crohns.2013.11.003]</w:t>
      </w:r>
    </w:p>
    <w:p w14:paraId="46A06A4F" w14:textId="243DAAB2" w:rsidR="000746DA" w:rsidRPr="003A1E48" w:rsidRDefault="000746DA" w:rsidP="00DD7F70">
      <w:pPr>
        <w:spacing w:line="360" w:lineRule="auto"/>
        <w:jc w:val="both"/>
        <w:rPr>
          <w:rFonts w:ascii="Book Antiqua" w:hAnsi="Book Antiqua"/>
        </w:rPr>
      </w:pPr>
      <w:r w:rsidRPr="003A1E48">
        <w:rPr>
          <w:rFonts w:ascii="Book Antiqua" w:hAnsi="Book Antiqua"/>
        </w:rPr>
        <w:t>1</w:t>
      </w:r>
      <w:r w:rsidR="00A043A9" w:rsidRPr="003A1E48">
        <w:rPr>
          <w:rFonts w:ascii="Book Antiqua" w:hAnsi="Book Antiqua"/>
        </w:rPr>
        <w:t>9</w:t>
      </w:r>
      <w:r w:rsidRPr="003A1E48">
        <w:rPr>
          <w:rFonts w:ascii="Book Antiqua" w:hAnsi="Book Antiqua"/>
        </w:rPr>
        <w:t xml:space="preserve"> </w:t>
      </w:r>
      <w:proofErr w:type="spellStart"/>
      <w:r w:rsidRPr="003A1E48">
        <w:rPr>
          <w:rFonts w:ascii="Book Antiqua" w:hAnsi="Book Antiqua"/>
          <w:b/>
        </w:rPr>
        <w:t>Panés</w:t>
      </w:r>
      <w:proofErr w:type="spellEnd"/>
      <w:r w:rsidRPr="003A1E48">
        <w:rPr>
          <w:rFonts w:ascii="Book Antiqua" w:hAnsi="Book Antiqua"/>
          <w:b/>
        </w:rPr>
        <w:t xml:space="preserve"> J</w:t>
      </w:r>
      <w:r w:rsidRPr="003A1E48">
        <w:rPr>
          <w:rFonts w:ascii="Book Antiqua" w:hAnsi="Book Antiqua"/>
        </w:rPr>
        <w:t xml:space="preserve">, </w:t>
      </w:r>
      <w:proofErr w:type="spellStart"/>
      <w:r w:rsidRPr="003A1E48">
        <w:rPr>
          <w:rFonts w:ascii="Book Antiqua" w:hAnsi="Book Antiqua"/>
        </w:rPr>
        <w:t>Bouzas</w:t>
      </w:r>
      <w:proofErr w:type="spellEnd"/>
      <w:r w:rsidRPr="003A1E48">
        <w:rPr>
          <w:rFonts w:ascii="Book Antiqua" w:hAnsi="Book Antiqua"/>
        </w:rPr>
        <w:t xml:space="preserve"> R, Chaparro M, García-Sánchez V, </w:t>
      </w:r>
      <w:proofErr w:type="spellStart"/>
      <w:r w:rsidRPr="003A1E48">
        <w:rPr>
          <w:rFonts w:ascii="Book Antiqua" w:hAnsi="Book Antiqua"/>
        </w:rPr>
        <w:t>Gisbert</w:t>
      </w:r>
      <w:proofErr w:type="spellEnd"/>
      <w:r w:rsidRPr="003A1E48">
        <w:rPr>
          <w:rFonts w:ascii="Book Antiqua" w:hAnsi="Book Antiqua"/>
        </w:rPr>
        <w:t xml:space="preserve"> JP, Martínez de </w:t>
      </w:r>
      <w:proofErr w:type="spellStart"/>
      <w:r w:rsidRPr="003A1E48">
        <w:rPr>
          <w:rFonts w:ascii="Book Antiqua" w:hAnsi="Book Antiqua"/>
        </w:rPr>
        <w:t>Guereñu</w:t>
      </w:r>
      <w:proofErr w:type="spellEnd"/>
      <w:r w:rsidRPr="003A1E48">
        <w:rPr>
          <w:rFonts w:ascii="Book Antiqua" w:hAnsi="Book Antiqua"/>
        </w:rPr>
        <w:t xml:space="preserve"> B, Mendoza JL, Paredes JM, Quiroga S, </w:t>
      </w:r>
      <w:proofErr w:type="spellStart"/>
      <w:r w:rsidRPr="003A1E48">
        <w:rPr>
          <w:rFonts w:ascii="Book Antiqua" w:hAnsi="Book Antiqua"/>
        </w:rPr>
        <w:t>Ripollés</w:t>
      </w:r>
      <w:proofErr w:type="spellEnd"/>
      <w:r w:rsidRPr="003A1E48">
        <w:rPr>
          <w:rFonts w:ascii="Book Antiqua" w:hAnsi="Book Antiqua"/>
        </w:rPr>
        <w:t xml:space="preserve"> T, </w:t>
      </w:r>
      <w:proofErr w:type="spellStart"/>
      <w:r w:rsidRPr="003A1E48">
        <w:rPr>
          <w:rFonts w:ascii="Book Antiqua" w:hAnsi="Book Antiqua"/>
        </w:rPr>
        <w:t>Rimola</w:t>
      </w:r>
      <w:proofErr w:type="spellEnd"/>
      <w:r w:rsidRPr="003A1E48">
        <w:rPr>
          <w:rFonts w:ascii="Book Antiqua" w:hAnsi="Book Antiqua"/>
        </w:rPr>
        <w:t xml:space="preserve"> J. Systematic review: the use of ultrasonography, computed tomography and magnetic resonance imaging for the diagnosis, assessment of activity and abdominal complications of Crohn's disease. </w:t>
      </w:r>
      <w:r w:rsidRPr="003A1E48">
        <w:rPr>
          <w:rFonts w:ascii="Book Antiqua" w:hAnsi="Book Antiqua"/>
          <w:i/>
        </w:rPr>
        <w:t xml:space="preserve">Aliment </w:t>
      </w:r>
      <w:proofErr w:type="spellStart"/>
      <w:r w:rsidRPr="003A1E48">
        <w:rPr>
          <w:rFonts w:ascii="Book Antiqua" w:hAnsi="Book Antiqua"/>
          <w:i/>
        </w:rPr>
        <w:t>Pharmacol</w:t>
      </w:r>
      <w:proofErr w:type="spellEnd"/>
      <w:r w:rsidRPr="003A1E48">
        <w:rPr>
          <w:rFonts w:ascii="Book Antiqua" w:hAnsi="Book Antiqua"/>
          <w:i/>
        </w:rPr>
        <w:t xml:space="preserve"> </w:t>
      </w:r>
      <w:proofErr w:type="spellStart"/>
      <w:r w:rsidRPr="003A1E48">
        <w:rPr>
          <w:rFonts w:ascii="Book Antiqua" w:hAnsi="Book Antiqua"/>
          <w:i/>
        </w:rPr>
        <w:t>Ther</w:t>
      </w:r>
      <w:proofErr w:type="spellEnd"/>
      <w:r w:rsidRPr="003A1E48">
        <w:rPr>
          <w:rFonts w:ascii="Book Antiqua" w:hAnsi="Book Antiqua"/>
        </w:rPr>
        <w:t xml:space="preserve"> 2011; </w:t>
      </w:r>
      <w:r w:rsidRPr="003A1E48">
        <w:rPr>
          <w:rFonts w:ascii="Book Antiqua" w:hAnsi="Book Antiqua"/>
          <w:b/>
        </w:rPr>
        <w:t>34</w:t>
      </w:r>
      <w:r w:rsidRPr="003A1E48">
        <w:rPr>
          <w:rFonts w:ascii="Book Antiqua" w:hAnsi="Book Antiqua"/>
        </w:rPr>
        <w:t>: 125-145 [PMID: 21615440 DOI: 10.1111/j.1365-2036.</w:t>
      </w:r>
      <w:proofErr w:type="gramStart"/>
      <w:r w:rsidRPr="003A1E48">
        <w:rPr>
          <w:rFonts w:ascii="Book Antiqua" w:hAnsi="Book Antiqua"/>
        </w:rPr>
        <w:t>2011.04710.x</w:t>
      </w:r>
      <w:proofErr w:type="gramEnd"/>
      <w:r w:rsidRPr="003A1E48">
        <w:rPr>
          <w:rFonts w:ascii="Book Antiqua" w:hAnsi="Book Antiqua"/>
        </w:rPr>
        <w:t>]</w:t>
      </w:r>
    </w:p>
    <w:p w14:paraId="131B2308" w14:textId="6CCA3E29" w:rsidR="000746DA" w:rsidRPr="003A1E48" w:rsidRDefault="00A043A9" w:rsidP="00DD7F70">
      <w:pPr>
        <w:spacing w:line="360" w:lineRule="auto"/>
        <w:jc w:val="both"/>
        <w:rPr>
          <w:rFonts w:ascii="Book Antiqua" w:hAnsi="Book Antiqua"/>
        </w:rPr>
      </w:pPr>
      <w:r w:rsidRPr="003A1E48">
        <w:rPr>
          <w:rFonts w:ascii="Book Antiqua" w:hAnsi="Book Antiqua"/>
        </w:rPr>
        <w:t>20</w:t>
      </w:r>
      <w:r w:rsidR="000746DA" w:rsidRPr="003A1E48">
        <w:rPr>
          <w:rFonts w:ascii="Book Antiqua" w:hAnsi="Book Antiqua"/>
        </w:rPr>
        <w:t xml:space="preserve"> </w:t>
      </w:r>
      <w:proofErr w:type="spellStart"/>
      <w:r w:rsidR="000746DA" w:rsidRPr="003A1E48">
        <w:rPr>
          <w:rFonts w:ascii="Book Antiqua" w:hAnsi="Book Antiqua"/>
          <w:b/>
        </w:rPr>
        <w:t>Gomollón</w:t>
      </w:r>
      <w:proofErr w:type="spellEnd"/>
      <w:r w:rsidR="000746DA" w:rsidRPr="003A1E48">
        <w:rPr>
          <w:rFonts w:ascii="Book Antiqua" w:hAnsi="Book Antiqua"/>
          <w:b/>
        </w:rPr>
        <w:t xml:space="preserve"> F</w:t>
      </w:r>
      <w:r w:rsidR="000746DA" w:rsidRPr="003A1E48">
        <w:rPr>
          <w:rFonts w:ascii="Book Antiqua" w:hAnsi="Book Antiqua"/>
        </w:rPr>
        <w:t xml:space="preserve">, </w:t>
      </w:r>
      <w:proofErr w:type="spellStart"/>
      <w:r w:rsidR="000746DA" w:rsidRPr="003A1E48">
        <w:rPr>
          <w:rFonts w:ascii="Book Antiqua" w:hAnsi="Book Antiqua"/>
        </w:rPr>
        <w:t>Dignass</w:t>
      </w:r>
      <w:proofErr w:type="spellEnd"/>
      <w:r w:rsidR="000746DA" w:rsidRPr="003A1E48">
        <w:rPr>
          <w:rFonts w:ascii="Book Antiqua" w:hAnsi="Book Antiqua"/>
        </w:rPr>
        <w:t xml:space="preserve"> A, </w:t>
      </w:r>
      <w:proofErr w:type="spellStart"/>
      <w:r w:rsidR="000746DA" w:rsidRPr="003A1E48">
        <w:rPr>
          <w:rFonts w:ascii="Book Antiqua" w:hAnsi="Book Antiqua"/>
        </w:rPr>
        <w:t>Annese</w:t>
      </w:r>
      <w:proofErr w:type="spellEnd"/>
      <w:r w:rsidR="000746DA" w:rsidRPr="003A1E48">
        <w:rPr>
          <w:rFonts w:ascii="Book Antiqua" w:hAnsi="Book Antiqua"/>
        </w:rPr>
        <w:t xml:space="preserve"> V, </w:t>
      </w:r>
      <w:proofErr w:type="spellStart"/>
      <w:r w:rsidR="000746DA" w:rsidRPr="003A1E48">
        <w:rPr>
          <w:rFonts w:ascii="Book Antiqua" w:hAnsi="Book Antiqua"/>
        </w:rPr>
        <w:t>Tilg</w:t>
      </w:r>
      <w:proofErr w:type="spellEnd"/>
      <w:r w:rsidR="000746DA" w:rsidRPr="003A1E48">
        <w:rPr>
          <w:rFonts w:ascii="Book Antiqua" w:hAnsi="Book Antiqua"/>
        </w:rPr>
        <w:t xml:space="preserve"> H, Van </w:t>
      </w:r>
      <w:proofErr w:type="spellStart"/>
      <w:r w:rsidR="000746DA" w:rsidRPr="003A1E48">
        <w:rPr>
          <w:rFonts w:ascii="Book Antiqua" w:hAnsi="Book Antiqua"/>
        </w:rPr>
        <w:t>Assche</w:t>
      </w:r>
      <w:proofErr w:type="spellEnd"/>
      <w:r w:rsidR="000746DA" w:rsidRPr="003A1E48">
        <w:rPr>
          <w:rFonts w:ascii="Book Antiqua" w:hAnsi="Book Antiqua"/>
        </w:rPr>
        <w:t xml:space="preserve"> G, Lindsay JO, </w:t>
      </w:r>
      <w:proofErr w:type="spellStart"/>
      <w:r w:rsidR="000746DA" w:rsidRPr="003A1E48">
        <w:rPr>
          <w:rFonts w:ascii="Book Antiqua" w:hAnsi="Book Antiqua"/>
        </w:rPr>
        <w:t>Peyrin-Biroulet</w:t>
      </w:r>
      <w:proofErr w:type="spellEnd"/>
      <w:r w:rsidR="000746DA" w:rsidRPr="003A1E48">
        <w:rPr>
          <w:rFonts w:ascii="Book Antiqua" w:hAnsi="Book Antiqua"/>
        </w:rPr>
        <w:t xml:space="preserve"> L, Cullen GJ, </w:t>
      </w:r>
      <w:proofErr w:type="spellStart"/>
      <w:r w:rsidR="000746DA" w:rsidRPr="003A1E48">
        <w:rPr>
          <w:rFonts w:ascii="Book Antiqua" w:hAnsi="Book Antiqua"/>
        </w:rPr>
        <w:t>Daperno</w:t>
      </w:r>
      <w:proofErr w:type="spellEnd"/>
      <w:r w:rsidR="000746DA" w:rsidRPr="003A1E48">
        <w:rPr>
          <w:rFonts w:ascii="Book Antiqua" w:hAnsi="Book Antiqua"/>
        </w:rPr>
        <w:t xml:space="preserve"> M, </w:t>
      </w:r>
      <w:proofErr w:type="spellStart"/>
      <w:r w:rsidR="000746DA" w:rsidRPr="003A1E48">
        <w:rPr>
          <w:rFonts w:ascii="Book Antiqua" w:hAnsi="Book Antiqua"/>
        </w:rPr>
        <w:t>Kucharzik</w:t>
      </w:r>
      <w:proofErr w:type="spellEnd"/>
      <w:r w:rsidR="000746DA" w:rsidRPr="003A1E48">
        <w:rPr>
          <w:rFonts w:ascii="Book Antiqua" w:hAnsi="Book Antiqua"/>
        </w:rPr>
        <w:t xml:space="preserve"> T, </w:t>
      </w:r>
      <w:proofErr w:type="spellStart"/>
      <w:r w:rsidR="000746DA" w:rsidRPr="003A1E48">
        <w:rPr>
          <w:rFonts w:ascii="Book Antiqua" w:hAnsi="Book Antiqua"/>
        </w:rPr>
        <w:t>Rieder</w:t>
      </w:r>
      <w:proofErr w:type="spellEnd"/>
      <w:r w:rsidR="000746DA" w:rsidRPr="003A1E48">
        <w:rPr>
          <w:rFonts w:ascii="Book Antiqua" w:hAnsi="Book Antiqua"/>
        </w:rPr>
        <w:t xml:space="preserve"> F, Almer S, </w:t>
      </w:r>
      <w:proofErr w:type="spellStart"/>
      <w:r w:rsidR="000746DA" w:rsidRPr="003A1E48">
        <w:rPr>
          <w:rFonts w:ascii="Book Antiqua" w:hAnsi="Book Antiqua"/>
        </w:rPr>
        <w:t>Armuzzi</w:t>
      </w:r>
      <w:proofErr w:type="spellEnd"/>
      <w:r w:rsidR="000746DA" w:rsidRPr="003A1E48">
        <w:rPr>
          <w:rFonts w:ascii="Book Antiqua" w:hAnsi="Book Antiqua"/>
        </w:rPr>
        <w:t xml:space="preserve"> A, </w:t>
      </w:r>
      <w:proofErr w:type="spellStart"/>
      <w:r w:rsidR="000746DA" w:rsidRPr="003A1E48">
        <w:rPr>
          <w:rFonts w:ascii="Book Antiqua" w:hAnsi="Book Antiqua"/>
        </w:rPr>
        <w:t>Harbord</w:t>
      </w:r>
      <w:proofErr w:type="spellEnd"/>
      <w:r w:rsidR="000746DA" w:rsidRPr="003A1E48">
        <w:rPr>
          <w:rFonts w:ascii="Book Antiqua" w:hAnsi="Book Antiqua"/>
        </w:rPr>
        <w:t xml:space="preserve"> M, Langhorst J, Sans M, </w:t>
      </w:r>
      <w:proofErr w:type="spellStart"/>
      <w:r w:rsidR="000746DA" w:rsidRPr="003A1E48">
        <w:rPr>
          <w:rFonts w:ascii="Book Antiqua" w:hAnsi="Book Antiqua"/>
        </w:rPr>
        <w:t>Chowers</w:t>
      </w:r>
      <w:proofErr w:type="spellEnd"/>
      <w:r w:rsidR="000746DA" w:rsidRPr="003A1E48">
        <w:rPr>
          <w:rFonts w:ascii="Book Antiqua" w:hAnsi="Book Antiqua"/>
        </w:rPr>
        <w:t xml:space="preserve"> Y, Fiorino G, </w:t>
      </w:r>
      <w:proofErr w:type="spellStart"/>
      <w:r w:rsidR="000746DA" w:rsidRPr="003A1E48">
        <w:rPr>
          <w:rFonts w:ascii="Book Antiqua" w:hAnsi="Book Antiqua"/>
        </w:rPr>
        <w:t>Juillerat</w:t>
      </w:r>
      <w:proofErr w:type="spellEnd"/>
      <w:r w:rsidR="000746DA" w:rsidRPr="003A1E48">
        <w:rPr>
          <w:rFonts w:ascii="Book Antiqua" w:hAnsi="Book Antiqua"/>
        </w:rPr>
        <w:t xml:space="preserve"> P, </w:t>
      </w:r>
      <w:proofErr w:type="spellStart"/>
      <w:r w:rsidR="000746DA" w:rsidRPr="003A1E48">
        <w:rPr>
          <w:rFonts w:ascii="Book Antiqua" w:hAnsi="Book Antiqua"/>
        </w:rPr>
        <w:t>Mantzaris</w:t>
      </w:r>
      <w:proofErr w:type="spellEnd"/>
      <w:r w:rsidR="000746DA" w:rsidRPr="003A1E48">
        <w:rPr>
          <w:rFonts w:ascii="Book Antiqua" w:hAnsi="Book Antiqua"/>
        </w:rPr>
        <w:t xml:space="preserve"> GJ, </w:t>
      </w:r>
      <w:proofErr w:type="spellStart"/>
      <w:r w:rsidR="000746DA" w:rsidRPr="003A1E48">
        <w:rPr>
          <w:rFonts w:ascii="Book Antiqua" w:hAnsi="Book Antiqua"/>
        </w:rPr>
        <w:t>Rizzello</w:t>
      </w:r>
      <w:proofErr w:type="spellEnd"/>
      <w:r w:rsidR="000746DA" w:rsidRPr="003A1E48">
        <w:rPr>
          <w:rFonts w:ascii="Book Antiqua" w:hAnsi="Book Antiqua"/>
        </w:rPr>
        <w:t xml:space="preserve"> F, </w:t>
      </w:r>
      <w:proofErr w:type="spellStart"/>
      <w:r w:rsidR="000746DA" w:rsidRPr="003A1E48">
        <w:rPr>
          <w:rFonts w:ascii="Book Antiqua" w:hAnsi="Book Antiqua"/>
        </w:rPr>
        <w:t>Vavricka</w:t>
      </w:r>
      <w:proofErr w:type="spellEnd"/>
      <w:r w:rsidR="000746DA" w:rsidRPr="003A1E48">
        <w:rPr>
          <w:rFonts w:ascii="Book Antiqua" w:hAnsi="Book Antiqua"/>
        </w:rPr>
        <w:t xml:space="preserve"> S, </w:t>
      </w:r>
      <w:proofErr w:type="spellStart"/>
      <w:r w:rsidR="000746DA" w:rsidRPr="003A1E48">
        <w:rPr>
          <w:rFonts w:ascii="Book Antiqua" w:hAnsi="Book Antiqua"/>
        </w:rPr>
        <w:t>Gionchetti</w:t>
      </w:r>
      <w:proofErr w:type="spellEnd"/>
      <w:r w:rsidR="000746DA" w:rsidRPr="003A1E48">
        <w:rPr>
          <w:rFonts w:ascii="Book Antiqua" w:hAnsi="Book Antiqua"/>
        </w:rPr>
        <w:t xml:space="preserve"> P; ECCO. 3rd European Evidence-based Consensus on the Diagnosis and Management of Crohn's Disease 2016: Part 1: Diagnosis and Medical Management. </w:t>
      </w:r>
      <w:r w:rsidR="000746DA" w:rsidRPr="003A1E48">
        <w:rPr>
          <w:rFonts w:ascii="Book Antiqua" w:hAnsi="Book Antiqua"/>
          <w:i/>
        </w:rPr>
        <w:t xml:space="preserve">J </w:t>
      </w:r>
      <w:proofErr w:type="spellStart"/>
      <w:r w:rsidR="000746DA" w:rsidRPr="003A1E48">
        <w:rPr>
          <w:rFonts w:ascii="Book Antiqua" w:hAnsi="Book Antiqua"/>
          <w:i/>
        </w:rPr>
        <w:t>Crohns</w:t>
      </w:r>
      <w:proofErr w:type="spellEnd"/>
      <w:r w:rsidR="000746DA" w:rsidRPr="003A1E48">
        <w:rPr>
          <w:rFonts w:ascii="Book Antiqua" w:hAnsi="Book Antiqua"/>
          <w:i/>
        </w:rPr>
        <w:t xml:space="preserve"> Colitis</w:t>
      </w:r>
      <w:r w:rsidR="000746DA" w:rsidRPr="003A1E48">
        <w:rPr>
          <w:rFonts w:ascii="Book Antiqua" w:hAnsi="Book Antiqua"/>
        </w:rPr>
        <w:t xml:space="preserve"> 2017; </w:t>
      </w:r>
      <w:r w:rsidR="000746DA" w:rsidRPr="003A1E48">
        <w:rPr>
          <w:rFonts w:ascii="Book Antiqua" w:hAnsi="Book Antiqua"/>
          <w:b/>
        </w:rPr>
        <w:t>11</w:t>
      </w:r>
      <w:r w:rsidR="000746DA" w:rsidRPr="003A1E48">
        <w:rPr>
          <w:rFonts w:ascii="Book Antiqua" w:hAnsi="Book Antiqua"/>
        </w:rPr>
        <w:t>: 3-25 [PMID: 27660341 DOI: 10.1093/</w:t>
      </w:r>
      <w:proofErr w:type="spellStart"/>
      <w:r w:rsidR="000746DA" w:rsidRPr="003A1E48">
        <w:rPr>
          <w:rFonts w:ascii="Book Antiqua" w:hAnsi="Book Antiqua"/>
        </w:rPr>
        <w:t>ecco-jcc</w:t>
      </w:r>
      <w:proofErr w:type="spellEnd"/>
      <w:r w:rsidR="000746DA" w:rsidRPr="003A1E48">
        <w:rPr>
          <w:rFonts w:ascii="Book Antiqua" w:hAnsi="Book Antiqua"/>
        </w:rPr>
        <w:t>/jjw168]</w:t>
      </w:r>
    </w:p>
    <w:p w14:paraId="131BA494" w14:textId="25BFA062"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1</w:t>
      </w:r>
      <w:r w:rsidRPr="003A1E48">
        <w:rPr>
          <w:rFonts w:ascii="Book Antiqua" w:hAnsi="Book Antiqua"/>
        </w:rPr>
        <w:t xml:space="preserve"> </w:t>
      </w:r>
      <w:proofErr w:type="spellStart"/>
      <w:r w:rsidRPr="003A1E48">
        <w:rPr>
          <w:rFonts w:ascii="Book Antiqua" w:hAnsi="Book Antiqua"/>
          <w:b/>
        </w:rPr>
        <w:t>Kucharzik</w:t>
      </w:r>
      <w:proofErr w:type="spellEnd"/>
      <w:r w:rsidRPr="003A1E48">
        <w:rPr>
          <w:rFonts w:ascii="Book Antiqua" w:hAnsi="Book Antiqua"/>
          <w:b/>
        </w:rPr>
        <w:t xml:space="preserve"> T</w:t>
      </w:r>
      <w:r w:rsidRPr="003A1E48">
        <w:rPr>
          <w:rFonts w:ascii="Book Antiqua" w:hAnsi="Book Antiqua"/>
        </w:rPr>
        <w:t xml:space="preserve">, Wittig BM, </w:t>
      </w:r>
      <w:proofErr w:type="spellStart"/>
      <w:r w:rsidRPr="003A1E48">
        <w:rPr>
          <w:rFonts w:ascii="Book Antiqua" w:hAnsi="Book Antiqua"/>
        </w:rPr>
        <w:t>Helwig</w:t>
      </w:r>
      <w:proofErr w:type="spellEnd"/>
      <w:r w:rsidRPr="003A1E48">
        <w:rPr>
          <w:rFonts w:ascii="Book Antiqua" w:hAnsi="Book Antiqua"/>
        </w:rPr>
        <w:t xml:space="preserve"> U, </w:t>
      </w:r>
      <w:proofErr w:type="spellStart"/>
      <w:r w:rsidRPr="003A1E48">
        <w:rPr>
          <w:rFonts w:ascii="Book Antiqua" w:hAnsi="Book Antiqua"/>
        </w:rPr>
        <w:t>Börner</w:t>
      </w:r>
      <w:proofErr w:type="spellEnd"/>
      <w:r w:rsidRPr="003A1E48">
        <w:rPr>
          <w:rFonts w:ascii="Book Antiqua" w:hAnsi="Book Antiqua"/>
        </w:rPr>
        <w:t xml:space="preserve"> N, </w:t>
      </w:r>
      <w:proofErr w:type="spellStart"/>
      <w:r w:rsidRPr="003A1E48">
        <w:rPr>
          <w:rFonts w:ascii="Book Antiqua" w:hAnsi="Book Antiqua"/>
        </w:rPr>
        <w:t>Rössler</w:t>
      </w:r>
      <w:proofErr w:type="spellEnd"/>
      <w:r w:rsidRPr="003A1E48">
        <w:rPr>
          <w:rFonts w:ascii="Book Antiqua" w:hAnsi="Book Antiqua"/>
        </w:rPr>
        <w:t xml:space="preserve"> A, </w:t>
      </w:r>
      <w:proofErr w:type="spellStart"/>
      <w:r w:rsidRPr="003A1E48">
        <w:rPr>
          <w:rFonts w:ascii="Book Antiqua" w:hAnsi="Book Antiqua"/>
        </w:rPr>
        <w:t>Rath</w:t>
      </w:r>
      <w:proofErr w:type="spellEnd"/>
      <w:r w:rsidRPr="003A1E48">
        <w:rPr>
          <w:rFonts w:ascii="Book Antiqua" w:hAnsi="Book Antiqua"/>
        </w:rPr>
        <w:t xml:space="preserve"> S, </w:t>
      </w:r>
      <w:proofErr w:type="spellStart"/>
      <w:r w:rsidRPr="003A1E48">
        <w:rPr>
          <w:rFonts w:ascii="Book Antiqua" w:hAnsi="Book Antiqua"/>
        </w:rPr>
        <w:t>Maaser</w:t>
      </w:r>
      <w:proofErr w:type="spellEnd"/>
      <w:r w:rsidRPr="003A1E48">
        <w:rPr>
          <w:rFonts w:ascii="Book Antiqua" w:hAnsi="Book Antiqua"/>
        </w:rPr>
        <w:t xml:space="preserve"> C; TRUST study group. Use of Intestinal Ultrasound to Monitor Crohn's Disease Activity. </w:t>
      </w:r>
      <w:r w:rsidRPr="003A1E48">
        <w:rPr>
          <w:rFonts w:ascii="Book Antiqua" w:hAnsi="Book Antiqua"/>
          <w:i/>
        </w:rPr>
        <w:t xml:space="preserve">Clin Gastroenterol </w:t>
      </w:r>
      <w:proofErr w:type="spellStart"/>
      <w:r w:rsidRPr="003A1E48">
        <w:rPr>
          <w:rFonts w:ascii="Book Antiqua" w:hAnsi="Book Antiqua"/>
          <w:i/>
        </w:rPr>
        <w:t>Hepatol</w:t>
      </w:r>
      <w:proofErr w:type="spellEnd"/>
      <w:r w:rsidRPr="003A1E48">
        <w:rPr>
          <w:rFonts w:ascii="Book Antiqua" w:hAnsi="Book Antiqua"/>
        </w:rPr>
        <w:t xml:space="preserve"> 2017; </w:t>
      </w:r>
      <w:r w:rsidRPr="003A1E48">
        <w:rPr>
          <w:rFonts w:ascii="Book Antiqua" w:hAnsi="Book Antiqua"/>
          <w:b/>
        </w:rPr>
        <w:t>15</w:t>
      </w:r>
      <w:r w:rsidRPr="003A1E48">
        <w:rPr>
          <w:rFonts w:ascii="Book Antiqua" w:hAnsi="Book Antiqua"/>
        </w:rPr>
        <w:t>: 535-542.e2 [PMID: 27856365 DOI: 10.1016/j.cgh.2016.10.040]</w:t>
      </w:r>
    </w:p>
    <w:p w14:paraId="26857DDC" w14:textId="4378A23F"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2</w:t>
      </w:r>
      <w:r w:rsidRPr="003A1E48">
        <w:rPr>
          <w:rFonts w:ascii="Book Antiqua" w:hAnsi="Book Antiqua"/>
        </w:rPr>
        <w:t xml:space="preserve"> </w:t>
      </w:r>
      <w:r w:rsidRPr="003A1E48">
        <w:rPr>
          <w:rFonts w:ascii="Book Antiqua" w:hAnsi="Book Antiqua"/>
          <w:b/>
        </w:rPr>
        <w:t>Novak K</w:t>
      </w:r>
      <w:r w:rsidRPr="003A1E48">
        <w:rPr>
          <w:rFonts w:ascii="Book Antiqua" w:hAnsi="Book Antiqua"/>
        </w:rPr>
        <w:t xml:space="preserve">, </w:t>
      </w:r>
      <w:proofErr w:type="spellStart"/>
      <w:r w:rsidRPr="003A1E48">
        <w:rPr>
          <w:rFonts w:ascii="Book Antiqua" w:hAnsi="Book Antiqua"/>
        </w:rPr>
        <w:t>Tanyingoh</w:t>
      </w:r>
      <w:proofErr w:type="spellEnd"/>
      <w:r w:rsidRPr="003A1E48">
        <w:rPr>
          <w:rFonts w:ascii="Book Antiqua" w:hAnsi="Book Antiqua"/>
        </w:rPr>
        <w:t xml:space="preserve"> D, Petersen F, </w:t>
      </w:r>
      <w:proofErr w:type="spellStart"/>
      <w:r w:rsidRPr="003A1E48">
        <w:rPr>
          <w:rFonts w:ascii="Book Antiqua" w:hAnsi="Book Antiqua"/>
        </w:rPr>
        <w:t>Kucharzik</w:t>
      </w:r>
      <w:proofErr w:type="spellEnd"/>
      <w:r w:rsidRPr="003A1E48">
        <w:rPr>
          <w:rFonts w:ascii="Book Antiqua" w:hAnsi="Book Antiqua"/>
        </w:rPr>
        <w:t xml:space="preserve"> T, </w:t>
      </w:r>
      <w:proofErr w:type="spellStart"/>
      <w:r w:rsidRPr="003A1E48">
        <w:rPr>
          <w:rFonts w:ascii="Book Antiqua" w:hAnsi="Book Antiqua"/>
        </w:rPr>
        <w:t>Panaccione</w:t>
      </w:r>
      <w:proofErr w:type="spellEnd"/>
      <w:r w:rsidRPr="003A1E48">
        <w:rPr>
          <w:rFonts w:ascii="Book Antiqua" w:hAnsi="Book Antiqua"/>
        </w:rPr>
        <w:t xml:space="preserve"> R, Ghosh S, Kaplan GG, Wilson A, </w:t>
      </w:r>
      <w:proofErr w:type="spellStart"/>
      <w:r w:rsidRPr="003A1E48">
        <w:rPr>
          <w:rFonts w:ascii="Book Antiqua" w:hAnsi="Book Antiqua"/>
        </w:rPr>
        <w:t>Kannengiesser</w:t>
      </w:r>
      <w:proofErr w:type="spellEnd"/>
      <w:r w:rsidRPr="003A1E48">
        <w:rPr>
          <w:rFonts w:ascii="Book Antiqua" w:hAnsi="Book Antiqua"/>
        </w:rPr>
        <w:t xml:space="preserve"> K, </w:t>
      </w:r>
      <w:proofErr w:type="spellStart"/>
      <w:r w:rsidRPr="003A1E48">
        <w:rPr>
          <w:rFonts w:ascii="Book Antiqua" w:hAnsi="Book Antiqua"/>
        </w:rPr>
        <w:t>Maaser</w:t>
      </w:r>
      <w:proofErr w:type="spellEnd"/>
      <w:r w:rsidRPr="003A1E48">
        <w:rPr>
          <w:rFonts w:ascii="Book Antiqua" w:hAnsi="Book Antiqua"/>
        </w:rPr>
        <w:t xml:space="preserve"> C. Clinic-based Point of Care Transabdominal </w:t>
      </w:r>
      <w:r w:rsidRPr="003A1E48">
        <w:rPr>
          <w:rFonts w:ascii="Book Antiqua" w:hAnsi="Book Antiqua"/>
        </w:rPr>
        <w:lastRenderedPageBreak/>
        <w:t xml:space="preserve">Ultrasound for Monitoring Crohn's Disease: Impact on Clinical Decision Making. </w:t>
      </w:r>
      <w:r w:rsidRPr="003A1E48">
        <w:rPr>
          <w:rFonts w:ascii="Book Antiqua" w:hAnsi="Book Antiqua"/>
          <w:i/>
        </w:rPr>
        <w:t xml:space="preserve">J </w:t>
      </w:r>
      <w:proofErr w:type="spellStart"/>
      <w:r w:rsidRPr="003A1E48">
        <w:rPr>
          <w:rFonts w:ascii="Book Antiqua" w:hAnsi="Book Antiqua"/>
          <w:i/>
        </w:rPr>
        <w:t>Crohns</w:t>
      </w:r>
      <w:proofErr w:type="spellEnd"/>
      <w:r w:rsidRPr="003A1E48">
        <w:rPr>
          <w:rFonts w:ascii="Book Antiqua" w:hAnsi="Book Antiqua"/>
          <w:i/>
        </w:rPr>
        <w:t xml:space="preserve"> Colitis</w:t>
      </w:r>
      <w:r w:rsidRPr="003A1E48">
        <w:rPr>
          <w:rFonts w:ascii="Book Antiqua" w:hAnsi="Book Antiqua"/>
        </w:rPr>
        <w:t xml:space="preserve"> 2015; </w:t>
      </w:r>
      <w:r w:rsidRPr="003A1E48">
        <w:rPr>
          <w:rFonts w:ascii="Book Antiqua" w:hAnsi="Book Antiqua"/>
          <w:b/>
        </w:rPr>
        <w:t>9</w:t>
      </w:r>
      <w:r w:rsidRPr="003A1E48">
        <w:rPr>
          <w:rFonts w:ascii="Book Antiqua" w:hAnsi="Book Antiqua"/>
        </w:rPr>
        <w:t>: 795-801 [PMID: 26079723 DOI: 10.1093/</w:t>
      </w:r>
      <w:proofErr w:type="spellStart"/>
      <w:r w:rsidRPr="003A1E48">
        <w:rPr>
          <w:rFonts w:ascii="Book Antiqua" w:hAnsi="Book Antiqua"/>
        </w:rPr>
        <w:t>ecco-jcc</w:t>
      </w:r>
      <w:proofErr w:type="spellEnd"/>
      <w:r w:rsidRPr="003A1E48">
        <w:rPr>
          <w:rFonts w:ascii="Book Antiqua" w:hAnsi="Book Antiqua"/>
        </w:rPr>
        <w:t>/jjv105]</w:t>
      </w:r>
    </w:p>
    <w:p w14:paraId="6A3A2E52" w14:textId="05F53224"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3</w:t>
      </w:r>
      <w:r w:rsidRPr="003A1E48">
        <w:rPr>
          <w:rFonts w:ascii="Book Antiqua" w:hAnsi="Book Antiqua"/>
        </w:rPr>
        <w:t xml:space="preserve"> </w:t>
      </w:r>
      <w:proofErr w:type="spellStart"/>
      <w:r w:rsidRPr="003A1E48">
        <w:rPr>
          <w:rFonts w:ascii="Book Antiqua" w:hAnsi="Book Antiqua"/>
          <w:b/>
        </w:rPr>
        <w:t>Grunshaw</w:t>
      </w:r>
      <w:proofErr w:type="spellEnd"/>
      <w:r w:rsidRPr="003A1E48">
        <w:rPr>
          <w:rFonts w:ascii="Book Antiqua" w:hAnsi="Book Antiqua"/>
          <w:b/>
        </w:rPr>
        <w:t xml:space="preserve"> N,</w:t>
      </w:r>
      <w:r w:rsidRPr="003A1E48">
        <w:rPr>
          <w:rFonts w:ascii="Book Antiqua" w:hAnsi="Book Antiqua"/>
        </w:rPr>
        <w:t xml:space="preserve"> </w:t>
      </w:r>
      <w:proofErr w:type="spellStart"/>
      <w:r w:rsidRPr="003A1E48">
        <w:rPr>
          <w:rFonts w:ascii="Book Antiqua" w:hAnsi="Book Antiqua"/>
        </w:rPr>
        <w:t>Egbuonu</w:t>
      </w:r>
      <w:proofErr w:type="spellEnd"/>
      <w:r w:rsidRPr="003A1E48">
        <w:rPr>
          <w:rFonts w:ascii="Book Antiqua" w:hAnsi="Book Antiqua"/>
        </w:rPr>
        <w:t xml:space="preserve"> F, Harrison W, </w:t>
      </w:r>
      <w:proofErr w:type="spellStart"/>
      <w:r w:rsidRPr="003A1E48">
        <w:rPr>
          <w:rFonts w:ascii="Book Antiqua" w:hAnsi="Book Antiqua"/>
        </w:rPr>
        <w:t>DaviesInitial</w:t>
      </w:r>
      <w:proofErr w:type="spellEnd"/>
      <w:r w:rsidRPr="003A1E48">
        <w:rPr>
          <w:rFonts w:ascii="Book Antiqua" w:hAnsi="Book Antiqua"/>
        </w:rPr>
        <w:t xml:space="preserve"> A.</w:t>
      </w:r>
      <w:bookmarkStart w:id="16" w:name="OLE_LINK14"/>
      <w:r w:rsidRPr="003A1E48">
        <w:rPr>
          <w:rFonts w:ascii="Book Antiqua" w:hAnsi="Book Antiqua"/>
        </w:rPr>
        <w:t xml:space="preserve"> Initial experience of a rapid access ultrasound imaging clinic in inflammatory bowel disease. </w:t>
      </w:r>
      <w:bookmarkEnd w:id="16"/>
      <w:r w:rsidRPr="003A1E48">
        <w:rPr>
          <w:rFonts w:ascii="Book Antiqua" w:hAnsi="Book Antiqua"/>
          <w:i/>
          <w:iCs/>
        </w:rPr>
        <w:t>Gut</w:t>
      </w:r>
      <w:r w:rsidRPr="003A1E48">
        <w:rPr>
          <w:rFonts w:ascii="Book Antiqua" w:hAnsi="Book Antiqua"/>
        </w:rPr>
        <w:t xml:space="preserve"> 2018; </w:t>
      </w:r>
      <w:r w:rsidRPr="003A1E48">
        <w:rPr>
          <w:rFonts w:ascii="Book Antiqua" w:hAnsi="Book Antiqua"/>
          <w:b/>
          <w:bCs/>
        </w:rPr>
        <w:t>67</w:t>
      </w:r>
      <w:r w:rsidR="00DD7F70" w:rsidRPr="003A1E48">
        <w:rPr>
          <w:rFonts w:ascii="Book Antiqua" w:hAnsi="Book Antiqua"/>
          <w:b/>
          <w:bCs/>
        </w:rPr>
        <w:t xml:space="preserve"> </w:t>
      </w:r>
      <w:r w:rsidRPr="003A1E48">
        <w:rPr>
          <w:rFonts w:ascii="Book Antiqua" w:hAnsi="Book Antiqua"/>
          <w:b/>
          <w:bCs/>
        </w:rPr>
        <w:t>Suppl 1</w:t>
      </w:r>
      <w:r w:rsidRPr="003A1E48">
        <w:rPr>
          <w:rFonts w:ascii="Book Antiqua" w:hAnsi="Book Antiqua"/>
        </w:rPr>
        <w:t>:</w:t>
      </w:r>
      <w:r w:rsidR="00DD7F70" w:rsidRPr="003A1E48">
        <w:rPr>
          <w:rFonts w:ascii="Book Antiqua" w:hAnsi="Book Antiqua"/>
        </w:rPr>
        <w:t xml:space="preserve"> </w:t>
      </w:r>
      <w:r w:rsidRPr="003A1E48">
        <w:rPr>
          <w:rFonts w:ascii="Book Antiqua" w:hAnsi="Book Antiqua"/>
        </w:rPr>
        <w:t>A1</w:t>
      </w:r>
      <w:r w:rsidR="00DD7F70" w:rsidRPr="003A1E48">
        <w:rPr>
          <w:rFonts w:ascii="Book Antiqua" w:hAnsi="Book Antiqua"/>
        </w:rPr>
        <w:t>-</w:t>
      </w:r>
      <w:r w:rsidRPr="003A1E48">
        <w:rPr>
          <w:rFonts w:ascii="Book Antiqua" w:hAnsi="Book Antiqua"/>
        </w:rPr>
        <w:t>A304 [DOI: 10.1136/gutjnl-2018-BSGAbstracts.152]</w:t>
      </w:r>
    </w:p>
    <w:p w14:paraId="550FF1FB" w14:textId="2A914E18"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4</w:t>
      </w:r>
      <w:r w:rsidRPr="003A1E48">
        <w:rPr>
          <w:rFonts w:ascii="Book Antiqua" w:hAnsi="Book Antiqua"/>
        </w:rPr>
        <w:t xml:space="preserve"> </w:t>
      </w:r>
      <w:r w:rsidRPr="003A1E48">
        <w:rPr>
          <w:rFonts w:ascii="Book Antiqua" w:hAnsi="Book Antiqua"/>
          <w:b/>
        </w:rPr>
        <w:t>Clancy CM</w:t>
      </w:r>
      <w:r w:rsidRPr="003A1E48">
        <w:rPr>
          <w:rFonts w:ascii="Book Antiqua" w:hAnsi="Book Antiqua"/>
        </w:rPr>
        <w:t xml:space="preserve">. Emergency departments in crisis: opportunities for research. </w:t>
      </w:r>
      <w:r w:rsidRPr="003A1E48">
        <w:rPr>
          <w:rFonts w:ascii="Book Antiqua" w:hAnsi="Book Antiqua"/>
          <w:i/>
        </w:rPr>
        <w:t>Health Serv Res</w:t>
      </w:r>
      <w:r w:rsidRPr="003A1E48">
        <w:rPr>
          <w:rFonts w:ascii="Book Antiqua" w:hAnsi="Book Antiqua"/>
        </w:rPr>
        <w:t xml:space="preserve"> 2007; </w:t>
      </w:r>
      <w:r w:rsidRPr="003A1E48">
        <w:rPr>
          <w:rFonts w:ascii="Book Antiqua" w:hAnsi="Book Antiqua"/>
          <w:b/>
        </w:rPr>
        <w:t>42</w:t>
      </w:r>
      <w:r w:rsidRPr="003A1E48">
        <w:rPr>
          <w:rFonts w:ascii="Book Antiqua" w:hAnsi="Book Antiqua"/>
        </w:rPr>
        <w:t>: xiii-</w:t>
      </w:r>
      <w:proofErr w:type="spellStart"/>
      <w:r w:rsidRPr="003A1E48">
        <w:rPr>
          <w:rFonts w:ascii="Book Antiqua" w:hAnsi="Book Antiqua"/>
        </w:rPr>
        <w:t>xixx</w:t>
      </w:r>
      <w:proofErr w:type="spellEnd"/>
      <w:r w:rsidRPr="003A1E48">
        <w:rPr>
          <w:rFonts w:ascii="Book Antiqua" w:hAnsi="Book Antiqua"/>
        </w:rPr>
        <w:t xml:space="preserve"> [PMID: 17355577 DOI: 10.1111/j.1475-6773.</w:t>
      </w:r>
      <w:proofErr w:type="gramStart"/>
      <w:r w:rsidRPr="003A1E48">
        <w:rPr>
          <w:rFonts w:ascii="Book Antiqua" w:hAnsi="Book Antiqua"/>
        </w:rPr>
        <w:t>2006.00692.x</w:t>
      </w:r>
      <w:proofErr w:type="gramEnd"/>
      <w:r w:rsidRPr="003A1E48">
        <w:rPr>
          <w:rFonts w:ascii="Book Antiqua" w:hAnsi="Book Antiqua"/>
        </w:rPr>
        <w:t>]</w:t>
      </w:r>
    </w:p>
    <w:p w14:paraId="5FC2FD21" w14:textId="236DBF58"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5</w:t>
      </w:r>
      <w:r w:rsidRPr="003A1E48">
        <w:rPr>
          <w:rFonts w:ascii="Book Antiqua" w:hAnsi="Book Antiqua"/>
        </w:rPr>
        <w:t xml:space="preserve"> </w:t>
      </w:r>
      <w:proofErr w:type="spellStart"/>
      <w:r w:rsidRPr="003A1E48">
        <w:rPr>
          <w:rFonts w:ascii="Book Antiqua" w:hAnsi="Book Antiqua"/>
          <w:b/>
        </w:rPr>
        <w:t>Kappelman</w:t>
      </w:r>
      <w:proofErr w:type="spellEnd"/>
      <w:r w:rsidRPr="003A1E48">
        <w:rPr>
          <w:rFonts w:ascii="Book Antiqua" w:hAnsi="Book Antiqua"/>
          <w:b/>
        </w:rPr>
        <w:t xml:space="preserve"> MD</w:t>
      </w:r>
      <w:r w:rsidRPr="003A1E48">
        <w:rPr>
          <w:rFonts w:ascii="Book Antiqua" w:hAnsi="Book Antiqua"/>
        </w:rPr>
        <w:t xml:space="preserve">, </w:t>
      </w:r>
      <w:proofErr w:type="spellStart"/>
      <w:r w:rsidRPr="003A1E48">
        <w:rPr>
          <w:rFonts w:ascii="Book Antiqua" w:hAnsi="Book Antiqua"/>
        </w:rPr>
        <w:t>Rifas-Shiman</w:t>
      </w:r>
      <w:proofErr w:type="spellEnd"/>
      <w:r w:rsidRPr="003A1E48">
        <w:rPr>
          <w:rFonts w:ascii="Book Antiqua" w:hAnsi="Book Antiqua"/>
        </w:rPr>
        <w:t xml:space="preserve"> SL, Porter CQ, </w:t>
      </w:r>
      <w:proofErr w:type="spellStart"/>
      <w:r w:rsidRPr="003A1E48">
        <w:rPr>
          <w:rFonts w:ascii="Book Antiqua" w:hAnsi="Book Antiqua"/>
        </w:rPr>
        <w:t>Ollendorf</w:t>
      </w:r>
      <w:proofErr w:type="spellEnd"/>
      <w:r w:rsidRPr="003A1E48">
        <w:rPr>
          <w:rFonts w:ascii="Book Antiqua" w:hAnsi="Book Antiqua"/>
        </w:rPr>
        <w:t xml:space="preserve"> DA, Sandler RS, </w:t>
      </w:r>
      <w:proofErr w:type="spellStart"/>
      <w:r w:rsidRPr="003A1E48">
        <w:rPr>
          <w:rFonts w:ascii="Book Antiqua" w:hAnsi="Book Antiqua"/>
        </w:rPr>
        <w:t>Galanko</w:t>
      </w:r>
      <w:proofErr w:type="spellEnd"/>
      <w:r w:rsidRPr="003A1E48">
        <w:rPr>
          <w:rFonts w:ascii="Book Antiqua" w:hAnsi="Book Antiqua"/>
        </w:rPr>
        <w:t xml:space="preserve"> JA, Finkelstein JA. Direct health care costs of Crohn's disease and ulcerative colitis in US children and adults. </w:t>
      </w:r>
      <w:r w:rsidRPr="003A1E48">
        <w:rPr>
          <w:rFonts w:ascii="Book Antiqua" w:hAnsi="Book Antiqua"/>
          <w:i/>
        </w:rPr>
        <w:t>Gastroenterology</w:t>
      </w:r>
      <w:r w:rsidRPr="003A1E48">
        <w:rPr>
          <w:rFonts w:ascii="Book Antiqua" w:hAnsi="Book Antiqua"/>
        </w:rPr>
        <w:t xml:space="preserve"> 2008; </w:t>
      </w:r>
      <w:r w:rsidRPr="003A1E48">
        <w:rPr>
          <w:rFonts w:ascii="Book Antiqua" w:hAnsi="Book Antiqua"/>
          <w:b/>
        </w:rPr>
        <w:t>135</w:t>
      </w:r>
      <w:r w:rsidRPr="003A1E48">
        <w:rPr>
          <w:rFonts w:ascii="Book Antiqua" w:hAnsi="Book Antiqua"/>
        </w:rPr>
        <w:t>: 1907-1913 [PMID: 18854185 DOI: 10.1053/j.gastro.2008.09.012]</w:t>
      </w:r>
    </w:p>
    <w:p w14:paraId="5675B7C0" w14:textId="44525787" w:rsidR="000746DA" w:rsidRPr="003A1E48" w:rsidRDefault="000746DA" w:rsidP="00DD7F70">
      <w:pPr>
        <w:spacing w:line="360" w:lineRule="auto"/>
        <w:jc w:val="both"/>
        <w:rPr>
          <w:rFonts w:ascii="Book Antiqua" w:hAnsi="Book Antiqua"/>
        </w:rPr>
      </w:pPr>
      <w:r w:rsidRPr="003A1E48">
        <w:rPr>
          <w:rFonts w:ascii="Book Antiqua" w:hAnsi="Book Antiqua"/>
        </w:rPr>
        <w:t>2</w:t>
      </w:r>
      <w:r w:rsidR="00A043A9" w:rsidRPr="003A1E48">
        <w:rPr>
          <w:rFonts w:ascii="Book Antiqua" w:hAnsi="Book Antiqua"/>
        </w:rPr>
        <w:t>6</w:t>
      </w:r>
      <w:r w:rsidRPr="003A1E48">
        <w:rPr>
          <w:rFonts w:ascii="Book Antiqua" w:hAnsi="Book Antiqua"/>
        </w:rPr>
        <w:t xml:space="preserve"> </w:t>
      </w:r>
      <w:r w:rsidRPr="003A1E48">
        <w:rPr>
          <w:rFonts w:ascii="Book Antiqua" w:hAnsi="Book Antiqua"/>
          <w:b/>
        </w:rPr>
        <w:t>Dykes D</w:t>
      </w:r>
      <w:r w:rsidRPr="003A1E48">
        <w:rPr>
          <w:rFonts w:ascii="Book Antiqua" w:hAnsi="Book Antiqua"/>
        </w:rPr>
        <w:t xml:space="preserve">, Williams E, Margolis P, </w:t>
      </w:r>
      <w:proofErr w:type="spellStart"/>
      <w:r w:rsidRPr="003A1E48">
        <w:rPr>
          <w:rFonts w:ascii="Book Antiqua" w:hAnsi="Book Antiqua"/>
        </w:rPr>
        <w:t>Ruschman</w:t>
      </w:r>
      <w:proofErr w:type="spellEnd"/>
      <w:r w:rsidRPr="003A1E48">
        <w:rPr>
          <w:rFonts w:ascii="Book Antiqua" w:hAnsi="Book Antiqua"/>
        </w:rPr>
        <w:t xml:space="preserve"> J, Bick J, Saeed S, </w:t>
      </w:r>
      <w:proofErr w:type="spellStart"/>
      <w:r w:rsidRPr="003A1E48">
        <w:rPr>
          <w:rFonts w:ascii="Book Antiqua" w:hAnsi="Book Antiqua"/>
        </w:rPr>
        <w:t>Opipari</w:t>
      </w:r>
      <w:proofErr w:type="spellEnd"/>
      <w:r w:rsidRPr="003A1E48">
        <w:rPr>
          <w:rFonts w:ascii="Book Antiqua" w:hAnsi="Book Antiqua"/>
        </w:rPr>
        <w:t xml:space="preserve"> L. Improving pediatric Inflammatory Bowel Disease (IBD) follow-up. </w:t>
      </w:r>
      <w:r w:rsidRPr="003A1E48">
        <w:rPr>
          <w:rFonts w:ascii="Book Antiqua" w:hAnsi="Book Antiqua"/>
          <w:i/>
        </w:rPr>
        <w:t>BMJ Qual Improv Rep</w:t>
      </w:r>
      <w:r w:rsidRPr="003A1E48">
        <w:rPr>
          <w:rFonts w:ascii="Book Antiqua" w:hAnsi="Book Antiqua"/>
        </w:rPr>
        <w:t xml:space="preserve"> 2016; </w:t>
      </w:r>
      <w:r w:rsidRPr="003A1E48">
        <w:rPr>
          <w:rFonts w:ascii="Book Antiqua" w:hAnsi="Book Antiqua"/>
          <w:b/>
        </w:rPr>
        <w:t>5</w:t>
      </w:r>
      <w:r w:rsidRPr="003A1E48">
        <w:rPr>
          <w:rFonts w:ascii="Book Antiqua" w:hAnsi="Book Antiqua"/>
        </w:rPr>
        <w:t xml:space="preserve"> [PMID: 27559472 DOI: 10.1136/</w:t>
      </w:r>
      <w:proofErr w:type="gramStart"/>
      <w:r w:rsidRPr="003A1E48">
        <w:rPr>
          <w:rFonts w:ascii="Book Antiqua" w:hAnsi="Book Antiqua"/>
        </w:rPr>
        <w:t>bmjquality.u208961.w</w:t>
      </w:r>
      <w:proofErr w:type="gramEnd"/>
      <w:r w:rsidRPr="003A1E48">
        <w:rPr>
          <w:rFonts w:ascii="Book Antiqua" w:hAnsi="Book Antiqua"/>
        </w:rPr>
        <w:t>3675]</w:t>
      </w:r>
    </w:p>
    <w:p w14:paraId="4A4DFB1D" w14:textId="25F4B79A" w:rsidR="000746DA" w:rsidRPr="003A1E48" w:rsidRDefault="000746DA" w:rsidP="00DD7F70">
      <w:pPr>
        <w:spacing w:line="360" w:lineRule="auto"/>
        <w:jc w:val="both"/>
        <w:rPr>
          <w:rFonts w:ascii="Book Antiqua" w:hAnsi="Book Antiqua" w:cs="Arial"/>
          <w:b/>
        </w:rPr>
      </w:pPr>
      <w:r w:rsidRPr="003A1E48">
        <w:rPr>
          <w:rFonts w:ascii="Book Antiqua" w:hAnsi="Book Antiqua"/>
        </w:rPr>
        <w:t>2</w:t>
      </w:r>
      <w:r w:rsidR="00A043A9" w:rsidRPr="003A1E48">
        <w:rPr>
          <w:rFonts w:ascii="Book Antiqua" w:hAnsi="Book Antiqua"/>
        </w:rPr>
        <w:t>7</w:t>
      </w:r>
      <w:r w:rsidRPr="003A1E48">
        <w:rPr>
          <w:rFonts w:ascii="Book Antiqua" w:hAnsi="Book Antiqua"/>
        </w:rPr>
        <w:t xml:space="preserve"> </w:t>
      </w:r>
      <w:proofErr w:type="spellStart"/>
      <w:r w:rsidRPr="003A1E48">
        <w:rPr>
          <w:rFonts w:ascii="Book Antiqua" w:hAnsi="Book Antiqua"/>
          <w:b/>
        </w:rPr>
        <w:t>Fofaria</w:t>
      </w:r>
      <w:proofErr w:type="spellEnd"/>
      <w:r w:rsidRPr="003A1E48">
        <w:rPr>
          <w:rFonts w:ascii="Book Antiqua" w:hAnsi="Book Antiqua"/>
          <w:b/>
        </w:rPr>
        <w:t xml:space="preserve"> RK</w:t>
      </w:r>
      <w:r w:rsidRPr="003A1E48">
        <w:rPr>
          <w:rFonts w:ascii="Book Antiqua" w:hAnsi="Book Antiqua"/>
        </w:rPr>
        <w:t xml:space="preserve">, Barber S, Adeleke Y, Woodcock T, </w:t>
      </w:r>
      <w:proofErr w:type="spellStart"/>
      <w:r w:rsidRPr="003A1E48">
        <w:rPr>
          <w:rFonts w:ascii="Book Antiqua" w:hAnsi="Book Antiqua"/>
        </w:rPr>
        <w:t>Kamperidis</w:t>
      </w:r>
      <w:proofErr w:type="spellEnd"/>
      <w:r w:rsidRPr="003A1E48">
        <w:rPr>
          <w:rFonts w:ascii="Book Antiqua" w:hAnsi="Book Antiqua"/>
        </w:rPr>
        <w:t xml:space="preserve"> N, Mohamed A, </w:t>
      </w:r>
      <w:proofErr w:type="spellStart"/>
      <w:r w:rsidRPr="003A1E48">
        <w:rPr>
          <w:rFonts w:ascii="Book Antiqua" w:hAnsi="Book Antiqua"/>
        </w:rPr>
        <w:t>Misra</w:t>
      </w:r>
      <w:proofErr w:type="spellEnd"/>
      <w:r w:rsidRPr="003A1E48">
        <w:rPr>
          <w:rFonts w:ascii="Book Antiqua" w:hAnsi="Book Antiqua"/>
        </w:rPr>
        <w:t xml:space="preserve"> R, Shah A, Bailey-Fee S, </w:t>
      </w:r>
      <w:proofErr w:type="spellStart"/>
      <w:r w:rsidRPr="003A1E48">
        <w:rPr>
          <w:rFonts w:ascii="Book Antiqua" w:hAnsi="Book Antiqua"/>
        </w:rPr>
        <w:t>Bluston</w:t>
      </w:r>
      <w:proofErr w:type="spellEnd"/>
      <w:r w:rsidRPr="003A1E48">
        <w:rPr>
          <w:rFonts w:ascii="Book Antiqua" w:hAnsi="Book Antiqua"/>
        </w:rPr>
        <w:t xml:space="preserve"> H, Robinson D, Tyrrell T, </w:t>
      </w:r>
      <w:proofErr w:type="spellStart"/>
      <w:r w:rsidRPr="003A1E48">
        <w:rPr>
          <w:rFonts w:ascii="Book Antiqua" w:hAnsi="Book Antiqua"/>
        </w:rPr>
        <w:t>Arebi</w:t>
      </w:r>
      <w:proofErr w:type="spellEnd"/>
      <w:r w:rsidRPr="003A1E48">
        <w:rPr>
          <w:rFonts w:ascii="Book Antiqua" w:hAnsi="Book Antiqua"/>
        </w:rPr>
        <w:t xml:space="preserve"> N. Stratification of inflammatory bowel disease outpatients by disease activity and risk of complications to guide out-of-hospital monitoring: a patient-</w:t>
      </w:r>
      <w:proofErr w:type="spellStart"/>
      <w:r w:rsidRPr="003A1E48">
        <w:rPr>
          <w:rFonts w:ascii="Book Antiqua" w:hAnsi="Book Antiqua"/>
        </w:rPr>
        <w:t>centred</w:t>
      </w:r>
      <w:proofErr w:type="spellEnd"/>
      <w:r w:rsidRPr="003A1E48">
        <w:rPr>
          <w:rFonts w:ascii="Book Antiqua" w:hAnsi="Book Antiqua"/>
        </w:rPr>
        <w:t xml:space="preserve"> quality improvement project. </w:t>
      </w:r>
      <w:r w:rsidRPr="003A1E48">
        <w:rPr>
          <w:rFonts w:ascii="Book Antiqua" w:hAnsi="Book Antiqua"/>
          <w:i/>
        </w:rPr>
        <w:t>BMJ Open Qual</w:t>
      </w:r>
      <w:r w:rsidRPr="003A1E48">
        <w:rPr>
          <w:rFonts w:ascii="Book Antiqua" w:hAnsi="Book Antiqua"/>
        </w:rPr>
        <w:t xml:space="preserve"> 2019; </w:t>
      </w:r>
      <w:r w:rsidRPr="003A1E48">
        <w:rPr>
          <w:rFonts w:ascii="Book Antiqua" w:hAnsi="Book Antiqua"/>
          <w:b/>
        </w:rPr>
        <w:t>8</w:t>
      </w:r>
      <w:r w:rsidRPr="003A1E48">
        <w:rPr>
          <w:rFonts w:ascii="Book Antiqua" w:hAnsi="Book Antiqua"/>
        </w:rPr>
        <w:t>: e000546 [PMID: 31428704 DOI: 10.1136/bmjoq-2018-000546]</w:t>
      </w:r>
      <w:bookmarkEnd w:id="14"/>
      <w:r w:rsidRPr="003A1E48">
        <w:rPr>
          <w:rFonts w:ascii="Book Antiqua" w:hAnsi="Book Antiqua" w:cs="Arial"/>
          <w:b/>
        </w:rPr>
        <w:br w:type="page"/>
      </w:r>
    </w:p>
    <w:p w14:paraId="56B2F154" w14:textId="77777777" w:rsidR="000746DA"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lastRenderedPageBreak/>
        <w:t>Footnotes</w:t>
      </w:r>
    </w:p>
    <w:p w14:paraId="1CCF1E92" w14:textId="76E23D87" w:rsidR="000746DA" w:rsidRPr="003A1E48" w:rsidRDefault="000746DA" w:rsidP="00DD7F70">
      <w:pPr>
        <w:pStyle w:val="Default"/>
        <w:spacing w:line="360" w:lineRule="auto"/>
        <w:jc w:val="both"/>
        <w:rPr>
          <w:rFonts w:ascii="Book Antiqua" w:hAnsi="Book Antiqua"/>
        </w:rPr>
      </w:pPr>
      <w:r w:rsidRPr="003A1E48">
        <w:rPr>
          <w:rFonts w:ascii="Book Antiqua" w:hAnsi="Book Antiqua"/>
          <w:b/>
        </w:rPr>
        <w:t>Institutional review board statement</w:t>
      </w:r>
      <w:r w:rsidRPr="003A1E48">
        <w:rPr>
          <w:rFonts w:ascii="Book Antiqua" w:hAnsi="Book Antiqua"/>
          <w:b/>
          <w:bCs/>
          <w:iCs/>
        </w:rPr>
        <w:t>:</w:t>
      </w:r>
      <w:r w:rsidR="00BD1F5C" w:rsidRPr="003A1E48">
        <w:rPr>
          <w:rFonts w:ascii="Book Antiqua" w:hAnsi="Book Antiqua"/>
        </w:rPr>
        <w:t xml:space="preserve"> We hereby certify that the present study design was approved by The Research Ethics Office (Institutional Review Board) of McGill University. Ethics Committee approval was obtained in accordance to ISO protocol, local legal regulations and McGill University Health Center Research Ethics Board guidelines, prior to initiation of this study.</w:t>
      </w:r>
    </w:p>
    <w:p w14:paraId="358D3DF2" w14:textId="77777777" w:rsidR="00BD1F5C" w:rsidRPr="003A1E48" w:rsidRDefault="00BD1F5C" w:rsidP="00DD7F70">
      <w:pPr>
        <w:spacing w:line="360" w:lineRule="auto"/>
        <w:jc w:val="both"/>
        <w:rPr>
          <w:rFonts w:ascii="Book Antiqua" w:hAnsi="Book Antiqua" w:cs="Arial"/>
          <w:b/>
        </w:rPr>
      </w:pPr>
    </w:p>
    <w:p w14:paraId="507BC2EA" w14:textId="513796AD" w:rsidR="000746DA" w:rsidRPr="003A1E48" w:rsidRDefault="000746DA" w:rsidP="00DD7F70">
      <w:pPr>
        <w:adjustRightInd w:val="0"/>
        <w:snapToGrid w:val="0"/>
        <w:spacing w:line="360" w:lineRule="auto"/>
        <w:jc w:val="both"/>
        <w:rPr>
          <w:rFonts w:ascii="Book Antiqua" w:hAnsi="Book Antiqua"/>
          <w:bCs/>
          <w:iCs/>
          <w:color w:val="000000"/>
        </w:rPr>
      </w:pPr>
      <w:r w:rsidRPr="003A1E48">
        <w:rPr>
          <w:rFonts w:ascii="Book Antiqua" w:hAnsi="Book Antiqua"/>
          <w:b/>
          <w:color w:val="000000"/>
        </w:rPr>
        <w:t>Informed consent statement</w:t>
      </w:r>
      <w:r w:rsidRPr="003A1E48">
        <w:rPr>
          <w:rFonts w:ascii="Book Antiqua" w:hAnsi="Book Antiqua"/>
          <w:b/>
          <w:bCs/>
          <w:iCs/>
          <w:color w:val="000000"/>
        </w:rPr>
        <w:t xml:space="preserve">: </w:t>
      </w:r>
      <w:r w:rsidR="00BD1F5C" w:rsidRPr="003A1E48">
        <w:rPr>
          <w:rFonts w:ascii="Book Antiqua" w:hAnsi="Book Antiqua"/>
          <w:bCs/>
          <w:iCs/>
          <w:color w:val="000000"/>
        </w:rPr>
        <w:t>Our investigation only included evaluation of clinical data (as approved by the IRB, granting "access to adult health records") and did not required any additional procedures, or influenced health care delivery. As a result, informed consent forms were not required from the subjects for this study.</w:t>
      </w:r>
    </w:p>
    <w:p w14:paraId="5C9C5518" w14:textId="77777777" w:rsidR="00BD1F5C" w:rsidRPr="003A1E48" w:rsidRDefault="00BD1F5C" w:rsidP="00DD7F70">
      <w:pPr>
        <w:adjustRightInd w:val="0"/>
        <w:snapToGrid w:val="0"/>
        <w:spacing w:line="360" w:lineRule="auto"/>
        <w:jc w:val="both"/>
        <w:rPr>
          <w:rFonts w:ascii="Book Antiqua" w:hAnsi="Book Antiqua"/>
          <w:bCs/>
          <w:iCs/>
          <w:color w:val="000000"/>
        </w:rPr>
      </w:pPr>
    </w:p>
    <w:p w14:paraId="36F17D93" w14:textId="77777777" w:rsidR="000746DA" w:rsidRPr="003A1E48" w:rsidRDefault="000746DA" w:rsidP="00DD7F70">
      <w:pPr>
        <w:autoSpaceDE w:val="0"/>
        <w:autoSpaceDN w:val="0"/>
        <w:adjustRightInd w:val="0"/>
        <w:snapToGrid w:val="0"/>
        <w:spacing w:line="360" w:lineRule="auto"/>
        <w:jc w:val="both"/>
        <w:rPr>
          <w:rFonts w:ascii="Book Antiqua" w:hAnsi="Book Antiqua" w:cs="TimesNewRomanPS-BoldItalicMT"/>
          <w:bCs/>
          <w:iCs/>
          <w:color w:val="000000"/>
        </w:rPr>
      </w:pPr>
      <w:r w:rsidRPr="003A1E48">
        <w:rPr>
          <w:rFonts w:ascii="Book Antiqua" w:hAnsi="Book Antiqua"/>
          <w:b/>
          <w:color w:val="000000"/>
        </w:rPr>
        <w:t>Conflict-of-interest statement</w:t>
      </w:r>
      <w:r w:rsidRPr="003A1E48">
        <w:rPr>
          <w:rFonts w:ascii="Book Antiqua" w:hAnsi="Book Antiqua" w:cs="TimesNewRomanPS-BoldItalicMT"/>
          <w:b/>
          <w:bCs/>
          <w:iCs/>
          <w:color w:val="000000"/>
        </w:rPr>
        <w:t xml:space="preserve">: </w:t>
      </w:r>
      <w:r w:rsidRPr="003A1E48">
        <w:rPr>
          <w:rFonts w:ascii="Book Antiqua" w:hAnsi="Book Antiqua" w:cs="TimesNewRomanPS-BoldItalicMT"/>
          <w:bCs/>
          <w:iCs/>
          <w:color w:val="000000"/>
        </w:rPr>
        <w:t>There are no conflicts of interest to report.</w:t>
      </w:r>
    </w:p>
    <w:p w14:paraId="696B3FD3" w14:textId="77777777" w:rsidR="000746DA" w:rsidRPr="003A1E48" w:rsidRDefault="000746DA" w:rsidP="00DD7F70">
      <w:pPr>
        <w:autoSpaceDE w:val="0"/>
        <w:autoSpaceDN w:val="0"/>
        <w:adjustRightInd w:val="0"/>
        <w:snapToGrid w:val="0"/>
        <w:spacing w:line="360" w:lineRule="auto"/>
        <w:jc w:val="both"/>
        <w:rPr>
          <w:rFonts w:ascii="Book Antiqua" w:hAnsi="Book Antiqua" w:cs="TimesNewRomanPS-BoldItalicMT"/>
          <w:b/>
          <w:bCs/>
          <w:iCs/>
          <w:color w:val="000000"/>
        </w:rPr>
      </w:pPr>
    </w:p>
    <w:p w14:paraId="527C702C" w14:textId="77777777" w:rsidR="000746DA" w:rsidRPr="003A1E48" w:rsidRDefault="000746DA" w:rsidP="00DD7F70">
      <w:pPr>
        <w:autoSpaceDE w:val="0"/>
        <w:autoSpaceDN w:val="0"/>
        <w:adjustRightInd w:val="0"/>
        <w:snapToGrid w:val="0"/>
        <w:spacing w:line="360" w:lineRule="auto"/>
        <w:jc w:val="both"/>
        <w:rPr>
          <w:rFonts w:ascii="Book Antiqua" w:hAnsi="Book Antiqua"/>
          <w:color w:val="000000"/>
        </w:rPr>
      </w:pPr>
      <w:r w:rsidRPr="003A1E48">
        <w:rPr>
          <w:rFonts w:ascii="Book Antiqua" w:hAnsi="Book Antiqua"/>
          <w:b/>
          <w:color w:val="000000"/>
        </w:rPr>
        <w:t>Data sharing statement</w:t>
      </w:r>
      <w:r w:rsidRPr="003A1E48">
        <w:rPr>
          <w:rFonts w:ascii="Book Antiqua" w:hAnsi="Book Antiqua" w:cs="TimesNewRomanPS-BoldItalicMT"/>
          <w:b/>
          <w:bCs/>
          <w:iCs/>
          <w:color w:val="000000"/>
        </w:rPr>
        <w:t>:</w:t>
      </w:r>
      <w:r w:rsidRPr="003A1E48">
        <w:rPr>
          <w:rFonts w:ascii="Book Antiqua" w:eastAsia="Times New Roman" w:hAnsi="Book Antiqua"/>
          <w:color w:val="000000"/>
        </w:rPr>
        <w:t xml:space="preserve"> </w:t>
      </w:r>
      <w:r w:rsidRPr="003A1E48">
        <w:rPr>
          <w:rFonts w:ascii="Book Antiqua" w:hAnsi="Book Antiqua"/>
          <w:bCs/>
          <w:iCs/>
          <w:color w:val="000000"/>
        </w:rPr>
        <w:t>No additional data are available.</w:t>
      </w:r>
    </w:p>
    <w:p w14:paraId="0AE81EC1" w14:textId="77777777" w:rsidR="000746DA" w:rsidRPr="003A1E48" w:rsidRDefault="000746DA" w:rsidP="00DD7F70">
      <w:pPr>
        <w:adjustRightInd w:val="0"/>
        <w:snapToGrid w:val="0"/>
        <w:spacing w:line="360" w:lineRule="auto"/>
        <w:jc w:val="both"/>
        <w:rPr>
          <w:rFonts w:ascii="Book Antiqua" w:hAnsi="Book Antiqua"/>
          <w:color w:val="000000"/>
        </w:rPr>
      </w:pPr>
    </w:p>
    <w:p w14:paraId="7D1580AB" w14:textId="4BCD4FD0" w:rsidR="00FA3344" w:rsidRPr="003A1E48" w:rsidRDefault="000746DA" w:rsidP="00DD7F70">
      <w:pPr>
        <w:autoSpaceDE w:val="0"/>
        <w:autoSpaceDN w:val="0"/>
        <w:adjustRightInd w:val="0"/>
        <w:snapToGrid w:val="0"/>
        <w:spacing w:line="360" w:lineRule="auto"/>
        <w:jc w:val="both"/>
        <w:rPr>
          <w:rFonts w:ascii="Book Antiqua" w:hAnsi="Book Antiqua" w:cs="Garamond-Bold"/>
          <w:bCs/>
          <w:color w:val="000000" w:themeColor="text1"/>
        </w:rPr>
      </w:pPr>
      <w:bookmarkStart w:id="17" w:name="OLE_LINK507"/>
      <w:bookmarkStart w:id="18" w:name="OLE_LINK506"/>
      <w:bookmarkStart w:id="19" w:name="OLE_LINK496"/>
      <w:bookmarkStart w:id="20" w:name="OLE_LINK479"/>
      <w:r w:rsidRPr="003A1E48">
        <w:rPr>
          <w:rFonts w:ascii="Book Antiqua" w:hAnsi="Book Antiqua"/>
          <w:b/>
          <w:color w:val="000000"/>
        </w:rPr>
        <w:t>STROBE statement:</w:t>
      </w:r>
      <w:r w:rsidR="00FA3344" w:rsidRPr="003A1E48">
        <w:rPr>
          <w:rFonts w:ascii="Book Antiqua" w:hAnsi="Book Antiqua"/>
          <w:b/>
          <w:color w:val="000000"/>
        </w:rPr>
        <w:t xml:space="preserve"> </w:t>
      </w:r>
      <w:r w:rsidR="00FA3344" w:rsidRPr="003A1E48">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935ED05" w14:textId="77777777" w:rsidR="000746DA" w:rsidRPr="003A1E48" w:rsidRDefault="000746DA" w:rsidP="00DD7F70">
      <w:pPr>
        <w:adjustRightInd w:val="0"/>
        <w:snapToGrid w:val="0"/>
        <w:spacing w:line="360" w:lineRule="auto"/>
        <w:jc w:val="both"/>
        <w:rPr>
          <w:rFonts w:ascii="Book Antiqua" w:hAnsi="Book Antiqua"/>
          <w:b/>
          <w:color w:val="000000"/>
        </w:rPr>
      </w:pPr>
    </w:p>
    <w:p w14:paraId="24D2E469" w14:textId="77777777" w:rsidR="000746DA" w:rsidRPr="003A1E48" w:rsidRDefault="000746DA" w:rsidP="00DD7F70">
      <w:pPr>
        <w:adjustRightInd w:val="0"/>
        <w:snapToGrid w:val="0"/>
        <w:spacing w:line="360" w:lineRule="auto"/>
        <w:jc w:val="both"/>
        <w:rPr>
          <w:rFonts w:ascii="Book Antiqua" w:hAnsi="Book Antiqua"/>
          <w:color w:val="000000"/>
        </w:rPr>
      </w:pPr>
      <w:r w:rsidRPr="003A1E48">
        <w:rPr>
          <w:rFonts w:ascii="Book Antiqua" w:hAnsi="Book Antiqua"/>
          <w:b/>
          <w:color w:val="000000"/>
        </w:rPr>
        <w:t xml:space="preserve">Open-Access: </w:t>
      </w:r>
      <w:bookmarkStart w:id="21" w:name="OLE_LINK13"/>
      <w:r w:rsidRPr="003A1E48">
        <w:rPr>
          <w:rFonts w:ascii="Book Antiqua" w:hAnsi="Book Antiqua"/>
          <w:color w:val="000000"/>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bookmarkEnd w:id="19"/>
      <w:bookmarkEnd w:id="20"/>
    </w:p>
    <w:bookmarkEnd w:id="21"/>
    <w:p w14:paraId="499152E8" w14:textId="77777777" w:rsidR="000746DA" w:rsidRPr="003A1E48" w:rsidRDefault="000746DA" w:rsidP="00DD7F70">
      <w:pPr>
        <w:adjustRightInd w:val="0"/>
        <w:snapToGrid w:val="0"/>
        <w:spacing w:line="360" w:lineRule="auto"/>
        <w:jc w:val="both"/>
        <w:rPr>
          <w:rFonts w:ascii="Book Antiqua" w:hAnsi="Book Antiqua"/>
          <w:color w:val="000000"/>
        </w:rPr>
      </w:pPr>
    </w:p>
    <w:p w14:paraId="6726620D" w14:textId="77777777" w:rsidR="000746DA" w:rsidRPr="003A1E48" w:rsidRDefault="000746DA" w:rsidP="00DD7F70">
      <w:pPr>
        <w:adjustRightInd w:val="0"/>
        <w:snapToGrid w:val="0"/>
        <w:spacing w:line="360" w:lineRule="auto"/>
        <w:jc w:val="both"/>
        <w:rPr>
          <w:rFonts w:ascii="Book Antiqua" w:hAnsi="Book Antiqua"/>
          <w:bCs/>
          <w:color w:val="000000"/>
        </w:rPr>
      </w:pPr>
      <w:r w:rsidRPr="003A1E48">
        <w:rPr>
          <w:rFonts w:ascii="Book Antiqua" w:hAnsi="Book Antiqua"/>
          <w:b/>
          <w:bCs/>
          <w:color w:val="000000"/>
          <w:lang w:eastAsia="pl-PL"/>
        </w:rPr>
        <w:t>Manuscript source:</w:t>
      </w:r>
      <w:r w:rsidRPr="003A1E48">
        <w:rPr>
          <w:rFonts w:ascii="Book Antiqua" w:hAnsi="Book Antiqua"/>
          <w:b/>
          <w:bCs/>
          <w:color w:val="000000"/>
        </w:rPr>
        <w:t xml:space="preserve"> </w:t>
      </w:r>
      <w:r w:rsidRPr="003A1E48">
        <w:rPr>
          <w:rFonts w:ascii="Book Antiqua" w:hAnsi="Book Antiqua"/>
          <w:bCs/>
          <w:color w:val="000000"/>
          <w:lang w:eastAsia="pl-PL"/>
        </w:rPr>
        <w:t>Unsolicited manuscript</w:t>
      </w:r>
    </w:p>
    <w:p w14:paraId="468C6969" w14:textId="77777777" w:rsidR="000746DA" w:rsidRPr="003A1E48" w:rsidRDefault="000746DA" w:rsidP="00DD7F70">
      <w:pPr>
        <w:adjustRightInd w:val="0"/>
        <w:snapToGrid w:val="0"/>
        <w:spacing w:line="360" w:lineRule="auto"/>
        <w:jc w:val="both"/>
        <w:rPr>
          <w:rFonts w:ascii="Book Antiqua" w:hAnsi="Book Antiqua"/>
          <w:b/>
          <w:bCs/>
          <w:color w:val="000000"/>
        </w:rPr>
      </w:pPr>
    </w:p>
    <w:p w14:paraId="2D0FA41F" w14:textId="7B4E6AED" w:rsidR="000746DA"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t xml:space="preserve">Peer-review started: </w:t>
      </w:r>
      <w:r w:rsidR="00FA3344" w:rsidRPr="003A1E48">
        <w:rPr>
          <w:rFonts w:ascii="Book Antiqua" w:hAnsi="Book Antiqua"/>
        </w:rPr>
        <w:t>November</w:t>
      </w:r>
      <w:r w:rsidRPr="003A1E48">
        <w:rPr>
          <w:rFonts w:ascii="Book Antiqua" w:hAnsi="Book Antiqua"/>
        </w:rPr>
        <w:t xml:space="preserve"> </w:t>
      </w:r>
      <w:r w:rsidR="00FA3344" w:rsidRPr="003A1E48">
        <w:rPr>
          <w:rFonts w:ascii="Book Antiqua" w:hAnsi="Book Antiqua"/>
        </w:rPr>
        <w:t>2</w:t>
      </w:r>
      <w:r w:rsidRPr="003A1E48">
        <w:rPr>
          <w:rFonts w:ascii="Book Antiqua" w:hAnsi="Book Antiqua"/>
        </w:rPr>
        <w:t>, 201</w:t>
      </w:r>
      <w:r w:rsidR="00FA3344" w:rsidRPr="003A1E48">
        <w:rPr>
          <w:rFonts w:ascii="Book Antiqua" w:hAnsi="Book Antiqua"/>
        </w:rPr>
        <w:t>9</w:t>
      </w:r>
    </w:p>
    <w:p w14:paraId="4C17F248" w14:textId="77B98572" w:rsidR="000746DA"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lastRenderedPageBreak/>
        <w:t xml:space="preserve">First decision: </w:t>
      </w:r>
      <w:r w:rsidR="00FA3344" w:rsidRPr="003A1E48">
        <w:rPr>
          <w:rFonts w:ascii="Book Antiqua" w:hAnsi="Book Antiqua"/>
        </w:rPr>
        <w:t>December</w:t>
      </w:r>
      <w:r w:rsidRPr="003A1E48">
        <w:rPr>
          <w:rFonts w:ascii="Book Antiqua" w:hAnsi="Book Antiqua"/>
        </w:rPr>
        <w:t xml:space="preserve"> </w:t>
      </w:r>
      <w:r w:rsidR="00FA3344" w:rsidRPr="003A1E48">
        <w:rPr>
          <w:rFonts w:ascii="Book Antiqua" w:hAnsi="Book Antiqua"/>
        </w:rPr>
        <w:t>4</w:t>
      </w:r>
      <w:r w:rsidRPr="003A1E48">
        <w:rPr>
          <w:rFonts w:ascii="Book Antiqua" w:hAnsi="Book Antiqua"/>
        </w:rPr>
        <w:t>, 201</w:t>
      </w:r>
      <w:r w:rsidR="00FA3344" w:rsidRPr="003A1E48">
        <w:rPr>
          <w:rFonts w:ascii="Book Antiqua" w:hAnsi="Book Antiqua"/>
        </w:rPr>
        <w:t>9</w:t>
      </w:r>
    </w:p>
    <w:p w14:paraId="4DB696C3" w14:textId="77777777" w:rsidR="000746DA"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t>Article in press:</w:t>
      </w:r>
    </w:p>
    <w:p w14:paraId="70C2922D" w14:textId="77777777" w:rsidR="000746DA" w:rsidRPr="003A1E48" w:rsidRDefault="000746DA" w:rsidP="00DD7F70">
      <w:pPr>
        <w:adjustRightInd w:val="0"/>
        <w:snapToGrid w:val="0"/>
        <w:spacing w:line="360" w:lineRule="auto"/>
        <w:jc w:val="both"/>
        <w:rPr>
          <w:rFonts w:ascii="Book Antiqua" w:hAnsi="Book Antiqua"/>
          <w:b/>
        </w:rPr>
      </w:pPr>
    </w:p>
    <w:p w14:paraId="736EB24B" w14:textId="77777777" w:rsidR="000746DA" w:rsidRPr="003A1E48" w:rsidRDefault="000746DA" w:rsidP="00DD7F70">
      <w:pPr>
        <w:adjustRightInd w:val="0"/>
        <w:snapToGrid w:val="0"/>
        <w:spacing w:line="360" w:lineRule="auto"/>
        <w:jc w:val="both"/>
        <w:rPr>
          <w:rFonts w:ascii="Book Antiqua" w:eastAsia="微软雅黑" w:hAnsi="Book Antiqua" w:cs="宋体"/>
        </w:rPr>
      </w:pPr>
      <w:r w:rsidRPr="003A1E48">
        <w:rPr>
          <w:rFonts w:ascii="Book Antiqua" w:hAnsi="Book Antiqua" w:cs="宋体"/>
          <w:b/>
        </w:rPr>
        <w:t xml:space="preserve">Specialty type: </w:t>
      </w:r>
      <w:r w:rsidRPr="003A1E48">
        <w:rPr>
          <w:rFonts w:ascii="Book Antiqua" w:eastAsia="微软雅黑" w:hAnsi="Book Antiqua" w:cs="宋体"/>
        </w:rPr>
        <w:t>Gastroenterology and hepatology</w:t>
      </w:r>
    </w:p>
    <w:p w14:paraId="78BAE173" w14:textId="78AC4DF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b/>
        </w:rPr>
        <w:t xml:space="preserve">Country of origin: </w:t>
      </w:r>
      <w:r w:rsidR="00FA3344" w:rsidRPr="003A1E48">
        <w:rPr>
          <w:rFonts w:ascii="Book Antiqua" w:hAnsi="Book Antiqua" w:cs="宋体"/>
        </w:rPr>
        <w:t>Canada</w:t>
      </w:r>
    </w:p>
    <w:p w14:paraId="346802DF" w14:textId="77777777" w:rsidR="000746DA" w:rsidRPr="003A1E48" w:rsidRDefault="000746DA" w:rsidP="00DD7F70">
      <w:pPr>
        <w:adjustRightInd w:val="0"/>
        <w:snapToGrid w:val="0"/>
        <w:spacing w:line="360" w:lineRule="auto"/>
        <w:jc w:val="both"/>
        <w:rPr>
          <w:rFonts w:ascii="Book Antiqua" w:hAnsi="Book Antiqua" w:cs="宋体"/>
          <w:b/>
        </w:rPr>
      </w:pPr>
      <w:r w:rsidRPr="003A1E48">
        <w:rPr>
          <w:rFonts w:ascii="Book Antiqua" w:hAnsi="Book Antiqua" w:cs="宋体"/>
          <w:b/>
        </w:rPr>
        <w:t>Peer-review report classification</w:t>
      </w:r>
    </w:p>
    <w:p w14:paraId="1542F5DD" w14:textId="7777777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Grade A (Excellent): 0</w:t>
      </w:r>
    </w:p>
    <w:p w14:paraId="44DED263" w14:textId="4F5F7509"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 xml:space="preserve">Grade B (Very good): </w:t>
      </w:r>
      <w:r w:rsidR="00FA3344" w:rsidRPr="003A1E48">
        <w:rPr>
          <w:rFonts w:ascii="Book Antiqua" w:hAnsi="Book Antiqua" w:cs="宋体"/>
        </w:rPr>
        <w:t>B</w:t>
      </w:r>
    </w:p>
    <w:p w14:paraId="3339F529" w14:textId="7777777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Grade C (Good): C</w:t>
      </w:r>
    </w:p>
    <w:p w14:paraId="517EED86" w14:textId="77777777" w:rsidR="000746DA" w:rsidRPr="003A1E48" w:rsidRDefault="000746DA" w:rsidP="00DD7F70">
      <w:pPr>
        <w:adjustRightInd w:val="0"/>
        <w:snapToGrid w:val="0"/>
        <w:spacing w:line="360" w:lineRule="auto"/>
        <w:jc w:val="both"/>
        <w:rPr>
          <w:rFonts w:ascii="Book Antiqua" w:hAnsi="Book Antiqua" w:cs="宋体"/>
        </w:rPr>
      </w:pPr>
      <w:r w:rsidRPr="003A1E48">
        <w:rPr>
          <w:rFonts w:ascii="Book Antiqua" w:hAnsi="Book Antiqua" w:cs="宋体"/>
        </w:rPr>
        <w:t>Grade D (Fair): 0</w:t>
      </w:r>
    </w:p>
    <w:p w14:paraId="0D6B2066" w14:textId="77777777" w:rsidR="000746DA" w:rsidRPr="003A1E48" w:rsidRDefault="000746DA" w:rsidP="00DD7F70">
      <w:pPr>
        <w:adjustRightInd w:val="0"/>
        <w:snapToGrid w:val="0"/>
        <w:spacing w:line="360" w:lineRule="auto"/>
        <w:jc w:val="both"/>
        <w:rPr>
          <w:rFonts w:ascii="Book Antiqua" w:eastAsia="等线" w:hAnsi="Book Antiqua"/>
          <w:lang w:val="hu-HU"/>
        </w:rPr>
      </w:pPr>
      <w:r w:rsidRPr="003A1E48">
        <w:rPr>
          <w:rFonts w:ascii="Book Antiqua" w:hAnsi="Book Antiqua" w:cs="宋体"/>
        </w:rPr>
        <w:t>Grade E (Poor): 0</w:t>
      </w:r>
    </w:p>
    <w:p w14:paraId="61C6A00D" w14:textId="77777777" w:rsidR="000746DA" w:rsidRPr="003A1E48" w:rsidRDefault="000746DA" w:rsidP="00DD7F70">
      <w:pPr>
        <w:adjustRightInd w:val="0"/>
        <w:snapToGrid w:val="0"/>
        <w:spacing w:line="360" w:lineRule="auto"/>
        <w:jc w:val="both"/>
        <w:rPr>
          <w:rFonts w:ascii="Book Antiqua" w:hAnsi="Book Antiqua"/>
          <w:b/>
          <w:bCs/>
          <w:color w:val="000000"/>
          <w:lang w:val="hu-HU"/>
        </w:rPr>
      </w:pPr>
    </w:p>
    <w:p w14:paraId="6CBB4C84" w14:textId="29A99B4D" w:rsidR="000746DA" w:rsidRPr="003A1E48" w:rsidRDefault="000746DA" w:rsidP="00DD7F70">
      <w:pPr>
        <w:adjustRightInd w:val="0"/>
        <w:snapToGrid w:val="0"/>
        <w:spacing w:line="360" w:lineRule="auto"/>
        <w:jc w:val="both"/>
        <w:rPr>
          <w:rFonts w:ascii="Book Antiqua" w:hAnsi="Book Antiqua"/>
          <w:b/>
          <w:bCs/>
          <w:color w:val="000000"/>
        </w:rPr>
      </w:pPr>
      <w:r w:rsidRPr="003A1E48">
        <w:rPr>
          <w:rFonts w:ascii="Book Antiqua" w:hAnsi="Book Antiqua"/>
          <w:b/>
          <w:bCs/>
          <w:color w:val="000000"/>
        </w:rPr>
        <w:t xml:space="preserve">P-Reviewer: </w:t>
      </w:r>
      <w:proofErr w:type="spellStart"/>
      <w:r w:rsidR="00FA3344" w:rsidRPr="003A1E48">
        <w:rPr>
          <w:rFonts w:ascii="Book Antiqua" w:hAnsi="Book Antiqua"/>
        </w:rPr>
        <w:t>Bassotti</w:t>
      </w:r>
      <w:proofErr w:type="spellEnd"/>
      <w:r w:rsidR="00FA3344" w:rsidRPr="003A1E48">
        <w:rPr>
          <w:rFonts w:ascii="Book Antiqua" w:hAnsi="Book Antiqua"/>
        </w:rPr>
        <w:t xml:space="preserve"> G, Dai YC</w:t>
      </w:r>
      <w:r w:rsidRPr="003A1E48">
        <w:rPr>
          <w:rFonts w:ascii="Book Antiqua" w:hAnsi="Book Antiqua"/>
          <w:b/>
          <w:bCs/>
          <w:color w:val="000000"/>
        </w:rPr>
        <w:t xml:space="preserve"> S-Editor:</w:t>
      </w:r>
      <w:r w:rsidRPr="003A1E48">
        <w:rPr>
          <w:rFonts w:ascii="Book Antiqua" w:hAnsi="Book Antiqua"/>
          <w:color w:val="000000"/>
        </w:rPr>
        <w:t xml:space="preserve"> Dou Y </w:t>
      </w:r>
      <w:r w:rsidRPr="003A1E48">
        <w:rPr>
          <w:rFonts w:ascii="Book Antiqua" w:hAnsi="Book Antiqua"/>
          <w:b/>
          <w:bCs/>
          <w:color w:val="000000"/>
        </w:rPr>
        <w:t>L-Editor:</w:t>
      </w:r>
      <w:r w:rsidRPr="003A1E48">
        <w:rPr>
          <w:rFonts w:ascii="Book Antiqua" w:hAnsi="Book Antiqua"/>
          <w:color w:val="000000"/>
        </w:rPr>
        <w:t xml:space="preserve"> </w:t>
      </w:r>
      <w:r w:rsidRPr="003A1E48">
        <w:rPr>
          <w:rFonts w:ascii="Book Antiqua" w:hAnsi="Book Antiqua"/>
          <w:b/>
          <w:bCs/>
          <w:color w:val="000000"/>
        </w:rPr>
        <w:t>E-Editor:</w:t>
      </w:r>
    </w:p>
    <w:p w14:paraId="2F3D824C" w14:textId="77777777" w:rsidR="00FA3344" w:rsidRPr="003A1E48" w:rsidRDefault="000746DA" w:rsidP="00DD7F70">
      <w:pPr>
        <w:adjustRightInd w:val="0"/>
        <w:snapToGrid w:val="0"/>
        <w:spacing w:line="360" w:lineRule="auto"/>
        <w:jc w:val="both"/>
        <w:rPr>
          <w:rFonts w:ascii="Book Antiqua" w:hAnsi="Book Antiqua"/>
          <w:b/>
        </w:rPr>
      </w:pPr>
      <w:r w:rsidRPr="003A1E48">
        <w:rPr>
          <w:rFonts w:ascii="Book Antiqua" w:hAnsi="Book Antiqua"/>
          <w:b/>
        </w:rPr>
        <w:br w:type="page"/>
      </w:r>
      <w:r w:rsidR="00FA3344" w:rsidRPr="003A1E48">
        <w:rPr>
          <w:rFonts w:ascii="Book Antiqua" w:hAnsi="Book Antiqua"/>
          <w:b/>
        </w:rPr>
        <w:lastRenderedPageBreak/>
        <w:t>Figure Legends</w:t>
      </w:r>
    </w:p>
    <w:p w14:paraId="609EC417" w14:textId="77777777" w:rsidR="00FA3344" w:rsidRPr="003A1E48" w:rsidRDefault="00FA3344" w:rsidP="00DD7F70">
      <w:pPr>
        <w:spacing w:line="360" w:lineRule="auto"/>
        <w:jc w:val="both"/>
        <w:rPr>
          <w:rFonts w:ascii="Book Antiqua" w:hAnsi="Book Antiqua" w:cs="Arial"/>
          <w:b/>
          <w:lang w:val="en-CA"/>
        </w:rPr>
      </w:pPr>
      <w:r w:rsidRPr="003A1E48">
        <w:rPr>
          <w:rFonts w:ascii="Book Antiqua" w:hAnsi="Book Antiqua" w:cs="Arial"/>
          <w:b/>
          <w:noProof/>
          <w:lang w:val="hu-HU" w:eastAsia="hu-HU"/>
        </w:rPr>
        <w:drawing>
          <wp:inline distT="0" distB="0" distL="0" distR="0" wp14:anchorId="0519A224" wp14:editId="03D64D54">
            <wp:extent cx="5943600" cy="29279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27985"/>
                    </a:xfrm>
                    <a:prstGeom prst="rect">
                      <a:avLst/>
                    </a:prstGeom>
                  </pic:spPr>
                </pic:pic>
              </a:graphicData>
            </a:graphic>
          </wp:inline>
        </w:drawing>
      </w:r>
    </w:p>
    <w:p w14:paraId="2EFC3DCA" w14:textId="71D279E2" w:rsidR="00FA3344" w:rsidRPr="003A1E48" w:rsidRDefault="00FA3344" w:rsidP="00DD7F70">
      <w:pPr>
        <w:spacing w:line="360" w:lineRule="auto"/>
        <w:jc w:val="both"/>
        <w:rPr>
          <w:rFonts w:ascii="Book Antiqua" w:hAnsi="Book Antiqua" w:cs="Arial"/>
          <w:bCs/>
          <w:lang w:val="en-CA"/>
        </w:rPr>
      </w:pPr>
      <w:bookmarkStart w:id="22" w:name="OLE_LINK22"/>
      <w:r w:rsidRPr="003A1E48">
        <w:rPr>
          <w:rFonts w:ascii="Book Antiqua" w:hAnsi="Book Antiqua" w:cs="Arial"/>
          <w:b/>
          <w:bCs/>
          <w:lang w:val="en-CA"/>
        </w:rPr>
        <w:t xml:space="preserve">Figure </w:t>
      </w:r>
      <w:bookmarkEnd w:id="22"/>
      <w:r w:rsidRPr="003A1E48">
        <w:rPr>
          <w:rFonts w:ascii="Book Antiqua" w:hAnsi="Book Antiqua" w:cs="Arial"/>
          <w:b/>
          <w:bCs/>
          <w:lang w:val="en-CA"/>
        </w:rPr>
        <w:t>1</w:t>
      </w:r>
      <w:r w:rsidRPr="003A1E48">
        <w:rPr>
          <w:rFonts w:ascii="Book Antiqua" w:hAnsi="Book Antiqua" w:cs="Arial"/>
          <w:b/>
          <w:lang w:val="en-CA"/>
        </w:rPr>
        <w:t xml:space="preserve"> Emergency department visit rates and patient routes following an initial contact with </w:t>
      </w:r>
      <w:r w:rsidR="00063DD2" w:rsidRPr="003A1E48">
        <w:rPr>
          <w:rFonts w:ascii="Book Antiqua" w:hAnsi="Book Antiqua" w:cs="Arial"/>
          <w:b/>
          <w:lang w:val="en-CA"/>
        </w:rPr>
        <w:t>the rapid access clinic</w:t>
      </w:r>
      <w:r w:rsidRPr="003A1E48">
        <w:rPr>
          <w:rFonts w:ascii="Book Antiqua" w:hAnsi="Book Antiqua" w:cs="Arial"/>
          <w:b/>
          <w:lang w:val="en-CA"/>
        </w:rPr>
        <w:t xml:space="preserve"> services (</w:t>
      </w:r>
      <w:r w:rsidRPr="003A1E48">
        <w:rPr>
          <w:rFonts w:ascii="Book Antiqua" w:hAnsi="Book Antiqua" w:cs="Arial"/>
          <w:b/>
          <w:i/>
          <w:iCs/>
          <w:lang w:val="en-CA"/>
        </w:rPr>
        <w:t>n</w:t>
      </w:r>
      <w:r w:rsidRPr="003A1E48">
        <w:rPr>
          <w:rFonts w:ascii="Book Antiqua" w:hAnsi="Book Antiqua" w:cs="Arial"/>
          <w:b/>
          <w:lang w:val="en-CA"/>
        </w:rPr>
        <w:t xml:space="preserve"> = 488 patients). </w:t>
      </w:r>
      <w:r w:rsidRPr="003A1E48">
        <w:rPr>
          <w:rFonts w:ascii="Book Antiqua" w:hAnsi="Book Antiqua" w:cs="Arial"/>
          <w:bCs/>
          <w:lang w:val="en-CA"/>
        </w:rPr>
        <w:t xml:space="preserve">RAC: </w:t>
      </w:r>
      <w:r w:rsidR="00DD7F70" w:rsidRPr="003A1E48">
        <w:rPr>
          <w:rFonts w:ascii="Book Antiqua" w:hAnsi="Book Antiqua" w:cs="Arial"/>
          <w:bCs/>
          <w:lang w:val="en-CA"/>
        </w:rPr>
        <w:t xml:space="preserve">Rapid </w:t>
      </w:r>
      <w:r w:rsidR="00063DD2" w:rsidRPr="003A1E48">
        <w:rPr>
          <w:rFonts w:ascii="Book Antiqua" w:hAnsi="Book Antiqua" w:cs="Arial"/>
          <w:bCs/>
          <w:lang w:val="en-CA"/>
        </w:rPr>
        <w:t>access cli</w:t>
      </w:r>
      <w:r w:rsidR="00DD7F70" w:rsidRPr="003A1E48">
        <w:rPr>
          <w:rFonts w:ascii="Book Antiqua" w:hAnsi="Book Antiqua" w:cs="Arial"/>
          <w:bCs/>
          <w:lang w:val="en-CA"/>
        </w:rPr>
        <w:t>nic</w:t>
      </w:r>
      <w:r w:rsidRPr="003A1E48">
        <w:rPr>
          <w:rFonts w:ascii="Book Antiqua" w:hAnsi="Book Antiqua" w:cs="Arial"/>
          <w:bCs/>
          <w:lang w:val="en-CA"/>
        </w:rPr>
        <w:t>; ER: Emergency department.</w:t>
      </w:r>
    </w:p>
    <w:p w14:paraId="3A6966E2" w14:textId="685405E9" w:rsidR="00FA3344" w:rsidRDefault="00FA3344" w:rsidP="00DD7F70">
      <w:pPr>
        <w:spacing w:line="360" w:lineRule="auto"/>
        <w:jc w:val="both"/>
        <w:rPr>
          <w:rFonts w:ascii="Book Antiqua" w:hAnsi="Book Antiqua" w:cs="Arial"/>
          <w:b/>
          <w:lang w:val="en-CA"/>
        </w:rPr>
      </w:pPr>
    </w:p>
    <w:p w14:paraId="7A739CF9" w14:textId="0D78C6B5" w:rsidR="00E72D38" w:rsidRPr="003A1E48" w:rsidRDefault="00E72D38" w:rsidP="00DD7F70">
      <w:pPr>
        <w:spacing w:line="360" w:lineRule="auto"/>
        <w:jc w:val="both"/>
        <w:rPr>
          <w:rFonts w:ascii="Book Antiqua" w:hAnsi="Book Antiqua" w:cs="Arial"/>
          <w:b/>
          <w:lang w:val="en-CA"/>
        </w:rPr>
      </w:pPr>
      <w:r>
        <w:rPr>
          <w:noProof/>
        </w:rPr>
        <w:lastRenderedPageBreak/>
        <w:drawing>
          <wp:inline distT="0" distB="0" distL="0" distR="0" wp14:anchorId="6D6BB700" wp14:editId="6908442D">
            <wp:extent cx="2946594" cy="4608775"/>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6969" cy="4625003"/>
                    </a:xfrm>
                    <a:prstGeom prst="rect">
                      <a:avLst/>
                    </a:prstGeom>
                  </pic:spPr>
                </pic:pic>
              </a:graphicData>
            </a:graphic>
          </wp:inline>
        </w:drawing>
      </w:r>
    </w:p>
    <w:p w14:paraId="2D9F8B8C" w14:textId="765DCD00" w:rsidR="00FA3344" w:rsidRPr="003A1E48" w:rsidRDefault="00FA3344" w:rsidP="00DD7F70">
      <w:pPr>
        <w:spacing w:line="360" w:lineRule="auto"/>
        <w:jc w:val="both"/>
        <w:rPr>
          <w:rFonts w:ascii="Book Antiqua" w:hAnsi="Book Antiqua" w:cs="Arial"/>
          <w:bCs/>
          <w:lang w:val="en-CA"/>
        </w:rPr>
      </w:pPr>
      <w:r w:rsidRPr="003A1E48">
        <w:rPr>
          <w:rFonts w:ascii="Book Antiqua" w:hAnsi="Book Antiqua" w:cs="Arial"/>
          <w:b/>
          <w:lang w:val="en-CA"/>
        </w:rPr>
        <w:t>Figure</w:t>
      </w:r>
      <w:r w:rsidRPr="003A1E48">
        <w:rPr>
          <w:rFonts w:ascii="Book Antiqua" w:hAnsi="Book Antiqua" w:cs="Arial"/>
          <w:b/>
        </w:rPr>
        <w:t xml:space="preserve"> 2</w:t>
      </w:r>
      <w:r w:rsidRPr="003A1E48">
        <w:rPr>
          <w:rFonts w:ascii="Book Antiqua" w:hAnsi="Book Antiqua" w:cs="Arial"/>
          <w:b/>
          <w:lang w:val="en-CA"/>
        </w:rPr>
        <w:t xml:space="preserve"> </w:t>
      </w:r>
      <w:r w:rsidRPr="003A1E48">
        <w:rPr>
          <w:rFonts w:ascii="Book Antiqua" w:hAnsi="Book Antiqua" w:cs="Arial"/>
          <w:b/>
          <w:bCs/>
        </w:rPr>
        <w:t xml:space="preserve">Average per-patient cost estimates for diagnostic procedures and services in patients presenting to the </w:t>
      </w:r>
      <w:r w:rsidR="00BC25E1" w:rsidRPr="003A1E48">
        <w:rPr>
          <w:rFonts w:ascii="Book Antiqua" w:hAnsi="Book Antiqua" w:cs="Arial"/>
          <w:b/>
          <w:lang w:val="en-CA"/>
        </w:rPr>
        <w:t>rapid access c</w:t>
      </w:r>
      <w:r w:rsidR="00DD7F70" w:rsidRPr="003A1E48">
        <w:rPr>
          <w:rFonts w:ascii="Book Antiqua" w:hAnsi="Book Antiqua" w:cs="Arial"/>
          <w:b/>
          <w:lang w:val="en-CA"/>
        </w:rPr>
        <w:t>linic</w:t>
      </w:r>
      <w:r w:rsidRPr="003A1E48">
        <w:rPr>
          <w:rFonts w:ascii="Book Antiqua" w:hAnsi="Book Antiqua" w:cs="Arial"/>
          <w:b/>
          <w:i/>
          <w:iCs/>
        </w:rPr>
        <w:t xml:space="preserve"> vs</w:t>
      </w:r>
      <w:r w:rsidRPr="003A1E48">
        <w:rPr>
          <w:rFonts w:ascii="Book Antiqua" w:hAnsi="Book Antiqua" w:cs="Arial"/>
          <w:b/>
        </w:rPr>
        <w:t xml:space="preserve"> </w:t>
      </w:r>
      <w:r w:rsidR="003A1E48" w:rsidRPr="003A1E48">
        <w:rPr>
          <w:rFonts w:ascii="Book Antiqua" w:hAnsi="Book Antiqua" w:cs="Arial"/>
          <w:b/>
          <w:lang w:val="en-CA"/>
        </w:rPr>
        <w:t>emergency department</w:t>
      </w:r>
      <w:r w:rsidR="003A1E48" w:rsidRPr="003A1E48">
        <w:rPr>
          <w:rFonts w:ascii="Book Antiqua" w:hAnsi="Book Antiqua" w:cs="Arial"/>
          <w:b/>
          <w:bCs/>
        </w:rPr>
        <w:t xml:space="preserve"> </w:t>
      </w:r>
      <w:r w:rsidRPr="003A1E48">
        <w:rPr>
          <w:rFonts w:ascii="Book Antiqua" w:hAnsi="Book Antiqua" w:cs="Arial"/>
          <w:b/>
          <w:bCs/>
        </w:rPr>
        <w:t>(in $CAD).</w:t>
      </w:r>
      <w:r w:rsidRPr="003A1E48">
        <w:rPr>
          <w:rFonts w:ascii="Book Antiqua" w:hAnsi="Book Antiqua" w:cs="Arial"/>
        </w:rPr>
        <w:t xml:space="preserve"> </w:t>
      </w:r>
      <w:r w:rsidR="00BF6FD9">
        <w:rPr>
          <w:rFonts w:ascii="Book Antiqua" w:hAnsi="Book Antiqua" w:cs="Segoe UI Symbol"/>
          <w:color w:val="000000" w:themeColor="text1"/>
          <w:vertAlign w:val="superscript"/>
        </w:rPr>
        <w:t>1</w:t>
      </w:r>
      <w:r w:rsidR="00BF6FD9">
        <w:rPr>
          <w:rFonts w:ascii="Book Antiqua" w:hAnsi="Book Antiqua" w:cs="Arial"/>
          <w:lang w:val="en-CA"/>
        </w:rPr>
        <w:t>One hundred and thirty-five</w:t>
      </w:r>
      <w:r w:rsidR="00BF6FD9" w:rsidRPr="003A1E48">
        <w:rPr>
          <w:rFonts w:ascii="Book Antiqua" w:hAnsi="Book Antiqua" w:cs="Arial"/>
          <w:lang w:val="en-CA"/>
        </w:rPr>
        <w:t xml:space="preserve"> patients presenting for ED visit, with no previous access to RAC services.</w:t>
      </w:r>
      <w:r w:rsidR="00BF6FD9">
        <w:rPr>
          <w:rFonts w:ascii="Book Antiqua" w:hAnsi="Book Antiqua" w:cs="Arial"/>
          <w:lang w:val="en-CA"/>
        </w:rPr>
        <w:t xml:space="preserve"> </w:t>
      </w:r>
      <w:r w:rsidR="00BF6FD9">
        <w:rPr>
          <w:rFonts w:ascii="Book Antiqua" w:hAnsi="Book Antiqua" w:cs="Arial"/>
          <w:vertAlign w:val="superscript"/>
          <w:lang w:val="en-CA"/>
        </w:rPr>
        <w:t xml:space="preserve">2 </w:t>
      </w:r>
      <w:r w:rsidR="00BF6FD9">
        <w:rPr>
          <w:rFonts w:ascii="Book Antiqua" w:hAnsi="Book Antiqua" w:cs="Arial"/>
          <w:lang w:val="en-CA"/>
        </w:rPr>
        <w:t xml:space="preserve">Four hundred and nineteen </w:t>
      </w:r>
      <w:r w:rsidRPr="003A1E48">
        <w:rPr>
          <w:rFonts w:ascii="Book Antiqua" w:hAnsi="Book Antiqua" w:cs="Arial"/>
          <w:lang w:val="en-CA"/>
        </w:rPr>
        <w:t>patients presenting for MD or nurse visit for RAC clinic visit</w:t>
      </w:r>
      <w:r w:rsidR="00BF6FD9">
        <w:rPr>
          <w:rFonts w:ascii="Book Antiqua" w:hAnsi="Book Antiqua" w:cs="Arial"/>
          <w:lang w:val="en-CA"/>
        </w:rPr>
        <w:t>.</w:t>
      </w:r>
      <w:r w:rsidRPr="003A1E48">
        <w:rPr>
          <w:rFonts w:ascii="Book Antiqua" w:hAnsi="Book Antiqua" w:cs="Arial"/>
          <w:lang w:val="en-CA"/>
        </w:rPr>
        <w:t xml:space="preserve"> </w:t>
      </w:r>
      <w:r w:rsidRPr="003A1E48">
        <w:rPr>
          <w:rFonts w:ascii="Book Antiqua" w:hAnsi="Book Antiqua" w:cs="Arial"/>
          <w:bCs/>
          <w:lang w:val="en-CA"/>
        </w:rPr>
        <w:t>RAC: Ra</w:t>
      </w:r>
      <w:r w:rsidR="002A784A" w:rsidRPr="003A1E48">
        <w:rPr>
          <w:rFonts w:ascii="Book Antiqua" w:hAnsi="Book Antiqua" w:cs="Arial"/>
          <w:bCs/>
          <w:lang w:val="en-CA"/>
        </w:rPr>
        <w:t>pid access c</w:t>
      </w:r>
      <w:r w:rsidR="00DD7F70" w:rsidRPr="003A1E48">
        <w:rPr>
          <w:rFonts w:ascii="Book Antiqua" w:hAnsi="Book Antiqua" w:cs="Arial"/>
          <w:bCs/>
          <w:lang w:val="en-CA"/>
        </w:rPr>
        <w:t>linic</w:t>
      </w:r>
      <w:r w:rsidRPr="003A1E48">
        <w:rPr>
          <w:rFonts w:ascii="Book Antiqua" w:hAnsi="Book Antiqua" w:cs="Arial"/>
          <w:bCs/>
          <w:lang w:val="en-CA"/>
        </w:rPr>
        <w:t xml:space="preserve">; ED: </w:t>
      </w:r>
      <w:r w:rsidR="003A1E48" w:rsidRPr="003A1E48">
        <w:rPr>
          <w:rFonts w:ascii="Book Antiqua" w:hAnsi="Book Antiqua" w:cs="Arial"/>
          <w:bCs/>
          <w:lang w:val="en-CA"/>
        </w:rPr>
        <w:t>Emergency de</w:t>
      </w:r>
      <w:r w:rsidRPr="003A1E48">
        <w:rPr>
          <w:rFonts w:ascii="Book Antiqua" w:hAnsi="Book Antiqua" w:cs="Arial"/>
          <w:bCs/>
          <w:lang w:val="en-CA"/>
        </w:rPr>
        <w:t>partment; CBC: Combined blood count; CRP: C-reactive protein; FCAL: Fecal calprotectin; TDM: Therapeutic drug monitoring; CT: Computed tomography; MRI: Magnetic resonance imaging.</w:t>
      </w:r>
    </w:p>
    <w:p w14:paraId="6FA66F6A" w14:textId="2C02AA9B" w:rsidR="00E72D38" w:rsidRDefault="00E72D38" w:rsidP="00DD7F70">
      <w:pPr>
        <w:spacing w:line="360" w:lineRule="auto"/>
        <w:jc w:val="both"/>
        <w:rPr>
          <w:rFonts w:ascii="Book Antiqua" w:hAnsi="Book Antiqua" w:cs="Arial"/>
          <w:b/>
          <w:lang w:val="en-CA"/>
        </w:rPr>
      </w:pPr>
      <w:r>
        <w:rPr>
          <w:rFonts w:ascii="Book Antiqua" w:hAnsi="Book Antiqua" w:cs="Arial"/>
          <w:b/>
          <w:lang w:val="en-CA"/>
        </w:rPr>
        <w:br w:type="page"/>
      </w:r>
    </w:p>
    <w:p w14:paraId="7D57BE2B" w14:textId="77777777" w:rsidR="00FA3344" w:rsidRPr="003A1E48" w:rsidRDefault="00FA3344" w:rsidP="00DD7F70">
      <w:pPr>
        <w:spacing w:line="360" w:lineRule="auto"/>
        <w:jc w:val="both"/>
        <w:rPr>
          <w:rFonts w:ascii="Book Antiqua" w:hAnsi="Book Antiqua" w:cs="Arial"/>
          <w:b/>
          <w:lang w:val="en-CA"/>
        </w:rPr>
      </w:pPr>
    </w:p>
    <w:p w14:paraId="2E3F872E" w14:textId="58C9F5FB"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
          <w:lang w:val="en-CA"/>
        </w:rPr>
        <w:t>Table 1</w:t>
      </w:r>
      <w:r w:rsidRPr="003A1E48">
        <w:rPr>
          <w:rFonts w:ascii="Book Antiqua" w:hAnsi="Book Antiqua" w:cs="Arial"/>
          <w:lang w:val="en-CA"/>
        </w:rPr>
        <w:t xml:space="preserve"> </w:t>
      </w:r>
      <w:r w:rsidRPr="003A1E48">
        <w:rPr>
          <w:rFonts w:ascii="Book Antiqua" w:hAnsi="Book Antiqua" w:cs="Arial"/>
          <w:b/>
          <w:bCs/>
          <w:lang w:val="en-CA"/>
        </w:rPr>
        <w:t>Characteristics of patients contacting the</w:t>
      </w:r>
      <w:r w:rsidR="00BC25E1" w:rsidRPr="003A1E48">
        <w:rPr>
          <w:rFonts w:ascii="Book Antiqua" w:hAnsi="Book Antiqua" w:cs="Arial"/>
          <w:b/>
          <w:bCs/>
          <w:lang w:val="en-CA"/>
        </w:rPr>
        <w:t xml:space="preserve"> </w:t>
      </w:r>
      <w:r w:rsidR="00BC25E1" w:rsidRPr="003A1E48">
        <w:rPr>
          <w:rFonts w:ascii="Book Antiqua" w:hAnsi="Book Antiqua" w:cs="Arial"/>
          <w:b/>
          <w:lang w:val="en-CA"/>
        </w:rPr>
        <w:t>rapid access cli</w:t>
      </w:r>
      <w:r w:rsidR="00FA3344" w:rsidRPr="003A1E48">
        <w:rPr>
          <w:rFonts w:ascii="Book Antiqua" w:hAnsi="Book Antiqua" w:cs="Arial"/>
          <w:b/>
          <w:lang w:val="en-CA"/>
        </w:rPr>
        <w:t>nic</w:t>
      </w:r>
      <w:r w:rsidR="00FA3344" w:rsidRPr="003A1E48">
        <w:rPr>
          <w:rFonts w:ascii="Book Antiqua" w:hAnsi="Book Antiqua" w:cs="Arial"/>
          <w:b/>
          <w:i/>
          <w:iCs/>
        </w:rPr>
        <w:t xml:space="preserve"> vs</w:t>
      </w:r>
      <w:r w:rsidR="00FA3344" w:rsidRPr="003A1E48">
        <w:rPr>
          <w:rFonts w:ascii="Book Antiqua" w:hAnsi="Book Antiqua" w:cs="Arial"/>
          <w:b/>
        </w:rPr>
        <w:t xml:space="preserve"> </w:t>
      </w:r>
      <w:r w:rsidR="003A1E48" w:rsidRPr="003A1E48">
        <w:rPr>
          <w:rFonts w:ascii="Book Antiqua" w:hAnsi="Book Antiqua" w:cs="Arial"/>
          <w:b/>
          <w:lang w:val="en-CA"/>
        </w:rPr>
        <w:t>emergency department</w:t>
      </w:r>
    </w:p>
    <w:tbl>
      <w:tblPr>
        <w:tblStyle w:val="2"/>
        <w:tblW w:w="9296" w:type="dxa"/>
        <w:tblBorders>
          <w:top w:val="single" w:sz="4" w:space="0" w:color="auto"/>
          <w:bottom w:val="single" w:sz="4" w:space="0" w:color="auto"/>
        </w:tblBorders>
        <w:tblLook w:val="0420" w:firstRow="1" w:lastRow="0" w:firstColumn="0" w:lastColumn="0" w:noHBand="0" w:noVBand="1"/>
      </w:tblPr>
      <w:tblGrid>
        <w:gridCol w:w="3892"/>
        <w:gridCol w:w="2587"/>
        <w:gridCol w:w="2817"/>
      </w:tblGrid>
      <w:tr w:rsidR="000746DA" w:rsidRPr="003A1E48" w14:paraId="55EBAFE8" w14:textId="77777777" w:rsidTr="00076BF8">
        <w:trPr>
          <w:cnfStyle w:val="100000000000" w:firstRow="1" w:lastRow="0" w:firstColumn="0" w:lastColumn="0" w:oddVBand="0" w:evenVBand="0" w:oddHBand="0" w:evenHBand="0" w:firstRowFirstColumn="0" w:firstRowLastColumn="0" w:lastRowFirstColumn="0" w:lastRowLastColumn="0"/>
          <w:trHeight w:val="673"/>
        </w:trPr>
        <w:tc>
          <w:tcPr>
            <w:tcW w:w="3892" w:type="dxa"/>
            <w:tcBorders>
              <w:top w:val="single" w:sz="4" w:space="0" w:color="auto"/>
              <w:bottom w:val="single" w:sz="4" w:space="0" w:color="auto"/>
            </w:tcBorders>
            <w:vAlign w:val="center"/>
          </w:tcPr>
          <w:p w14:paraId="5631C6DA" w14:textId="77777777" w:rsidR="000746DA" w:rsidRPr="003A1E48" w:rsidRDefault="000746DA" w:rsidP="00DD7F70">
            <w:pPr>
              <w:spacing w:line="360" w:lineRule="auto"/>
              <w:jc w:val="both"/>
              <w:rPr>
                <w:rFonts w:ascii="Book Antiqua" w:hAnsi="Book Antiqua" w:cs="Arial"/>
                <w:b w:val="0"/>
                <w:bCs w:val="0"/>
                <w:lang w:val="en-CA"/>
              </w:rPr>
            </w:pPr>
          </w:p>
        </w:tc>
        <w:tc>
          <w:tcPr>
            <w:tcW w:w="2587" w:type="dxa"/>
            <w:tcBorders>
              <w:top w:val="single" w:sz="4" w:space="0" w:color="auto"/>
              <w:bottom w:val="single" w:sz="4" w:space="0" w:color="auto"/>
            </w:tcBorders>
            <w:vAlign w:val="center"/>
          </w:tcPr>
          <w:p w14:paraId="4EA67C8D" w14:textId="77777777" w:rsidR="000746DA" w:rsidRPr="003A1E48" w:rsidRDefault="000746DA" w:rsidP="00DD7F70">
            <w:pPr>
              <w:spacing w:line="360" w:lineRule="auto"/>
              <w:jc w:val="both"/>
              <w:rPr>
                <w:rFonts w:ascii="Book Antiqua" w:hAnsi="Book Antiqua" w:cs="Arial"/>
                <w:b w:val="0"/>
                <w:bCs w:val="0"/>
                <w:lang w:val="en-CA"/>
              </w:rPr>
            </w:pPr>
            <w:r w:rsidRPr="003A1E48">
              <w:rPr>
                <w:rFonts w:ascii="Book Antiqua" w:hAnsi="Book Antiqua" w:cs="Arial"/>
                <w:lang w:val="en-CA"/>
              </w:rPr>
              <w:t>RAC visits</w:t>
            </w:r>
          </w:p>
          <w:p w14:paraId="64050184" w14:textId="52890C62" w:rsidR="000746DA" w:rsidRPr="003A1E48" w:rsidRDefault="000746DA" w:rsidP="00DD7F70">
            <w:pPr>
              <w:spacing w:line="360" w:lineRule="auto"/>
              <w:jc w:val="both"/>
              <w:rPr>
                <w:rFonts w:ascii="Book Antiqua" w:hAnsi="Book Antiqua" w:cs="Arial"/>
                <w:b w:val="0"/>
                <w:bCs w:val="0"/>
                <w:lang w:val="en-CA"/>
              </w:rPr>
            </w:pPr>
            <w:r w:rsidRPr="003A1E48">
              <w:rPr>
                <w:rFonts w:ascii="Book Antiqua" w:hAnsi="Book Antiqua" w:cs="Arial"/>
                <w:lang w:val="en-CA"/>
              </w:rPr>
              <w:t>(</w:t>
            </w:r>
            <w:r w:rsidRPr="003A1E48">
              <w:rPr>
                <w:rFonts w:ascii="Book Antiqua" w:hAnsi="Book Antiqua" w:cs="Arial"/>
                <w:i/>
                <w:iCs/>
                <w:lang w:val="en-CA"/>
              </w:rPr>
              <w:t>n</w:t>
            </w:r>
            <w:r w:rsidR="00FA3344" w:rsidRPr="003A1E48">
              <w:rPr>
                <w:rFonts w:ascii="Book Antiqua" w:hAnsi="Book Antiqua" w:cs="Arial"/>
                <w:lang w:val="en-CA"/>
              </w:rPr>
              <w:t xml:space="preserve"> </w:t>
            </w:r>
            <w:r w:rsidRPr="003A1E48">
              <w:rPr>
                <w:rFonts w:ascii="Book Antiqua" w:hAnsi="Book Antiqua" w:cs="Arial"/>
                <w:lang w:val="en-CA"/>
              </w:rPr>
              <w:t>=</w:t>
            </w:r>
            <w:r w:rsidR="00FA3344" w:rsidRPr="003A1E48">
              <w:rPr>
                <w:rFonts w:ascii="Book Antiqua" w:hAnsi="Book Antiqua" w:cs="Arial"/>
                <w:lang w:val="en-CA"/>
              </w:rPr>
              <w:t xml:space="preserve"> </w:t>
            </w:r>
            <w:r w:rsidRPr="003A1E48">
              <w:rPr>
                <w:rFonts w:ascii="Book Antiqua" w:hAnsi="Book Antiqua" w:cs="Arial"/>
                <w:lang w:val="en-CA"/>
              </w:rPr>
              <w:t>488)</w:t>
            </w:r>
          </w:p>
        </w:tc>
        <w:tc>
          <w:tcPr>
            <w:tcW w:w="2817" w:type="dxa"/>
            <w:tcBorders>
              <w:top w:val="single" w:sz="4" w:space="0" w:color="auto"/>
              <w:bottom w:val="single" w:sz="4" w:space="0" w:color="auto"/>
            </w:tcBorders>
            <w:vAlign w:val="center"/>
          </w:tcPr>
          <w:p w14:paraId="2F180C0E" w14:textId="19B78BEC" w:rsidR="000746DA" w:rsidRPr="003A1E48" w:rsidRDefault="003A1E48" w:rsidP="00DD7F70">
            <w:pPr>
              <w:spacing w:line="360" w:lineRule="auto"/>
              <w:jc w:val="both"/>
              <w:rPr>
                <w:rFonts w:ascii="Book Antiqua" w:hAnsi="Book Antiqua" w:cs="Arial"/>
                <w:b w:val="0"/>
                <w:bCs w:val="0"/>
                <w:lang w:val="en-CA"/>
              </w:rPr>
            </w:pPr>
            <w:r w:rsidRPr="003A1E48">
              <w:rPr>
                <w:rFonts w:ascii="Book Antiqua" w:hAnsi="Book Antiqua" w:cs="Arial"/>
                <w:lang w:val="en-CA"/>
              </w:rPr>
              <w:t>Emergency department</w:t>
            </w:r>
          </w:p>
          <w:p w14:paraId="48934C87" w14:textId="7897C0FB" w:rsidR="000746DA" w:rsidRPr="003A1E48" w:rsidRDefault="000746DA" w:rsidP="00DD7F70">
            <w:pPr>
              <w:spacing w:line="360" w:lineRule="auto"/>
              <w:jc w:val="both"/>
              <w:rPr>
                <w:rFonts w:ascii="Book Antiqua" w:hAnsi="Book Antiqua" w:cs="Arial"/>
                <w:b w:val="0"/>
                <w:bCs w:val="0"/>
                <w:lang w:val="en-CA"/>
              </w:rPr>
            </w:pPr>
            <w:r w:rsidRPr="003A1E48">
              <w:rPr>
                <w:rFonts w:ascii="Book Antiqua" w:hAnsi="Book Antiqua" w:cs="Arial"/>
                <w:lang w:val="en-CA"/>
              </w:rPr>
              <w:t>visits (</w:t>
            </w:r>
            <w:r w:rsidRPr="003A1E48">
              <w:rPr>
                <w:rFonts w:ascii="Book Antiqua" w:hAnsi="Book Antiqua" w:cs="Arial"/>
                <w:i/>
                <w:iCs/>
                <w:lang w:val="en-CA"/>
              </w:rPr>
              <w:t>n</w:t>
            </w:r>
            <w:r w:rsidR="00FA3344" w:rsidRPr="003A1E48">
              <w:rPr>
                <w:rFonts w:ascii="Book Antiqua" w:hAnsi="Book Antiqua" w:cs="Arial"/>
                <w:lang w:val="en-CA"/>
              </w:rPr>
              <w:t xml:space="preserve"> </w:t>
            </w:r>
            <w:r w:rsidRPr="003A1E48">
              <w:rPr>
                <w:rFonts w:ascii="Book Antiqua" w:hAnsi="Book Antiqua" w:cs="Arial"/>
                <w:lang w:val="en-CA"/>
              </w:rPr>
              <w:t>=</w:t>
            </w:r>
            <w:r w:rsidR="00FA3344" w:rsidRPr="003A1E48">
              <w:rPr>
                <w:rFonts w:ascii="Book Antiqua" w:hAnsi="Book Antiqua" w:cs="Arial"/>
                <w:lang w:val="en-CA"/>
              </w:rPr>
              <w:t xml:space="preserve"> </w:t>
            </w:r>
            <w:r w:rsidRPr="003A1E48">
              <w:rPr>
                <w:rFonts w:ascii="Book Antiqua" w:hAnsi="Book Antiqua" w:cs="Arial"/>
                <w:lang w:val="en-CA"/>
              </w:rPr>
              <w:t>135)</w:t>
            </w:r>
          </w:p>
        </w:tc>
      </w:tr>
      <w:tr w:rsidR="000746DA" w:rsidRPr="003A1E48" w14:paraId="00FFB56A"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single" w:sz="4" w:space="0" w:color="auto"/>
              <w:bottom w:val="none" w:sz="0" w:space="0" w:color="auto"/>
            </w:tcBorders>
            <w:vAlign w:val="center"/>
            <w:hideMark/>
          </w:tcPr>
          <w:p w14:paraId="4DC84174" w14:textId="0F6F8425" w:rsidR="000746DA" w:rsidRPr="00076BF8" w:rsidRDefault="000746DA" w:rsidP="00DD7F70">
            <w:pPr>
              <w:spacing w:line="360" w:lineRule="auto"/>
              <w:jc w:val="both"/>
              <w:rPr>
                <w:rFonts w:ascii="Book Antiqua" w:hAnsi="Book Antiqua" w:cs="Arial"/>
                <w:lang w:val="en-CA"/>
              </w:rPr>
            </w:pPr>
            <w:r w:rsidRPr="00076BF8">
              <w:rPr>
                <w:rFonts w:ascii="Book Antiqua" w:hAnsi="Book Antiqua" w:cs="Arial"/>
                <w:lang w:val="en-CA"/>
              </w:rPr>
              <w:t>CD/UC (</w:t>
            </w:r>
            <w:r w:rsidR="00076BF8" w:rsidRPr="00076BF8">
              <w:rPr>
                <w:rFonts w:ascii="Book Antiqua" w:hAnsi="Book Antiqua" w:cs="Arial"/>
                <w:i/>
                <w:iCs/>
                <w:lang w:val="en-CA"/>
              </w:rPr>
              <w:t>n</w:t>
            </w:r>
            <w:r w:rsidRPr="00076BF8">
              <w:rPr>
                <w:rFonts w:ascii="Book Antiqua" w:hAnsi="Book Antiqua" w:cs="Arial"/>
                <w:lang w:val="en-CA"/>
              </w:rPr>
              <w:t>)</w:t>
            </w:r>
          </w:p>
        </w:tc>
        <w:tc>
          <w:tcPr>
            <w:tcW w:w="2587" w:type="dxa"/>
            <w:tcBorders>
              <w:top w:val="single" w:sz="4" w:space="0" w:color="auto"/>
              <w:bottom w:val="none" w:sz="0" w:space="0" w:color="auto"/>
            </w:tcBorders>
            <w:vAlign w:val="center"/>
            <w:hideMark/>
          </w:tcPr>
          <w:p w14:paraId="1683E7BE"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334/154</w:t>
            </w:r>
          </w:p>
        </w:tc>
        <w:tc>
          <w:tcPr>
            <w:tcW w:w="2817" w:type="dxa"/>
            <w:tcBorders>
              <w:top w:val="single" w:sz="4" w:space="0" w:color="auto"/>
              <w:bottom w:val="none" w:sz="0" w:space="0" w:color="auto"/>
            </w:tcBorders>
            <w:vAlign w:val="center"/>
          </w:tcPr>
          <w:p w14:paraId="5D5E2D60" w14:textId="77777777" w:rsidR="000746DA" w:rsidRPr="003A1E48" w:rsidRDefault="000746DA" w:rsidP="00DD7F70">
            <w:pPr>
              <w:spacing w:line="360" w:lineRule="auto"/>
              <w:jc w:val="both"/>
              <w:rPr>
                <w:rFonts w:ascii="Book Antiqua" w:hAnsi="Book Antiqua" w:cs="Arial"/>
                <w:bCs/>
                <w:lang w:val="en-CA"/>
              </w:rPr>
            </w:pPr>
            <w:r w:rsidRPr="003A1E48">
              <w:rPr>
                <w:rFonts w:ascii="Book Antiqua" w:hAnsi="Book Antiqua" w:cs="Arial"/>
                <w:bCs/>
                <w:lang w:val="en-CA"/>
              </w:rPr>
              <w:t>97/38</w:t>
            </w:r>
          </w:p>
        </w:tc>
      </w:tr>
      <w:tr w:rsidR="000746DA" w:rsidRPr="003A1E48" w14:paraId="7618B344" w14:textId="77777777" w:rsidTr="00076BF8">
        <w:trPr>
          <w:trHeight w:val="452"/>
        </w:trPr>
        <w:tc>
          <w:tcPr>
            <w:tcW w:w="3892" w:type="dxa"/>
            <w:vAlign w:val="center"/>
            <w:hideMark/>
          </w:tcPr>
          <w:p w14:paraId="6CDF487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Men/Women (%)</w:t>
            </w:r>
          </w:p>
        </w:tc>
        <w:tc>
          <w:tcPr>
            <w:tcW w:w="2587" w:type="dxa"/>
            <w:vAlign w:val="center"/>
            <w:hideMark/>
          </w:tcPr>
          <w:p w14:paraId="4CEB2C4F"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41.3/58.7</w:t>
            </w:r>
          </w:p>
        </w:tc>
        <w:tc>
          <w:tcPr>
            <w:tcW w:w="2817" w:type="dxa"/>
            <w:vAlign w:val="center"/>
          </w:tcPr>
          <w:p w14:paraId="750FB17B"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60.7/39.3</w:t>
            </w:r>
          </w:p>
        </w:tc>
      </w:tr>
      <w:tr w:rsidR="000746DA" w:rsidRPr="003A1E48" w14:paraId="2803B27B"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2CA23403" w14:textId="1824CEB7" w:rsidR="000746DA" w:rsidRPr="003A1E48" w:rsidRDefault="000746DA" w:rsidP="00DD7F70">
            <w:pPr>
              <w:spacing w:line="360" w:lineRule="auto"/>
              <w:jc w:val="both"/>
              <w:rPr>
                <w:rFonts w:ascii="Book Antiqua" w:hAnsi="Book Antiqua" w:cs="Arial"/>
                <w:lang w:val="en-CA"/>
              </w:rPr>
            </w:pPr>
            <w:r w:rsidRPr="00E72D38">
              <w:rPr>
                <w:rFonts w:ascii="Book Antiqua" w:hAnsi="Book Antiqua" w:cs="Arial"/>
                <w:caps/>
                <w:lang w:val="en-CA"/>
              </w:rPr>
              <w:t>a</w:t>
            </w:r>
            <w:r w:rsidRPr="003A1E48">
              <w:rPr>
                <w:rFonts w:ascii="Book Antiqua" w:hAnsi="Book Antiqua" w:cs="Arial"/>
                <w:lang w:val="en-CA"/>
              </w:rPr>
              <w:t>ge (</w:t>
            </w:r>
            <w:r w:rsidR="00E72D38" w:rsidRPr="003A1E48">
              <w:rPr>
                <w:rFonts w:ascii="Book Antiqua" w:hAnsi="Book Antiqua" w:cs="Arial"/>
                <w:lang w:val="en-CA"/>
              </w:rPr>
              <w:t xml:space="preserve">mean </w:t>
            </w:r>
            <w:r w:rsidR="00E72D38">
              <w:rPr>
                <w:rFonts w:ascii="Book Antiqua" w:hAnsi="Book Antiqua" w:cs="Arial" w:hint="eastAsia"/>
                <w:lang w:val="en-CA" w:eastAsia="zh-CN"/>
              </w:rPr>
              <w:t>±</w:t>
            </w:r>
            <w:r w:rsidR="00E72D38">
              <w:rPr>
                <w:rFonts w:ascii="Book Antiqua" w:hAnsi="Book Antiqua" w:cs="Arial"/>
                <w:lang w:val="en-CA"/>
              </w:rPr>
              <w:t xml:space="preserve"> </w:t>
            </w:r>
            <w:r w:rsidRPr="003A1E48">
              <w:rPr>
                <w:rFonts w:ascii="Book Antiqua" w:hAnsi="Book Antiqua" w:cs="Arial"/>
                <w:lang w:val="en-CA"/>
              </w:rPr>
              <w:t>SD</w:t>
            </w:r>
            <w:r w:rsidR="00E72D38">
              <w:rPr>
                <w:rFonts w:ascii="Book Antiqua" w:hAnsi="Book Antiqua" w:cs="Arial" w:hint="eastAsia"/>
                <w:lang w:val="en-CA" w:eastAsia="zh-CN"/>
              </w:rPr>
              <w:t>,</w:t>
            </w:r>
            <w:r w:rsidR="00E72D38">
              <w:rPr>
                <w:rFonts w:ascii="Book Antiqua" w:hAnsi="Book Antiqua" w:cs="Arial"/>
                <w:lang w:val="en-CA" w:eastAsia="zh-CN"/>
              </w:rPr>
              <w:t xml:space="preserve"> </w:t>
            </w:r>
            <w:proofErr w:type="spellStart"/>
            <w:r w:rsidR="00E72D38">
              <w:rPr>
                <w:rFonts w:ascii="Book Antiqua" w:hAnsi="Book Antiqua" w:cs="Arial"/>
                <w:lang w:val="en-CA" w:eastAsia="zh-CN"/>
              </w:rPr>
              <w:t>yr</w:t>
            </w:r>
            <w:proofErr w:type="spellEnd"/>
            <w:r w:rsidRPr="003A1E48">
              <w:rPr>
                <w:rFonts w:ascii="Book Antiqua" w:hAnsi="Book Antiqua" w:cs="Arial"/>
                <w:lang w:val="en-CA"/>
              </w:rPr>
              <w:t xml:space="preserve">) </w:t>
            </w:r>
          </w:p>
        </w:tc>
        <w:tc>
          <w:tcPr>
            <w:tcW w:w="2587" w:type="dxa"/>
            <w:tcBorders>
              <w:top w:val="none" w:sz="0" w:space="0" w:color="auto"/>
              <w:bottom w:val="none" w:sz="0" w:space="0" w:color="auto"/>
            </w:tcBorders>
            <w:vAlign w:val="center"/>
            <w:hideMark/>
          </w:tcPr>
          <w:p w14:paraId="65B217C0" w14:textId="409A66E8"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 xml:space="preserve">39.3 </w:t>
            </w:r>
            <w:r w:rsidR="00E72D38">
              <w:rPr>
                <w:rFonts w:ascii="Book Antiqua" w:hAnsi="Book Antiqua" w:cs="Arial" w:hint="eastAsia"/>
                <w:lang w:val="en-CA" w:eastAsia="zh-CN"/>
              </w:rPr>
              <w:t>±</w:t>
            </w:r>
            <w:r w:rsidR="00E72D38">
              <w:rPr>
                <w:rFonts w:ascii="Book Antiqua" w:hAnsi="Book Antiqua" w:cs="Arial" w:hint="eastAsia"/>
                <w:lang w:val="en-CA" w:eastAsia="zh-CN"/>
              </w:rPr>
              <w:t xml:space="preserve"> </w:t>
            </w:r>
            <w:r w:rsidRPr="003A1E48">
              <w:rPr>
                <w:rFonts w:ascii="Book Antiqua" w:hAnsi="Book Antiqua" w:cs="Arial"/>
                <w:lang w:val="en-CA"/>
              </w:rPr>
              <w:t>14.8</w:t>
            </w:r>
          </w:p>
        </w:tc>
        <w:tc>
          <w:tcPr>
            <w:tcW w:w="2817" w:type="dxa"/>
            <w:tcBorders>
              <w:top w:val="none" w:sz="0" w:space="0" w:color="auto"/>
              <w:bottom w:val="none" w:sz="0" w:space="0" w:color="auto"/>
            </w:tcBorders>
            <w:vAlign w:val="center"/>
          </w:tcPr>
          <w:p w14:paraId="7C461795" w14:textId="7E6AB7BB"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 xml:space="preserve">45.2 </w:t>
            </w:r>
            <w:r w:rsidR="00E72D38">
              <w:rPr>
                <w:rFonts w:ascii="Book Antiqua" w:hAnsi="Book Antiqua" w:cs="Arial" w:hint="eastAsia"/>
                <w:lang w:val="en-CA" w:eastAsia="zh-CN"/>
              </w:rPr>
              <w:t>±</w:t>
            </w:r>
            <w:r w:rsidR="00E72D38">
              <w:rPr>
                <w:rFonts w:ascii="Book Antiqua" w:hAnsi="Book Antiqua" w:cs="Arial" w:hint="eastAsia"/>
                <w:lang w:val="en-CA" w:eastAsia="zh-CN"/>
              </w:rPr>
              <w:t xml:space="preserve"> </w:t>
            </w:r>
            <w:r w:rsidRPr="003A1E48">
              <w:rPr>
                <w:rFonts w:ascii="Book Antiqua" w:hAnsi="Book Antiqua" w:cs="Arial"/>
                <w:bCs/>
                <w:lang w:val="en-CA"/>
              </w:rPr>
              <w:t>18.4</w:t>
            </w:r>
          </w:p>
        </w:tc>
      </w:tr>
      <w:tr w:rsidR="000746DA" w:rsidRPr="003A1E48" w14:paraId="6DB14BCA" w14:textId="77777777" w:rsidTr="00076BF8">
        <w:trPr>
          <w:trHeight w:val="644"/>
        </w:trPr>
        <w:tc>
          <w:tcPr>
            <w:tcW w:w="3892" w:type="dxa"/>
            <w:vAlign w:val="center"/>
            <w:hideMark/>
          </w:tcPr>
          <w:p w14:paraId="30E2DC3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CD localization L1/L2/L3/L4 (%)</w:t>
            </w:r>
          </w:p>
        </w:tc>
        <w:tc>
          <w:tcPr>
            <w:tcW w:w="2587" w:type="dxa"/>
            <w:vAlign w:val="center"/>
            <w:hideMark/>
          </w:tcPr>
          <w:p w14:paraId="0A2636E5"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25.1/27.9/46.0/1.0</w:t>
            </w:r>
          </w:p>
        </w:tc>
        <w:tc>
          <w:tcPr>
            <w:tcW w:w="2817" w:type="dxa"/>
            <w:vAlign w:val="center"/>
          </w:tcPr>
          <w:p w14:paraId="7714A2AA"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18.4/19.4/62.2/-</w:t>
            </w:r>
          </w:p>
        </w:tc>
      </w:tr>
      <w:tr w:rsidR="000746DA" w:rsidRPr="003A1E48" w14:paraId="33052B9C"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45B58449"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CD behavior B1/B2/B3 (%)</w:t>
            </w:r>
          </w:p>
        </w:tc>
        <w:tc>
          <w:tcPr>
            <w:tcW w:w="2587" w:type="dxa"/>
            <w:tcBorders>
              <w:top w:val="none" w:sz="0" w:space="0" w:color="auto"/>
              <w:bottom w:val="none" w:sz="0" w:space="0" w:color="auto"/>
            </w:tcBorders>
            <w:vAlign w:val="center"/>
            <w:hideMark/>
          </w:tcPr>
          <w:p w14:paraId="5FA0C0C1"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66.7/17.6/15.7</w:t>
            </w:r>
          </w:p>
        </w:tc>
        <w:tc>
          <w:tcPr>
            <w:tcW w:w="2817" w:type="dxa"/>
            <w:tcBorders>
              <w:top w:val="none" w:sz="0" w:space="0" w:color="auto"/>
              <w:bottom w:val="none" w:sz="0" w:space="0" w:color="auto"/>
            </w:tcBorders>
            <w:vAlign w:val="center"/>
          </w:tcPr>
          <w:p w14:paraId="350F9CF5"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38.8/31.6/29.6</w:t>
            </w:r>
          </w:p>
        </w:tc>
      </w:tr>
      <w:tr w:rsidR="000746DA" w:rsidRPr="003A1E48" w14:paraId="3594642C" w14:textId="77777777" w:rsidTr="00076BF8">
        <w:trPr>
          <w:trHeight w:val="452"/>
        </w:trPr>
        <w:tc>
          <w:tcPr>
            <w:tcW w:w="3892" w:type="dxa"/>
            <w:vAlign w:val="center"/>
            <w:hideMark/>
          </w:tcPr>
          <w:p w14:paraId="6866D9E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CD perianal (%)</w:t>
            </w:r>
          </w:p>
        </w:tc>
        <w:tc>
          <w:tcPr>
            <w:tcW w:w="2587" w:type="dxa"/>
            <w:vAlign w:val="center"/>
            <w:hideMark/>
          </w:tcPr>
          <w:p w14:paraId="4CC1A79D"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22.7</w:t>
            </w:r>
          </w:p>
        </w:tc>
        <w:tc>
          <w:tcPr>
            <w:tcW w:w="2817" w:type="dxa"/>
            <w:vAlign w:val="center"/>
          </w:tcPr>
          <w:p w14:paraId="3C481D2F"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10.2</w:t>
            </w:r>
          </w:p>
        </w:tc>
      </w:tr>
      <w:tr w:rsidR="000746DA" w:rsidRPr="003A1E48" w14:paraId="5B4DD2C4"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18D3CC7F"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UC location E1/E2/E3 (%)</w:t>
            </w:r>
          </w:p>
        </w:tc>
        <w:tc>
          <w:tcPr>
            <w:tcW w:w="2587" w:type="dxa"/>
            <w:tcBorders>
              <w:top w:val="none" w:sz="0" w:space="0" w:color="auto"/>
              <w:bottom w:val="none" w:sz="0" w:space="0" w:color="auto"/>
            </w:tcBorders>
            <w:vAlign w:val="center"/>
            <w:hideMark/>
          </w:tcPr>
          <w:p w14:paraId="1058D5D1"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8.8/30.4/60.8</w:t>
            </w:r>
          </w:p>
        </w:tc>
        <w:tc>
          <w:tcPr>
            <w:tcW w:w="2817" w:type="dxa"/>
            <w:tcBorders>
              <w:top w:val="none" w:sz="0" w:space="0" w:color="auto"/>
              <w:bottom w:val="none" w:sz="0" w:space="0" w:color="auto"/>
            </w:tcBorders>
            <w:vAlign w:val="center"/>
          </w:tcPr>
          <w:p w14:paraId="3B0F76D0"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-/27.8/72.2</w:t>
            </w:r>
          </w:p>
        </w:tc>
      </w:tr>
      <w:tr w:rsidR="000746DA" w:rsidRPr="003A1E48" w14:paraId="0A4EA2E0" w14:textId="77777777" w:rsidTr="00076BF8">
        <w:trPr>
          <w:trHeight w:val="452"/>
        </w:trPr>
        <w:tc>
          <w:tcPr>
            <w:tcW w:w="3892" w:type="dxa"/>
            <w:vAlign w:val="center"/>
            <w:hideMark/>
          </w:tcPr>
          <w:p w14:paraId="539B94CD"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Biological therapy (%)</w:t>
            </w:r>
          </w:p>
        </w:tc>
        <w:tc>
          <w:tcPr>
            <w:tcW w:w="2587" w:type="dxa"/>
            <w:vAlign w:val="center"/>
            <w:hideMark/>
          </w:tcPr>
          <w:p w14:paraId="12A85005"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60.6</w:t>
            </w:r>
          </w:p>
        </w:tc>
        <w:tc>
          <w:tcPr>
            <w:tcW w:w="2817" w:type="dxa"/>
            <w:vAlign w:val="center"/>
          </w:tcPr>
          <w:p w14:paraId="5E129799"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42.9</w:t>
            </w:r>
          </w:p>
        </w:tc>
      </w:tr>
      <w:tr w:rsidR="000746DA" w:rsidRPr="003A1E48" w14:paraId="79256915" w14:textId="77777777" w:rsidTr="00076BF8">
        <w:trPr>
          <w:cnfStyle w:val="000000100000" w:firstRow="0" w:lastRow="0" w:firstColumn="0" w:lastColumn="0" w:oddVBand="0" w:evenVBand="0" w:oddHBand="1" w:evenHBand="0" w:firstRowFirstColumn="0" w:firstRowLastColumn="0" w:lastRowFirstColumn="0" w:lastRowLastColumn="0"/>
          <w:trHeight w:val="452"/>
        </w:trPr>
        <w:tc>
          <w:tcPr>
            <w:tcW w:w="3892" w:type="dxa"/>
            <w:tcBorders>
              <w:top w:val="none" w:sz="0" w:space="0" w:color="auto"/>
              <w:bottom w:val="none" w:sz="0" w:space="0" w:color="auto"/>
            </w:tcBorders>
            <w:vAlign w:val="center"/>
            <w:hideMark/>
          </w:tcPr>
          <w:p w14:paraId="05CB1A22"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 xml:space="preserve">Previous </w:t>
            </w:r>
            <w:proofErr w:type="spellStart"/>
            <w:r w:rsidRPr="003A1E48">
              <w:rPr>
                <w:rFonts w:ascii="Book Antiqua" w:hAnsi="Book Antiqua" w:cs="Arial"/>
                <w:lang w:val="en-CA"/>
              </w:rPr>
              <w:t>resective</w:t>
            </w:r>
            <w:proofErr w:type="spellEnd"/>
            <w:r w:rsidRPr="003A1E48">
              <w:rPr>
                <w:rFonts w:ascii="Book Antiqua" w:hAnsi="Book Antiqua" w:cs="Arial"/>
                <w:lang w:val="en-CA"/>
              </w:rPr>
              <w:t xml:space="preserve"> surgery (%)</w:t>
            </w:r>
          </w:p>
        </w:tc>
        <w:tc>
          <w:tcPr>
            <w:tcW w:w="2587" w:type="dxa"/>
            <w:tcBorders>
              <w:top w:val="none" w:sz="0" w:space="0" w:color="auto"/>
              <w:bottom w:val="none" w:sz="0" w:space="0" w:color="auto"/>
            </w:tcBorders>
            <w:vAlign w:val="center"/>
            <w:hideMark/>
          </w:tcPr>
          <w:p w14:paraId="5BB64B03"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lang w:val="en-CA"/>
              </w:rPr>
              <w:t>19.8</w:t>
            </w:r>
          </w:p>
        </w:tc>
        <w:tc>
          <w:tcPr>
            <w:tcW w:w="2817" w:type="dxa"/>
            <w:tcBorders>
              <w:top w:val="none" w:sz="0" w:space="0" w:color="auto"/>
              <w:bottom w:val="none" w:sz="0" w:space="0" w:color="auto"/>
            </w:tcBorders>
            <w:vAlign w:val="center"/>
          </w:tcPr>
          <w:p w14:paraId="7B68A8EC" w14:textId="77777777" w:rsidR="000746DA" w:rsidRPr="003A1E48" w:rsidRDefault="000746DA" w:rsidP="00DD7F70">
            <w:pPr>
              <w:spacing w:line="360" w:lineRule="auto"/>
              <w:jc w:val="both"/>
              <w:rPr>
                <w:rFonts w:ascii="Book Antiqua" w:hAnsi="Book Antiqua" w:cs="Arial"/>
                <w:lang w:val="en-CA"/>
              </w:rPr>
            </w:pPr>
            <w:r w:rsidRPr="003A1E48">
              <w:rPr>
                <w:rFonts w:ascii="Book Antiqua" w:hAnsi="Book Antiqua" w:cs="Arial"/>
                <w:bCs/>
                <w:lang w:val="en-CA"/>
              </w:rPr>
              <w:t>35.6</w:t>
            </w:r>
          </w:p>
        </w:tc>
      </w:tr>
    </w:tbl>
    <w:p w14:paraId="2F1B3159" w14:textId="5E40F5AA" w:rsidR="000746DA" w:rsidRPr="003A1E48" w:rsidRDefault="00076BF8" w:rsidP="00DD7F70">
      <w:pPr>
        <w:spacing w:line="360" w:lineRule="auto"/>
        <w:jc w:val="both"/>
        <w:rPr>
          <w:rFonts w:ascii="Book Antiqua" w:hAnsi="Book Antiqua" w:cs="Arial"/>
          <w:lang w:val="en-CA"/>
        </w:rPr>
      </w:pPr>
      <w:r w:rsidRPr="003A1E48">
        <w:rPr>
          <w:rFonts w:ascii="Book Antiqua" w:hAnsi="Book Antiqua" w:cs="Arial"/>
          <w:bCs/>
          <w:lang w:val="en-CA"/>
        </w:rPr>
        <w:t>RAC: Rapi</w:t>
      </w:r>
      <w:r w:rsidR="009D7C94" w:rsidRPr="003A1E48">
        <w:rPr>
          <w:rFonts w:ascii="Book Antiqua" w:hAnsi="Book Antiqua" w:cs="Arial"/>
          <w:bCs/>
          <w:lang w:val="en-CA"/>
        </w:rPr>
        <w:t>d access cli</w:t>
      </w:r>
      <w:r w:rsidRPr="003A1E48">
        <w:rPr>
          <w:rFonts w:ascii="Book Antiqua" w:hAnsi="Book Antiqua" w:cs="Arial"/>
          <w:bCs/>
          <w:lang w:val="en-CA"/>
        </w:rPr>
        <w:t>nic;</w:t>
      </w:r>
      <w:r>
        <w:rPr>
          <w:rFonts w:ascii="Book Antiqua" w:hAnsi="Book Antiqua" w:cs="Arial"/>
          <w:bCs/>
          <w:lang w:val="en-CA"/>
        </w:rPr>
        <w:t xml:space="preserve"> CD: </w:t>
      </w:r>
      <w:r w:rsidRPr="003A1E48">
        <w:rPr>
          <w:rFonts w:ascii="Book Antiqua" w:hAnsi="Book Antiqua" w:cs="Arial"/>
          <w:bCs/>
          <w:lang w:val="en-CA"/>
        </w:rPr>
        <w:t>Crohn’s disease</w:t>
      </w:r>
      <w:r>
        <w:rPr>
          <w:rFonts w:ascii="Book Antiqua" w:hAnsi="Book Antiqua" w:cs="Arial"/>
          <w:bCs/>
          <w:lang w:val="en-CA"/>
        </w:rPr>
        <w:t xml:space="preserve">; UC: </w:t>
      </w:r>
      <w:r w:rsidRPr="003A1E48">
        <w:rPr>
          <w:rFonts w:ascii="Book Antiqua" w:hAnsi="Book Antiqua" w:cs="Arial"/>
          <w:bCs/>
          <w:lang w:val="en-CA"/>
        </w:rPr>
        <w:t>Ulcerative colitis</w:t>
      </w:r>
      <w:r>
        <w:rPr>
          <w:rFonts w:ascii="Book Antiqua" w:hAnsi="Book Antiqua" w:cs="Arial"/>
          <w:bCs/>
          <w:lang w:val="en-CA"/>
        </w:rPr>
        <w:t>.</w:t>
      </w:r>
    </w:p>
    <w:p w14:paraId="10931E77" w14:textId="77777777" w:rsidR="00DD7F70" w:rsidRPr="003A1E48" w:rsidRDefault="00DD7F70" w:rsidP="00DD7F70">
      <w:pPr>
        <w:spacing w:line="360" w:lineRule="auto"/>
        <w:jc w:val="both"/>
        <w:rPr>
          <w:rFonts w:ascii="Book Antiqua" w:hAnsi="Book Antiqua" w:cs="Arial"/>
          <w:b/>
          <w:bCs/>
          <w:lang w:val="en-CA"/>
        </w:rPr>
      </w:pPr>
      <w:r w:rsidRPr="003A1E48">
        <w:rPr>
          <w:rFonts w:ascii="Book Antiqua" w:hAnsi="Book Antiqua" w:cs="Arial"/>
          <w:b/>
          <w:bCs/>
          <w:lang w:val="en-CA"/>
        </w:rPr>
        <w:br w:type="page"/>
      </w:r>
    </w:p>
    <w:p w14:paraId="34ECE640" w14:textId="6A31D885" w:rsidR="00FA3344" w:rsidRPr="003A1E48" w:rsidRDefault="00FA3344" w:rsidP="00DD7F70">
      <w:pPr>
        <w:spacing w:line="360" w:lineRule="auto"/>
        <w:jc w:val="both"/>
        <w:rPr>
          <w:rFonts w:ascii="Book Antiqua" w:hAnsi="Book Antiqua" w:cs="Arial"/>
          <w:b/>
          <w:lang w:val="en-CA"/>
        </w:rPr>
      </w:pPr>
      <w:r w:rsidRPr="003A1E48">
        <w:rPr>
          <w:rFonts w:ascii="Book Antiqua" w:hAnsi="Book Antiqua" w:cs="Arial"/>
          <w:b/>
          <w:bCs/>
          <w:lang w:val="en-CA"/>
        </w:rPr>
        <w:lastRenderedPageBreak/>
        <w:t xml:space="preserve">Table 2 </w:t>
      </w:r>
      <w:r w:rsidRPr="003A1E48">
        <w:rPr>
          <w:rFonts w:ascii="Book Antiqua" w:hAnsi="Book Antiqua" w:cs="Arial"/>
          <w:b/>
          <w:lang w:val="en-CA"/>
        </w:rPr>
        <w:t xml:space="preserve">Comparison of resource utilization between </w:t>
      </w:r>
      <w:r w:rsidR="009D7C94" w:rsidRPr="003A1E48">
        <w:rPr>
          <w:rFonts w:ascii="Book Antiqua" w:hAnsi="Book Antiqua" w:cs="Arial"/>
          <w:b/>
          <w:lang w:val="en-CA"/>
        </w:rPr>
        <w:t>rapid access cl</w:t>
      </w:r>
      <w:r w:rsidRPr="003A1E48">
        <w:rPr>
          <w:rFonts w:ascii="Book Antiqua" w:hAnsi="Book Antiqua" w:cs="Arial"/>
          <w:b/>
          <w:lang w:val="en-CA"/>
        </w:rPr>
        <w:t>inic</w:t>
      </w:r>
      <w:r w:rsidRPr="003A1E48">
        <w:rPr>
          <w:rFonts w:ascii="Book Antiqua" w:hAnsi="Book Antiqua" w:cs="Arial"/>
          <w:b/>
          <w:i/>
          <w:iCs/>
        </w:rPr>
        <w:t xml:space="preserve"> vs</w:t>
      </w:r>
      <w:r w:rsidRPr="003A1E48">
        <w:rPr>
          <w:rFonts w:ascii="Book Antiqua" w:hAnsi="Book Antiqua" w:cs="Arial"/>
          <w:b/>
        </w:rPr>
        <w:t xml:space="preserve"> </w:t>
      </w:r>
      <w:r w:rsidR="003A1E48" w:rsidRPr="003A1E48">
        <w:rPr>
          <w:rFonts w:ascii="Book Antiqua" w:hAnsi="Book Antiqua" w:cs="Arial"/>
          <w:b/>
          <w:lang w:val="en-CA"/>
        </w:rPr>
        <w:t xml:space="preserve">emergency department </w:t>
      </w:r>
      <w:r w:rsidRPr="003A1E48">
        <w:rPr>
          <w:rFonts w:ascii="Book Antiqua" w:hAnsi="Book Antiqua" w:cs="Arial"/>
          <w:b/>
          <w:lang w:val="en-CA"/>
        </w:rPr>
        <w:t xml:space="preserve">visits </w:t>
      </w:r>
    </w:p>
    <w:tbl>
      <w:tblPr>
        <w:tblStyle w:val="2"/>
        <w:tblW w:w="0" w:type="auto"/>
        <w:tblBorders>
          <w:top w:val="single" w:sz="4" w:space="0" w:color="auto"/>
          <w:bottom w:val="single" w:sz="4" w:space="0" w:color="auto"/>
        </w:tblBorders>
        <w:tblLook w:val="04A0" w:firstRow="1" w:lastRow="0" w:firstColumn="1" w:lastColumn="0" w:noHBand="0" w:noVBand="1"/>
      </w:tblPr>
      <w:tblGrid>
        <w:gridCol w:w="2175"/>
        <w:gridCol w:w="2499"/>
        <w:gridCol w:w="2500"/>
        <w:gridCol w:w="2176"/>
      </w:tblGrid>
      <w:tr w:rsidR="00FA3344" w:rsidRPr="003A1E48" w14:paraId="5C364755" w14:textId="77777777" w:rsidTr="00076BF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single" w:sz="4" w:space="0" w:color="auto"/>
              <w:bottom w:val="single" w:sz="4" w:space="0" w:color="auto"/>
            </w:tcBorders>
            <w:vAlign w:val="center"/>
          </w:tcPr>
          <w:p w14:paraId="7F49FAD1" w14:textId="77777777" w:rsidR="00FA3344" w:rsidRPr="003A1E48" w:rsidRDefault="00FA3344" w:rsidP="00DD7F70">
            <w:pPr>
              <w:spacing w:line="360" w:lineRule="auto"/>
              <w:jc w:val="both"/>
              <w:rPr>
                <w:rFonts w:ascii="Book Antiqua" w:hAnsi="Book Antiqua" w:cs="Arial"/>
                <w:b w:val="0"/>
                <w:color w:val="000000" w:themeColor="text1"/>
              </w:rPr>
            </w:pPr>
          </w:p>
        </w:tc>
        <w:tc>
          <w:tcPr>
            <w:tcW w:w="2499" w:type="dxa"/>
            <w:tcBorders>
              <w:top w:val="single" w:sz="4" w:space="0" w:color="auto"/>
              <w:bottom w:val="single" w:sz="4" w:space="0" w:color="auto"/>
            </w:tcBorders>
            <w:vAlign w:val="center"/>
          </w:tcPr>
          <w:p w14:paraId="54280E66" w14:textId="236BB158"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RAC resource utilization (%)</w:t>
            </w:r>
            <w:r w:rsidR="00E72D38">
              <w:rPr>
                <w:rFonts w:ascii="Book Antiqua" w:hAnsi="Book Antiqua" w:cs="Arial"/>
                <w:color w:val="000000" w:themeColor="text1"/>
                <w:vertAlign w:val="superscript"/>
              </w:rPr>
              <w:t>1</w:t>
            </w:r>
          </w:p>
        </w:tc>
        <w:tc>
          <w:tcPr>
            <w:tcW w:w="2500" w:type="dxa"/>
            <w:tcBorders>
              <w:top w:val="single" w:sz="4" w:space="0" w:color="auto"/>
              <w:bottom w:val="single" w:sz="4" w:space="0" w:color="auto"/>
            </w:tcBorders>
            <w:vAlign w:val="center"/>
          </w:tcPr>
          <w:p w14:paraId="1FBD3D3E" w14:textId="2DB41D18"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ED resource utilization (%)</w:t>
            </w:r>
            <w:r w:rsidR="00E72D38">
              <w:rPr>
                <w:rFonts w:ascii="Book Antiqua" w:hAnsi="Book Antiqua" w:cs="Segoe UI Symbol"/>
                <w:color w:val="000000" w:themeColor="text1"/>
                <w:vertAlign w:val="superscript"/>
              </w:rPr>
              <w:t>2</w:t>
            </w:r>
          </w:p>
        </w:tc>
        <w:tc>
          <w:tcPr>
            <w:tcW w:w="2176" w:type="dxa"/>
            <w:tcBorders>
              <w:top w:val="single" w:sz="4" w:space="0" w:color="auto"/>
              <w:bottom w:val="single" w:sz="4" w:space="0" w:color="auto"/>
            </w:tcBorders>
            <w:vAlign w:val="center"/>
          </w:tcPr>
          <w:p w14:paraId="39E3335D" w14:textId="4FE0D82B"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i/>
                <w:iCs/>
                <w:color w:val="000000" w:themeColor="text1"/>
              </w:rPr>
              <w:t>P</w:t>
            </w:r>
            <w:r w:rsidRPr="003A1E48">
              <w:rPr>
                <w:rFonts w:ascii="Book Antiqua" w:hAnsi="Book Antiqua" w:cs="Arial"/>
                <w:color w:val="000000" w:themeColor="text1"/>
              </w:rPr>
              <w:t>-value</w:t>
            </w:r>
          </w:p>
        </w:tc>
      </w:tr>
      <w:tr w:rsidR="00FA3344" w:rsidRPr="003A1E48" w14:paraId="7A11B0CD"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single" w:sz="4" w:space="0" w:color="auto"/>
              <w:bottom w:val="none" w:sz="0" w:space="0" w:color="auto"/>
            </w:tcBorders>
            <w:vAlign w:val="center"/>
          </w:tcPr>
          <w:p w14:paraId="295B6BD6" w14:textId="77777777" w:rsidR="00FA3344" w:rsidRPr="003A1E48" w:rsidRDefault="00FA3344" w:rsidP="00DD7F70">
            <w:pPr>
              <w:spacing w:line="360" w:lineRule="auto"/>
              <w:jc w:val="both"/>
              <w:rPr>
                <w:rFonts w:ascii="Book Antiqua" w:hAnsi="Book Antiqua" w:cs="Arial"/>
                <w:b w:val="0"/>
                <w:bCs w:val="0"/>
                <w:color w:val="000000" w:themeColor="text1"/>
              </w:rPr>
            </w:pPr>
            <w:r w:rsidRPr="003A1E48">
              <w:rPr>
                <w:rFonts w:ascii="Book Antiqua" w:hAnsi="Book Antiqua" w:cs="Arial"/>
                <w:b w:val="0"/>
                <w:color w:val="000000" w:themeColor="text1"/>
              </w:rPr>
              <w:t>CRP</w:t>
            </w:r>
          </w:p>
        </w:tc>
        <w:tc>
          <w:tcPr>
            <w:tcW w:w="2499" w:type="dxa"/>
            <w:tcBorders>
              <w:top w:val="single" w:sz="4" w:space="0" w:color="auto"/>
              <w:bottom w:val="none" w:sz="0" w:space="0" w:color="auto"/>
            </w:tcBorders>
            <w:vAlign w:val="center"/>
          </w:tcPr>
          <w:p w14:paraId="3344B00F"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90.9</w:t>
            </w:r>
          </w:p>
        </w:tc>
        <w:tc>
          <w:tcPr>
            <w:tcW w:w="2500" w:type="dxa"/>
            <w:tcBorders>
              <w:top w:val="single" w:sz="4" w:space="0" w:color="auto"/>
              <w:bottom w:val="none" w:sz="0" w:space="0" w:color="auto"/>
            </w:tcBorders>
            <w:vAlign w:val="center"/>
          </w:tcPr>
          <w:p w14:paraId="6D22F594"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98.5</w:t>
            </w:r>
          </w:p>
        </w:tc>
        <w:tc>
          <w:tcPr>
            <w:tcW w:w="2176" w:type="dxa"/>
            <w:tcBorders>
              <w:top w:val="single" w:sz="4" w:space="0" w:color="auto"/>
              <w:bottom w:val="none" w:sz="0" w:space="0" w:color="auto"/>
            </w:tcBorders>
            <w:vAlign w:val="center"/>
          </w:tcPr>
          <w:p w14:paraId="71342F91" w14:textId="1BF134A7" w:rsidR="00FA3344" w:rsidRPr="003A1E48" w:rsidRDefault="00076BF8"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NS</w:t>
            </w:r>
          </w:p>
        </w:tc>
      </w:tr>
      <w:tr w:rsidR="00FA3344" w:rsidRPr="003A1E48" w14:paraId="51E68A2D"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13B8B4AB"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FCAL</w:t>
            </w:r>
          </w:p>
        </w:tc>
        <w:tc>
          <w:tcPr>
            <w:tcW w:w="2499" w:type="dxa"/>
            <w:vAlign w:val="center"/>
          </w:tcPr>
          <w:p w14:paraId="2FF7B1E7"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73</w:t>
            </w:r>
          </w:p>
        </w:tc>
        <w:tc>
          <w:tcPr>
            <w:tcW w:w="2500" w:type="dxa"/>
            <w:vAlign w:val="center"/>
          </w:tcPr>
          <w:p w14:paraId="4C70C41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10.4</w:t>
            </w:r>
          </w:p>
        </w:tc>
        <w:tc>
          <w:tcPr>
            <w:tcW w:w="2176" w:type="dxa"/>
            <w:vAlign w:val="center"/>
          </w:tcPr>
          <w:p w14:paraId="1D1F3951" w14:textId="5964F04B"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3B5B1B03"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144FD191"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 diff stool test</w:t>
            </w:r>
          </w:p>
        </w:tc>
        <w:tc>
          <w:tcPr>
            <w:tcW w:w="2499" w:type="dxa"/>
            <w:tcBorders>
              <w:top w:val="none" w:sz="0" w:space="0" w:color="auto"/>
              <w:bottom w:val="none" w:sz="0" w:space="0" w:color="auto"/>
            </w:tcBorders>
            <w:vAlign w:val="center"/>
          </w:tcPr>
          <w:p w14:paraId="55276CC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43.1</w:t>
            </w:r>
          </w:p>
        </w:tc>
        <w:tc>
          <w:tcPr>
            <w:tcW w:w="2500" w:type="dxa"/>
            <w:tcBorders>
              <w:top w:val="none" w:sz="0" w:space="0" w:color="auto"/>
              <w:bottom w:val="none" w:sz="0" w:space="0" w:color="auto"/>
            </w:tcBorders>
            <w:vAlign w:val="center"/>
          </w:tcPr>
          <w:p w14:paraId="64843A7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51.1</w:t>
            </w:r>
          </w:p>
        </w:tc>
        <w:tc>
          <w:tcPr>
            <w:tcW w:w="2176" w:type="dxa"/>
            <w:tcBorders>
              <w:top w:val="none" w:sz="0" w:space="0" w:color="auto"/>
              <w:bottom w:val="none" w:sz="0" w:space="0" w:color="auto"/>
            </w:tcBorders>
            <w:vAlign w:val="center"/>
          </w:tcPr>
          <w:p w14:paraId="3FC31DCD"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0.03</w:t>
            </w:r>
          </w:p>
        </w:tc>
      </w:tr>
      <w:tr w:rsidR="00FA3344" w:rsidRPr="003A1E48" w14:paraId="7789F270"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31281E41"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Stool Culture</w:t>
            </w:r>
          </w:p>
        </w:tc>
        <w:tc>
          <w:tcPr>
            <w:tcW w:w="2499" w:type="dxa"/>
            <w:vAlign w:val="center"/>
          </w:tcPr>
          <w:p w14:paraId="6B1D671F"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41.9</w:t>
            </w:r>
          </w:p>
        </w:tc>
        <w:tc>
          <w:tcPr>
            <w:tcW w:w="2500" w:type="dxa"/>
            <w:vAlign w:val="center"/>
          </w:tcPr>
          <w:p w14:paraId="620A035A"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48.9</w:t>
            </w:r>
          </w:p>
        </w:tc>
        <w:tc>
          <w:tcPr>
            <w:tcW w:w="2176" w:type="dxa"/>
            <w:vAlign w:val="center"/>
          </w:tcPr>
          <w:p w14:paraId="352F6D89"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0.06</w:t>
            </w:r>
          </w:p>
        </w:tc>
      </w:tr>
      <w:tr w:rsidR="00FA3344" w:rsidRPr="003A1E48" w14:paraId="015FD347"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0226B272"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TDM</w:t>
            </w:r>
          </w:p>
        </w:tc>
        <w:tc>
          <w:tcPr>
            <w:tcW w:w="2499" w:type="dxa"/>
            <w:tcBorders>
              <w:top w:val="none" w:sz="0" w:space="0" w:color="auto"/>
              <w:bottom w:val="none" w:sz="0" w:space="0" w:color="auto"/>
            </w:tcBorders>
            <w:vAlign w:val="center"/>
          </w:tcPr>
          <w:p w14:paraId="2198675A"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14.7</w:t>
            </w:r>
          </w:p>
        </w:tc>
        <w:tc>
          <w:tcPr>
            <w:tcW w:w="2500" w:type="dxa"/>
            <w:tcBorders>
              <w:top w:val="none" w:sz="0" w:space="0" w:color="auto"/>
              <w:bottom w:val="none" w:sz="0" w:space="0" w:color="auto"/>
            </w:tcBorders>
            <w:vAlign w:val="center"/>
          </w:tcPr>
          <w:p w14:paraId="6EC1BA6A"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w:t>
            </w:r>
          </w:p>
        </w:tc>
        <w:tc>
          <w:tcPr>
            <w:tcW w:w="2176" w:type="dxa"/>
            <w:tcBorders>
              <w:top w:val="none" w:sz="0" w:space="0" w:color="auto"/>
              <w:bottom w:val="none" w:sz="0" w:space="0" w:color="auto"/>
            </w:tcBorders>
            <w:vAlign w:val="center"/>
          </w:tcPr>
          <w:p w14:paraId="191979BC" w14:textId="7FD1B824"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28016774"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54390430"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Colonoscopy</w:t>
            </w:r>
          </w:p>
        </w:tc>
        <w:tc>
          <w:tcPr>
            <w:tcW w:w="2499" w:type="dxa"/>
            <w:vAlign w:val="center"/>
          </w:tcPr>
          <w:p w14:paraId="2A628486"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17.9</w:t>
            </w:r>
          </w:p>
        </w:tc>
        <w:tc>
          <w:tcPr>
            <w:tcW w:w="2500" w:type="dxa"/>
            <w:vAlign w:val="center"/>
          </w:tcPr>
          <w:p w14:paraId="2082DAE1"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26.7</w:t>
            </w:r>
          </w:p>
        </w:tc>
        <w:tc>
          <w:tcPr>
            <w:tcW w:w="2176" w:type="dxa"/>
            <w:vAlign w:val="center"/>
          </w:tcPr>
          <w:p w14:paraId="5713A72E"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0.005</w:t>
            </w:r>
          </w:p>
        </w:tc>
      </w:tr>
      <w:tr w:rsidR="00FA3344" w:rsidRPr="003A1E48" w14:paraId="0FD4E73D"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58EA9B84"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Flexible sigmoidoscopy</w:t>
            </w:r>
          </w:p>
        </w:tc>
        <w:tc>
          <w:tcPr>
            <w:tcW w:w="2499" w:type="dxa"/>
            <w:tcBorders>
              <w:top w:val="none" w:sz="0" w:space="0" w:color="auto"/>
              <w:bottom w:val="none" w:sz="0" w:space="0" w:color="auto"/>
            </w:tcBorders>
            <w:vAlign w:val="center"/>
          </w:tcPr>
          <w:p w14:paraId="3B5CF0A5"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6.7</w:t>
            </w:r>
          </w:p>
        </w:tc>
        <w:tc>
          <w:tcPr>
            <w:tcW w:w="2500" w:type="dxa"/>
            <w:tcBorders>
              <w:top w:val="none" w:sz="0" w:space="0" w:color="auto"/>
              <w:bottom w:val="none" w:sz="0" w:space="0" w:color="auto"/>
            </w:tcBorders>
            <w:vAlign w:val="center"/>
          </w:tcPr>
          <w:p w14:paraId="7788ADAC"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14.8</w:t>
            </w:r>
          </w:p>
        </w:tc>
        <w:tc>
          <w:tcPr>
            <w:tcW w:w="2176" w:type="dxa"/>
            <w:tcBorders>
              <w:top w:val="none" w:sz="0" w:space="0" w:color="auto"/>
              <w:bottom w:val="none" w:sz="0" w:space="0" w:color="auto"/>
            </w:tcBorders>
            <w:vAlign w:val="center"/>
          </w:tcPr>
          <w:p w14:paraId="517BA77A" w14:textId="2B924B12"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002F5D4C"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75B7C28F"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CT abdominal</w:t>
            </w:r>
          </w:p>
        </w:tc>
        <w:tc>
          <w:tcPr>
            <w:tcW w:w="2499" w:type="dxa"/>
            <w:vAlign w:val="center"/>
          </w:tcPr>
          <w:p w14:paraId="25AFD90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6.0</w:t>
            </w:r>
          </w:p>
        </w:tc>
        <w:tc>
          <w:tcPr>
            <w:tcW w:w="2500" w:type="dxa"/>
            <w:vAlign w:val="center"/>
          </w:tcPr>
          <w:p w14:paraId="66254C09"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65.7</w:t>
            </w:r>
          </w:p>
        </w:tc>
        <w:tc>
          <w:tcPr>
            <w:tcW w:w="2176" w:type="dxa"/>
            <w:vAlign w:val="center"/>
          </w:tcPr>
          <w:p w14:paraId="3FE2F074" w14:textId="2656AD1C"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42AD71B9"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341AE734"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MRI</w:t>
            </w:r>
          </w:p>
        </w:tc>
        <w:tc>
          <w:tcPr>
            <w:tcW w:w="2499" w:type="dxa"/>
            <w:tcBorders>
              <w:top w:val="none" w:sz="0" w:space="0" w:color="auto"/>
              <w:bottom w:val="none" w:sz="0" w:space="0" w:color="auto"/>
            </w:tcBorders>
            <w:vAlign w:val="center"/>
          </w:tcPr>
          <w:p w14:paraId="0724916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2.1</w:t>
            </w:r>
          </w:p>
        </w:tc>
        <w:tc>
          <w:tcPr>
            <w:tcW w:w="2500" w:type="dxa"/>
            <w:tcBorders>
              <w:top w:val="none" w:sz="0" w:space="0" w:color="auto"/>
              <w:bottom w:val="none" w:sz="0" w:space="0" w:color="auto"/>
            </w:tcBorders>
            <w:vAlign w:val="center"/>
          </w:tcPr>
          <w:p w14:paraId="20EA1626"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2.2</w:t>
            </w:r>
          </w:p>
        </w:tc>
        <w:tc>
          <w:tcPr>
            <w:tcW w:w="2176" w:type="dxa"/>
            <w:tcBorders>
              <w:top w:val="none" w:sz="0" w:space="0" w:color="auto"/>
              <w:bottom w:val="none" w:sz="0" w:space="0" w:color="auto"/>
            </w:tcBorders>
            <w:vAlign w:val="center"/>
          </w:tcPr>
          <w:p w14:paraId="4F607676" w14:textId="0E93A66B" w:rsidR="00FA3344" w:rsidRPr="003A1E48" w:rsidRDefault="00076BF8"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Pr>
                <w:rFonts w:ascii="Book Antiqua" w:hAnsi="Book Antiqua" w:cs="Arial"/>
                <w:color w:val="000000" w:themeColor="text1"/>
              </w:rPr>
              <w:t>NS</w:t>
            </w:r>
          </w:p>
        </w:tc>
      </w:tr>
      <w:tr w:rsidR="00FA3344" w:rsidRPr="003A1E48" w14:paraId="460F61D1"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12F08C6B"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Abdominal ultrasound</w:t>
            </w:r>
          </w:p>
        </w:tc>
        <w:tc>
          <w:tcPr>
            <w:tcW w:w="2499" w:type="dxa"/>
            <w:vAlign w:val="center"/>
          </w:tcPr>
          <w:p w14:paraId="31479FEA"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11.3</w:t>
            </w:r>
          </w:p>
        </w:tc>
        <w:tc>
          <w:tcPr>
            <w:tcW w:w="2500" w:type="dxa"/>
            <w:vAlign w:val="center"/>
          </w:tcPr>
          <w:p w14:paraId="23CEB2F2"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3.7</w:t>
            </w:r>
          </w:p>
        </w:tc>
        <w:tc>
          <w:tcPr>
            <w:tcW w:w="2176" w:type="dxa"/>
            <w:vAlign w:val="center"/>
          </w:tcPr>
          <w:p w14:paraId="4BB3A6B6" w14:textId="6F6C2E14"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&lt; 0.001</w:t>
            </w:r>
          </w:p>
        </w:tc>
      </w:tr>
      <w:tr w:rsidR="00FA3344" w:rsidRPr="003A1E48" w14:paraId="2F3455FB"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572876A0"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Gastroenterology consultation</w:t>
            </w:r>
          </w:p>
        </w:tc>
        <w:tc>
          <w:tcPr>
            <w:tcW w:w="2499" w:type="dxa"/>
            <w:tcBorders>
              <w:top w:val="none" w:sz="0" w:space="0" w:color="auto"/>
              <w:bottom w:val="none" w:sz="0" w:space="0" w:color="auto"/>
            </w:tcBorders>
            <w:vAlign w:val="center"/>
          </w:tcPr>
          <w:p w14:paraId="465BC0F3"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w:t>
            </w:r>
          </w:p>
        </w:tc>
        <w:tc>
          <w:tcPr>
            <w:tcW w:w="2500" w:type="dxa"/>
            <w:tcBorders>
              <w:top w:val="none" w:sz="0" w:space="0" w:color="auto"/>
              <w:bottom w:val="none" w:sz="0" w:space="0" w:color="auto"/>
            </w:tcBorders>
            <w:vAlign w:val="center"/>
          </w:tcPr>
          <w:p w14:paraId="49060889"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100</w:t>
            </w:r>
          </w:p>
        </w:tc>
        <w:tc>
          <w:tcPr>
            <w:tcW w:w="2176" w:type="dxa"/>
            <w:tcBorders>
              <w:top w:val="none" w:sz="0" w:space="0" w:color="auto"/>
              <w:bottom w:val="none" w:sz="0" w:space="0" w:color="auto"/>
            </w:tcBorders>
            <w:vAlign w:val="center"/>
          </w:tcPr>
          <w:p w14:paraId="07825CF2"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A3344" w:rsidRPr="003A1E48" w14:paraId="5C50A054"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05D33C27" w14:textId="72CF7903"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 xml:space="preserve">Internal </w:t>
            </w:r>
            <w:r w:rsidR="00BF2E63" w:rsidRPr="003A1E48">
              <w:rPr>
                <w:rFonts w:ascii="Book Antiqua" w:hAnsi="Book Antiqua" w:cs="Arial"/>
                <w:b w:val="0"/>
                <w:color w:val="000000" w:themeColor="text1"/>
              </w:rPr>
              <w:t>m</w:t>
            </w:r>
            <w:r w:rsidRPr="003A1E48">
              <w:rPr>
                <w:rFonts w:ascii="Book Antiqua" w:hAnsi="Book Antiqua" w:cs="Arial"/>
                <w:b w:val="0"/>
                <w:color w:val="000000" w:themeColor="text1"/>
              </w:rPr>
              <w:t>edicine consultation</w:t>
            </w:r>
          </w:p>
        </w:tc>
        <w:tc>
          <w:tcPr>
            <w:tcW w:w="2499" w:type="dxa"/>
            <w:vAlign w:val="center"/>
          </w:tcPr>
          <w:p w14:paraId="13B75FF7"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w:t>
            </w:r>
          </w:p>
        </w:tc>
        <w:tc>
          <w:tcPr>
            <w:tcW w:w="2500" w:type="dxa"/>
            <w:vAlign w:val="center"/>
          </w:tcPr>
          <w:p w14:paraId="7CE93841"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50.4</w:t>
            </w:r>
          </w:p>
        </w:tc>
        <w:tc>
          <w:tcPr>
            <w:tcW w:w="2176" w:type="dxa"/>
            <w:vAlign w:val="center"/>
          </w:tcPr>
          <w:p w14:paraId="1A20184A"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FA3344" w:rsidRPr="003A1E48" w14:paraId="09F0BED5" w14:textId="77777777" w:rsidTr="00076B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75" w:type="dxa"/>
            <w:tcBorders>
              <w:top w:val="none" w:sz="0" w:space="0" w:color="auto"/>
              <w:bottom w:val="none" w:sz="0" w:space="0" w:color="auto"/>
            </w:tcBorders>
            <w:vAlign w:val="center"/>
          </w:tcPr>
          <w:p w14:paraId="1C23A15E"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Colorectal surgery consultation</w:t>
            </w:r>
          </w:p>
        </w:tc>
        <w:tc>
          <w:tcPr>
            <w:tcW w:w="2499" w:type="dxa"/>
            <w:tcBorders>
              <w:top w:val="none" w:sz="0" w:space="0" w:color="auto"/>
              <w:bottom w:val="none" w:sz="0" w:space="0" w:color="auto"/>
            </w:tcBorders>
            <w:vAlign w:val="center"/>
          </w:tcPr>
          <w:p w14:paraId="1DF24760"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w:t>
            </w:r>
          </w:p>
        </w:tc>
        <w:tc>
          <w:tcPr>
            <w:tcW w:w="2500" w:type="dxa"/>
            <w:tcBorders>
              <w:top w:val="none" w:sz="0" w:space="0" w:color="auto"/>
              <w:bottom w:val="none" w:sz="0" w:space="0" w:color="auto"/>
            </w:tcBorders>
            <w:vAlign w:val="center"/>
          </w:tcPr>
          <w:p w14:paraId="72A8F880"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37.8</w:t>
            </w:r>
          </w:p>
        </w:tc>
        <w:tc>
          <w:tcPr>
            <w:tcW w:w="2176" w:type="dxa"/>
            <w:tcBorders>
              <w:top w:val="none" w:sz="0" w:space="0" w:color="auto"/>
              <w:bottom w:val="none" w:sz="0" w:space="0" w:color="auto"/>
            </w:tcBorders>
            <w:vAlign w:val="center"/>
          </w:tcPr>
          <w:p w14:paraId="57524368"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A3344" w:rsidRPr="003A1E48" w14:paraId="46EDD5D3" w14:textId="77777777" w:rsidTr="00076BF8">
        <w:trPr>
          <w:trHeight w:val="567"/>
        </w:trPr>
        <w:tc>
          <w:tcPr>
            <w:cnfStyle w:val="001000000000" w:firstRow="0" w:lastRow="0" w:firstColumn="1" w:lastColumn="0" w:oddVBand="0" w:evenVBand="0" w:oddHBand="0" w:evenHBand="0" w:firstRowFirstColumn="0" w:firstRowLastColumn="0" w:lastRowFirstColumn="0" w:lastRowLastColumn="0"/>
            <w:tcW w:w="2175" w:type="dxa"/>
            <w:vAlign w:val="center"/>
          </w:tcPr>
          <w:p w14:paraId="73D5A0E1" w14:textId="77777777" w:rsidR="00FA3344" w:rsidRPr="003A1E48" w:rsidRDefault="00FA3344" w:rsidP="00DD7F70">
            <w:pPr>
              <w:spacing w:line="360" w:lineRule="auto"/>
              <w:jc w:val="both"/>
              <w:rPr>
                <w:rFonts w:ascii="Book Antiqua" w:hAnsi="Book Antiqua" w:cs="Arial"/>
                <w:b w:val="0"/>
                <w:color w:val="000000" w:themeColor="text1"/>
              </w:rPr>
            </w:pPr>
            <w:r w:rsidRPr="003A1E48">
              <w:rPr>
                <w:rFonts w:ascii="Book Antiqua" w:hAnsi="Book Antiqua" w:cs="Arial"/>
                <w:b w:val="0"/>
                <w:color w:val="000000" w:themeColor="text1"/>
              </w:rPr>
              <w:t>Other consults</w:t>
            </w:r>
          </w:p>
        </w:tc>
        <w:tc>
          <w:tcPr>
            <w:tcW w:w="2499" w:type="dxa"/>
            <w:vAlign w:val="center"/>
          </w:tcPr>
          <w:p w14:paraId="6589DE1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9.8</w:t>
            </w:r>
          </w:p>
        </w:tc>
        <w:tc>
          <w:tcPr>
            <w:tcW w:w="2500" w:type="dxa"/>
            <w:vAlign w:val="center"/>
          </w:tcPr>
          <w:p w14:paraId="7519BFB1"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3A1E48">
              <w:rPr>
                <w:rFonts w:ascii="Book Antiqua" w:hAnsi="Book Antiqua" w:cs="Arial"/>
                <w:color w:val="000000" w:themeColor="text1"/>
              </w:rPr>
              <w:t>9.6</w:t>
            </w:r>
          </w:p>
        </w:tc>
        <w:tc>
          <w:tcPr>
            <w:tcW w:w="2176" w:type="dxa"/>
            <w:vAlign w:val="center"/>
          </w:tcPr>
          <w:p w14:paraId="77DBD100" w14:textId="77777777" w:rsidR="00FA3344" w:rsidRPr="00E72D3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aps/>
                <w:color w:val="000000" w:themeColor="text1"/>
              </w:rPr>
            </w:pPr>
            <w:r w:rsidRPr="00E72D38">
              <w:rPr>
                <w:rFonts w:ascii="Book Antiqua" w:hAnsi="Book Antiqua" w:cs="Arial"/>
                <w:caps/>
                <w:color w:val="000000" w:themeColor="text1"/>
              </w:rPr>
              <w:t>ns</w:t>
            </w:r>
          </w:p>
        </w:tc>
      </w:tr>
    </w:tbl>
    <w:p w14:paraId="52C8B73A" w14:textId="0F3DC9F9" w:rsidR="00FA3344" w:rsidRDefault="00E72D38" w:rsidP="00DD7F70">
      <w:pPr>
        <w:spacing w:line="360" w:lineRule="auto"/>
        <w:jc w:val="both"/>
        <w:rPr>
          <w:rFonts w:ascii="Book Antiqua" w:hAnsi="Book Antiqua" w:cs="Arial"/>
          <w:bCs/>
          <w:lang w:val="en-CA"/>
        </w:rPr>
      </w:pPr>
      <w:r w:rsidRPr="00E72D38">
        <w:rPr>
          <w:rFonts w:ascii="Book Antiqua" w:hAnsi="Book Antiqua" w:cs="Arial"/>
          <w:vertAlign w:val="superscript"/>
          <w:lang w:val="en-CA"/>
        </w:rPr>
        <w:t>1</w:t>
      </w:r>
      <w:r>
        <w:rPr>
          <w:rFonts w:ascii="Book Antiqua" w:hAnsi="Book Antiqua" w:cs="Arial"/>
          <w:lang w:val="en-CA"/>
        </w:rPr>
        <w:t>Four hundred and nineteen</w:t>
      </w:r>
      <w:r w:rsidR="00FA3344" w:rsidRPr="003A1E48">
        <w:rPr>
          <w:rFonts w:ascii="Book Antiqua" w:hAnsi="Book Antiqua" w:cs="Arial"/>
          <w:lang w:val="en-CA"/>
        </w:rPr>
        <w:t xml:space="preserve"> patients presenting for MD or nurse visit for RAC clinic visit</w:t>
      </w:r>
      <w:r w:rsidR="00014345">
        <w:rPr>
          <w:rFonts w:ascii="Book Antiqua" w:hAnsi="Book Antiqua" w:cs="Arial"/>
          <w:lang w:val="en-CA"/>
        </w:rPr>
        <w:t>.</w:t>
      </w:r>
      <w:r w:rsidR="00FA3344" w:rsidRPr="003A1E48">
        <w:rPr>
          <w:rFonts w:ascii="Book Antiqua" w:hAnsi="Book Antiqua" w:cs="Arial"/>
          <w:lang w:val="en-CA"/>
        </w:rPr>
        <w:t xml:space="preserve"> </w:t>
      </w:r>
      <w:r w:rsidRPr="00E72D38">
        <w:rPr>
          <w:rFonts w:ascii="Book Antiqua" w:hAnsi="Book Antiqua" w:cs="Arial"/>
          <w:vertAlign w:val="superscript"/>
          <w:lang w:val="en-CA"/>
        </w:rPr>
        <w:t>2</w:t>
      </w:r>
      <w:r>
        <w:rPr>
          <w:rFonts w:ascii="Book Antiqua" w:hAnsi="Book Antiqua" w:cs="Arial"/>
          <w:lang w:val="en-CA"/>
        </w:rPr>
        <w:t>One hundred and thirty-five</w:t>
      </w:r>
      <w:r w:rsidRPr="003A1E48">
        <w:rPr>
          <w:rFonts w:ascii="Book Antiqua" w:hAnsi="Book Antiqua" w:cs="Arial"/>
          <w:lang w:val="en-CA"/>
        </w:rPr>
        <w:t xml:space="preserve"> </w:t>
      </w:r>
      <w:r w:rsidR="00FA3344" w:rsidRPr="003A1E48">
        <w:rPr>
          <w:rFonts w:ascii="Book Antiqua" w:hAnsi="Book Antiqua" w:cs="Arial"/>
          <w:lang w:val="en-CA"/>
        </w:rPr>
        <w:t>patients presenting for ED visit, with no previous access to RAC services.</w:t>
      </w:r>
      <w:r>
        <w:rPr>
          <w:rFonts w:ascii="Book Antiqua" w:hAnsi="Book Antiqua" w:cs="Arial" w:hint="eastAsia"/>
          <w:b/>
          <w:bCs/>
          <w:lang w:val="en-CA" w:eastAsia="zh-CN"/>
        </w:rPr>
        <w:t xml:space="preserve"> </w:t>
      </w:r>
      <w:r w:rsidR="00014345" w:rsidRPr="003A1E48">
        <w:rPr>
          <w:rFonts w:ascii="Book Antiqua" w:hAnsi="Book Antiqua" w:cs="Arial"/>
          <w:bCs/>
          <w:lang w:val="en-CA"/>
        </w:rPr>
        <w:t xml:space="preserve">RAC: Rapid </w:t>
      </w:r>
      <w:r w:rsidR="00BF2E63" w:rsidRPr="003A1E48">
        <w:rPr>
          <w:rFonts w:ascii="Book Antiqua" w:hAnsi="Book Antiqua" w:cs="Arial"/>
          <w:bCs/>
          <w:lang w:val="en-CA"/>
        </w:rPr>
        <w:t>access c</w:t>
      </w:r>
      <w:r w:rsidR="00014345" w:rsidRPr="003A1E48">
        <w:rPr>
          <w:rFonts w:ascii="Book Antiqua" w:hAnsi="Book Antiqua" w:cs="Arial"/>
          <w:bCs/>
          <w:lang w:val="en-CA"/>
        </w:rPr>
        <w:t xml:space="preserve">linic; ED: Emergency department; CRP: C-reactive </w:t>
      </w:r>
      <w:r w:rsidR="00014345" w:rsidRPr="003A1E48">
        <w:rPr>
          <w:rFonts w:ascii="Book Antiqua" w:hAnsi="Book Antiqua" w:cs="Arial"/>
          <w:bCs/>
          <w:lang w:val="en-CA"/>
        </w:rPr>
        <w:lastRenderedPageBreak/>
        <w:t>protein; FCAL: Fecal calprotectin; TDM: Therapeutic drug monitoring; CT: Computed tomography; MRI: Magnetic resonance imaging.</w:t>
      </w:r>
    </w:p>
    <w:p w14:paraId="507A032A" w14:textId="77777777" w:rsidR="00D41761" w:rsidRPr="003A1E48" w:rsidRDefault="00D41761" w:rsidP="00DD7F70">
      <w:pPr>
        <w:spacing w:line="360" w:lineRule="auto"/>
        <w:jc w:val="both"/>
        <w:rPr>
          <w:rFonts w:ascii="Book Antiqua" w:hAnsi="Book Antiqua" w:cs="Arial"/>
          <w:b/>
          <w:bCs/>
          <w:lang w:val="en-CA"/>
        </w:rPr>
      </w:pPr>
      <w:bookmarkStart w:id="23" w:name="_GoBack"/>
      <w:bookmarkEnd w:id="23"/>
    </w:p>
    <w:p w14:paraId="02668C52" w14:textId="5B55D27A" w:rsidR="00FA3344" w:rsidRPr="00014345" w:rsidRDefault="00FA3344" w:rsidP="00DD7F70">
      <w:pPr>
        <w:spacing w:line="360" w:lineRule="auto"/>
        <w:jc w:val="both"/>
        <w:rPr>
          <w:rFonts w:ascii="Book Antiqua" w:hAnsi="Book Antiqua" w:cs="Arial"/>
          <w:b/>
          <w:bCs/>
          <w:lang w:val="en-CA"/>
        </w:rPr>
      </w:pPr>
      <w:r w:rsidRPr="003A1E48">
        <w:rPr>
          <w:rFonts w:ascii="Book Antiqua" w:hAnsi="Book Antiqua" w:cs="Arial"/>
          <w:b/>
          <w:lang w:val="en-CA"/>
        </w:rPr>
        <w:t>Table 3</w:t>
      </w:r>
      <w:r w:rsidRPr="00014345">
        <w:rPr>
          <w:rFonts w:ascii="Book Antiqua" w:hAnsi="Book Antiqua" w:cs="Arial"/>
          <w:b/>
          <w:bCs/>
          <w:lang w:val="en-CA"/>
        </w:rPr>
        <w:t xml:space="preserve"> </w:t>
      </w:r>
      <w:r w:rsidR="00014345" w:rsidRPr="003A1E48">
        <w:rPr>
          <w:rFonts w:ascii="Book Antiqua" w:hAnsi="Book Antiqua" w:cs="Arial"/>
          <w:b/>
          <w:bCs/>
          <w:lang w:val="en-CA"/>
        </w:rPr>
        <w:t>Inflammatory bowel disease</w:t>
      </w:r>
      <w:r w:rsidR="00014345" w:rsidRPr="00014345">
        <w:rPr>
          <w:rFonts w:ascii="Book Antiqua" w:hAnsi="Book Antiqua" w:cs="Arial"/>
          <w:b/>
          <w:bCs/>
          <w:lang w:val="en-CA"/>
        </w:rPr>
        <w:t xml:space="preserve"> </w:t>
      </w:r>
      <w:r w:rsidRPr="00014345">
        <w:rPr>
          <w:rFonts w:ascii="Book Antiqua" w:hAnsi="Book Antiqua" w:cs="Arial"/>
          <w:b/>
          <w:bCs/>
          <w:lang w:val="en-CA"/>
        </w:rPr>
        <w:t xml:space="preserve">related treatment change based on </w:t>
      </w:r>
      <w:r w:rsidR="00261774" w:rsidRPr="00014345">
        <w:rPr>
          <w:rFonts w:ascii="Book Antiqua" w:hAnsi="Book Antiqua" w:cs="Arial"/>
          <w:b/>
          <w:bCs/>
          <w:lang w:val="en-CA"/>
        </w:rPr>
        <w:t>rapid access cli</w:t>
      </w:r>
      <w:r w:rsidR="00014345" w:rsidRPr="00014345">
        <w:rPr>
          <w:rFonts w:ascii="Book Antiqua" w:hAnsi="Book Antiqua" w:cs="Arial"/>
          <w:b/>
          <w:bCs/>
          <w:lang w:val="en-CA"/>
        </w:rPr>
        <w:t>nic/emergency department</w:t>
      </w:r>
      <w:r w:rsidRPr="00014345">
        <w:rPr>
          <w:rFonts w:ascii="Book Antiqua" w:hAnsi="Book Antiqua" w:cs="Arial"/>
          <w:b/>
          <w:bCs/>
          <w:lang w:val="en-CA"/>
        </w:rPr>
        <w:t xml:space="preserve"> visit</w:t>
      </w:r>
    </w:p>
    <w:tbl>
      <w:tblPr>
        <w:tblStyle w:val="2"/>
        <w:tblW w:w="0" w:type="auto"/>
        <w:tblBorders>
          <w:top w:val="single" w:sz="4" w:space="0" w:color="auto"/>
          <w:bottom w:val="single" w:sz="4" w:space="0" w:color="auto"/>
        </w:tblBorders>
        <w:tblLook w:val="04A0" w:firstRow="1" w:lastRow="0" w:firstColumn="1" w:lastColumn="0" w:noHBand="0" w:noVBand="1"/>
      </w:tblPr>
      <w:tblGrid>
        <w:gridCol w:w="3029"/>
        <w:gridCol w:w="3011"/>
        <w:gridCol w:w="3032"/>
      </w:tblGrid>
      <w:tr w:rsidR="00FA3344" w:rsidRPr="003A1E48" w14:paraId="276C0427" w14:textId="77777777" w:rsidTr="00076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bottom w:val="single" w:sz="4" w:space="0" w:color="auto"/>
            </w:tcBorders>
            <w:vAlign w:val="center"/>
          </w:tcPr>
          <w:p w14:paraId="3321E421" w14:textId="77777777" w:rsidR="00FA3344" w:rsidRPr="003A1E48" w:rsidRDefault="00FA3344" w:rsidP="00DD7F70">
            <w:pPr>
              <w:spacing w:line="360" w:lineRule="auto"/>
              <w:jc w:val="both"/>
              <w:rPr>
                <w:rFonts w:ascii="Book Antiqua" w:hAnsi="Book Antiqua" w:cs="Arial"/>
                <w:lang w:val="en-CA"/>
              </w:rPr>
            </w:pPr>
          </w:p>
        </w:tc>
        <w:tc>
          <w:tcPr>
            <w:tcW w:w="3011" w:type="dxa"/>
            <w:tcBorders>
              <w:top w:val="single" w:sz="4" w:space="0" w:color="auto"/>
              <w:bottom w:val="single" w:sz="4" w:space="0" w:color="auto"/>
            </w:tcBorders>
            <w:vAlign w:val="center"/>
          </w:tcPr>
          <w:p w14:paraId="3639A4A0" w14:textId="77777777"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lang w:val="en-CA"/>
              </w:rPr>
            </w:pPr>
            <w:r w:rsidRPr="003A1E48">
              <w:rPr>
                <w:rFonts w:ascii="Book Antiqua" w:hAnsi="Book Antiqua" w:cs="Arial"/>
                <w:lang w:val="en-CA"/>
              </w:rPr>
              <w:t>RAC visits</w:t>
            </w:r>
          </w:p>
          <w:p w14:paraId="5C6D686A" w14:textId="374D8AF9" w:rsidR="00FA3344" w:rsidRPr="003A1E48" w:rsidRDefault="00FA3344"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w:t>
            </w:r>
            <w:r w:rsidRPr="003A1E48">
              <w:rPr>
                <w:rFonts w:ascii="Book Antiqua" w:hAnsi="Book Antiqua" w:cs="Arial"/>
                <w:i/>
                <w:iCs/>
                <w:lang w:val="en-CA"/>
              </w:rPr>
              <w:t>n</w:t>
            </w:r>
            <w:r w:rsidRPr="003A1E48">
              <w:rPr>
                <w:rFonts w:ascii="Book Antiqua" w:hAnsi="Book Antiqua" w:cs="Arial"/>
                <w:lang w:val="en-CA"/>
              </w:rPr>
              <w:t xml:space="preserve"> = 488)</w:t>
            </w:r>
          </w:p>
        </w:tc>
        <w:tc>
          <w:tcPr>
            <w:tcW w:w="3032" w:type="dxa"/>
            <w:tcBorders>
              <w:top w:val="single" w:sz="4" w:space="0" w:color="auto"/>
              <w:bottom w:val="single" w:sz="4" w:space="0" w:color="auto"/>
            </w:tcBorders>
            <w:vAlign w:val="center"/>
          </w:tcPr>
          <w:p w14:paraId="6C4B7FA0" w14:textId="66ACD9BA" w:rsidR="00FA3344" w:rsidRPr="003A1E48" w:rsidRDefault="003A1E48" w:rsidP="00DD7F7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 xml:space="preserve">Emergency department </w:t>
            </w:r>
            <w:r w:rsidR="00FA3344" w:rsidRPr="003A1E48">
              <w:rPr>
                <w:rFonts w:ascii="Book Antiqua" w:hAnsi="Book Antiqua" w:cs="Arial"/>
                <w:lang w:val="en-CA"/>
              </w:rPr>
              <w:t>visits (</w:t>
            </w:r>
            <w:r w:rsidR="00FA3344" w:rsidRPr="003A1E48">
              <w:rPr>
                <w:rFonts w:ascii="Book Antiqua" w:hAnsi="Book Antiqua" w:cs="Arial"/>
                <w:i/>
                <w:iCs/>
                <w:lang w:val="en-CA"/>
              </w:rPr>
              <w:t>n</w:t>
            </w:r>
            <w:r w:rsidR="00FA3344" w:rsidRPr="003A1E48">
              <w:rPr>
                <w:rFonts w:ascii="Book Antiqua" w:hAnsi="Book Antiqua" w:cs="Arial"/>
                <w:lang w:val="en-CA"/>
              </w:rPr>
              <w:t xml:space="preserve"> = 135)</w:t>
            </w:r>
          </w:p>
        </w:tc>
      </w:tr>
      <w:tr w:rsidR="00FA3344" w:rsidRPr="003A1E48" w14:paraId="541C703D" w14:textId="77777777" w:rsidTr="00076BF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bottom w:val="none" w:sz="0" w:space="0" w:color="auto"/>
            </w:tcBorders>
            <w:vAlign w:val="center"/>
          </w:tcPr>
          <w:p w14:paraId="75E81CB7"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Treatment change</w:t>
            </w:r>
          </w:p>
        </w:tc>
        <w:tc>
          <w:tcPr>
            <w:tcW w:w="3011" w:type="dxa"/>
            <w:tcBorders>
              <w:top w:val="single" w:sz="4" w:space="0" w:color="auto"/>
              <w:bottom w:val="none" w:sz="0" w:space="0" w:color="auto"/>
            </w:tcBorders>
            <w:vAlign w:val="center"/>
          </w:tcPr>
          <w:p w14:paraId="64A27C6F"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54.4%</w:t>
            </w:r>
          </w:p>
        </w:tc>
        <w:tc>
          <w:tcPr>
            <w:tcW w:w="3032" w:type="dxa"/>
            <w:tcBorders>
              <w:top w:val="single" w:sz="4" w:space="0" w:color="auto"/>
              <w:bottom w:val="none" w:sz="0" w:space="0" w:color="auto"/>
            </w:tcBorders>
            <w:vAlign w:val="center"/>
          </w:tcPr>
          <w:p w14:paraId="488C9427"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58.5%</w:t>
            </w:r>
          </w:p>
        </w:tc>
      </w:tr>
      <w:tr w:rsidR="00FA3344" w:rsidRPr="003A1E48" w14:paraId="31EAACEB" w14:textId="77777777" w:rsidTr="00076BF8">
        <w:trPr>
          <w:trHeight w:val="568"/>
        </w:trPr>
        <w:tc>
          <w:tcPr>
            <w:cnfStyle w:val="001000000000" w:firstRow="0" w:lastRow="0" w:firstColumn="1" w:lastColumn="0" w:oddVBand="0" w:evenVBand="0" w:oddHBand="0" w:evenHBand="0" w:firstRowFirstColumn="0" w:firstRowLastColumn="0" w:lastRowFirstColumn="0" w:lastRowLastColumn="0"/>
            <w:tcW w:w="3029" w:type="dxa"/>
            <w:vAlign w:val="center"/>
          </w:tcPr>
          <w:p w14:paraId="620AA65B"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Systemic steroid start or dose adjustment</w:t>
            </w:r>
          </w:p>
        </w:tc>
        <w:tc>
          <w:tcPr>
            <w:tcW w:w="3011" w:type="dxa"/>
            <w:vAlign w:val="center"/>
          </w:tcPr>
          <w:p w14:paraId="4D9CD4DD" w14:textId="1522B784"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21.0%</w:t>
            </w:r>
            <w:r w:rsidR="00E72D38">
              <w:rPr>
                <w:rFonts w:ascii="Book Antiqua" w:hAnsi="Book Antiqua" w:cs="Arial"/>
                <w:vertAlign w:val="superscript"/>
                <w:lang w:val="en-CA"/>
              </w:rPr>
              <w:t>b</w:t>
            </w:r>
          </w:p>
        </w:tc>
        <w:tc>
          <w:tcPr>
            <w:tcW w:w="3032" w:type="dxa"/>
            <w:vAlign w:val="center"/>
          </w:tcPr>
          <w:p w14:paraId="149EFA07" w14:textId="0E85F31E"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42.2%</w:t>
            </w:r>
            <w:r w:rsidR="00E72D38">
              <w:rPr>
                <w:rFonts w:ascii="Book Antiqua" w:hAnsi="Book Antiqua" w:cs="Arial"/>
                <w:vertAlign w:val="superscript"/>
                <w:lang w:val="en-CA"/>
              </w:rPr>
              <w:t>b</w:t>
            </w:r>
          </w:p>
        </w:tc>
      </w:tr>
      <w:tr w:rsidR="00FA3344" w:rsidRPr="003A1E48" w14:paraId="48438D40" w14:textId="77777777" w:rsidTr="00076B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29" w:type="dxa"/>
            <w:tcBorders>
              <w:top w:val="none" w:sz="0" w:space="0" w:color="auto"/>
              <w:bottom w:val="none" w:sz="0" w:space="0" w:color="auto"/>
            </w:tcBorders>
            <w:vAlign w:val="center"/>
          </w:tcPr>
          <w:p w14:paraId="12F88D10"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Biologic start</w:t>
            </w:r>
          </w:p>
        </w:tc>
        <w:tc>
          <w:tcPr>
            <w:tcW w:w="3011" w:type="dxa"/>
            <w:tcBorders>
              <w:top w:val="none" w:sz="0" w:space="0" w:color="auto"/>
              <w:bottom w:val="none" w:sz="0" w:space="0" w:color="auto"/>
            </w:tcBorders>
            <w:vAlign w:val="center"/>
          </w:tcPr>
          <w:p w14:paraId="6448628C"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5.7%</w:t>
            </w:r>
          </w:p>
        </w:tc>
        <w:tc>
          <w:tcPr>
            <w:tcW w:w="3032" w:type="dxa"/>
            <w:vMerge w:val="restart"/>
            <w:tcBorders>
              <w:top w:val="none" w:sz="0" w:space="0" w:color="auto"/>
              <w:bottom w:val="none" w:sz="0" w:space="0" w:color="auto"/>
            </w:tcBorders>
            <w:vAlign w:val="center"/>
          </w:tcPr>
          <w:p w14:paraId="47F9767E" w14:textId="77777777" w:rsidR="00FA3344" w:rsidRPr="003A1E48" w:rsidRDefault="00FA3344" w:rsidP="00DD7F7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2.2%</w:t>
            </w:r>
          </w:p>
        </w:tc>
      </w:tr>
      <w:tr w:rsidR="00FA3344" w:rsidRPr="003A1E48" w14:paraId="46C812FD" w14:textId="77777777" w:rsidTr="00076BF8">
        <w:trPr>
          <w:trHeight w:val="413"/>
        </w:trPr>
        <w:tc>
          <w:tcPr>
            <w:cnfStyle w:val="001000000000" w:firstRow="0" w:lastRow="0" w:firstColumn="1" w:lastColumn="0" w:oddVBand="0" w:evenVBand="0" w:oddHBand="0" w:evenHBand="0" w:firstRowFirstColumn="0" w:firstRowLastColumn="0" w:lastRowFirstColumn="0" w:lastRowLastColumn="0"/>
            <w:tcW w:w="3029" w:type="dxa"/>
            <w:vAlign w:val="center"/>
          </w:tcPr>
          <w:p w14:paraId="628EA30B" w14:textId="77777777" w:rsidR="00FA3344" w:rsidRPr="003A1E48" w:rsidRDefault="00FA3344" w:rsidP="00DD7F70">
            <w:pPr>
              <w:spacing w:line="360" w:lineRule="auto"/>
              <w:jc w:val="both"/>
              <w:rPr>
                <w:rFonts w:ascii="Book Antiqua" w:hAnsi="Book Antiqua" w:cs="Arial"/>
                <w:b w:val="0"/>
                <w:bCs w:val="0"/>
                <w:lang w:val="en-CA"/>
              </w:rPr>
            </w:pPr>
            <w:r w:rsidRPr="003A1E48">
              <w:rPr>
                <w:rFonts w:ascii="Book Antiqua" w:hAnsi="Book Antiqua" w:cs="Arial"/>
                <w:b w:val="0"/>
                <w:bCs w:val="0"/>
                <w:lang w:val="en-CA"/>
              </w:rPr>
              <w:t>Biologic optimization</w:t>
            </w:r>
          </w:p>
        </w:tc>
        <w:tc>
          <w:tcPr>
            <w:tcW w:w="3011" w:type="dxa"/>
            <w:vAlign w:val="center"/>
          </w:tcPr>
          <w:p w14:paraId="1511D230"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r w:rsidRPr="003A1E48">
              <w:rPr>
                <w:rFonts w:ascii="Book Antiqua" w:hAnsi="Book Antiqua" w:cs="Arial"/>
                <w:lang w:val="en-CA"/>
              </w:rPr>
              <w:t>6.2%</w:t>
            </w:r>
          </w:p>
        </w:tc>
        <w:tc>
          <w:tcPr>
            <w:tcW w:w="3032" w:type="dxa"/>
            <w:vMerge/>
            <w:vAlign w:val="center"/>
          </w:tcPr>
          <w:p w14:paraId="67B93235" w14:textId="77777777" w:rsidR="00FA3344" w:rsidRPr="003A1E48" w:rsidRDefault="00FA3344" w:rsidP="00DD7F7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CA"/>
              </w:rPr>
            </w:pPr>
          </w:p>
        </w:tc>
      </w:tr>
    </w:tbl>
    <w:p w14:paraId="191614ED" w14:textId="1D92878B" w:rsidR="00014345" w:rsidRPr="00DD7F70" w:rsidRDefault="00E72D38" w:rsidP="00DD7F70">
      <w:pPr>
        <w:spacing w:line="360" w:lineRule="auto"/>
        <w:jc w:val="both"/>
        <w:rPr>
          <w:rFonts w:ascii="Book Antiqua" w:hAnsi="Book Antiqua" w:cs="Arial"/>
          <w:bCs/>
          <w:lang w:val="en-CA"/>
        </w:rPr>
      </w:pPr>
      <w:proofErr w:type="spellStart"/>
      <w:r>
        <w:rPr>
          <w:rFonts w:ascii="Book Antiqua" w:hAnsi="Book Antiqua" w:cs="Arial"/>
          <w:bCs/>
          <w:vertAlign w:val="superscript"/>
          <w:lang w:val="en-CA"/>
        </w:rPr>
        <w:t>b</w:t>
      </w:r>
      <w:r w:rsidR="00FA3344" w:rsidRPr="003A1E48">
        <w:rPr>
          <w:rFonts w:ascii="Book Antiqua" w:hAnsi="Book Antiqua" w:cs="Arial"/>
          <w:bCs/>
          <w:i/>
          <w:iCs/>
          <w:lang w:val="en-CA"/>
        </w:rPr>
        <w:t>P</w:t>
      </w:r>
      <w:proofErr w:type="spellEnd"/>
      <w:r w:rsidR="00FA3344" w:rsidRPr="003A1E48">
        <w:rPr>
          <w:rFonts w:ascii="Book Antiqua" w:hAnsi="Book Antiqua" w:cs="Arial"/>
          <w:bCs/>
          <w:lang w:val="en-CA"/>
        </w:rPr>
        <w:t xml:space="preserve"> &lt; 0.001.</w:t>
      </w:r>
      <w:bookmarkEnd w:id="0"/>
      <w:r>
        <w:rPr>
          <w:rFonts w:ascii="Book Antiqua" w:hAnsi="Book Antiqua" w:cs="Arial" w:hint="eastAsia"/>
          <w:bCs/>
          <w:lang w:val="en-CA" w:eastAsia="zh-CN"/>
        </w:rPr>
        <w:t xml:space="preserve"> </w:t>
      </w:r>
      <w:r w:rsidR="00014345" w:rsidRPr="003A1E48">
        <w:rPr>
          <w:rFonts w:ascii="Book Antiqua" w:hAnsi="Book Antiqua" w:cs="Arial"/>
          <w:bCs/>
          <w:lang w:val="en-CA"/>
        </w:rPr>
        <w:t xml:space="preserve">RAC: Rapid </w:t>
      </w:r>
      <w:r w:rsidRPr="003A1E48">
        <w:rPr>
          <w:rFonts w:ascii="Book Antiqua" w:hAnsi="Book Antiqua" w:cs="Arial"/>
          <w:bCs/>
          <w:lang w:val="en-CA"/>
        </w:rPr>
        <w:t>access cl</w:t>
      </w:r>
      <w:r w:rsidR="00014345" w:rsidRPr="003A1E48">
        <w:rPr>
          <w:rFonts w:ascii="Book Antiqua" w:hAnsi="Book Antiqua" w:cs="Arial"/>
          <w:bCs/>
          <w:lang w:val="en-CA"/>
        </w:rPr>
        <w:t>inic</w:t>
      </w:r>
      <w:r w:rsidR="00014345">
        <w:rPr>
          <w:rFonts w:ascii="Book Antiqua" w:hAnsi="Book Antiqua" w:cs="Arial"/>
          <w:bCs/>
          <w:lang w:val="en-CA"/>
        </w:rPr>
        <w:t>.</w:t>
      </w:r>
    </w:p>
    <w:sectPr w:rsidR="00014345" w:rsidRPr="00DD7F70" w:rsidSect="002C561A">
      <w:headerReference w:type="default" r:id="rId10"/>
      <w:footerReference w:type="default" r:id="rId11"/>
      <w:endnotePr>
        <w:numFmt w:val="decimal"/>
      </w:endnotePr>
      <w:pgSz w:w="12240" w:h="15840"/>
      <w:pgMar w:top="11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6254" w14:textId="77777777" w:rsidR="004053A0" w:rsidRDefault="004053A0" w:rsidP="005C4870">
      <w:r>
        <w:separator/>
      </w:r>
    </w:p>
  </w:endnote>
  <w:endnote w:type="continuationSeparator" w:id="0">
    <w:p w14:paraId="5D00F4CB" w14:textId="77777777" w:rsidR="004053A0" w:rsidRDefault="004053A0" w:rsidP="005C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roman"/>
    <w:pitch w:val="default"/>
    <w:sig w:usb0="00000000" w:usb1="00000000" w:usb2="00000001" w:usb3="00000000" w:csb0="000001BF" w:csb1="00000000"/>
  </w:font>
  <w:font w:name="Garamond-Bold">
    <w:altName w:val="等线"/>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569364"/>
      <w:docPartObj>
        <w:docPartGallery w:val="Page Numbers (Bottom of Page)"/>
        <w:docPartUnique/>
      </w:docPartObj>
    </w:sdtPr>
    <w:sdtEndPr/>
    <w:sdtContent>
      <w:p w14:paraId="5166C857" w14:textId="4FFF75A9" w:rsidR="00BD20CB" w:rsidRDefault="00BD20CB">
        <w:pPr>
          <w:pStyle w:val="af5"/>
          <w:jc w:val="right"/>
        </w:pPr>
        <w:r>
          <w:fldChar w:fldCharType="begin"/>
        </w:r>
        <w:r>
          <w:instrText>PAGE   \* MERGEFORMAT</w:instrText>
        </w:r>
        <w:r>
          <w:fldChar w:fldCharType="separate"/>
        </w:r>
        <w:r w:rsidR="00186CFB" w:rsidRPr="00186CFB">
          <w:rPr>
            <w:noProof/>
            <w:lang w:val="hu-HU"/>
          </w:rPr>
          <w:t>21</w:t>
        </w:r>
        <w:r>
          <w:fldChar w:fldCharType="end"/>
        </w:r>
      </w:p>
    </w:sdtContent>
  </w:sdt>
  <w:p w14:paraId="5B0C867C" w14:textId="77777777" w:rsidR="00BD20CB" w:rsidRDefault="00BD20C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4440" w14:textId="77777777" w:rsidR="004053A0" w:rsidRDefault="004053A0" w:rsidP="005C4870">
      <w:r>
        <w:separator/>
      </w:r>
    </w:p>
  </w:footnote>
  <w:footnote w:type="continuationSeparator" w:id="0">
    <w:p w14:paraId="4ED9D96D" w14:textId="77777777" w:rsidR="004053A0" w:rsidRDefault="004053A0" w:rsidP="005C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6127" w14:textId="6167E58A" w:rsidR="00BD20CB" w:rsidRPr="00F159AB" w:rsidRDefault="00BD20CB" w:rsidP="00476ACF">
    <w:pPr>
      <w:pStyle w:val="af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6EF8"/>
    <w:multiLevelType w:val="hybridMultilevel"/>
    <w:tmpl w:val="8E0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A50A2"/>
    <w:multiLevelType w:val="multilevel"/>
    <w:tmpl w:val="14C4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C4892"/>
    <w:multiLevelType w:val="hybridMultilevel"/>
    <w:tmpl w:val="7BB06B5C"/>
    <w:lvl w:ilvl="0" w:tplc="05EEDF26">
      <w:start w:val="1"/>
      <w:numFmt w:val="bullet"/>
      <w:lvlText w:val="•"/>
      <w:lvlJc w:val="left"/>
      <w:pPr>
        <w:tabs>
          <w:tab w:val="num" w:pos="720"/>
        </w:tabs>
        <w:ind w:left="720" w:hanging="360"/>
      </w:pPr>
      <w:rPr>
        <w:rFonts w:ascii="Arial" w:hAnsi="Arial" w:hint="default"/>
      </w:rPr>
    </w:lvl>
    <w:lvl w:ilvl="1" w:tplc="6AC80B2C">
      <w:start w:val="1"/>
      <w:numFmt w:val="bullet"/>
      <w:lvlText w:val="•"/>
      <w:lvlJc w:val="left"/>
      <w:pPr>
        <w:tabs>
          <w:tab w:val="num" w:pos="1440"/>
        </w:tabs>
        <w:ind w:left="1440" w:hanging="360"/>
      </w:pPr>
      <w:rPr>
        <w:rFonts w:ascii="Arial" w:hAnsi="Arial" w:hint="default"/>
      </w:rPr>
    </w:lvl>
    <w:lvl w:ilvl="2" w:tplc="E634E3AE" w:tentative="1">
      <w:start w:val="1"/>
      <w:numFmt w:val="bullet"/>
      <w:lvlText w:val="•"/>
      <w:lvlJc w:val="left"/>
      <w:pPr>
        <w:tabs>
          <w:tab w:val="num" w:pos="2160"/>
        </w:tabs>
        <w:ind w:left="2160" w:hanging="360"/>
      </w:pPr>
      <w:rPr>
        <w:rFonts w:ascii="Arial" w:hAnsi="Arial" w:hint="default"/>
      </w:rPr>
    </w:lvl>
    <w:lvl w:ilvl="3" w:tplc="20CED3DE" w:tentative="1">
      <w:start w:val="1"/>
      <w:numFmt w:val="bullet"/>
      <w:lvlText w:val="•"/>
      <w:lvlJc w:val="left"/>
      <w:pPr>
        <w:tabs>
          <w:tab w:val="num" w:pos="2880"/>
        </w:tabs>
        <w:ind w:left="2880" w:hanging="360"/>
      </w:pPr>
      <w:rPr>
        <w:rFonts w:ascii="Arial" w:hAnsi="Arial" w:hint="default"/>
      </w:rPr>
    </w:lvl>
    <w:lvl w:ilvl="4" w:tplc="8D16F34E" w:tentative="1">
      <w:start w:val="1"/>
      <w:numFmt w:val="bullet"/>
      <w:lvlText w:val="•"/>
      <w:lvlJc w:val="left"/>
      <w:pPr>
        <w:tabs>
          <w:tab w:val="num" w:pos="3600"/>
        </w:tabs>
        <w:ind w:left="3600" w:hanging="360"/>
      </w:pPr>
      <w:rPr>
        <w:rFonts w:ascii="Arial" w:hAnsi="Arial" w:hint="default"/>
      </w:rPr>
    </w:lvl>
    <w:lvl w:ilvl="5" w:tplc="8F24F7F0" w:tentative="1">
      <w:start w:val="1"/>
      <w:numFmt w:val="bullet"/>
      <w:lvlText w:val="•"/>
      <w:lvlJc w:val="left"/>
      <w:pPr>
        <w:tabs>
          <w:tab w:val="num" w:pos="4320"/>
        </w:tabs>
        <w:ind w:left="4320" w:hanging="360"/>
      </w:pPr>
      <w:rPr>
        <w:rFonts w:ascii="Arial" w:hAnsi="Arial" w:hint="default"/>
      </w:rPr>
    </w:lvl>
    <w:lvl w:ilvl="6" w:tplc="39C0FC28" w:tentative="1">
      <w:start w:val="1"/>
      <w:numFmt w:val="bullet"/>
      <w:lvlText w:val="•"/>
      <w:lvlJc w:val="left"/>
      <w:pPr>
        <w:tabs>
          <w:tab w:val="num" w:pos="5040"/>
        </w:tabs>
        <w:ind w:left="5040" w:hanging="360"/>
      </w:pPr>
      <w:rPr>
        <w:rFonts w:ascii="Arial" w:hAnsi="Arial" w:hint="default"/>
      </w:rPr>
    </w:lvl>
    <w:lvl w:ilvl="7" w:tplc="3AB467B0" w:tentative="1">
      <w:start w:val="1"/>
      <w:numFmt w:val="bullet"/>
      <w:lvlText w:val="•"/>
      <w:lvlJc w:val="left"/>
      <w:pPr>
        <w:tabs>
          <w:tab w:val="num" w:pos="5760"/>
        </w:tabs>
        <w:ind w:left="5760" w:hanging="360"/>
      </w:pPr>
      <w:rPr>
        <w:rFonts w:ascii="Arial" w:hAnsi="Arial" w:hint="default"/>
      </w:rPr>
    </w:lvl>
    <w:lvl w:ilvl="8" w:tplc="5D46D4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E4762"/>
    <w:multiLevelType w:val="hybridMultilevel"/>
    <w:tmpl w:val="7F242EF0"/>
    <w:lvl w:ilvl="0" w:tplc="20524260">
      <w:start w:val="1"/>
      <w:numFmt w:val="bullet"/>
      <w:lvlText w:val="•"/>
      <w:lvlJc w:val="left"/>
      <w:pPr>
        <w:tabs>
          <w:tab w:val="num" w:pos="720"/>
        </w:tabs>
        <w:ind w:left="720" w:hanging="360"/>
      </w:pPr>
      <w:rPr>
        <w:rFonts w:ascii="Arial" w:hAnsi="Arial" w:hint="default"/>
      </w:rPr>
    </w:lvl>
    <w:lvl w:ilvl="1" w:tplc="B84E2FF4" w:tentative="1">
      <w:start w:val="1"/>
      <w:numFmt w:val="bullet"/>
      <w:lvlText w:val="•"/>
      <w:lvlJc w:val="left"/>
      <w:pPr>
        <w:tabs>
          <w:tab w:val="num" w:pos="1440"/>
        </w:tabs>
        <w:ind w:left="1440" w:hanging="360"/>
      </w:pPr>
      <w:rPr>
        <w:rFonts w:ascii="Arial" w:hAnsi="Arial" w:hint="default"/>
      </w:rPr>
    </w:lvl>
    <w:lvl w:ilvl="2" w:tplc="30523904" w:tentative="1">
      <w:start w:val="1"/>
      <w:numFmt w:val="bullet"/>
      <w:lvlText w:val="•"/>
      <w:lvlJc w:val="left"/>
      <w:pPr>
        <w:tabs>
          <w:tab w:val="num" w:pos="2160"/>
        </w:tabs>
        <w:ind w:left="2160" w:hanging="360"/>
      </w:pPr>
      <w:rPr>
        <w:rFonts w:ascii="Arial" w:hAnsi="Arial" w:hint="default"/>
      </w:rPr>
    </w:lvl>
    <w:lvl w:ilvl="3" w:tplc="D9EA7286" w:tentative="1">
      <w:start w:val="1"/>
      <w:numFmt w:val="bullet"/>
      <w:lvlText w:val="•"/>
      <w:lvlJc w:val="left"/>
      <w:pPr>
        <w:tabs>
          <w:tab w:val="num" w:pos="2880"/>
        </w:tabs>
        <w:ind w:left="2880" w:hanging="360"/>
      </w:pPr>
      <w:rPr>
        <w:rFonts w:ascii="Arial" w:hAnsi="Arial" w:hint="default"/>
      </w:rPr>
    </w:lvl>
    <w:lvl w:ilvl="4" w:tplc="F39C4E34" w:tentative="1">
      <w:start w:val="1"/>
      <w:numFmt w:val="bullet"/>
      <w:lvlText w:val="•"/>
      <w:lvlJc w:val="left"/>
      <w:pPr>
        <w:tabs>
          <w:tab w:val="num" w:pos="3600"/>
        </w:tabs>
        <w:ind w:left="3600" w:hanging="360"/>
      </w:pPr>
      <w:rPr>
        <w:rFonts w:ascii="Arial" w:hAnsi="Arial" w:hint="default"/>
      </w:rPr>
    </w:lvl>
    <w:lvl w:ilvl="5" w:tplc="8744D9AA" w:tentative="1">
      <w:start w:val="1"/>
      <w:numFmt w:val="bullet"/>
      <w:lvlText w:val="•"/>
      <w:lvlJc w:val="left"/>
      <w:pPr>
        <w:tabs>
          <w:tab w:val="num" w:pos="4320"/>
        </w:tabs>
        <w:ind w:left="4320" w:hanging="360"/>
      </w:pPr>
      <w:rPr>
        <w:rFonts w:ascii="Arial" w:hAnsi="Arial" w:hint="default"/>
      </w:rPr>
    </w:lvl>
    <w:lvl w:ilvl="6" w:tplc="C62C0020" w:tentative="1">
      <w:start w:val="1"/>
      <w:numFmt w:val="bullet"/>
      <w:lvlText w:val="•"/>
      <w:lvlJc w:val="left"/>
      <w:pPr>
        <w:tabs>
          <w:tab w:val="num" w:pos="5040"/>
        </w:tabs>
        <w:ind w:left="5040" w:hanging="360"/>
      </w:pPr>
      <w:rPr>
        <w:rFonts w:ascii="Arial" w:hAnsi="Arial" w:hint="default"/>
      </w:rPr>
    </w:lvl>
    <w:lvl w:ilvl="7" w:tplc="02A01C0C" w:tentative="1">
      <w:start w:val="1"/>
      <w:numFmt w:val="bullet"/>
      <w:lvlText w:val="•"/>
      <w:lvlJc w:val="left"/>
      <w:pPr>
        <w:tabs>
          <w:tab w:val="num" w:pos="5760"/>
        </w:tabs>
        <w:ind w:left="5760" w:hanging="360"/>
      </w:pPr>
      <w:rPr>
        <w:rFonts w:ascii="Arial" w:hAnsi="Arial" w:hint="default"/>
      </w:rPr>
    </w:lvl>
    <w:lvl w:ilvl="8" w:tplc="4B6E31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A9676F"/>
    <w:multiLevelType w:val="multilevel"/>
    <w:tmpl w:val="988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D6322"/>
    <w:multiLevelType w:val="hybridMultilevel"/>
    <w:tmpl w:val="4680089A"/>
    <w:lvl w:ilvl="0" w:tplc="54FCC280">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4C65EDB"/>
    <w:multiLevelType w:val="hybridMultilevel"/>
    <w:tmpl w:val="7ED66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3F35A0"/>
    <w:multiLevelType w:val="hybridMultilevel"/>
    <w:tmpl w:val="84B0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D6678B"/>
    <w:multiLevelType w:val="hybridMultilevel"/>
    <w:tmpl w:val="0B2AA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570D6F"/>
    <w:multiLevelType w:val="hybridMultilevel"/>
    <w:tmpl w:val="052CCE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37C"/>
    <w:multiLevelType w:val="multilevel"/>
    <w:tmpl w:val="BA6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D21A5"/>
    <w:multiLevelType w:val="hybridMultilevel"/>
    <w:tmpl w:val="EC74C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936279"/>
    <w:multiLevelType w:val="hybridMultilevel"/>
    <w:tmpl w:val="A584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6"/>
  </w:num>
  <w:num w:numId="6">
    <w:abstractNumId w:val="12"/>
  </w:num>
  <w:num w:numId="7">
    <w:abstractNumId w:val="0"/>
  </w:num>
  <w:num w:numId="8">
    <w:abstractNumId w:val="3"/>
  </w:num>
  <w:num w:numId="9">
    <w:abstractNumId w:val="2"/>
  </w:num>
  <w:num w:numId="10">
    <w:abstractNumId w:val="5"/>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aa0da5w1da5fwepzf8pt5wz2wwfasd2ewzr&quot;&gt;My EndNote Library&lt;record-ids&gt;&lt;item&gt;4&lt;/item&gt;&lt;item&gt;21&lt;/item&gt;&lt;item&gt;22&lt;/item&gt;&lt;item&gt;23&lt;/item&gt;&lt;item&gt;28&lt;/item&gt;&lt;item&gt;34&lt;/item&gt;&lt;item&gt;56&lt;/item&gt;&lt;item&gt;108&lt;/item&gt;&lt;item&gt;132&lt;/item&gt;&lt;item&gt;170&lt;/item&gt;&lt;item&gt;320&lt;/item&gt;&lt;item&gt;321&lt;/item&gt;&lt;item&gt;324&lt;/item&gt;&lt;item&gt;326&lt;/item&gt;&lt;item&gt;328&lt;/item&gt;&lt;item&gt;329&lt;/item&gt;&lt;item&gt;330&lt;/item&gt;&lt;item&gt;331&lt;/item&gt;&lt;item&gt;332&lt;/item&gt;&lt;item&gt;333&lt;/item&gt;&lt;item&gt;334&lt;/item&gt;&lt;item&gt;335&lt;/item&gt;&lt;item&gt;336&lt;/item&gt;&lt;item&gt;337&lt;/item&gt;&lt;item&gt;338&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23F88"/>
    <w:rsid w:val="00002B8E"/>
    <w:rsid w:val="000040DB"/>
    <w:rsid w:val="00012EF5"/>
    <w:rsid w:val="00014345"/>
    <w:rsid w:val="00022B02"/>
    <w:rsid w:val="00026453"/>
    <w:rsid w:val="00026760"/>
    <w:rsid w:val="00040D09"/>
    <w:rsid w:val="0004746A"/>
    <w:rsid w:val="000513A8"/>
    <w:rsid w:val="00054639"/>
    <w:rsid w:val="00055834"/>
    <w:rsid w:val="00063DD2"/>
    <w:rsid w:val="0006470A"/>
    <w:rsid w:val="000746DA"/>
    <w:rsid w:val="00075627"/>
    <w:rsid w:val="00076BF8"/>
    <w:rsid w:val="000775C0"/>
    <w:rsid w:val="000815BA"/>
    <w:rsid w:val="0008539E"/>
    <w:rsid w:val="000948BC"/>
    <w:rsid w:val="000A133F"/>
    <w:rsid w:val="000A33C6"/>
    <w:rsid w:val="000A4664"/>
    <w:rsid w:val="000A5F83"/>
    <w:rsid w:val="000B290F"/>
    <w:rsid w:val="000B2E00"/>
    <w:rsid w:val="000D23B5"/>
    <w:rsid w:val="000D4CD0"/>
    <w:rsid w:val="000D5680"/>
    <w:rsid w:val="000D7F6C"/>
    <w:rsid w:val="000E171D"/>
    <w:rsid w:val="000E68F3"/>
    <w:rsid w:val="000F4C98"/>
    <w:rsid w:val="000F5044"/>
    <w:rsid w:val="00107521"/>
    <w:rsid w:val="00113944"/>
    <w:rsid w:val="0011463A"/>
    <w:rsid w:val="0011630F"/>
    <w:rsid w:val="001177CA"/>
    <w:rsid w:val="001369CD"/>
    <w:rsid w:val="001433D5"/>
    <w:rsid w:val="0014629C"/>
    <w:rsid w:val="00151008"/>
    <w:rsid w:val="00162D78"/>
    <w:rsid w:val="00163EFD"/>
    <w:rsid w:val="00175321"/>
    <w:rsid w:val="00175D31"/>
    <w:rsid w:val="0017672A"/>
    <w:rsid w:val="00177979"/>
    <w:rsid w:val="00186CFB"/>
    <w:rsid w:val="0019373F"/>
    <w:rsid w:val="00197CE2"/>
    <w:rsid w:val="001A2A8A"/>
    <w:rsid w:val="001A2EA2"/>
    <w:rsid w:val="001A3F6E"/>
    <w:rsid w:val="001A7E07"/>
    <w:rsid w:val="001B1FBF"/>
    <w:rsid w:val="001B430B"/>
    <w:rsid w:val="001C1386"/>
    <w:rsid w:val="001C3798"/>
    <w:rsid w:val="001C6C97"/>
    <w:rsid w:val="001C7CDE"/>
    <w:rsid w:val="001D360B"/>
    <w:rsid w:val="001D372D"/>
    <w:rsid w:val="001E2C90"/>
    <w:rsid w:val="001E3588"/>
    <w:rsid w:val="001F6DC5"/>
    <w:rsid w:val="001F7042"/>
    <w:rsid w:val="001F7C38"/>
    <w:rsid w:val="0020191D"/>
    <w:rsid w:val="00211ADC"/>
    <w:rsid w:val="002140B8"/>
    <w:rsid w:val="00214191"/>
    <w:rsid w:val="00214708"/>
    <w:rsid w:val="00215A75"/>
    <w:rsid w:val="00215F5C"/>
    <w:rsid w:val="002261C7"/>
    <w:rsid w:val="00233781"/>
    <w:rsid w:val="0024230F"/>
    <w:rsid w:val="002433CB"/>
    <w:rsid w:val="00244166"/>
    <w:rsid w:val="00244185"/>
    <w:rsid w:val="00244702"/>
    <w:rsid w:val="00244F42"/>
    <w:rsid w:val="00250AA5"/>
    <w:rsid w:val="0025115B"/>
    <w:rsid w:val="0025377F"/>
    <w:rsid w:val="00253B65"/>
    <w:rsid w:val="00257EC4"/>
    <w:rsid w:val="00261774"/>
    <w:rsid w:val="002723D2"/>
    <w:rsid w:val="00276855"/>
    <w:rsid w:val="0027798C"/>
    <w:rsid w:val="0028033A"/>
    <w:rsid w:val="0028783C"/>
    <w:rsid w:val="002918E2"/>
    <w:rsid w:val="00296700"/>
    <w:rsid w:val="002A3C70"/>
    <w:rsid w:val="002A4F5D"/>
    <w:rsid w:val="002A51C2"/>
    <w:rsid w:val="002A784A"/>
    <w:rsid w:val="002B26CB"/>
    <w:rsid w:val="002C1411"/>
    <w:rsid w:val="002C5409"/>
    <w:rsid w:val="002C561A"/>
    <w:rsid w:val="002D43AB"/>
    <w:rsid w:val="002E0860"/>
    <w:rsid w:val="002F197C"/>
    <w:rsid w:val="002F1AF9"/>
    <w:rsid w:val="002F2613"/>
    <w:rsid w:val="002F2F42"/>
    <w:rsid w:val="002F3771"/>
    <w:rsid w:val="002F52D4"/>
    <w:rsid w:val="002F5EE7"/>
    <w:rsid w:val="00301DD2"/>
    <w:rsid w:val="00303873"/>
    <w:rsid w:val="003109E0"/>
    <w:rsid w:val="00317D56"/>
    <w:rsid w:val="003216D0"/>
    <w:rsid w:val="00321DE1"/>
    <w:rsid w:val="003228D4"/>
    <w:rsid w:val="00325E93"/>
    <w:rsid w:val="00327547"/>
    <w:rsid w:val="00332C83"/>
    <w:rsid w:val="003417E0"/>
    <w:rsid w:val="00341DFA"/>
    <w:rsid w:val="003458FB"/>
    <w:rsid w:val="003469C4"/>
    <w:rsid w:val="00357987"/>
    <w:rsid w:val="0036022C"/>
    <w:rsid w:val="003629B6"/>
    <w:rsid w:val="00375CC3"/>
    <w:rsid w:val="003765DF"/>
    <w:rsid w:val="00376C92"/>
    <w:rsid w:val="00380D77"/>
    <w:rsid w:val="00381716"/>
    <w:rsid w:val="003829FC"/>
    <w:rsid w:val="00383997"/>
    <w:rsid w:val="00387705"/>
    <w:rsid w:val="00393164"/>
    <w:rsid w:val="0039639B"/>
    <w:rsid w:val="0039723A"/>
    <w:rsid w:val="003A0A51"/>
    <w:rsid w:val="003A1E48"/>
    <w:rsid w:val="003A275F"/>
    <w:rsid w:val="003A40F9"/>
    <w:rsid w:val="003A55B4"/>
    <w:rsid w:val="003A5777"/>
    <w:rsid w:val="003A6A6A"/>
    <w:rsid w:val="003B00C0"/>
    <w:rsid w:val="003B6AD4"/>
    <w:rsid w:val="003C012E"/>
    <w:rsid w:val="003C4CED"/>
    <w:rsid w:val="003C67DD"/>
    <w:rsid w:val="003C7B77"/>
    <w:rsid w:val="003D3E4B"/>
    <w:rsid w:val="003D4B0D"/>
    <w:rsid w:val="003D6697"/>
    <w:rsid w:val="003E0727"/>
    <w:rsid w:val="003E09D1"/>
    <w:rsid w:val="003E4220"/>
    <w:rsid w:val="003E6BD8"/>
    <w:rsid w:val="003E723D"/>
    <w:rsid w:val="003E7355"/>
    <w:rsid w:val="003E7EA9"/>
    <w:rsid w:val="003F1176"/>
    <w:rsid w:val="003F1222"/>
    <w:rsid w:val="003F336D"/>
    <w:rsid w:val="0040497E"/>
    <w:rsid w:val="004053A0"/>
    <w:rsid w:val="004058B2"/>
    <w:rsid w:val="00410F80"/>
    <w:rsid w:val="004144B9"/>
    <w:rsid w:val="00414E54"/>
    <w:rsid w:val="0042100D"/>
    <w:rsid w:val="00422EA1"/>
    <w:rsid w:val="00423F88"/>
    <w:rsid w:val="00425EF2"/>
    <w:rsid w:val="00434835"/>
    <w:rsid w:val="00436C63"/>
    <w:rsid w:val="0044166E"/>
    <w:rsid w:val="00457997"/>
    <w:rsid w:val="004618A0"/>
    <w:rsid w:val="00461D36"/>
    <w:rsid w:val="0046374D"/>
    <w:rsid w:val="00471134"/>
    <w:rsid w:val="00471CBC"/>
    <w:rsid w:val="00472A84"/>
    <w:rsid w:val="00474951"/>
    <w:rsid w:val="00476ACF"/>
    <w:rsid w:val="00481081"/>
    <w:rsid w:val="00481874"/>
    <w:rsid w:val="00482BC6"/>
    <w:rsid w:val="0049058F"/>
    <w:rsid w:val="00493A77"/>
    <w:rsid w:val="004942AC"/>
    <w:rsid w:val="004A1D2E"/>
    <w:rsid w:val="004A606C"/>
    <w:rsid w:val="004B3645"/>
    <w:rsid w:val="004B3721"/>
    <w:rsid w:val="004C58DD"/>
    <w:rsid w:val="004C75AC"/>
    <w:rsid w:val="004E0B4F"/>
    <w:rsid w:val="004E488D"/>
    <w:rsid w:val="004E752C"/>
    <w:rsid w:val="004F31AD"/>
    <w:rsid w:val="004F6820"/>
    <w:rsid w:val="004F6909"/>
    <w:rsid w:val="004F7808"/>
    <w:rsid w:val="005040F2"/>
    <w:rsid w:val="00506F58"/>
    <w:rsid w:val="005109B0"/>
    <w:rsid w:val="00515471"/>
    <w:rsid w:val="005268EE"/>
    <w:rsid w:val="00540451"/>
    <w:rsid w:val="00541FE0"/>
    <w:rsid w:val="00542BB2"/>
    <w:rsid w:val="00544F9C"/>
    <w:rsid w:val="005505D9"/>
    <w:rsid w:val="00563CB5"/>
    <w:rsid w:val="0056547D"/>
    <w:rsid w:val="00567815"/>
    <w:rsid w:val="005709FF"/>
    <w:rsid w:val="005732A4"/>
    <w:rsid w:val="0058578F"/>
    <w:rsid w:val="00590A1C"/>
    <w:rsid w:val="005B7CAB"/>
    <w:rsid w:val="005C1E62"/>
    <w:rsid w:val="005C4383"/>
    <w:rsid w:val="005C4870"/>
    <w:rsid w:val="005C7918"/>
    <w:rsid w:val="005D0E7F"/>
    <w:rsid w:val="005D25B1"/>
    <w:rsid w:val="005D4BE4"/>
    <w:rsid w:val="005E2BB5"/>
    <w:rsid w:val="005E595C"/>
    <w:rsid w:val="005E7506"/>
    <w:rsid w:val="005E7EB1"/>
    <w:rsid w:val="005F0AEB"/>
    <w:rsid w:val="005F50C2"/>
    <w:rsid w:val="006016A7"/>
    <w:rsid w:val="00607040"/>
    <w:rsid w:val="00607A03"/>
    <w:rsid w:val="00607B0C"/>
    <w:rsid w:val="00610CC4"/>
    <w:rsid w:val="006128B1"/>
    <w:rsid w:val="00624E4A"/>
    <w:rsid w:val="00624F43"/>
    <w:rsid w:val="00625636"/>
    <w:rsid w:val="00630640"/>
    <w:rsid w:val="0063135A"/>
    <w:rsid w:val="00631B37"/>
    <w:rsid w:val="00632513"/>
    <w:rsid w:val="00634832"/>
    <w:rsid w:val="00637BAA"/>
    <w:rsid w:val="00644412"/>
    <w:rsid w:val="00645765"/>
    <w:rsid w:val="00646E14"/>
    <w:rsid w:val="00654BF8"/>
    <w:rsid w:val="0065544A"/>
    <w:rsid w:val="00655F24"/>
    <w:rsid w:val="00655FA0"/>
    <w:rsid w:val="00660FFF"/>
    <w:rsid w:val="006644D1"/>
    <w:rsid w:val="00664DEE"/>
    <w:rsid w:val="0066763F"/>
    <w:rsid w:val="00667E54"/>
    <w:rsid w:val="00672C22"/>
    <w:rsid w:val="00672D5B"/>
    <w:rsid w:val="00681CB4"/>
    <w:rsid w:val="00685F7B"/>
    <w:rsid w:val="00695931"/>
    <w:rsid w:val="006A1975"/>
    <w:rsid w:val="006A200B"/>
    <w:rsid w:val="006A4B84"/>
    <w:rsid w:val="006A51EE"/>
    <w:rsid w:val="006A5660"/>
    <w:rsid w:val="006B48CB"/>
    <w:rsid w:val="006B4CAF"/>
    <w:rsid w:val="006B6BD8"/>
    <w:rsid w:val="006B7883"/>
    <w:rsid w:val="006C1996"/>
    <w:rsid w:val="006C3D15"/>
    <w:rsid w:val="006D55D7"/>
    <w:rsid w:val="006E57C4"/>
    <w:rsid w:val="006E592A"/>
    <w:rsid w:val="006E68C0"/>
    <w:rsid w:val="006F01F2"/>
    <w:rsid w:val="006F0486"/>
    <w:rsid w:val="006F34A8"/>
    <w:rsid w:val="00711AFD"/>
    <w:rsid w:val="00711DF3"/>
    <w:rsid w:val="007138F9"/>
    <w:rsid w:val="00717174"/>
    <w:rsid w:val="00736C50"/>
    <w:rsid w:val="00740679"/>
    <w:rsid w:val="00743D68"/>
    <w:rsid w:val="0074410F"/>
    <w:rsid w:val="00751451"/>
    <w:rsid w:val="00764A42"/>
    <w:rsid w:val="00772FF9"/>
    <w:rsid w:val="00777D99"/>
    <w:rsid w:val="007808B5"/>
    <w:rsid w:val="00783832"/>
    <w:rsid w:val="00785C0C"/>
    <w:rsid w:val="007861A8"/>
    <w:rsid w:val="00791836"/>
    <w:rsid w:val="007923E8"/>
    <w:rsid w:val="00792C4F"/>
    <w:rsid w:val="00796C49"/>
    <w:rsid w:val="007A243F"/>
    <w:rsid w:val="007A3567"/>
    <w:rsid w:val="007B05BB"/>
    <w:rsid w:val="007B0E0D"/>
    <w:rsid w:val="007B12D3"/>
    <w:rsid w:val="007B3349"/>
    <w:rsid w:val="007B3EAC"/>
    <w:rsid w:val="007D7D75"/>
    <w:rsid w:val="007E3042"/>
    <w:rsid w:val="007E3C83"/>
    <w:rsid w:val="007E4950"/>
    <w:rsid w:val="007E619D"/>
    <w:rsid w:val="007F208C"/>
    <w:rsid w:val="007F2BA5"/>
    <w:rsid w:val="007F3E68"/>
    <w:rsid w:val="008014EE"/>
    <w:rsid w:val="00802E4F"/>
    <w:rsid w:val="00804326"/>
    <w:rsid w:val="00804F41"/>
    <w:rsid w:val="0080583A"/>
    <w:rsid w:val="00811F49"/>
    <w:rsid w:val="008170D2"/>
    <w:rsid w:val="008246F2"/>
    <w:rsid w:val="00824A06"/>
    <w:rsid w:val="00827DAF"/>
    <w:rsid w:val="008320A3"/>
    <w:rsid w:val="00833529"/>
    <w:rsid w:val="008345B3"/>
    <w:rsid w:val="008374D8"/>
    <w:rsid w:val="00843E99"/>
    <w:rsid w:val="0084508C"/>
    <w:rsid w:val="00845879"/>
    <w:rsid w:val="00846215"/>
    <w:rsid w:val="00846414"/>
    <w:rsid w:val="00847B3D"/>
    <w:rsid w:val="008566D5"/>
    <w:rsid w:val="00863394"/>
    <w:rsid w:val="00873959"/>
    <w:rsid w:val="00875911"/>
    <w:rsid w:val="008767B1"/>
    <w:rsid w:val="008773E8"/>
    <w:rsid w:val="0088304C"/>
    <w:rsid w:val="008834F2"/>
    <w:rsid w:val="00883C77"/>
    <w:rsid w:val="00884A95"/>
    <w:rsid w:val="0089623F"/>
    <w:rsid w:val="00896D5C"/>
    <w:rsid w:val="008A0235"/>
    <w:rsid w:val="008B026D"/>
    <w:rsid w:val="008B1852"/>
    <w:rsid w:val="008B1DAB"/>
    <w:rsid w:val="008B21CA"/>
    <w:rsid w:val="008B5475"/>
    <w:rsid w:val="008B5C9B"/>
    <w:rsid w:val="008C0C8D"/>
    <w:rsid w:val="008C62A4"/>
    <w:rsid w:val="008C7003"/>
    <w:rsid w:val="008C7A83"/>
    <w:rsid w:val="008D2A23"/>
    <w:rsid w:val="008E0B5A"/>
    <w:rsid w:val="008E1C7E"/>
    <w:rsid w:val="008E3159"/>
    <w:rsid w:val="008E39AE"/>
    <w:rsid w:val="008E3FE0"/>
    <w:rsid w:val="008E5872"/>
    <w:rsid w:val="008F0AE5"/>
    <w:rsid w:val="008F23C5"/>
    <w:rsid w:val="008F2B02"/>
    <w:rsid w:val="008F2BD4"/>
    <w:rsid w:val="008F2FBB"/>
    <w:rsid w:val="008F3877"/>
    <w:rsid w:val="008F636C"/>
    <w:rsid w:val="008F6993"/>
    <w:rsid w:val="00906F15"/>
    <w:rsid w:val="00910044"/>
    <w:rsid w:val="009118C4"/>
    <w:rsid w:val="00916DFF"/>
    <w:rsid w:val="00927290"/>
    <w:rsid w:val="00931AFE"/>
    <w:rsid w:val="00932E62"/>
    <w:rsid w:val="00937933"/>
    <w:rsid w:val="00940676"/>
    <w:rsid w:val="009420C2"/>
    <w:rsid w:val="009435E9"/>
    <w:rsid w:val="00944CCB"/>
    <w:rsid w:val="00945DF6"/>
    <w:rsid w:val="00955F95"/>
    <w:rsid w:val="00957B41"/>
    <w:rsid w:val="00960F51"/>
    <w:rsid w:val="009670F5"/>
    <w:rsid w:val="00967E78"/>
    <w:rsid w:val="00967F39"/>
    <w:rsid w:val="0097227F"/>
    <w:rsid w:val="00972C47"/>
    <w:rsid w:val="00974975"/>
    <w:rsid w:val="009768E9"/>
    <w:rsid w:val="00983765"/>
    <w:rsid w:val="009857EB"/>
    <w:rsid w:val="00991608"/>
    <w:rsid w:val="00996B4B"/>
    <w:rsid w:val="009A2540"/>
    <w:rsid w:val="009A3786"/>
    <w:rsid w:val="009A3A4B"/>
    <w:rsid w:val="009B2F00"/>
    <w:rsid w:val="009C39AC"/>
    <w:rsid w:val="009D16EA"/>
    <w:rsid w:val="009D7C94"/>
    <w:rsid w:val="009D7ED2"/>
    <w:rsid w:val="009F11BC"/>
    <w:rsid w:val="009F321C"/>
    <w:rsid w:val="009F4904"/>
    <w:rsid w:val="009F49A5"/>
    <w:rsid w:val="00A0336C"/>
    <w:rsid w:val="00A043A9"/>
    <w:rsid w:val="00A068D2"/>
    <w:rsid w:val="00A06C62"/>
    <w:rsid w:val="00A155C2"/>
    <w:rsid w:val="00A16B83"/>
    <w:rsid w:val="00A25D73"/>
    <w:rsid w:val="00A25F51"/>
    <w:rsid w:val="00A26692"/>
    <w:rsid w:val="00A277B8"/>
    <w:rsid w:val="00A320EE"/>
    <w:rsid w:val="00A34420"/>
    <w:rsid w:val="00A40D89"/>
    <w:rsid w:val="00A42462"/>
    <w:rsid w:val="00A44EBD"/>
    <w:rsid w:val="00A46A02"/>
    <w:rsid w:val="00A46ECB"/>
    <w:rsid w:val="00A4743E"/>
    <w:rsid w:val="00A55F33"/>
    <w:rsid w:val="00A56242"/>
    <w:rsid w:val="00A60CFC"/>
    <w:rsid w:val="00A61566"/>
    <w:rsid w:val="00A62AE4"/>
    <w:rsid w:val="00A6682B"/>
    <w:rsid w:val="00A6733B"/>
    <w:rsid w:val="00A7361D"/>
    <w:rsid w:val="00A740D6"/>
    <w:rsid w:val="00A741FF"/>
    <w:rsid w:val="00A7682E"/>
    <w:rsid w:val="00A904A7"/>
    <w:rsid w:val="00A927A4"/>
    <w:rsid w:val="00A96976"/>
    <w:rsid w:val="00AA1338"/>
    <w:rsid w:val="00AA16FF"/>
    <w:rsid w:val="00AA41CB"/>
    <w:rsid w:val="00AA42D8"/>
    <w:rsid w:val="00AA632D"/>
    <w:rsid w:val="00AA6F81"/>
    <w:rsid w:val="00AB0310"/>
    <w:rsid w:val="00AB03E4"/>
    <w:rsid w:val="00AB470A"/>
    <w:rsid w:val="00AB68A2"/>
    <w:rsid w:val="00AC2763"/>
    <w:rsid w:val="00AC3473"/>
    <w:rsid w:val="00AC3780"/>
    <w:rsid w:val="00AC6092"/>
    <w:rsid w:val="00AC6B9A"/>
    <w:rsid w:val="00AD5492"/>
    <w:rsid w:val="00AD7100"/>
    <w:rsid w:val="00AE0D57"/>
    <w:rsid w:val="00AE2B8E"/>
    <w:rsid w:val="00AE3361"/>
    <w:rsid w:val="00AE3FF4"/>
    <w:rsid w:val="00AE551B"/>
    <w:rsid w:val="00AF03DE"/>
    <w:rsid w:val="00AF1E0B"/>
    <w:rsid w:val="00AF3566"/>
    <w:rsid w:val="00B030B3"/>
    <w:rsid w:val="00B053FC"/>
    <w:rsid w:val="00B109FC"/>
    <w:rsid w:val="00B10B87"/>
    <w:rsid w:val="00B1719A"/>
    <w:rsid w:val="00B273F3"/>
    <w:rsid w:val="00B346FC"/>
    <w:rsid w:val="00B41784"/>
    <w:rsid w:val="00B41937"/>
    <w:rsid w:val="00B51E56"/>
    <w:rsid w:val="00B72024"/>
    <w:rsid w:val="00B7355F"/>
    <w:rsid w:val="00B755D0"/>
    <w:rsid w:val="00B8555E"/>
    <w:rsid w:val="00B86713"/>
    <w:rsid w:val="00BA120F"/>
    <w:rsid w:val="00BA3D42"/>
    <w:rsid w:val="00BA4CCD"/>
    <w:rsid w:val="00BA7D4C"/>
    <w:rsid w:val="00BB066E"/>
    <w:rsid w:val="00BB10B7"/>
    <w:rsid w:val="00BB2685"/>
    <w:rsid w:val="00BB2F67"/>
    <w:rsid w:val="00BB7F4F"/>
    <w:rsid w:val="00BC25E1"/>
    <w:rsid w:val="00BD1F5C"/>
    <w:rsid w:val="00BD20CB"/>
    <w:rsid w:val="00BD6F57"/>
    <w:rsid w:val="00BF04D7"/>
    <w:rsid w:val="00BF27B4"/>
    <w:rsid w:val="00BF2E63"/>
    <w:rsid w:val="00BF43AC"/>
    <w:rsid w:val="00BF6FD9"/>
    <w:rsid w:val="00C02948"/>
    <w:rsid w:val="00C04943"/>
    <w:rsid w:val="00C06C32"/>
    <w:rsid w:val="00C12929"/>
    <w:rsid w:val="00C20E02"/>
    <w:rsid w:val="00C21330"/>
    <w:rsid w:val="00C219B5"/>
    <w:rsid w:val="00C27A75"/>
    <w:rsid w:val="00C36336"/>
    <w:rsid w:val="00C37317"/>
    <w:rsid w:val="00C376E4"/>
    <w:rsid w:val="00C44C97"/>
    <w:rsid w:val="00C4682F"/>
    <w:rsid w:val="00C5304C"/>
    <w:rsid w:val="00C53484"/>
    <w:rsid w:val="00C53DA5"/>
    <w:rsid w:val="00C54825"/>
    <w:rsid w:val="00C5771E"/>
    <w:rsid w:val="00C60022"/>
    <w:rsid w:val="00C61858"/>
    <w:rsid w:val="00C61DE8"/>
    <w:rsid w:val="00C6288D"/>
    <w:rsid w:val="00C711B1"/>
    <w:rsid w:val="00C86F54"/>
    <w:rsid w:val="00C874FD"/>
    <w:rsid w:val="00C95DD5"/>
    <w:rsid w:val="00C96F13"/>
    <w:rsid w:val="00CA05C6"/>
    <w:rsid w:val="00CA1F14"/>
    <w:rsid w:val="00CA2AC2"/>
    <w:rsid w:val="00CA4AA2"/>
    <w:rsid w:val="00CA6F6D"/>
    <w:rsid w:val="00CA7387"/>
    <w:rsid w:val="00CA75D1"/>
    <w:rsid w:val="00CB1C2C"/>
    <w:rsid w:val="00CB34C1"/>
    <w:rsid w:val="00CB5313"/>
    <w:rsid w:val="00CB5B0A"/>
    <w:rsid w:val="00CB61CF"/>
    <w:rsid w:val="00CC07EA"/>
    <w:rsid w:val="00CC31E0"/>
    <w:rsid w:val="00CD7FEE"/>
    <w:rsid w:val="00CE012E"/>
    <w:rsid w:val="00CE174B"/>
    <w:rsid w:val="00CE5571"/>
    <w:rsid w:val="00CE5E50"/>
    <w:rsid w:val="00CF11F9"/>
    <w:rsid w:val="00CF1FFD"/>
    <w:rsid w:val="00CF36BD"/>
    <w:rsid w:val="00D01ECB"/>
    <w:rsid w:val="00D03BF1"/>
    <w:rsid w:val="00D060D1"/>
    <w:rsid w:val="00D27E56"/>
    <w:rsid w:val="00D316D7"/>
    <w:rsid w:val="00D321E0"/>
    <w:rsid w:val="00D32A7D"/>
    <w:rsid w:val="00D37B96"/>
    <w:rsid w:val="00D41761"/>
    <w:rsid w:val="00D43C8E"/>
    <w:rsid w:val="00D465F2"/>
    <w:rsid w:val="00D47751"/>
    <w:rsid w:val="00D510C1"/>
    <w:rsid w:val="00D51672"/>
    <w:rsid w:val="00D52651"/>
    <w:rsid w:val="00D60821"/>
    <w:rsid w:val="00D60DBB"/>
    <w:rsid w:val="00D62CA7"/>
    <w:rsid w:val="00D652EE"/>
    <w:rsid w:val="00D676B9"/>
    <w:rsid w:val="00D676DE"/>
    <w:rsid w:val="00D701EB"/>
    <w:rsid w:val="00D70B37"/>
    <w:rsid w:val="00D74DEE"/>
    <w:rsid w:val="00D752CA"/>
    <w:rsid w:val="00D75A2D"/>
    <w:rsid w:val="00D80222"/>
    <w:rsid w:val="00D8140F"/>
    <w:rsid w:val="00D832B5"/>
    <w:rsid w:val="00D85DD0"/>
    <w:rsid w:val="00D85FF2"/>
    <w:rsid w:val="00D932AE"/>
    <w:rsid w:val="00D936AE"/>
    <w:rsid w:val="00D93D61"/>
    <w:rsid w:val="00DA0AAB"/>
    <w:rsid w:val="00DA0AEA"/>
    <w:rsid w:val="00DB15F4"/>
    <w:rsid w:val="00DB26B7"/>
    <w:rsid w:val="00DB279E"/>
    <w:rsid w:val="00DB2D33"/>
    <w:rsid w:val="00DB3DA7"/>
    <w:rsid w:val="00DB6454"/>
    <w:rsid w:val="00DC41E4"/>
    <w:rsid w:val="00DD0F9E"/>
    <w:rsid w:val="00DD1CD5"/>
    <w:rsid w:val="00DD2956"/>
    <w:rsid w:val="00DD3E4C"/>
    <w:rsid w:val="00DD7F70"/>
    <w:rsid w:val="00DE25D3"/>
    <w:rsid w:val="00DE3FFF"/>
    <w:rsid w:val="00DE4F88"/>
    <w:rsid w:val="00DE56EE"/>
    <w:rsid w:val="00DE6C76"/>
    <w:rsid w:val="00DF07E8"/>
    <w:rsid w:val="00DF1B3C"/>
    <w:rsid w:val="00DF4267"/>
    <w:rsid w:val="00E05BB9"/>
    <w:rsid w:val="00E10911"/>
    <w:rsid w:val="00E10D7D"/>
    <w:rsid w:val="00E11ED6"/>
    <w:rsid w:val="00E13329"/>
    <w:rsid w:val="00E1334F"/>
    <w:rsid w:val="00E2536C"/>
    <w:rsid w:val="00E315EE"/>
    <w:rsid w:val="00E437C6"/>
    <w:rsid w:val="00E4381D"/>
    <w:rsid w:val="00E52A8A"/>
    <w:rsid w:val="00E57C87"/>
    <w:rsid w:val="00E615C0"/>
    <w:rsid w:val="00E645C3"/>
    <w:rsid w:val="00E65A01"/>
    <w:rsid w:val="00E66496"/>
    <w:rsid w:val="00E6775A"/>
    <w:rsid w:val="00E67EBA"/>
    <w:rsid w:val="00E72123"/>
    <w:rsid w:val="00E72D38"/>
    <w:rsid w:val="00E81DB1"/>
    <w:rsid w:val="00E83B39"/>
    <w:rsid w:val="00E851E5"/>
    <w:rsid w:val="00E91016"/>
    <w:rsid w:val="00E91748"/>
    <w:rsid w:val="00E931F9"/>
    <w:rsid w:val="00EA0F7C"/>
    <w:rsid w:val="00EA340B"/>
    <w:rsid w:val="00EB6C34"/>
    <w:rsid w:val="00EB6E61"/>
    <w:rsid w:val="00EC3500"/>
    <w:rsid w:val="00EC4F46"/>
    <w:rsid w:val="00ED0774"/>
    <w:rsid w:val="00ED0CAF"/>
    <w:rsid w:val="00ED2148"/>
    <w:rsid w:val="00ED28FC"/>
    <w:rsid w:val="00ED3DF3"/>
    <w:rsid w:val="00ED79E4"/>
    <w:rsid w:val="00EE010F"/>
    <w:rsid w:val="00EE7D13"/>
    <w:rsid w:val="00EF0B85"/>
    <w:rsid w:val="00EF43C6"/>
    <w:rsid w:val="00F03DAD"/>
    <w:rsid w:val="00F0739F"/>
    <w:rsid w:val="00F159AB"/>
    <w:rsid w:val="00F15DFA"/>
    <w:rsid w:val="00F170ED"/>
    <w:rsid w:val="00F203EF"/>
    <w:rsid w:val="00F208EE"/>
    <w:rsid w:val="00F32A64"/>
    <w:rsid w:val="00F330EE"/>
    <w:rsid w:val="00F341AE"/>
    <w:rsid w:val="00F3526D"/>
    <w:rsid w:val="00F44900"/>
    <w:rsid w:val="00F44A32"/>
    <w:rsid w:val="00F6104F"/>
    <w:rsid w:val="00F61598"/>
    <w:rsid w:val="00F63473"/>
    <w:rsid w:val="00F81AE2"/>
    <w:rsid w:val="00F909C2"/>
    <w:rsid w:val="00F941DA"/>
    <w:rsid w:val="00FA3344"/>
    <w:rsid w:val="00FA561F"/>
    <w:rsid w:val="00FB1336"/>
    <w:rsid w:val="00FB3378"/>
    <w:rsid w:val="00FB7388"/>
    <w:rsid w:val="00FB768E"/>
    <w:rsid w:val="00FC2F5F"/>
    <w:rsid w:val="00FC658F"/>
    <w:rsid w:val="00FD2DD2"/>
    <w:rsid w:val="00FD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640A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066E"/>
    <w:pPr>
      <w:ind w:left="720"/>
      <w:contextualSpacing/>
    </w:pPr>
  </w:style>
  <w:style w:type="character" w:customStyle="1" w:styleId="a4">
    <w:name w:val="列表段落 字符"/>
    <w:basedOn w:val="a0"/>
    <w:link w:val="a3"/>
    <w:uiPriority w:val="34"/>
    <w:rsid w:val="005D25B1"/>
  </w:style>
  <w:style w:type="paragraph" w:customStyle="1" w:styleId="EndNoteBibliography">
    <w:name w:val="EndNote Bibliography"/>
    <w:basedOn w:val="a"/>
    <w:link w:val="EndNoteBibliographyChar"/>
    <w:rsid w:val="001F6DC5"/>
    <w:rPr>
      <w:rFonts w:ascii="Calibri" w:hAnsi="Calibri" w:cs="Calibri"/>
    </w:rPr>
  </w:style>
  <w:style w:type="character" w:customStyle="1" w:styleId="EndNoteBibliographyChar">
    <w:name w:val="EndNote Bibliography Char"/>
    <w:basedOn w:val="a4"/>
    <w:link w:val="EndNoteBibliography"/>
    <w:rsid w:val="001F6DC5"/>
    <w:rPr>
      <w:rFonts w:ascii="Calibri" w:hAnsi="Calibri" w:cs="Calibri"/>
    </w:rPr>
  </w:style>
  <w:style w:type="paragraph" w:styleId="a5">
    <w:name w:val="endnote text"/>
    <w:basedOn w:val="a"/>
    <w:link w:val="a6"/>
    <w:uiPriority w:val="99"/>
    <w:semiHidden/>
    <w:unhideWhenUsed/>
    <w:rsid w:val="005C4870"/>
    <w:rPr>
      <w:sz w:val="20"/>
      <w:szCs w:val="20"/>
    </w:rPr>
  </w:style>
  <w:style w:type="character" w:customStyle="1" w:styleId="a6">
    <w:name w:val="尾注文本 字符"/>
    <w:basedOn w:val="a0"/>
    <w:link w:val="a5"/>
    <w:uiPriority w:val="99"/>
    <w:semiHidden/>
    <w:rsid w:val="005C4870"/>
    <w:rPr>
      <w:sz w:val="20"/>
      <w:szCs w:val="20"/>
    </w:rPr>
  </w:style>
  <w:style w:type="character" w:styleId="a7">
    <w:name w:val="endnote reference"/>
    <w:basedOn w:val="a0"/>
    <w:uiPriority w:val="99"/>
    <w:semiHidden/>
    <w:unhideWhenUsed/>
    <w:rsid w:val="005C4870"/>
    <w:rPr>
      <w:vertAlign w:val="superscript"/>
    </w:rPr>
  </w:style>
  <w:style w:type="paragraph" w:styleId="a8">
    <w:name w:val="Normal (Web)"/>
    <w:basedOn w:val="a"/>
    <w:uiPriority w:val="99"/>
    <w:unhideWhenUsed/>
    <w:rsid w:val="005C4870"/>
    <w:pPr>
      <w:spacing w:before="100" w:beforeAutospacing="1" w:after="100" w:afterAutospacing="1"/>
    </w:pPr>
    <w:rPr>
      <w:rFonts w:ascii="Times New Roman" w:eastAsia="Times New Roman" w:hAnsi="Times New Roman" w:cs="Times New Roman"/>
      <w:lang w:val="en-CA"/>
    </w:rPr>
  </w:style>
  <w:style w:type="table" w:styleId="a9">
    <w:name w:val="Table Grid"/>
    <w:basedOn w:val="a1"/>
    <w:uiPriority w:val="39"/>
    <w:rsid w:val="0023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a1"/>
    <w:uiPriority w:val="47"/>
    <w:rsid w:val="001B1FB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a1"/>
    <w:uiPriority w:val="51"/>
    <w:rsid w:val="00B1719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a1"/>
    <w:uiPriority w:val="41"/>
    <w:rsid w:val="00B171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a"/>
    <w:link w:val="EndNoteBibliographyTitleChar"/>
    <w:rsid w:val="008C7003"/>
    <w:pPr>
      <w:jc w:val="center"/>
    </w:pPr>
    <w:rPr>
      <w:rFonts w:ascii="Calibri" w:hAnsi="Calibri" w:cs="Calibri"/>
    </w:rPr>
  </w:style>
  <w:style w:type="character" w:customStyle="1" w:styleId="EndNoteBibliographyTitleChar">
    <w:name w:val="EndNote Bibliography Title Char"/>
    <w:basedOn w:val="a0"/>
    <w:link w:val="EndNoteBibliographyTitle"/>
    <w:rsid w:val="008C7003"/>
    <w:rPr>
      <w:rFonts w:ascii="Calibri" w:hAnsi="Calibri" w:cs="Calibri"/>
    </w:rPr>
  </w:style>
  <w:style w:type="character" w:styleId="aa">
    <w:name w:val="Hyperlink"/>
    <w:basedOn w:val="a0"/>
    <w:uiPriority w:val="99"/>
    <w:unhideWhenUsed/>
    <w:rsid w:val="008C7003"/>
    <w:rPr>
      <w:color w:val="0563C1" w:themeColor="hyperlink"/>
      <w:u w:val="single"/>
    </w:rPr>
  </w:style>
  <w:style w:type="character" w:customStyle="1" w:styleId="UnresolvedMention1">
    <w:name w:val="Unresolved Mention1"/>
    <w:basedOn w:val="a0"/>
    <w:uiPriority w:val="99"/>
    <w:semiHidden/>
    <w:unhideWhenUsed/>
    <w:rsid w:val="008C7003"/>
    <w:rPr>
      <w:color w:val="605E5C"/>
      <w:shd w:val="clear" w:color="auto" w:fill="E1DFDD"/>
    </w:rPr>
  </w:style>
  <w:style w:type="paragraph" w:customStyle="1" w:styleId="EndNoteCategoryHeading">
    <w:name w:val="EndNote Category Heading"/>
    <w:basedOn w:val="a"/>
    <w:link w:val="EndNoteCategoryHeadingChar"/>
    <w:rsid w:val="00A55F33"/>
    <w:pPr>
      <w:spacing w:before="120" w:after="120"/>
    </w:pPr>
    <w:rPr>
      <w:b/>
    </w:rPr>
  </w:style>
  <w:style w:type="character" w:customStyle="1" w:styleId="EndNoteCategoryHeadingChar">
    <w:name w:val="EndNote Category Heading Char"/>
    <w:basedOn w:val="a0"/>
    <w:link w:val="EndNoteCategoryHeading"/>
    <w:rsid w:val="00A55F33"/>
    <w:rPr>
      <w:b/>
    </w:rPr>
  </w:style>
  <w:style w:type="character" w:styleId="ab">
    <w:name w:val="annotation reference"/>
    <w:basedOn w:val="a0"/>
    <w:uiPriority w:val="99"/>
    <w:unhideWhenUsed/>
    <w:qFormat/>
    <w:rsid w:val="007B0E0D"/>
    <w:rPr>
      <w:sz w:val="16"/>
      <w:szCs w:val="16"/>
    </w:rPr>
  </w:style>
  <w:style w:type="paragraph" w:styleId="ac">
    <w:name w:val="annotation text"/>
    <w:basedOn w:val="a"/>
    <w:link w:val="ad"/>
    <w:uiPriority w:val="99"/>
    <w:unhideWhenUsed/>
    <w:qFormat/>
    <w:rsid w:val="007B0E0D"/>
    <w:rPr>
      <w:sz w:val="20"/>
      <w:szCs w:val="20"/>
    </w:rPr>
  </w:style>
  <w:style w:type="character" w:customStyle="1" w:styleId="ad">
    <w:name w:val="批注文字 字符"/>
    <w:basedOn w:val="a0"/>
    <w:link w:val="ac"/>
    <w:uiPriority w:val="99"/>
    <w:semiHidden/>
    <w:rsid w:val="007B0E0D"/>
    <w:rPr>
      <w:sz w:val="20"/>
      <w:szCs w:val="20"/>
    </w:rPr>
  </w:style>
  <w:style w:type="paragraph" w:styleId="ae">
    <w:name w:val="annotation subject"/>
    <w:basedOn w:val="ac"/>
    <w:next w:val="ac"/>
    <w:link w:val="af"/>
    <w:uiPriority w:val="99"/>
    <w:semiHidden/>
    <w:unhideWhenUsed/>
    <w:rsid w:val="007B0E0D"/>
    <w:rPr>
      <w:b/>
      <w:bCs/>
    </w:rPr>
  </w:style>
  <w:style w:type="character" w:customStyle="1" w:styleId="af">
    <w:name w:val="批注主题 字符"/>
    <w:basedOn w:val="ad"/>
    <w:link w:val="ae"/>
    <w:uiPriority w:val="99"/>
    <w:semiHidden/>
    <w:rsid w:val="007B0E0D"/>
    <w:rPr>
      <w:b/>
      <w:bCs/>
      <w:sz w:val="20"/>
      <w:szCs w:val="20"/>
    </w:rPr>
  </w:style>
  <w:style w:type="paragraph" w:styleId="af0">
    <w:name w:val="Balloon Text"/>
    <w:basedOn w:val="a"/>
    <w:link w:val="af1"/>
    <w:uiPriority w:val="99"/>
    <w:semiHidden/>
    <w:unhideWhenUsed/>
    <w:rsid w:val="007B0E0D"/>
    <w:rPr>
      <w:rFonts w:ascii="Tahoma" w:hAnsi="Tahoma" w:cs="Tahoma"/>
      <w:sz w:val="16"/>
      <w:szCs w:val="16"/>
    </w:rPr>
  </w:style>
  <w:style w:type="character" w:customStyle="1" w:styleId="af1">
    <w:name w:val="批注框文本 字符"/>
    <w:basedOn w:val="a0"/>
    <w:link w:val="af0"/>
    <w:uiPriority w:val="99"/>
    <w:semiHidden/>
    <w:rsid w:val="007B0E0D"/>
    <w:rPr>
      <w:rFonts w:ascii="Tahoma" w:hAnsi="Tahoma" w:cs="Tahoma"/>
      <w:sz w:val="16"/>
      <w:szCs w:val="16"/>
    </w:rPr>
  </w:style>
  <w:style w:type="paragraph" w:styleId="af2">
    <w:name w:val="Revision"/>
    <w:hidden/>
    <w:uiPriority w:val="99"/>
    <w:semiHidden/>
    <w:rsid w:val="007A3567"/>
  </w:style>
  <w:style w:type="character" w:customStyle="1" w:styleId="UnresolvedMention2">
    <w:name w:val="Unresolved Mention2"/>
    <w:basedOn w:val="a0"/>
    <w:uiPriority w:val="99"/>
    <w:semiHidden/>
    <w:unhideWhenUsed/>
    <w:rsid w:val="00791836"/>
    <w:rPr>
      <w:color w:val="605E5C"/>
      <w:shd w:val="clear" w:color="auto" w:fill="E1DFDD"/>
    </w:rPr>
  </w:style>
  <w:style w:type="paragraph" w:styleId="af3">
    <w:name w:val="header"/>
    <w:basedOn w:val="a"/>
    <w:link w:val="af4"/>
    <w:uiPriority w:val="99"/>
    <w:unhideWhenUsed/>
    <w:rsid w:val="00AB470A"/>
    <w:pPr>
      <w:tabs>
        <w:tab w:val="center" w:pos="4536"/>
        <w:tab w:val="right" w:pos="9072"/>
      </w:tabs>
    </w:pPr>
  </w:style>
  <w:style w:type="character" w:customStyle="1" w:styleId="af4">
    <w:name w:val="页眉 字符"/>
    <w:basedOn w:val="a0"/>
    <w:link w:val="af3"/>
    <w:uiPriority w:val="99"/>
    <w:rsid w:val="00AB470A"/>
  </w:style>
  <w:style w:type="paragraph" w:styleId="af5">
    <w:name w:val="footer"/>
    <w:basedOn w:val="a"/>
    <w:link w:val="af6"/>
    <w:uiPriority w:val="99"/>
    <w:unhideWhenUsed/>
    <w:rsid w:val="00AB470A"/>
    <w:pPr>
      <w:tabs>
        <w:tab w:val="center" w:pos="4536"/>
        <w:tab w:val="right" w:pos="9072"/>
      </w:tabs>
    </w:pPr>
  </w:style>
  <w:style w:type="character" w:customStyle="1" w:styleId="af6">
    <w:name w:val="页脚 字符"/>
    <w:basedOn w:val="a0"/>
    <w:link w:val="af5"/>
    <w:uiPriority w:val="99"/>
    <w:rsid w:val="00AB470A"/>
  </w:style>
  <w:style w:type="character" w:styleId="af7">
    <w:name w:val="FollowedHyperlink"/>
    <w:basedOn w:val="a0"/>
    <w:uiPriority w:val="99"/>
    <w:semiHidden/>
    <w:unhideWhenUsed/>
    <w:rsid w:val="009A3786"/>
    <w:rPr>
      <w:color w:val="954F72" w:themeColor="followedHyperlink"/>
      <w:u w:val="single"/>
    </w:rPr>
  </w:style>
  <w:style w:type="table" w:styleId="6-3">
    <w:name w:val="Grid Table 6 Colorful Accent 3"/>
    <w:basedOn w:val="a1"/>
    <w:uiPriority w:val="51"/>
    <w:rsid w:val="003E723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
    <w:name w:val="Plain Table 2"/>
    <w:basedOn w:val="a1"/>
    <w:uiPriority w:val="42"/>
    <w:rsid w:val="001D36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D1F5C"/>
    <w:pPr>
      <w:widowControl w:val="0"/>
      <w:autoSpaceDE w:val="0"/>
      <w:autoSpaceDN w:val="0"/>
      <w:adjustRightInd w:val="0"/>
    </w:pPr>
    <w:rPr>
      <w:rFonts w:ascii="Times New Roman" w:hAnsi="Times New Roman" w:cs="Times New Roman"/>
      <w:color w:val="000000"/>
    </w:rPr>
  </w:style>
  <w:style w:type="paragraph" w:customStyle="1" w:styleId="src">
    <w:name w:val="src"/>
    <w:basedOn w:val="a"/>
    <w:rsid w:val="00D676DE"/>
    <w:pPr>
      <w:spacing w:before="100" w:beforeAutospacing="1" w:after="100" w:afterAutospacing="1"/>
    </w:pPr>
    <w:rPr>
      <w:rFonts w:ascii="宋体" w:eastAsia="宋体" w:hAnsi="宋体" w:cs="宋体"/>
      <w:lang w:eastAsia="zh-CN"/>
    </w:rPr>
  </w:style>
  <w:style w:type="character" w:customStyle="1" w:styleId="1">
    <w:name w:val="批注文字 字符1"/>
    <w:basedOn w:val="a0"/>
    <w:uiPriority w:val="99"/>
    <w:qFormat/>
    <w:rsid w:val="00D676DE"/>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9040">
      <w:bodyDiv w:val="1"/>
      <w:marLeft w:val="0"/>
      <w:marRight w:val="0"/>
      <w:marTop w:val="0"/>
      <w:marBottom w:val="0"/>
      <w:divBdr>
        <w:top w:val="none" w:sz="0" w:space="0" w:color="auto"/>
        <w:left w:val="none" w:sz="0" w:space="0" w:color="auto"/>
        <w:bottom w:val="none" w:sz="0" w:space="0" w:color="auto"/>
        <w:right w:val="none" w:sz="0" w:space="0" w:color="auto"/>
      </w:divBdr>
    </w:div>
    <w:div w:id="63143268">
      <w:bodyDiv w:val="1"/>
      <w:marLeft w:val="0"/>
      <w:marRight w:val="0"/>
      <w:marTop w:val="0"/>
      <w:marBottom w:val="0"/>
      <w:divBdr>
        <w:top w:val="none" w:sz="0" w:space="0" w:color="auto"/>
        <w:left w:val="none" w:sz="0" w:space="0" w:color="auto"/>
        <w:bottom w:val="none" w:sz="0" w:space="0" w:color="auto"/>
        <w:right w:val="none" w:sz="0" w:space="0" w:color="auto"/>
      </w:divBdr>
    </w:div>
    <w:div w:id="119567578">
      <w:bodyDiv w:val="1"/>
      <w:marLeft w:val="0"/>
      <w:marRight w:val="0"/>
      <w:marTop w:val="0"/>
      <w:marBottom w:val="0"/>
      <w:divBdr>
        <w:top w:val="none" w:sz="0" w:space="0" w:color="auto"/>
        <w:left w:val="none" w:sz="0" w:space="0" w:color="auto"/>
        <w:bottom w:val="none" w:sz="0" w:space="0" w:color="auto"/>
        <w:right w:val="none" w:sz="0" w:space="0" w:color="auto"/>
      </w:divBdr>
    </w:div>
    <w:div w:id="135925938">
      <w:bodyDiv w:val="1"/>
      <w:marLeft w:val="0"/>
      <w:marRight w:val="0"/>
      <w:marTop w:val="0"/>
      <w:marBottom w:val="0"/>
      <w:divBdr>
        <w:top w:val="none" w:sz="0" w:space="0" w:color="auto"/>
        <w:left w:val="none" w:sz="0" w:space="0" w:color="auto"/>
        <w:bottom w:val="none" w:sz="0" w:space="0" w:color="auto"/>
        <w:right w:val="none" w:sz="0" w:space="0" w:color="auto"/>
      </w:divBdr>
    </w:div>
    <w:div w:id="175733090">
      <w:bodyDiv w:val="1"/>
      <w:marLeft w:val="0"/>
      <w:marRight w:val="0"/>
      <w:marTop w:val="0"/>
      <w:marBottom w:val="0"/>
      <w:divBdr>
        <w:top w:val="none" w:sz="0" w:space="0" w:color="auto"/>
        <w:left w:val="none" w:sz="0" w:space="0" w:color="auto"/>
        <w:bottom w:val="none" w:sz="0" w:space="0" w:color="auto"/>
        <w:right w:val="none" w:sz="0" w:space="0" w:color="auto"/>
      </w:divBdr>
    </w:div>
    <w:div w:id="232160893">
      <w:bodyDiv w:val="1"/>
      <w:marLeft w:val="0"/>
      <w:marRight w:val="0"/>
      <w:marTop w:val="0"/>
      <w:marBottom w:val="0"/>
      <w:divBdr>
        <w:top w:val="none" w:sz="0" w:space="0" w:color="auto"/>
        <w:left w:val="none" w:sz="0" w:space="0" w:color="auto"/>
        <w:bottom w:val="none" w:sz="0" w:space="0" w:color="auto"/>
        <w:right w:val="none" w:sz="0" w:space="0" w:color="auto"/>
      </w:divBdr>
    </w:div>
    <w:div w:id="283851922">
      <w:bodyDiv w:val="1"/>
      <w:marLeft w:val="0"/>
      <w:marRight w:val="0"/>
      <w:marTop w:val="0"/>
      <w:marBottom w:val="0"/>
      <w:divBdr>
        <w:top w:val="none" w:sz="0" w:space="0" w:color="auto"/>
        <w:left w:val="none" w:sz="0" w:space="0" w:color="auto"/>
        <w:bottom w:val="none" w:sz="0" w:space="0" w:color="auto"/>
        <w:right w:val="none" w:sz="0" w:space="0" w:color="auto"/>
      </w:divBdr>
      <w:divsChild>
        <w:div w:id="978339101">
          <w:marLeft w:val="0"/>
          <w:marRight w:val="0"/>
          <w:marTop w:val="34"/>
          <w:marBottom w:val="34"/>
          <w:divBdr>
            <w:top w:val="none" w:sz="0" w:space="0" w:color="auto"/>
            <w:left w:val="none" w:sz="0" w:space="0" w:color="auto"/>
            <w:bottom w:val="none" w:sz="0" w:space="0" w:color="auto"/>
            <w:right w:val="none" w:sz="0" w:space="0" w:color="auto"/>
          </w:divBdr>
        </w:div>
        <w:div w:id="295836474">
          <w:marLeft w:val="0"/>
          <w:marRight w:val="0"/>
          <w:marTop w:val="0"/>
          <w:marBottom w:val="0"/>
          <w:divBdr>
            <w:top w:val="none" w:sz="0" w:space="0" w:color="auto"/>
            <w:left w:val="none" w:sz="0" w:space="0" w:color="auto"/>
            <w:bottom w:val="none" w:sz="0" w:space="0" w:color="auto"/>
            <w:right w:val="none" w:sz="0" w:space="0" w:color="auto"/>
          </w:divBdr>
        </w:div>
      </w:divsChild>
    </w:div>
    <w:div w:id="356925568">
      <w:bodyDiv w:val="1"/>
      <w:marLeft w:val="0"/>
      <w:marRight w:val="0"/>
      <w:marTop w:val="0"/>
      <w:marBottom w:val="0"/>
      <w:divBdr>
        <w:top w:val="none" w:sz="0" w:space="0" w:color="auto"/>
        <w:left w:val="none" w:sz="0" w:space="0" w:color="auto"/>
        <w:bottom w:val="none" w:sz="0" w:space="0" w:color="auto"/>
        <w:right w:val="none" w:sz="0" w:space="0" w:color="auto"/>
      </w:divBdr>
    </w:div>
    <w:div w:id="358164044">
      <w:bodyDiv w:val="1"/>
      <w:marLeft w:val="0"/>
      <w:marRight w:val="0"/>
      <w:marTop w:val="0"/>
      <w:marBottom w:val="0"/>
      <w:divBdr>
        <w:top w:val="none" w:sz="0" w:space="0" w:color="auto"/>
        <w:left w:val="none" w:sz="0" w:space="0" w:color="auto"/>
        <w:bottom w:val="none" w:sz="0" w:space="0" w:color="auto"/>
        <w:right w:val="none" w:sz="0" w:space="0" w:color="auto"/>
      </w:divBdr>
      <w:divsChild>
        <w:div w:id="1220433580">
          <w:marLeft w:val="274"/>
          <w:marRight w:val="0"/>
          <w:marTop w:val="150"/>
          <w:marBottom w:val="0"/>
          <w:divBdr>
            <w:top w:val="none" w:sz="0" w:space="0" w:color="auto"/>
            <w:left w:val="none" w:sz="0" w:space="0" w:color="auto"/>
            <w:bottom w:val="none" w:sz="0" w:space="0" w:color="auto"/>
            <w:right w:val="none" w:sz="0" w:space="0" w:color="auto"/>
          </w:divBdr>
        </w:div>
      </w:divsChild>
    </w:div>
    <w:div w:id="376861684">
      <w:bodyDiv w:val="1"/>
      <w:marLeft w:val="0"/>
      <w:marRight w:val="0"/>
      <w:marTop w:val="0"/>
      <w:marBottom w:val="0"/>
      <w:divBdr>
        <w:top w:val="none" w:sz="0" w:space="0" w:color="auto"/>
        <w:left w:val="none" w:sz="0" w:space="0" w:color="auto"/>
        <w:bottom w:val="none" w:sz="0" w:space="0" w:color="auto"/>
        <w:right w:val="none" w:sz="0" w:space="0" w:color="auto"/>
      </w:divBdr>
    </w:div>
    <w:div w:id="385687920">
      <w:bodyDiv w:val="1"/>
      <w:marLeft w:val="0"/>
      <w:marRight w:val="0"/>
      <w:marTop w:val="0"/>
      <w:marBottom w:val="0"/>
      <w:divBdr>
        <w:top w:val="none" w:sz="0" w:space="0" w:color="auto"/>
        <w:left w:val="none" w:sz="0" w:space="0" w:color="auto"/>
        <w:bottom w:val="none" w:sz="0" w:space="0" w:color="auto"/>
        <w:right w:val="none" w:sz="0" w:space="0" w:color="auto"/>
      </w:divBdr>
      <w:divsChild>
        <w:div w:id="2013411452">
          <w:marLeft w:val="0"/>
          <w:marRight w:val="0"/>
          <w:marTop w:val="34"/>
          <w:marBottom w:val="34"/>
          <w:divBdr>
            <w:top w:val="none" w:sz="0" w:space="0" w:color="auto"/>
            <w:left w:val="none" w:sz="0" w:space="0" w:color="auto"/>
            <w:bottom w:val="none" w:sz="0" w:space="0" w:color="auto"/>
            <w:right w:val="none" w:sz="0" w:space="0" w:color="auto"/>
          </w:divBdr>
        </w:div>
      </w:divsChild>
    </w:div>
    <w:div w:id="386419145">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6">
          <w:marLeft w:val="0"/>
          <w:marRight w:val="0"/>
          <w:marTop w:val="34"/>
          <w:marBottom w:val="34"/>
          <w:divBdr>
            <w:top w:val="none" w:sz="0" w:space="0" w:color="auto"/>
            <w:left w:val="none" w:sz="0" w:space="0" w:color="auto"/>
            <w:bottom w:val="none" w:sz="0" w:space="0" w:color="auto"/>
            <w:right w:val="none" w:sz="0" w:space="0" w:color="auto"/>
          </w:divBdr>
        </w:div>
      </w:divsChild>
    </w:div>
    <w:div w:id="398872270">
      <w:bodyDiv w:val="1"/>
      <w:marLeft w:val="0"/>
      <w:marRight w:val="0"/>
      <w:marTop w:val="0"/>
      <w:marBottom w:val="0"/>
      <w:divBdr>
        <w:top w:val="none" w:sz="0" w:space="0" w:color="auto"/>
        <w:left w:val="none" w:sz="0" w:space="0" w:color="auto"/>
        <w:bottom w:val="none" w:sz="0" w:space="0" w:color="auto"/>
        <w:right w:val="none" w:sz="0" w:space="0" w:color="auto"/>
      </w:divBdr>
    </w:div>
    <w:div w:id="476841478">
      <w:bodyDiv w:val="1"/>
      <w:marLeft w:val="0"/>
      <w:marRight w:val="0"/>
      <w:marTop w:val="0"/>
      <w:marBottom w:val="0"/>
      <w:divBdr>
        <w:top w:val="none" w:sz="0" w:space="0" w:color="auto"/>
        <w:left w:val="none" w:sz="0" w:space="0" w:color="auto"/>
        <w:bottom w:val="none" w:sz="0" w:space="0" w:color="auto"/>
        <w:right w:val="none" w:sz="0" w:space="0" w:color="auto"/>
      </w:divBdr>
    </w:div>
    <w:div w:id="529879509">
      <w:bodyDiv w:val="1"/>
      <w:marLeft w:val="0"/>
      <w:marRight w:val="0"/>
      <w:marTop w:val="0"/>
      <w:marBottom w:val="0"/>
      <w:divBdr>
        <w:top w:val="none" w:sz="0" w:space="0" w:color="auto"/>
        <w:left w:val="none" w:sz="0" w:space="0" w:color="auto"/>
        <w:bottom w:val="none" w:sz="0" w:space="0" w:color="auto"/>
        <w:right w:val="none" w:sz="0" w:space="0" w:color="auto"/>
      </w:divBdr>
    </w:div>
    <w:div w:id="547959314">
      <w:bodyDiv w:val="1"/>
      <w:marLeft w:val="0"/>
      <w:marRight w:val="0"/>
      <w:marTop w:val="0"/>
      <w:marBottom w:val="0"/>
      <w:divBdr>
        <w:top w:val="none" w:sz="0" w:space="0" w:color="auto"/>
        <w:left w:val="none" w:sz="0" w:space="0" w:color="auto"/>
        <w:bottom w:val="none" w:sz="0" w:space="0" w:color="auto"/>
        <w:right w:val="none" w:sz="0" w:space="0" w:color="auto"/>
      </w:divBdr>
    </w:div>
    <w:div w:id="647049286">
      <w:bodyDiv w:val="1"/>
      <w:marLeft w:val="0"/>
      <w:marRight w:val="0"/>
      <w:marTop w:val="0"/>
      <w:marBottom w:val="0"/>
      <w:divBdr>
        <w:top w:val="none" w:sz="0" w:space="0" w:color="auto"/>
        <w:left w:val="none" w:sz="0" w:space="0" w:color="auto"/>
        <w:bottom w:val="none" w:sz="0" w:space="0" w:color="auto"/>
        <w:right w:val="none" w:sz="0" w:space="0" w:color="auto"/>
      </w:divBdr>
    </w:div>
    <w:div w:id="648478768">
      <w:bodyDiv w:val="1"/>
      <w:marLeft w:val="0"/>
      <w:marRight w:val="0"/>
      <w:marTop w:val="0"/>
      <w:marBottom w:val="0"/>
      <w:divBdr>
        <w:top w:val="none" w:sz="0" w:space="0" w:color="auto"/>
        <w:left w:val="none" w:sz="0" w:space="0" w:color="auto"/>
        <w:bottom w:val="none" w:sz="0" w:space="0" w:color="auto"/>
        <w:right w:val="none" w:sz="0" w:space="0" w:color="auto"/>
      </w:divBdr>
      <w:divsChild>
        <w:div w:id="1404716651">
          <w:marLeft w:val="806"/>
          <w:marRight w:val="0"/>
          <w:marTop w:val="75"/>
          <w:marBottom w:val="0"/>
          <w:divBdr>
            <w:top w:val="none" w:sz="0" w:space="0" w:color="auto"/>
            <w:left w:val="none" w:sz="0" w:space="0" w:color="auto"/>
            <w:bottom w:val="none" w:sz="0" w:space="0" w:color="auto"/>
            <w:right w:val="none" w:sz="0" w:space="0" w:color="auto"/>
          </w:divBdr>
        </w:div>
      </w:divsChild>
    </w:div>
    <w:div w:id="651836647">
      <w:bodyDiv w:val="1"/>
      <w:marLeft w:val="0"/>
      <w:marRight w:val="0"/>
      <w:marTop w:val="0"/>
      <w:marBottom w:val="0"/>
      <w:divBdr>
        <w:top w:val="none" w:sz="0" w:space="0" w:color="auto"/>
        <w:left w:val="none" w:sz="0" w:space="0" w:color="auto"/>
        <w:bottom w:val="none" w:sz="0" w:space="0" w:color="auto"/>
        <w:right w:val="none" w:sz="0" w:space="0" w:color="auto"/>
      </w:divBdr>
    </w:div>
    <w:div w:id="676008167">
      <w:bodyDiv w:val="1"/>
      <w:marLeft w:val="0"/>
      <w:marRight w:val="0"/>
      <w:marTop w:val="0"/>
      <w:marBottom w:val="0"/>
      <w:divBdr>
        <w:top w:val="none" w:sz="0" w:space="0" w:color="auto"/>
        <w:left w:val="none" w:sz="0" w:space="0" w:color="auto"/>
        <w:bottom w:val="none" w:sz="0" w:space="0" w:color="auto"/>
        <w:right w:val="none" w:sz="0" w:space="0" w:color="auto"/>
      </w:divBdr>
    </w:div>
    <w:div w:id="708771936">
      <w:bodyDiv w:val="1"/>
      <w:marLeft w:val="0"/>
      <w:marRight w:val="0"/>
      <w:marTop w:val="0"/>
      <w:marBottom w:val="0"/>
      <w:divBdr>
        <w:top w:val="none" w:sz="0" w:space="0" w:color="auto"/>
        <w:left w:val="none" w:sz="0" w:space="0" w:color="auto"/>
        <w:bottom w:val="none" w:sz="0" w:space="0" w:color="auto"/>
        <w:right w:val="none" w:sz="0" w:space="0" w:color="auto"/>
      </w:divBdr>
      <w:divsChild>
        <w:div w:id="83454391">
          <w:marLeft w:val="0"/>
          <w:marRight w:val="0"/>
          <w:marTop w:val="34"/>
          <w:marBottom w:val="34"/>
          <w:divBdr>
            <w:top w:val="none" w:sz="0" w:space="0" w:color="auto"/>
            <w:left w:val="none" w:sz="0" w:space="0" w:color="auto"/>
            <w:bottom w:val="none" w:sz="0" w:space="0" w:color="auto"/>
            <w:right w:val="none" w:sz="0" w:space="0" w:color="auto"/>
          </w:divBdr>
        </w:div>
      </w:divsChild>
    </w:div>
    <w:div w:id="715205477">
      <w:bodyDiv w:val="1"/>
      <w:marLeft w:val="0"/>
      <w:marRight w:val="0"/>
      <w:marTop w:val="0"/>
      <w:marBottom w:val="0"/>
      <w:divBdr>
        <w:top w:val="none" w:sz="0" w:space="0" w:color="auto"/>
        <w:left w:val="none" w:sz="0" w:space="0" w:color="auto"/>
        <w:bottom w:val="none" w:sz="0" w:space="0" w:color="auto"/>
        <w:right w:val="none" w:sz="0" w:space="0" w:color="auto"/>
      </w:divBdr>
    </w:div>
    <w:div w:id="771053087">
      <w:bodyDiv w:val="1"/>
      <w:marLeft w:val="0"/>
      <w:marRight w:val="0"/>
      <w:marTop w:val="0"/>
      <w:marBottom w:val="0"/>
      <w:divBdr>
        <w:top w:val="none" w:sz="0" w:space="0" w:color="auto"/>
        <w:left w:val="none" w:sz="0" w:space="0" w:color="auto"/>
        <w:bottom w:val="none" w:sz="0" w:space="0" w:color="auto"/>
        <w:right w:val="none" w:sz="0" w:space="0" w:color="auto"/>
      </w:divBdr>
    </w:div>
    <w:div w:id="786117872">
      <w:bodyDiv w:val="1"/>
      <w:marLeft w:val="0"/>
      <w:marRight w:val="0"/>
      <w:marTop w:val="0"/>
      <w:marBottom w:val="0"/>
      <w:divBdr>
        <w:top w:val="none" w:sz="0" w:space="0" w:color="auto"/>
        <w:left w:val="none" w:sz="0" w:space="0" w:color="auto"/>
        <w:bottom w:val="none" w:sz="0" w:space="0" w:color="auto"/>
        <w:right w:val="none" w:sz="0" w:space="0" w:color="auto"/>
      </w:divBdr>
    </w:div>
    <w:div w:id="848177188">
      <w:bodyDiv w:val="1"/>
      <w:marLeft w:val="0"/>
      <w:marRight w:val="0"/>
      <w:marTop w:val="0"/>
      <w:marBottom w:val="0"/>
      <w:divBdr>
        <w:top w:val="none" w:sz="0" w:space="0" w:color="auto"/>
        <w:left w:val="none" w:sz="0" w:space="0" w:color="auto"/>
        <w:bottom w:val="none" w:sz="0" w:space="0" w:color="auto"/>
        <w:right w:val="none" w:sz="0" w:space="0" w:color="auto"/>
      </w:divBdr>
      <w:divsChild>
        <w:div w:id="357656841">
          <w:marLeft w:val="0"/>
          <w:marRight w:val="0"/>
          <w:marTop w:val="34"/>
          <w:marBottom w:val="34"/>
          <w:divBdr>
            <w:top w:val="none" w:sz="0" w:space="0" w:color="auto"/>
            <w:left w:val="none" w:sz="0" w:space="0" w:color="auto"/>
            <w:bottom w:val="none" w:sz="0" w:space="0" w:color="auto"/>
            <w:right w:val="none" w:sz="0" w:space="0" w:color="auto"/>
          </w:divBdr>
        </w:div>
      </w:divsChild>
    </w:div>
    <w:div w:id="850415214">
      <w:bodyDiv w:val="1"/>
      <w:marLeft w:val="0"/>
      <w:marRight w:val="0"/>
      <w:marTop w:val="0"/>
      <w:marBottom w:val="0"/>
      <w:divBdr>
        <w:top w:val="none" w:sz="0" w:space="0" w:color="auto"/>
        <w:left w:val="none" w:sz="0" w:space="0" w:color="auto"/>
        <w:bottom w:val="none" w:sz="0" w:space="0" w:color="auto"/>
        <w:right w:val="none" w:sz="0" w:space="0" w:color="auto"/>
      </w:divBdr>
    </w:div>
    <w:div w:id="896666843">
      <w:bodyDiv w:val="1"/>
      <w:marLeft w:val="0"/>
      <w:marRight w:val="0"/>
      <w:marTop w:val="0"/>
      <w:marBottom w:val="0"/>
      <w:divBdr>
        <w:top w:val="none" w:sz="0" w:space="0" w:color="auto"/>
        <w:left w:val="none" w:sz="0" w:space="0" w:color="auto"/>
        <w:bottom w:val="none" w:sz="0" w:space="0" w:color="auto"/>
        <w:right w:val="none" w:sz="0" w:space="0" w:color="auto"/>
      </w:divBdr>
    </w:div>
    <w:div w:id="912275100">
      <w:bodyDiv w:val="1"/>
      <w:marLeft w:val="0"/>
      <w:marRight w:val="0"/>
      <w:marTop w:val="0"/>
      <w:marBottom w:val="0"/>
      <w:divBdr>
        <w:top w:val="none" w:sz="0" w:space="0" w:color="auto"/>
        <w:left w:val="none" w:sz="0" w:space="0" w:color="auto"/>
        <w:bottom w:val="none" w:sz="0" w:space="0" w:color="auto"/>
        <w:right w:val="none" w:sz="0" w:space="0" w:color="auto"/>
      </w:divBdr>
      <w:divsChild>
        <w:div w:id="680357814">
          <w:marLeft w:val="420"/>
          <w:marRight w:val="0"/>
          <w:marTop w:val="0"/>
          <w:marBottom w:val="0"/>
          <w:divBdr>
            <w:top w:val="none" w:sz="0" w:space="0" w:color="auto"/>
            <w:left w:val="none" w:sz="0" w:space="0" w:color="auto"/>
            <w:bottom w:val="none" w:sz="0" w:space="0" w:color="auto"/>
            <w:right w:val="none" w:sz="0" w:space="0" w:color="auto"/>
          </w:divBdr>
          <w:divsChild>
            <w:div w:id="14265369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26958289">
      <w:bodyDiv w:val="1"/>
      <w:marLeft w:val="0"/>
      <w:marRight w:val="0"/>
      <w:marTop w:val="0"/>
      <w:marBottom w:val="0"/>
      <w:divBdr>
        <w:top w:val="none" w:sz="0" w:space="0" w:color="auto"/>
        <w:left w:val="none" w:sz="0" w:space="0" w:color="auto"/>
        <w:bottom w:val="none" w:sz="0" w:space="0" w:color="auto"/>
        <w:right w:val="none" w:sz="0" w:space="0" w:color="auto"/>
      </w:divBdr>
    </w:div>
    <w:div w:id="1040278046">
      <w:bodyDiv w:val="1"/>
      <w:marLeft w:val="0"/>
      <w:marRight w:val="0"/>
      <w:marTop w:val="0"/>
      <w:marBottom w:val="0"/>
      <w:divBdr>
        <w:top w:val="none" w:sz="0" w:space="0" w:color="auto"/>
        <w:left w:val="none" w:sz="0" w:space="0" w:color="auto"/>
        <w:bottom w:val="none" w:sz="0" w:space="0" w:color="auto"/>
        <w:right w:val="none" w:sz="0" w:space="0" w:color="auto"/>
      </w:divBdr>
    </w:div>
    <w:div w:id="1042941866">
      <w:bodyDiv w:val="1"/>
      <w:marLeft w:val="0"/>
      <w:marRight w:val="0"/>
      <w:marTop w:val="0"/>
      <w:marBottom w:val="0"/>
      <w:divBdr>
        <w:top w:val="none" w:sz="0" w:space="0" w:color="auto"/>
        <w:left w:val="none" w:sz="0" w:space="0" w:color="auto"/>
        <w:bottom w:val="none" w:sz="0" w:space="0" w:color="auto"/>
        <w:right w:val="none" w:sz="0" w:space="0" w:color="auto"/>
      </w:divBdr>
      <w:divsChild>
        <w:div w:id="1402025142">
          <w:marLeft w:val="806"/>
          <w:marRight w:val="0"/>
          <w:marTop w:val="75"/>
          <w:marBottom w:val="0"/>
          <w:divBdr>
            <w:top w:val="none" w:sz="0" w:space="0" w:color="auto"/>
            <w:left w:val="none" w:sz="0" w:space="0" w:color="auto"/>
            <w:bottom w:val="none" w:sz="0" w:space="0" w:color="auto"/>
            <w:right w:val="none" w:sz="0" w:space="0" w:color="auto"/>
          </w:divBdr>
        </w:div>
      </w:divsChild>
    </w:div>
    <w:div w:id="1073356583">
      <w:bodyDiv w:val="1"/>
      <w:marLeft w:val="0"/>
      <w:marRight w:val="0"/>
      <w:marTop w:val="0"/>
      <w:marBottom w:val="0"/>
      <w:divBdr>
        <w:top w:val="none" w:sz="0" w:space="0" w:color="auto"/>
        <w:left w:val="none" w:sz="0" w:space="0" w:color="auto"/>
        <w:bottom w:val="none" w:sz="0" w:space="0" w:color="auto"/>
        <w:right w:val="none" w:sz="0" w:space="0" w:color="auto"/>
      </w:divBdr>
    </w:div>
    <w:div w:id="1192767740">
      <w:bodyDiv w:val="1"/>
      <w:marLeft w:val="0"/>
      <w:marRight w:val="0"/>
      <w:marTop w:val="0"/>
      <w:marBottom w:val="0"/>
      <w:divBdr>
        <w:top w:val="none" w:sz="0" w:space="0" w:color="auto"/>
        <w:left w:val="none" w:sz="0" w:space="0" w:color="auto"/>
        <w:bottom w:val="none" w:sz="0" w:space="0" w:color="auto"/>
        <w:right w:val="none" w:sz="0" w:space="0" w:color="auto"/>
      </w:divBdr>
      <w:divsChild>
        <w:div w:id="1926525638">
          <w:marLeft w:val="0"/>
          <w:marRight w:val="0"/>
          <w:marTop w:val="34"/>
          <w:marBottom w:val="34"/>
          <w:divBdr>
            <w:top w:val="none" w:sz="0" w:space="0" w:color="auto"/>
            <w:left w:val="none" w:sz="0" w:space="0" w:color="auto"/>
            <w:bottom w:val="none" w:sz="0" w:space="0" w:color="auto"/>
            <w:right w:val="none" w:sz="0" w:space="0" w:color="auto"/>
          </w:divBdr>
        </w:div>
        <w:div w:id="935209568">
          <w:marLeft w:val="0"/>
          <w:marRight w:val="0"/>
          <w:marTop w:val="0"/>
          <w:marBottom w:val="0"/>
          <w:divBdr>
            <w:top w:val="none" w:sz="0" w:space="0" w:color="auto"/>
            <w:left w:val="none" w:sz="0" w:space="0" w:color="auto"/>
            <w:bottom w:val="none" w:sz="0" w:space="0" w:color="auto"/>
            <w:right w:val="none" w:sz="0" w:space="0" w:color="auto"/>
          </w:divBdr>
        </w:div>
      </w:divsChild>
    </w:div>
    <w:div w:id="1192913125">
      <w:bodyDiv w:val="1"/>
      <w:marLeft w:val="0"/>
      <w:marRight w:val="0"/>
      <w:marTop w:val="0"/>
      <w:marBottom w:val="0"/>
      <w:divBdr>
        <w:top w:val="none" w:sz="0" w:space="0" w:color="auto"/>
        <w:left w:val="none" w:sz="0" w:space="0" w:color="auto"/>
        <w:bottom w:val="none" w:sz="0" w:space="0" w:color="auto"/>
        <w:right w:val="none" w:sz="0" w:space="0" w:color="auto"/>
      </w:divBdr>
    </w:div>
    <w:div w:id="1324895800">
      <w:bodyDiv w:val="1"/>
      <w:marLeft w:val="0"/>
      <w:marRight w:val="0"/>
      <w:marTop w:val="0"/>
      <w:marBottom w:val="0"/>
      <w:divBdr>
        <w:top w:val="none" w:sz="0" w:space="0" w:color="auto"/>
        <w:left w:val="none" w:sz="0" w:space="0" w:color="auto"/>
        <w:bottom w:val="none" w:sz="0" w:space="0" w:color="auto"/>
        <w:right w:val="none" w:sz="0" w:space="0" w:color="auto"/>
      </w:divBdr>
    </w:div>
    <w:div w:id="1454059793">
      <w:bodyDiv w:val="1"/>
      <w:marLeft w:val="0"/>
      <w:marRight w:val="0"/>
      <w:marTop w:val="0"/>
      <w:marBottom w:val="0"/>
      <w:divBdr>
        <w:top w:val="none" w:sz="0" w:space="0" w:color="auto"/>
        <w:left w:val="none" w:sz="0" w:space="0" w:color="auto"/>
        <w:bottom w:val="none" w:sz="0" w:space="0" w:color="auto"/>
        <w:right w:val="none" w:sz="0" w:space="0" w:color="auto"/>
      </w:divBdr>
    </w:div>
    <w:div w:id="1478566951">
      <w:bodyDiv w:val="1"/>
      <w:marLeft w:val="0"/>
      <w:marRight w:val="0"/>
      <w:marTop w:val="0"/>
      <w:marBottom w:val="0"/>
      <w:divBdr>
        <w:top w:val="none" w:sz="0" w:space="0" w:color="auto"/>
        <w:left w:val="none" w:sz="0" w:space="0" w:color="auto"/>
        <w:bottom w:val="none" w:sz="0" w:space="0" w:color="auto"/>
        <w:right w:val="none" w:sz="0" w:space="0" w:color="auto"/>
      </w:divBdr>
    </w:div>
    <w:div w:id="1487820533">
      <w:bodyDiv w:val="1"/>
      <w:marLeft w:val="0"/>
      <w:marRight w:val="0"/>
      <w:marTop w:val="0"/>
      <w:marBottom w:val="0"/>
      <w:divBdr>
        <w:top w:val="none" w:sz="0" w:space="0" w:color="auto"/>
        <w:left w:val="none" w:sz="0" w:space="0" w:color="auto"/>
        <w:bottom w:val="none" w:sz="0" w:space="0" w:color="auto"/>
        <w:right w:val="none" w:sz="0" w:space="0" w:color="auto"/>
      </w:divBdr>
      <w:divsChild>
        <w:div w:id="784930189">
          <w:marLeft w:val="0"/>
          <w:marRight w:val="0"/>
          <w:marTop w:val="34"/>
          <w:marBottom w:val="34"/>
          <w:divBdr>
            <w:top w:val="none" w:sz="0" w:space="0" w:color="auto"/>
            <w:left w:val="none" w:sz="0" w:space="0" w:color="auto"/>
            <w:bottom w:val="none" w:sz="0" w:space="0" w:color="auto"/>
            <w:right w:val="none" w:sz="0" w:space="0" w:color="auto"/>
          </w:divBdr>
        </w:div>
      </w:divsChild>
    </w:div>
    <w:div w:id="1590191680">
      <w:bodyDiv w:val="1"/>
      <w:marLeft w:val="0"/>
      <w:marRight w:val="0"/>
      <w:marTop w:val="0"/>
      <w:marBottom w:val="0"/>
      <w:divBdr>
        <w:top w:val="none" w:sz="0" w:space="0" w:color="auto"/>
        <w:left w:val="none" w:sz="0" w:space="0" w:color="auto"/>
        <w:bottom w:val="none" w:sz="0" w:space="0" w:color="auto"/>
        <w:right w:val="none" w:sz="0" w:space="0" w:color="auto"/>
      </w:divBdr>
      <w:divsChild>
        <w:div w:id="107314924">
          <w:marLeft w:val="0"/>
          <w:marRight w:val="0"/>
          <w:marTop w:val="34"/>
          <w:marBottom w:val="34"/>
          <w:divBdr>
            <w:top w:val="none" w:sz="0" w:space="0" w:color="auto"/>
            <w:left w:val="none" w:sz="0" w:space="0" w:color="auto"/>
            <w:bottom w:val="none" w:sz="0" w:space="0" w:color="auto"/>
            <w:right w:val="none" w:sz="0" w:space="0" w:color="auto"/>
          </w:divBdr>
        </w:div>
      </w:divsChild>
    </w:div>
    <w:div w:id="1590307387">
      <w:bodyDiv w:val="1"/>
      <w:marLeft w:val="0"/>
      <w:marRight w:val="0"/>
      <w:marTop w:val="0"/>
      <w:marBottom w:val="0"/>
      <w:divBdr>
        <w:top w:val="none" w:sz="0" w:space="0" w:color="auto"/>
        <w:left w:val="none" w:sz="0" w:space="0" w:color="auto"/>
        <w:bottom w:val="none" w:sz="0" w:space="0" w:color="auto"/>
        <w:right w:val="none" w:sz="0" w:space="0" w:color="auto"/>
      </w:divBdr>
      <w:divsChild>
        <w:div w:id="1371034275">
          <w:marLeft w:val="0"/>
          <w:marRight w:val="0"/>
          <w:marTop w:val="34"/>
          <w:marBottom w:val="34"/>
          <w:divBdr>
            <w:top w:val="none" w:sz="0" w:space="0" w:color="auto"/>
            <w:left w:val="none" w:sz="0" w:space="0" w:color="auto"/>
            <w:bottom w:val="none" w:sz="0" w:space="0" w:color="auto"/>
            <w:right w:val="none" w:sz="0" w:space="0" w:color="auto"/>
          </w:divBdr>
        </w:div>
        <w:div w:id="1682077807">
          <w:marLeft w:val="0"/>
          <w:marRight w:val="0"/>
          <w:marTop w:val="0"/>
          <w:marBottom w:val="0"/>
          <w:divBdr>
            <w:top w:val="none" w:sz="0" w:space="0" w:color="auto"/>
            <w:left w:val="none" w:sz="0" w:space="0" w:color="auto"/>
            <w:bottom w:val="none" w:sz="0" w:space="0" w:color="auto"/>
            <w:right w:val="none" w:sz="0" w:space="0" w:color="auto"/>
          </w:divBdr>
        </w:div>
      </w:divsChild>
    </w:div>
    <w:div w:id="1609508162">
      <w:bodyDiv w:val="1"/>
      <w:marLeft w:val="0"/>
      <w:marRight w:val="0"/>
      <w:marTop w:val="0"/>
      <w:marBottom w:val="0"/>
      <w:divBdr>
        <w:top w:val="none" w:sz="0" w:space="0" w:color="auto"/>
        <w:left w:val="none" w:sz="0" w:space="0" w:color="auto"/>
        <w:bottom w:val="none" w:sz="0" w:space="0" w:color="auto"/>
        <w:right w:val="none" w:sz="0" w:space="0" w:color="auto"/>
      </w:divBdr>
    </w:div>
    <w:div w:id="1683243352">
      <w:bodyDiv w:val="1"/>
      <w:marLeft w:val="0"/>
      <w:marRight w:val="0"/>
      <w:marTop w:val="0"/>
      <w:marBottom w:val="0"/>
      <w:divBdr>
        <w:top w:val="none" w:sz="0" w:space="0" w:color="auto"/>
        <w:left w:val="none" w:sz="0" w:space="0" w:color="auto"/>
        <w:bottom w:val="none" w:sz="0" w:space="0" w:color="auto"/>
        <w:right w:val="none" w:sz="0" w:space="0" w:color="auto"/>
      </w:divBdr>
    </w:div>
    <w:div w:id="1686135047">
      <w:bodyDiv w:val="1"/>
      <w:marLeft w:val="0"/>
      <w:marRight w:val="0"/>
      <w:marTop w:val="0"/>
      <w:marBottom w:val="0"/>
      <w:divBdr>
        <w:top w:val="none" w:sz="0" w:space="0" w:color="auto"/>
        <w:left w:val="none" w:sz="0" w:space="0" w:color="auto"/>
        <w:bottom w:val="none" w:sz="0" w:space="0" w:color="auto"/>
        <w:right w:val="none" w:sz="0" w:space="0" w:color="auto"/>
      </w:divBdr>
    </w:div>
    <w:div w:id="1723403535">
      <w:bodyDiv w:val="1"/>
      <w:marLeft w:val="0"/>
      <w:marRight w:val="0"/>
      <w:marTop w:val="0"/>
      <w:marBottom w:val="0"/>
      <w:divBdr>
        <w:top w:val="none" w:sz="0" w:space="0" w:color="auto"/>
        <w:left w:val="none" w:sz="0" w:space="0" w:color="auto"/>
        <w:bottom w:val="none" w:sz="0" w:space="0" w:color="auto"/>
        <w:right w:val="none" w:sz="0" w:space="0" w:color="auto"/>
      </w:divBdr>
      <w:divsChild>
        <w:div w:id="590624137">
          <w:marLeft w:val="274"/>
          <w:marRight w:val="0"/>
          <w:marTop w:val="150"/>
          <w:marBottom w:val="0"/>
          <w:divBdr>
            <w:top w:val="none" w:sz="0" w:space="0" w:color="auto"/>
            <w:left w:val="none" w:sz="0" w:space="0" w:color="auto"/>
            <w:bottom w:val="none" w:sz="0" w:space="0" w:color="auto"/>
            <w:right w:val="none" w:sz="0" w:space="0" w:color="auto"/>
          </w:divBdr>
        </w:div>
      </w:divsChild>
    </w:div>
    <w:div w:id="1727415766">
      <w:bodyDiv w:val="1"/>
      <w:marLeft w:val="0"/>
      <w:marRight w:val="0"/>
      <w:marTop w:val="0"/>
      <w:marBottom w:val="0"/>
      <w:divBdr>
        <w:top w:val="none" w:sz="0" w:space="0" w:color="auto"/>
        <w:left w:val="none" w:sz="0" w:space="0" w:color="auto"/>
        <w:bottom w:val="none" w:sz="0" w:space="0" w:color="auto"/>
        <w:right w:val="none" w:sz="0" w:space="0" w:color="auto"/>
      </w:divBdr>
      <w:divsChild>
        <w:div w:id="1020199732">
          <w:marLeft w:val="0"/>
          <w:marRight w:val="0"/>
          <w:marTop w:val="34"/>
          <w:marBottom w:val="34"/>
          <w:divBdr>
            <w:top w:val="none" w:sz="0" w:space="0" w:color="auto"/>
            <w:left w:val="none" w:sz="0" w:space="0" w:color="auto"/>
            <w:bottom w:val="none" w:sz="0" w:space="0" w:color="auto"/>
            <w:right w:val="none" w:sz="0" w:space="0" w:color="auto"/>
          </w:divBdr>
        </w:div>
      </w:divsChild>
    </w:div>
    <w:div w:id="1738093985">
      <w:bodyDiv w:val="1"/>
      <w:marLeft w:val="0"/>
      <w:marRight w:val="0"/>
      <w:marTop w:val="0"/>
      <w:marBottom w:val="0"/>
      <w:divBdr>
        <w:top w:val="none" w:sz="0" w:space="0" w:color="auto"/>
        <w:left w:val="none" w:sz="0" w:space="0" w:color="auto"/>
        <w:bottom w:val="none" w:sz="0" w:space="0" w:color="auto"/>
        <w:right w:val="none" w:sz="0" w:space="0" w:color="auto"/>
      </w:divBdr>
    </w:div>
    <w:div w:id="1741101483">
      <w:bodyDiv w:val="1"/>
      <w:marLeft w:val="0"/>
      <w:marRight w:val="0"/>
      <w:marTop w:val="0"/>
      <w:marBottom w:val="0"/>
      <w:divBdr>
        <w:top w:val="none" w:sz="0" w:space="0" w:color="auto"/>
        <w:left w:val="none" w:sz="0" w:space="0" w:color="auto"/>
        <w:bottom w:val="none" w:sz="0" w:space="0" w:color="auto"/>
        <w:right w:val="none" w:sz="0" w:space="0" w:color="auto"/>
      </w:divBdr>
    </w:div>
    <w:div w:id="1754811499">
      <w:bodyDiv w:val="1"/>
      <w:marLeft w:val="0"/>
      <w:marRight w:val="0"/>
      <w:marTop w:val="0"/>
      <w:marBottom w:val="0"/>
      <w:divBdr>
        <w:top w:val="none" w:sz="0" w:space="0" w:color="auto"/>
        <w:left w:val="none" w:sz="0" w:space="0" w:color="auto"/>
        <w:bottom w:val="none" w:sz="0" w:space="0" w:color="auto"/>
        <w:right w:val="none" w:sz="0" w:space="0" w:color="auto"/>
      </w:divBdr>
      <w:divsChild>
        <w:div w:id="1425109086">
          <w:marLeft w:val="0"/>
          <w:marRight w:val="0"/>
          <w:marTop w:val="34"/>
          <w:marBottom w:val="34"/>
          <w:divBdr>
            <w:top w:val="none" w:sz="0" w:space="0" w:color="auto"/>
            <w:left w:val="none" w:sz="0" w:space="0" w:color="auto"/>
            <w:bottom w:val="none" w:sz="0" w:space="0" w:color="auto"/>
            <w:right w:val="none" w:sz="0" w:space="0" w:color="auto"/>
          </w:divBdr>
        </w:div>
      </w:divsChild>
    </w:div>
    <w:div w:id="1760057297">
      <w:bodyDiv w:val="1"/>
      <w:marLeft w:val="0"/>
      <w:marRight w:val="0"/>
      <w:marTop w:val="0"/>
      <w:marBottom w:val="0"/>
      <w:divBdr>
        <w:top w:val="none" w:sz="0" w:space="0" w:color="auto"/>
        <w:left w:val="none" w:sz="0" w:space="0" w:color="auto"/>
        <w:bottom w:val="none" w:sz="0" w:space="0" w:color="auto"/>
        <w:right w:val="none" w:sz="0" w:space="0" w:color="auto"/>
      </w:divBdr>
    </w:div>
    <w:div w:id="1763451422">
      <w:bodyDiv w:val="1"/>
      <w:marLeft w:val="0"/>
      <w:marRight w:val="0"/>
      <w:marTop w:val="0"/>
      <w:marBottom w:val="0"/>
      <w:divBdr>
        <w:top w:val="none" w:sz="0" w:space="0" w:color="auto"/>
        <w:left w:val="none" w:sz="0" w:space="0" w:color="auto"/>
        <w:bottom w:val="none" w:sz="0" w:space="0" w:color="auto"/>
        <w:right w:val="none" w:sz="0" w:space="0" w:color="auto"/>
      </w:divBdr>
      <w:divsChild>
        <w:div w:id="1718166015">
          <w:marLeft w:val="0"/>
          <w:marRight w:val="0"/>
          <w:marTop w:val="0"/>
          <w:marBottom w:val="0"/>
          <w:divBdr>
            <w:top w:val="none" w:sz="0" w:space="0" w:color="auto"/>
            <w:left w:val="none" w:sz="0" w:space="0" w:color="auto"/>
            <w:bottom w:val="none" w:sz="0" w:space="0" w:color="auto"/>
            <w:right w:val="none" w:sz="0" w:space="0" w:color="auto"/>
          </w:divBdr>
          <w:divsChild>
            <w:div w:id="391270845">
              <w:marLeft w:val="0"/>
              <w:marRight w:val="0"/>
              <w:marTop w:val="0"/>
              <w:marBottom w:val="0"/>
              <w:divBdr>
                <w:top w:val="none" w:sz="0" w:space="0" w:color="auto"/>
                <w:left w:val="none" w:sz="0" w:space="0" w:color="auto"/>
                <w:bottom w:val="none" w:sz="0" w:space="0" w:color="auto"/>
                <w:right w:val="none" w:sz="0" w:space="0" w:color="auto"/>
              </w:divBdr>
              <w:divsChild>
                <w:div w:id="1027412080">
                  <w:marLeft w:val="0"/>
                  <w:marRight w:val="0"/>
                  <w:marTop w:val="0"/>
                  <w:marBottom w:val="0"/>
                  <w:divBdr>
                    <w:top w:val="none" w:sz="0" w:space="0" w:color="auto"/>
                    <w:left w:val="none" w:sz="0" w:space="0" w:color="auto"/>
                    <w:bottom w:val="none" w:sz="0" w:space="0" w:color="auto"/>
                    <w:right w:val="none" w:sz="0" w:space="0" w:color="auto"/>
                  </w:divBdr>
                </w:div>
              </w:divsChild>
            </w:div>
            <w:div w:id="2007782699">
              <w:marLeft w:val="0"/>
              <w:marRight w:val="0"/>
              <w:marTop w:val="0"/>
              <w:marBottom w:val="0"/>
              <w:divBdr>
                <w:top w:val="none" w:sz="0" w:space="0" w:color="auto"/>
                <w:left w:val="none" w:sz="0" w:space="0" w:color="auto"/>
                <w:bottom w:val="none" w:sz="0" w:space="0" w:color="auto"/>
                <w:right w:val="none" w:sz="0" w:space="0" w:color="auto"/>
              </w:divBdr>
              <w:divsChild>
                <w:div w:id="17943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289">
          <w:marLeft w:val="0"/>
          <w:marRight w:val="0"/>
          <w:marTop w:val="0"/>
          <w:marBottom w:val="0"/>
          <w:divBdr>
            <w:top w:val="none" w:sz="0" w:space="0" w:color="auto"/>
            <w:left w:val="none" w:sz="0" w:space="0" w:color="auto"/>
            <w:bottom w:val="none" w:sz="0" w:space="0" w:color="auto"/>
            <w:right w:val="none" w:sz="0" w:space="0" w:color="auto"/>
          </w:divBdr>
          <w:divsChild>
            <w:div w:id="350761906">
              <w:marLeft w:val="0"/>
              <w:marRight w:val="0"/>
              <w:marTop w:val="0"/>
              <w:marBottom w:val="0"/>
              <w:divBdr>
                <w:top w:val="none" w:sz="0" w:space="0" w:color="auto"/>
                <w:left w:val="none" w:sz="0" w:space="0" w:color="auto"/>
                <w:bottom w:val="none" w:sz="0" w:space="0" w:color="auto"/>
                <w:right w:val="none" w:sz="0" w:space="0" w:color="auto"/>
              </w:divBdr>
              <w:divsChild>
                <w:div w:id="1000083528">
                  <w:marLeft w:val="0"/>
                  <w:marRight w:val="0"/>
                  <w:marTop w:val="0"/>
                  <w:marBottom w:val="0"/>
                  <w:divBdr>
                    <w:top w:val="none" w:sz="0" w:space="0" w:color="auto"/>
                    <w:left w:val="none" w:sz="0" w:space="0" w:color="auto"/>
                    <w:bottom w:val="none" w:sz="0" w:space="0" w:color="auto"/>
                    <w:right w:val="none" w:sz="0" w:space="0" w:color="auto"/>
                  </w:divBdr>
                </w:div>
                <w:div w:id="528565974">
                  <w:marLeft w:val="0"/>
                  <w:marRight w:val="0"/>
                  <w:marTop w:val="0"/>
                  <w:marBottom w:val="0"/>
                  <w:divBdr>
                    <w:top w:val="none" w:sz="0" w:space="0" w:color="auto"/>
                    <w:left w:val="none" w:sz="0" w:space="0" w:color="auto"/>
                    <w:bottom w:val="none" w:sz="0" w:space="0" w:color="auto"/>
                    <w:right w:val="none" w:sz="0" w:space="0" w:color="auto"/>
                  </w:divBdr>
                </w:div>
              </w:divsChild>
            </w:div>
            <w:div w:id="12921278">
              <w:marLeft w:val="0"/>
              <w:marRight w:val="0"/>
              <w:marTop w:val="0"/>
              <w:marBottom w:val="0"/>
              <w:divBdr>
                <w:top w:val="none" w:sz="0" w:space="0" w:color="auto"/>
                <w:left w:val="none" w:sz="0" w:space="0" w:color="auto"/>
                <w:bottom w:val="none" w:sz="0" w:space="0" w:color="auto"/>
                <w:right w:val="none" w:sz="0" w:space="0" w:color="auto"/>
              </w:divBdr>
              <w:divsChild>
                <w:div w:id="14503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6829">
          <w:marLeft w:val="0"/>
          <w:marRight w:val="0"/>
          <w:marTop w:val="0"/>
          <w:marBottom w:val="0"/>
          <w:divBdr>
            <w:top w:val="none" w:sz="0" w:space="0" w:color="auto"/>
            <w:left w:val="none" w:sz="0" w:space="0" w:color="auto"/>
            <w:bottom w:val="none" w:sz="0" w:space="0" w:color="auto"/>
            <w:right w:val="none" w:sz="0" w:space="0" w:color="auto"/>
          </w:divBdr>
          <w:divsChild>
            <w:div w:id="1900749078">
              <w:marLeft w:val="0"/>
              <w:marRight w:val="0"/>
              <w:marTop w:val="0"/>
              <w:marBottom w:val="0"/>
              <w:divBdr>
                <w:top w:val="none" w:sz="0" w:space="0" w:color="auto"/>
                <w:left w:val="none" w:sz="0" w:space="0" w:color="auto"/>
                <w:bottom w:val="none" w:sz="0" w:space="0" w:color="auto"/>
                <w:right w:val="none" w:sz="0" w:space="0" w:color="auto"/>
              </w:divBdr>
              <w:divsChild>
                <w:div w:id="1435514486">
                  <w:marLeft w:val="0"/>
                  <w:marRight w:val="0"/>
                  <w:marTop w:val="0"/>
                  <w:marBottom w:val="0"/>
                  <w:divBdr>
                    <w:top w:val="none" w:sz="0" w:space="0" w:color="auto"/>
                    <w:left w:val="none" w:sz="0" w:space="0" w:color="auto"/>
                    <w:bottom w:val="none" w:sz="0" w:space="0" w:color="auto"/>
                    <w:right w:val="none" w:sz="0" w:space="0" w:color="auto"/>
                  </w:divBdr>
                </w:div>
              </w:divsChild>
            </w:div>
            <w:div w:id="1816874518">
              <w:marLeft w:val="0"/>
              <w:marRight w:val="0"/>
              <w:marTop w:val="0"/>
              <w:marBottom w:val="0"/>
              <w:divBdr>
                <w:top w:val="none" w:sz="0" w:space="0" w:color="auto"/>
                <w:left w:val="none" w:sz="0" w:space="0" w:color="auto"/>
                <w:bottom w:val="none" w:sz="0" w:space="0" w:color="auto"/>
                <w:right w:val="none" w:sz="0" w:space="0" w:color="auto"/>
              </w:divBdr>
              <w:divsChild>
                <w:div w:id="1780829956">
                  <w:marLeft w:val="0"/>
                  <w:marRight w:val="0"/>
                  <w:marTop w:val="0"/>
                  <w:marBottom w:val="0"/>
                  <w:divBdr>
                    <w:top w:val="none" w:sz="0" w:space="0" w:color="auto"/>
                    <w:left w:val="none" w:sz="0" w:space="0" w:color="auto"/>
                    <w:bottom w:val="none" w:sz="0" w:space="0" w:color="auto"/>
                    <w:right w:val="none" w:sz="0" w:space="0" w:color="auto"/>
                  </w:divBdr>
                </w:div>
              </w:divsChild>
            </w:div>
            <w:div w:id="98987822">
              <w:marLeft w:val="0"/>
              <w:marRight w:val="0"/>
              <w:marTop w:val="0"/>
              <w:marBottom w:val="0"/>
              <w:divBdr>
                <w:top w:val="none" w:sz="0" w:space="0" w:color="auto"/>
                <w:left w:val="none" w:sz="0" w:space="0" w:color="auto"/>
                <w:bottom w:val="none" w:sz="0" w:space="0" w:color="auto"/>
                <w:right w:val="none" w:sz="0" w:space="0" w:color="auto"/>
              </w:divBdr>
              <w:divsChild>
                <w:div w:id="987171351">
                  <w:marLeft w:val="0"/>
                  <w:marRight w:val="0"/>
                  <w:marTop w:val="0"/>
                  <w:marBottom w:val="0"/>
                  <w:divBdr>
                    <w:top w:val="none" w:sz="0" w:space="0" w:color="auto"/>
                    <w:left w:val="none" w:sz="0" w:space="0" w:color="auto"/>
                    <w:bottom w:val="none" w:sz="0" w:space="0" w:color="auto"/>
                    <w:right w:val="none" w:sz="0" w:space="0" w:color="auto"/>
                  </w:divBdr>
                </w:div>
                <w:div w:id="739057897">
                  <w:marLeft w:val="0"/>
                  <w:marRight w:val="0"/>
                  <w:marTop w:val="0"/>
                  <w:marBottom w:val="0"/>
                  <w:divBdr>
                    <w:top w:val="none" w:sz="0" w:space="0" w:color="auto"/>
                    <w:left w:val="none" w:sz="0" w:space="0" w:color="auto"/>
                    <w:bottom w:val="none" w:sz="0" w:space="0" w:color="auto"/>
                    <w:right w:val="none" w:sz="0" w:space="0" w:color="auto"/>
                  </w:divBdr>
                </w:div>
                <w:div w:id="279723898">
                  <w:marLeft w:val="0"/>
                  <w:marRight w:val="0"/>
                  <w:marTop w:val="0"/>
                  <w:marBottom w:val="0"/>
                  <w:divBdr>
                    <w:top w:val="none" w:sz="0" w:space="0" w:color="auto"/>
                    <w:left w:val="none" w:sz="0" w:space="0" w:color="auto"/>
                    <w:bottom w:val="none" w:sz="0" w:space="0" w:color="auto"/>
                    <w:right w:val="none" w:sz="0" w:space="0" w:color="auto"/>
                  </w:divBdr>
                </w:div>
                <w:div w:id="1368791989">
                  <w:marLeft w:val="0"/>
                  <w:marRight w:val="0"/>
                  <w:marTop w:val="0"/>
                  <w:marBottom w:val="0"/>
                  <w:divBdr>
                    <w:top w:val="none" w:sz="0" w:space="0" w:color="auto"/>
                    <w:left w:val="none" w:sz="0" w:space="0" w:color="auto"/>
                    <w:bottom w:val="none" w:sz="0" w:space="0" w:color="auto"/>
                    <w:right w:val="none" w:sz="0" w:space="0" w:color="auto"/>
                  </w:divBdr>
                </w:div>
              </w:divsChild>
            </w:div>
            <w:div w:id="1729840096">
              <w:marLeft w:val="0"/>
              <w:marRight w:val="0"/>
              <w:marTop w:val="0"/>
              <w:marBottom w:val="0"/>
              <w:divBdr>
                <w:top w:val="none" w:sz="0" w:space="0" w:color="auto"/>
                <w:left w:val="none" w:sz="0" w:space="0" w:color="auto"/>
                <w:bottom w:val="none" w:sz="0" w:space="0" w:color="auto"/>
                <w:right w:val="none" w:sz="0" w:space="0" w:color="auto"/>
              </w:divBdr>
              <w:divsChild>
                <w:div w:id="1766462545">
                  <w:marLeft w:val="0"/>
                  <w:marRight w:val="0"/>
                  <w:marTop w:val="0"/>
                  <w:marBottom w:val="0"/>
                  <w:divBdr>
                    <w:top w:val="none" w:sz="0" w:space="0" w:color="auto"/>
                    <w:left w:val="none" w:sz="0" w:space="0" w:color="auto"/>
                    <w:bottom w:val="none" w:sz="0" w:space="0" w:color="auto"/>
                    <w:right w:val="none" w:sz="0" w:space="0" w:color="auto"/>
                  </w:divBdr>
                </w:div>
              </w:divsChild>
            </w:div>
            <w:div w:id="395470924">
              <w:marLeft w:val="0"/>
              <w:marRight w:val="0"/>
              <w:marTop w:val="0"/>
              <w:marBottom w:val="0"/>
              <w:divBdr>
                <w:top w:val="none" w:sz="0" w:space="0" w:color="auto"/>
                <w:left w:val="none" w:sz="0" w:space="0" w:color="auto"/>
                <w:bottom w:val="none" w:sz="0" w:space="0" w:color="auto"/>
                <w:right w:val="none" w:sz="0" w:space="0" w:color="auto"/>
              </w:divBdr>
              <w:divsChild>
                <w:div w:id="20676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710">
          <w:marLeft w:val="0"/>
          <w:marRight w:val="0"/>
          <w:marTop w:val="0"/>
          <w:marBottom w:val="0"/>
          <w:divBdr>
            <w:top w:val="none" w:sz="0" w:space="0" w:color="auto"/>
            <w:left w:val="none" w:sz="0" w:space="0" w:color="auto"/>
            <w:bottom w:val="none" w:sz="0" w:space="0" w:color="auto"/>
            <w:right w:val="none" w:sz="0" w:space="0" w:color="auto"/>
          </w:divBdr>
          <w:divsChild>
            <w:div w:id="1296066009">
              <w:marLeft w:val="0"/>
              <w:marRight w:val="0"/>
              <w:marTop w:val="0"/>
              <w:marBottom w:val="0"/>
              <w:divBdr>
                <w:top w:val="none" w:sz="0" w:space="0" w:color="auto"/>
                <w:left w:val="none" w:sz="0" w:space="0" w:color="auto"/>
                <w:bottom w:val="none" w:sz="0" w:space="0" w:color="auto"/>
                <w:right w:val="none" w:sz="0" w:space="0" w:color="auto"/>
              </w:divBdr>
              <w:divsChild>
                <w:div w:id="409694439">
                  <w:marLeft w:val="0"/>
                  <w:marRight w:val="0"/>
                  <w:marTop w:val="0"/>
                  <w:marBottom w:val="0"/>
                  <w:divBdr>
                    <w:top w:val="none" w:sz="0" w:space="0" w:color="auto"/>
                    <w:left w:val="none" w:sz="0" w:space="0" w:color="auto"/>
                    <w:bottom w:val="none" w:sz="0" w:space="0" w:color="auto"/>
                    <w:right w:val="none" w:sz="0" w:space="0" w:color="auto"/>
                  </w:divBdr>
                </w:div>
                <w:div w:id="42147247">
                  <w:marLeft w:val="0"/>
                  <w:marRight w:val="0"/>
                  <w:marTop w:val="0"/>
                  <w:marBottom w:val="0"/>
                  <w:divBdr>
                    <w:top w:val="none" w:sz="0" w:space="0" w:color="auto"/>
                    <w:left w:val="none" w:sz="0" w:space="0" w:color="auto"/>
                    <w:bottom w:val="none" w:sz="0" w:space="0" w:color="auto"/>
                    <w:right w:val="none" w:sz="0" w:space="0" w:color="auto"/>
                  </w:divBdr>
                </w:div>
              </w:divsChild>
            </w:div>
            <w:div w:id="961544214">
              <w:marLeft w:val="0"/>
              <w:marRight w:val="0"/>
              <w:marTop w:val="0"/>
              <w:marBottom w:val="0"/>
              <w:divBdr>
                <w:top w:val="none" w:sz="0" w:space="0" w:color="auto"/>
                <w:left w:val="none" w:sz="0" w:space="0" w:color="auto"/>
                <w:bottom w:val="none" w:sz="0" w:space="0" w:color="auto"/>
                <w:right w:val="none" w:sz="0" w:space="0" w:color="auto"/>
              </w:divBdr>
              <w:divsChild>
                <w:div w:id="1721203589">
                  <w:marLeft w:val="0"/>
                  <w:marRight w:val="0"/>
                  <w:marTop w:val="0"/>
                  <w:marBottom w:val="0"/>
                  <w:divBdr>
                    <w:top w:val="none" w:sz="0" w:space="0" w:color="auto"/>
                    <w:left w:val="none" w:sz="0" w:space="0" w:color="auto"/>
                    <w:bottom w:val="none" w:sz="0" w:space="0" w:color="auto"/>
                    <w:right w:val="none" w:sz="0" w:space="0" w:color="auto"/>
                  </w:divBdr>
                </w:div>
              </w:divsChild>
            </w:div>
            <w:div w:id="792821733">
              <w:marLeft w:val="0"/>
              <w:marRight w:val="0"/>
              <w:marTop w:val="0"/>
              <w:marBottom w:val="0"/>
              <w:divBdr>
                <w:top w:val="none" w:sz="0" w:space="0" w:color="auto"/>
                <w:left w:val="none" w:sz="0" w:space="0" w:color="auto"/>
                <w:bottom w:val="none" w:sz="0" w:space="0" w:color="auto"/>
                <w:right w:val="none" w:sz="0" w:space="0" w:color="auto"/>
              </w:divBdr>
              <w:divsChild>
                <w:div w:id="13290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347">
          <w:marLeft w:val="0"/>
          <w:marRight w:val="0"/>
          <w:marTop w:val="0"/>
          <w:marBottom w:val="0"/>
          <w:divBdr>
            <w:top w:val="none" w:sz="0" w:space="0" w:color="auto"/>
            <w:left w:val="none" w:sz="0" w:space="0" w:color="auto"/>
            <w:bottom w:val="none" w:sz="0" w:space="0" w:color="auto"/>
            <w:right w:val="none" w:sz="0" w:space="0" w:color="auto"/>
          </w:divBdr>
          <w:divsChild>
            <w:div w:id="534394003">
              <w:marLeft w:val="0"/>
              <w:marRight w:val="0"/>
              <w:marTop w:val="0"/>
              <w:marBottom w:val="0"/>
              <w:divBdr>
                <w:top w:val="none" w:sz="0" w:space="0" w:color="auto"/>
                <w:left w:val="none" w:sz="0" w:space="0" w:color="auto"/>
                <w:bottom w:val="none" w:sz="0" w:space="0" w:color="auto"/>
                <w:right w:val="none" w:sz="0" w:space="0" w:color="auto"/>
              </w:divBdr>
              <w:divsChild>
                <w:div w:id="1942297656">
                  <w:marLeft w:val="0"/>
                  <w:marRight w:val="0"/>
                  <w:marTop w:val="0"/>
                  <w:marBottom w:val="0"/>
                  <w:divBdr>
                    <w:top w:val="none" w:sz="0" w:space="0" w:color="auto"/>
                    <w:left w:val="none" w:sz="0" w:space="0" w:color="auto"/>
                    <w:bottom w:val="none" w:sz="0" w:space="0" w:color="auto"/>
                    <w:right w:val="none" w:sz="0" w:space="0" w:color="auto"/>
                  </w:divBdr>
                </w:div>
              </w:divsChild>
            </w:div>
            <w:div w:id="581793257">
              <w:marLeft w:val="0"/>
              <w:marRight w:val="0"/>
              <w:marTop w:val="0"/>
              <w:marBottom w:val="0"/>
              <w:divBdr>
                <w:top w:val="none" w:sz="0" w:space="0" w:color="auto"/>
                <w:left w:val="none" w:sz="0" w:space="0" w:color="auto"/>
                <w:bottom w:val="none" w:sz="0" w:space="0" w:color="auto"/>
                <w:right w:val="none" w:sz="0" w:space="0" w:color="auto"/>
              </w:divBdr>
              <w:divsChild>
                <w:div w:id="2081712149">
                  <w:marLeft w:val="0"/>
                  <w:marRight w:val="0"/>
                  <w:marTop w:val="0"/>
                  <w:marBottom w:val="0"/>
                  <w:divBdr>
                    <w:top w:val="none" w:sz="0" w:space="0" w:color="auto"/>
                    <w:left w:val="none" w:sz="0" w:space="0" w:color="auto"/>
                    <w:bottom w:val="none" w:sz="0" w:space="0" w:color="auto"/>
                    <w:right w:val="none" w:sz="0" w:space="0" w:color="auto"/>
                  </w:divBdr>
                </w:div>
                <w:div w:id="4014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0088">
          <w:marLeft w:val="0"/>
          <w:marRight w:val="0"/>
          <w:marTop w:val="0"/>
          <w:marBottom w:val="0"/>
          <w:divBdr>
            <w:top w:val="none" w:sz="0" w:space="0" w:color="auto"/>
            <w:left w:val="none" w:sz="0" w:space="0" w:color="auto"/>
            <w:bottom w:val="none" w:sz="0" w:space="0" w:color="auto"/>
            <w:right w:val="none" w:sz="0" w:space="0" w:color="auto"/>
          </w:divBdr>
          <w:divsChild>
            <w:div w:id="1252010201">
              <w:marLeft w:val="0"/>
              <w:marRight w:val="0"/>
              <w:marTop w:val="0"/>
              <w:marBottom w:val="0"/>
              <w:divBdr>
                <w:top w:val="none" w:sz="0" w:space="0" w:color="auto"/>
                <w:left w:val="none" w:sz="0" w:space="0" w:color="auto"/>
                <w:bottom w:val="none" w:sz="0" w:space="0" w:color="auto"/>
                <w:right w:val="none" w:sz="0" w:space="0" w:color="auto"/>
              </w:divBdr>
              <w:divsChild>
                <w:div w:id="968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0206">
      <w:bodyDiv w:val="1"/>
      <w:marLeft w:val="0"/>
      <w:marRight w:val="0"/>
      <w:marTop w:val="0"/>
      <w:marBottom w:val="0"/>
      <w:divBdr>
        <w:top w:val="none" w:sz="0" w:space="0" w:color="auto"/>
        <w:left w:val="none" w:sz="0" w:space="0" w:color="auto"/>
        <w:bottom w:val="none" w:sz="0" w:space="0" w:color="auto"/>
        <w:right w:val="none" w:sz="0" w:space="0" w:color="auto"/>
      </w:divBdr>
    </w:div>
    <w:div w:id="1802115781">
      <w:bodyDiv w:val="1"/>
      <w:marLeft w:val="0"/>
      <w:marRight w:val="0"/>
      <w:marTop w:val="0"/>
      <w:marBottom w:val="0"/>
      <w:divBdr>
        <w:top w:val="none" w:sz="0" w:space="0" w:color="auto"/>
        <w:left w:val="none" w:sz="0" w:space="0" w:color="auto"/>
        <w:bottom w:val="none" w:sz="0" w:space="0" w:color="auto"/>
        <w:right w:val="none" w:sz="0" w:space="0" w:color="auto"/>
      </w:divBdr>
    </w:div>
    <w:div w:id="1830558000">
      <w:bodyDiv w:val="1"/>
      <w:marLeft w:val="0"/>
      <w:marRight w:val="0"/>
      <w:marTop w:val="0"/>
      <w:marBottom w:val="0"/>
      <w:divBdr>
        <w:top w:val="none" w:sz="0" w:space="0" w:color="auto"/>
        <w:left w:val="none" w:sz="0" w:space="0" w:color="auto"/>
        <w:bottom w:val="none" w:sz="0" w:space="0" w:color="auto"/>
        <w:right w:val="none" w:sz="0" w:space="0" w:color="auto"/>
      </w:divBdr>
    </w:div>
    <w:div w:id="1832402672">
      <w:bodyDiv w:val="1"/>
      <w:marLeft w:val="0"/>
      <w:marRight w:val="0"/>
      <w:marTop w:val="0"/>
      <w:marBottom w:val="0"/>
      <w:divBdr>
        <w:top w:val="none" w:sz="0" w:space="0" w:color="auto"/>
        <w:left w:val="none" w:sz="0" w:space="0" w:color="auto"/>
        <w:bottom w:val="none" w:sz="0" w:space="0" w:color="auto"/>
        <w:right w:val="none" w:sz="0" w:space="0" w:color="auto"/>
      </w:divBdr>
    </w:div>
    <w:div w:id="1843157581">
      <w:bodyDiv w:val="1"/>
      <w:marLeft w:val="0"/>
      <w:marRight w:val="0"/>
      <w:marTop w:val="0"/>
      <w:marBottom w:val="0"/>
      <w:divBdr>
        <w:top w:val="none" w:sz="0" w:space="0" w:color="auto"/>
        <w:left w:val="none" w:sz="0" w:space="0" w:color="auto"/>
        <w:bottom w:val="none" w:sz="0" w:space="0" w:color="auto"/>
        <w:right w:val="none" w:sz="0" w:space="0" w:color="auto"/>
      </w:divBdr>
    </w:div>
    <w:div w:id="1846358888">
      <w:bodyDiv w:val="1"/>
      <w:marLeft w:val="0"/>
      <w:marRight w:val="0"/>
      <w:marTop w:val="0"/>
      <w:marBottom w:val="0"/>
      <w:divBdr>
        <w:top w:val="none" w:sz="0" w:space="0" w:color="auto"/>
        <w:left w:val="none" w:sz="0" w:space="0" w:color="auto"/>
        <w:bottom w:val="none" w:sz="0" w:space="0" w:color="auto"/>
        <w:right w:val="none" w:sz="0" w:space="0" w:color="auto"/>
      </w:divBdr>
      <w:divsChild>
        <w:div w:id="390544745">
          <w:marLeft w:val="0"/>
          <w:marRight w:val="0"/>
          <w:marTop w:val="34"/>
          <w:marBottom w:val="34"/>
          <w:divBdr>
            <w:top w:val="none" w:sz="0" w:space="0" w:color="auto"/>
            <w:left w:val="none" w:sz="0" w:space="0" w:color="auto"/>
            <w:bottom w:val="none" w:sz="0" w:space="0" w:color="auto"/>
            <w:right w:val="none" w:sz="0" w:space="0" w:color="auto"/>
          </w:divBdr>
        </w:div>
      </w:divsChild>
    </w:div>
    <w:div w:id="1877084530">
      <w:bodyDiv w:val="1"/>
      <w:marLeft w:val="0"/>
      <w:marRight w:val="0"/>
      <w:marTop w:val="0"/>
      <w:marBottom w:val="0"/>
      <w:divBdr>
        <w:top w:val="none" w:sz="0" w:space="0" w:color="auto"/>
        <w:left w:val="none" w:sz="0" w:space="0" w:color="auto"/>
        <w:bottom w:val="none" w:sz="0" w:space="0" w:color="auto"/>
        <w:right w:val="none" w:sz="0" w:space="0" w:color="auto"/>
      </w:divBdr>
    </w:div>
    <w:div w:id="1916626781">
      <w:bodyDiv w:val="1"/>
      <w:marLeft w:val="0"/>
      <w:marRight w:val="0"/>
      <w:marTop w:val="0"/>
      <w:marBottom w:val="0"/>
      <w:divBdr>
        <w:top w:val="none" w:sz="0" w:space="0" w:color="auto"/>
        <w:left w:val="none" w:sz="0" w:space="0" w:color="auto"/>
        <w:bottom w:val="none" w:sz="0" w:space="0" w:color="auto"/>
        <w:right w:val="none" w:sz="0" w:space="0" w:color="auto"/>
      </w:divBdr>
      <w:divsChild>
        <w:div w:id="1384405251">
          <w:marLeft w:val="0"/>
          <w:marRight w:val="0"/>
          <w:marTop w:val="34"/>
          <w:marBottom w:val="34"/>
          <w:divBdr>
            <w:top w:val="none" w:sz="0" w:space="0" w:color="auto"/>
            <w:left w:val="none" w:sz="0" w:space="0" w:color="auto"/>
            <w:bottom w:val="none" w:sz="0" w:space="0" w:color="auto"/>
            <w:right w:val="none" w:sz="0" w:space="0" w:color="auto"/>
          </w:divBdr>
        </w:div>
      </w:divsChild>
    </w:div>
    <w:div w:id="2080907442">
      <w:bodyDiv w:val="1"/>
      <w:marLeft w:val="0"/>
      <w:marRight w:val="0"/>
      <w:marTop w:val="0"/>
      <w:marBottom w:val="0"/>
      <w:divBdr>
        <w:top w:val="none" w:sz="0" w:space="0" w:color="auto"/>
        <w:left w:val="none" w:sz="0" w:space="0" w:color="auto"/>
        <w:bottom w:val="none" w:sz="0" w:space="0" w:color="auto"/>
        <w:right w:val="none" w:sz="0" w:space="0" w:color="auto"/>
      </w:divBdr>
    </w:div>
    <w:div w:id="2093965639">
      <w:bodyDiv w:val="1"/>
      <w:marLeft w:val="0"/>
      <w:marRight w:val="0"/>
      <w:marTop w:val="0"/>
      <w:marBottom w:val="0"/>
      <w:divBdr>
        <w:top w:val="none" w:sz="0" w:space="0" w:color="auto"/>
        <w:left w:val="none" w:sz="0" w:space="0" w:color="auto"/>
        <w:bottom w:val="none" w:sz="0" w:space="0" w:color="auto"/>
        <w:right w:val="none" w:sz="0" w:space="0" w:color="auto"/>
      </w:divBdr>
      <w:divsChild>
        <w:div w:id="1516458880">
          <w:marLeft w:val="0"/>
          <w:marRight w:val="0"/>
          <w:marTop w:val="34"/>
          <w:marBottom w:val="34"/>
          <w:divBdr>
            <w:top w:val="none" w:sz="0" w:space="0" w:color="auto"/>
            <w:left w:val="none" w:sz="0" w:space="0" w:color="auto"/>
            <w:bottom w:val="none" w:sz="0" w:space="0" w:color="auto"/>
            <w:right w:val="none" w:sz="0" w:space="0" w:color="auto"/>
          </w:divBdr>
        </w:div>
      </w:divsChild>
    </w:div>
    <w:div w:id="2127888973">
      <w:bodyDiv w:val="1"/>
      <w:marLeft w:val="0"/>
      <w:marRight w:val="0"/>
      <w:marTop w:val="0"/>
      <w:marBottom w:val="0"/>
      <w:divBdr>
        <w:top w:val="none" w:sz="0" w:space="0" w:color="auto"/>
        <w:left w:val="none" w:sz="0" w:space="0" w:color="auto"/>
        <w:bottom w:val="none" w:sz="0" w:space="0" w:color="auto"/>
        <w:right w:val="none" w:sz="0" w:space="0" w:color="auto"/>
      </w:divBdr>
      <w:divsChild>
        <w:div w:id="16200908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E243-30FB-49DC-9600-7C1CA57C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6957</Words>
  <Characters>39660</Characters>
  <Application>Microsoft Office Word</Application>
  <DocSecurity>0</DocSecurity>
  <Lines>330</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MUHC</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Nene</dc:creator>
  <cp:lastModifiedBy>Liansheng Ma</cp:lastModifiedBy>
  <cp:revision>2</cp:revision>
  <dcterms:created xsi:type="dcterms:W3CDTF">2020-01-18T17:33:00Z</dcterms:created>
  <dcterms:modified xsi:type="dcterms:W3CDTF">2020-01-18T17:33:00Z</dcterms:modified>
</cp:coreProperties>
</file>