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DF5" w:rsidRPr="00ED06D9" w:rsidRDefault="00AC2DF5">
      <w:pPr>
        <w:widowControl/>
        <w:adjustRightInd w:val="0"/>
        <w:snapToGrid w:val="0"/>
        <w:spacing w:line="360" w:lineRule="auto"/>
        <w:rPr>
          <w:rFonts w:ascii="Book Antiqua" w:hAnsi="Book Antiqua" w:cs="Book Antiqua"/>
          <w:sz w:val="24"/>
        </w:rPr>
      </w:pPr>
      <w:r w:rsidRPr="00ED06D9">
        <w:rPr>
          <w:rFonts w:ascii="Book Antiqua" w:eastAsia="Book Antiqua" w:hAnsi="Book Antiqua" w:cs="Book Antiqua"/>
          <w:b/>
          <w:kern w:val="0"/>
          <w:sz w:val="24"/>
          <w:lang w:bidi="ar"/>
        </w:rPr>
        <w:t xml:space="preserve">Name of Journal: </w:t>
      </w:r>
      <w:r w:rsidRPr="00ED06D9">
        <w:rPr>
          <w:rFonts w:ascii="Book Antiqua" w:eastAsia="Book Antiqua" w:hAnsi="Book Antiqua" w:cs="Book Antiqua"/>
          <w:i/>
          <w:kern w:val="0"/>
          <w:sz w:val="24"/>
          <w:lang w:bidi="ar"/>
        </w:rPr>
        <w:t xml:space="preserve">World Journal of Gastroenterology </w:t>
      </w:r>
    </w:p>
    <w:p w:rsidR="00AC2DF5" w:rsidRPr="00ED06D9" w:rsidRDefault="00AC2DF5">
      <w:pPr>
        <w:widowControl/>
        <w:adjustRightInd w:val="0"/>
        <w:snapToGrid w:val="0"/>
        <w:spacing w:line="360" w:lineRule="auto"/>
        <w:rPr>
          <w:rFonts w:ascii="Book Antiqua" w:hAnsi="Book Antiqua" w:cs="Book Antiqua"/>
          <w:sz w:val="24"/>
        </w:rPr>
      </w:pPr>
      <w:r w:rsidRPr="00ED06D9">
        <w:rPr>
          <w:rFonts w:ascii="Book Antiqua" w:eastAsia="Book Antiqua" w:hAnsi="Book Antiqua" w:cs="Book Antiqua"/>
          <w:b/>
          <w:kern w:val="0"/>
          <w:sz w:val="24"/>
          <w:lang w:bidi="ar"/>
        </w:rPr>
        <w:t xml:space="preserve">Manuscript NO: </w:t>
      </w:r>
      <w:r w:rsidRPr="00ED06D9">
        <w:rPr>
          <w:rFonts w:ascii="Book Antiqua" w:eastAsia="Book Antiqua" w:hAnsi="Book Antiqua" w:cs="Book Antiqua"/>
          <w:bCs/>
          <w:kern w:val="0"/>
          <w:sz w:val="24"/>
          <w:lang w:bidi="ar"/>
        </w:rPr>
        <w:t>52542</w:t>
      </w:r>
      <w:bookmarkStart w:id="0" w:name="_GoBack"/>
      <w:bookmarkEnd w:id="0"/>
    </w:p>
    <w:p w:rsidR="00AC2DF5" w:rsidRPr="00ED06D9" w:rsidRDefault="00AC2DF5">
      <w:pPr>
        <w:widowControl/>
        <w:adjustRightInd w:val="0"/>
        <w:snapToGrid w:val="0"/>
        <w:spacing w:line="360" w:lineRule="auto"/>
        <w:rPr>
          <w:rFonts w:ascii="Book Antiqua" w:eastAsia="Book Antiqua" w:hAnsi="Book Antiqua" w:cs="Book Antiqua"/>
          <w:kern w:val="0"/>
          <w:sz w:val="24"/>
          <w:lang w:bidi="ar"/>
        </w:rPr>
      </w:pPr>
      <w:r w:rsidRPr="00ED06D9">
        <w:rPr>
          <w:rFonts w:ascii="Book Antiqua" w:eastAsia="Book Antiqua" w:hAnsi="Book Antiqua" w:cs="Book Antiqua"/>
          <w:b/>
          <w:kern w:val="0"/>
          <w:sz w:val="24"/>
          <w:lang w:bidi="ar"/>
        </w:rPr>
        <w:t xml:space="preserve">Manuscript Type: </w:t>
      </w:r>
      <w:r w:rsidRPr="00ED06D9">
        <w:rPr>
          <w:rFonts w:ascii="Book Antiqua" w:eastAsia="Book Antiqua" w:hAnsi="Book Antiqua" w:cs="Book Antiqua"/>
          <w:kern w:val="0"/>
          <w:sz w:val="24"/>
          <w:lang w:bidi="ar"/>
        </w:rPr>
        <w:t>ORIGINAL ARTICLE</w:t>
      </w:r>
    </w:p>
    <w:p w:rsidR="00AC2DF5" w:rsidRPr="00ED06D9" w:rsidRDefault="00AC2DF5">
      <w:pPr>
        <w:widowControl/>
        <w:adjustRightInd w:val="0"/>
        <w:snapToGrid w:val="0"/>
        <w:spacing w:line="360" w:lineRule="auto"/>
        <w:rPr>
          <w:rFonts w:ascii="Book Antiqua" w:eastAsia="Book Antiqua" w:hAnsi="Book Antiqua" w:cs="Book Antiqua"/>
          <w:b/>
          <w:i/>
          <w:kern w:val="0"/>
          <w:sz w:val="24"/>
          <w:lang w:bidi="ar"/>
        </w:rPr>
      </w:pPr>
    </w:p>
    <w:p w:rsidR="00AC2DF5" w:rsidRPr="00ED06D9" w:rsidRDefault="00AC2DF5">
      <w:pPr>
        <w:widowControl/>
        <w:adjustRightInd w:val="0"/>
        <w:snapToGrid w:val="0"/>
        <w:spacing w:line="360" w:lineRule="auto"/>
        <w:rPr>
          <w:rFonts w:ascii="Book Antiqua" w:hAnsi="Book Antiqua" w:cs="Book Antiqua" w:hint="eastAsia"/>
          <w:b/>
          <w:sz w:val="24"/>
        </w:rPr>
      </w:pPr>
      <w:r w:rsidRPr="00ED06D9">
        <w:rPr>
          <w:rFonts w:ascii="Book Antiqua" w:eastAsia="Book Antiqua" w:hAnsi="Book Antiqua" w:cs="Book Antiqua"/>
          <w:b/>
          <w:i/>
          <w:kern w:val="0"/>
          <w:sz w:val="24"/>
          <w:lang w:bidi="ar"/>
        </w:rPr>
        <w:t>Basic Study</w:t>
      </w:r>
      <w:bookmarkStart w:id="1" w:name="OLE_LINK239"/>
      <w:bookmarkStart w:id="2" w:name="OLE_LINK269"/>
      <w:bookmarkStart w:id="3" w:name="OLE_LINK75"/>
      <w:bookmarkStart w:id="4" w:name="OLE_LINK76"/>
    </w:p>
    <w:p w:rsidR="00AC2DF5" w:rsidRPr="00ED06D9" w:rsidRDefault="00AC2DF5">
      <w:pPr>
        <w:pStyle w:val="ac"/>
        <w:adjustRightInd w:val="0"/>
        <w:snapToGrid w:val="0"/>
        <w:spacing w:line="360" w:lineRule="auto"/>
        <w:jc w:val="both"/>
        <w:rPr>
          <w:rFonts w:ascii="Book Antiqua" w:hAnsi="Book Antiqua" w:cs="Book Antiqua"/>
          <w:b/>
          <w:bCs/>
        </w:rPr>
      </w:pPr>
      <w:r w:rsidRPr="00ED06D9">
        <w:rPr>
          <w:rFonts w:ascii="Book Antiqua" w:hAnsi="Book Antiqua" w:cs="Book Antiqua"/>
          <w:b/>
          <w:bCs/>
        </w:rPr>
        <w:t>Celecoxib attenuates hepatocyte apoptosis by inhibiting endoplasmic reticulum stress in thioacetamide-induced cirrhotic rats</w:t>
      </w:r>
    </w:p>
    <w:p w:rsidR="00AC2DF5" w:rsidRPr="00ED06D9" w:rsidRDefault="00AC2DF5">
      <w:pPr>
        <w:pStyle w:val="ac"/>
        <w:adjustRightInd w:val="0"/>
        <w:snapToGrid w:val="0"/>
        <w:spacing w:line="360" w:lineRule="auto"/>
        <w:jc w:val="both"/>
        <w:rPr>
          <w:rFonts w:ascii="Book Antiqua" w:hAnsi="Book Antiqua" w:cs="Book Antiqua"/>
          <w:b/>
          <w:bCs/>
        </w:rPr>
      </w:pPr>
    </w:p>
    <w:p w:rsidR="00AC2DF5" w:rsidRPr="00ED06D9" w:rsidRDefault="00AC2DF5">
      <w:pPr>
        <w:adjustRightInd w:val="0"/>
        <w:snapToGrid w:val="0"/>
        <w:spacing w:line="360" w:lineRule="auto"/>
        <w:rPr>
          <w:rFonts w:ascii="Book Antiqua" w:hAnsi="Book Antiqua" w:cs="Book Antiqua"/>
          <w:bCs/>
          <w:kern w:val="0"/>
          <w:sz w:val="24"/>
        </w:rPr>
      </w:pPr>
      <w:r w:rsidRPr="00ED06D9">
        <w:rPr>
          <w:rFonts w:ascii="Book Antiqua" w:hAnsi="Book Antiqua" w:cs="Book Antiqua"/>
          <w:bCs/>
          <w:sz w:val="24"/>
        </w:rPr>
        <w:t xml:space="preserve">Su W </w:t>
      </w:r>
      <w:r w:rsidRPr="00ED06D9">
        <w:rPr>
          <w:rFonts w:ascii="Book Antiqua" w:hAnsi="Book Antiqua" w:cs="Book Antiqua"/>
          <w:bCs/>
          <w:i/>
          <w:iCs/>
          <w:sz w:val="24"/>
        </w:rPr>
        <w:t>et al</w:t>
      </w:r>
      <w:r w:rsidRPr="00ED06D9">
        <w:rPr>
          <w:rFonts w:ascii="Book Antiqua" w:hAnsi="Book Antiqua" w:cs="Book Antiqua"/>
          <w:bCs/>
          <w:sz w:val="24"/>
        </w:rPr>
        <w:t xml:space="preserve">. </w:t>
      </w:r>
      <w:r w:rsidRPr="00ED06D9">
        <w:rPr>
          <w:rFonts w:ascii="Book Antiqua" w:hAnsi="Book Antiqua" w:cs="Book Antiqua"/>
          <w:bCs/>
          <w:kern w:val="0"/>
          <w:sz w:val="24"/>
        </w:rPr>
        <w:t>Celecoxib attenuates apoptosis by inhibiting ERS</w:t>
      </w:r>
    </w:p>
    <w:p w:rsidR="00AC2DF5" w:rsidRPr="00ED06D9" w:rsidRDefault="00AC2DF5">
      <w:pPr>
        <w:adjustRightInd w:val="0"/>
        <w:snapToGrid w:val="0"/>
        <w:spacing w:line="360" w:lineRule="auto"/>
        <w:rPr>
          <w:rFonts w:ascii="Book Antiqua" w:hAnsi="Book Antiqua" w:cs="Book Antiqua"/>
          <w:bCs/>
          <w:sz w:val="24"/>
        </w:rPr>
      </w:pPr>
    </w:p>
    <w:p w:rsidR="00AC2DF5" w:rsidRPr="00ED06D9" w:rsidRDefault="00AC2DF5">
      <w:pPr>
        <w:widowControl/>
        <w:adjustRightInd w:val="0"/>
        <w:snapToGrid w:val="0"/>
        <w:spacing w:line="360" w:lineRule="auto"/>
        <w:rPr>
          <w:rFonts w:ascii="Book Antiqua" w:eastAsia="Book Antiqua" w:hAnsi="Book Antiqua" w:cs="Book Antiqua"/>
          <w:b/>
          <w:kern w:val="0"/>
          <w:sz w:val="24"/>
          <w:lang w:bidi="ar"/>
        </w:rPr>
      </w:pPr>
      <w:r w:rsidRPr="00ED06D9">
        <w:rPr>
          <w:rFonts w:ascii="Book Antiqua" w:hAnsi="Book Antiqua" w:cs="Book Antiqua"/>
          <w:sz w:val="24"/>
        </w:rPr>
        <w:t xml:space="preserve">Wei Su, </w:t>
      </w:r>
      <w:bookmarkStart w:id="5" w:name="OLE_LINK5"/>
      <w:bookmarkStart w:id="6" w:name="OLE_LINK6"/>
      <w:r w:rsidRPr="00ED06D9">
        <w:rPr>
          <w:rFonts w:ascii="Book Antiqua" w:hAnsi="Book Antiqua" w:cs="Book Antiqua"/>
          <w:sz w:val="24"/>
        </w:rPr>
        <w:t xml:space="preserve">Yang </w:t>
      </w:r>
      <w:bookmarkEnd w:id="5"/>
      <w:bookmarkEnd w:id="6"/>
      <w:r w:rsidRPr="00ED06D9">
        <w:rPr>
          <w:rFonts w:ascii="Book Antiqua" w:hAnsi="Book Antiqua" w:cs="Book Antiqua"/>
          <w:sz w:val="24"/>
        </w:rPr>
        <w:t>Tai, Shi-Hang Tang, Yan-Ting Ye, Chong Zhao</w:t>
      </w:r>
      <w:r w:rsidRPr="00ED06D9">
        <w:rPr>
          <w:rFonts w:ascii="Book Antiqua" w:hAnsi="Book Antiqua" w:cs="Book Antiqua"/>
          <w:sz w:val="24"/>
          <w:vertAlign w:val="subscript"/>
        </w:rPr>
        <w:t>,</w:t>
      </w:r>
      <w:r w:rsidRPr="00ED06D9">
        <w:rPr>
          <w:rFonts w:ascii="Book Antiqua" w:hAnsi="Book Antiqua" w:cs="Book Antiqua"/>
          <w:sz w:val="24"/>
        </w:rPr>
        <w:t xml:space="preserve"> Jin-Hang Gao, Bi-Guang Tuo, Cheng-Wei Tang</w:t>
      </w:r>
    </w:p>
    <w:p w:rsidR="00AC2DF5" w:rsidRPr="00ED06D9" w:rsidRDefault="00AC2DF5">
      <w:pPr>
        <w:pStyle w:val="ac"/>
        <w:adjustRightInd w:val="0"/>
        <w:snapToGrid w:val="0"/>
        <w:spacing w:line="360" w:lineRule="auto"/>
        <w:jc w:val="both"/>
        <w:rPr>
          <w:rFonts w:ascii="Book Antiqua" w:hAnsi="Book Antiqua" w:cs="Book Antiqua"/>
          <w:b/>
        </w:rPr>
      </w:pPr>
    </w:p>
    <w:p w:rsidR="00AC2DF5" w:rsidRPr="00ED06D9" w:rsidRDefault="00AC2DF5">
      <w:pPr>
        <w:pStyle w:val="ac"/>
        <w:adjustRightInd w:val="0"/>
        <w:snapToGrid w:val="0"/>
        <w:spacing w:line="360" w:lineRule="auto"/>
        <w:jc w:val="both"/>
        <w:rPr>
          <w:rFonts w:ascii="Book Antiqua" w:hAnsi="Book Antiqua" w:cs="Book Antiqua"/>
        </w:rPr>
      </w:pPr>
      <w:r w:rsidRPr="00ED06D9">
        <w:rPr>
          <w:rFonts w:ascii="Book Antiqua" w:hAnsi="Book Antiqua" w:cs="Book Antiqua"/>
          <w:b/>
          <w:bCs/>
          <w:kern w:val="2"/>
        </w:rPr>
        <w:t>Wei Su, Cheng-Wei Tang,</w:t>
      </w:r>
      <w:r w:rsidRPr="00ED06D9">
        <w:rPr>
          <w:rFonts w:ascii="Book Antiqua" w:hAnsi="Book Antiqua" w:cs="Book Antiqua"/>
          <w:i/>
          <w:iCs/>
          <w:kern w:val="2"/>
          <w:vertAlign w:val="subscript"/>
        </w:rPr>
        <w:t xml:space="preserve"> </w:t>
      </w:r>
      <w:r w:rsidRPr="00ED06D9">
        <w:rPr>
          <w:rFonts w:ascii="Book Antiqua" w:hAnsi="Book Antiqua" w:cs="Book Antiqua"/>
        </w:rPr>
        <w:t>Department of Gastroenterology, West China Hospital, Sichuan University, Chengdu 610041, Sichuan Province, China</w:t>
      </w:r>
    </w:p>
    <w:p w:rsidR="00AC2DF5" w:rsidRPr="00ED06D9" w:rsidRDefault="00AC2DF5">
      <w:pPr>
        <w:pStyle w:val="ac"/>
        <w:adjustRightInd w:val="0"/>
        <w:snapToGrid w:val="0"/>
        <w:spacing w:line="360" w:lineRule="auto"/>
        <w:jc w:val="both"/>
        <w:rPr>
          <w:rFonts w:ascii="Book Antiqua" w:hAnsi="Book Antiqua" w:cs="Book Antiqua"/>
        </w:rPr>
      </w:pPr>
    </w:p>
    <w:p w:rsidR="00AC2DF5" w:rsidRPr="00ED06D9" w:rsidRDefault="00AC2DF5">
      <w:pPr>
        <w:pStyle w:val="ac"/>
        <w:adjustRightInd w:val="0"/>
        <w:snapToGrid w:val="0"/>
        <w:spacing w:line="360" w:lineRule="auto"/>
        <w:jc w:val="both"/>
        <w:rPr>
          <w:rFonts w:ascii="Book Antiqua" w:hAnsi="Book Antiqua" w:cs="Book Antiqua"/>
        </w:rPr>
      </w:pPr>
      <w:r w:rsidRPr="00ED06D9">
        <w:rPr>
          <w:rFonts w:ascii="Book Antiqua" w:hAnsi="Book Antiqua" w:cs="Book Antiqua"/>
          <w:b/>
          <w:bCs/>
          <w:kern w:val="2"/>
        </w:rPr>
        <w:t>Wei Su</w:t>
      </w:r>
      <w:r w:rsidRPr="00ED06D9">
        <w:rPr>
          <w:rFonts w:ascii="Book Antiqua" w:hAnsi="Book Antiqua" w:cs="Book Antiqua"/>
          <w:kern w:val="2"/>
        </w:rPr>
        <w:t>,</w:t>
      </w:r>
      <w:r w:rsidRPr="00ED06D9">
        <w:rPr>
          <w:rFonts w:ascii="Book Antiqua" w:hAnsi="Book Antiqua" w:cs="Book Antiqua"/>
          <w:kern w:val="2"/>
          <w:vertAlign w:val="superscript"/>
        </w:rPr>
        <w:t xml:space="preserve"> </w:t>
      </w:r>
      <w:r w:rsidRPr="00ED06D9">
        <w:rPr>
          <w:rFonts w:ascii="Book Antiqua" w:hAnsi="Book Antiqua" w:cs="Book Antiqua"/>
          <w:b/>
          <w:bCs/>
          <w:kern w:val="2"/>
        </w:rPr>
        <w:t>Bi-Guang Tuo</w:t>
      </w:r>
      <w:r w:rsidRPr="00ED06D9">
        <w:rPr>
          <w:rFonts w:ascii="Book Antiqua" w:hAnsi="Book Antiqua" w:cs="Calibri"/>
          <w:kern w:val="2"/>
        </w:rPr>
        <w:t xml:space="preserve">, </w:t>
      </w:r>
      <w:r w:rsidRPr="00ED06D9">
        <w:rPr>
          <w:rFonts w:ascii="Book Antiqua" w:hAnsi="Book Antiqua" w:cs="Book Antiqua"/>
        </w:rPr>
        <w:t>Department of Gastroenterology, Affiliated Hospital, Zunyi Medical University, Zunyi 563003, Guizhou Province, China</w:t>
      </w:r>
    </w:p>
    <w:p w:rsidR="00AC2DF5" w:rsidRPr="00ED06D9" w:rsidRDefault="00AC2DF5">
      <w:pPr>
        <w:pStyle w:val="ac"/>
        <w:adjustRightInd w:val="0"/>
        <w:snapToGrid w:val="0"/>
        <w:spacing w:line="360" w:lineRule="auto"/>
        <w:jc w:val="both"/>
        <w:rPr>
          <w:rFonts w:ascii="Book Antiqua" w:hAnsi="Book Antiqua" w:cs="Book Antiqua"/>
        </w:rPr>
      </w:pPr>
    </w:p>
    <w:p w:rsidR="00AC2DF5" w:rsidRPr="00ED06D9" w:rsidRDefault="00AC2DF5">
      <w:pPr>
        <w:pStyle w:val="ac"/>
        <w:adjustRightInd w:val="0"/>
        <w:snapToGrid w:val="0"/>
        <w:spacing w:line="360" w:lineRule="auto"/>
        <w:jc w:val="both"/>
        <w:rPr>
          <w:rFonts w:ascii="Book Antiqua" w:hAnsi="Book Antiqua" w:cs="Book Antiqua"/>
        </w:rPr>
      </w:pPr>
      <w:r w:rsidRPr="00ED06D9">
        <w:rPr>
          <w:rFonts w:ascii="Book Antiqua" w:hAnsi="Book Antiqua" w:cs="Book Antiqua"/>
          <w:b/>
          <w:bCs/>
          <w:kern w:val="2"/>
        </w:rPr>
        <w:t>Yang Tai, Shi-Hang Tang, Yan-Ting Ye, Chong Zhao, Jin-Hang Gao</w:t>
      </w:r>
      <w:r w:rsidRPr="00ED06D9">
        <w:rPr>
          <w:rFonts w:ascii="Book Antiqua" w:hAnsi="Book Antiqua" w:cs="Calibri"/>
          <w:kern w:val="2"/>
        </w:rPr>
        <w:t xml:space="preserve">, </w:t>
      </w:r>
      <w:r w:rsidRPr="00ED06D9">
        <w:rPr>
          <w:rFonts w:ascii="Book Antiqua" w:hAnsi="Book Antiqua" w:cs="Book Antiqua"/>
          <w:b/>
          <w:bCs/>
          <w:kern w:val="2"/>
        </w:rPr>
        <w:t xml:space="preserve">Cheng-Wei Tang, </w:t>
      </w:r>
      <w:r w:rsidRPr="00ED06D9">
        <w:rPr>
          <w:rFonts w:ascii="Book Antiqua" w:hAnsi="Book Antiqua" w:cs="Book Antiqua"/>
        </w:rPr>
        <w:t xml:space="preserve">Laboratory of </w:t>
      </w:r>
      <w:r w:rsidRPr="00ED06D9">
        <w:rPr>
          <w:rFonts w:ascii="Book Antiqua" w:hAnsi="Book Antiqua" w:cs="Book Antiqua"/>
          <w:caps/>
        </w:rPr>
        <w:t>g</w:t>
      </w:r>
      <w:r w:rsidRPr="00ED06D9">
        <w:rPr>
          <w:rFonts w:ascii="Book Antiqua" w:hAnsi="Book Antiqua" w:cs="Book Antiqua"/>
        </w:rPr>
        <w:t>astroenterology and Hepatology, West China Hospital, Sichuan University, Chengdu 610041, Sichuan Province, China</w:t>
      </w:r>
    </w:p>
    <w:p w:rsidR="00AC2DF5" w:rsidRPr="00ED06D9" w:rsidRDefault="00AC2DF5">
      <w:pPr>
        <w:pStyle w:val="ac"/>
        <w:adjustRightInd w:val="0"/>
        <w:snapToGrid w:val="0"/>
        <w:spacing w:line="360" w:lineRule="auto"/>
        <w:jc w:val="both"/>
        <w:rPr>
          <w:rFonts w:ascii="Book Antiqua" w:hAnsi="Book Antiqua" w:cs="Book Antiqua"/>
        </w:rPr>
      </w:pPr>
    </w:p>
    <w:p w:rsidR="00AC2DF5" w:rsidRPr="00ED06D9" w:rsidRDefault="00AC2DF5">
      <w:pPr>
        <w:adjustRightInd w:val="0"/>
        <w:snapToGrid w:val="0"/>
        <w:spacing w:line="360" w:lineRule="auto"/>
        <w:rPr>
          <w:rFonts w:ascii="Book Antiqua" w:eastAsia="Book Antiqua" w:hAnsi="Book Antiqua" w:cs="Book Antiqua"/>
          <w:kern w:val="0"/>
          <w:sz w:val="24"/>
          <w:lang w:bidi="ar"/>
        </w:rPr>
      </w:pPr>
      <w:r w:rsidRPr="00ED06D9">
        <w:rPr>
          <w:rFonts w:ascii="Book Antiqua" w:hAnsi="Book Antiqua"/>
          <w:b/>
          <w:color w:val="000000"/>
          <w:sz w:val="24"/>
          <w:lang w:val="en-GB"/>
        </w:rPr>
        <w:t>Author contributions:</w:t>
      </w:r>
      <w:r w:rsidRPr="00ED06D9">
        <w:rPr>
          <w:rFonts w:ascii="Book Antiqua" w:hAnsi="Book Antiqua" w:cs="等线"/>
          <w:sz w:val="24"/>
          <w:lang w:val="en-GB"/>
        </w:rPr>
        <w:t xml:space="preserve"> </w:t>
      </w:r>
      <w:r w:rsidRPr="00ED06D9">
        <w:rPr>
          <w:rFonts w:ascii="Book Antiqua" w:eastAsia="Book Antiqua" w:hAnsi="Book Antiqua" w:cs="Book Antiqua"/>
          <w:kern w:val="0"/>
          <w:sz w:val="24"/>
          <w:lang w:bidi="ar"/>
        </w:rPr>
        <w:t xml:space="preserve">Tang CW and Gao JH designed and coordinated the study; Su W, Tai Y, Tang SH, Ye YT, and Zhao C performed the experiments and acquired and analyzed the data; Su W and Tang CW interpreted the data; </w:t>
      </w:r>
      <w:r w:rsidRPr="00ED06D9">
        <w:rPr>
          <w:rFonts w:ascii="Book Antiqua" w:hAnsi="Book Antiqua" w:cs="Book Antiqua"/>
          <w:sz w:val="24"/>
        </w:rPr>
        <w:t>Tuo BG p</w:t>
      </w:r>
      <w:r w:rsidRPr="00ED06D9">
        <w:rPr>
          <w:rFonts w:ascii="Book Antiqua" w:eastAsia="Book Antiqua" w:hAnsi="Book Antiqua" w:cs="Book Antiqua"/>
          <w:kern w:val="0"/>
          <w:sz w:val="24"/>
          <w:lang w:bidi="ar"/>
        </w:rPr>
        <w:t xml:space="preserve">rovide technical assistance; Su W wrote the manuscript; </w:t>
      </w:r>
      <w:r w:rsidRPr="00ED06D9">
        <w:rPr>
          <w:rFonts w:ascii="Book Antiqua" w:hAnsi="Book Antiqua" w:cs="Book Antiqua"/>
          <w:sz w:val="24"/>
        </w:rPr>
        <w:t xml:space="preserve">Tang CW reviewed the manuscript, </w:t>
      </w:r>
      <w:r w:rsidRPr="00ED06D9">
        <w:rPr>
          <w:rFonts w:ascii="Book Antiqua" w:eastAsia="Book Antiqua" w:hAnsi="Book Antiqua" w:cs="Book Antiqua"/>
          <w:kern w:val="0"/>
          <w:sz w:val="24"/>
          <w:lang w:bidi="ar"/>
        </w:rPr>
        <w:t>all authors approved the final version of the article.</w:t>
      </w:r>
    </w:p>
    <w:p w:rsidR="00AC2DF5" w:rsidRPr="00ED06D9" w:rsidRDefault="00AC2DF5">
      <w:pPr>
        <w:adjustRightInd w:val="0"/>
        <w:snapToGrid w:val="0"/>
        <w:spacing w:line="360" w:lineRule="auto"/>
        <w:rPr>
          <w:rFonts w:ascii="Book Antiqua" w:eastAsia="Book Antiqua" w:hAnsi="Book Antiqua" w:cs="Book Antiqua"/>
          <w:kern w:val="0"/>
          <w:sz w:val="24"/>
          <w:lang w:bidi="ar"/>
        </w:rPr>
      </w:pPr>
    </w:p>
    <w:p w:rsidR="00AC2DF5" w:rsidRPr="00ED06D9" w:rsidRDefault="00AC2DF5">
      <w:pPr>
        <w:adjustRightInd w:val="0"/>
        <w:snapToGrid w:val="0"/>
        <w:spacing w:line="360" w:lineRule="auto"/>
        <w:rPr>
          <w:rFonts w:ascii="Book Antiqua" w:hAnsi="Book Antiqua" w:cs="Book Antiqua"/>
          <w:sz w:val="24"/>
        </w:rPr>
      </w:pPr>
      <w:r w:rsidRPr="00ED06D9">
        <w:rPr>
          <w:rFonts w:ascii="Book Antiqua" w:hAnsi="Book Antiqua" w:cs="等线"/>
          <w:b/>
          <w:sz w:val="24"/>
        </w:rPr>
        <w:t>Supported by</w:t>
      </w:r>
      <w:r w:rsidRPr="00ED06D9">
        <w:rPr>
          <w:rFonts w:ascii="Book Antiqua" w:hAnsi="Book Antiqua" w:cs="Book Antiqua"/>
          <w:b/>
          <w:sz w:val="24"/>
        </w:rPr>
        <w:t xml:space="preserve"> </w:t>
      </w:r>
      <w:r w:rsidRPr="00ED06D9">
        <w:rPr>
          <w:rFonts w:ascii="Book Antiqua" w:hAnsi="Book Antiqua" w:cs="Book Antiqua"/>
          <w:sz w:val="24"/>
        </w:rPr>
        <w:t xml:space="preserve">the National Natural Science Fund of China, No. U1702281, No. </w:t>
      </w:r>
      <w:r w:rsidRPr="00ED06D9">
        <w:rPr>
          <w:rFonts w:ascii="Book Antiqua" w:hAnsi="Book Antiqua" w:cs="Book Antiqua"/>
          <w:sz w:val="24"/>
        </w:rPr>
        <w:lastRenderedPageBreak/>
        <w:t>81670551, and No. 81873584.</w:t>
      </w:r>
    </w:p>
    <w:p w:rsidR="00AC2DF5" w:rsidRPr="00ED06D9" w:rsidRDefault="00AC2DF5">
      <w:pPr>
        <w:adjustRightInd w:val="0"/>
        <w:snapToGrid w:val="0"/>
        <w:spacing w:line="360" w:lineRule="auto"/>
        <w:rPr>
          <w:rFonts w:ascii="Book Antiqua" w:hAnsi="Book Antiqua" w:cs="Book Antiqua"/>
          <w:b/>
          <w:sz w:val="24"/>
        </w:rPr>
      </w:pPr>
    </w:p>
    <w:p w:rsidR="00AC2DF5" w:rsidRPr="00ED06D9" w:rsidRDefault="00AC2DF5">
      <w:pPr>
        <w:adjustRightInd w:val="0"/>
        <w:snapToGrid w:val="0"/>
        <w:spacing w:line="360" w:lineRule="auto"/>
        <w:rPr>
          <w:rFonts w:ascii="Book Antiqua" w:hAnsi="Book Antiqua" w:cs="Book Antiqua"/>
          <w:sz w:val="24"/>
        </w:rPr>
      </w:pPr>
      <w:r w:rsidRPr="00ED06D9">
        <w:rPr>
          <w:rFonts w:ascii="Book Antiqua" w:hAnsi="Book Antiqua" w:cs="等线"/>
          <w:b/>
          <w:sz w:val="24"/>
          <w:lang w:val="hu-HU"/>
        </w:rPr>
        <w:t xml:space="preserve">Corresponding author: </w:t>
      </w:r>
      <w:r w:rsidRPr="00ED06D9">
        <w:rPr>
          <w:rFonts w:ascii="Book Antiqua" w:hAnsi="Book Antiqua" w:cs="Book Antiqua"/>
          <w:b/>
          <w:bCs/>
          <w:sz w:val="24"/>
        </w:rPr>
        <w:t xml:space="preserve">Cheng-Wei Tang, MD, PhD, Chief Doctor, Professor, </w:t>
      </w:r>
      <w:r w:rsidRPr="00ED06D9">
        <w:rPr>
          <w:rFonts w:ascii="Book Antiqua" w:hAnsi="Book Antiqua" w:cs="Book Antiqua"/>
          <w:sz w:val="24"/>
        </w:rPr>
        <w:t xml:space="preserve">Department of Gastroenterology, West China Hospital, Sichuan University, No. 37, Guoxue Lane, Chengdu 610041, Sichuan Province, China. </w:t>
      </w:r>
      <w:r w:rsidRPr="00ED06D9">
        <w:rPr>
          <w:rFonts w:ascii="Book Antiqua" w:hAnsi="Book Antiqua" w:cs="Book Antiqua"/>
          <w:sz w:val="24"/>
          <w:u w:val="single"/>
        </w:rPr>
        <w:t>shcqcdmed@163.com</w:t>
      </w:r>
    </w:p>
    <w:p w:rsidR="00AC2DF5" w:rsidRPr="00ED06D9" w:rsidRDefault="00AC2DF5">
      <w:pPr>
        <w:adjustRightInd w:val="0"/>
        <w:snapToGrid w:val="0"/>
        <w:spacing w:line="360" w:lineRule="auto"/>
        <w:rPr>
          <w:rFonts w:ascii="Book Antiqua" w:hAnsi="Book Antiqua" w:cs="Book Antiqua"/>
          <w:b/>
          <w:sz w:val="24"/>
        </w:rPr>
      </w:pPr>
    </w:p>
    <w:p w:rsidR="00AC2DF5" w:rsidRPr="00ED06D9" w:rsidRDefault="00AC2DF5">
      <w:pPr>
        <w:adjustRightInd w:val="0"/>
        <w:snapToGrid w:val="0"/>
        <w:spacing w:line="360" w:lineRule="auto"/>
        <w:rPr>
          <w:rFonts w:ascii="Book Antiqua" w:hAnsi="Book Antiqua" w:cs="Book Antiqua"/>
          <w:bCs/>
          <w:sz w:val="24"/>
        </w:rPr>
      </w:pPr>
      <w:r w:rsidRPr="00ED06D9">
        <w:rPr>
          <w:rFonts w:ascii="Book Antiqua" w:hAnsi="Book Antiqua" w:cs="Book Antiqua"/>
          <w:b/>
          <w:sz w:val="24"/>
        </w:rPr>
        <w:t xml:space="preserve">Received: </w:t>
      </w:r>
      <w:r w:rsidRPr="00ED06D9">
        <w:rPr>
          <w:rFonts w:ascii="Book Antiqua" w:hAnsi="Book Antiqua" w:cs="Book Antiqua"/>
          <w:bCs/>
          <w:sz w:val="24"/>
        </w:rPr>
        <w:t>January 30, 2020</w:t>
      </w:r>
    </w:p>
    <w:p w:rsidR="00AC2DF5" w:rsidRPr="00ED06D9" w:rsidRDefault="00AC2DF5">
      <w:pPr>
        <w:adjustRightInd w:val="0"/>
        <w:snapToGrid w:val="0"/>
        <w:spacing w:line="360" w:lineRule="auto"/>
        <w:rPr>
          <w:rFonts w:ascii="Book Antiqua" w:hAnsi="Book Antiqua" w:cs="Book Antiqua"/>
          <w:bCs/>
          <w:sz w:val="24"/>
        </w:rPr>
      </w:pPr>
      <w:r w:rsidRPr="00ED06D9">
        <w:rPr>
          <w:rFonts w:ascii="Book Antiqua" w:hAnsi="Book Antiqua" w:cs="Book Antiqua"/>
          <w:b/>
          <w:sz w:val="24"/>
        </w:rPr>
        <w:t xml:space="preserve">Revised: </w:t>
      </w:r>
      <w:r w:rsidRPr="00ED06D9">
        <w:rPr>
          <w:rFonts w:ascii="Book Antiqua" w:hAnsi="Book Antiqua" w:cs="Book Antiqua"/>
          <w:bCs/>
          <w:sz w:val="24"/>
        </w:rPr>
        <w:t>May 21, 2020</w:t>
      </w:r>
    </w:p>
    <w:p w:rsidR="00AC2DF5" w:rsidRPr="00ED06D9" w:rsidRDefault="00AC2DF5">
      <w:pPr>
        <w:adjustRightInd w:val="0"/>
        <w:snapToGrid w:val="0"/>
        <w:spacing w:line="360" w:lineRule="auto"/>
        <w:rPr>
          <w:rFonts w:ascii="Book Antiqua" w:hAnsi="Book Antiqua" w:cs="Book Antiqua"/>
          <w:sz w:val="24"/>
        </w:rPr>
      </w:pPr>
      <w:r w:rsidRPr="00ED06D9">
        <w:rPr>
          <w:rFonts w:ascii="Book Antiqua" w:hAnsi="Book Antiqua" w:cs="Book Antiqua"/>
          <w:b/>
          <w:sz w:val="24"/>
        </w:rPr>
        <w:t>Accepted:</w:t>
      </w:r>
      <w:r w:rsidRPr="00ED06D9">
        <w:t xml:space="preserve"> </w:t>
      </w:r>
      <w:r w:rsidRPr="00ED06D9">
        <w:rPr>
          <w:rFonts w:ascii="Book Antiqua" w:hAnsi="Book Antiqua" w:cs="Book Antiqua"/>
          <w:bCs/>
          <w:sz w:val="24"/>
        </w:rPr>
        <w:t xml:space="preserve">June 25, 2020 </w:t>
      </w:r>
    </w:p>
    <w:p w:rsidR="00AC2DF5" w:rsidRPr="00ED06D9" w:rsidRDefault="00AC2DF5">
      <w:pPr>
        <w:adjustRightInd w:val="0"/>
        <w:snapToGrid w:val="0"/>
        <w:spacing w:line="360" w:lineRule="auto"/>
        <w:rPr>
          <w:rFonts w:ascii="Book Antiqua" w:hAnsi="Book Antiqua" w:cs="Book Antiqua"/>
          <w:b/>
          <w:sz w:val="24"/>
        </w:rPr>
      </w:pPr>
      <w:r w:rsidRPr="00ED06D9">
        <w:rPr>
          <w:rFonts w:ascii="Book Antiqua" w:hAnsi="Book Antiqua" w:cs="Book Antiqua"/>
          <w:b/>
          <w:sz w:val="24"/>
        </w:rPr>
        <w:t>Published online:</w:t>
      </w:r>
      <w:bookmarkEnd w:id="1"/>
      <w:bookmarkEnd w:id="2"/>
      <w:bookmarkEnd w:id="3"/>
      <w:bookmarkEnd w:id="4"/>
      <w:r w:rsidR="00E01B61" w:rsidRPr="00ED06D9">
        <w:rPr>
          <w:rFonts w:ascii="Book Antiqua" w:hAnsi="Book Antiqua" w:cs="Book Antiqua" w:hint="eastAsia"/>
          <w:b/>
          <w:sz w:val="24"/>
        </w:rPr>
        <w:t xml:space="preserve"> </w:t>
      </w:r>
      <w:r w:rsidR="00E01B61" w:rsidRPr="00ED06D9">
        <w:rPr>
          <w:rFonts w:ascii="Book Antiqua" w:hAnsi="Book Antiqua" w:cs="Book Antiqua"/>
          <w:sz w:val="24"/>
        </w:rPr>
        <w:t>July 28, 2020</w:t>
      </w:r>
    </w:p>
    <w:p w:rsidR="00AC2DF5" w:rsidRPr="00ED06D9" w:rsidRDefault="00AC2DF5">
      <w:pPr>
        <w:widowControl/>
        <w:adjustRightInd w:val="0"/>
        <w:snapToGrid w:val="0"/>
        <w:spacing w:line="360" w:lineRule="auto"/>
        <w:rPr>
          <w:rFonts w:ascii="Book Antiqua" w:hAnsi="Book Antiqua" w:cs="Book Antiqua"/>
          <w:sz w:val="24"/>
        </w:rPr>
      </w:pPr>
      <w:r w:rsidRPr="00ED06D9">
        <w:rPr>
          <w:rFonts w:ascii="Book Antiqua" w:eastAsia="Book Antiqua" w:hAnsi="Book Antiqua" w:cs="Book Antiqua"/>
          <w:b/>
          <w:kern w:val="0"/>
          <w:sz w:val="24"/>
          <w:lang w:bidi="ar"/>
        </w:rPr>
        <w:br w:type="page"/>
      </w:r>
      <w:r w:rsidRPr="00ED06D9">
        <w:rPr>
          <w:rFonts w:ascii="Book Antiqua" w:eastAsia="Book Antiqua" w:hAnsi="Book Antiqua" w:cs="Book Antiqua"/>
          <w:b/>
          <w:kern w:val="0"/>
          <w:sz w:val="24"/>
          <w:lang w:bidi="ar"/>
        </w:rPr>
        <w:lastRenderedPageBreak/>
        <w:t xml:space="preserve">Abstract </w:t>
      </w:r>
    </w:p>
    <w:p w:rsidR="00AC2DF5" w:rsidRPr="00ED06D9" w:rsidRDefault="00AC2DF5">
      <w:pPr>
        <w:widowControl/>
        <w:adjustRightInd w:val="0"/>
        <w:snapToGrid w:val="0"/>
        <w:spacing w:line="360" w:lineRule="auto"/>
        <w:rPr>
          <w:rFonts w:ascii="Book Antiqua" w:hAnsi="Book Antiqua" w:cs="Book Antiqua"/>
          <w:sz w:val="24"/>
        </w:rPr>
      </w:pPr>
      <w:r w:rsidRPr="00ED06D9">
        <w:rPr>
          <w:rFonts w:ascii="Book Antiqua" w:eastAsia="Book Antiqua" w:hAnsi="Book Antiqua" w:cs="Book Antiqua"/>
          <w:kern w:val="0"/>
          <w:sz w:val="24"/>
          <w:lang w:bidi="ar"/>
        </w:rPr>
        <w:t>BACKGROUND</w:t>
      </w:r>
    </w:p>
    <w:p w:rsidR="00AC2DF5" w:rsidRPr="00ED06D9" w:rsidRDefault="00AC2DF5">
      <w:pPr>
        <w:pStyle w:val="ac"/>
        <w:widowControl/>
        <w:adjustRightInd w:val="0"/>
        <w:snapToGrid w:val="0"/>
        <w:spacing w:line="360" w:lineRule="auto"/>
        <w:jc w:val="both"/>
        <w:rPr>
          <w:rFonts w:ascii="Book Antiqua" w:hAnsi="Book Antiqua" w:cs="Book Antiqua"/>
        </w:rPr>
      </w:pPr>
      <w:bookmarkStart w:id="7" w:name="_Hlk21724572"/>
      <w:r w:rsidRPr="00ED06D9">
        <w:rPr>
          <w:rFonts w:ascii="Book Antiqua" w:hAnsi="Book Antiqua" w:cs="Book Antiqua"/>
          <w:kern w:val="2"/>
        </w:rPr>
        <w:t xml:space="preserve">Endoplasmic reticulum (ER) stress is an important mechanism in the </w:t>
      </w:r>
      <w:r w:rsidRPr="00ED06D9">
        <w:rPr>
          <w:rFonts w:ascii="Book Antiqua" w:hAnsi="Book Antiqua" w:cs="Book Antiqua"/>
          <w:kern w:val="2"/>
          <w:lang w:bidi="ar"/>
        </w:rPr>
        <w:t>progression</w:t>
      </w:r>
      <w:r w:rsidRPr="00ED06D9">
        <w:rPr>
          <w:rFonts w:ascii="Book Antiqua" w:hAnsi="Book Antiqua" w:cs="Book Antiqua"/>
          <w:kern w:val="2"/>
        </w:rPr>
        <w:t xml:space="preserve"> of chronic and acute liver diseases, especially in the </w:t>
      </w:r>
      <w:r w:rsidRPr="00ED06D9">
        <w:rPr>
          <w:rFonts w:ascii="Book Antiqua" w:hAnsi="Book Antiqua" w:cs="Book Antiqua"/>
          <w:kern w:val="2"/>
          <w:lang w:bidi="ar"/>
        </w:rPr>
        <w:t>progression</w:t>
      </w:r>
      <w:r w:rsidRPr="00ED06D9">
        <w:rPr>
          <w:rFonts w:ascii="Book Antiqua" w:hAnsi="Book Antiqua" w:cs="Book Antiqua"/>
          <w:kern w:val="2"/>
        </w:rPr>
        <w:t xml:space="preserve"> and recovery of liver fibrosis. Excessive and long-term ER stress induces apoptosis. ER </w:t>
      </w:r>
      <w:r w:rsidRPr="00ED06D9">
        <w:rPr>
          <w:rFonts w:ascii="Book Antiqua" w:hAnsi="Book Antiqua" w:cs="Book Antiqua"/>
          <w:kern w:val="2"/>
          <w:lang w:bidi="ar"/>
        </w:rPr>
        <w:t>stress-induced</w:t>
      </w:r>
      <w:r w:rsidRPr="00ED06D9">
        <w:rPr>
          <w:rFonts w:ascii="Book Antiqua" w:hAnsi="Book Antiqua" w:cs="Book Antiqua"/>
          <w:kern w:val="2"/>
        </w:rPr>
        <w:t xml:space="preserve"> apoptosis is considered to be an important pathway in the development of liver fibrosis. </w:t>
      </w:r>
      <w:r w:rsidRPr="00ED06D9">
        <w:rPr>
          <w:rFonts w:ascii="Book Antiqua" w:hAnsi="Book Antiqua" w:cs="Book Antiqua"/>
        </w:rPr>
        <w:t>Cyclooxygenase-2 (</w:t>
      </w:r>
      <w:r w:rsidRPr="00ED06D9">
        <w:rPr>
          <w:rFonts w:ascii="Book Antiqua" w:hAnsi="Book Antiqua" w:cs="Book Antiqua"/>
          <w:kern w:val="2"/>
        </w:rPr>
        <w:t>COX-2) induction is also closely related to ER stress. In our previous studies, we showed that celecoxib, a COX-2 inhibitor, improves liver fibrosis and portal hypertension. However, the role and mechanism of celecoxib in alleviating liver fibrosis remain unclear.</w:t>
      </w:r>
      <w:bookmarkEnd w:id="7"/>
    </w:p>
    <w:p w:rsidR="00AC2DF5" w:rsidRPr="00ED06D9" w:rsidRDefault="00AC2DF5">
      <w:pPr>
        <w:widowControl/>
        <w:adjustRightInd w:val="0"/>
        <w:snapToGrid w:val="0"/>
        <w:spacing w:line="360" w:lineRule="auto"/>
        <w:rPr>
          <w:rFonts w:ascii="Book Antiqua" w:eastAsia="Book Antiqua" w:hAnsi="Book Antiqua" w:cs="Book Antiqua"/>
          <w:kern w:val="0"/>
          <w:sz w:val="24"/>
          <w:lang w:bidi="ar"/>
        </w:rPr>
      </w:pPr>
    </w:p>
    <w:p w:rsidR="00AC2DF5" w:rsidRPr="00ED06D9" w:rsidRDefault="00AC2DF5">
      <w:pPr>
        <w:widowControl/>
        <w:adjustRightInd w:val="0"/>
        <w:snapToGrid w:val="0"/>
        <w:spacing w:line="360" w:lineRule="auto"/>
        <w:rPr>
          <w:rFonts w:ascii="Book Antiqua" w:hAnsi="Book Antiqua" w:cs="Book Antiqua"/>
          <w:sz w:val="24"/>
        </w:rPr>
      </w:pPr>
      <w:r w:rsidRPr="00ED06D9">
        <w:rPr>
          <w:rFonts w:ascii="Book Antiqua" w:eastAsia="Book Antiqua" w:hAnsi="Book Antiqua" w:cs="Book Antiqua"/>
          <w:kern w:val="0"/>
          <w:sz w:val="24"/>
          <w:lang w:bidi="ar"/>
        </w:rPr>
        <w:t>AIM</w:t>
      </w:r>
    </w:p>
    <w:p w:rsidR="00AC2DF5" w:rsidRPr="00ED06D9" w:rsidRDefault="00AC2DF5">
      <w:pPr>
        <w:pStyle w:val="ac"/>
        <w:widowControl/>
        <w:adjustRightInd w:val="0"/>
        <w:snapToGrid w:val="0"/>
        <w:spacing w:line="360" w:lineRule="auto"/>
        <w:jc w:val="both"/>
        <w:rPr>
          <w:rFonts w:ascii="Book Antiqua" w:hAnsi="Book Antiqua" w:cs="Book Antiqua"/>
          <w:kern w:val="2"/>
        </w:rPr>
      </w:pPr>
      <w:r w:rsidRPr="00ED06D9">
        <w:rPr>
          <w:rFonts w:ascii="Book Antiqua" w:hAnsi="Book Antiqua" w:cs="Book Antiqua"/>
          <w:kern w:val="2"/>
        </w:rPr>
        <w:t xml:space="preserve">To investigate whether celecoxib alleviates liver fibrosis by inhibiting hepatocyte apoptosis </w:t>
      </w:r>
      <w:r w:rsidRPr="00ED06D9">
        <w:rPr>
          <w:rFonts w:ascii="Book Antiqua" w:hAnsi="Book Antiqua" w:cs="Book Antiqua"/>
          <w:i/>
          <w:iCs/>
          <w:kern w:val="2"/>
        </w:rPr>
        <w:t>via</w:t>
      </w:r>
      <w:r w:rsidRPr="00ED06D9">
        <w:rPr>
          <w:rFonts w:ascii="Book Antiqua" w:hAnsi="Book Antiqua" w:cs="Book Antiqua"/>
          <w:kern w:val="2"/>
        </w:rPr>
        <w:t xml:space="preserve"> </w:t>
      </w:r>
      <w:r w:rsidRPr="00ED06D9">
        <w:rPr>
          <w:rFonts w:ascii="Book Antiqua" w:hAnsi="Book Antiqua" w:cs="Book Antiqua"/>
          <w:kern w:val="2"/>
          <w:lang w:bidi="ar"/>
        </w:rPr>
        <w:t xml:space="preserve">the </w:t>
      </w:r>
      <w:r w:rsidRPr="00ED06D9">
        <w:rPr>
          <w:rFonts w:ascii="Book Antiqua" w:hAnsi="Book Antiqua" w:cs="Book Antiqua"/>
          <w:kern w:val="2"/>
        </w:rPr>
        <w:t>ER stress response.</w:t>
      </w:r>
    </w:p>
    <w:p w:rsidR="00AC2DF5" w:rsidRPr="00ED06D9" w:rsidRDefault="00AC2DF5">
      <w:pPr>
        <w:pStyle w:val="ac"/>
        <w:widowControl/>
        <w:adjustRightInd w:val="0"/>
        <w:snapToGrid w:val="0"/>
        <w:spacing w:line="360" w:lineRule="auto"/>
        <w:jc w:val="both"/>
        <w:rPr>
          <w:rFonts w:ascii="Book Antiqua" w:hAnsi="Book Antiqua" w:cs="Book Antiqua"/>
          <w:kern w:val="2"/>
        </w:rPr>
      </w:pPr>
    </w:p>
    <w:p w:rsidR="00AC2DF5" w:rsidRPr="00ED06D9" w:rsidRDefault="00AC2DF5">
      <w:pPr>
        <w:widowControl/>
        <w:adjustRightInd w:val="0"/>
        <w:snapToGrid w:val="0"/>
        <w:spacing w:line="360" w:lineRule="auto"/>
        <w:rPr>
          <w:rFonts w:ascii="Book Antiqua" w:hAnsi="Book Antiqua" w:cs="Book Antiqua"/>
          <w:sz w:val="24"/>
        </w:rPr>
      </w:pPr>
      <w:r w:rsidRPr="00ED06D9">
        <w:rPr>
          <w:rFonts w:ascii="Book Antiqua" w:eastAsia="Book Antiqua" w:hAnsi="Book Antiqua" w:cs="Book Antiqua"/>
          <w:kern w:val="0"/>
          <w:sz w:val="24"/>
          <w:lang w:bidi="ar"/>
        </w:rPr>
        <w:t xml:space="preserve">METHODS </w:t>
      </w:r>
    </w:p>
    <w:p w:rsidR="00AC2DF5" w:rsidRPr="00ED06D9" w:rsidRDefault="00AC2DF5">
      <w:pPr>
        <w:pStyle w:val="ac"/>
        <w:widowControl/>
        <w:adjustRightInd w:val="0"/>
        <w:snapToGrid w:val="0"/>
        <w:spacing w:line="360" w:lineRule="auto"/>
        <w:jc w:val="both"/>
        <w:rPr>
          <w:rFonts w:ascii="Book Antiqua" w:hAnsi="Book Antiqua" w:cs="Book Antiqua"/>
        </w:rPr>
      </w:pPr>
      <w:r w:rsidRPr="00ED06D9">
        <w:rPr>
          <w:rFonts w:ascii="Book Antiqua" w:hAnsi="Book Antiqua" w:cs="Book Antiqua"/>
        </w:rPr>
        <w:t xml:space="preserve">Cirrhosis was induced by intraperitoneal injections of </w:t>
      </w:r>
      <w:bookmarkStart w:id="8" w:name="OLE_LINK16"/>
      <w:bookmarkStart w:id="9" w:name="OLE_LINK17"/>
      <w:r w:rsidRPr="00ED06D9">
        <w:rPr>
          <w:rFonts w:ascii="Book Antiqua" w:hAnsi="Book Antiqua" w:cs="Book Antiqua"/>
        </w:rPr>
        <w:t xml:space="preserve">thioacetamide </w:t>
      </w:r>
      <w:bookmarkEnd w:id="8"/>
      <w:bookmarkEnd w:id="9"/>
      <w:r w:rsidRPr="00ED06D9">
        <w:rPr>
          <w:rFonts w:ascii="Book Antiqua" w:hAnsi="Book Antiqua" w:cs="Book Antiqua"/>
        </w:rPr>
        <w:t xml:space="preserve">(TAA) for 16 wk (injection dose is 200 mg/kg per 3 d for the first 8 wk and 100 mg /kg per 3 d after 8 wk). Thirty-six male Sprague-Dawley rats were randomly divided into three groups, namely, control group, TAA group, and TAA + celecoxib group. In the last 8 wk, </w:t>
      </w:r>
      <w:r w:rsidRPr="00ED06D9">
        <w:rPr>
          <w:rFonts w:ascii="Book Antiqua" w:hAnsi="Book Antiqua" w:cs="Calibri"/>
          <w:kern w:val="2"/>
          <w:lang w:bidi="ar"/>
        </w:rPr>
        <w:t>TAA-</w:t>
      </w:r>
      <w:r w:rsidRPr="00ED06D9">
        <w:rPr>
          <w:rFonts w:ascii="Book Antiqua" w:hAnsi="Book Antiqua" w:cs="Calibri"/>
          <w:kern w:val="2"/>
        </w:rPr>
        <w:t xml:space="preserve">induced cirrhotic rats received celecoxib (20 mg/kg/day) or </w:t>
      </w:r>
      <w:r w:rsidR="00FB195A" w:rsidRPr="00ED06D9">
        <w:rPr>
          <w:rFonts w:ascii="Book Antiqua" w:hAnsi="Book Antiqua" w:cs="Calibri"/>
          <w:kern w:val="2"/>
        </w:rPr>
        <w:t>the</w:t>
      </w:r>
      <w:r w:rsidRPr="00ED06D9">
        <w:rPr>
          <w:rFonts w:ascii="Book Antiqua" w:hAnsi="Book Antiqua" w:cs="Calibri"/>
          <w:kern w:val="2"/>
        </w:rPr>
        <w:t xml:space="preserve"> vehicle by gastric gavage</w:t>
      </w:r>
      <w:r w:rsidRPr="00ED06D9">
        <w:rPr>
          <w:rFonts w:ascii="Book Antiqua" w:hAnsi="Book Antiqua" w:cs="Book Antiqua"/>
        </w:rPr>
        <w:t xml:space="preserve">. </w:t>
      </w:r>
      <w:r w:rsidRPr="00ED06D9">
        <w:rPr>
          <w:rFonts w:ascii="Book Antiqua" w:hAnsi="Book Antiqua" w:cs="Book Antiqua"/>
          <w:kern w:val="2"/>
        </w:rPr>
        <w:t xml:space="preserve">After 16 wk, the rats were sacrificed, and serum </w:t>
      </w:r>
      <w:r w:rsidRPr="00ED06D9">
        <w:rPr>
          <w:rFonts w:ascii="Book Antiqua" w:hAnsi="Book Antiqua" w:cs="Book Antiqua"/>
        </w:rPr>
        <w:t>alanine aminotransferase (ALT)</w:t>
      </w:r>
      <w:r w:rsidRPr="00ED06D9">
        <w:rPr>
          <w:rFonts w:ascii="Book Antiqua" w:hAnsi="Book Antiqua" w:cs="Book Antiqua"/>
          <w:kern w:val="2"/>
        </w:rPr>
        <w:t xml:space="preserve">, </w:t>
      </w:r>
      <w:r w:rsidRPr="00ED06D9">
        <w:rPr>
          <w:rFonts w:ascii="Book Antiqua" w:hAnsi="Book Antiqua" w:cs="Book Antiqua"/>
        </w:rPr>
        <w:t xml:space="preserve">aspartate aminotransferase (AST), </w:t>
      </w:r>
      <w:r w:rsidRPr="00ED06D9">
        <w:rPr>
          <w:rFonts w:ascii="Book Antiqua" w:hAnsi="Book Antiqua" w:cs="Book Antiqua"/>
          <w:kern w:val="2"/>
        </w:rPr>
        <w:t xml:space="preserve">and </w:t>
      </w:r>
      <w:r w:rsidRPr="00ED06D9">
        <w:rPr>
          <w:rFonts w:ascii="Book Antiqua" w:hAnsi="Book Antiqua" w:cs="Book Antiqua"/>
        </w:rPr>
        <w:t>albumin</w:t>
      </w:r>
      <w:r w:rsidRPr="00ED06D9">
        <w:rPr>
          <w:rFonts w:ascii="Book Antiqua" w:hAnsi="Book Antiqua" w:cs="Book Antiqua"/>
          <w:kern w:val="2"/>
        </w:rPr>
        <w:t xml:space="preserve"> (ALB) were detected. The hepatic fibrosis areas were evaluated by Sirius red staining and the degree of fibrosis was assessed by measuring the level of hydroxyproline. ER stress levels were evaluated by detecting the marker proteins </w:t>
      </w:r>
      <w:r w:rsidRPr="00ED06D9">
        <w:rPr>
          <w:rFonts w:ascii="Book Antiqua" w:hAnsi="Book Antiqua" w:cs="Book Antiqua"/>
        </w:rPr>
        <w:t xml:space="preserve">glucose-regulated protein 78 </w:t>
      </w:r>
      <w:r w:rsidRPr="00ED06D9">
        <w:rPr>
          <w:rFonts w:ascii="Book Antiqua" w:hAnsi="Book Antiqua" w:cs="Book Antiqua"/>
          <w:kern w:val="2"/>
        </w:rPr>
        <w:t xml:space="preserve">(GRP78), CCAAT/enhancer binding protein homologous protein (CHOP), </w:t>
      </w:r>
      <w:r w:rsidRPr="00ED06D9">
        <w:rPr>
          <w:rFonts w:ascii="Book Antiqua" w:hAnsi="Book Antiqua" w:cs="Book Antiqua"/>
        </w:rPr>
        <w:t xml:space="preserve">PKR-like ER protein kinase (PERK), activating transcription factor 6 (ATF6), </w:t>
      </w:r>
      <w:r w:rsidRPr="00ED06D9">
        <w:rPr>
          <w:rFonts w:ascii="Book Antiqua" w:hAnsi="Book Antiqua" w:cs="Book Antiqua"/>
        </w:rPr>
        <w:lastRenderedPageBreak/>
        <w:t>and inositol-requiring enzyme 1 alpha (IRE1α)</w:t>
      </w:r>
      <w:r w:rsidRPr="00ED06D9">
        <w:rPr>
          <w:rFonts w:ascii="Book Antiqua" w:hAnsi="Book Antiqua" w:cs="Book Antiqua"/>
          <w:kern w:val="2"/>
        </w:rPr>
        <w:t>. Apoptosis levels were evaluated by detecting caspase-12 and caspase-3.</w:t>
      </w:r>
    </w:p>
    <w:p w:rsidR="00AC2DF5" w:rsidRPr="00ED06D9" w:rsidRDefault="00AC2DF5">
      <w:pPr>
        <w:widowControl/>
        <w:adjustRightInd w:val="0"/>
        <w:snapToGrid w:val="0"/>
        <w:spacing w:line="360" w:lineRule="auto"/>
        <w:rPr>
          <w:rFonts w:ascii="Book Antiqua" w:eastAsia="Book Antiqua" w:hAnsi="Book Antiqua" w:cs="Book Antiqua"/>
          <w:kern w:val="0"/>
          <w:sz w:val="24"/>
          <w:lang w:bidi="ar"/>
        </w:rPr>
      </w:pPr>
      <w:bookmarkStart w:id="10" w:name="_Hlk21879501"/>
    </w:p>
    <w:p w:rsidR="00AC2DF5" w:rsidRPr="00ED06D9" w:rsidRDefault="00AC2DF5">
      <w:pPr>
        <w:widowControl/>
        <w:adjustRightInd w:val="0"/>
        <w:snapToGrid w:val="0"/>
        <w:spacing w:line="360" w:lineRule="auto"/>
        <w:rPr>
          <w:rFonts w:ascii="Book Antiqua" w:hAnsi="Book Antiqua" w:cs="Book Antiqua"/>
          <w:sz w:val="24"/>
        </w:rPr>
      </w:pPr>
      <w:r w:rsidRPr="00ED06D9">
        <w:rPr>
          <w:rFonts w:ascii="Book Antiqua" w:eastAsia="Book Antiqua" w:hAnsi="Book Antiqua" w:cs="Book Antiqua"/>
          <w:kern w:val="0"/>
          <w:sz w:val="24"/>
          <w:lang w:bidi="ar"/>
        </w:rPr>
        <w:t xml:space="preserve">RESULTS </w:t>
      </w:r>
    </w:p>
    <w:p w:rsidR="00AC2DF5" w:rsidRPr="00ED06D9" w:rsidRDefault="00AC2DF5">
      <w:pPr>
        <w:pStyle w:val="ac"/>
        <w:adjustRightInd w:val="0"/>
        <w:snapToGrid w:val="0"/>
        <w:spacing w:line="360" w:lineRule="auto"/>
        <w:jc w:val="both"/>
        <w:rPr>
          <w:rFonts w:ascii="Book Antiqua" w:hAnsi="Book Antiqua" w:cs="Book Antiqua"/>
          <w:kern w:val="2"/>
        </w:rPr>
      </w:pPr>
      <w:r w:rsidRPr="00ED06D9">
        <w:rPr>
          <w:rFonts w:ascii="Book Antiqua" w:hAnsi="Book Antiqua" w:cs="Book Antiqua"/>
          <w:kern w:val="2"/>
        </w:rPr>
        <w:t xml:space="preserve">The serum ALT and AST levels in the liver were significantly reduced by celecoxib; however, the serum ALB had no significant changes. Celecoxib significantly reduced the degree of liver fibrosis and the levels of hydroxyproline (-38% and -25.7%, respectively, </w:t>
      </w:r>
      <w:r w:rsidRPr="00ED06D9">
        <w:rPr>
          <w:rFonts w:ascii="Book Antiqua" w:hAnsi="Book Antiqua" w:cs="Book Antiqua"/>
          <w:i/>
          <w:iCs/>
          <w:kern w:val="2"/>
        </w:rPr>
        <w:t xml:space="preserve">P </w:t>
      </w:r>
      <w:r w:rsidRPr="00ED06D9">
        <w:rPr>
          <w:rFonts w:ascii="Book Antiqua" w:hAnsi="Book Antiqua" w:cs="Book Antiqua"/>
          <w:kern w:val="2"/>
        </w:rPr>
        <w:t>&lt; 0.01). Celecoxib ameliorated ER stress by reducing the level of GRP78 compared to the TAA group (</w:t>
      </w:r>
      <w:r w:rsidRPr="00ED06D9">
        <w:rPr>
          <w:rFonts w:ascii="Book Antiqua" w:hAnsi="Book Antiqua" w:cs="Book Antiqua"/>
          <w:i/>
          <w:iCs/>
          <w:kern w:val="2"/>
        </w:rPr>
        <w:t xml:space="preserve">P </w:t>
      </w:r>
      <w:r w:rsidRPr="00ED06D9">
        <w:rPr>
          <w:rFonts w:ascii="Book Antiqua" w:hAnsi="Book Antiqua" w:cs="Book Antiqua"/>
          <w:kern w:val="2"/>
        </w:rPr>
        <w:t xml:space="preserve">&lt; 0.05). Consistently, after celecoxib administration, the upregulation of TAA-induced hepatic apoptosis markers (caspase-12 and caspase-3) and CHOP were significantly inhibited. </w:t>
      </w:r>
      <w:bookmarkEnd w:id="10"/>
      <w:r w:rsidRPr="00ED06D9">
        <w:rPr>
          <w:rFonts w:ascii="Book Antiqua" w:hAnsi="Book Antiqua" w:cs="Book Antiqua"/>
          <w:kern w:val="2"/>
        </w:rPr>
        <w:t>In addition, after celecoxib treatment, the expression of key molecules associated with ER stress (PERK, ATF6, and IRE1) was decreased (</w:t>
      </w:r>
      <w:r w:rsidRPr="00ED06D9">
        <w:rPr>
          <w:rFonts w:ascii="Book Antiqua" w:hAnsi="Book Antiqua" w:cs="Book Antiqua"/>
          <w:i/>
          <w:iCs/>
          <w:kern w:val="2"/>
        </w:rPr>
        <w:t>P</w:t>
      </w:r>
      <w:r w:rsidRPr="00ED06D9">
        <w:rPr>
          <w:rFonts w:ascii="Book Antiqua" w:hAnsi="Book Antiqua" w:cs="Book Antiqua"/>
          <w:kern w:val="2"/>
        </w:rPr>
        <w:t xml:space="preserve"> &lt; 0.05).</w:t>
      </w:r>
    </w:p>
    <w:p w:rsidR="00AC2DF5" w:rsidRPr="00ED06D9" w:rsidRDefault="00AC2DF5">
      <w:pPr>
        <w:widowControl/>
        <w:adjustRightInd w:val="0"/>
        <w:snapToGrid w:val="0"/>
        <w:spacing w:line="360" w:lineRule="auto"/>
        <w:rPr>
          <w:rFonts w:ascii="Book Antiqua" w:hAnsi="Book Antiqua" w:cs="Book Antiqua"/>
          <w:sz w:val="24"/>
        </w:rPr>
      </w:pPr>
    </w:p>
    <w:p w:rsidR="00AC2DF5" w:rsidRPr="00ED06D9" w:rsidRDefault="00AC2DF5">
      <w:pPr>
        <w:widowControl/>
        <w:adjustRightInd w:val="0"/>
        <w:snapToGrid w:val="0"/>
        <w:spacing w:line="360" w:lineRule="auto"/>
        <w:rPr>
          <w:rFonts w:ascii="Book Antiqua" w:hAnsi="Book Antiqua" w:cs="Book Antiqua"/>
          <w:sz w:val="24"/>
        </w:rPr>
      </w:pPr>
      <w:r w:rsidRPr="00ED06D9">
        <w:rPr>
          <w:rFonts w:ascii="Book Antiqua" w:eastAsia="Book Antiqua" w:hAnsi="Book Antiqua" w:cs="Book Antiqua"/>
          <w:kern w:val="0"/>
          <w:sz w:val="24"/>
          <w:lang w:bidi="ar"/>
        </w:rPr>
        <w:t>CONCLUSION</w:t>
      </w:r>
    </w:p>
    <w:p w:rsidR="00AC2DF5" w:rsidRPr="00ED06D9" w:rsidRDefault="00AC2DF5">
      <w:pPr>
        <w:pStyle w:val="ac"/>
        <w:adjustRightInd w:val="0"/>
        <w:snapToGrid w:val="0"/>
        <w:spacing w:line="360" w:lineRule="auto"/>
        <w:jc w:val="both"/>
        <w:rPr>
          <w:rFonts w:ascii="Book Antiqua" w:hAnsi="Book Antiqua" w:cs="Book Antiqua"/>
          <w:kern w:val="2"/>
        </w:rPr>
      </w:pPr>
      <w:r w:rsidRPr="00ED06D9">
        <w:rPr>
          <w:rFonts w:ascii="Book Antiqua" w:hAnsi="Book Antiqua" w:cs="Book Antiqua"/>
          <w:kern w:val="2"/>
        </w:rPr>
        <w:t xml:space="preserve">Therapeutic administration of celecoxib effectively reduces hepatic apoptosis in </w:t>
      </w:r>
      <w:r w:rsidRPr="00ED06D9">
        <w:rPr>
          <w:rFonts w:ascii="Book Antiqua" w:hAnsi="Book Antiqua" w:cs="Book Antiqua"/>
          <w:kern w:val="2"/>
          <w:lang w:bidi="ar"/>
        </w:rPr>
        <w:t>TAA-</w:t>
      </w:r>
      <w:r w:rsidRPr="00ED06D9">
        <w:rPr>
          <w:rFonts w:ascii="Book Antiqua" w:hAnsi="Book Antiqua" w:cs="Book Antiqua"/>
          <w:kern w:val="2"/>
        </w:rPr>
        <w:t>induced cirrhotic rats. The mechanism of action may be attributed to the suppression of</w:t>
      </w:r>
      <w:r w:rsidRPr="00ED06D9">
        <w:rPr>
          <w:rFonts w:ascii="Book Antiqua" w:hAnsi="Book Antiqua" w:cs="Book Antiqua"/>
          <w:kern w:val="2"/>
          <w:lang w:bidi="ar"/>
        </w:rPr>
        <w:t xml:space="preserve"> CHOP</w:t>
      </w:r>
      <w:r w:rsidRPr="00ED06D9">
        <w:rPr>
          <w:rFonts w:ascii="Book Antiqua" w:hAnsi="Book Antiqua" w:cs="Book Antiqua"/>
          <w:kern w:val="2"/>
        </w:rPr>
        <w:t xml:space="preserve"> expression, which subsequently inhibits ER stress.</w:t>
      </w:r>
    </w:p>
    <w:p w:rsidR="00AC2DF5" w:rsidRPr="00ED06D9" w:rsidRDefault="00AC2DF5">
      <w:pPr>
        <w:pStyle w:val="ac"/>
        <w:adjustRightInd w:val="0"/>
        <w:snapToGrid w:val="0"/>
        <w:spacing w:line="360" w:lineRule="auto"/>
        <w:jc w:val="both"/>
        <w:rPr>
          <w:rFonts w:ascii="Book Antiqua" w:hAnsi="Book Antiqua" w:cs="Book Antiqua"/>
          <w:kern w:val="2"/>
        </w:rPr>
      </w:pPr>
    </w:p>
    <w:p w:rsidR="00AC2DF5" w:rsidRPr="00ED06D9" w:rsidRDefault="00AC2DF5">
      <w:pPr>
        <w:widowControl/>
        <w:adjustRightInd w:val="0"/>
        <w:snapToGrid w:val="0"/>
        <w:spacing w:line="360" w:lineRule="auto"/>
        <w:rPr>
          <w:rFonts w:ascii="Book Antiqua" w:hAnsi="Book Antiqua" w:cs="Book Antiqua"/>
          <w:sz w:val="24"/>
        </w:rPr>
      </w:pPr>
      <w:bookmarkStart w:id="11" w:name="_Hlk8052531"/>
      <w:r w:rsidRPr="00ED06D9">
        <w:rPr>
          <w:rFonts w:ascii="Book Antiqua" w:hAnsi="Book Antiqua"/>
          <w:b/>
          <w:sz w:val="24"/>
          <w:lang w:val="hu-HU"/>
        </w:rPr>
        <w:t>Key words:</w:t>
      </w:r>
      <w:bookmarkEnd w:id="11"/>
      <w:r w:rsidRPr="00ED06D9">
        <w:rPr>
          <w:rFonts w:ascii="Book Antiqua" w:hAnsi="Book Antiqua"/>
          <w:sz w:val="24"/>
        </w:rPr>
        <w:t xml:space="preserve"> </w:t>
      </w:r>
      <w:r w:rsidRPr="00ED06D9">
        <w:rPr>
          <w:rFonts w:ascii="Book Antiqua" w:hAnsi="Book Antiqua" w:cs="Book Antiqua"/>
          <w:sz w:val="24"/>
        </w:rPr>
        <w:t>Liver fibrosis; Endoplasmic reticulum stress; Celecoxib; Cyclooxygenase-2; CCAAT/enhancer binding protein homologous protein; Apoptosis</w:t>
      </w:r>
    </w:p>
    <w:p w:rsidR="00AC2DF5" w:rsidRPr="00ED06D9" w:rsidRDefault="00AC2DF5">
      <w:pPr>
        <w:widowControl/>
        <w:adjustRightInd w:val="0"/>
        <w:snapToGrid w:val="0"/>
        <w:spacing w:line="360" w:lineRule="auto"/>
        <w:rPr>
          <w:rFonts w:ascii="Book Antiqua" w:hAnsi="Book Antiqua" w:cs="Book Antiqua"/>
          <w:sz w:val="24"/>
        </w:rPr>
      </w:pPr>
    </w:p>
    <w:p w:rsidR="00E01B61" w:rsidRPr="00ED06D9" w:rsidRDefault="00AC2DF5" w:rsidP="00E01B61">
      <w:pPr>
        <w:adjustRightInd w:val="0"/>
        <w:snapToGrid w:val="0"/>
        <w:spacing w:line="360" w:lineRule="auto"/>
        <w:rPr>
          <w:rFonts w:ascii="Book Antiqua" w:hAnsi="Book Antiqua" w:hint="eastAsia"/>
          <w:color w:val="000000"/>
        </w:rPr>
      </w:pPr>
      <w:r w:rsidRPr="00ED06D9">
        <w:rPr>
          <w:rFonts w:ascii="Book Antiqua" w:hAnsi="Book Antiqua" w:cs="Book Antiqua"/>
          <w:sz w:val="24"/>
        </w:rPr>
        <w:t>Su W, Tai Y, Tang SH, Ye YT, Zhao C</w:t>
      </w:r>
      <w:r w:rsidRPr="00ED06D9">
        <w:rPr>
          <w:rFonts w:ascii="Book Antiqua" w:hAnsi="Book Antiqua" w:cs="Book Antiqua"/>
          <w:sz w:val="24"/>
          <w:vertAlign w:val="subscript"/>
        </w:rPr>
        <w:t>,</w:t>
      </w:r>
      <w:r w:rsidRPr="00ED06D9">
        <w:rPr>
          <w:rFonts w:ascii="Book Antiqua" w:hAnsi="Book Antiqua" w:cs="Book Antiqua"/>
          <w:sz w:val="24"/>
        </w:rPr>
        <w:t xml:space="preserve"> Gao JH, Tuo BG, Tang CW. Celecoxib attenuates hepatocyte apoptosis by inhibiting endoplasmic reticulum stress in thioacetamide-induced cirrhotic rats. </w:t>
      </w:r>
      <w:r w:rsidRPr="00ED06D9">
        <w:rPr>
          <w:rFonts w:ascii="Book Antiqua" w:hAnsi="Book Antiqua"/>
          <w:i/>
          <w:iCs/>
          <w:sz w:val="24"/>
        </w:rPr>
        <w:t xml:space="preserve">World J Gastroenterol </w:t>
      </w:r>
      <w:r w:rsidR="00E01B61" w:rsidRPr="00ED06D9">
        <w:rPr>
          <w:rFonts w:ascii="Book Antiqua" w:hAnsi="Book Antiqua"/>
          <w:color w:val="000000"/>
        </w:rPr>
        <w:t>20</w:t>
      </w:r>
      <w:r w:rsidR="00E01B61" w:rsidRPr="00ED06D9">
        <w:rPr>
          <w:rFonts w:ascii="Book Antiqua" w:hAnsi="Book Antiqua" w:hint="eastAsia"/>
          <w:color w:val="000000"/>
        </w:rPr>
        <w:t>20</w:t>
      </w:r>
      <w:r w:rsidR="00E01B61" w:rsidRPr="00ED06D9">
        <w:rPr>
          <w:rFonts w:ascii="Book Antiqua" w:hAnsi="Book Antiqua"/>
          <w:color w:val="000000"/>
        </w:rPr>
        <w:t xml:space="preserve">; 26(28): </w:t>
      </w:r>
      <w:r w:rsidR="00E01B61" w:rsidRPr="00ED06D9">
        <w:rPr>
          <w:rFonts w:ascii="Book Antiqua" w:hAnsi="Book Antiqua" w:hint="eastAsia"/>
          <w:color w:val="000000"/>
        </w:rPr>
        <w:t>4094</w:t>
      </w:r>
      <w:r w:rsidR="00E01B61" w:rsidRPr="00ED06D9">
        <w:rPr>
          <w:rFonts w:ascii="Book Antiqua" w:hAnsi="Book Antiqua"/>
          <w:color w:val="000000"/>
        </w:rPr>
        <w:t>-</w:t>
      </w:r>
      <w:r w:rsidR="00E01B61" w:rsidRPr="00ED06D9">
        <w:rPr>
          <w:rFonts w:ascii="Book Antiqua" w:hAnsi="Book Antiqua" w:hint="eastAsia"/>
          <w:color w:val="000000"/>
        </w:rPr>
        <w:t>4107</w:t>
      </w:r>
    </w:p>
    <w:p w:rsidR="00E01B61" w:rsidRPr="00ED06D9" w:rsidRDefault="00E01B61" w:rsidP="00E01B61">
      <w:pPr>
        <w:adjustRightInd w:val="0"/>
        <w:snapToGrid w:val="0"/>
        <w:spacing w:line="360" w:lineRule="auto"/>
        <w:rPr>
          <w:rFonts w:ascii="Book Antiqua" w:hAnsi="Book Antiqua" w:hint="eastAsia"/>
          <w:color w:val="000000"/>
        </w:rPr>
      </w:pPr>
      <w:r w:rsidRPr="00ED06D9">
        <w:rPr>
          <w:rFonts w:ascii="Book Antiqua" w:hAnsi="Book Antiqua"/>
          <w:color w:val="000000"/>
        </w:rPr>
        <w:t>URL: https://www.wjgnet.com/1007-9327/full/v26/i28/</w:t>
      </w:r>
      <w:r w:rsidRPr="00ED06D9">
        <w:rPr>
          <w:rFonts w:ascii="Book Antiqua" w:hAnsi="Book Antiqua" w:hint="eastAsia"/>
          <w:color w:val="000000"/>
        </w:rPr>
        <w:t>4094</w:t>
      </w:r>
      <w:r w:rsidRPr="00ED06D9">
        <w:rPr>
          <w:rFonts w:ascii="Book Antiqua" w:hAnsi="Book Antiqua"/>
          <w:color w:val="000000"/>
        </w:rPr>
        <w:t>.htm</w:t>
      </w:r>
    </w:p>
    <w:p w:rsidR="00AC2DF5" w:rsidRPr="00ED06D9" w:rsidRDefault="00E01B61" w:rsidP="00E01B61">
      <w:pPr>
        <w:adjustRightInd w:val="0"/>
        <w:snapToGrid w:val="0"/>
        <w:spacing w:line="360" w:lineRule="auto"/>
        <w:rPr>
          <w:rFonts w:ascii="Book Antiqua" w:hAnsi="Book Antiqua"/>
          <w:b/>
          <w:sz w:val="24"/>
        </w:rPr>
      </w:pPr>
      <w:r w:rsidRPr="00ED06D9">
        <w:rPr>
          <w:rFonts w:ascii="Book Antiqua" w:hAnsi="Book Antiqua"/>
          <w:color w:val="000000"/>
        </w:rPr>
        <w:t>DOI: https://dx.doi.org/10.3748/wjg.v26.i28.</w:t>
      </w:r>
      <w:r w:rsidRPr="00ED06D9">
        <w:rPr>
          <w:rFonts w:ascii="Book Antiqua" w:hAnsi="Book Antiqua" w:hint="eastAsia"/>
          <w:color w:val="000000"/>
        </w:rPr>
        <w:t>4094</w:t>
      </w:r>
    </w:p>
    <w:p w:rsidR="00AC2DF5" w:rsidRPr="00ED06D9" w:rsidRDefault="00AC2DF5">
      <w:pPr>
        <w:pStyle w:val="ac"/>
        <w:adjustRightInd w:val="0"/>
        <w:snapToGrid w:val="0"/>
        <w:spacing w:line="360" w:lineRule="auto"/>
        <w:jc w:val="both"/>
        <w:rPr>
          <w:rFonts w:ascii="Book Antiqua" w:hAnsi="Book Antiqua" w:cs="等线"/>
          <w:b/>
          <w:iCs/>
        </w:rPr>
      </w:pPr>
    </w:p>
    <w:p w:rsidR="00AC2DF5" w:rsidRPr="00ED06D9" w:rsidRDefault="00AC2DF5">
      <w:pPr>
        <w:adjustRightInd w:val="0"/>
        <w:snapToGrid w:val="0"/>
        <w:spacing w:line="360" w:lineRule="auto"/>
        <w:rPr>
          <w:rFonts w:ascii="Book Antiqua" w:hAnsi="Book Antiqua" w:cs="Book Antiqua"/>
          <w:sz w:val="24"/>
        </w:rPr>
      </w:pPr>
      <w:r w:rsidRPr="00ED06D9">
        <w:rPr>
          <w:rFonts w:ascii="Book Antiqua" w:hAnsi="Book Antiqua" w:cs="等线"/>
          <w:b/>
          <w:iCs/>
          <w:sz w:val="24"/>
        </w:rPr>
        <w:t>Core tip</w:t>
      </w:r>
      <w:r w:rsidRPr="00ED06D9">
        <w:rPr>
          <w:rFonts w:ascii="Book Antiqua" w:hAnsi="Book Antiqua" w:cs="等线"/>
          <w:iCs/>
          <w:sz w:val="24"/>
        </w:rPr>
        <w:t>:</w:t>
      </w:r>
      <w:r w:rsidRPr="00ED06D9">
        <w:rPr>
          <w:rFonts w:ascii="Book Antiqua" w:hAnsi="Book Antiqua" w:cs="等线"/>
          <w:sz w:val="24"/>
        </w:rPr>
        <w:t xml:space="preserve"> </w:t>
      </w:r>
      <w:r w:rsidRPr="00ED06D9">
        <w:rPr>
          <w:rFonts w:ascii="Book Antiqua" w:hAnsi="Book Antiqua" w:cs="Book Antiqua"/>
          <w:sz w:val="24"/>
        </w:rPr>
        <w:t xml:space="preserve">This study aimed to explore the important role of celecoxib in </w:t>
      </w:r>
      <w:r w:rsidRPr="00ED06D9">
        <w:rPr>
          <w:rFonts w:ascii="Book Antiqua" w:hAnsi="Book Antiqua" w:cs="Book Antiqua"/>
          <w:sz w:val="24"/>
        </w:rPr>
        <w:lastRenderedPageBreak/>
        <w:t>modulating hepatocyte apoptosis during the development of liver fibrosis, and to clarify that the mechanism of its regulation is mediated by endoplasmic reticulum stress, which in turn affects the progression of liver fibrosis. We concluded that therapeutic administration of celecoxib can effectively reduce hepatic apoptosis in thioacetamide-induced cirrhotic rats. The mechanism of action may be attributed to the suppression of CCAAT/enhancer binding protein homologous protein expression, which subsequently inhibits endoplasmic reticulum stress.</w:t>
      </w:r>
      <w:bookmarkStart w:id="12" w:name="_Hlk19347825"/>
    </w:p>
    <w:bookmarkEnd w:id="12"/>
    <w:p w:rsidR="00AC2DF5" w:rsidRPr="00ED06D9" w:rsidRDefault="00AC2DF5">
      <w:pPr>
        <w:adjustRightInd w:val="0"/>
        <w:snapToGrid w:val="0"/>
        <w:spacing w:line="360" w:lineRule="auto"/>
        <w:rPr>
          <w:rFonts w:ascii="Book Antiqua" w:hAnsi="Book Antiqua" w:cs="等线"/>
          <w:b/>
          <w:sz w:val="24"/>
          <w:u w:val="single"/>
        </w:rPr>
      </w:pPr>
      <w:r w:rsidRPr="00ED06D9">
        <w:rPr>
          <w:rFonts w:ascii="Book Antiqua" w:eastAsia="Book Antiqua" w:hAnsi="Book Antiqua" w:cs="Book Antiqua"/>
          <w:b/>
          <w:kern w:val="0"/>
          <w:sz w:val="24"/>
          <w:lang w:bidi="ar"/>
        </w:rPr>
        <w:br w:type="page"/>
      </w:r>
      <w:r w:rsidRPr="00ED06D9">
        <w:rPr>
          <w:rFonts w:ascii="Book Antiqua" w:hAnsi="Book Antiqua" w:cs="等线"/>
          <w:b/>
          <w:sz w:val="24"/>
          <w:u w:val="single"/>
        </w:rPr>
        <w:lastRenderedPageBreak/>
        <w:t>INTRODUCTION</w:t>
      </w:r>
    </w:p>
    <w:p w:rsidR="00AC2DF5" w:rsidRPr="00ED06D9" w:rsidRDefault="00AC2DF5">
      <w:pPr>
        <w:autoSpaceDE w:val="0"/>
        <w:autoSpaceDN w:val="0"/>
        <w:adjustRightInd w:val="0"/>
        <w:snapToGrid w:val="0"/>
        <w:spacing w:line="360" w:lineRule="auto"/>
        <w:rPr>
          <w:rFonts w:ascii="Book Antiqua" w:hAnsi="Book Antiqua" w:cs="Book Antiqua"/>
          <w:sz w:val="24"/>
        </w:rPr>
      </w:pPr>
      <w:r w:rsidRPr="00ED06D9">
        <w:rPr>
          <w:rFonts w:ascii="Book Antiqua" w:hAnsi="Book Antiqua" w:cs="Book Antiqua"/>
          <w:sz w:val="24"/>
        </w:rPr>
        <w:t>Liver fibrosis is the outcome of hepatocellular injury-repair reactions caused by chronic viral hepatitis, alcoholism, autoimmune diseases, genetic and metabolic disorders, and repeated and sustained liver injury</w:t>
      </w:r>
      <w:r w:rsidRPr="00ED06D9">
        <w:rPr>
          <w:rFonts w:ascii="Book Antiqua" w:hAnsi="Book Antiqua" w:cs="Book Antiqua"/>
          <w:sz w:val="24"/>
          <w:vertAlign w:val="superscript"/>
        </w:rPr>
        <w:t>[1,2]</w:t>
      </w:r>
      <w:r w:rsidRPr="00ED06D9">
        <w:rPr>
          <w:rFonts w:ascii="Book Antiqua" w:hAnsi="Book Antiqua" w:cs="Book Antiqua"/>
          <w:sz w:val="24"/>
        </w:rPr>
        <w:t xml:space="preserve">. The pathological process of liver fibrosis is based on long-term, sustained action of various injuries, including hepatic parenchymal cell necrosis, apoptosis, and collagen synthesis, which leads to abnormal deposition of the extracellular matrix (ECM) in liver tissue, a pathological process that further triggers abnormal changes in liver structure and liver function. </w:t>
      </w:r>
      <w:bookmarkStart w:id="13" w:name="OLE_LINK3"/>
      <w:bookmarkStart w:id="14" w:name="OLE_LINK4"/>
      <w:r w:rsidRPr="00ED06D9">
        <w:rPr>
          <w:rFonts w:ascii="Book Antiqua" w:hAnsi="Book Antiqua" w:cs="Book Antiqua"/>
          <w:sz w:val="24"/>
        </w:rPr>
        <w:t>Hepatic stellate cell</w:t>
      </w:r>
      <w:bookmarkEnd w:id="13"/>
      <w:bookmarkEnd w:id="14"/>
      <w:r w:rsidRPr="00ED06D9">
        <w:rPr>
          <w:rFonts w:ascii="Book Antiqua" w:hAnsi="Book Antiqua" w:cs="Book Antiqua"/>
          <w:sz w:val="24"/>
        </w:rPr>
        <w:t>s (HSCs) play a significant role in maintaining liver homeostasis, and they will undergo phenotypic conversion into myofibroblast cells under sustained</w:t>
      </w:r>
      <w:r w:rsidRPr="00ED06D9">
        <w:rPr>
          <w:rFonts w:ascii="Book Antiqua" w:hAnsi="Book Antiqua" w:cs="Book Antiqua"/>
          <w:sz w:val="24"/>
          <w:shd w:val="clear" w:color="auto" w:fill="F7F8FA"/>
        </w:rPr>
        <w:t xml:space="preserve"> </w:t>
      </w:r>
      <w:r w:rsidRPr="00ED06D9">
        <w:rPr>
          <w:rFonts w:ascii="Book Antiqua" w:hAnsi="Book Antiqua" w:cs="Book Antiqua"/>
          <w:sz w:val="24"/>
        </w:rPr>
        <w:t>liver injury, which express smooth muscle actin, cause ECM deposition, and promote liver fibrosis</w:t>
      </w:r>
      <w:r w:rsidRPr="00ED06D9">
        <w:rPr>
          <w:rFonts w:ascii="Book Antiqua" w:hAnsi="Book Antiqua" w:cs="Book Antiqua"/>
          <w:sz w:val="24"/>
          <w:vertAlign w:val="superscript"/>
        </w:rPr>
        <w:t>[3,4]</w:t>
      </w:r>
      <w:r w:rsidRPr="00ED06D9">
        <w:rPr>
          <w:rFonts w:ascii="Book Antiqua" w:hAnsi="Book Antiqua" w:cs="Book Antiqua"/>
          <w:sz w:val="24"/>
        </w:rPr>
        <w:t>. Additionally, the presence and exacerbation of inflammation are another important factor in the occurrence and development of liver fibrosis</w:t>
      </w:r>
      <w:r w:rsidRPr="00ED06D9">
        <w:rPr>
          <w:rFonts w:ascii="Book Antiqua" w:hAnsi="Book Antiqua" w:cs="Book Antiqua"/>
          <w:sz w:val="24"/>
          <w:vertAlign w:val="superscript"/>
        </w:rPr>
        <w:t>[5,6]</w:t>
      </w:r>
      <w:r w:rsidRPr="00ED06D9">
        <w:rPr>
          <w:rFonts w:ascii="Book Antiqua" w:hAnsi="Book Antiqua" w:cs="Book Antiqua"/>
          <w:sz w:val="24"/>
        </w:rPr>
        <w:t>. It is known that liver fibrosis can be reversed after removing the damage factors. Therefore, to explore a novel and targeted therapy is very useful for the treatment of liver fibrosis.</w:t>
      </w:r>
    </w:p>
    <w:p w:rsidR="00AC2DF5" w:rsidRPr="00ED06D9" w:rsidRDefault="00AC2DF5">
      <w:pPr>
        <w:autoSpaceDE w:val="0"/>
        <w:autoSpaceDN w:val="0"/>
        <w:adjustRightInd w:val="0"/>
        <w:snapToGrid w:val="0"/>
        <w:spacing w:line="360" w:lineRule="auto"/>
        <w:ind w:firstLineChars="100" w:firstLine="240"/>
        <w:rPr>
          <w:rFonts w:ascii="Book Antiqua" w:hAnsi="Book Antiqua" w:cs="Book Antiqua"/>
          <w:sz w:val="24"/>
        </w:rPr>
      </w:pPr>
      <w:r w:rsidRPr="00ED06D9">
        <w:rPr>
          <w:rFonts w:ascii="Book Antiqua" w:hAnsi="Book Antiqua" w:cs="Book Antiqua"/>
          <w:sz w:val="24"/>
        </w:rPr>
        <w:t>Recently, many studies have shown that hepatocyte apoptosis is the most basic central link that causes liver damage and liver disease</w:t>
      </w:r>
      <w:r w:rsidRPr="00ED06D9">
        <w:rPr>
          <w:rFonts w:ascii="Book Antiqua" w:hAnsi="Book Antiqua" w:cs="Book Antiqua"/>
          <w:sz w:val="24"/>
          <w:vertAlign w:val="superscript"/>
        </w:rPr>
        <w:t>[7]</w:t>
      </w:r>
      <w:r w:rsidRPr="00ED06D9">
        <w:rPr>
          <w:rFonts w:ascii="Book Antiqua" w:hAnsi="Book Antiqua" w:cs="Book Antiqua"/>
          <w:sz w:val="24"/>
        </w:rPr>
        <w:t>. There is plenty of endoplasmic reticulum (ER) in liver cells, and many liver diseases are related to ER stress and ER stress-mediated apoptosis, such as viral hepatitis, liver fibrosis, non-alcoholic fatty liver disease, alcoholic liver disease, acute liver failure, drug-induced liver disease, and liver cancer. A variety of metabolic, toxic, and inflammatory injuries can cause liver damage and disease. A common feature of these injuries is the activation of apoptosis and/or necrosis</w:t>
      </w:r>
      <w:r w:rsidRPr="00ED06D9">
        <w:rPr>
          <w:rFonts w:ascii="Book Antiqua" w:hAnsi="Book Antiqua" w:cs="Book Antiqua"/>
          <w:sz w:val="24"/>
          <w:vertAlign w:val="superscript"/>
        </w:rPr>
        <w:t>[8,9]</w:t>
      </w:r>
      <w:r w:rsidRPr="00ED06D9">
        <w:rPr>
          <w:rFonts w:ascii="Book Antiqua" w:hAnsi="Book Antiqua" w:cs="Book Antiqua"/>
          <w:sz w:val="24"/>
        </w:rPr>
        <w:t>.</w:t>
      </w:r>
    </w:p>
    <w:p w:rsidR="00AC2DF5" w:rsidRPr="00ED06D9" w:rsidRDefault="00AC2DF5">
      <w:pPr>
        <w:autoSpaceDE w:val="0"/>
        <w:autoSpaceDN w:val="0"/>
        <w:adjustRightInd w:val="0"/>
        <w:snapToGrid w:val="0"/>
        <w:spacing w:line="360" w:lineRule="auto"/>
        <w:ind w:firstLineChars="100" w:firstLine="240"/>
        <w:rPr>
          <w:rFonts w:ascii="Book Antiqua" w:hAnsi="Book Antiqua" w:cs="Book Antiqua"/>
          <w:sz w:val="24"/>
        </w:rPr>
      </w:pPr>
      <w:r w:rsidRPr="00ED06D9">
        <w:rPr>
          <w:rFonts w:ascii="Book Antiqua" w:hAnsi="Book Antiqua" w:cs="Book Antiqua"/>
          <w:sz w:val="24"/>
        </w:rPr>
        <w:t>Therefore, inhibiting hepatocyte apoptosis and reducing liver tissue damage and the severity of inflammation are of great importance in delaying the progression of liver fibrosis. Recent studies have shown that ER stress is a critical event in the development of liver fibrosis</w:t>
      </w:r>
      <w:r w:rsidRPr="00ED06D9">
        <w:rPr>
          <w:rFonts w:ascii="Book Antiqua" w:hAnsi="Book Antiqua" w:cs="Book Antiqua"/>
          <w:sz w:val="24"/>
          <w:vertAlign w:val="superscript"/>
        </w:rPr>
        <w:t>[1,2,5,8]</w:t>
      </w:r>
      <w:r w:rsidRPr="00ED06D9">
        <w:rPr>
          <w:rFonts w:ascii="Book Antiqua" w:hAnsi="Book Antiqua" w:cs="Book Antiqua"/>
          <w:sz w:val="24"/>
        </w:rPr>
        <w:t xml:space="preserve">. However, the functional alteration in ER stress and its potential role in liver fibrosis are still </w:t>
      </w:r>
      <w:r w:rsidRPr="00ED06D9">
        <w:rPr>
          <w:rFonts w:ascii="Book Antiqua" w:hAnsi="Book Antiqua" w:cs="Book Antiqua"/>
          <w:sz w:val="24"/>
        </w:rPr>
        <w:lastRenderedPageBreak/>
        <w:t>unclear. The ER stress response is a self-protective mechanism for cell adaptation, but excessive or long-lasting ER stress causes apoptosis</w:t>
      </w:r>
      <w:r w:rsidRPr="00ED06D9">
        <w:rPr>
          <w:rFonts w:ascii="Book Antiqua" w:hAnsi="Book Antiqua" w:cs="Book Antiqua"/>
          <w:sz w:val="24"/>
          <w:vertAlign w:val="superscript"/>
        </w:rPr>
        <w:t>[10]</w:t>
      </w:r>
      <w:r w:rsidRPr="00ED06D9">
        <w:rPr>
          <w:rFonts w:ascii="Book Antiqua" w:hAnsi="Book Antiqua" w:cs="Book Antiqua"/>
          <w:sz w:val="24"/>
        </w:rPr>
        <w:t>.</w:t>
      </w:r>
    </w:p>
    <w:p w:rsidR="00AC2DF5" w:rsidRPr="00ED06D9" w:rsidRDefault="00AC2DF5">
      <w:pPr>
        <w:autoSpaceDE w:val="0"/>
        <w:autoSpaceDN w:val="0"/>
        <w:adjustRightInd w:val="0"/>
        <w:snapToGrid w:val="0"/>
        <w:spacing w:line="360" w:lineRule="auto"/>
        <w:ind w:firstLineChars="100" w:firstLine="240"/>
        <w:rPr>
          <w:rFonts w:ascii="Book Antiqua" w:hAnsi="Book Antiqua" w:cs="Book Antiqua"/>
          <w:sz w:val="24"/>
        </w:rPr>
      </w:pPr>
      <w:r w:rsidRPr="00ED06D9">
        <w:rPr>
          <w:rFonts w:ascii="Book Antiqua" w:hAnsi="Book Antiqua" w:cs="Book Antiqua"/>
          <w:sz w:val="24"/>
        </w:rPr>
        <w:t>The ER has a high dynamic balance under normal circumstances. However, ER stress is triggered in response to various physiological or pathological stimuli, especially when the ability of accumulation of unfolded proteins within the ER exceeds the folding capacity of ER chaperones</w:t>
      </w:r>
      <w:r w:rsidRPr="00ED06D9">
        <w:rPr>
          <w:rFonts w:ascii="Book Antiqua" w:hAnsi="Book Antiqua" w:cs="Book Antiqua"/>
          <w:sz w:val="24"/>
          <w:vertAlign w:val="superscript"/>
        </w:rPr>
        <w:t>[11,12]</w:t>
      </w:r>
      <w:r w:rsidRPr="00ED06D9">
        <w:rPr>
          <w:rFonts w:ascii="Book Antiqua" w:hAnsi="Book Antiqua" w:cs="Book Antiqua"/>
          <w:sz w:val="24"/>
        </w:rPr>
        <w:t xml:space="preserve">. </w:t>
      </w:r>
      <w:r w:rsidRPr="00ED06D9">
        <w:rPr>
          <w:rFonts w:ascii="Book Antiqua" w:hAnsi="Book Antiqua" w:cs="Book Antiqua"/>
          <w:kern w:val="0"/>
          <w:sz w:val="24"/>
        </w:rPr>
        <w:t xml:space="preserve">ER stress activates the adaptive unfolded protein response (UPR) and promotes the molecular chaperone protein </w:t>
      </w:r>
      <w:r w:rsidRPr="00ED06D9">
        <w:rPr>
          <w:rFonts w:ascii="Book Antiqua" w:hAnsi="Book Antiqua" w:cs="Book Antiqua"/>
          <w:sz w:val="24"/>
        </w:rPr>
        <w:t>glucose-regulated protein</w:t>
      </w:r>
      <w:r w:rsidRPr="00ED06D9">
        <w:rPr>
          <w:rFonts w:ascii="Book Antiqua" w:hAnsi="Book Antiqua" w:cs="Book Antiqua"/>
          <w:kern w:val="0"/>
          <w:sz w:val="24"/>
        </w:rPr>
        <w:t xml:space="preserve"> 78 (GRP78) dissociation</w:t>
      </w:r>
      <w:r w:rsidRPr="00ED06D9">
        <w:rPr>
          <w:rFonts w:ascii="Book Antiqua" w:hAnsi="Book Antiqua" w:cs="Book Antiqua"/>
          <w:kern w:val="0"/>
          <w:sz w:val="24"/>
          <w:vertAlign w:val="superscript"/>
        </w:rPr>
        <w:t>[13]</w:t>
      </w:r>
      <w:r w:rsidRPr="00ED06D9">
        <w:rPr>
          <w:rFonts w:ascii="Book Antiqua" w:hAnsi="Book Antiqua" w:cs="Book Antiqua"/>
          <w:kern w:val="0"/>
          <w:sz w:val="24"/>
        </w:rPr>
        <w:t>.</w:t>
      </w:r>
      <w:r w:rsidRPr="00ED06D9">
        <w:rPr>
          <w:rFonts w:ascii="Book Antiqua" w:hAnsi="Book Antiqua" w:cs="Book Antiqua"/>
          <w:sz w:val="24"/>
        </w:rPr>
        <w:t xml:space="preserve"> </w:t>
      </w:r>
      <w:r w:rsidRPr="00ED06D9">
        <w:rPr>
          <w:rFonts w:ascii="Book Antiqua" w:hAnsi="Book Antiqua" w:cs="Book Antiqua"/>
          <w:kern w:val="0"/>
          <w:sz w:val="24"/>
        </w:rPr>
        <w:t xml:space="preserve">ER stress or UPR transducers contain three transmembrane proteins: PKR-like ER protein kinase (PERK), activating transcription factor 6 (ATF6), and inositol-requiring enzyme 1 alpha (IRE1α). </w:t>
      </w:r>
      <w:r w:rsidRPr="00ED06D9">
        <w:rPr>
          <w:rFonts w:ascii="Book Antiqua" w:hAnsi="Book Antiqua" w:cs="Book Antiqua"/>
          <w:sz w:val="24"/>
        </w:rPr>
        <w:t>When the ER stress response is started, the signaling proteins PERK, ATF6, and IRE1α are activated and dissociate from GRP78, thereby activating the UPR. Apoptosis occurs by increasing the activity of the proapoptotic transcription factor C/EBP homologous protein [CCAAT/enhancer binding protein homologous transcription factors (CHOP)] under prolonged ER stress, which rapidly increases through activation of the above-mentioned signaling proteins. Various injury factors activate the ER stress response, leading to liver fibrosis, atherosclerosis, ischemic heart disease, and myocardial injury</w:t>
      </w:r>
      <w:r w:rsidRPr="00ED06D9">
        <w:rPr>
          <w:rFonts w:ascii="Book Antiqua" w:hAnsi="Book Antiqua" w:cs="Book Antiqua"/>
          <w:sz w:val="24"/>
          <w:vertAlign w:val="superscript"/>
        </w:rPr>
        <w:t>[12,14,15]</w:t>
      </w:r>
      <w:r w:rsidRPr="00ED06D9">
        <w:rPr>
          <w:rFonts w:ascii="Book Antiqua" w:hAnsi="Book Antiqua" w:cs="Book Antiqua"/>
          <w:sz w:val="24"/>
        </w:rPr>
        <w:t>. Therefore, the search for drugs that effectively inhibit the ER stress response is of great significance for the treatment of liver diseases.</w:t>
      </w:r>
    </w:p>
    <w:p w:rsidR="00AC2DF5" w:rsidRPr="00ED06D9" w:rsidRDefault="00AC2DF5">
      <w:pPr>
        <w:autoSpaceDE w:val="0"/>
        <w:autoSpaceDN w:val="0"/>
        <w:adjustRightInd w:val="0"/>
        <w:snapToGrid w:val="0"/>
        <w:spacing w:line="360" w:lineRule="auto"/>
        <w:ind w:firstLineChars="100" w:firstLine="240"/>
        <w:rPr>
          <w:rFonts w:ascii="Book Antiqua" w:hAnsi="Book Antiqua" w:cs="Book Antiqua"/>
          <w:sz w:val="24"/>
        </w:rPr>
      </w:pPr>
      <w:r w:rsidRPr="00ED06D9">
        <w:rPr>
          <w:rFonts w:ascii="Book Antiqua" w:hAnsi="Book Antiqua" w:cs="Book Antiqua"/>
          <w:sz w:val="24"/>
        </w:rPr>
        <w:t>Extensive studies have confirmed that increased expression of cyclooxygenase-2 (COX-2) is related to the progression of fibrosis</w:t>
      </w:r>
      <w:r w:rsidRPr="00ED06D9">
        <w:rPr>
          <w:rFonts w:ascii="Book Antiqua" w:hAnsi="Book Antiqua" w:cs="Book Antiqua"/>
          <w:sz w:val="24"/>
          <w:vertAlign w:val="superscript"/>
        </w:rPr>
        <w:t>[16]</w:t>
      </w:r>
      <w:r w:rsidRPr="00ED06D9">
        <w:rPr>
          <w:rFonts w:ascii="Book Antiqua" w:hAnsi="Book Antiqua" w:cs="Book Antiqua"/>
          <w:sz w:val="24"/>
        </w:rPr>
        <w:t>. Therefore, we hypothesized that COX-2 plays an important role in the formation of liver fibrosis, and selective COX-2 inhibitors may have antifibrotic effects</w:t>
      </w:r>
      <w:r w:rsidRPr="00ED06D9">
        <w:rPr>
          <w:rFonts w:ascii="Book Antiqua" w:hAnsi="Book Antiqua" w:cs="Book Antiqua"/>
          <w:sz w:val="24"/>
          <w:vertAlign w:val="superscript"/>
        </w:rPr>
        <w:t>[17]</w:t>
      </w:r>
      <w:r w:rsidRPr="00ED06D9">
        <w:rPr>
          <w:rFonts w:ascii="Book Antiqua" w:hAnsi="Book Antiqua" w:cs="Book Antiqua"/>
          <w:sz w:val="24"/>
        </w:rPr>
        <w:t>. Our previous studies have shown that inhibition of COX-2 alleviates liver fibrosis and portal hypertension</w:t>
      </w:r>
      <w:r w:rsidRPr="00ED06D9">
        <w:rPr>
          <w:rFonts w:ascii="Book Antiqua" w:hAnsi="Book Antiqua" w:cs="Book Antiqua"/>
          <w:sz w:val="24"/>
          <w:vertAlign w:val="superscript"/>
        </w:rPr>
        <w:t>[18]</w:t>
      </w:r>
      <w:r w:rsidRPr="00ED06D9">
        <w:rPr>
          <w:rFonts w:ascii="Book Antiqua" w:hAnsi="Book Antiqua" w:cs="Book Antiqua"/>
          <w:sz w:val="24"/>
        </w:rPr>
        <w:t>. However, the mechanism by which inhibition of COX-2 alleviates liver fibrosis is still unclear. Celecoxib is a common selective COX-2 inhibitor, and due to its safety and effectiveness, it is currently widely used in the treatment of rheumatism and osteoarthritis</w:t>
      </w:r>
      <w:r w:rsidRPr="00ED06D9">
        <w:rPr>
          <w:rFonts w:ascii="Book Antiqua" w:hAnsi="Book Antiqua" w:cs="Book Antiqua"/>
          <w:sz w:val="24"/>
          <w:vertAlign w:val="superscript"/>
        </w:rPr>
        <w:t>[7]</w:t>
      </w:r>
      <w:r w:rsidRPr="00ED06D9">
        <w:rPr>
          <w:rFonts w:ascii="Book Antiqua" w:hAnsi="Book Antiqua" w:cs="Book Antiqua"/>
          <w:sz w:val="24"/>
        </w:rPr>
        <w:t xml:space="preserve">. Moreover, celecoxib has a pro-apoptotic </w:t>
      </w:r>
      <w:r w:rsidRPr="00ED06D9">
        <w:rPr>
          <w:rFonts w:ascii="Book Antiqua" w:hAnsi="Book Antiqua" w:cs="Book Antiqua"/>
          <w:sz w:val="24"/>
        </w:rPr>
        <w:lastRenderedPageBreak/>
        <w:t>effect on HSCs, the mechanism of which is to inactivate Akt in response to bile duct ligation and thioacetamide (TAA)</w:t>
      </w:r>
      <w:r w:rsidRPr="00ED06D9">
        <w:rPr>
          <w:rFonts w:ascii="Book Antiqua" w:hAnsi="Book Antiqua" w:cs="Book Antiqua"/>
          <w:sz w:val="24"/>
          <w:vertAlign w:val="superscript"/>
        </w:rPr>
        <w:t>[19,20]</w:t>
      </w:r>
      <w:r w:rsidRPr="00ED06D9">
        <w:rPr>
          <w:rFonts w:ascii="Book Antiqua" w:hAnsi="Book Antiqua" w:cs="Book Antiqua"/>
          <w:sz w:val="24"/>
        </w:rPr>
        <w:t>. Our previous study showed that long-term use of celecoxib effectively improves portal hypertension in a rat model of TAA-induced cirrhosis because it has dual inhibitory effects on intrahepatic angiogenesis and fibrosis</w:t>
      </w:r>
      <w:r w:rsidRPr="00ED06D9">
        <w:rPr>
          <w:rFonts w:ascii="Book Antiqua" w:hAnsi="Book Antiqua" w:cs="Book Antiqua"/>
          <w:sz w:val="24"/>
          <w:vertAlign w:val="superscript"/>
        </w:rPr>
        <w:t>[18]</w:t>
      </w:r>
      <w:r w:rsidRPr="00ED06D9">
        <w:rPr>
          <w:rFonts w:ascii="Book Antiqua" w:hAnsi="Book Antiqua" w:cs="Book Antiqua"/>
          <w:sz w:val="24"/>
        </w:rPr>
        <w:t>. In the present study, we explored the effects of celecoxib in reducing liver fibrosis by inhibiting the expression of biomarkers in the ER stress signaling pathway and reducing hepatic apoptosis in a rat model of TAA-induced cirrhosis.</w:t>
      </w:r>
    </w:p>
    <w:p w:rsidR="00AC2DF5" w:rsidRPr="00ED06D9" w:rsidRDefault="00AC2DF5">
      <w:pPr>
        <w:widowControl/>
        <w:adjustRightInd w:val="0"/>
        <w:snapToGrid w:val="0"/>
        <w:spacing w:line="360" w:lineRule="auto"/>
        <w:rPr>
          <w:rFonts w:ascii="Book Antiqua" w:hAnsi="Book Antiqua" w:cs="Book Antiqua"/>
          <w:sz w:val="24"/>
        </w:rPr>
      </w:pPr>
    </w:p>
    <w:p w:rsidR="00AC2DF5" w:rsidRPr="00ED06D9" w:rsidRDefault="00AC2DF5">
      <w:pPr>
        <w:adjustRightInd w:val="0"/>
        <w:snapToGrid w:val="0"/>
        <w:spacing w:line="360" w:lineRule="auto"/>
        <w:rPr>
          <w:rFonts w:ascii="Book Antiqua" w:hAnsi="Book Antiqua" w:cs="等线"/>
          <w:b/>
          <w:sz w:val="24"/>
          <w:u w:val="single"/>
        </w:rPr>
      </w:pPr>
      <w:bookmarkStart w:id="15" w:name="_Hlk19461621"/>
      <w:r w:rsidRPr="00ED06D9">
        <w:rPr>
          <w:rFonts w:ascii="Book Antiqua" w:hAnsi="Book Antiqua" w:cs="等线"/>
          <w:b/>
          <w:sz w:val="24"/>
          <w:u w:val="single"/>
        </w:rPr>
        <w:t>MATERIALS AND METHODS</w:t>
      </w:r>
    </w:p>
    <w:p w:rsidR="00AC2DF5" w:rsidRPr="00ED06D9" w:rsidRDefault="00AC2DF5">
      <w:pPr>
        <w:widowControl/>
        <w:adjustRightInd w:val="0"/>
        <w:snapToGrid w:val="0"/>
        <w:spacing w:line="360" w:lineRule="auto"/>
        <w:rPr>
          <w:rFonts w:ascii="Book Antiqua" w:hAnsi="Book Antiqua" w:cs="Book Antiqua"/>
          <w:sz w:val="24"/>
        </w:rPr>
      </w:pPr>
      <w:r w:rsidRPr="00ED06D9">
        <w:rPr>
          <w:rFonts w:ascii="Book Antiqua" w:eastAsia="Book Antiqua" w:hAnsi="Book Antiqua" w:cs="Book Antiqua"/>
          <w:b/>
          <w:i/>
          <w:kern w:val="0"/>
          <w:sz w:val="24"/>
          <w:lang w:bidi="ar"/>
        </w:rPr>
        <w:t>Animals</w:t>
      </w:r>
    </w:p>
    <w:p w:rsidR="00AC2DF5" w:rsidRPr="00ED06D9" w:rsidRDefault="00AC2DF5">
      <w:pPr>
        <w:adjustRightInd w:val="0"/>
        <w:snapToGrid w:val="0"/>
        <w:spacing w:line="360" w:lineRule="auto"/>
        <w:rPr>
          <w:rFonts w:ascii="Book Antiqua" w:hAnsi="Book Antiqua" w:cs="Book Antiqua"/>
          <w:sz w:val="24"/>
        </w:rPr>
      </w:pPr>
      <w:r w:rsidRPr="00ED06D9">
        <w:rPr>
          <w:rFonts w:ascii="Book Antiqua" w:hAnsi="Book Antiqua" w:cs="Book Antiqua"/>
          <w:sz w:val="24"/>
        </w:rPr>
        <w:t>Sprague–Dawley rats were prov</w:t>
      </w:r>
      <w:r w:rsidR="00FB195A" w:rsidRPr="00ED06D9">
        <w:rPr>
          <w:rFonts w:ascii="Book Antiqua" w:hAnsi="Book Antiqua" w:cs="Book Antiqua"/>
          <w:sz w:val="24"/>
        </w:rPr>
        <w:t>id</w:t>
      </w:r>
      <w:r w:rsidRPr="00ED06D9">
        <w:rPr>
          <w:rFonts w:ascii="Book Antiqua" w:hAnsi="Book Antiqua" w:cs="Book Antiqua"/>
          <w:sz w:val="24"/>
        </w:rPr>
        <w:t>ed by the Experimental Animal Center of Sichuan University, which were reared under conditions of constant temperature and humidity with a 12-h light-dark cycle. Animal experiments were approved by the Animal Use and Nursing Committee of Sichuan University and conducted according to regulations formulated by Sichuan University.</w:t>
      </w:r>
    </w:p>
    <w:p w:rsidR="00AC2DF5" w:rsidRPr="00ED06D9" w:rsidRDefault="00AC2DF5">
      <w:pPr>
        <w:widowControl/>
        <w:adjustRightInd w:val="0"/>
        <w:snapToGrid w:val="0"/>
        <w:spacing w:line="360" w:lineRule="auto"/>
        <w:rPr>
          <w:rFonts w:ascii="Book Antiqua" w:eastAsia="Book Antiqua" w:hAnsi="Book Antiqua" w:cs="Book Antiqua"/>
          <w:b/>
          <w:i/>
          <w:kern w:val="0"/>
          <w:sz w:val="24"/>
          <w:lang w:bidi="ar"/>
        </w:rPr>
      </w:pPr>
    </w:p>
    <w:p w:rsidR="00AC2DF5" w:rsidRPr="00ED06D9" w:rsidRDefault="00AC2DF5">
      <w:pPr>
        <w:widowControl/>
        <w:adjustRightInd w:val="0"/>
        <w:snapToGrid w:val="0"/>
        <w:spacing w:line="360" w:lineRule="auto"/>
        <w:rPr>
          <w:rFonts w:ascii="Book Antiqua" w:eastAsia="Book Antiqua" w:hAnsi="Book Antiqua" w:cs="Book Antiqua"/>
          <w:b/>
          <w:i/>
          <w:kern w:val="0"/>
          <w:sz w:val="24"/>
          <w:lang w:bidi="ar"/>
        </w:rPr>
      </w:pPr>
      <w:r w:rsidRPr="00ED06D9">
        <w:rPr>
          <w:rFonts w:ascii="Book Antiqua" w:eastAsia="Book Antiqua" w:hAnsi="Book Antiqua" w:cs="Book Antiqua"/>
          <w:b/>
          <w:i/>
          <w:kern w:val="0"/>
          <w:sz w:val="24"/>
          <w:lang w:bidi="ar"/>
        </w:rPr>
        <w:t xml:space="preserve">Treatments </w:t>
      </w:r>
    </w:p>
    <w:p w:rsidR="00AC2DF5" w:rsidRPr="00ED06D9" w:rsidRDefault="00AC2DF5">
      <w:pPr>
        <w:adjustRightInd w:val="0"/>
        <w:snapToGrid w:val="0"/>
        <w:spacing w:line="360" w:lineRule="auto"/>
        <w:rPr>
          <w:rFonts w:ascii="Book Antiqua" w:hAnsi="Book Antiqua" w:cs="Book Antiqua"/>
          <w:sz w:val="24"/>
        </w:rPr>
      </w:pPr>
      <w:r w:rsidRPr="00ED06D9">
        <w:rPr>
          <w:rFonts w:ascii="Book Antiqua" w:hAnsi="Book Antiqua" w:cs="Book Antiqua"/>
          <w:sz w:val="24"/>
        </w:rPr>
        <w:t xml:space="preserve">TAA (Sigma Chemical Company, St. Louis, Missouri, United States) was used to induce cirrhosis. The dose was 200 mg/kg per 3 d for 16 wk by intraperitoneal injection (i.p). Thirty-six male Sprague-Dawley rats weighing 180-230 g were randomly divided into three groups: Control, TAA, and TAA + celecoxib groups (12 rats per group). The administration of TAA + celecoxib (20 mg/kg per day, Pfizer, New York, NY, United States) began with TAA administration. The TAA group was injected with TAA + placebo, and the control group was injected with normal saline (1 mL, i.p., every 3 d). One week after the last treatment, all rats were anesthetized to avoid acute toxic effects. After the rats were sacrificed, the liver was cut into two parts. </w:t>
      </w:r>
      <w:r w:rsidR="00FB195A" w:rsidRPr="00ED06D9">
        <w:rPr>
          <w:rFonts w:ascii="Book Antiqua" w:hAnsi="Book Antiqua" w:cs="Book Antiqua"/>
          <w:sz w:val="24"/>
        </w:rPr>
        <w:t>One</w:t>
      </w:r>
      <w:r w:rsidRPr="00ED06D9">
        <w:rPr>
          <w:rFonts w:ascii="Book Antiqua" w:hAnsi="Book Antiqua" w:cs="Book Antiqua"/>
          <w:sz w:val="24"/>
        </w:rPr>
        <w:t xml:space="preserve"> part was fixed in 4% neutral buffered paraformaldehyde for histopathological and immunohistochemical analysis, and the other part was frozen at -80 °C </w:t>
      </w:r>
      <w:r w:rsidRPr="00ED06D9">
        <w:rPr>
          <w:rFonts w:ascii="Book Antiqua" w:hAnsi="Book Antiqua" w:cs="Book Antiqua"/>
          <w:sz w:val="24"/>
        </w:rPr>
        <w:lastRenderedPageBreak/>
        <w:t>for further analysis. Serum samples were also collected and frozen at -80 °C for further analysis.</w:t>
      </w:r>
    </w:p>
    <w:p w:rsidR="00AC2DF5" w:rsidRPr="00ED06D9" w:rsidRDefault="00AC2DF5">
      <w:pPr>
        <w:adjustRightInd w:val="0"/>
        <w:snapToGrid w:val="0"/>
        <w:spacing w:line="360" w:lineRule="auto"/>
        <w:rPr>
          <w:rFonts w:ascii="Book Antiqua" w:hAnsi="Book Antiqua" w:cs="Book Antiqua"/>
          <w:sz w:val="24"/>
        </w:rPr>
      </w:pPr>
    </w:p>
    <w:p w:rsidR="00AC2DF5" w:rsidRPr="00ED06D9" w:rsidRDefault="00AC2DF5">
      <w:pPr>
        <w:widowControl/>
        <w:adjustRightInd w:val="0"/>
        <w:snapToGrid w:val="0"/>
        <w:spacing w:line="360" w:lineRule="auto"/>
        <w:rPr>
          <w:rFonts w:ascii="Book Antiqua" w:eastAsia="Book Antiqua" w:hAnsi="Book Antiqua" w:cs="Book Antiqua"/>
          <w:b/>
          <w:i/>
          <w:kern w:val="0"/>
          <w:sz w:val="24"/>
          <w:lang w:bidi="ar"/>
        </w:rPr>
      </w:pPr>
      <w:r w:rsidRPr="00ED06D9">
        <w:rPr>
          <w:rFonts w:ascii="Book Antiqua" w:eastAsia="Book Antiqua" w:hAnsi="Book Antiqua" w:cs="Book Antiqua"/>
          <w:b/>
          <w:i/>
          <w:kern w:val="0"/>
          <w:sz w:val="24"/>
          <w:lang w:bidi="ar"/>
        </w:rPr>
        <w:t>Morphological study</w:t>
      </w:r>
    </w:p>
    <w:p w:rsidR="00AC2DF5" w:rsidRPr="00ED06D9" w:rsidRDefault="00AC2DF5">
      <w:pPr>
        <w:adjustRightInd w:val="0"/>
        <w:snapToGrid w:val="0"/>
        <w:spacing w:line="360" w:lineRule="auto"/>
        <w:rPr>
          <w:rFonts w:ascii="Book Antiqua" w:hAnsi="Book Antiqua" w:cs="Book Antiqua"/>
          <w:sz w:val="24"/>
        </w:rPr>
      </w:pPr>
      <w:r w:rsidRPr="00ED06D9">
        <w:rPr>
          <w:rFonts w:ascii="Book Antiqua" w:hAnsi="Book Antiqua" w:cs="Book Antiqua"/>
          <w:sz w:val="24"/>
        </w:rPr>
        <w:t>The general morphology of the liver at the time of sacrifice was observed, and the degree of cirrhosis was evaluated. The liver tissue was embedded in paraffin, sectioned (3 μm thick), and stained with hematoxylin-eosin (HE) for histological evaluation and with Sirius red for assessment of collagen deposition. The Ishak scoring system was used to randomly evaluate the fibrosis degree in three randomly selected fields (100 × magnification) per section. Liver tissue for transmission electron microscopy (TEM; H-600IV, Hitachi, Tokyo, Japan) was processed according to standard methods for observing morphological changes.</w:t>
      </w:r>
    </w:p>
    <w:p w:rsidR="00AC2DF5" w:rsidRPr="00ED06D9" w:rsidRDefault="00AC2DF5">
      <w:pPr>
        <w:widowControl/>
        <w:adjustRightInd w:val="0"/>
        <w:snapToGrid w:val="0"/>
        <w:spacing w:line="360" w:lineRule="auto"/>
        <w:rPr>
          <w:rFonts w:ascii="Book Antiqua" w:eastAsia="Book Antiqua" w:hAnsi="Book Antiqua" w:cs="Book Antiqua"/>
          <w:b/>
          <w:i/>
          <w:kern w:val="0"/>
          <w:sz w:val="24"/>
          <w:lang w:bidi="ar"/>
        </w:rPr>
      </w:pPr>
    </w:p>
    <w:p w:rsidR="00AC2DF5" w:rsidRPr="00ED06D9" w:rsidRDefault="00AC2DF5">
      <w:pPr>
        <w:widowControl/>
        <w:adjustRightInd w:val="0"/>
        <w:snapToGrid w:val="0"/>
        <w:spacing w:line="360" w:lineRule="auto"/>
        <w:rPr>
          <w:rFonts w:ascii="Book Antiqua" w:eastAsia="Book Antiqua" w:hAnsi="Book Antiqua" w:cs="Book Antiqua"/>
          <w:b/>
          <w:i/>
          <w:kern w:val="0"/>
          <w:sz w:val="24"/>
          <w:lang w:bidi="ar"/>
        </w:rPr>
      </w:pPr>
      <w:r w:rsidRPr="00ED06D9">
        <w:rPr>
          <w:rFonts w:ascii="Book Antiqua" w:eastAsia="Book Antiqua" w:hAnsi="Book Antiqua" w:cs="Book Antiqua"/>
          <w:b/>
          <w:i/>
          <w:kern w:val="0"/>
          <w:sz w:val="24"/>
          <w:lang w:bidi="ar"/>
        </w:rPr>
        <w:t>Immunohistochemical study</w:t>
      </w:r>
    </w:p>
    <w:p w:rsidR="00AC2DF5" w:rsidRPr="00ED06D9" w:rsidRDefault="00AC2DF5">
      <w:pPr>
        <w:adjustRightInd w:val="0"/>
        <w:snapToGrid w:val="0"/>
        <w:spacing w:line="360" w:lineRule="auto"/>
        <w:rPr>
          <w:rFonts w:ascii="Book Antiqua" w:hAnsi="Book Antiqua" w:cs="Book Antiqua"/>
          <w:sz w:val="24"/>
        </w:rPr>
      </w:pPr>
      <w:r w:rsidRPr="00ED06D9">
        <w:rPr>
          <w:rFonts w:ascii="Book Antiqua" w:hAnsi="Book Antiqua" w:cs="Book Antiqua"/>
          <w:sz w:val="24"/>
        </w:rPr>
        <w:t>Paraffin sections were incubated with 3% H</w:t>
      </w:r>
      <w:r w:rsidRPr="00ED06D9">
        <w:rPr>
          <w:rFonts w:ascii="Book Antiqua" w:hAnsi="Book Antiqua" w:cs="Book Antiqua"/>
          <w:sz w:val="24"/>
          <w:vertAlign w:val="subscript"/>
        </w:rPr>
        <w:t>2</w:t>
      </w:r>
      <w:r w:rsidRPr="00ED06D9">
        <w:rPr>
          <w:rFonts w:ascii="Book Antiqua" w:hAnsi="Book Antiqua" w:cs="Book Antiqua"/>
          <w:sz w:val="24"/>
        </w:rPr>
        <w:t>O</w:t>
      </w:r>
      <w:r w:rsidRPr="00ED06D9">
        <w:rPr>
          <w:rFonts w:ascii="Book Antiqua" w:hAnsi="Book Antiqua" w:cs="Book Antiqua"/>
          <w:sz w:val="24"/>
          <w:vertAlign w:val="subscript"/>
        </w:rPr>
        <w:t>2</w:t>
      </w:r>
      <w:r w:rsidRPr="00ED06D9">
        <w:rPr>
          <w:rFonts w:ascii="Book Antiqua" w:hAnsi="Book Antiqua" w:cs="Book Antiqua"/>
          <w:sz w:val="24"/>
        </w:rPr>
        <w:t xml:space="preserve"> at 37 °C for 10 min. After blocking for 20 min at room temperature, the sections were incubated overnight with primary antibody at 4 °C, followed by incubation with a secondary antibody for 30 min at 37 °C. Finally, a signal detection system (ZSGB-BIO) with diaminobenzidine</w:t>
      </w:r>
      <w:r w:rsidR="00FB195A" w:rsidRPr="00ED06D9">
        <w:rPr>
          <w:rFonts w:ascii="Book Antiqua" w:hAnsi="Book Antiqua" w:cs="Book Antiqua"/>
          <w:sz w:val="24"/>
        </w:rPr>
        <w:t xml:space="preserve"> </w:t>
      </w:r>
      <w:r w:rsidRPr="00ED06D9">
        <w:rPr>
          <w:rFonts w:ascii="Book Antiqua" w:hAnsi="Book Antiqua" w:cs="Book Antiqua"/>
          <w:sz w:val="24"/>
        </w:rPr>
        <w:t xml:space="preserve">was used </w:t>
      </w:r>
      <w:r w:rsidR="00FB195A" w:rsidRPr="00ED06D9">
        <w:rPr>
          <w:rFonts w:ascii="Book Antiqua" w:hAnsi="Book Antiqua" w:cs="Book Antiqua"/>
          <w:sz w:val="24"/>
        </w:rPr>
        <w:t xml:space="preserve">as the substrate </w:t>
      </w:r>
      <w:r w:rsidRPr="00ED06D9">
        <w:rPr>
          <w:rFonts w:ascii="Book Antiqua" w:hAnsi="Book Antiqua" w:cs="Book Antiqua"/>
          <w:sz w:val="24"/>
        </w:rPr>
        <w:t>for coloration, with brown staining indicating positive staining. Five fields were randomly selected from each group, with six rats in each group. Antibodies to GRP78, CHOP, ATF6, ATF4, PERK, IRE1, and X-box binding protein-1 (XBP1) were purchased from Santa Cruz Biotechnology (CA, US) and Proteintech Group, Inc. (Wuhan, China). The secondary antibodies were purchased from Santa Cruz Biotechnology.</w:t>
      </w:r>
    </w:p>
    <w:p w:rsidR="00AC2DF5" w:rsidRPr="00ED06D9" w:rsidRDefault="00AC2DF5">
      <w:pPr>
        <w:widowControl/>
        <w:adjustRightInd w:val="0"/>
        <w:snapToGrid w:val="0"/>
        <w:spacing w:line="360" w:lineRule="auto"/>
        <w:rPr>
          <w:rFonts w:ascii="Book Antiqua" w:eastAsia="Book Antiqua" w:hAnsi="Book Antiqua" w:cs="Book Antiqua"/>
          <w:b/>
          <w:i/>
          <w:kern w:val="0"/>
          <w:sz w:val="24"/>
          <w:lang w:bidi="ar"/>
        </w:rPr>
      </w:pPr>
    </w:p>
    <w:p w:rsidR="00AC2DF5" w:rsidRPr="00ED06D9" w:rsidRDefault="00AC2DF5">
      <w:pPr>
        <w:widowControl/>
        <w:adjustRightInd w:val="0"/>
        <w:snapToGrid w:val="0"/>
        <w:spacing w:line="360" w:lineRule="auto"/>
        <w:rPr>
          <w:rFonts w:ascii="Book Antiqua" w:eastAsia="Book Antiqua" w:hAnsi="Book Antiqua" w:cs="Book Antiqua"/>
          <w:b/>
          <w:i/>
          <w:kern w:val="0"/>
          <w:sz w:val="24"/>
          <w:lang w:bidi="ar"/>
        </w:rPr>
      </w:pPr>
      <w:r w:rsidRPr="00ED06D9">
        <w:rPr>
          <w:rFonts w:ascii="Book Antiqua" w:eastAsia="Book Antiqua" w:hAnsi="Book Antiqua" w:cs="Book Antiqua"/>
          <w:b/>
          <w:i/>
          <w:kern w:val="0"/>
          <w:sz w:val="24"/>
          <w:lang w:bidi="ar"/>
        </w:rPr>
        <w:t>Serum biochemistry for liver and renal function parameters</w:t>
      </w:r>
    </w:p>
    <w:p w:rsidR="00AC2DF5" w:rsidRPr="00ED06D9" w:rsidRDefault="00AC2DF5">
      <w:pPr>
        <w:adjustRightInd w:val="0"/>
        <w:snapToGrid w:val="0"/>
        <w:spacing w:line="360" w:lineRule="auto"/>
        <w:rPr>
          <w:rFonts w:ascii="Book Antiqua" w:hAnsi="Book Antiqua" w:cs="Book Antiqua"/>
          <w:sz w:val="24"/>
        </w:rPr>
      </w:pPr>
      <w:r w:rsidRPr="00ED06D9">
        <w:rPr>
          <w:rFonts w:ascii="Book Antiqua" w:hAnsi="Book Antiqua" w:cs="Book Antiqua"/>
          <w:sz w:val="24"/>
        </w:rPr>
        <w:t xml:space="preserve">The Olympus AU2700 analyzer (Olympus, Hamburg, Germany) was used to detect serum aspartate aminotransferase (AST), alanine aminotransferase (ALT), albumin, creatinine, and bilirubin levels according to the </w:t>
      </w:r>
      <w:r w:rsidRPr="00ED06D9">
        <w:rPr>
          <w:rFonts w:ascii="Book Antiqua" w:hAnsi="Book Antiqua" w:cs="Book Antiqua"/>
          <w:sz w:val="24"/>
        </w:rPr>
        <w:lastRenderedPageBreak/>
        <w:t>recommendations of the International Federation of Clinical Chemistry.</w:t>
      </w:r>
    </w:p>
    <w:p w:rsidR="00AC2DF5" w:rsidRPr="00ED06D9" w:rsidRDefault="00AC2DF5">
      <w:pPr>
        <w:widowControl/>
        <w:adjustRightInd w:val="0"/>
        <w:snapToGrid w:val="0"/>
        <w:spacing w:line="360" w:lineRule="auto"/>
        <w:rPr>
          <w:rFonts w:ascii="Book Antiqua" w:eastAsia="Book Antiqua" w:hAnsi="Book Antiqua" w:cs="Book Antiqua"/>
          <w:b/>
          <w:i/>
          <w:kern w:val="0"/>
          <w:sz w:val="24"/>
          <w:lang w:bidi="ar"/>
        </w:rPr>
      </w:pPr>
    </w:p>
    <w:p w:rsidR="00AC2DF5" w:rsidRPr="00ED06D9" w:rsidRDefault="00AC2DF5">
      <w:pPr>
        <w:widowControl/>
        <w:adjustRightInd w:val="0"/>
        <w:snapToGrid w:val="0"/>
        <w:spacing w:line="360" w:lineRule="auto"/>
        <w:rPr>
          <w:rFonts w:ascii="Book Antiqua" w:eastAsia="Book Antiqua" w:hAnsi="Book Antiqua" w:cs="Book Antiqua"/>
          <w:b/>
          <w:i/>
          <w:kern w:val="0"/>
          <w:sz w:val="24"/>
          <w:lang w:bidi="ar"/>
        </w:rPr>
      </w:pPr>
      <w:r w:rsidRPr="00ED06D9">
        <w:rPr>
          <w:rFonts w:ascii="Book Antiqua" w:eastAsia="Book Antiqua" w:hAnsi="Book Antiqua" w:cs="Book Antiqua"/>
          <w:b/>
          <w:i/>
          <w:kern w:val="0"/>
          <w:sz w:val="24"/>
          <w:lang w:bidi="ar"/>
        </w:rPr>
        <w:t>Hydroxyproline detection</w:t>
      </w:r>
    </w:p>
    <w:p w:rsidR="00AC2DF5" w:rsidRPr="00ED06D9" w:rsidRDefault="00AC2DF5">
      <w:pPr>
        <w:adjustRightInd w:val="0"/>
        <w:snapToGrid w:val="0"/>
        <w:spacing w:line="360" w:lineRule="auto"/>
        <w:rPr>
          <w:rFonts w:ascii="Book Antiqua" w:hAnsi="Book Antiqua" w:cs="Book Antiqua"/>
          <w:sz w:val="24"/>
        </w:rPr>
      </w:pPr>
      <w:r w:rsidRPr="00ED06D9">
        <w:rPr>
          <w:rFonts w:ascii="Book Antiqua" w:hAnsi="Book Antiqua" w:cs="Book Antiqua"/>
          <w:sz w:val="24"/>
        </w:rPr>
        <w:t>Hydroxyproline is the main component of collagen, and the content of which is an important indicator of the degree of collagen metabolism and fibrosis. In this study, the modified classical acid decomposition method was used to calculate the hydroxyproline content, and the specific steps were carried out according to the kit instructions.</w:t>
      </w:r>
    </w:p>
    <w:p w:rsidR="00AC2DF5" w:rsidRPr="00ED06D9" w:rsidRDefault="00AC2DF5">
      <w:pPr>
        <w:widowControl/>
        <w:adjustRightInd w:val="0"/>
        <w:snapToGrid w:val="0"/>
        <w:spacing w:line="360" w:lineRule="auto"/>
        <w:rPr>
          <w:rFonts w:ascii="Book Antiqua" w:eastAsia="Book Antiqua" w:hAnsi="Book Antiqua" w:cs="Book Antiqua"/>
          <w:b/>
          <w:i/>
          <w:kern w:val="0"/>
          <w:sz w:val="24"/>
          <w:lang w:bidi="ar"/>
        </w:rPr>
      </w:pPr>
    </w:p>
    <w:p w:rsidR="00AC2DF5" w:rsidRPr="00ED06D9" w:rsidRDefault="00AC2DF5">
      <w:pPr>
        <w:widowControl/>
        <w:adjustRightInd w:val="0"/>
        <w:snapToGrid w:val="0"/>
        <w:spacing w:line="360" w:lineRule="auto"/>
        <w:rPr>
          <w:rFonts w:ascii="Book Antiqua" w:eastAsia="Book Antiqua" w:hAnsi="Book Antiqua" w:cs="Book Antiqua"/>
          <w:b/>
          <w:i/>
          <w:kern w:val="0"/>
          <w:sz w:val="24"/>
          <w:lang w:bidi="ar"/>
        </w:rPr>
      </w:pPr>
      <w:r w:rsidRPr="00ED06D9">
        <w:rPr>
          <w:rFonts w:ascii="Book Antiqua" w:eastAsia="Book Antiqua" w:hAnsi="Book Antiqua" w:cs="Book Antiqua"/>
          <w:b/>
          <w:i/>
          <w:kern w:val="0"/>
          <w:sz w:val="24"/>
          <w:lang w:bidi="ar"/>
        </w:rPr>
        <w:t>Western blot analysis of liver protein expression</w:t>
      </w:r>
    </w:p>
    <w:p w:rsidR="00AC2DF5" w:rsidRPr="00ED06D9" w:rsidRDefault="00AC2DF5">
      <w:pPr>
        <w:adjustRightInd w:val="0"/>
        <w:snapToGrid w:val="0"/>
        <w:spacing w:line="360" w:lineRule="auto"/>
        <w:rPr>
          <w:rFonts w:ascii="Book Antiqua" w:hAnsi="Book Antiqua" w:cs="Book Antiqua"/>
          <w:sz w:val="24"/>
        </w:rPr>
      </w:pPr>
      <w:r w:rsidRPr="00ED06D9">
        <w:rPr>
          <w:rFonts w:ascii="Book Antiqua" w:hAnsi="Book Antiqua" w:cs="Book Antiqua"/>
          <w:sz w:val="24"/>
        </w:rPr>
        <w:t>The frozen liver tissue was homogenized in ice-cold RIPA buffer (Biosharp, Guangzhou, China) to prepare total protein extracts. Equal amounts (50 μg) of protein in each container were separated by 10% or 12% SDS-PAGE, and then transferred to PVDF membranes (Millipore, Billerica, MA, United States), followed by incubation with 2.5% skimmed milk powder in TBST Block (20 mmol/L Tris-HCl pH 7.5, 150 mmol/L NaCl and 0.1% Tween-20). Using glyceraldehyde 3-phosphate dehydrogenase as an internal reference, the expression of immunoreactive protein was detected using an ECL detection kit (Beyotime).</w:t>
      </w:r>
    </w:p>
    <w:p w:rsidR="00AC2DF5" w:rsidRPr="00ED06D9" w:rsidRDefault="00AC2DF5">
      <w:pPr>
        <w:widowControl/>
        <w:adjustRightInd w:val="0"/>
        <w:snapToGrid w:val="0"/>
        <w:spacing w:line="360" w:lineRule="auto"/>
        <w:rPr>
          <w:rFonts w:ascii="Book Antiqua" w:eastAsia="Book Antiqua" w:hAnsi="Book Antiqua" w:cs="Book Antiqua"/>
          <w:b/>
          <w:i/>
          <w:kern w:val="0"/>
          <w:sz w:val="24"/>
          <w:lang w:bidi="ar"/>
        </w:rPr>
      </w:pPr>
    </w:p>
    <w:p w:rsidR="00AC2DF5" w:rsidRPr="00ED06D9" w:rsidRDefault="00AC2DF5">
      <w:pPr>
        <w:widowControl/>
        <w:adjustRightInd w:val="0"/>
        <w:snapToGrid w:val="0"/>
        <w:spacing w:line="360" w:lineRule="auto"/>
        <w:rPr>
          <w:rFonts w:ascii="Book Antiqua" w:eastAsia="Book Antiqua" w:hAnsi="Book Antiqua" w:cs="Book Antiqua"/>
          <w:b/>
          <w:i/>
          <w:kern w:val="0"/>
          <w:sz w:val="24"/>
          <w:lang w:bidi="ar"/>
        </w:rPr>
      </w:pPr>
      <w:r w:rsidRPr="00ED06D9">
        <w:rPr>
          <w:rFonts w:ascii="Book Antiqua" w:eastAsia="Book Antiqua" w:hAnsi="Book Antiqua" w:cs="Book Antiqua"/>
          <w:b/>
          <w:i/>
          <w:kern w:val="0"/>
          <w:sz w:val="24"/>
          <w:lang w:bidi="ar"/>
        </w:rPr>
        <w:t>Confirmation at the cellular level</w:t>
      </w:r>
    </w:p>
    <w:p w:rsidR="00AC2DF5" w:rsidRPr="00ED06D9" w:rsidRDefault="00AC2DF5">
      <w:pPr>
        <w:adjustRightInd w:val="0"/>
        <w:snapToGrid w:val="0"/>
        <w:spacing w:line="360" w:lineRule="auto"/>
        <w:rPr>
          <w:rFonts w:ascii="Book Antiqua" w:hAnsi="Book Antiqua" w:cs="Book Antiqua"/>
          <w:sz w:val="24"/>
        </w:rPr>
      </w:pPr>
      <w:r w:rsidRPr="00ED06D9">
        <w:rPr>
          <w:rFonts w:ascii="Book Antiqua" w:hAnsi="Book Antiqua" w:cs="Book Antiqua"/>
          <w:sz w:val="24"/>
        </w:rPr>
        <w:t>The hepatocyte cell line LO</w:t>
      </w:r>
      <w:r w:rsidRPr="00ED06D9">
        <w:rPr>
          <w:rFonts w:ascii="Book Antiqua" w:hAnsi="Book Antiqua" w:cs="Book Antiqua"/>
          <w:b/>
          <w:kern w:val="0"/>
          <w:sz w:val="24"/>
          <w:vertAlign w:val="subscript"/>
          <w:lang w:bidi="ar"/>
        </w:rPr>
        <w:t>2</w:t>
      </w:r>
      <w:r w:rsidRPr="00ED06D9">
        <w:rPr>
          <w:rFonts w:ascii="Book Antiqua" w:hAnsi="Book Antiqua" w:cs="Book Antiqua"/>
          <w:sz w:val="24"/>
        </w:rPr>
        <w:t xml:space="preserve"> was cultured, and the COX–2 plasmid and vacuolar plasmid (control) were added after the cells were attached to the wall. After 24 h of transfection, tunicamycin (Tu) and thapsigargin (TG) were separately added to induce the occurrence of ER stress, followed by determination of ER stress channel–associated proteins (GRP78, XBP1, ATF4, ATF6, PERK, and IRE1), thereby inferring the relationship between COX–2 and ER stress. Meanwhile, the expression of ER stress pathway–associated proteins was detected as well after intervention with celecoxib.</w:t>
      </w:r>
    </w:p>
    <w:p w:rsidR="00AC2DF5" w:rsidRPr="00ED06D9" w:rsidRDefault="00AC2DF5">
      <w:pPr>
        <w:widowControl/>
        <w:adjustRightInd w:val="0"/>
        <w:snapToGrid w:val="0"/>
        <w:spacing w:line="360" w:lineRule="auto"/>
        <w:rPr>
          <w:rFonts w:ascii="Book Antiqua" w:eastAsia="Book Antiqua" w:hAnsi="Book Antiqua" w:cs="Book Antiqua"/>
          <w:b/>
          <w:i/>
          <w:kern w:val="0"/>
          <w:sz w:val="24"/>
          <w:lang w:bidi="ar"/>
        </w:rPr>
      </w:pPr>
    </w:p>
    <w:p w:rsidR="00AC2DF5" w:rsidRPr="00ED06D9" w:rsidRDefault="00AC2DF5">
      <w:pPr>
        <w:widowControl/>
        <w:adjustRightInd w:val="0"/>
        <w:snapToGrid w:val="0"/>
        <w:spacing w:line="360" w:lineRule="auto"/>
        <w:rPr>
          <w:rFonts w:ascii="Book Antiqua" w:eastAsia="Book Antiqua" w:hAnsi="Book Antiqua" w:cs="Book Antiqua"/>
          <w:b/>
          <w:i/>
          <w:kern w:val="0"/>
          <w:sz w:val="24"/>
          <w:lang w:bidi="ar"/>
        </w:rPr>
      </w:pPr>
      <w:r w:rsidRPr="00ED06D9">
        <w:rPr>
          <w:rFonts w:ascii="Book Antiqua" w:eastAsia="Book Antiqua" w:hAnsi="Book Antiqua" w:cs="Book Antiqua"/>
          <w:b/>
          <w:i/>
          <w:kern w:val="0"/>
          <w:sz w:val="24"/>
          <w:lang w:bidi="ar"/>
        </w:rPr>
        <w:t>Statistical analysis</w:t>
      </w:r>
    </w:p>
    <w:p w:rsidR="00AC2DF5" w:rsidRPr="00ED06D9" w:rsidRDefault="00AC2DF5">
      <w:pPr>
        <w:adjustRightInd w:val="0"/>
        <w:snapToGrid w:val="0"/>
        <w:spacing w:line="360" w:lineRule="auto"/>
        <w:rPr>
          <w:rFonts w:ascii="Book Antiqua" w:hAnsi="Book Antiqua" w:cs="Book Antiqua"/>
          <w:sz w:val="24"/>
        </w:rPr>
      </w:pPr>
      <w:r w:rsidRPr="00ED06D9">
        <w:rPr>
          <w:rFonts w:ascii="Book Antiqua" w:hAnsi="Book Antiqua" w:cs="Book Antiqua"/>
          <w:sz w:val="24"/>
        </w:rPr>
        <w:lastRenderedPageBreak/>
        <w:t xml:space="preserve">All results are expressed as the mean ± SD and analyzed with SPSS 20.0 software (SPSS, Chicago, IL, United States). One–way ANOVA was applied for comparisons among three or more groups. The Student-Newman-Keuls test was used to compare the difference between two groups. A </w:t>
      </w:r>
      <w:r w:rsidRPr="00ED06D9">
        <w:rPr>
          <w:rFonts w:ascii="Book Antiqua" w:hAnsi="Book Antiqua" w:cs="Book Antiqua"/>
          <w:i/>
          <w:iCs/>
          <w:sz w:val="24"/>
        </w:rPr>
        <w:t>P-</w:t>
      </w:r>
      <w:r w:rsidRPr="00ED06D9">
        <w:rPr>
          <w:rFonts w:ascii="Book Antiqua" w:hAnsi="Book Antiqua" w:cs="Book Antiqua"/>
          <w:sz w:val="24"/>
        </w:rPr>
        <w:t>value &lt; 0.05 was considered significant.</w:t>
      </w:r>
    </w:p>
    <w:p w:rsidR="00AC2DF5" w:rsidRPr="00ED06D9" w:rsidRDefault="00AC2DF5">
      <w:pPr>
        <w:widowControl/>
        <w:adjustRightInd w:val="0"/>
        <w:snapToGrid w:val="0"/>
        <w:spacing w:line="360" w:lineRule="auto"/>
        <w:rPr>
          <w:rFonts w:ascii="Book Antiqua" w:hAnsi="Book Antiqua" w:cs="Book Antiqua"/>
          <w:b/>
          <w:kern w:val="0"/>
          <w:sz w:val="24"/>
          <w:lang w:bidi="ar"/>
        </w:rPr>
      </w:pPr>
    </w:p>
    <w:p w:rsidR="00AC2DF5" w:rsidRPr="00ED06D9" w:rsidRDefault="00AC2DF5">
      <w:pPr>
        <w:adjustRightInd w:val="0"/>
        <w:snapToGrid w:val="0"/>
        <w:spacing w:line="360" w:lineRule="auto"/>
        <w:rPr>
          <w:rFonts w:ascii="Book Antiqua" w:hAnsi="Book Antiqua"/>
          <w:b/>
          <w:sz w:val="24"/>
          <w:u w:val="single"/>
        </w:rPr>
      </w:pPr>
      <w:r w:rsidRPr="00ED06D9">
        <w:rPr>
          <w:rFonts w:ascii="Book Antiqua" w:hAnsi="Book Antiqua"/>
          <w:b/>
          <w:sz w:val="24"/>
          <w:u w:val="single"/>
        </w:rPr>
        <w:t>RESULTS</w:t>
      </w:r>
    </w:p>
    <w:p w:rsidR="00AC2DF5" w:rsidRPr="00ED06D9" w:rsidRDefault="00AC2DF5">
      <w:pPr>
        <w:widowControl/>
        <w:adjustRightInd w:val="0"/>
        <w:snapToGrid w:val="0"/>
        <w:spacing w:line="360" w:lineRule="auto"/>
        <w:rPr>
          <w:rFonts w:ascii="Book Antiqua" w:eastAsia="Book Antiqua" w:hAnsi="Book Antiqua" w:cs="Book Antiqua"/>
          <w:b/>
          <w:i/>
          <w:kern w:val="0"/>
          <w:sz w:val="24"/>
          <w:lang w:bidi="ar"/>
        </w:rPr>
      </w:pPr>
      <w:r w:rsidRPr="00ED06D9">
        <w:rPr>
          <w:rFonts w:ascii="Book Antiqua" w:eastAsia="Book Antiqua" w:hAnsi="Book Antiqua" w:cs="Book Antiqua"/>
          <w:b/>
          <w:i/>
          <w:kern w:val="0"/>
          <w:sz w:val="24"/>
          <w:lang w:bidi="ar"/>
        </w:rPr>
        <w:t>Celecoxib reduces hepatocyte damage and inhibits liver fibrosis</w:t>
      </w:r>
    </w:p>
    <w:bookmarkEnd w:id="15"/>
    <w:p w:rsidR="00AC2DF5" w:rsidRPr="00ED06D9" w:rsidRDefault="00AC2DF5">
      <w:pPr>
        <w:adjustRightInd w:val="0"/>
        <w:snapToGrid w:val="0"/>
        <w:spacing w:line="360" w:lineRule="auto"/>
        <w:rPr>
          <w:rFonts w:ascii="Book Antiqua" w:hAnsi="Book Antiqua" w:cs="Book Antiqua"/>
          <w:sz w:val="24"/>
        </w:rPr>
      </w:pPr>
      <w:r w:rsidRPr="00ED06D9">
        <w:rPr>
          <w:rFonts w:ascii="Book Antiqua" w:hAnsi="Book Antiqua" w:cs="Book Antiqua"/>
          <w:sz w:val="24"/>
        </w:rPr>
        <w:t xml:space="preserve">The effect of TAA on liver damage was evaluated by measuring the serum levels of AST and ALT. As shown in Figure 1A, the serum concentrations of AST and ALT in the TAA group were significantly increased compared with those in the control group, while the levels of both AST and ALT in the TAA group were higher than those in the TAA + celecoxib group, indicating that celecoxib significantly attenuated TAA-induced hepatocyte injury. In addition, the increased hydroxyproline concentration in the TAA group was significantly decreased in the TAA + celecoxib group. Severe pathological changes, such as structural rearrangement of hepatic lobules and formation of bridging fibrosis around cells, were shown by HE staining in the liver tissue of the TAA group, while these changes were significantly </w:t>
      </w:r>
      <w:r w:rsidR="00FB195A" w:rsidRPr="00ED06D9">
        <w:rPr>
          <w:rFonts w:ascii="Book Antiqua" w:hAnsi="Book Antiqua" w:cs="Book Antiqua"/>
          <w:sz w:val="24"/>
        </w:rPr>
        <w:t xml:space="preserve">reduced </w:t>
      </w:r>
      <w:r w:rsidRPr="00ED06D9">
        <w:rPr>
          <w:rFonts w:ascii="Book Antiqua" w:hAnsi="Book Antiqua" w:cs="Book Antiqua"/>
          <w:sz w:val="24"/>
        </w:rPr>
        <w:t>in the TAA + celecoxib group. This result was also evidenced by damage to or the death of hepatocytes (Figure 1).</w:t>
      </w:r>
    </w:p>
    <w:p w:rsidR="00AC2DF5" w:rsidRPr="00ED06D9" w:rsidRDefault="00AC2DF5">
      <w:pPr>
        <w:adjustRightInd w:val="0"/>
        <w:snapToGrid w:val="0"/>
        <w:spacing w:line="360" w:lineRule="auto"/>
        <w:ind w:firstLineChars="100" w:firstLine="240"/>
        <w:rPr>
          <w:rFonts w:ascii="Book Antiqua" w:hAnsi="Book Antiqua" w:cs="Book Antiqua"/>
          <w:sz w:val="24"/>
        </w:rPr>
      </w:pPr>
      <w:r w:rsidRPr="00ED06D9">
        <w:rPr>
          <w:rFonts w:ascii="Book Antiqua" w:hAnsi="Book Antiqua" w:cs="Book Antiqua"/>
          <w:sz w:val="24"/>
        </w:rPr>
        <w:t>Liver sections of both the TAA group and TAA + celecoxib group showed a significant increase in collagen around the extracellular space, especially in the portal vein</w:t>
      </w:r>
      <w:r w:rsidRPr="00ED06D9">
        <w:rPr>
          <w:rFonts w:ascii="Book Antiqua" w:hAnsi="Book Antiqua" w:cs="Book Antiqua"/>
          <w:sz w:val="24"/>
          <w:vertAlign w:val="superscript"/>
        </w:rPr>
        <w:t>[18]</w:t>
      </w:r>
      <w:r w:rsidRPr="00ED06D9">
        <w:rPr>
          <w:rFonts w:ascii="Book Antiqua" w:hAnsi="Book Antiqua" w:cs="Book Antiqua"/>
          <w:sz w:val="24"/>
        </w:rPr>
        <w:t>. However, compared with the TAA group, the collagen concentration in the TAA + celecoxib group was significantly reduced (Figure 1B)</w:t>
      </w:r>
    </w:p>
    <w:p w:rsidR="00AC2DF5" w:rsidRPr="00ED06D9" w:rsidRDefault="00AC2DF5">
      <w:pPr>
        <w:adjustRightInd w:val="0"/>
        <w:snapToGrid w:val="0"/>
        <w:spacing w:line="360" w:lineRule="auto"/>
        <w:rPr>
          <w:rFonts w:ascii="Book Antiqua" w:hAnsi="Book Antiqua" w:cs="Book Antiqua"/>
          <w:sz w:val="24"/>
        </w:rPr>
      </w:pPr>
    </w:p>
    <w:p w:rsidR="00AC2DF5" w:rsidRPr="00ED06D9" w:rsidRDefault="00AC2DF5">
      <w:pPr>
        <w:widowControl/>
        <w:adjustRightInd w:val="0"/>
        <w:snapToGrid w:val="0"/>
        <w:spacing w:line="360" w:lineRule="auto"/>
        <w:rPr>
          <w:rFonts w:ascii="Book Antiqua" w:hAnsi="Book Antiqua" w:cs="Book Antiqua"/>
          <w:b/>
          <w:i/>
          <w:kern w:val="0"/>
          <w:sz w:val="24"/>
          <w:lang w:bidi="ar"/>
        </w:rPr>
      </w:pPr>
      <w:r w:rsidRPr="00ED06D9">
        <w:rPr>
          <w:rFonts w:ascii="Book Antiqua" w:eastAsia="Book Antiqua" w:hAnsi="Book Antiqua" w:cs="Book Antiqua"/>
          <w:b/>
          <w:i/>
          <w:kern w:val="0"/>
          <w:sz w:val="24"/>
          <w:lang w:bidi="ar"/>
        </w:rPr>
        <w:t>Celecoxib reduces liver fibrosis and cirrhosis</w:t>
      </w:r>
    </w:p>
    <w:p w:rsidR="00AC2DF5" w:rsidRPr="00ED06D9" w:rsidRDefault="00AC2DF5">
      <w:pPr>
        <w:adjustRightInd w:val="0"/>
        <w:snapToGrid w:val="0"/>
        <w:spacing w:line="360" w:lineRule="auto"/>
        <w:rPr>
          <w:rFonts w:ascii="Book Antiqua" w:hAnsi="Book Antiqua" w:cs="Book Antiqua"/>
          <w:sz w:val="24"/>
        </w:rPr>
      </w:pPr>
      <w:r w:rsidRPr="00ED06D9">
        <w:rPr>
          <w:rFonts w:ascii="Book Antiqua" w:hAnsi="Book Antiqua" w:cs="Book Antiqua"/>
          <w:sz w:val="24"/>
        </w:rPr>
        <w:t xml:space="preserve">Compared with the control group, a large amount of ECM accumulated in the liver of animals in the TAA group, causing structural disruption and destruction, and hepatocytes were lost, forming continuous fibrous septa, </w:t>
      </w:r>
      <w:r w:rsidRPr="00ED06D9">
        <w:rPr>
          <w:rFonts w:ascii="Book Antiqua" w:hAnsi="Book Antiqua" w:cs="Book Antiqua"/>
          <w:sz w:val="24"/>
        </w:rPr>
        <w:lastRenderedPageBreak/>
        <w:t>central venous distortion, and regenerative nodules, although celecoxib treatment reduced the progression of liver fibrosis significantly. The Ishak score and percentage of fibrotic area in the TAA group were significantly higher than those of the TAA + celecoxib group (</w:t>
      </w:r>
      <w:r w:rsidRPr="00ED06D9">
        <w:rPr>
          <w:rFonts w:ascii="Book Antiqua" w:hAnsi="Book Antiqua" w:cs="Book Antiqua"/>
          <w:i/>
          <w:iCs/>
          <w:sz w:val="24"/>
        </w:rPr>
        <w:t>P</w:t>
      </w:r>
      <w:r w:rsidRPr="00ED06D9">
        <w:rPr>
          <w:rFonts w:ascii="Book Antiqua" w:hAnsi="Book Antiqua" w:cs="Book Antiqua"/>
          <w:sz w:val="24"/>
        </w:rPr>
        <w:t xml:space="preserve"> &lt; 0.05 and </w:t>
      </w:r>
      <w:r w:rsidRPr="00ED06D9">
        <w:rPr>
          <w:rFonts w:ascii="Book Antiqua" w:hAnsi="Book Antiqua" w:cs="Book Antiqua"/>
          <w:i/>
          <w:iCs/>
          <w:sz w:val="24"/>
        </w:rPr>
        <w:t>P</w:t>
      </w:r>
      <w:r w:rsidRPr="00ED06D9">
        <w:rPr>
          <w:rFonts w:ascii="Book Antiqua" w:hAnsi="Book Antiqua" w:cs="Book Antiqua"/>
          <w:sz w:val="24"/>
        </w:rPr>
        <w:t xml:space="preserve"> &lt; 0.01). The liver of animals in the normal control group was soft and red in color, while the liver of animals in the TAA group showed cirrhosis that was characterized by extensive nodular and continuous fibrotic septa. These cirrhotic lesions were significantly relieved after treatment with celecoxib, resulting in a nearly normal liver appearance in the TAA + celecoxib group.</w:t>
      </w:r>
    </w:p>
    <w:p w:rsidR="00AC2DF5" w:rsidRPr="00ED06D9" w:rsidRDefault="00AC2DF5">
      <w:pPr>
        <w:widowControl/>
        <w:adjustRightInd w:val="0"/>
        <w:snapToGrid w:val="0"/>
        <w:spacing w:line="360" w:lineRule="auto"/>
        <w:rPr>
          <w:rFonts w:ascii="Book Antiqua" w:hAnsi="Book Antiqua" w:cs="Book Antiqua"/>
          <w:sz w:val="24"/>
        </w:rPr>
      </w:pPr>
    </w:p>
    <w:p w:rsidR="00AC2DF5" w:rsidRPr="00ED06D9" w:rsidRDefault="00AC2DF5">
      <w:pPr>
        <w:widowControl/>
        <w:adjustRightInd w:val="0"/>
        <w:snapToGrid w:val="0"/>
        <w:spacing w:line="360" w:lineRule="auto"/>
        <w:rPr>
          <w:rFonts w:ascii="Book Antiqua" w:hAnsi="Book Antiqua" w:cs="Book Antiqua"/>
          <w:b/>
          <w:kern w:val="0"/>
          <w:sz w:val="24"/>
          <w:lang w:bidi="ar"/>
        </w:rPr>
      </w:pPr>
      <w:r w:rsidRPr="00ED06D9">
        <w:rPr>
          <w:rFonts w:ascii="Book Antiqua" w:eastAsia="Book Antiqua" w:hAnsi="Book Antiqua" w:cs="Book Antiqua"/>
          <w:b/>
          <w:i/>
          <w:kern w:val="0"/>
          <w:sz w:val="24"/>
          <w:lang w:bidi="ar"/>
        </w:rPr>
        <w:t>Celecoxib inhibits hepatocyte apoptosis by inhibiting caspase-12 and caspase-3 expression</w:t>
      </w:r>
    </w:p>
    <w:p w:rsidR="00AC2DF5" w:rsidRPr="00ED06D9" w:rsidRDefault="00AC2DF5">
      <w:pPr>
        <w:adjustRightInd w:val="0"/>
        <w:snapToGrid w:val="0"/>
        <w:spacing w:line="360" w:lineRule="auto"/>
        <w:rPr>
          <w:rFonts w:ascii="Book Antiqua" w:hAnsi="Book Antiqua" w:cs="Book Antiqua"/>
          <w:sz w:val="24"/>
        </w:rPr>
      </w:pPr>
      <w:r w:rsidRPr="00ED06D9">
        <w:rPr>
          <w:rFonts w:ascii="Book Antiqua" w:hAnsi="Book Antiqua" w:cs="Book Antiqua"/>
          <w:sz w:val="24"/>
        </w:rPr>
        <w:t>As shown in Figure 2A and B, compared with the control group, the protein level of COX-2 was significantly increased in the TAA group, while COX-2 expression was significantly reduced after celecoxib administration. In addition, the collagen III protein level was examined by immunohistochemical staining and Western blot analysis, which showed that the collagen III-positive area was significantly reduced by celecoxib treatment. After TAA treatment, the expression of caspase-12 and caspase-3 increased in liver tissue, while it decreased significantly in the TAA + celecoxib group. These results indicated that celecoxib inhibits hepatocyte apoptosis by inhibiting the expression of caspase-12 and caspase-3 in fibrotic liver tissue and further suppresses the progression of liver fibrosis.</w:t>
      </w:r>
    </w:p>
    <w:p w:rsidR="00AC2DF5" w:rsidRPr="00ED06D9" w:rsidRDefault="00AC2DF5" w:rsidP="00810D1C">
      <w:pPr>
        <w:adjustRightInd w:val="0"/>
        <w:snapToGrid w:val="0"/>
        <w:spacing w:line="360" w:lineRule="auto"/>
        <w:rPr>
          <w:rFonts w:ascii="Book Antiqua" w:hAnsi="Book Antiqua" w:cs="Book Antiqua"/>
          <w:sz w:val="24"/>
        </w:rPr>
      </w:pPr>
      <w:r w:rsidRPr="00ED06D9">
        <w:rPr>
          <w:rFonts w:ascii="Book Antiqua" w:hAnsi="Book Antiqua" w:cs="Book Antiqua"/>
          <w:sz w:val="24"/>
        </w:rPr>
        <w:t xml:space="preserve">TEM analysis of liver sections showed severe damage to the mitochondria and ER in the TAA group, and the ER was swollen. In addition, broken ER and turbulent internal structures were observed in damaged hepatocytes (Figure 3A). After treatment with celecoxib, the mitochondria and ER of hepatocytes were protected, and the structure and morphology of the ER in hepatocytes were intact (Figure 3A). In addition, the marker proteins of ER stress were further examined by Western blot analysis, which showed that the expression levels of GRP78 and CHOP in the TAA group were obviously </w:t>
      </w:r>
      <w:r w:rsidRPr="00ED06D9">
        <w:rPr>
          <w:rFonts w:ascii="Book Antiqua" w:hAnsi="Book Antiqua" w:cs="Book Antiqua"/>
          <w:sz w:val="24"/>
        </w:rPr>
        <w:lastRenderedPageBreak/>
        <w:t>increased (Figure 3B), while their expression levels were obviously decreased after treatment with celecoxib. Collectively, these findings suggest that celecoxib inhibits ER stress in hepatocytes and further inhibits liver fibrosis by inhibiting the expression of GRP78 and CHOP.</w:t>
      </w:r>
    </w:p>
    <w:p w:rsidR="00AC2DF5" w:rsidRPr="00ED06D9" w:rsidRDefault="00AC2DF5">
      <w:pPr>
        <w:adjustRightInd w:val="0"/>
        <w:snapToGrid w:val="0"/>
        <w:spacing w:line="360" w:lineRule="auto"/>
        <w:rPr>
          <w:rFonts w:ascii="Book Antiqua" w:eastAsia="Book Antiqua" w:hAnsi="Book Antiqua" w:cs="Book Antiqua"/>
          <w:b/>
          <w:i/>
          <w:kern w:val="0"/>
          <w:sz w:val="24"/>
          <w:lang w:bidi="ar"/>
        </w:rPr>
      </w:pPr>
    </w:p>
    <w:p w:rsidR="00AC2DF5" w:rsidRPr="00ED06D9" w:rsidRDefault="00AC2DF5">
      <w:pPr>
        <w:adjustRightInd w:val="0"/>
        <w:snapToGrid w:val="0"/>
        <w:spacing w:line="360" w:lineRule="auto"/>
        <w:rPr>
          <w:rFonts w:ascii="Book Antiqua" w:eastAsia="Book Antiqua" w:hAnsi="Book Antiqua" w:cs="Book Antiqua"/>
          <w:b/>
          <w:i/>
          <w:kern w:val="0"/>
          <w:sz w:val="24"/>
          <w:lang w:bidi="ar"/>
        </w:rPr>
      </w:pPr>
      <w:r w:rsidRPr="00ED06D9">
        <w:rPr>
          <w:rFonts w:ascii="Book Antiqua" w:eastAsia="Book Antiqua" w:hAnsi="Book Antiqua" w:cs="Book Antiqua"/>
          <w:b/>
          <w:i/>
          <w:kern w:val="0"/>
          <w:sz w:val="24"/>
          <w:lang w:bidi="ar"/>
        </w:rPr>
        <w:t>Celecoxib attenuates hepatocyte apoptosis by inhibiting the expression of UPR-related pathway proteins</w:t>
      </w:r>
    </w:p>
    <w:p w:rsidR="00AC2DF5" w:rsidRPr="00ED06D9" w:rsidRDefault="00AC2DF5">
      <w:pPr>
        <w:adjustRightInd w:val="0"/>
        <w:snapToGrid w:val="0"/>
        <w:spacing w:line="360" w:lineRule="auto"/>
        <w:rPr>
          <w:rFonts w:ascii="Book Antiqua" w:hAnsi="Book Antiqua" w:cs="Book Antiqua"/>
          <w:sz w:val="24"/>
        </w:rPr>
      </w:pPr>
      <w:r w:rsidRPr="00ED06D9">
        <w:rPr>
          <w:rFonts w:ascii="Book Antiqua" w:hAnsi="Book Antiqua" w:cs="Book Antiqua"/>
          <w:sz w:val="24"/>
        </w:rPr>
        <w:t>ER stress seems to exert its effects by activating the UPR signaling pathway. Therefore, the expression of UPR-related pathway proteins PERK, XBP1, ATF4, IRE1 and ATF6 was detected. The results showed that the expression levels of PERK, XBP1, ATF4, IRE1, and ATF6 were significantly increased in the TAA group than in the control group (Figure 4). After celecoxib treatment, the expression levels of these proteins were significantly reduced (Figure 4), suggesting that celecoxib inhibits hepatocyte apoptosis by inhibiting the expression of UPR-related pathway proteins in liver tissue.</w:t>
      </w:r>
    </w:p>
    <w:p w:rsidR="00AC2DF5" w:rsidRPr="00ED06D9" w:rsidRDefault="00CA37E9">
      <w:pPr>
        <w:adjustRightInd w:val="0"/>
        <w:snapToGrid w:val="0"/>
        <w:spacing w:line="360" w:lineRule="auto"/>
        <w:rPr>
          <w:rFonts w:ascii="Book Antiqua" w:hAnsi="Book Antiqua" w:cs="Book Antiqua"/>
          <w:sz w:val="24"/>
        </w:rPr>
      </w:pPr>
      <w:r>
        <w:rPr>
          <w:rFonts w:ascii="Book Antiqua" w:hAnsi="Book Antiqua" w:cs="Book Antiqua"/>
          <w:noProof/>
          <w:sz w:val="24"/>
        </w:rPr>
        <w:drawing>
          <wp:anchor distT="0" distB="0" distL="114300" distR="114300" simplePos="0" relativeHeight="251657728" behindDoc="0" locked="0" layoutInCell="1" allowOverlap="1">
            <wp:simplePos x="0" y="0"/>
            <wp:positionH relativeFrom="column">
              <wp:posOffset>6599555</wp:posOffset>
            </wp:positionH>
            <wp:positionV relativeFrom="paragraph">
              <wp:posOffset>-2542540</wp:posOffset>
            </wp:positionV>
            <wp:extent cx="1260475" cy="901065"/>
            <wp:effectExtent l="0" t="0" r="0" b="0"/>
            <wp:wrapNone/>
            <wp:docPr id="6" name="图片 93" descr="XBP1组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XBP1组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0475" cy="901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DF5" w:rsidRPr="00ED06D9" w:rsidRDefault="00AC2DF5">
      <w:pPr>
        <w:widowControl/>
        <w:adjustRightInd w:val="0"/>
        <w:snapToGrid w:val="0"/>
        <w:spacing w:line="360" w:lineRule="auto"/>
        <w:rPr>
          <w:rFonts w:ascii="Book Antiqua" w:eastAsia="Book Antiqua" w:hAnsi="Book Antiqua" w:cs="Book Antiqua"/>
          <w:b/>
          <w:i/>
          <w:kern w:val="0"/>
          <w:sz w:val="24"/>
          <w:lang w:bidi="ar"/>
        </w:rPr>
      </w:pPr>
      <w:r w:rsidRPr="00ED06D9">
        <w:rPr>
          <w:rFonts w:ascii="Book Antiqua" w:eastAsia="Book Antiqua" w:hAnsi="Book Antiqua" w:cs="Book Antiqua"/>
          <w:b/>
          <w:i/>
          <w:kern w:val="0"/>
          <w:sz w:val="24"/>
          <w:lang w:bidi="ar"/>
        </w:rPr>
        <w:t>Celecoxib inhibits ER stress in normal hepatocytes (LO</w:t>
      </w:r>
      <w:r w:rsidRPr="00ED06D9">
        <w:rPr>
          <w:rFonts w:ascii="Book Antiqua" w:eastAsia="Book Antiqua" w:hAnsi="Book Antiqua" w:cs="Book Antiqua"/>
          <w:b/>
          <w:i/>
          <w:kern w:val="0"/>
          <w:sz w:val="24"/>
          <w:vertAlign w:val="subscript"/>
          <w:lang w:bidi="ar"/>
        </w:rPr>
        <w:t>2</w:t>
      </w:r>
      <w:r w:rsidRPr="00ED06D9">
        <w:rPr>
          <w:rFonts w:ascii="Book Antiqua" w:eastAsia="Book Antiqua" w:hAnsi="Book Antiqua" w:cs="Book Antiqua"/>
          <w:b/>
          <w:i/>
          <w:kern w:val="0"/>
          <w:sz w:val="24"/>
          <w:lang w:bidi="ar"/>
        </w:rPr>
        <w:t>) by regulating the expression of biomarkers in the ER stress signaling pathway</w:t>
      </w:r>
    </w:p>
    <w:p w:rsidR="00AC2DF5" w:rsidRPr="00ED06D9" w:rsidRDefault="00AC2DF5">
      <w:pPr>
        <w:adjustRightInd w:val="0"/>
        <w:snapToGrid w:val="0"/>
        <w:spacing w:line="360" w:lineRule="auto"/>
        <w:rPr>
          <w:rFonts w:ascii="Book Antiqua" w:hAnsi="Book Antiqua" w:cs="Book Antiqua"/>
          <w:sz w:val="24"/>
        </w:rPr>
      </w:pPr>
      <w:r w:rsidRPr="00ED06D9">
        <w:rPr>
          <w:rFonts w:ascii="Book Antiqua" w:hAnsi="Book Antiqua" w:cs="Book Antiqua"/>
          <w:sz w:val="24"/>
        </w:rPr>
        <w:t xml:space="preserve">Liver fibrosis is a chronic inflammatory process with significantly increased expression of COX-2. Celecoxib, a selective COX-2 inhibitor, significantly attenuates liver fibrosis. However, it is worth exploring whether celecoxib plays a therapeutic role by influencing ER stress-related signaling pathways at the cellular level. To verify the correlation between COX-2 and ER stress, we transfected a COX-2 expressing plasmid into a cell model and added the ER stress inducers chlamycin and carotene to induce ER stress. The results showed that the ER stress level and the expression of proteins of related signaling pathways were obviously increased in the COX-2-pIRES2 group compared with those of the DMSO group and Empty-pIRES2 group (Figure 5A). After celecoxib treatment, the expression of GRP78 was significantly decreased in the Tu + celecoxib and TG + celecoxib groups (Figure 5B). In addition, celecoxib significantly decreased the expression of ATF6, PERK, and </w:t>
      </w:r>
      <w:r w:rsidRPr="00ED06D9">
        <w:rPr>
          <w:rFonts w:ascii="Book Antiqua" w:hAnsi="Book Antiqua" w:cs="Book Antiqua"/>
          <w:sz w:val="24"/>
        </w:rPr>
        <w:lastRenderedPageBreak/>
        <w:t>IRE1, but did not affect the expression of ATF4 in the Tu + celecoxib and TG + celecoxib groups, which strongly suggested that celecoxib may have a significant effect on the expression of biomarkers in the ER stress signaling pathway.</w:t>
      </w:r>
    </w:p>
    <w:p w:rsidR="00AC2DF5" w:rsidRPr="00ED06D9" w:rsidRDefault="00AC2DF5">
      <w:pPr>
        <w:adjustRightInd w:val="0"/>
        <w:snapToGrid w:val="0"/>
        <w:spacing w:line="360" w:lineRule="auto"/>
        <w:rPr>
          <w:rFonts w:ascii="Book Antiqua" w:eastAsia="Book Antiqua" w:hAnsi="Book Antiqua" w:cs="Book Antiqua"/>
          <w:b/>
          <w:kern w:val="0"/>
          <w:sz w:val="24"/>
          <w:lang w:bidi="ar"/>
        </w:rPr>
      </w:pPr>
    </w:p>
    <w:p w:rsidR="00AC2DF5" w:rsidRPr="00ED06D9" w:rsidRDefault="00AC2DF5">
      <w:pPr>
        <w:adjustRightInd w:val="0"/>
        <w:snapToGrid w:val="0"/>
        <w:spacing w:line="360" w:lineRule="auto"/>
        <w:rPr>
          <w:rFonts w:ascii="Book Antiqua" w:hAnsi="Book Antiqua" w:cs="等线"/>
          <w:b/>
          <w:sz w:val="24"/>
          <w:u w:val="single"/>
        </w:rPr>
      </w:pPr>
      <w:r w:rsidRPr="00ED06D9">
        <w:rPr>
          <w:rFonts w:ascii="Book Antiqua" w:hAnsi="Book Antiqua"/>
          <w:b/>
          <w:sz w:val="24"/>
          <w:u w:val="single"/>
        </w:rPr>
        <w:t>DISCUSSION</w:t>
      </w:r>
    </w:p>
    <w:p w:rsidR="00AC2DF5" w:rsidRPr="00ED06D9" w:rsidRDefault="00AC2DF5">
      <w:pPr>
        <w:widowControl/>
        <w:adjustRightInd w:val="0"/>
        <w:snapToGrid w:val="0"/>
        <w:spacing w:line="360" w:lineRule="auto"/>
        <w:rPr>
          <w:rFonts w:ascii="Book Antiqua" w:hAnsi="Book Antiqua" w:cs="Book Antiqua"/>
          <w:bCs/>
          <w:kern w:val="0"/>
          <w:sz w:val="24"/>
          <w:lang w:bidi="ar"/>
        </w:rPr>
      </w:pPr>
      <w:r w:rsidRPr="00ED06D9">
        <w:rPr>
          <w:rFonts w:ascii="Book Antiqua" w:hAnsi="Book Antiqua" w:cs="Book Antiqua"/>
          <w:bCs/>
          <w:kern w:val="0"/>
          <w:sz w:val="24"/>
          <w:lang w:bidi="ar"/>
        </w:rPr>
        <w:t xml:space="preserve">Several potential therapies have been proposed in the study of the mechanism of fibrogenesis using </w:t>
      </w:r>
      <w:r w:rsidRPr="00ED06D9">
        <w:rPr>
          <w:rFonts w:ascii="Book Antiqua" w:hAnsi="Book Antiqua" w:cs="Book Antiqua"/>
          <w:bCs/>
          <w:i/>
          <w:kern w:val="0"/>
          <w:sz w:val="24"/>
          <w:lang w:bidi="ar"/>
        </w:rPr>
        <w:t>in vitro</w:t>
      </w:r>
      <w:r w:rsidRPr="00ED06D9">
        <w:rPr>
          <w:rFonts w:ascii="Book Antiqua" w:hAnsi="Book Antiqua" w:cs="Book Antiqua"/>
          <w:bCs/>
          <w:kern w:val="0"/>
          <w:sz w:val="24"/>
          <w:lang w:bidi="ar"/>
        </w:rPr>
        <w:t xml:space="preserve"> and </w:t>
      </w:r>
      <w:r w:rsidRPr="00ED06D9">
        <w:rPr>
          <w:rFonts w:ascii="Book Antiqua" w:hAnsi="Book Antiqua" w:cs="Book Antiqua"/>
          <w:bCs/>
          <w:i/>
          <w:iCs/>
          <w:kern w:val="0"/>
          <w:sz w:val="24"/>
          <w:lang w:bidi="ar"/>
        </w:rPr>
        <w:t>in vivo</w:t>
      </w:r>
      <w:r w:rsidRPr="00ED06D9">
        <w:rPr>
          <w:rFonts w:ascii="Book Antiqua" w:hAnsi="Book Antiqua" w:cs="Book Antiqua"/>
          <w:bCs/>
          <w:kern w:val="0"/>
          <w:sz w:val="24"/>
          <w:lang w:bidi="ar"/>
        </w:rPr>
        <w:t xml:space="preserve"> models</w:t>
      </w:r>
      <w:r w:rsidRPr="00ED06D9">
        <w:rPr>
          <w:rFonts w:ascii="Book Antiqua" w:hAnsi="Book Antiqua" w:cs="Book Antiqua"/>
          <w:bCs/>
          <w:kern w:val="0"/>
          <w:sz w:val="24"/>
          <w:vertAlign w:val="superscript"/>
          <w:lang w:bidi="ar"/>
        </w:rPr>
        <w:t>[13,21,22]</w:t>
      </w:r>
      <w:r w:rsidRPr="00ED06D9">
        <w:rPr>
          <w:rFonts w:ascii="Book Antiqua" w:hAnsi="Book Antiqua" w:cs="Book Antiqua"/>
          <w:bCs/>
          <w:kern w:val="0"/>
          <w:sz w:val="24"/>
          <w:lang w:bidi="ar"/>
        </w:rPr>
        <w:t>. Although treatments for underlying disease processes have been shown to be effective in reversing or reducing fibrosis, such as viral infections; however, no effective antifibrotic drugs have been found for humans</w:t>
      </w:r>
      <w:r w:rsidRPr="00ED06D9">
        <w:rPr>
          <w:rFonts w:ascii="Book Antiqua" w:hAnsi="Book Antiqua" w:cs="Book Antiqua"/>
          <w:bCs/>
          <w:kern w:val="0"/>
          <w:sz w:val="24"/>
          <w:vertAlign w:val="superscript"/>
          <w:lang w:bidi="ar"/>
        </w:rPr>
        <w:t>[23]</w:t>
      </w:r>
      <w:r w:rsidRPr="00ED06D9">
        <w:rPr>
          <w:rFonts w:ascii="Book Antiqua" w:hAnsi="Book Antiqua" w:cs="Book Antiqua"/>
          <w:bCs/>
          <w:kern w:val="0"/>
          <w:sz w:val="24"/>
          <w:lang w:bidi="ar"/>
        </w:rPr>
        <w:t xml:space="preserve">. </w:t>
      </w:r>
    </w:p>
    <w:p w:rsidR="00AC2DF5" w:rsidRPr="00ED06D9" w:rsidRDefault="00AC2DF5">
      <w:pPr>
        <w:widowControl/>
        <w:adjustRightInd w:val="0"/>
        <w:snapToGrid w:val="0"/>
        <w:spacing w:line="360" w:lineRule="auto"/>
        <w:ind w:firstLineChars="100" w:firstLine="240"/>
        <w:rPr>
          <w:rFonts w:ascii="Book Antiqua" w:hAnsi="Book Antiqua" w:cs="Book Antiqua"/>
          <w:bCs/>
          <w:kern w:val="0"/>
          <w:sz w:val="24"/>
          <w:lang w:bidi="ar"/>
        </w:rPr>
      </w:pPr>
      <w:r w:rsidRPr="00ED06D9">
        <w:rPr>
          <w:rFonts w:ascii="Book Antiqua" w:hAnsi="Book Antiqua" w:cs="Book Antiqua"/>
          <w:bCs/>
          <w:kern w:val="0"/>
          <w:sz w:val="24"/>
          <w:lang w:bidi="ar"/>
        </w:rPr>
        <w:t>Therefore, it is essential to update our understanding of the mechanism of fibrosis and translate these findings to the development of new treatment options. First, animal models, especially rodent models, are still used to determine the target correlation, and an antifibrotic drug with a curative effect is an important tool</w:t>
      </w:r>
      <w:r w:rsidRPr="00ED06D9">
        <w:rPr>
          <w:rFonts w:ascii="Book Antiqua" w:hAnsi="Book Antiqua" w:cs="Book Antiqua"/>
          <w:bCs/>
          <w:kern w:val="0"/>
          <w:sz w:val="24"/>
          <w:vertAlign w:val="superscript"/>
          <w:lang w:bidi="ar"/>
        </w:rPr>
        <w:t>[24]</w:t>
      </w:r>
      <w:r w:rsidRPr="00ED06D9">
        <w:rPr>
          <w:rFonts w:ascii="Book Antiqua" w:hAnsi="Book Antiqua" w:cs="Book Antiqua"/>
          <w:bCs/>
          <w:kern w:val="0"/>
          <w:sz w:val="24"/>
          <w:lang w:bidi="ar"/>
        </w:rPr>
        <w:t>. The animal models of liver fibrosis induced by chemicals such as carbon tetrachloride have been popular in previous studies</w:t>
      </w:r>
      <w:r w:rsidRPr="00ED06D9">
        <w:rPr>
          <w:rFonts w:ascii="Book Antiqua" w:hAnsi="Book Antiqua" w:cs="Book Antiqua"/>
          <w:bCs/>
          <w:kern w:val="0"/>
          <w:sz w:val="24"/>
          <w:vertAlign w:val="superscript"/>
          <w:lang w:bidi="ar"/>
        </w:rPr>
        <w:t>[25]</w:t>
      </w:r>
      <w:r w:rsidRPr="00ED06D9">
        <w:rPr>
          <w:rFonts w:ascii="Book Antiqua" w:hAnsi="Book Antiqua" w:cs="Book Antiqua"/>
          <w:bCs/>
          <w:kern w:val="0"/>
          <w:sz w:val="24"/>
          <w:lang w:bidi="ar"/>
        </w:rPr>
        <w:t xml:space="preserve">. However, that model has serious hepatocyte necrosis and is dependent on a large amount of oxidative stress, which has not been found to be so severe in human chronic liver disease. Another chemical, </w:t>
      </w:r>
      <w:r w:rsidRPr="00ED06D9">
        <w:rPr>
          <w:rFonts w:ascii="Book Antiqua" w:hAnsi="Book Antiqua" w:cs="Book Antiqua"/>
          <w:sz w:val="24"/>
        </w:rPr>
        <w:t xml:space="preserve">TAA, is a hepatotoxin </w:t>
      </w:r>
      <w:r w:rsidRPr="00ED06D9">
        <w:rPr>
          <w:rFonts w:ascii="Book Antiqua" w:hAnsi="Book Antiqua" w:cs="Book Antiqua"/>
          <w:bCs/>
          <w:kern w:val="0"/>
          <w:sz w:val="24"/>
          <w:lang w:bidi="ar"/>
        </w:rPr>
        <w:t>that induces apoptosis of hepatocytes. It has been shown to be helpful in detecting the protective effects of drugs, and the pattern of fibrosis is very similar to that of substantial fibrosis in humans</w:t>
      </w:r>
      <w:r w:rsidRPr="00ED06D9">
        <w:rPr>
          <w:rFonts w:ascii="Book Antiqua" w:hAnsi="Book Antiqua" w:cs="Book Antiqua"/>
          <w:bCs/>
          <w:kern w:val="0"/>
          <w:sz w:val="24"/>
          <w:vertAlign w:val="superscript"/>
          <w:lang w:bidi="ar"/>
        </w:rPr>
        <w:t>[26]</w:t>
      </w:r>
      <w:r w:rsidRPr="00ED06D9">
        <w:rPr>
          <w:rFonts w:ascii="Book Antiqua" w:hAnsi="Book Antiqua" w:cs="Book Antiqua"/>
          <w:bCs/>
          <w:kern w:val="0"/>
          <w:sz w:val="24"/>
          <w:lang w:bidi="ar"/>
        </w:rPr>
        <w:t xml:space="preserve">. </w:t>
      </w:r>
      <w:r w:rsidRPr="00ED06D9">
        <w:rPr>
          <w:rFonts w:ascii="Book Antiqua" w:hAnsi="Book Antiqua" w:cs="Book Antiqua"/>
          <w:sz w:val="24"/>
        </w:rPr>
        <w:t>After 16 wk of intraperitoneal injection of TAA</w:t>
      </w:r>
      <w:r w:rsidRPr="00ED06D9">
        <w:rPr>
          <w:rFonts w:ascii="Book Antiqua" w:hAnsi="Book Antiqua" w:cs="Book Antiqua"/>
          <w:bCs/>
          <w:kern w:val="0"/>
          <w:sz w:val="24"/>
          <w:lang w:bidi="ar"/>
        </w:rPr>
        <w:t>, the liver tissue of SD rats showed obvious inflammatory cell infiltration, disordered hepatocyte structure, hepatocyte degeneration and necrosis, and large amounts of collagen fiber deposition. The degree of liver fibrosis increased significantly, which indicated that the model of liver fibrosis was successfully established in this study. In addition, the expression levels of caspase-3 and caspase-12 in this liver fibrosis model increased significantly, suggesting that hepatocyte apoptosis occurs during liver fibrosis</w:t>
      </w:r>
      <w:r w:rsidRPr="00ED06D9">
        <w:rPr>
          <w:rFonts w:ascii="Book Antiqua" w:hAnsi="Book Antiqua" w:cs="Book Antiqua"/>
          <w:bCs/>
          <w:kern w:val="0"/>
          <w:sz w:val="24"/>
          <w:vertAlign w:val="superscript"/>
          <w:lang w:bidi="ar"/>
        </w:rPr>
        <w:t>[27]</w:t>
      </w:r>
      <w:r w:rsidRPr="00ED06D9">
        <w:rPr>
          <w:rFonts w:ascii="Book Antiqua" w:hAnsi="Book Antiqua" w:cs="Book Antiqua"/>
          <w:bCs/>
          <w:kern w:val="0"/>
          <w:sz w:val="24"/>
          <w:lang w:bidi="ar"/>
        </w:rPr>
        <w:t>.</w:t>
      </w:r>
    </w:p>
    <w:p w:rsidR="00AC2DF5" w:rsidRPr="00ED06D9" w:rsidRDefault="00AC2DF5">
      <w:pPr>
        <w:adjustRightInd w:val="0"/>
        <w:snapToGrid w:val="0"/>
        <w:spacing w:line="360" w:lineRule="auto"/>
        <w:ind w:firstLineChars="100" w:firstLine="240"/>
        <w:rPr>
          <w:rFonts w:ascii="Book Antiqua" w:hAnsi="Book Antiqua" w:cs="Book Antiqua"/>
          <w:sz w:val="24"/>
        </w:rPr>
      </w:pPr>
      <w:r w:rsidRPr="00ED06D9">
        <w:rPr>
          <w:rFonts w:ascii="Book Antiqua" w:hAnsi="Book Antiqua" w:cs="Book Antiqua"/>
          <w:sz w:val="24"/>
        </w:rPr>
        <w:lastRenderedPageBreak/>
        <w:t>The hepatocyte ER is the main place for cells to process proteins and store Ca</w:t>
      </w:r>
      <w:r w:rsidRPr="00ED06D9">
        <w:rPr>
          <w:rFonts w:ascii="Book Antiqua" w:hAnsi="Book Antiqua" w:cs="Book Antiqua"/>
          <w:sz w:val="24"/>
          <w:vertAlign w:val="superscript"/>
        </w:rPr>
        <w:t>2+</w:t>
      </w:r>
      <w:r w:rsidRPr="00ED06D9">
        <w:rPr>
          <w:rFonts w:ascii="Book Antiqua" w:hAnsi="Book Antiqua" w:cs="Book Antiqua"/>
          <w:sz w:val="24"/>
        </w:rPr>
        <w:t xml:space="preserve"> and closely related to substance transport, exchange, and detoxification</w:t>
      </w:r>
      <w:r w:rsidRPr="00ED06D9">
        <w:rPr>
          <w:rFonts w:ascii="Book Antiqua" w:hAnsi="Book Antiqua" w:cs="Book Antiqua"/>
          <w:sz w:val="24"/>
          <w:vertAlign w:val="superscript"/>
        </w:rPr>
        <w:t>[28]</w:t>
      </w:r>
      <w:r w:rsidRPr="00ED06D9">
        <w:rPr>
          <w:rFonts w:ascii="Book Antiqua" w:hAnsi="Book Antiqua" w:cs="Book Antiqua"/>
          <w:sz w:val="24"/>
        </w:rPr>
        <w:t>.</w:t>
      </w:r>
      <w:r w:rsidR="00FB195A" w:rsidRPr="00ED06D9">
        <w:rPr>
          <w:rFonts w:ascii="Book Antiqua" w:hAnsi="Book Antiqua" w:cs="Book Antiqua"/>
          <w:sz w:val="24"/>
        </w:rPr>
        <w:t xml:space="preserve">Protein </w:t>
      </w:r>
      <w:r w:rsidR="00FB195A" w:rsidRPr="00ED06D9">
        <w:rPr>
          <w:rFonts w:ascii="Book Antiqua" w:hAnsi="Book Antiqua" w:cs="Calibri"/>
          <w:sz w:val="24"/>
        </w:rPr>
        <w:t>m</w:t>
      </w:r>
      <w:r w:rsidRPr="00ED06D9">
        <w:rPr>
          <w:rFonts w:ascii="Book Antiqua" w:hAnsi="Book Antiqua" w:cs="Calibri"/>
          <w:sz w:val="24"/>
        </w:rPr>
        <w:t xml:space="preserve">isfolding and the accumulation of unfolded proteins in the lumen </w:t>
      </w:r>
      <w:r w:rsidR="00FB195A" w:rsidRPr="00ED06D9">
        <w:rPr>
          <w:rFonts w:ascii="Book Antiqua" w:hAnsi="Book Antiqua" w:cs="Calibri"/>
          <w:sz w:val="24"/>
        </w:rPr>
        <w:t>as well as</w:t>
      </w:r>
      <w:r w:rsidRPr="00ED06D9">
        <w:rPr>
          <w:rFonts w:ascii="Book Antiqua" w:hAnsi="Book Antiqua" w:cs="Calibri"/>
          <w:sz w:val="24"/>
        </w:rPr>
        <w:t xml:space="preserve"> disorders in Ca</w:t>
      </w:r>
      <w:r w:rsidRPr="00ED06D9">
        <w:rPr>
          <w:rFonts w:ascii="Book Antiqua" w:hAnsi="Book Antiqua" w:cs="Calibri"/>
          <w:sz w:val="24"/>
          <w:vertAlign w:val="superscript"/>
        </w:rPr>
        <w:t>2+</w:t>
      </w:r>
      <w:r w:rsidRPr="00ED06D9">
        <w:rPr>
          <w:rFonts w:ascii="Book Antiqua" w:hAnsi="Book Antiqua" w:cs="Calibri"/>
          <w:sz w:val="24"/>
        </w:rPr>
        <w:t xml:space="preserve"> balance have been observed when ER stress </w:t>
      </w:r>
      <w:r w:rsidR="00FB195A" w:rsidRPr="00ED06D9">
        <w:rPr>
          <w:rFonts w:ascii="Book Antiqua" w:hAnsi="Book Antiqua" w:cs="Calibri"/>
          <w:sz w:val="24"/>
        </w:rPr>
        <w:t>occurs</w:t>
      </w:r>
      <w:r w:rsidRPr="00ED06D9">
        <w:rPr>
          <w:rFonts w:ascii="Book Antiqua" w:hAnsi="Book Antiqua" w:cs="Book Antiqua"/>
          <w:sz w:val="24"/>
          <w:vertAlign w:val="superscript"/>
        </w:rPr>
        <w:t>[29]</w:t>
      </w:r>
      <w:r w:rsidRPr="00ED06D9">
        <w:rPr>
          <w:rFonts w:ascii="Book Antiqua" w:hAnsi="Book Antiqua" w:cs="Book Antiqua"/>
          <w:sz w:val="24"/>
        </w:rPr>
        <w:t>. Several studies have demonstrated that ER stress is related to the progression of liver fibrosis and its recovery</w:t>
      </w:r>
      <w:r w:rsidRPr="00ED06D9">
        <w:rPr>
          <w:rFonts w:ascii="Book Antiqua" w:hAnsi="Book Antiqua" w:cs="Book Antiqua"/>
          <w:sz w:val="24"/>
          <w:vertAlign w:val="superscript"/>
        </w:rPr>
        <w:t>[30]</w:t>
      </w:r>
      <w:r w:rsidRPr="00ED06D9">
        <w:rPr>
          <w:rFonts w:ascii="Book Antiqua" w:hAnsi="Book Antiqua" w:cs="Book Antiqua"/>
          <w:sz w:val="24"/>
        </w:rPr>
        <w:t>. Although GRP78, XBP1, and CHOP are not unique, these are all known indicators of the activation of the ER stress pathways</w:t>
      </w:r>
      <w:r w:rsidRPr="00ED06D9">
        <w:rPr>
          <w:rFonts w:ascii="Book Antiqua" w:hAnsi="Book Antiqua" w:cs="Book Antiqua"/>
          <w:sz w:val="24"/>
          <w:vertAlign w:val="superscript"/>
        </w:rPr>
        <w:t>[31]</w:t>
      </w:r>
      <w:r w:rsidRPr="00ED06D9">
        <w:rPr>
          <w:rFonts w:ascii="Book Antiqua" w:hAnsi="Book Antiqua" w:cs="Book Antiqua"/>
          <w:sz w:val="24"/>
        </w:rPr>
        <w:t xml:space="preserve">. We revealed that the ER stress marker proteins GRP78 and CHOP increased significantly, indicating that an ER stress reaction occurred in the liver tissue of rats with liver fibrosis. ER stress exerts its physiological function mainly by activating the UPR signaling pathway. Our study also revealed that the expression of UPR signaling proteins in liver tissue of rats with liver fibrosis was significantly increased, which was consistent with the results reported by </w:t>
      </w:r>
      <w:r w:rsidRPr="00ED06D9">
        <w:rPr>
          <w:rFonts w:ascii="Book Antiqua" w:hAnsi="Book Antiqua" w:cs="Book Antiqua"/>
          <w:sz w:val="24"/>
          <w:shd w:val="clear" w:color="auto" w:fill="FFFFFF"/>
        </w:rPr>
        <w:t>Volmer</w:t>
      </w:r>
      <w:r w:rsidRPr="00ED06D9">
        <w:rPr>
          <w:rFonts w:ascii="Book Antiqua" w:hAnsi="Book Antiqua" w:cs="Book Antiqua"/>
          <w:sz w:val="24"/>
        </w:rPr>
        <w:t xml:space="preserve"> </w:t>
      </w:r>
      <w:r w:rsidRPr="00ED06D9">
        <w:rPr>
          <w:rFonts w:ascii="Book Antiqua" w:hAnsi="Book Antiqua" w:cs="Book Antiqua"/>
          <w:i/>
          <w:iCs/>
          <w:sz w:val="24"/>
        </w:rPr>
        <w:t>et al</w:t>
      </w:r>
      <w:r w:rsidRPr="00ED06D9">
        <w:rPr>
          <w:rFonts w:ascii="Book Antiqua" w:hAnsi="Book Antiqua" w:cs="Book Antiqua"/>
          <w:sz w:val="24"/>
          <w:vertAlign w:val="superscript"/>
        </w:rPr>
        <w:t>[32]</w:t>
      </w:r>
      <w:r w:rsidRPr="00ED06D9">
        <w:rPr>
          <w:rFonts w:ascii="Book Antiqua" w:hAnsi="Book Antiqua" w:cs="Book Antiqua"/>
          <w:sz w:val="24"/>
        </w:rPr>
        <w:t>.</w:t>
      </w:r>
    </w:p>
    <w:p w:rsidR="00AC2DF5" w:rsidRPr="00ED06D9" w:rsidRDefault="00AC2DF5">
      <w:pPr>
        <w:adjustRightInd w:val="0"/>
        <w:snapToGrid w:val="0"/>
        <w:spacing w:line="360" w:lineRule="auto"/>
        <w:ind w:firstLineChars="100" w:firstLine="240"/>
        <w:rPr>
          <w:rFonts w:ascii="Book Antiqua" w:hAnsi="Book Antiqua" w:cs="Book Antiqua"/>
          <w:sz w:val="24"/>
        </w:rPr>
      </w:pPr>
      <w:r w:rsidRPr="00ED06D9">
        <w:rPr>
          <w:rFonts w:ascii="Book Antiqua" w:hAnsi="Book Antiqua" w:cs="Book Antiqua"/>
          <w:sz w:val="24"/>
        </w:rPr>
        <w:t>The expression of COX-2 is significantly increased in the fibrotic liver tissues of animals and humans, and its expression level is positively correlated with the degree of fibrosis</w:t>
      </w:r>
      <w:r w:rsidRPr="00ED06D9">
        <w:rPr>
          <w:rFonts w:ascii="Book Antiqua" w:hAnsi="Book Antiqua" w:cs="Book Antiqua"/>
          <w:sz w:val="24"/>
          <w:vertAlign w:val="superscript"/>
        </w:rPr>
        <w:t>[7]</w:t>
      </w:r>
      <w:r w:rsidRPr="00ED06D9">
        <w:rPr>
          <w:rFonts w:ascii="Book Antiqua" w:hAnsi="Book Antiqua" w:cs="Book Antiqua"/>
          <w:sz w:val="24"/>
        </w:rPr>
        <w:t>. Our previous studies confirmed that celecoxib can effectively alleviate liver fibrosis, but whether its mechanism is related to mediating the ER stress response has not been reported. Liver fibrosis is a chronic liver injury that is characterized by abnormal deposition of the ECM, which can progress to cirrhosis or even liver cancer</w:t>
      </w:r>
      <w:r w:rsidRPr="00ED06D9">
        <w:rPr>
          <w:rFonts w:ascii="Book Antiqua" w:hAnsi="Book Antiqua" w:cs="Book Antiqua"/>
          <w:sz w:val="24"/>
          <w:vertAlign w:val="superscript"/>
        </w:rPr>
        <w:t>[33]</w:t>
      </w:r>
      <w:r w:rsidRPr="00ED06D9">
        <w:rPr>
          <w:rFonts w:ascii="Book Antiqua" w:hAnsi="Book Antiqua" w:cs="Book Antiqua"/>
          <w:sz w:val="24"/>
        </w:rPr>
        <w:t>. Therefore, it is of great significance to find drugs that can effectively alleviate liver damage. Celecoxib is a highly selective COX-2 inhibitor that has been shown to have antiproliferative effects in synovial fibroblasts as well as in human tumor xenograft models of breast, colon, lung, and prostate cancers and hepatocellular carcinoma</w:t>
      </w:r>
      <w:r w:rsidRPr="00ED06D9">
        <w:rPr>
          <w:rFonts w:ascii="Book Antiqua" w:hAnsi="Book Antiqua" w:cs="Book Antiqua"/>
          <w:sz w:val="24"/>
          <w:vertAlign w:val="superscript"/>
        </w:rPr>
        <w:t>[34]</w:t>
      </w:r>
      <w:r w:rsidRPr="00ED06D9">
        <w:rPr>
          <w:rFonts w:ascii="Book Antiqua" w:hAnsi="Book Antiqua" w:cs="Book Antiqua"/>
          <w:sz w:val="24"/>
        </w:rPr>
        <w:t xml:space="preserve">. However, the principal mechanism by which celecoxib affects hepatocyte proliferation remains unclear. The results of this study indicated that </w:t>
      </w:r>
      <w:bookmarkStart w:id="16" w:name="_Hlk21879707"/>
      <w:r w:rsidRPr="00ED06D9">
        <w:rPr>
          <w:rFonts w:ascii="Book Antiqua" w:hAnsi="Book Antiqua" w:cs="Book Antiqua"/>
          <w:sz w:val="24"/>
        </w:rPr>
        <w:t xml:space="preserve">the levels of ALT, AST, albumin, and hydroxyproline, the proportion of fibrotic liver tissue, Ishak score, and the expression levels of caspase-3 and caspase-12 were significantly decreased after celecoxib intervention, which strongly suggested that celecoxib attenuates liver fibrosis </w:t>
      </w:r>
      <w:r w:rsidRPr="00ED06D9">
        <w:rPr>
          <w:rFonts w:ascii="Book Antiqua" w:hAnsi="Book Antiqua" w:cs="Book Antiqua"/>
          <w:sz w:val="24"/>
        </w:rPr>
        <w:lastRenderedPageBreak/>
        <w:t xml:space="preserve">and inhibits hepatocyte apoptosis, thereby protecting hepatocytes. </w:t>
      </w:r>
      <w:bookmarkEnd w:id="16"/>
    </w:p>
    <w:p w:rsidR="00AC2DF5" w:rsidRPr="00ED06D9" w:rsidRDefault="00AC2DF5">
      <w:pPr>
        <w:adjustRightInd w:val="0"/>
        <w:snapToGrid w:val="0"/>
        <w:spacing w:line="360" w:lineRule="auto"/>
        <w:ind w:firstLineChars="100" w:firstLine="240"/>
        <w:rPr>
          <w:rFonts w:ascii="Book Antiqua" w:hAnsi="Book Antiqua" w:cs="Book Antiqua"/>
          <w:sz w:val="24"/>
        </w:rPr>
      </w:pPr>
      <w:r w:rsidRPr="00ED06D9">
        <w:rPr>
          <w:rFonts w:ascii="Book Antiqua" w:hAnsi="Book Antiqua" w:cs="Book Antiqua"/>
          <w:sz w:val="24"/>
        </w:rPr>
        <w:t>CHOP is considered the major determinant of cell fate and ER stress-induced apoptosis</w:t>
      </w:r>
      <w:r w:rsidRPr="00ED06D9">
        <w:rPr>
          <w:rFonts w:ascii="Book Antiqua" w:hAnsi="Book Antiqua" w:cs="Book Antiqua"/>
          <w:sz w:val="24"/>
          <w:vertAlign w:val="superscript"/>
        </w:rPr>
        <w:t>[35]</w:t>
      </w:r>
      <w:r w:rsidRPr="00ED06D9">
        <w:rPr>
          <w:rFonts w:ascii="Book Antiqua" w:hAnsi="Book Antiqua" w:cs="Book Antiqua"/>
          <w:sz w:val="24"/>
        </w:rPr>
        <w:t xml:space="preserve">. </w:t>
      </w:r>
      <w:r w:rsidR="00FB195A" w:rsidRPr="00ED06D9">
        <w:rPr>
          <w:rFonts w:ascii="Book Antiqua" w:hAnsi="Book Antiqua" w:cs="Calibri"/>
          <w:sz w:val="24"/>
        </w:rPr>
        <w:t>It</w:t>
      </w:r>
      <w:r w:rsidRPr="00ED06D9">
        <w:rPr>
          <w:rFonts w:ascii="Book Antiqua" w:hAnsi="Book Antiqua" w:cs="Calibri"/>
          <w:sz w:val="24"/>
        </w:rPr>
        <w:t xml:space="preserve"> is a short-lived protein, and so under mild or transient ER stress, the expression of CHOP will not change, and cells adapt and recover</w:t>
      </w:r>
      <w:r w:rsidRPr="00ED06D9">
        <w:rPr>
          <w:rFonts w:ascii="Book Antiqua" w:hAnsi="Book Antiqua" w:cs="Book Antiqua"/>
          <w:sz w:val="24"/>
          <w:vertAlign w:val="superscript"/>
        </w:rPr>
        <w:t>[36]</w:t>
      </w:r>
      <w:r w:rsidRPr="00ED06D9">
        <w:rPr>
          <w:rFonts w:ascii="Book Antiqua" w:hAnsi="Book Antiqua" w:cs="Book Antiqua"/>
          <w:sz w:val="24"/>
        </w:rPr>
        <w:t>. But if the ER stress intensity is strong or duration is long, persistent CHOP expression and cell death will occur</w:t>
      </w:r>
      <w:r w:rsidRPr="00ED06D9">
        <w:rPr>
          <w:rFonts w:ascii="Book Antiqua" w:hAnsi="Book Antiqua" w:cs="Book Antiqua"/>
          <w:sz w:val="24"/>
          <w:vertAlign w:val="superscript"/>
        </w:rPr>
        <w:t>[37]</w:t>
      </w:r>
      <w:r w:rsidRPr="00ED06D9">
        <w:rPr>
          <w:rFonts w:ascii="Book Antiqua" w:hAnsi="Book Antiqua" w:cs="Book Antiqua"/>
          <w:sz w:val="24"/>
        </w:rPr>
        <w:t xml:space="preserve">. </w:t>
      </w:r>
      <w:bookmarkStart w:id="17" w:name="_Hlk21879728"/>
      <w:r w:rsidRPr="00ED06D9">
        <w:rPr>
          <w:rFonts w:ascii="Book Antiqua" w:hAnsi="Book Antiqua" w:cs="Book Antiqua"/>
          <w:sz w:val="24"/>
        </w:rPr>
        <w:t>In the present study, we revealed for the first time that the expression of key ER stress molecules, such as CHOP, was obviously decreased after celecoxib treatment, indicating that celecoxib plays a role in inhibiting ER stress in rat liver fibrosis by inhibiting the expression of CHOP and the ER stress signaling pathway.</w:t>
      </w:r>
      <w:bookmarkEnd w:id="17"/>
    </w:p>
    <w:p w:rsidR="00AC2DF5" w:rsidRPr="00ED06D9" w:rsidRDefault="00AC2DF5">
      <w:pPr>
        <w:adjustRightInd w:val="0"/>
        <w:snapToGrid w:val="0"/>
        <w:spacing w:line="360" w:lineRule="auto"/>
        <w:ind w:firstLineChars="100" w:firstLine="240"/>
        <w:rPr>
          <w:rFonts w:ascii="Book Antiqua" w:hAnsi="Book Antiqua" w:cs="Book Antiqua"/>
          <w:sz w:val="24"/>
        </w:rPr>
      </w:pPr>
      <w:r w:rsidRPr="00ED06D9">
        <w:rPr>
          <w:rFonts w:ascii="Book Antiqua" w:hAnsi="Book Antiqua" w:cs="Book Antiqua"/>
          <w:sz w:val="24"/>
        </w:rPr>
        <w:t>Liver fibrosis is an important sign of chronic liver diseases, which could be treated and even reversed at early stage</w:t>
      </w:r>
      <w:r w:rsidRPr="00ED06D9">
        <w:rPr>
          <w:rFonts w:ascii="Book Antiqua" w:hAnsi="Book Antiqua" w:cs="Book Antiqua"/>
          <w:sz w:val="24"/>
          <w:vertAlign w:val="superscript"/>
        </w:rPr>
        <w:t>[19]</w:t>
      </w:r>
      <w:r w:rsidRPr="00ED06D9">
        <w:rPr>
          <w:rFonts w:ascii="Book Antiqua" w:hAnsi="Book Antiqua" w:cs="Book Antiqua"/>
          <w:sz w:val="24"/>
        </w:rPr>
        <w:t>. At present, the gold standard method for diagnosing liver fibrosis is liver biopsy</w:t>
      </w:r>
      <w:r w:rsidRPr="00ED06D9">
        <w:rPr>
          <w:rFonts w:ascii="Book Antiqua" w:hAnsi="Book Antiqua" w:cs="Book Antiqua"/>
          <w:sz w:val="24"/>
          <w:vertAlign w:val="superscript"/>
        </w:rPr>
        <w:t>[38]</w:t>
      </w:r>
      <w:r w:rsidRPr="00ED06D9">
        <w:rPr>
          <w:rFonts w:ascii="Book Antiqua" w:hAnsi="Book Antiqua" w:cs="Book Antiqua"/>
          <w:sz w:val="24"/>
        </w:rPr>
        <w:t>. However, sampling error and potential complications are the limitations of this method. In recent years, non-invasive diagnostic techniques and molecular imaging quantitative detection technology have developed rapidly, and their application in quantitative detection of liver fibrosis has also received more and more attention</w:t>
      </w:r>
      <w:r w:rsidRPr="00ED06D9">
        <w:rPr>
          <w:rFonts w:ascii="Book Antiqua" w:hAnsi="Book Antiqua" w:cs="Book Antiqua"/>
          <w:sz w:val="24"/>
          <w:vertAlign w:val="superscript"/>
        </w:rPr>
        <w:t>[39]</w:t>
      </w:r>
      <w:r w:rsidRPr="00ED06D9">
        <w:rPr>
          <w:rFonts w:ascii="Book Antiqua" w:hAnsi="Book Antiqua" w:cs="Book Antiqua"/>
          <w:sz w:val="24"/>
        </w:rPr>
        <w:t xml:space="preserve">. </w:t>
      </w:r>
      <w:r w:rsidRPr="00ED06D9">
        <w:rPr>
          <w:rFonts w:ascii="Book Antiqua" w:hAnsi="Book Antiqua" w:cs="Book Antiqua" w:hint="eastAsia"/>
          <w:sz w:val="24"/>
        </w:rPr>
        <w:t>It is well known that the apparent diffusion coefficient (ADC) decreases during liver fibrosis, and hepatic ADC value is a good predictor of fibrosis stage</w:t>
      </w:r>
      <w:r w:rsidRPr="00ED06D9">
        <w:rPr>
          <w:rFonts w:ascii="Book Antiqua" w:hAnsi="Book Antiqua" w:cs="Book Antiqua"/>
          <w:sz w:val="24"/>
          <w:vertAlign w:val="superscript"/>
        </w:rPr>
        <w:t>[40]</w:t>
      </w:r>
      <w:r w:rsidRPr="00ED06D9">
        <w:rPr>
          <w:rFonts w:ascii="Book Antiqua" w:hAnsi="Book Antiqua" w:cs="Book Antiqua"/>
          <w:sz w:val="24"/>
        </w:rPr>
        <w:t>. Recent studies showed that the ADC value is an effective non-invasive parameter for diagnosing and grading inflammation and liver fibrosis in children with chronic hepatitis, indicating that this method is of great significance in the diagnosis and classification of inflammation and liver fibrosis in children with chronic hepatitis</w:t>
      </w:r>
      <w:r w:rsidRPr="00ED06D9">
        <w:rPr>
          <w:rFonts w:ascii="Book Antiqua" w:hAnsi="Book Antiqua" w:cs="Book Antiqua"/>
          <w:sz w:val="24"/>
          <w:vertAlign w:val="superscript"/>
        </w:rPr>
        <w:t>[41,42]</w:t>
      </w:r>
      <w:r w:rsidRPr="00ED06D9">
        <w:rPr>
          <w:rFonts w:ascii="Book Antiqua" w:hAnsi="Book Antiqua" w:cs="Book Antiqua"/>
          <w:sz w:val="24"/>
        </w:rPr>
        <w:t xml:space="preserve">. Moreover, splenic ADC value can predict esophageal varices in patients with liver cirrhosis and has a good correlation with laboratory biomarkers and clinical </w:t>
      </w:r>
      <w:r w:rsidR="00FB195A" w:rsidRPr="00ED06D9">
        <w:rPr>
          <w:rFonts w:ascii="Book Antiqua" w:hAnsi="Book Antiqua" w:cs="Book Antiqua"/>
          <w:sz w:val="24"/>
        </w:rPr>
        <w:t xml:space="preserve">features </w:t>
      </w:r>
      <w:r w:rsidRPr="00ED06D9">
        <w:rPr>
          <w:rFonts w:ascii="Book Antiqua" w:hAnsi="Book Antiqua" w:cs="Book Antiqua"/>
          <w:sz w:val="24"/>
        </w:rPr>
        <w:t>of esophageal varices</w:t>
      </w:r>
      <w:r w:rsidRPr="00ED06D9">
        <w:rPr>
          <w:rFonts w:ascii="Book Antiqua" w:hAnsi="Book Antiqua" w:cs="Book Antiqua"/>
          <w:sz w:val="24"/>
          <w:vertAlign w:val="superscript"/>
        </w:rPr>
        <w:t>[43]</w:t>
      </w:r>
      <w:r w:rsidRPr="00ED06D9">
        <w:rPr>
          <w:rFonts w:ascii="Book Antiqua" w:hAnsi="Book Antiqua" w:cs="Book Antiqua"/>
          <w:sz w:val="24"/>
        </w:rPr>
        <w:t>, which provides new ideas for early diagnosis of esophageal varices in patients with chronic liver diseases.</w:t>
      </w:r>
    </w:p>
    <w:p w:rsidR="00AC2DF5" w:rsidRPr="00ED06D9" w:rsidRDefault="00AC2DF5">
      <w:pPr>
        <w:adjustRightInd w:val="0"/>
        <w:snapToGrid w:val="0"/>
        <w:spacing w:line="360" w:lineRule="auto"/>
        <w:ind w:firstLineChars="100" w:firstLine="240"/>
        <w:rPr>
          <w:rFonts w:ascii="Book Antiqua" w:hAnsi="Book Antiqua" w:cs="Book Antiqua"/>
          <w:sz w:val="24"/>
        </w:rPr>
      </w:pPr>
      <w:r w:rsidRPr="00ED06D9">
        <w:rPr>
          <w:rFonts w:ascii="Book Antiqua" w:hAnsi="Book Antiqua" w:cs="Book Antiqua"/>
          <w:sz w:val="24"/>
        </w:rPr>
        <w:t>Celecoxib is currently widely used in the clinical treatment of rheumatoid arthritis and osteoarthritis</w:t>
      </w:r>
      <w:r w:rsidRPr="00ED06D9">
        <w:rPr>
          <w:rFonts w:ascii="Book Antiqua" w:hAnsi="Book Antiqua" w:cs="Book Antiqua"/>
          <w:sz w:val="24"/>
          <w:vertAlign w:val="superscript"/>
        </w:rPr>
        <w:t>[17]</w:t>
      </w:r>
      <w:r w:rsidRPr="00ED06D9">
        <w:rPr>
          <w:rFonts w:ascii="Book Antiqua" w:hAnsi="Book Antiqua" w:cs="Book Antiqua"/>
          <w:sz w:val="24"/>
        </w:rPr>
        <w:t xml:space="preserve">. Some researchers have shown that celecoxib can effectively improve portal hypertension and fibrosis in animal models. </w:t>
      </w:r>
      <w:r w:rsidRPr="00ED06D9">
        <w:rPr>
          <w:rFonts w:ascii="Book Antiqua" w:hAnsi="Book Antiqua" w:cs="Book Antiqua"/>
          <w:sz w:val="24"/>
        </w:rPr>
        <w:lastRenderedPageBreak/>
        <w:t xml:space="preserve">However, whether celecoxib relieves liver fibrosis by inhibiting ER stress still needs further exploration. This study proposed for the first time that celecoxib affects the progression of liver fibrosis by inhibiting ER stress, and we hope that this result can provide new targets for the treatment of liver fibrosis. However, multiple complex signaling </w:t>
      </w:r>
      <w:r w:rsidR="00FB195A" w:rsidRPr="00ED06D9">
        <w:rPr>
          <w:rFonts w:ascii="Book Antiqua" w:hAnsi="Book Antiqua" w:cs="Book Antiqua"/>
          <w:sz w:val="24"/>
        </w:rPr>
        <w:t xml:space="preserve">pathways are </w:t>
      </w:r>
      <w:r w:rsidRPr="00ED06D9">
        <w:rPr>
          <w:rFonts w:ascii="Book Antiqua" w:hAnsi="Book Antiqua" w:cs="Book Antiqua"/>
          <w:sz w:val="24"/>
        </w:rPr>
        <w:t>regulated by ER</w:t>
      </w:r>
      <w:r w:rsidR="00FB195A" w:rsidRPr="00ED06D9">
        <w:rPr>
          <w:rFonts w:ascii="Book Antiqua" w:hAnsi="Book Antiqua" w:cs="Book Antiqua"/>
          <w:sz w:val="24"/>
        </w:rPr>
        <w:t xml:space="preserve"> stress</w:t>
      </w:r>
      <w:r w:rsidRPr="00ED06D9">
        <w:rPr>
          <w:rFonts w:ascii="Book Antiqua" w:hAnsi="Book Antiqua" w:cs="Book Antiqua"/>
          <w:sz w:val="24"/>
        </w:rPr>
        <w:t xml:space="preserve">, </w:t>
      </w:r>
      <w:r w:rsidR="00FB195A" w:rsidRPr="00ED06D9">
        <w:rPr>
          <w:rFonts w:ascii="Book Antiqua" w:hAnsi="Book Antiqua" w:cs="Book Antiqua"/>
          <w:sz w:val="24"/>
        </w:rPr>
        <w:t xml:space="preserve">and </w:t>
      </w:r>
      <w:r w:rsidRPr="00ED06D9">
        <w:rPr>
          <w:rFonts w:ascii="Book Antiqua" w:hAnsi="Book Antiqua" w:cs="Book Antiqua"/>
          <w:sz w:val="24"/>
        </w:rPr>
        <w:t>whether other signals are involved in this process still needs further investigation. Second,</w:t>
      </w:r>
      <w:r w:rsidRPr="00ED06D9">
        <w:rPr>
          <w:rFonts w:ascii="Book Antiqua" w:hAnsi="Book Antiqua" w:cs="Calibri"/>
          <w:sz w:val="24"/>
        </w:rPr>
        <w:t xml:space="preserve"> when studying </w:t>
      </w:r>
      <w:r w:rsidR="00FB195A" w:rsidRPr="00ED06D9">
        <w:rPr>
          <w:rFonts w:ascii="Book Antiqua" w:hAnsi="Book Antiqua" w:cs="Calibri"/>
          <w:sz w:val="24"/>
        </w:rPr>
        <w:t>ER</w:t>
      </w:r>
      <w:r w:rsidRPr="00ED06D9">
        <w:rPr>
          <w:rFonts w:ascii="Book Antiqua" w:hAnsi="Book Antiqua" w:cs="Calibri"/>
          <w:sz w:val="24"/>
        </w:rPr>
        <w:t xml:space="preserve"> stress, it is necessary not only to </w:t>
      </w:r>
      <w:r w:rsidR="00FB195A" w:rsidRPr="00ED06D9">
        <w:rPr>
          <w:rFonts w:ascii="Book Antiqua" w:hAnsi="Book Antiqua" w:cs="Calibri"/>
          <w:sz w:val="24"/>
        </w:rPr>
        <w:t>investigate the related</w:t>
      </w:r>
      <w:r w:rsidRPr="00ED06D9">
        <w:rPr>
          <w:rFonts w:ascii="Book Antiqua" w:hAnsi="Book Antiqua" w:cs="Calibri"/>
          <w:sz w:val="24"/>
        </w:rPr>
        <w:t xml:space="preserve"> biochemical indicators, but also </w:t>
      </w:r>
      <w:r w:rsidR="00FB195A" w:rsidRPr="00ED06D9">
        <w:rPr>
          <w:rFonts w:ascii="Book Antiqua" w:hAnsi="Book Antiqua" w:cs="Calibri"/>
          <w:sz w:val="24"/>
        </w:rPr>
        <w:t xml:space="preserve">study it </w:t>
      </w:r>
      <w:r w:rsidRPr="00ED06D9">
        <w:rPr>
          <w:rFonts w:ascii="Book Antiqua" w:hAnsi="Book Antiqua" w:cs="Calibri"/>
          <w:sz w:val="24"/>
        </w:rPr>
        <w:t>from a physiological perspective.</w:t>
      </w:r>
      <w:r w:rsidRPr="00ED06D9">
        <w:rPr>
          <w:rFonts w:ascii="Book Antiqua" w:hAnsi="Book Antiqua" w:cs="Book Antiqua"/>
          <w:sz w:val="24"/>
        </w:rPr>
        <w:t xml:space="preserve"> Third, the imaging technology </w:t>
      </w:r>
      <w:r w:rsidR="00FB195A" w:rsidRPr="00ED06D9">
        <w:rPr>
          <w:rFonts w:ascii="Book Antiqua" w:hAnsi="Book Antiqua" w:cs="Book Antiqua"/>
          <w:sz w:val="24"/>
        </w:rPr>
        <w:t>for</w:t>
      </w:r>
      <w:r w:rsidRPr="00ED06D9">
        <w:rPr>
          <w:rFonts w:ascii="Book Antiqua" w:hAnsi="Book Antiqua" w:cs="Book Antiqua" w:hint="eastAsia"/>
          <w:sz w:val="24"/>
        </w:rPr>
        <w:t xml:space="preserve"> liver fibrosis is developing rapidly, which ha</w:t>
      </w:r>
      <w:r w:rsidR="00FB195A" w:rsidRPr="00ED06D9">
        <w:rPr>
          <w:rFonts w:ascii="Book Antiqua" w:hAnsi="Book Antiqua" w:cs="Book Antiqua"/>
          <w:sz w:val="24"/>
        </w:rPr>
        <w:t>s</w:t>
      </w:r>
      <w:r w:rsidRPr="00ED06D9">
        <w:rPr>
          <w:rFonts w:ascii="Book Antiqua" w:hAnsi="Book Antiqua" w:cs="Book Antiqua" w:hint="eastAsia"/>
          <w:sz w:val="24"/>
        </w:rPr>
        <w:t xml:space="preserve"> the advantages of high</w:t>
      </w:r>
      <w:r w:rsidR="00FB195A" w:rsidRPr="00ED06D9">
        <w:rPr>
          <w:rFonts w:ascii="Book Antiqua" w:hAnsi="Book Antiqua" w:cs="Book Antiqua"/>
          <w:sz w:val="24"/>
        </w:rPr>
        <w:t xml:space="preserve"> </w:t>
      </w:r>
      <w:r w:rsidRPr="00ED06D9">
        <w:rPr>
          <w:rFonts w:ascii="Book Antiqua" w:hAnsi="Book Antiqua" w:cs="Book Antiqua" w:hint="eastAsia"/>
          <w:sz w:val="24"/>
        </w:rPr>
        <w:t xml:space="preserve">accuracy and </w:t>
      </w:r>
      <w:r w:rsidR="00FB195A" w:rsidRPr="00ED06D9">
        <w:rPr>
          <w:rFonts w:ascii="Book Antiqua" w:hAnsi="Book Antiqua" w:cs="Book Antiqua"/>
          <w:sz w:val="24"/>
        </w:rPr>
        <w:t xml:space="preserve">little </w:t>
      </w:r>
      <w:r w:rsidRPr="00ED06D9">
        <w:rPr>
          <w:rFonts w:ascii="Book Antiqua" w:hAnsi="Book Antiqua" w:cs="Book Antiqua" w:hint="eastAsia"/>
          <w:sz w:val="24"/>
        </w:rPr>
        <w:t>invasive</w:t>
      </w:r>
      <w:r w:rsidR="00FB195A" w:rsidRPr="00ED06D9">
        <w:rPr>
          <w:rFonts w:ascii="Book Antiqua" w:hAnsi="Book Antiqua" w:cs="Book Antiqua"/>
          <w:sz w:val="24"/>
        </w:rPr>
        <w:t>ness</w:t>
      </w:r>
      <w:r w:rsidRPr="00ED06D9">
        <w:rPr>
          <w:rFonts w:ascii="Book Antiqua" w:hAnsi="Book Antiqua" w:cs="Book Antiqua" w:hint="eastAsia"/>
          <w:sz w:val="24"/>
        </w:rPr>
        <w:t xml:space="preserve">. However, </w:t>
      </w:r>
      <w:r w:rsidR="00FB195A" w:rsidRPr="00ED06D9">
        <w:rPr>
          <w:rFonts w:ascii="Book Antiqua" w:hAnsi="Book Antiqua" w:cs="Book Antiqua"/>
          <w:sz w:val="24"/>
        </w:rPr>
        <w:t xml:space="preserve">such </w:t>
      </w:r>
      <w:r w:rsidRPr="00ED06D9">
        <w:rPr>
          <w:rFonts w:ascii="Book Antiqua" w:hAnsi="Book Antiqua" w:cs="Book Antiqua" w:hint="eastAsia"/>
          <w:sz w:val="24"/>
        </w:rPr>
        <w:t xml:space="preserve">technology was not </w:t>
      </w:r>
      <w:r w:rsidR="00FB195A" w:rsidRPr="00ED06D9">
        <w:rPr>
          <w:rFonts w:ascii="Book Antiqua" w:hAnsi="Book Antiqua" w:cs="Book Antiqua"/>
          <w:sz w:val="24"/>
        </w:rPr>
        <w:t>utilized</w:t>
      </w:r>
      <w:r w:rsidRPr="00ED06D9">
        <w:rPr>
          <w:rFonts w:ascii="Book Antiqua" w:hAnsi="Book Antiqua" w:cs="Book Antiqua" w:hint="eastAsia"/>
          <w:sz w:val="24"/>
        </w:rPr>
        <w:t xml:space="preserve"> in the diagnosis of liver fibrosis in our animal model, </w:t>
      </w:r>
      <w:r w:rsidR="00FB195A" w:rsidRPr="00ED06D9">
        <w:rPr>
          <w:rFonts w:ascii="Book Antiqua" w:hAnsi="Book Antiqua" w:cs="Book Antiqua"/>
          <w:sz w:val="24"/>
        </w:rPr>
        <w:t xml:space="preserve">and </w:t>
      </w:r>
      <w:r w:rsidRPr="00ED06D9">
        <w:rPr>
          <w:rFonts w:ascii="Book Antiqua" w:hAnsi="Book Antiqua" w:cs="Book Antiqua" w:hint="eastAsia"/>
          <w:sz w:val="24"/>
        </w:rPr>
        <w:t xml:space="preserve">we should be in full consideration </w:t>
      </w:r>
      <w:r w:rsidR="00FB195A" w:rsidRPr="00ED06D9">
        <w:rPr>
          <w:rFonts w:ascii="Book Antiqua" w:hAnsi="Book Antiqua" w:cs="Book Antiqua"/>
          <w:sz w:val="24"/>
        </w:rPr>
        <w:t xml:space="preserve">of it </w:t>
      </w:r>
      <w:r w:rsidRPr="00ED06D9">
        <w:rPr>
          <w:rFonts w:ascii="Book Antiqua" w:hAnsi="Book Antiqua" w:cs="Book Antiqua" w:hint="eastAsia"/>
          <w:sz w:val="24"/>
        </w:rPr>
        <w:t>in our future work.</w:t>
      </w:r>
    </w:p>
    <w:p w:rsidR="00AC2DF5" w:rsidRPr="00ED06D9" w:rsidRDefault="00AC2DF5">
      <w:pPr>
        <w:adjustRightInd w:val="0"/>
        <w:snapToGrid w:val="0"/>
        <w:spacing w:line="360" w:lineRule="auto"/>
        <w:ind w:firstLineChars="100" w:firstLine="240"/>
        <w:rPr>
          <w:rFonts w:ascii="Book Antiqua" w:hAnsi="Book Antiqua" w:cs="Book Antiqua"/>
          <w:sz w:val="24"/>
        </w:rPr>
      </w:pPr>
      <w:r w:rsidRPr="00ED06D9">
        <w:rPr>
          <w:rFonts w:ascii="Book Antiqua" w:hAnsi="Book Antiqua" w:cs="Book Antiqua"/>
          <w:sz w:val="24"/>
        </w:rPr>
        <w:t>In conclusion, celecoxib reduces the severity of liver damage, improves the pathological changes of liver tissue, and has a beneficial effect on experimental liver fibrosis. Celecoxib treatment effectively reduces hepatocyte apoptosis in TAA-induced cirrhotic rats, which may be achieved by inhibiting the expression of CHOP after ER stress induction.</w:t>
      </w:r>
    </w:p>
    <w:p w:rsidR="00AC2DF5" w:rsidRPr="00ED06D9" w:rsidRDefault="00AC2DF5">
      <w:pPr>
        <w:adjustRightInd w:val="0"/>
        <w:snapToGrid w:val="0"/>
        <w:spacing w:line="360" w:lineRule="auto"/>
        <w:rPr>
          <w:rFonts w:ascii="Book Antiqua" w:hAnsi="Book Antiqua" w:cs="Book Antiqua"/>
          <w:sz w:val="24"/>
        </w:rPr>
      </w:pPr>
    </w:p>
    <w:p w:rsidR="00AC2DF5" w:rsidRPr="00ED06D9" w:rsidRDefault="00AC2DF5">
      <w:pPr>
        <w:adjustRightInd w:val="0"/>
        <w:snapToGrid w:val="0"/>
        <w:spacing w:line="360" w:lineRule="auto"/>
        <w:rPr>
          <w:rFonts w:ascii="Book Antiqua" w:hAnsi="Book Antiqua" w:cs="等线"/>
          <w:b/>
          <w:sz w:val="24"/>
          <w:u w:val="single"/>
        </w:rPr>
      </w:pPr>
      <w:r w:rsidRPr="00ED06D9">
        <w:rPr>
          <w:rFonts w:ascii="Book Antiqua" w:hAnsi="Book Antiqua" w:cs="等线"/>
          <w:b/>
          <w:sz w:val="24"/>
          <w:u w:val="single"/>
        </w:rPr>
        <w:t>ARTICLE HIGHLIGHTS</w:t>
      </w:r>
    </w:p>
    <w:p w:rsidR="00AC2DF5" w:rsidRPr="00ED06D9" w:rsidRDefault="00AC2DF5">
      <w:pPr>
        <w:widowControl/>
        <w:adjustRightInd w:val="0"/>
        <w:snapToGrid w:val="0"/>
        <w:spacing w:line="360" w:lineRule="auto"/>
        <w:rPr>
          <w:rFonts w:ascii="Book Antiqua" w:hAnsi="Book Antiqua" w:cs="Book Antiqua"/>
          <w:sz w:val="24"/>
        </w:rPr>
      </w:pPr>
      <w:r w:rsidRPr="00ED06D9">
        <w:rPr>
          <w:rFonts w:ascii="Book Antiqua" w:eastAsia="Book Antiqua" w:hAnsi="Book Antiqua" w:cs="Book Antiqua"/>
          <w:b/>
          <w:i/>
          <w:kern w:val="0"/>
          <w:sz w:val="24"/>
          <w:lang w:bidi="ar"/>
        </w:rPr>
        <w:t xml:space="preserve">Research background </w:t>
      </w:r>
    </w:p>
    <w:p w:rsidR="00AC2DF5" w:rsidRPr="00ED06D9" w:rsidRDefault="00AC2DF5">
      <w:pPr>
        <w:adjustRightInd w:val="0"/>
        <w:snapToGrid w:val="0"/>
        <w:spacing w:line="360" w:lineRule="auto"/>
        <w:rPr>
          <w:rFonts w:ascii="Book Antiqua" w:hAnsi="Book Antiqua" w:cs="Book Antiqua"/>
          <w:sz w:val="24"/>
        </w:rPr>
      </w:pPr>
      <w:r w:rsidRPr="00ED06D9">
        <w:rPr>
          <w:rFonts w:ascii="Book Antiqua" w:hAnsi="Book Antiqua" w:cs="Book Antiqua"/>
          <w:sz w:val="24"/>
          <w:lang w:bidi="ar"/>
        </w:rPr>
        <w:t xml:space="preserve">Liver fibrosis is a significant sign of chronic liver diseases, </w:t>
      </w:r>
      <w:r w:rsidRPr="00ED06D9">
        <w:rPr>
          <w:rFonts w:ascii="Book Antiqua" w:hAnsi="Book Antiqua" w:cs="Book Antiqua"/>
          <w:sz w:val="24"/>
        </w:rPr>
        <w:t>which</w:t>
      </w:r>
      <w:r w:rsidRPr="00ED06D9">
        <w:rPr>
          <w:rFonts w:ascii="Book Antiqua" w:hAnsi="Book Antiqua" w:cs="Book Antiqua"/>
          <w:sz w:val="24"/>
          <w:lang w:bidi="ar"/>
        </w:rPr>
        <w:t xml:space="preserve"> could be trea</w:t>
      </w:r>
      <w:r w:rsidRPr="00ED06D9">
        <w:rPr>
          <w:rFonts w:ascii="Book Antiqua" w:hAnsi="Book Antiqua" w:cs="Book Antiqua"/>
          <w:sz w:val="24"/>
        </w:rPr>
        <w:t xml:space="preserve">ted and even reversed in the early stage. Inhibition of hepatocyte apoptosis is an important cause of reversal of liver fibrosis. Endoplasmic reticulum (ER) stress-mediated apoptosis is one of the important mechanisms of liver fibrosis. The cyclooxygenase-2 inhibitor celecoxib can improve the </w:t>
      </w:r>
      <w:r w:rsidR="00EF3FD3" w:rsidRPr="00ED06D9">
        <w:rPr>
          <w:rFonts w:ascii="Book Antiqua" w:hAnsi="Book Antiqua" w:cs="Book Antiqua"/>
          <w:sz w:val="24"/>
        </w:rPr>
        <w:t xml:space="preserve">thioacetamide (TAA)-induced </w:t>
      </w:r>
      <w:r w:rsidRPr="00ED06D9">
        <w:rPr>
          <w:rFonts w:ascii="Book Antiqua" w:hAnsi="Book Antiqua" w:cs="Book Antiqua"/>
          <w:sz w:val="24"/>
        </w:rPr>
        <w:t>liver fibrosis</w:t>
      </w:r>
      <w:r w:rsidR="00EF3FD3" w:rsidRPr="00ED06D9">
        <w:rPr>
          <w:rFonts w:ascii="Book Antiqua" w:hAnsi="Book Antiqua" w:cs="Book Antiqua"/>
          <w:sz w:val="24"/>
        </w:rPr>
        <w:t xml:space="preserve"> in </w:t>
      </w:r>
      <w:r w:rsidRPr="00ED06D9">
        <w:rPr>
          <w:rFonts w:ascii="Book Antiqua" w:hAnsi="Book Antiqua" w:cs="Book Antiqua"/>
          <w:sz w:val="24"/>
        </w:rPr>
        <w:t>rat</w:t>
      </w:r>
      <w:r w:rsidR="00EF3FD3" w:rsidRPr="00ED06D9">
        <w:rPr>
          <w:rFonts w:ascii="Book Antiqua" w:hAnsi="Book Antiqua" w:cs="Book Antiqua"/>
          <w:sz w:val="24"/>
        </w:rPr>
        <w:t>s</w:t>
      </w:r>
      <w:r w:rsidRPr="00ED06D9">
        <w:rPr>
          <w:rFonts w:ascii="Book Antiqua" w:hAnsi="Book Antiqua" w:cs="Book Antiqua"/>
          <w:sz w:val="24"/>
        </w:rPr>
        <w:t xml:space="preserve">, and thus reverse the development of liver fibrosis. Whether celecoxib can inhibit apoptosis by inhibiting ER stress and further </w:t>
      </w:r>
      <w:r w:rsidR="00EF3FD3" w:rsidRPr="00ED06D9">
        <w:rPr>
          <w:rFonts w:ascii="Book Antiqua" w:hAnsi="Book Antiqua" w:cs="Book Antiqua"/>
          <w:sz w:val="24"/>
        </w:rPr>
        <w:t>reverse</w:t>
      </w:r>
      <w:r w:rsidRPr="00ED06D9">
        <w:rPr>
          <w:rFonts w:ascii="Book Antiqua" w:hAnsi="Book Antiqua" w:cs="Book Antiqua"/>
          <w:sz w:val="24"/>
        </w:rPr>
        <w:t xml:space="preserve"> liver fibrosis remains to be further studied.</w:t>
      </w:r>
    </w:p>
    <w:p w:rsidR="00AC2DF5" w:rsidRPr="00ED06D9" w:rsidRDefault="00AC2DF5">
      <w:pPr>
        <w:adjustRightInd w:val="0"/>
        <w:snapToGrid w:val="0"/>
        <w:spacing w:line="360" w:lineRule="auto"/>
        <w:rPr>
          <w:rFonts w:ascii="Book Antiqua" w:hAnsi="Book Antiqua" w:cs="Book Antiqua"/>
          <w:sz w:val="24"/>
        </w:rPr>
      </w:pPr>
    </w:p>
    <w:p w:rsidR="00AC2DF5" w:rsidRPr="00ED06D9" w:rsidRDefault="00AC2DF5">
      <w:pPr>
        <w:widowControl/>
        <w:adjustRightInd w:val="0"/>
        <w:snapToGrid w:val="0"/>
        <w:spacing w:line="360" w:lineRule="auto"/>
        <w:rPr>
          <w:rFonts w:ascii="Book Antiqua" w:eastAsia="Book Antiqua" w:hAnsi="Book Antiqua" w:cs="Book Antiqua"/>
          <w:b/>
          <w:i/>
          <w:kern w:val="0"/>
          <w:sz w:val="24"/>
          <w:lang w:bidi="ar"/>
        </w:rPr>
      </w:pPr>
      <w:r w:rsidRPr="00ED06D9">
        <w:rPr>
          <w:rFonts w:ascii="Book Antiqua" w:eastAsia="Book Antiqua" w:hAnsi="Book Antiqua" w:cs="Book Antiqua"/>
          <w:b/>
          <w:i/>
          <w:kern w:val="0"/>
          <w:sz w:val="24"/>
          <w:lang w:bidi="ar"/>
        </w:rPr>
        <w:lastRenderedPageBreak/>
        <w:t>Research motivation</w:t>
      </w:r>
    </w:p>
    <w:p w:rsidR="00AC2DF5" w:rsidRPr="00ED06D9" w:rsidRDefault="00AC2DF5">
      <w:pPr>
        <w:adjustRightInd w:val="0"/>
        <w:snapToGrid w:val="0"/>
        <w:spacing w:line="360" w:lineRule="auto"/>
        <w:rPr>
          <w:rFonts w:ascii="Book Antiqua" w:hAnsi="Book Antiqua" w:cs="Book Antiqua"/>
          <w:sz w:val="24"/>
        </w:rPr>
      </w:pPr>
      <w:r w:rsidRPr="00ED06D9">
        <w:rPr>
          <w:rFonts w:ascii="Book Antiqua" w:hAnsi="Book Antiqua" w:cs="Book Antiqua"/>
          <w:sz w:val="24"/>
        </w:rPr>
        <w:t xml:space="preserve">Celecoxib has been widely used in the clinical treatment of rheumatoid arthritis and osteoarthritis. However, whether celecoxib can suppress apoptosis by inhibiting ER stress and further </w:t>
      </w:r>
      <w:r w:rsidR="00371443" w:rsidRPr="00ED06D9">
        <w:rPr>
          <w:rFonts w:ascii="Book Antiqua" w:hAnsi="Book Antiqua" w:cs="Book Antiqua"/>
          <w:sz w:val="24"/>
        </w:rPr>
        <w:t>reverse</w:t>
      </w:r>
      <w:r w:rsidRPr="00ED06D9">
        <w:rPr>
          <w:rFonts w:ascii="Book Antiqua" w:hAnsi="Book Antiqua" w:cs="Book Antiqua"/>
          <w:sz w:val="24"/>
        </w:rPr>
        <w:t xml:space="preserve"> liver fibrosis remains to be further studied.</w:t>
      </w:r>
    </w:p>
    <w:p w:rsidR="00AC2DF5" w:rsidRPr="00ED06D9" w:rsidRDefault="00AC2DF5">
      <w:pPr>
        <w:adjustRightInd w:val="0"/>
        <w:snapToGrid w:val="0"/>
        <w:spacing w:line="360" w:lineRule="auto"/>
        <w:rPr>
          <w:rFonts w:ascii="Book Antiqua" w:hAnsi="Book Antiqua" w:cs="Book Antiqua"/>
          <w:sz w:val="24"/>
        </w:rPr>
      </w:pPr>
    </w:p>
    <w:p w:rsidR="00AC2DF5" w:rsidRPr="00ED06D9" w:rsidRDefault="00AC2DF5">
      <w:pPr>
        <w:widowControl/>
        <w:adjustRightInd w:val="0"/>
        <w:snapToGrid w:val="0"/>
        <w:spacing w:line="360" w:lineRule="auto"/>
        <w:rPr>
          <w:rFonts w:ascii="Book Antiqua" w:eastAsia="Book Antiqua" w:hAnsi="Book Antiqua" w:cs="Book Antiqua"/>
          <w:b/>
          <w:i/>
          <w:kern w:val="0"/>
          <w:sz w:val="24"/>
          <w:lang w:bidi="ar"/>
        </w:rPr>
      </w:pPr>
      <w:r w:rsidRPr="00ED06D9">
        <w:rPr>
          <w:rFonts w:ascii="Book Antiqua" w:eastAsia="Book Antiqua" w:hAnsi="Book Antiqua" w:cs="Book Antiqua"/>
          <w:b/>
          <w:i/>
          <w:kern w:val="0"/>
          <w:sz w:val="24"/>
          <w:lang w:bidi="ar"/>
        </w:rPr>
        <w:t>Research objectives</w:t>
      </w:r>
    </w:p>
    <w:p w:rsidR="00AC2DF5" w:rsidRPr="00ED06D9" w:rsidRDefault="00AC2DF5">
      <w:pPr>
        <w:adjustRightInd w:val="0"/>
        <w:snapToGrid w:val="0"/>
        <w:spacing w:line="360" w:lineRule="auto"/>
        <w:rPr>
          <w:rFonts w:ascii="Book Antiqua" w:hAnsi="Book Antiqua" w:cs="Book Antiqua"/>
          <w:sz w:val="24"/>
        </w:rPr>
      </w:pPr>
      <w:r w:rsidRPr="00ED06D9">
        <w:rPr>
          <w:rFonts w:ascii="Book Antiqua" w:hAnsi="Book Antiqua" w:cs="Book Antiqua"/>
          <w:sz w:val="24"/>
        </w:rPr>
        <w:t xml:space="preserve">This study </w:t>
      </w:r>
      <w:r w:rsidR="00371443" w:rsidRPr="00ED06D9">
        <w:rPr>
          <w:rFonts w:ascii="Book Antiqua" w:hAnsi="Book Antiqua" w:cs="Book Antiqua"/>
          <w:sz w:val="24"/>
        </w:rPr>
        <w:t xml:space="preserve">aimed </w:t>
      </w:r>
      <w:r w:rsidRPr="00ED06D9">
        <w:rPr>
          <w:rFonts w:ascii="Book Antiqua" w:hAnsi="Book Antiqua" w:cs="Book Antiqua"/>
          <w:sz w:val="24"/>
        </w:rPr>
        <w:t>to explore the important role of celecoxib in modulating hepatocyte apoptosis during the development of liver fibrosis</w:t>
      </w:r>
      <w:r w:rsidR="00371443" w:rsidRPr="00ED06D9">
        <w:rPr>
          <w:rFonts w:ascii="Book Antiqua" w:hAnsi="Book Antiqua" w:cs="Book Antiqua"/>
          <w:sz w:val="24"/>
        </w:rPr>
        <w:t xml:space="preserve">, and </w:t>
      </w:r>
      <w:r w:rsidRPr="00ED06D9">
        <w:rPr>
          <w:rFonts w:ascii="Book Antiqua" w:hAnsi="Book Antiqua" w:cs="Book Antiqua"/>
          <w:sz w:val="24"/>
        </w:rPr>
        <w:t>to clarify</w:t>
      </w:r>
      <w:r w:rsidR="00371443" w:rsidRPr="00ED06D9">
        <w:rPr>
          <w:rFonts w:ascii="Book Antiqua" w:hAnsi="Book Antiqua" w:cs="Book Antiqua"/>
          <w:sz w:val="24"/>
        </w:rPr>
        <w:t xml:space="preserve"> whether its regulatory </w:t>
      </w:r>
      <w:r w:rsidRPr="00ED06D9">
        <w:rPr>
          <w:rFonts w:ascii="Book Antiqua" w:hAnsi="Book Antiqua" w:cs="Book Antiqua"/>
          <w:sz w:val="24"/>
        </w:rPr>
        <w:t>mechanism</w:t>
      </w:r>
      <w:r w:rsidR="00371443" w:rsidRPr="00ED06D9">
        <w:rPr>
          <w:rFonts w:ascii="Book Antiqua" w:hAnsi="Book Antiqua" w:cs="Book Antiqua"/>
          <w:sz w:val="24"/>
        </w:rPr>
        <w:t xml:space="preserve"> </w:t>
      </w:r>
      <w:r w:rsidRPr="00ED06D9">
        <w:rPr>
          <w:rFonts w:ascii="Book Antiqua" w:hAnsi="Book Antiqua" w:cs="Book Antiqua"/>
          <w:sz w:val="24"/>
        </w:rPr>
        <w:t>is mediated by ER stress.</w:t>
      </w:r>
    </w:p>
    <w:p w:rsidR="00AC2DF5" w:rsidRPr="00ED06D9" w:rsidRDefault="00AC2DF5">
      <w:pPr>
        <w:adjustRightInd w:val="0"/>
        <w:snapToGrid w:val="0"/>
        <w:spacing w:line="360" w:lineRule="auto"/>
        <w:rPr>
          <w:rFonts w:ascii="Book Antiqua" w:hAnsi="Book Antiqua" w:cs="Book Antiqua"/>
          <w:sz w:val="24"/>
        </w:rPr>
      </w:pPr>
    </w:p>
    <w:p w:rsidR="00AC2DF5" w:rsidRPr="00ED06D9" w:rsidRDefault="00AC2DF5">
      <w:pPr>
        <w:widowControl/>
        <w:adjustRightInd w:val="0"/>
        <w:snapToGrid w:val="0"/>
        <w:spacing w:line="360" w:lineRule="auto"/>
        <w:rPr>
          <w:rFonts w:ascii="Book Antiqua" w:hAnsi="Book Antiqua" w:cs="Book Antiqua"/>
          <w:sz w:val="24"/>
        </w:rPr>
      </w:pPr>
      <w:r w:rsidRPr="00ED06D9">
        <w:rPr>
          <w:rFonts w:ascii="Book Antiqua" w:eastAsia="Book Antiqua" w:hAnsi="Book Antiqua" w:cs="Book Antiqua"/>
          <w:b/>
          <w:i/>
          <w:kern w:val="0"/>
          <w:sz w:val="24"/>
          <w:lang w:bidi="ar"/>
        </w:rPr>
        <w:t>Research methods</w:t>
      </w:r>
    </w:p>
    <w:p w:rsidR="00AC2DF5" w:rsidRPr="00ED06D9" w:rsidRDefault="00AC2DF5">
      <w:pPr>
        <w:pStyle w:val="ac"/>
        <w:widowControl/>
        <w:adjustRightInd w:val="0"/>
        <w:snapToGrid w:val="0"/>
        <w:spacing w:line="360" w:lineRule="auto"/>
        <w:jc w:val="both"/>
        <w:rPr>
          <w:rFonts w:ascii="Book Antiqua" w:hAnsi="Book Antiqua" w:cs="Book Antiqua"/>
        </w:rPr>
      </w:pPr>
      <w:r w:rsidRPr="00ED06D9">
        <w:rPr>
          <w:rFonts w:ascii="Book Antiqua" w:hAnsi="Book Antiqua" w:cs="Book Antiqua"/>
        </w:rPr>
        <w:t>Cirrhosis was induced by intraperitoneal injections of thioacetamide (TAA) for 16 wk (200 mg/kg per 3 d for the first 8 wk and 100 mg /kg per 3 d after 8 wk). Thirty-six male Sprague-Dawley rats were randomly divided into three groups</w:t>
      </w:r>
      <w:r w:rsidR="00371443" w:rsidRPr="00ED06D9">
        <w:rPr>
          <w:rFonts w:ascii="Book Antiqua" w:hAnsi="Book Antiqua" w:cs="Book Antiqua"/>
        </w:rPr>
        <w:t xml:space="preserve">: </w:t>
      </w:r>
      <w:r w:rsidRPr="00ED06D9">
        <w:rPr>
          <w:rFonts w:ascii="Book Antiqua" w:hAnsi="Book Antiqua" w:cs="Book Antiqua"/>
        </w:rPr>
        <w:t>control, TAA, and TAA + celecoxib group</w:t>
      </w:r>
      <w:r w:rsidR="00371443" w:rsidRPr="00ED06D9">
        <w:rPr>
          <w:rFonts w:ascii="Book Antiqua" w:hAnsi="Book Antiqua" w:cs="Book Antiqua"/>
        </w:rPr>
        <w:t>s</w:t>
      </w:r>
      <w:r w:rsidRPr="00ED06D9">
        <w:rPr>
          <w:rFonts w:ascii="Book Antiqua" w:hAnsi="Book Antiqua" w:cs="Book Antiqua"/>
        </w:rPr>
        <w:t xml:space="preserve">. In the last 8 wk, </w:t>
      </w:r>
      <w:r w:rsidRPr="00ED06D9">
        <w:rPr>
          <w:rFonts w:ascii="Book Antiqua" w:hAnsi="Book Antiqua" w:cs="Calibri"/>
          <w:kern w:val="2"/>
          <w:lang w:bidi="ar"/>
        </w:rPr>
        <w:t>TAA-</w:t>
      </w:r>
      <w:r w:rsidRPr="00ED06D9">
        <w:rPr>
          <w:rFonts w:ascii="Book Antiqua" w:hAnsi="Book Antiqua" w:cs="Calibri"/>
          <w:kern w:val="2"/>
        </w:rPr>
        <w:t xml:space="preserve">induced cirrhotic rats received celecoxib (20 mg/kg/day) or </w:t>
      </w:r>
      <w:r w:rsidR="00371443" w:rsidRPr="00ED06D9">
        <w:rPr>
          <w:rFonts w:ascii="Book Antiqua" w:hAnsi="Book Antiqua" w:cs="Calibri"/>
          <w:kern w:val="2"/>
        </w:rPr>
        <w:t>the</w:t>
      </w:r>
      <w:r w:rsidRPr="00ED06D9">
        <w:rPr>
          <w:rFonts w:ascii="Book Antiqua" w:hAnsi="Book Antiqua" w:cs="Calibri"/>
          <w:kern w:val="2"/>
        </w:rPr>
        <w:t xml:space="preserve"> vehicle by gastric gavage</w:t>
      </w:r>
      <w:r w:rsidRPr="00ED06D9">
        <w:rPr>
          <w:rFonts w:ascii="Book Antiqua" w:hAnsi="Book Antiqua" w:cs="Book Antiqua"/>
        </w:rPr>
        <w:t xml:space="preserve">. </w:t>
      </w:r>
      <w:r w:rsidRPr="00ED06D9">
        <w:rPr>
          <w:rFonts w:ascii="Book Antiqua" w:hAnsi="Book Antiqua" w:cs="Book Antiqua"/>
          <w:kern w:val="2"/>
        </w:rPr>
        <w:t xml:space="preserve">After 16 wk, the rats were sacrificed, and serum </w:t>
      </w:r>
      <w:r w:rsidRPr="00ED06D9">
        <w:rPr>
          <w:rFonts w:ascii="Book Antiqua" w:hAnsi="Book Antiqua" w:cs="Book Antiqua"/>
        </w:rPr>
        <w:t>alanine aminotransferase (ALT)</w:t>
      </w:r>
      <w:r w:rsidRPr="00ED06D9">
        <w:rPr>
          <w:rFonts w:ascii="Book Antiqua" w:hAnsi="Book Antiqua" w:cs="Book Antiqua"/>
          <w:kern w:val="2"/>
        </w:rPr>
        <w:t xml:space="preserve">, </w:t>
      </w:r>
      <w:r w:rsidRPr="00ED06D9">
        <w:rPr>
          <w:rFonts w:ascii="Book Antiqua" w:hAnsi="Book Antiqua" w:cs="Book Antiqua"/>
        </w:rPr>
        <w:t xml:space="preserve">aspartate aminotransferase (AST), </w:t>
      </w:r>
      <w:r w:rsidRPr="00ED06D9">
        <w:rPr>
          <w:rFonts w:ascii="Book Antiqua" w:hAnsi="Book Antiqua" w:cs="Book Antiqua"/>
          <w:kern w:val="2"/>
        </w:rPr>
        <w:t xml:space="preserve">and </w:t>
      </w:r>
      <w:r w:rsidRPr="00ED06D9">
        <w:rPr>
          <w:rFonts w:ascii="Book Antiqua" w:hAnsi="Book Antiqua" w:cs="Book Antiqua"/>
        </w:rPr>
        <w:t>albumin</w:t>
      </w:r>
      <w:r w:rsidRPr="00ED06D9">
        <w:rPr>
          <w:rFonts w:ascii="Book Antiqua" w:hAnsi="Book Antiqua" w:cs="Book Antiqua"/>
          <w:kern w:val="2"/>
        </w:rPr>
        <w:t xml:space="preserve"> (ALB) were detected. The hepatic fibrosis areas were evaluated by Sirius red staining and the degree of fibrosis was assessed by measuring the level of hydroxyproline. ER stress levels were evaluated by detecting the marker proteins </w:t>
      </w:r>
      <w:r w:rsidRPr="00ED06D9">
        <w:rPr>
          <w:rFonts w:ascii="Book Antiqua" w:hAnsi="Book Antiqua" w:cs="Book Antiqua"/>
        </w:rPr>
        <w:t xml:space="preserve">glucose-regulated protein 78 </w:t>
      </w:r>
      <w:r w:rsidRPr="00ED06D9">
        <w:rPr>
          <w:rFonts w:ascii="Book Antiqua" w:hAnsi="Book Antiqua" w:cs="Book Antiqua"/>
          <w:kern w:val="2"/>
        </w:rPr>
        <w:t xml:space="preserve">(GRP78), CCAAT/enhancer binding protein homologous protein (CHOP), </w:t>
      </w:r>
      <w:r w:rsidRPr="00ED06D9">
        <w:rPr>
          <w:rFonts w:ascii="Book Antiqua" w:hAnsi="Book Antiqua" w:cs="Book Antiqua"/>
        </w:rPr>
        <w:t>PKR-like ER protein kinase (PERK), activating transcription factor 6 (ATF6), and inositol-requiring enzyme 1 alpha (IRE1α)</w:t>
      </w:r>
      <w:r w:rsidRPr="00ED06D9">
        <w:rPr>
          <w:rFonts w:ascii="Book Antiqua" w:hAnsi="Book Antiqua" w:cs="Book Antiqua"/>
          <w:kern w:val="2"/>
        </w:rPr>
        <w:t>. Apoptosis levels were evaluated by detecting caspase-12 and caspase-3.</w:t>
      </w:r>
    </w:p>
    <w:p w:rsidR="00AC2DF5" w:rsidRPr="00ED06D9" w:rsidRDefault="00AC2DF5">
      <w:pPr>
        <w:pStyle w:val="ac"/>
        <w:widowControl/>
        <w:adjustRightInd w:val="0"/>
        <w:snapToGrid w:val="0"/>
        <w:spacing w:line="360" w:lineRule="auto"/>
        <w:jc w:val="both"/>
        <w:rPr>
          <w:rFonts w:ascii="Book Antiqua" w:hAnsi="Book Antiqua" w:cs="Book Antiqua"/>
        </w:rPr>
      </w:pPr>
    </w:p>
    <w:p w:rsidR="00AC2DF5" w:rsidRPr="00ED06D9" w:rsidRDefault="00AC2DF5">
      <w:pPr>
        <w:adjustRightInd w:val="0"/>
        <w:snapToGrid w:val="0"/>
        <w:spacing w:line="360" w:lineRule="auto"/>
        <w:rPr>
          <w:rFonts w:ascii="Book Antiqua" w:hAnsi="Book Antiqua" w:cs="Book Antiqua"/>
          <w:sz w:val="24"/>
        </w:rPr>
      </w:pPr>
    </w:p>
    <w:p w:rsidR="00AC2DF5" w:rsidRPr="00ED06D9" w:rsidRDefault="00AC2DF5">
      <w:pPr>
        <w:widowControl/>
        <w:adjustRightInd w:val="0"/>
        <w:snapToGrid w:val="0"/>
        <w:spacing w:line="360" w:lineRule="auto"/>
        <w:rPr>
          <w:rFonts w:ascii="Book Antiqua" w:eastAsia="Book Antiqua" w:hAnsi="Book Antiqua" w:cs="Book Antiqua"/>
          <w:b/>
          <w:i/>
          <w:kern w:val="0"/>
          <w:sz w:val="24"/>
          <w:lang w:bidi="ar"/>
        </w:rPr>
      </w:pPr>
      <w:r w:rsidRPr="00ED06D9">
        <w:rPr>
          <w:rFonts w:ascii="Book Antiqua" w:eastAsia="Book Antiqua" w:hAnsi="Book Antiqua" w:cs="Book Antiqua"/>
          <w:b/>
          <w:i/>
          <w:kern w:val="0"/>
          <w:sz w:val="24"/>
          <w:lang w:bidi="ar"/>
        </w:rPr>
        <w:t>Research results</w:t>
      </w:r>
    </w:p>
    <w:p w:rsidR="00AC2DF5" w:rsidRPr="00ED06D9" w:rsidRDefault="00AC2DF5">
      <w:pPr>
        <w:pStyle w:val="ac"/>
        <w:adjustRightInd w:val="0"/>
        <w:snapToGrid w:val="0"/>
        <w:spacing w:line="360" w:lineRule="auto"/>
        <w:jc w:val="both"/>
        <w:rPr>
          <w:rFonts w:ascii="Book Antiqua" w:hAnsi="Book Antiqua" w:cs="Book Antiqua"/>
          <w:kern w:val="2"/>
        </w:rPr>
      </w:pPr>
      <w:r w:rsidRPr="00ED06D9">
        <w:rPr>
          <w:rFonts w:ascii="Book Antiqua" w:hAnsi="Book Antiqua" w:cs="Book Antiqua"/>
          <w:kern w:val="2"/>
        </w:rPr>
        <w:t xml:space="preserve">The serum ALT and AST levels in the liver were significantly reduced by </w:t>
      </w:r>
      <w:r w:rsidRPr="00ED06D9">
        <w:rPr>
          <w:rFonts w:ascii="Book Antiqua" w:hAnsi="Book Antiqua" w:cs="Book Antiqua"/>
          <w:kern w:val="2"/>
        </w:rPr>
        <w:lastRenderedPageBreak/>
        <w:t xml:space="preserve">celecoxib; however, the serum ALB had no significant changes. Celecoxib significantly reduced the degree of liver fibrosis and the levels of hydroxyproline (-38% and -25.7%, respectively, </w:t>
      </w:r>
      <w:r w:rsidRPr="00ED06D9">
        <w:rPr>
          <w:rFonts w:ascii="Book Antiqua" w:hAnsi="Book Antiqua" w:cs="Book Antiqua"/>
          <w:i/>
          <w:iCs/>
          <w:kern w:val="2"/>
        </w:rPr>
        <w:t xml:space="preserve">P </w:t>
      </w:r>
      <w:r w:rsidRPr="00ED06D9">
        <w:rPr>
          <w:rFonts w:ascii="Book Antiqua" w:hAnsi="Book Antiqua" w:cs="Book Antiqua"/>
          <w:kern w:val="2"/>
        </w:rPr>
        <w:t>&lt; 0.01). Celecoxib ameliorated ER stress by reducing the level of GRP78 compared to the TAA group (</w:t>
      </w:r>
      <w:r w:rsidRPr="00ED06D9">
        <w:rPr>
          <w:rFonts w:ascii="Book Antiqua" w:hAnsi="Book Antiqua" w:cs="Book Antiqua"/>
          <w:i/>
          <w:iCs/>
          <w:kern w:val="2"/>
        </w:rPr>
        <w:t xml:space="preserve">P </w:t>
      </w:r>
      <w:r w:rsidRPr="00ED06D9">
        <w:rPr>
          <w:rFonts w:ascii="Book Antiqua" w:hAnsi="Book Antiqua" w:cs="Book Antiqua"/>
          <w:kern w:val="2"/>
        </w:rPr>
        <w:t>&lt; 0.05). Consistently, after celecoxib administration, the upregulation of TAA-induced hepatic apoptosis markers (caspase-12 and caspase-3) and CHOP w</w:t>
      </w:r>
      <w:r w:rsidR="00371443" w:rsidRPr="00ED06D9">
        <w:rPr>
          <w:rFonts w:ascii="Book Antiqua" w:hAnsi="Book Antiqua" w:cs="Book Antiqua"/>
          <w:kern w:val="2"/>
        </w:rPr>
        <w:t>as</w:t>
      </w:r>
      <w:r w:rsidRPr="00ED06D9">
        <w:rPr>
          <w:rFonts w:ascii="Book Antiqua" w:hAnsi="Book Antiqua" w:cs="Book Antiqua"/>
          <w:kern w:val="2"/>
        </w:rPr>
        <w:t xml:space="preserve"> significantly inhibited. In addition, after celecoxib treatment, the expression of key molecules associated with ER stress (PERK, ATF6, and IRE1) was decreased (</w:t>
      </w:r>
      <w:r w:rsidRPr="00ED06D9">
        <w:rPr>
          <w:rFonts w:ascii="Book Antiqua" w:hAnsi="Book Antiqua" w:cs="Book Antiqua"/>
          <w:i/>
          <w:iCs/>
          <w:kern w:val="2"/>
        </w:rPr>
        <w:t>P</w:t>
      </w:r>
      <w:r w:rsidRPr="00ED06D9">
        <w:rPr>
          <w:rFonts w:ascii="Book Antiqua" w:hAnsi="Book Antiqua" w:cs="Book Antiqua"/>
          <w:kern w:val="2"/>
        </w:rPr>
        <w:t xml:space="preserve"> &lt; 0.05).</w:t>
      </w:r>
    </w:p>
    <w:p w:rsidR="00AC2DF5" w:rsidRPr="00ED06D9" w:rsidRDefault="00AC2DF5">
      <w:pPr>
        <w:pStyle w:val="ac"/>
        <w:adjustRightInd w:val="0"/>
        <w:snapToGrid w:val="0"/>
        <w:spacing w:line="360" w:lineRule="auto"/>
        <w:jc w:val="both"/>
        <w:rPr>
          <w:rFonts w:ascii="Book Antiqua" w:hAnsi="Book Antiqua" w:cs="Book Antiqua"/>
          <w:kern w:val="2"/>
        </w:rPr>
      </w:pPr>
    </w:p>
    <w:p w:rsidR="00AC2DF5" w:rsidRPr="00ED06D9" w:rsidRDefault="00AC2DF5">
      <w:pPr>
        <w:widowControl/>
        <w:adjustRightInd w:val="0"/>
        <w:snapToGrid w:val="0"/>
        <w:spacing w:line="360" w:lineRule="auto"/>
        <w:rPr>
          <w:rFonts w:ascii="Book Antiqua" w:eastAsia="Book Antiqua" w:hAnsi="Book Antiqua" w:cs="Book Antiqua"/>
          <w:b/>
          <w:i/>
          <w:kern w:val="0"/>
          <w:sz w:val="24"/>
          <w:lang w:bidi="ar"/>
        </w:rPr>
      </w:pPr>
      <w:r w:rsidRPr="00ED06D9">
        <w:rPr>
          <w:rFonts w:ascii="Book Antiqua" w:eastAsia="Book Antiqua" w:hAnsi="Book Antiqua" w:cs="Book Antiqua"/>
          <w:b/>
          <w:i/>
          <w:kern w:val="0"/>
          <w:sz w:val="24"/>
          <w:lang w:bidi="ar"/>
        </w:rPr>
        <w:t>Research conclusions</w:t>
      </w:r>
    </w:p>
    <w:p w:rsidR="00AC2DF5" w:rsidRPr="00ED06D9" w:rsidRDefault="00AC2DF5">
      <w:pPr>
        <w:pStyle w:val="ac"/>
        <w:adjustRightInd w:val="0"/>
        <w:snapToGrid w:val="0"/>
        <w:spacing w:line="360" w:lineRule="auto"/>
        <w:jc w:val="both"/>
        <w:rPr>
          <w:rFonts w:ascii="Book Antiqua" w:hAnsi="Book Antiqua" w:cs="Book Antiqua"/>
          <w:kern w:val="2"/>
        </w:rPr>
      </w:pPr>
      <w:r w:rsidRPr="00ED06D9">
        <w:rPr>
          <w:rFonts w:ascii="Book Antiqua" w:hAnsi="Book Antiqua" w:cs="Book Antiqua"/>
          <w:kern w:val="2"/>
        </w:rPr>
        <w:t xml:space="preserve">Therapeutic administration of celecoxib effectively reduces hepatic apoptosis in </w:t>
      </w:r>
      <w:r w:rsidRPr="00ED06D9">
        <w:rPr>
          <w:rFonts w:ascii="Book Antiqua" w:hAnsi="Book Antiqua" w:cs="Book Antiqua"/>
          <w:kern w:val="2"/>
          <w:lang w:bidi="ar"/>
        </w:rPr>
        <w:t>TAA-</w:t>
      </w:r>
      <w:r w:rsidRPr="00ED06D9">
        <w:rPr>
          <w:rFonts w:ascii="Book Antiqua" w:hAnsi="Book Antiqua" w:cs="Book Antiqua"/>
          <w:kern w:val="2"/>
        </w:rPr>
        <w:t>induced cirrhotic rats. The mechanism of action may be attributed to the suppression of</w:t>
      </w:r>
      <w:r w:rsidRPr="00ED06D9">
        <w:rPr>
          <w:rFonts w:ascii="Book Antiqua" w:hAnsi="Book Antiqua" w:cs="Book Antiqua"/>
          <w:kern w:val="2"/>
          <w:lang w:bidi="ar"/>
        </w:rPr>
        <w:t xml:space="preserve"> CHOP</w:t>
      </w:r>
      <w:r w:rsidRPr="00ED06D9">
        <w:rPr>
          <w:rFonts w:ascii="Book Antiqua" w:hAnsi="Book Antiqua" w:cs="Book Antiqua"/>
          <w:kern w:val="2"/>
        </w:rPr>
        <w:t xml:space="preserve"> expression, which subsequently inhibits ER stress.</w:t>
      </w:r>
    </w:p>
    <w:p w:rsidR="00AC2DF5" w:rsidRPr="00ED06D9" w:rsidRDefault="00AC2DF5">
      <w:pPr>
        <w:adjustRightInd w:val="0"/>
        <w:snapToGrid w:val="0"/>
        <w:spacing w:line="360" w:lineRule="auto"/>
        <w:rPr>
          <w:rFonts w:ascii="Book Antiqua" w:hAnsi="Book Antiqua" w:cs="Book Antiqua"/>
          <w:sz w:val="24"/>
        </w:rPr>
      </w:pPr>
    </w:p>
    <w:p w:rsidR="00AC2DF5" w:rsidRPr="00ED06D9" w:rsidRDefault="00AC2DF5">
      <w:pPr>
        <w:widowControl/>
        <w:adjustRightInd w:val="0"/>
        <w:snapToGrid w:val="0"/>
        <w:spacing w:line="360" w:lineRule="auto"/>
        <w:rPr>
          <w:rFonts w:ascii="Book Antiqua" w:eastAsia="Book Antiqua" w:hAnsi="Book Antiqua" w:cs="Book Antiqua"/>
          <w:b/>
          <w:i/>
          <w:kern w:val="0"/>
          <w:sz w:val="24"/>
          <w:lang w:bidi="ar"/>
        </w:rPr>
      </w:pPr>
      <w:r w:rsidRPr="00ED06D9">
        <w:rPr>
          <w:rFonts w:ascii="Book Antiqua" w:eastAsia="Book Antiqua" w:hAnsi="Book Antiqua" w:cs="Book Antiqua"/>
          <w:b/>
          <w:i/>
          <w:kern w:val="0"/>
          <w:sz w:val="24"/>
          <w:lang w:bidi="ar"/>
        </w:rPr>
        <w:t>Research perspectives</w:t>
      </w:r>
    </w:p>
    <w:p w:rsidR="00AC2DF5" w:rsidRPr="00ED06D9" w:rsidRDefault="00371443">
      <w:pPr>
        <w:adjustRightInd w:val="0"/>
        <w:snapToGrid w:val="0"/>
        <w:spacing w:line="360" w:lineRule="auto"/>
        <w:rPr>
          <w:rFonts w:ascii="Book Antiqua" w:hAnsi="Book Antiqua" w:cs="Book Antiqua"/>
          <w:sz w:val="24"/>
        </w:rPr>
      </w:pPr>
      <w:r w:rsidRPr="00ED06D9">
        <w:rPr>
          <w:rFonts w:ascii="Book Antiqua" w:hAnsi="Book Antiqua" w:cs="Book Antiqua"/>
          <w:sz w:val="24"/>
        </w:rPr>
        <w:t>Our results</w:t>
      </w:r>
      <w:r w:rsidR="00AC2DF5" w:rsidRPr="00ED06D9">
        <w:rPr>
          <w:rFonts w:ascii="Book Antiqua" w:hAnsi="Book Antiqua" w:cs="Book Antiqua"/>
          <w:sz w:val="24"/>
        </w:rPr>
        <w:t xml:space="preserve"> </w:t>
      </w:r>
      <w:r w:rsidRPr="00ED06D9">
        <w:rPr>
          <w:rFonts w:ascii="Book Antiqua" w:hAnsi="Book Antiqua" w:cs="Book Antiqua"/>
          <w:sz w:val="24"/>
        </w:rPr>
        <w:t xml:space="preserve">indicate </w:t>
      </w:r>
      <w:r w:rsidR="00AC2DF5" w:rsidRPr="00ED06D9">
        <w:rPr>
          <w:rFonts w:ascii="Book Antiqua" w:hAnsi="Book Antiqua" w:cs="Book Antiqua"/>
          <w:sz w:val="24"/>
        </w:rPr>
        <w:t xml:space="preserve">that celecoxib may play a role in inhibiting ER stress in rat liver fibrosis by inhibiting the expression of CHOP in </w:t>
      </w:r>
      <w:r w:rsidRPr="00ED06D9">
        <w:rPr>
          <w:rFonts w:ascii="Book Antiqua" w:hAnsi="Book Antiqua" w:cs="Book Antiqua"/>
          <w:sz w:val="24"/>
        </w:rPr>
        <w:t xml:space="preserve">the </w:t>
      </w:r>
      <w:r w:rsidR="00AC2DF5" w:rsidRPr="00ED06D9">
        <w:rPr>
          <w:rFonts w:ascii="Book Antiqua" w:hAnsi="Book Antiqua" w:cs="Book Antiqua"/>
          <w:sz w:val="24"/>
        </w:rPr>
        <w:t xml:space="preserve">ER stress signaling pathway. Our data </w:t>
      </w:r>
      <w:r w:rsidRPr="00ED06D9">
        <w:rPr>
          <w:rFonts w:ascii="Book Antiqua" w:hAnsi="Book Antiqua" w:cs="Book Antiqua"/>
          <w:sz w:val="24"/>
        </w:rPr>
        <w:t xml:space="preserve">provide a </w:t>
      </w:r>
      <w:r w:rsidR="00AC2DF5" w:rsidRPr="00ED06D9">
        <w:rPr>
          <w:rFonts w:ascii="Book Antiqua" w:hAnsi="Book Antiqua" w:cs="Book Antiqua"/>
          <w:sz w:val="24"/>
        </w:rPr>
        <w:t>new target for the treatment of liver fibrosis.</w:t>
      </w:r>
    </w:p>
    <w:p w:rsidR="00AC2DF5" w:rsidRPr="00ED06D9" w:rsidRDefault="00AC2DF5">
      <w:pPr>
        <w:adjustRightInd w:val="0"/>
        <w:snapToGrid w:val="0"/>
        <w:spacing w:line="360" w:lineRule="auto"/>
        <w:rPr>
          <w:rFonts w:ascii="Book Antiqua" w:hAnsi="Book Antiqua" w:cs="Book Antiqua"/>
          <w:sz w:val="24"/>
        </w:rPr>
      </w:pPr>
    </w:p>
    <w:p w:rsidR="00AC2DF5" w:rsidRPr="00ED06D9" w:rsidRDefault="00AC2DF5">
      <w:pPr>
        <w:adjustRightInd w:val="0"/>
        <w:snapToGrid w:val="0"/>
        <w:spacing w:line="360" w:lineRule="auto"/>
        <w:rPr>
          <w:rFonts w:ascii="Book Antiqua" w:hAnsi="Book Antiqua" w:cs="Book Antiqua"/>
          <w:sz w:val="24"/>
        </w:rPr>
      </w:pPr>
    </w:p>
    <w:p w:rsidR="00AC2DF5" w:rsidRPr="00ED06D9" w:rsidRDefault="00AC2DF5">
      <w:pPr>
        <w:autoSpaceDE w:val="0"/>
        <w:autoSpaceDN w:val="0"/>
        <w:adjustRightInd w:val="0"/>
        <w:snapToGrid w:val="0"/>
        <w:spacing w:line="360" w:lineRule="auto"/>
        <w:rPr>
          <w:rFonts w:ascii="Book Antiqua" w:hAnsi="Book Antiqua"/>
          <w:sz w:val="24"/>
        </w:rPr>
      </w:pPr>
      <w:r w:rsidRPr="00ED06D9">
        <w:rPr>
          <w:rFonts w:ascii="Book Antiqua" w:hAnsi="Book Antiqua"/>
          <w:b/>
          <w:sz w:val="24"/>
        </w:rPr>
        <w:t>REFERENCES</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1 </w:t>
      </w:r>
      <w:r w:rsidRPr="00ED06D9">
        <w:rPr>
          <w:rFonts w:ascii="Book Antiqua" w:hAnsi="Book Antiqua"/>
          <w:b/>
          <w:sz w:val="24"/>
        </w:rPr>
        <w:t>Aydın MM</w:t>
      </w:r>
      <w:r w:rsidRPr="00ED06D9">
        <w:rPr>
          <w:rFonts w:ascii="Book Antiqua" w:hAnsi="Book Antiqua"/>
          <w:sz w:val="24"/>
        </w:rPr>
        <w:t xml:space="preserve">, Akçalı KC. Liver fibrosis. </w:t>
      </w:r>
      <w:r w:rsidRPr="00ED06D9">
        <w:rPr>
          <w:rFonts w:ascii="Book Antiqua" w:hAnsi="Book Antiqua"/>
          <w:i/>
          <w:sz w:val="24"/>
        </w:rPr>
        <w:t>Turk J Gastroenterol</w:t>
      </w:r>
      <w:r w:rsidRPr="00ED06D9">
        <w:rPr>
          <w:rFonts w:ascii="Book Antiqua" w:hAnsi="Book Antiqua"/>
          <w:sz w:val="24"/>
        </w:rPr>
        <w:t xml:space="preserve"> 2018; </w:t>
      </w:r>
      <w:r w:rsidRPr="00ED06D9">
        <w:rPr>
          <w:rFonts w:ascii="Book Antiqua" w:hAnsi="Book Antiqua"/>
          <w:b/>
          <w:sz w:val="24"/>
        </w:rPr>
        <w:t>29</w:t>
      </w:r>
      <w:r w:rsidRPr="00ED06D9">
        <w:rPr>
          <w:rFonts w:ascii="Book Antiqua" w:hAnsi="Book Antiqua"/>
          <w:sz w:val="24"/>
        </w:rPr>
        <w:t>: 14-21 [PMID: 29391303 DOI: 10.5152/tjg.2018.17330]</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2 </w:t>
      </w:r>
      <w:r w:rsidRPr="00ED06D9">
        <w:rPr>
          <w:rFonts w:ascii="Book Antiqua" w:hAnsi="Book Antiqua"/>
          <w:b/>
          <w:sz w:val="24"/>
        </w:rPr>
        <w:t>Hernández-Alvarez MI</w:t>
      </w:r>
      <w:r w:rsidRPr="00ED06D9">
        <w:rPr>
          <w:rFonts w:ascii="Book Antiqua" w:hAnsi="Book Antiqua"/>
          <w:sz w:val="24"/>
        </w:rPr>
        <w:t xml:space="preserve">, Sebastián D, Vives S, Ivanova S, Bartoccioni P, Kakimoto P, Plana N, Veiga SR, Hernández V, Vasconcelos N, Peddinti G, Adrover A, Jové M, Pamplona R, Gordaliza-Alaguero I, Calvo E, Cabré N, Castro R, Kuzmanic A, Boutant M, Sala D, Hyotylainen T, Orešič M, Fort J, Errasti-Murugarren E, Rodrígues CMP, Orozco M, Joven J, Cantó C, Palacin M, Fernández-Veledo S, Vendrell J, Zorzano A. Deficient Endoplasmic </w:t>
      </w:r>
      <w:r w:rsidRPr="00ED06D9">
        <w:rPr>
          <w:rFonts w:ascii="Book Antiqua" w:hAnsi="Book Antiqua"/>
          <w:sz w:val="24"/>
        </w:rPr>
        <w:lastRenderedPageBreak/>
        <w:t xml:space="preserve">Reticulum-Mitochondrial Phosphatidylserine Transfer Causes Liver Disease. </w:t>
      </w:r>
      <w:r w:rsidRPr="00ED06D9">
        <w:rPr>
          <w:rFonts w:ascii="Book Antiqua" w:hAnsi="Book Antiqua"/>
          <w:i/>
          <w:sz w:val="24"/>
        </w:rPr>
        <w:t>Cell</w:t>
      </w:r>
      <w:r w:rsidRPr="00ED06D9">
        <w:rPr>
          <w:rFonts w:ascii="Book Antiqua" w:hAnsi="Book Antiqua"/>
          <w:sz w:val="24"/>
        </w:rPr>
        <w:t xml:space="preserve"> 2019; </w:t>
      </w:r>
      <w:r w:rsidRPr="00ED06D9">
        <w:rPr>
          <w:rFonts w:ascii="Book Antiqua" w:hAnsi="Book Antiqua"/>
          <w:b/>
          <w:sz w:val="24"/>
        </w:rPr>
        <w:t>177</w:t>
      </w:r>
      <w:r w:rsidRPr="00ED06D9">
        <w:rPr>
          <w:rFonts w:ascii="Book Antiqua" w:hAnsi="Book Antiqua"/>
          <w:sz w:val="24"/>
        </w:rPr>
        <w:t>: 881-895.e17 [PMID: 31051106 DOI: 10.1016/j.cell.2019.04.010]</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3 </w:t>
      </w:r>
      <w:r w:rsidRPr="00ED06D9">
        <w:rPr>
          <w:rFonts w:ascii="Book Antiqua" w:hAnsi="Book Antiqua"/>
          <w:b/>
          <w:sz w:val="24"/>
        </w:rPr>
        <w:t>Burban A</w:t>
      </w:r>
      <w:r w:rsidRPr="00ED06D9">
        <w:rPr>
          <w:rFonts w:ascii="Book Antiqua" w:hAnsi="Book Antiqua"/>
          <w:sz w:val="24"/>
        </w:rPr>
        <w:t xml:space="preserve">, Sharanek A, Guguen-Guillouzo C, Guillouzo A. Endoplasmic reticulum stress precedes oxidative stress in antibiotic-induced cholestasis and cytotoxicity in human hepatocytes. </w:t>
      </w:r>
      <w:r w:rsidRPr="00ED06D9">
        <w:rPr>
          <w:rFonts w:ascii="Book Antiqua" w:hAnsi="Book Antiqua"/>
          <w:i/>
          <w:sz w:val="24"/>
        </w:rPr>
        <w:t>Free Radic Biol Med</w:t>
      </w:r>
      <w:r w:rsidRPr="00ED06D9">
        <w:rPr>
          <w:rFonts w:ascii="Book Antiqua" w:hAnsi="Book Antiqua"/>
          <w:sz w:val="24"/>
        </w:rPr>
        <w:t xml:space="preserve"> 2018; </w:t>
      </w:r>
      <w:r w:rsidRPr="00ED06D9">
        <w:rPr>
          <w:rFonts w:ascii="Book Antiqua" w:hAnsi="Book Antiqua"/>
          <w:b/>
          <w:sz w:val="24"/>
        </w:rPr>
        <w:t>115</w:t>
      </w:r>
      <w:r w:rsidRPr="00ED06D9">
        <w:rPr>
          <w:rFonts w:ascii="Book Antiqua" w:hAnsi="Book Antiqua"/>
          <w:sz w:val="24"/>
        </w:rPr>
        <w:t>: 166-178 [PMID: 29191461 DOI: 10.1016/j.freeradbiomed.2018.11.017]</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4 </w:t>
      </w:r>
      <w:r w:rsidRPr="00ED06D9">
        <w:rPr>
          <w:rFonts w:ascii="Book Antiqua" w:hAnsi="Book Antiqua"/>
          <w:b/>
          <w:sz w:val="24"/>
        </w:rPr>
        <w:t>Chen H</w:t>
      </w:r>
      <w:r w:rsidRPr="00ED06D9">
        <w:rPr>
          <w:rFonts w:ascii="Book Antiqua" w:hAnsi="Book Antiqua"/>
          <w:sz w:val="24"/>
        </w:rPr>
        <w:t xml:space="preserve">, He YW, Liu WQ, Zhang JH. Rosiglitazone prevents murine hepatic fibrosis induced by Schistosoma japonicum. </w:t>
      </w:r>
      <w:r w:rsidRPr="00ED06D9">
        <w:rPr>
          <w:rFonts w:ascii="Book Antiqua" w:hAnsi="Book Antiqua"/>
          <w:i/>
          <w:sz w:val="24"/>
        </w:rPr>
        <w:t>World J Gastroenterol</w:t>
      </w:r>
      <w:r w:rsidRPr="00ED06D9">
        <w:rPr>
          <w:rFonts w:ascii="Book Antiqua" w:hAnsi="Book Antiqua"/>
          <w:sz w:val="24"/>
        </w:rPr>
        <w:t xml:space="preserve"> 2008; </w:t>
      </w:r>
      <w:r w:rsidRPr="00ED06D9">
        <w:rPr>
          <w:rFonts w:ascii="Book Antiqua" w:hAnsi="Book Antiqua"/>
          <w:b/>
          <w:sz w:val="24"/>
        </w:rPr>
        <w:t>14</w:t>
      </w:r>
      <w:r w:rsidRPr="00ED06D9">
        <w:rPr>
          <w:rFonts w:ascii="Book Antiqua" w:hAnsi="Book Antiqua"/>
          <w:sz w:val="24"/>
        </w:rPr>
        <w:t>: 2905-2911 [PMID: 18473419 DOI: 10.3748/wjg.14.2905]</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5 </w:t>
      </w:r>
      <w:r w:rsidRPr="00ED06D9">
        <w:rPr>
          <w:rFonts w:ascii="Book Antiqua" w:hAnsi="Book Antiqua"/>
          <w:b/>
          <w:sz w:val="24"/>
        </w:rPr>
        <w:t>Hézode C</w:t>
      </w:r>
      <w:r w:rsidRPr="00ED06D9">
        <w:rPr>
          <w:rFonts w:ascii="Book Antiqua" w:hAnsi="Book Antiqua"/>
          <w:sz w:val="24"/>
        </w:rPr>
        <w:t xml:space="preserve">. Treatment of hepatitis C: Results in real life. </w:t>
      </w:r>
      <w:r w:rsidRPr="00ED06D9">
        <w:rPr>
          <w:rFonts w:ascii="Book Antiqua" w:hAnsi="Book Antiqua"/>
          <w:i/>
          <w:sz w:val="24"/>
        </w:rPr>
        <w:t>Liver Int</w:t>
      </w:r>
      <w:r w:rsidRPr="00ED06D9">
        <w:rPr>
          <w:rFonts w:ascii="Book Antiqua" w:hAnsi="Book Antiqua"/>
          <w:sz w:val="24"/>
        </w:rPr>
        <w:t xml:space="preserve"> 2018; </w:t>
      </w:r>
      <w:r w:rsidRPr="00ED06D9">
        <w:rPr>
          <w:rFonts w:ascii="Book Antiqua" w:hAnsi="Book Antiqua"/>
          <w:b/>
          <w:sz w:val="24"/>
        </w:rPr>
        <w:t>38 Suppl 1</w:t>
      </w:r>
      <w:r w:rsidRPr="00ED06D9">
        <w:rPr>
          <w:rFonts w:ascii="Book Antiqua" w:hAnsi="Book Antiqua"/>
          <w:sz w:val="24"/>
        </w:rPr>
        <w:t>: 21-27 [PMID: 29427481 DOI: 10.1111/liv.13638]</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6 </w:t>
      </w:r>
      <w:r w:rsidRPr="00ED06D9">
        <w:rPr>
          <w:rFonts w:ascii="Book Antiqua" w:hAnsi="Book Antiqua"/>
          <w:b/>
          <w:sz w:val="24"/>
        </w:rPr>
        <w:t>Lee YA</w:t>
      </w:r>
      <w:r w:rsidRPr="00ED06D9">
        <w:rPr>
          <w:rFonts w:ascii="Book Antiqua" w:hAnsi="Book Antiqua"/>
          <w:sz w:val="24"/>
        </w:rPr>
        <w:t xml:space="preserve">, Wallace MC, Friedman SL. Pathobiology of liver fibrosis: a translational success story. </w:t>
      </w:r>
      <w:r w:rsidRPr="00ED06D9">
        <w:rPr>
          <w:rFonts w:ascii="Book Antiqua" w:hAnsi="Book Antiqua"/>
          <w:i/>
          <w:sz w:val="24"/>
        </w:rPr>
        <w:t>Gut</w:t>
      </w:r>
      <w:r w:rsidRPr="00ED06D9">
        <w:rPr>
          <w:rFonts w:ascii="Book Antiqua" w:hAnsi="Book Antiqua"/>
          <w:sz w:val="24"/>
        </w:rPr>
        <w:t xml:space="preserve"> 2015; </w:t>
      </w:r>
      <w:r w:rsidRPr="00ED06D9">
        <w:rPr>
          <w:rFonts w:ascii="Book Antiqua" w:hAnsi="Book Antiqua"/>
          <w:b/>
          <w:sz w:val="24"/>
        </w:rPr>
        <w:t>64</w:t>
      </w:r>
      <w:r w:rsidRPr="00ED06D9">
        <w:rPr>
          <w:rFonts w:ascii="Book Antiqua" w:hAnsi="Book Antiqua"/>
          <w:sz w:val="24"/>
        </w:rPr>
        <w:t>: 830-841 [PMID: 25681399 DOI: 10.1136/gutjnl-2014-306842]</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7 </w:t>
      </w:r>
      <w:r w:rsidRPr="00ED06D9">
        <w:rPr>
          <w:rFonts w:ascii="Book Antiqua" w:hAnsi="Book Antiqua"/>
          <w:b/>
          <w:sz w:val="24"/>
        </w:rPr>
        <w:t>Choi W</w:t>
      </w:r>
      <w:r w:rsidRPr="00ED06D9">
        <w:rPr>
          <w:rFonts w:ascii="Book Antiqua" w:hAnsi="Book Antiqua"/>
          <w:sz w:val="24"/>
        </w:rPr>
        <w:t xml:space="preserve">, Chu J. The characteristics of the expression of heat shock proteins and COX-2 in the liver of hamsters infected with Clonorchis sinensis, and the change of endocrine hormones and cytokines. </w:t>
      </w:r>
      <w:r w:rsidRPr="00ED06D9">
        <w:rPr>
          <w:rFonts w:ascii="Book Antiqua" w:hAnsi="Book Antiqua"/>
          <w:i/>
          <w:sz w:val="24"/>
        </w:rPr>
        <w:t>Folia Parasitol (Praha)</w:t>
      </w:r>
      <w:r w:rsidRPr="00ED06D9">
        <w:rPr>
          <w:rFonts w:ascii="Book Antiqua" w:hAnsi="Book Antiqua"/>
          <w:sz w:val="24"/>
        </w:rPr>
        <w:t xml:space="preserve"> 2012; </w:t>
      </w:r>
      <w:r w:rsidRPr="00ED06D9">
        <w:rPr>
          <w:rFonts w:ascii="Book Antiqua" w:hAnsi="Book Antiqua"/>
          <w:b/>
          <w:sz w:val="24"/>
        </w:rPr>
        <w:t>59</w:t>
      </w:r>
      <w:r w:rsidRPr="00ED06D9">
        <w:rPr>
          <w:rFonts w:ascii="Book Antiqua" w:hAnsi="Book Antiqua"/>
          <w:sz w:val="24"/>
        </w:rPr>
        <w:t>: 255-263 [PMID: 23327006 DOI: 10.14411/fp.2012.036]</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8 </w:t>
      </w:r>
      <w:r w:rsidRPr="00ED06D9">
        <w:rPr>
          <w:rFonts w:ascii="Book Antiqua" w:hAnsi="Book Antiqua"/>
          <w:b/>
          <w:sz w:val="24"/>
        </w:rPr>
        <w:t>Han CY</w:t>
      </w:r>
      <w:r w:rsidRPr="00ED06D9">
        <w:rPr>
          <w:rFonts w:ascii="Book Antiqua" w:hAnsi="Book Antiqua"/>
          <w:sz w:val="24"/>
        </w:rPr>
        <w:t xml:space="preserve">, Rho HS, Kim A, Kim TH, Jang K, Jun DW, Kim JW, Kim B, Kim SG. FXR Inhibits Endoplasmic Reticulum Stress-Induced NLRP3 Inflammasome in Hepatocytes and Ameliorates Liver Injury. </w:t>
      </w:r>
      <w:r w:rsidRPr="00ED06D9">
        <w:rPr>
          <w:rFonts w:ascii="Book Antiqua" w:hAnsi="Book Antiqua"/>
          <w:i/>
          <w:sz w:val="24"/>
        </w:rPr>
        <w:t>Cell Rep</w:t>
      </w:r>
      <w:r w:rsidRPr="00ED06D9">
        <w:rPr>
          <w:rFonts w:ascii="Book Antiqua" w:hAnsi="Book Antiqua"/>
          <w:sz w:val="24"/>
        </w:rPr>
        <w:t xml:space="preserve"> 2018; </w:t>
      </w:r>
      <w:r w:rsidRPr="00ED06D9">
        <w:rPr>
          <w:rFonts w:ascii="Book Antiqua" w:hAnsi="Book Antiqua"/>
          <w:b/>
          <w:sz w:val="24"/>
        </w:rPr>
        <w:t>24</w:t>
      </w:r>
      <w:r w:rsidRPr="00ED06D9">
        <w:rPr>
          <w:rFonts w:ascii="Book Antiqua" w:hAnsi="Book Antiqua"/>
          <w:sz w:val="24"/>
        </w:rPr>
        <w:t>: 2985-2999 [PMID: 30208322 DOI: 10.1016/j.celrep.2018.07.068]</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9 </w:t>
      </w:r>
      <w:r w:rsidRPr="00ED06D9">
        <w:rPr>
          <w:rFonts w:ascii="Book Antiqua" w:hAnsi="Book Antiqua"/>
          <w:b/>
          <w:sz w:val="24"/>
        </w:rPr>
        <w:t>Zhang H</w:t>
      </w:r>
      <w:r w:rsidRPr="00ED06D9">
        <w:rPr>
          <w:rFonts w:ascii="Book Antiqua" w:hAnsi="Book Antiqua"/>
          <w:sz w:val="24"/>
        </w:rPr>
        <w:t xml:space="preserve">, Li J, Li L, Liu P, Wei Y, Qian Z. Ceramide enhances COX-2 expression and VSMC contractile hyperreactivity via ER stress signal activation. </w:t>
      </w:r>
      <w:r w:rsidRPr="00ED06D9">
        <w:rPr>
          <w:rFonts w:ascii="Book Antiqua" w:hAnsi="Book Antiqua"/>
          <w:i/>
          <w:sz w:val="24"/>
        </w:rPr>
        <w:t>Vascul Pharmacol</w:t>
      </w:r>
      <w:r w:rsidRPr="00ED06D9">
        <w:rPr>
          <w:rFonts w:ascii="Book Antiqua" w:hAnsi="Book Antiqua"/>
          <w:sz w:val="24"/>
        </w:rPr>
        <w:t xml:space="preserve"> 2017; </w:t>
      </w:r>
      <w:r w:rsidRPr="00ED06D9">
        <w:rPr>
          <w:rFonts w:ascii="Book Antiqua" w:hAnsi="Book Antiqua"/>
          <w:b/>
          <w:sz w:val="24"/>
        </w:rPr>
        <w:t>96-98</w:t>
      </w:r>
      <w:r w:rsidRPr="00ED06D9">
        <w:rPr>
          <w:rFonts w:ascii="Book Antiqua" w:hAnsi="Book Antiqua"/>
          <w:sz w:val="24"/>
        </w:rPr>
        <w:t>: 26-32 [PMID: 28797762 DOI: 10.1016/j.vph.2017.08.001]</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10 </w:t>
      </w:r>
      <w:r w:rsidRPr="00ED06D9">
        <w:rPr>
          <w:rFonts w:ascii="Book Antiqua" w:hAnsi="Book Antiqua"/>
          <w:b/>
          <w:sz w:val="24"/>
        </w:rPr>
        <w:t>Maiers JL</w:t>
      </w:r>
      <w:r w:rsidRPr="00ED06D9">
        <w:rPr>
          <w:rFonts w:ascii="Book Antiqua" w:hAnsi="Book Antiqua"/>
          <w:sz w:val="24"/>
        </w:rPr>
        <w:t xml:space="preserve">, Malhi H. Endoplasmic Reticulum Stress in Metabolic Liver Diseases and Hepatic Fibrosis. </w:t>
      </w:r>
      <w:r w:rsidRPr="00ED06D9">
        <w:rPr>
          <w:rFonts w:ascii="Book Antiqua" w:hAnsi="Book Antiqua"/>
          <w:i/>
          <w:sz w:val="24"/>
        </w:rPr>
        <w:t>Semin Liver Dis</w:t>
      </w:r>
      <w:r w:rsidRPr="00ED06D9">
        <w:rPr>
          <w:rFonts w:ascii="Book Antiqua" w:hAnsi="Book Antiqua"/>
          <w:sz w:val="24"/>
        </w:rPr>
        <w:t xml:space="preserve"> 2019; </w:t>
      </w:r>
      <w:r w:rsidRPr="00ED06D9">
        <w:rPr>
          <w:rFonts w:ascii="Book Antiqua" w:hAnsi="Book Antiqua"/>
          <w:b/>
          <w:sz w:val="24"/>
        </w:rPr>
        <w:t>39</w:t>
      </w:r>
      <w:r w:rsidRPr="00ED06D9">
        <w:rPr>
          <w:rFonts w:ascii="Book Antiqua" w:hAnsi="Book Antiqua"/>
          <w:sz w:val="24"/>
        </w:rPr>
        <w:t>: 235-248 [PMID: 30912096 DOI: 10.1055/s-0039-1681032]</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11 </w:t>
      </w:r>
      <w:r w:rsidRPr="00ED06D9">
        <w:rPr>
          <w:rFonts w:ascii="Book Antiqua" w:hAnsi="Book Antiqua"/>
          <w:b/>
          <w:sz w:val="24"/>
        </w:rPr>
        <w:t>Wang P</w:t>
      </w:r>
      <w:r w:rsidRPr="00ED06D9">
        <w:rPr>
          <w:rFonts w:ascii="Book Antiqua" w:hAnsi="Book Antiqua"/>
          <w:sz w:val="24"/>
        </w:rPr>
        <w:t xml:space="preserve">, Li J, Tao J, Sha B. The luminal domain of the ER stress sensor protein PERK binds misfolded proteins and thereby triggers PERK </w:t>
      </w:r>
      <w:r w:rsidRPr="00ED06D9">
        <w:rPr>
          <w:rFonts w:ascii="Book Antiqua" w:hAnsi="Book Antiqua"/>
          <w:sz w:val="24"/>
        </w:rPr>
        <w:lastRenderedPageBreak/>
        <w:t xml:space="preserve">oligomerization. </w:t>
      </w:r>
      <w:r w:rsidRPr="00ED06D9">
        <w:rPr>
          <w:rFonts w:ascii="Book Antiqua" w:hAnsi="Book Antiqua"/>
          <w:i/>
          <w:sz w:val="24"/>
        </w:rPr>
        <w:t>J Biol Chem</w:t>
      </w:r>
      <w:r w:rsidRPr="00ED06D9">
        <w:rPr>
          <w:rFonts w:ascii="Book Antiqua" w:hAnsi="Book Antiqua"/>
          <w:sz w:val="24"/>
        </w:rPr>
        <w:t xml:space="preserve"> 2018; </w:t>
      </w:r>
      <w:r w:rsidRPr="00ED06D9">
        <w:rPr>
          <w:rFonts w:ascii="Book Antiqua" w:hAnsi="Book Antiqua"/>
          <w:b/>
          <w:sz w:val="24"/>
        </w:rPr>
        <w:t>293</w:t>
      </w:r>
      <w:r w:rsidRPr="00ED06D9">
        <w:rPr>
          <w:rFonts w:ascii="Book Antiqua" w:hAnsi="Book Antiqua"/>
          <w:sz w:val="24"/>
        </w:rPr>
        <w:t>: 4110-4121 [PMID: 29386355 DOI: 10.1074/jbc.RA117.001294]</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12 </w:t>
      </w:r>
      <w:r w:rsidRPr="00ED06D9">
        <w:rPr>
          <w:rFonts w:ascii="Book Antiqua" w:hAnsi="Book Antiqua"/>
          <w:b/>
          <w:sz w:val="24"/>
        </w:rPr>
        <w:t>Bocca C</w:t>
      </w:r>
      <w:r w:rsidRPr="00ED06D9">
        <w:rPr>
          <w:rFonts w:ascii="Book Antiqua" w:hAnsi="Book Antiqua"/>
          <w:sz w:val="24"/>
        </w:rPr>
        <w:t xml:space="preserve">, Novo E, Miglietta A, Parola M. Angiogenesis and Fibrogenesis in Chronic Liver Diseases. </w:t>
      </w:r>
      <w:r w:rsidRPr="00ED06D9">
        <w:rPr>
          <w:rFonts w:ascii="Book Antiqua" w:hAnsi="Book Antiqua"/>
          <w:i/>
          <w:sz w:val="24"/>
        </w:rPr>
        <w:t>Cell Mol Gastroenterol Hepatol</w:t>
      </w:r>
      <w:r w:rsidRPr="00ED06D9">
        <w:rPr>
          <w:rFonts w:ascii="Book Antiqua" w:hAnsi="Book Antiqua"/>
          <w:sz w:val="24"/>
        </w:rPr>
        <w:t xml:space="preserve"> 2015; </w:t>
      </w:r>
      <w:r w:rsidRPr="00ED06D9">
        <w:rPr>
          <w:rFonts w:ascii="Book Antiqua" w:hAnsi="Book Antiqua"/>
          <w:b/>
          <w:sz w:val="24"/>
        </w:rPr>
        <w:t>1</w:t>
      </w:r>
      <w:r w:rsidRPr="00ED06D9">
        <w:rPr>
          <w:rFonts w:ascii="Book Antiqua" w:hAnsi="Book Antiqua"/>
          <w:sz w:val="24"/>
        </w:rPr>
        <w:t>: 477-488 [PMID: 28210697 DOI: 10.1016/j.jcmgh.2015.06.011]</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13 </w:t>
      </w:r>
      <w:r w:rsidRPr="00ED06D9">
        <w:rPr>
          <w:rFonts w:ascii="Book Antiqua" w:hAnsi="Book Antiqua"/>
          <w:b/>
          <w:sz w:val="24"/>
        </w:rPr>
        <w:t>Chen RJ</w:t>
      </w:r>
      <w:r w:rsidRPr="00ED06D9">
        <w:rPr>
          <w:rFonts w:ascii="Book Antiqua" w:hAnsi="Book Antiqua"/>
          <w:sz w:val="24"/>
        </w:rPr>
        <w:t xml:space="preserve">, Wu HH, Wang YJ. Strategies to prevent and reverse liver fibrosis in humans and laboratory animals. </w:t>
      </w:r>
      <w:r w:rsidRPr="00ED06D9">
        <w:rPr>
          <w:rFonts w:ascii="Book Antiqua" w:hAnsi="Book Antiqua"/>
          <w:i/>
          <w:sz w:val="24"/>
        </w:rPr>
        <w:t>Arch Toxicol</w:t>
      </w:r>
      <w:r w:rsidRPr="00ED06D9">
        <w:rPr>
          <w:rFonts w:ascii="Book Antiqua" w:hAnsi="Book Antiqua"/>
          <w:sz w:val="24"/>
        </w:rPr>
        <w:t xml:space="preserve"> 2015; </w:t>
      </w:r>
      <w:r w:rsidRPr="00ED06D9">
        <w:rPr>
          <w:rFonts w:ascii="Book Antiqua" w:hAnsi="Book Antiqua"/>
          <w:b/>
          <w:sz w:val="24"/>
        </w:rPr>
        <w:t>89</w:t>
      </w:r>
      <w:r w:rsidRPr="00ED06D9">
        <w:rPr>
          <w:rFonts w:ascii="Book Antiqua" w:hAnsi="Book Antiqua"/>
          <w:sz w:val="24"/>
        </w:rPr>
        <w:t>: 1727-1750 [PMID: 25963329 DOI: 10.1007/s00204-015-1525-6]</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14 </w:t>
      </w:r>
      <w:r w:rsidRPr="00ED06D9">
        <w:rPr>
          <w:rFonts w:ascii="Book Antiqua" w:hAnsi="Book Antiqua"/>
          <w:b/>
          <w:sz w:val="24"/>
        </w:rPr>
        <w:t>Liu Z</w:t>
      </w:r>
      <w:r w:rsidRPr="00ED06D9">
        <w:rPr>
          <w:rFonts w:ascii="Book Antiqua" w:hAnsi="Book Antiqua"/>
          <w:sz w:val="24"/>
        </w:rPr>
        <w:t xml:space="preserve">, Li C, Kang N, Malhi H, Shah VH, Maiers JL. Transforming growth factor β (TGFβ) cross-talk with the unfolded protein response is critical for hepatic stellate cell activation. </w:t>
      </w:r>
      <w:r w:rsidRPr="00ED06D9">
        <w:rPr>
          <w:rFonts w:ascii="Book Antiqua" w:hAnsi="Book Antiqua"/>
          <w:i/>
          <w:sz w:val="24"/>
        </w:rPr>
        <w:t>J Biol Chem</w:t>
      </w:r>
      <w:r w:rsidRPr="00ED06D9">
        <w:rPr>
          <w:rFonts w:ascii="Book Antiqua" w:hAnsi="Book Antiqua"/>
          <w:sz w:val="24"/>
        </w:rPr>
        <w:t xml:space="preserve"> 2019; </w:t>
      </w:r>
      <w:r w:rsidRPr="00ED06D9">
        <w:rPr>
          <w:rFonts w:ascii="Book Antiqua" w:hAnsi="Book Antiqua"/>
          <w:b/>
          <w:sz w:val="24"/>
        </w:rPr>
        <w:t>294</w:t>
      </w:r>
      <w:r w:rsidRPr="00ED06D9">
        <w:rPr>
          <w:rFonts w:ascii="Book Antiqua" w:hAnsi="Book Antiqua"/>
          <w:sz w:val="24"/>
        </w:rPr>
        <w:t>: 3137-3151 [PMID: 30610118 DOI: 10.1074/jbc.RA118.005761]</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15 </w:t>
      </w:r>
      <w:r w:rsidRPr="00ED06D9">
        <w:rPr>
          <w:rFonts w:ascii="Book Antiqua" w:hAnsi="Book Antiqua"/>
          <w:b/>
          <w:sz w:val="24"/>
        </w:rPr>
        <w:t>Fang XS</w:t>
      </w:r>
      <w:r w:rsidRPr="00ED06D9">
        <w:rPr>
          <w:rFonts w:ascii="Book Antiqua" w:hAnsi="Book Antiqua"/>
          <w:sz w:val="24"/>
        </w:rPr>
        <w:t xml:space="preserve">, Zhang MH, Guo JY, Jin Z. Effects of insulin-like growth factor-1 on endoplasmic reticulum stress and autophagy in rat gastric smooth muscle cells cultured at different glucose concentrations in vitro. </w:t>
      </w:r>
      <w:r w:rsidRPr="00ED06D9">
        <w:rPr>
          <w:rFonts w:ascii="Book Antiqua" w:hAnsi="Book Antiqua"/>
          <w:i/>
          <w:sz w:val="24"/>
        </w:rPr>
        <w:t>Mol Cell Biochem</w:t>
      </w:r>
      <w:r w:rsidRPr="00ED06D9">
        <w:rPr>
          <w:rFonts w:ascii="Book Antiqua" w:hAnsi="Book Antiqua"/>
          <w:sz w:val="24"/>
        </w:rPr>
        <w:t xml:space="preserve"> 2019; </w:t>
      </w:r>
      <w:r w:rsidRPr="00ED06D9">
        <w:rPr>
          <w:rFonts w:ascii="Book Antiqua" w:hAnsi="Book Antiqua"/>
          <w:b/>
          <w:sz w:val="24"/>
        </w:rPr>
        <w:t>451</w:t>
      </w:r>
      <w:r w:rsidRPr="00ED06D9">
        <w:rPr>
          <w:rFonts w:ascii="Book Antiqua" w:hAnsi="Book Antiqua"/>
          <w:sz w:val="24"/>
        </w:rPr>
        <w:t>: 11-20 [PMID: 30008033 DOI: 10.1007/s11010-018-3388-7]</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16 </w:t>
      </w:r>
      <w:r w:rsidRPr="00ED06D9">
        <w:rPr>
          <w:rFonts w:ascii="Book Antiqua" w:hAnsi="Book Antiqua"/>
          <w:b/>
          <w:sz w:val="24"/>
        </w:rPr>
        <w:t>Jeong SW</w:t>
      </w:r>
      <w:r w:rsidRPr="00ED06D9">
        <w:rPr>
          <w:rFonts w:ascii="Book Antiqua" w:hAnsi="Book Antiqua"/>
          <w:sz w:val="24"/>
        </w:rPr>
        <w:t xml:space="preserve">, Jang JY, Lee SH, Kim SG, Cheon YK, Kim YS, Cho YD, Kim HS, Lee JS, Jin SY, Shim CS, Kim BS. Increased expression of cyclooxygenase-2 is associated with the progression to cirrhosis. </w:t>
      </w:r>
      <w:r w:rsidRPr="00ED06D9">
        <w:rPr>
          <w:rFonts w:ascii="Book Antiqua" w:hAnsi="Book Antiqua"/>
          <w:i/>
          <w:sz w:val="24"/>
        </w:rPr>
        <w:t>Korean J Intern Med</w:t>
      </w:r>
      <w:r w:rsidRPr="00ED06D9">
        <w:rPr>
          <w:rFonts w:ascii="Book Antiqua" w:hAnsi="Book Antiqua"/>
          <w:sz w:val="24"/>
        </w:rPr>
        <w:t xml:space="preserve"> 2010; </w:t>
      </w:r>
      <w:r w:rsidRPr="00ED06D9">
        <w:rPr>
          <w:rFonts w:ascii="Book Antiqua" w:hAnsi="Book Antiqua"/>
          <w:b/>
          <w:sz w:val="24"/>
        </w:rPr>
        <w:t>25</w:t>
      </w:r>
      <w:r w:rsidRPr="00ED06D9">
        <w:rPr>
          <w:rFonts w:ascii="Book Antiqua" w:hAnsi="Book Antiqua"/>
          <w:sz w:val="24"/>
        </w:rPr>
        <w:t>: 364-371 [PMID: 21179273 DOI: 10.3904/kjim.2010.25.4.364]</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17 </w:t>
      </w:r>
      <w:r w:rsidRPr="00ED06D9">
        <w:rPr>
          <w:rFonts w:ascii="Book Antiqua" w:hAnsi="Book Antiqua"/>
          <w:b/>
          <w:sz w:val="24"/>
        </w:rPr>
        <w:t>Gao JH</w:t>
      </w:r>
      <w:r w:rsidRPr="00ED06D9">
        <w:rPr>
          <w:rFonts w:ascii="Book Antiqua" w:hAnsi="Book Antiqua"/>
          <w:sz w:val="24"/>
        </w:rPr>
        <w:t xml:space="preserve">, Wen SL, Yang WJ, Lu YY, Tong H, Huang ZY, Liu ZX, Tang CW. Celecoxib ameliorates portal hypertension of the cirrhotic rats through the dual inhibitory effects on the intrahepatic fibrosis and angiogenesis. </w:t>
      </w:r>
      <w:r w:rsidRPr="00ED06D9">
        <w:rPr>
          <w:rFonts w:ascii="Book Antiqua" w:hAnsi="Book Antiqua"/>
          <w:i/>
          <w:sz w:val="24"/>
        </w:rPr>
        <w:t>PLoS One</w:t>
      </w:r>
      <w:r w:rsidRPr="00ED06D9">
        <w:rPr>
          <w:rFonts w:ascii="Book Antiqua" w:hAnsi="Book Antiqua"/>
          <w:sz w:val="24"/>
        </w:rPr>
        <w:t xml:space="preserve"> 2013; </w:t>
      </w:r>
      <w:r w:rsidRPr="00ED06D9">
        <w:rPr>
          <w:rFonts w:ascii="Book Antiqua" w:hAnsi="Book Antiqua"/>
          <w:b/>
          <w:sz w:val="24"/>
        </w:rPr>
        <w:t>8</w:t>
      </w:r>
      <w:r w:rsidRPr="00ED06D9">
        <w:rPr>
          <w:rFonts w:ascii="Book Antiqua" w:hAnsi="Book Antiqua"/>
          <w:sz w:val="24"/>
        </w:rPr>
        <w:t>: e69309 [PMID: 23922700 DOI: 10.1371/journal.pone.0069309]</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18 </w:t>
      </w:r>
      <w:r w:rsidRPr="00ED06D9">
        <w:rPr>
          <w:rFonts w:ascii="Book Antiqua" w:hAnsi="Book Antiqua"/>
          <w:b/>
          <w:sz w:val="24"/>
        </w:rPr>
        <w:t>Wen SL</w:t>
      </w:r>
      <w:r w:rsidRPr="00ED06D9">
        <w:rPr>
          <w:rFonts w:ascii="Book Antiqua" w:hAnsi="Book Antiqua"/>
          <w:sz w:val="24"/>
        </w:rPr>
        <w:t xml:space="preserve">, Gao JH, Yang WJ, Lu YY, Tong H, Huang ZY, Liu ZX, Tang CW. Celecoxib attenuates hepatic cirrhosis through inhibition of epithelial-to-mesenchymal transition of hepatocytes. </w:t>
      </w:r>
      <w:r w:rsidRPr="00ED06D9">
        <w:rPr>
          <w:rFonts w:ascii="Book Antiqua" w:hAnsi="Book Antiqua"/>
          <w:i/>
          <w:sz w:val="24"/>
        </w:rPr>
        <w:t>J Gastroenterol Hepatol</w:t>
      </w:r>
      <w:r w:rsidRPr="00ED06D9">
        <w:rPr>
          <w:rFonts w:ascii="Book Antiqua" w:hAnsi="Book Antiqua"/>
          <w:sz w:val="24"/>
        </w:rPr>
        <w:t xml:space="preserve"> 2014; </w:t>
      </w:r>
      <w:r w:rsidRPr="00ED06D9">
        <w:rPr>
          <w:rFonts w:ascii="Book Antiqua" w:hAnsi="Book Antiqua"/>
          <w:b/>
          <w:sz w:val="24"/>
        </w:rPr>
        <w:t>29</w:t>
      </w:r>
      <w:r w:rsidRPr="00ED06D9">
        <w:rPr>
          <w:rFonts w:ascii="Book Antiqua" w:hAnsi="Book Antiqua"/>
          <w:sz w:val="24"/>
        </w:rPr>
        <w:t>: 1932-1942 [PMID: 24909904 DOI: 10.1111/jgh.12641]</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19 </w:t>
      </w:r>
      <w:r w:rsidRPr="00ED06D9">
        <w:rPr>
          <w:rFonts w:ascii="Book Antiqua" w:hAnsi="Book Antiqua"/>
          <w:b/>
          <w:sz w:val="24"/>
        </w:rPr>
        <w:t>Davies NM</w:t>
      </w:r>
      <w:r w:rsidRPr="00ED06D9">
        <w:rPr>
          <w:rFonts w:ascii="Book Antiqua" w:hAnsi="Book Antiqua"/>
          <w:sz w:val="24"/>
        </w:rPr>
        <w:t xml:space="preserve">, McLachlan AJ, Day RO, Williams KM. Clinical pharmacokinetics and pharmacodynamics of celecoxib: a selective cyclo-oxygenase-2 inhibitor. </w:t>
      </w:r>
      <w:r w:rsidRPr="00ED06D9">
        <w:rPr>
          <w:rFonts w:ascii="Book Antiqua" w:hAnsi="Book Antiqua"/>
          <w:i/>
          <w:sz w:val="24"/>
        </w:rPr>
        <w:t>Clin Pharmacokinet</w:t>
      </w:r>
      <w:r w:rsidRPr="00ED06D9">
        <w:rPr>
          <w:rFonts w:ascii="Book Antiqua" w:hAnsi="Book Antiqua"/>
          <w:sz w:val="24"/>
        </w:rPr>
        <w:t xml:space="preserve"> 2000; </w:t>
      </w:r>
      <w:r w:rsidRPr="00ED06D9">
        <w:rPr>
          <w:rFonts w:ascii="Book Antiqua" w:hAnsi="Book Antiqua"/>
          <w:b/>
          <w:sz w:val="24"/>
        </w:rPr>
        <w:t>38</w:t>
      </w:r>
      <w:r w:rsidRPr="00ED06D9">
        <w:rPr>
          <w:rFonts w:ascii="Book Antiqua" w:hAnsi="Book Antiqua"/>
          <w:sz w:val="24"/>
        </w:rPr>
        <w:t xml:space="preserve">: 225-242 [PMID: </w:t>
      </w:r>
      <w:r w:rsidRPr="00ED06D9">
        <w:rPr>
          <w:rFonts w:ascii="Book Antiqua" w:hAnsi="Book Antiqua"/>
          <w:sz w:val="24"/>
        </w:rPr>
        <w:lastRenderedPageBreak/>
        <w:t>10749518 DOI: 10.2165/00003088-200038030-00003]</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20 </w:t>
      </w:r>
      <w:r w:rsidRPr="00ED06D9">
        <w:rPr>
          <w:rFonts w:ascii="Book Antiqua" w:hAnsi="Book Antiqua"/>
          <w:b/>
          <w:sz w:val="24"/>
        </w:rPr>
        <w:t>Paik YH</w:t>
      </w:r>
      <w:r w:rsidRPr="00ED06D9">
        <w:rPr>
          <w:rFonts w:ascii="Book Antiqua" w:hAnsi="Book Antiqua"/>
          <w:sz w:val="24"/>
        </w:rPr>
        <w:t xml:space="preserve">, Kim JK, Lee JI, Kang SH, Kim DY, An SH, Lee SJ, Lee DK, Han KH, Chon CY, Lee SI, Lee KS, Brenner DA. Celecoxib induces hepatic stellate cell apoptosis through inhibition of Akt activation and suppresses hepatic fibrosis in rats. </w:t>
      </w:r>
      <w:r w:rsidRPr="00ED06D9">
        <w:rPr>
          <w:rFonts w:ascii="Book Antiqua" w:hAnsi="Book Antiqua"/>
          <w:i/>
          <w:sz w:val="24"/>
        </w:rPr>
        <w:t>Gut</w:t>
      </w:r>
      <w:r w:rsidRPr="00ED06D9">
        <w:rPr>
          <w:rFonts w:ascii="Book Antiqua" w:hAnsi="Book Antiqua"/>
          <w:sz w:val="24"/>
        </w:rPr>
        <w:t xml:space="preserve"> 2009; </w:t>
      </w:r>
      <w:r w:rsidRPr="00ED06D9">
        <w:rPr>
          <w:rFonts w:ascii="Book Antiqua" w:hAnsi="Book Antiqua"/>
          <w:b/>
          <w:sz w:val="24"/>
        </w:rPr>
        <w:t>58</w:t>
      </w:r>
      <w:r w:rsidRPr="00ED06D9">
        <w:rPr>
          <w:rFonts w:ascii="Book Antiqua" w:hAnsi="Book Antiqua"/>
          <w:sz w:val="24"/>
        </w:rPr>
        <w:t>: 1517-1527 [PMID: 19201774 DOI: 10.1136/gut.2008.157420]</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21 </w:t>
      </w:r>
      <w:r w:rsidRPr="00ED06D9">
        <w:rPr>
          <w:rFonts w:ascii="Book Antiqua" w:hAnsi="Book Antiqua"/>
          <w:b/>
          <w:sz w:val="24"/>
        </w:rPr>
        <w:t>Takahara M</w:t>
      </w:r>
      <w:r w:rsidRPr="00ED06D9">
        <w:rPr>
          <w:rFonts w:ascii="Book Antiqua" w:hAnsi="Book Antiqua"/>
          <w:sz w:val="24"/>
        </w:rPr>
        <w:t xml:space="preserve">, Shimomura I. Metabolic syndrome and lifestyle modification. </w:t>
      </w:r>
      <w:r w:rsidRPr="00ED06D9">
        <w:rPr>
          <w:rFonts w:ascii="Book Antiqua" w:hAnsi="Book Antiqua"/>
          <w:i/>
          <w:sz w:val="24"/>
        </w:rPr>
        <w:t>Rev Endocr Metab Disord</w:t>
      </w:r>
      <w:r w:rsidRPr="00ED06D9">
        <w:rPr>
          <w:rFonts w:ascii="Book Antiqua" w:hAnsi="Book Antiqua"/>
          <w:sz w:val="24"/>
        </w:rPr>
        <w:t xml:space="preserve"> 2014; </w:t>
      </w:r>
      <w:r w:rsidRPr="00ED06D9">
        <w:rPr>
          <w:rFonts w:ascii="Book Antiqua" w:hAnsi="Book Antiqua"/>
          <w:b/>
          <w:sz w:val="24"/>
        </w:rPr>
        <w:t>15</w:t>
      </w:r>
      <w:r w:rsidRPr="00ED06D9">
        <w:rPr>
          <w:rFonts w:ascii="Book Antiqua" w:hAnsi="Book Antiqua"/>
          <w:sz w:val="24"/>
        </w:rPr>
        <w:t>: 317-327 [PMID: 25263290 DOI: 10.1007/s11154-014-9294-8]</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22 </w:t>
      </w:r>
      <w:r w:rsidRPr="00ED06D9">
        <w:rPr>
          <w:rFonts w:ascii="Book Antiqua" w:hAnsi="Book Antiqua"/>
          <w:b/>
          <w:sz w:val="24"/>
        </w:rPr>
        <w:t>Wisse E</w:t>
      </w:r>
      <w:r w:rsidRPr="00ED06D9">
        <w:rPr>
          <w:rFonts w:ascii="Book Antiqua" w:hAnsi="Book Antiqua"/>
          <w:sz w:val="24"/>
        </w:rPr>
        <w:t xml:space="preserve">, Braet F, Duimel H, Vreuls C, Koek G, Olde Damink SW, van den Broek MA, De Geest B, Dejong CH, Tateno C, Frederik P. Fixation methods for electron microscopy of human and other liver. </w:t>
      </w:r>
      <w:r w:rsidRPr="00ED06D9">
        <w:rPr>
          <w:rFonts w:ascii="Book Antiqua" w:hAnsi="Book Antiqua"/>
          <w:i/>
          <w:sz w:val="24"/>
        </w:rPr>
        <w:t>World J Gastroenterol</w:t>
      </w:r>
      <w:r w:rsidRPr="00ED06D9">
        <w:rPr>
          <w:rFonts w:ascii="Book Antiqua" w:hAnsi="Book Antiqua"/>
          <w:sz w:val="24"/>
        </w:rPr>
        <w:t xml:space="preserve"> 2010; </w:t>
      </w:r>
      <w:r w:rsidRPr="00ED06D9">
        <w:rPr>
          <w:rFonts w:ascii="Book Antiqua" w:hAnsi="Book Antiqua"/>
          <w:b/>
          <w:sz w:val="24"/>
        </w:rPr>
        <w:t>16</w:t>
      </w:r>
      <w:r w:rsidRPr="00ED06D9">
        <w:rPr>
          <w:rFonts w:ascii="Book Antiqua" w:hAnsi="Book Antiqua"/>
          <w:sz w:val="24"/>
        </w:rPr>
        <w:t>: 2851-2866 [PMID: 20556830 DOI: 10.3748/wjg.v16.i23.2851]</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23 </w:t>
      </w:r>
      <w:r w:rsidRPr="00ED06D9">
        <w:rPr>
          <w:rFonts w:ascii="Book Antiqua" w:hAnsi="Book Antiqua"/>
          <w:b/>
          <w:sz w:val="24"/>
        </w:rPr>
        <w:t>Bertolotti A</w:t>
      </w:r>
      <w:r w:rsidRPr="00ED06D9">
        <w:rPr>
          <w:rFonts w:ascii="Book Antiqua" w:hAnsi="Book Antiqua"/>
          <w:sz w:val="24"/>
        </w:rPr>
        <w:t xml:space="preserve">, Zhang Y, Hendershot LM, Harding HP, Ron D. Dynamic interaction of BiP and ER stress transducers in the unfolded-protein response. </w:t>
      </w:r>
      <w:r w:rsidRPr="00ED06D9">
        <w:rPr>
          <w:rFonts w:ascii="Book Antiqua" w:hAnsi="Book Antiqua"/>
          <w:i/>
          <w:sz w:val="24"/>
        </w:rPr>
        <w:t>Nat Cell Biol</w:t>
      </w:r>
      <w:r w:rsidRPr="00ED06D9">
        <w:rPr>
          <w:rFonts w:ascii="Book Antiqua" w:hAnsi="Book Antiqua"/>
          <w:sz w:val="24"/>
        </w:rPr>
        <w:t xml:space="preserve"> 2000; </w:t>
      </w:r>
      <w:r w:rsidRPr="00ED06D9">
        <w:rPr>
          <w:rFonts w:ascii="Book Antiqua" w:hAnsi="Book Antiqua"/>
          <w:b/>
          <w:sz w:val="24"/>
        </w:rPr>
        <w:t>2</w:t>
      </w:r>
      <w:r w:rsidRPr="00ED06D9">
        <w:rPr>
          <w:rFonts w:ascii="Book Antiqua" w:hAnsi="Book Antiqua"/>
          <w:sz w:val="24"/>
        </w:rPr>
        <w:t>: 326-332 [PMID: 10854322 DOI: 10.1038/35014014]</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24 </w:t>
      </w:r>
      <w:r w:rsidRPr="00ED06D9">
        <w:rPr>
          <w:rFonts w:ascii="Book Antiqua" w:hAnsi="Book Antiqua"/>
          <w:b/>
          <w:sz w:val="24"/>
        </w:rPr>
        <w:t>Hernandez-Gea V</w:t>
      </w:r>
      <w:r w:rsidRPr="00ED06D9">
        <w:rPr>
          <w:rFonts w:ascii="Book Antiqua" w:hAnsi="Book Antiqua"/>
          <w:sz w:val="24"/>
        </w:rPr>
        <w:t xml:space="preserve">, Friedman SL. Pathogenesis of liver fibrosis. </w:t>
      </w:r>
      <w:r w:rsidRPr="00ED06D9">
        <w:rPr>
          <w:rFonts w:ascii="Book Antiqua" w:hAnsi="Book Antiqua"/>
          <w:i/>
          <w:sz w:val="24"/>
        </w:rPr>
        <w:t>Annu Rev Pathol</w:t>
      </w:r>
      <w:r w:rsidRPr="00ED06D9">
        <w:rPr>
          <w:rFonts w:ascii="Book Antiqua" w:hAnsi="Book Antiqua"/>
          <w:sz w:val="24"/>
        </w:rPr>
        <w:t xml:space="preserve"> 2011; </w:t>
      </w:r>
      <w:r w:rsidRPr="00ED06D9">
        <w:rPr>
          <w:rFonts w:ascii="Book Antiqua" w:hAnsi="Book Antiqua"/>
          <w:b/>
          <w:sz w:val="24"/>
        </w:rPr>
        <w:t>6</w:t>
      </w:r>
      <w:r w:rsidRPr="00ED06D9">
        <w:rPr>
          <w:rFonts w:ascii="Book Antiqua" w:hAnsi="Book Antiqua"/>
          <w:sz w:val="24"/>
        </w:rPr>
        <w:t>: 425-456 [PMID: 21073339 DOI: 10.1146/annurev-pathol-011110-130246]</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25 </w:t>
      </w:r>
      <w:r w:rsidRPr="00ED06D9">
        <w:rPr>
          <w:rFonts w:ascii="Book Antiqua" w:hAnsi="Book Antiqua"/>
          <w:b/>
          <w:sz w:val="24"/>
        </w:rPr>
        <w:t>Popov Y</w:t>
      </w:r>
      <w:r w:rsidRPr="00ED06D9">
        <w:rPr>
          <w:rFonts w:ascii="Book Antiqua" w:hAnsi="Book Antiqua"/>
          <w:sz w:val="24"/>
        </w:rPr>
        <w:t xml:space="preserve">, Schuppan D. Targeting liver fibrosis: strategies for development and validation of antifibrotic therapies. </w:t>
      </w:r>
      <w:r w:rsidRPr="00ED06D9">
        <w:rPr>
          <w:rFonts w:ascii="Book Antiqua" w:hAnsi="Book Antiqua"/>
          <w:i/>
          <w:sz w:val="24"/>
        </w:rPr>
        <w:t>Hepatology</w:t>
      </w:r>
      <w:r w:rsidRPr="00ED06D9">
        <w:rPr>
          <w:rFonts w:ascii="Book Antiqua" w:hAnsi="Book Antiqua"/>
          <w:sz w:val="24"/>
        </w:rPr>
        <w:t xml:space="preserve"> 2009; </w:t>
      </w:r>
      <w:r w:rsidRPr="00ED06D9">
        <w:rPr>
          <w:rFonts w:ascii="Book Antiqua" w:hAnsi="Book Antiqua"/>
          <w:b/>
          <w:sz w:val="24"/>
        </w:rPr>
        <w:t>50</w:t>
      </w:r>
      <w:r w:rsidRPr="00ED06D9">
        <w:rPr>
          <w:rFonts w:ascii="Book Antiqua" w:hAnsi="Book Antiqua"/>
          <w:sz w:val="24"/>
        </w:rPr>
        <w:t>: 1294-1306 [PMID: 19711424 DOI: 10.1002/hep.23123]</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26 </w:t>
      </w:r>
      <w:r w:rsidRPr="00ED06D9">
        <w:rPr>
          <w:rFonts w:ascii="Book Antiqua" w:hAnsi="Book Antiqua"/>
          <w:b/>
          <w:sz w:val="24"/>
        </w:rPr>
        <w:t>Iwaisako K</w:t>
      </w:r>
      <w:r w:rsidRPr="00ED06D9">
        <w:rPr>
          <w:rFonts w:ascii="Book Antiqua" w:hAnsi="Book Antiqua"/>
          <w:sz w:val="24"/>
        </w:rPr>
        <w:t xml:space="preserve">, Brenner DA, Kisseleva T. What's new in liver fibrosis? The origin of myofibroblasts in liver fibrosis. </w:t>
      </w:r>
      <w:r w:rsidRPr="00ED06D9">
        <w:rPr>
          <w:rFonts w:ascii="Book Antiqua" w:hAnsi="Book Antiqua"/>
          <w:i/>
          <w:sz w:val="24"/>
        </w:rPr>
        <w:t>J Gastroenterol Hepatol</w:t>
      </w:r>
      <w:r w:rsidRPr="00ED06D9">
        <w:rPr>
          <w:rFonts w:ascii="Book Antiqua" w:hAnsi="Book Antiqua"/>
          <w:sz w:val="24"/>
        </w:rPr>
        <w:t xml:space="preserve"> 2012; </w:t>
      </w:r>
      <w:r w:rsidRPr="00ED06D9">
        <w:rPr>
          <w:rFonts w:ascii="Book Antiqua" w:hAnsi="Book Antiqua"/>
          <w:b/>
          <w:sz w:val="24"/>
        </w:rPr>
        <w:t>27 Suppl 2</w:t>
      </w:r>
      <w:r w:rsidRPr="00ED06D9">
        <w:rPr>
          <w:rFonts w:ascii="Book Antiqua" w:hAnsi="Book Antiqua"/>
          <w:sz w:val="24"/>
        </w:rPr>
        <w:t>: 65-68 [PMID: 22320919 DOI: 10.1111/j.1440-1746.2011.07002.x]</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27 </w:t>
      </w:r>
      <w:r w:rsidRPr="00ED06D9">
        <w:rPr>
          <w:rFonts w:ascii="Book Antiqua" w:hAnsi="Book Antiqua"/>
          <w:b/>
          <w:sz w:val="24"/>
        </w:rPr>
        <w:t>Nakagawa T</w:t>
      </w:r>
      <w:r w:rsidRPr="00ED06D9">
        <w:rPr>
          <w:rFonts w:ascii="Book Antiqua" w:hAnsi="Book Antiqua"/>
          <w:sz w:val="24"/>
        </w:rPr>
        <w:t xml:space="preserve">, Zhu H, Morishima N, Li E, Xu J, Yankner BA, Yuan J. Caspase-12 mediates endoplasmic-reticulum-specific apoptosis and cytotoxicity by amyloid-beta. </w:t>
      </w:r>
      <w:r w:rsidRPr="00ED06D9">
        <w:rPr>
          <w:rFonts w:ascii="Book Antiqua" w:hAnsi="Book Antiqua"/>
          <w:i/>
          <w:sz w:val="24"/>
        </w:rPr>
        <w:t>Nature</w:t>
      </w:r>
      <w:r w:rsidRPr="00ED06D9">
        <w:rPr>
          <w:rFonts w:ascii="Book Antiqua" w:hAnsi="Book Antiqua"/>
          <w:sz w:val="24"/>
        </w:rPr>
        <w:t xml:space="preserve"> 2000; </w:t>
      </w:r>
      <w:r w:rsidRPr="00ED06D9">
        <w:rPr>
          <w:rFonts w:ascii="Book Antiqua" w:hAnsi="Book Antiqua"/>
          <w:b/>
          <w:sz w:val="24"/>
        </w:rPr>
        <w:t>403</w:t>
      </w:r>
      <w:r w:rsidRPr="00ED06D9">
        <w:rPr>
          <w:rFonts w:ascii="Book Antiqua" w:hAnsi="Book Antiqua"/>
          <w:sz w:val="24"/>
        </w:rPr>
        <w:t>: 98-103 [PMID: 10638761 DOI: 10.1038/47513]</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28 </w:t>
      </w:r>
      <w:r w:rsidRPr="00ED06D9">
        <w:rPr>
          <w:rFonts w:ascii="Book Antiqua" w:hAnsi="Book Antiqua"/>
          <w:b/>
          <w:sz w:val="24"/>
        </w:rPr>
        <w:t>Lee AH</w:t>
      </w:r>
      <w:r w:rsidRPr="00ED06D9">
        <w:rPr>
          <w:rFonts w:ascii="Book Antiqua" w:hAnsi="Book Antiqua"/>
          <w:sz w:val="24"/>
        </w:rPr>
        <w:t xml:space="preserve">, Glimcher LH. Intersection of the unfolded protein response and hepatic lipid metabolism. </w:t>
      </w:r>
      <w:r w:rsidRPr="00ED06D9">
        <w:rPr>
          <w:rFonts w:ascii="Book Antiqua" w:hAnsi="Book Antiqua"/>
          <w:i/>
          <w:sz w:val="24"/>
        </w:rPr>
        <w:t>Cell Mol Life Sci</w:t>
      </w:r>
      <w:r w:rsidRPr="00ED06D9">
        <w:rPr>
          <w:rFonts w:ascii="Book Antiqua" w:hAnsi="Book Antiqua"/>
          <w:sz w:val="24"/>
        </w:rPr>
        <w:t xml:space="preserve"> 2009; </w:t>
      </w:r>
      <w:r w:rsidRPr="00ED06D9">
        <w:rPr>
          <w:rFonts w:ascii="Book Antiqua" w:hAnsi="Book Antiqua"/>
          <w:b/>
          <w:sz w:val="24"/>
        </w:rPr>
        <w:t>66</w:t>
      </w:r>
      <w:r w:rsidRPr="00ED06D9">
        <w:rPr>
          <w:rFonts w:ascii="Book Antiqua" w:hAnsi="Book Antiqua"/>
          <w:sz w:val="24"/>
        </w:rPr>
        <w:t xml:space="preserve">: 2835-2850 [PMID: 19468685 </w:t>
      </w:r>
      <w:r w:rsidRPr="00ED06D9">
        <w:rPr>
          <w:rFonts w:ascii="Book Antiqua" w:hAnsi="Book Antiqua"/>
          <w:sz w:val="24"/>
        </w:rPr>
        <w:lastRenderedPageBreak/>
        <w:t>DOI: 10.1007/s00018-009-0049-8]</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29 </w:t>
      </w:r>
      <w:r w:rsidRPr="00ED06D9">
        <w:rPr>
          <w:rFonts w:ascii="Book Antiqua" w:hAnsi="Book Antiqua"/>
          <w:b/>
          <w:sz w:val="24"/>
        </w:rPr>
        <w:t>Xu D</w:t>
      </w:r>
      <w:r w:rsidRPr="00ED06D9">
        <w:rPr>
          <w:rFonts w:ascii="Book Antiqua" w:hAnsi="Book Antiqua"/>
          <w:sz w:val="24"/>
        </w:rPr>
        <w:t xml:space="preserve">, Su C, Song X, Shi Q, Fu J, Hu L, Xia X, Song E, Song Y. Polychlorinated biphenyl quinone induces endoplasmic reticulum stress, unfolded protein response, and calcium release. </w:t>
      </w:r>
      <w:r w:rsidRPr="00ED06D9">
        <w:rPr>
          <w:rFonts w:ascii="Book Antiqua" w:hAnsi="Book Antiqua"/>
          <w:i/>
          <w:sz w:val="24"/>
        </w:rPr>
        <w:t>Chem Res Toxicol</w:t>
      </w:r>
      <w:r w:rsidRPr="00ED06D9">
        <w:rPr>
          <w:rFonts w:ascii="Book Antiqua" w:hAnsi="Book Antiqua"/>
          <w:sz w:val="24"/>
        </w:rPr>
        <w:t xml:space="preserve"> 2015; </w:t>
      </w:r>
      <w:r w:rsidRPr="00ED06D9">
        <w:rPr>
          <w:rFonts w:ascii="Book Antiqua" w:hAnsi="Book Antiqua"/>
          <w:b/>
          <w:sz w:val="24"/>
        </w:rPr>
        <w:t>28</w:t>
      </w:r>
      <w:r w:rsidRPr="00ED06D9">
        <w:rPr>
          <w:rFonts w:ascii="Book Antiqua" w:hAnsi="Book Antiqua"/>
          <w:sz w:val="24"/>
        </w:rPr>
        <w:t>: 1326-1337 [PMID: 25950987 DOI: 10.1021/acs.chemrestox.5b00124]</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30 </w:t>
      </w:r>
      <w:r w:rsidRPr="00ED06D9">
        <w:rPr>
          <w:rFonts w:ascii="Book Antiqua" w:hAnsi="Book Antiqua"/>
          <w:b/>
          <w:sz w:val="24"/>
        </w:rPr>
        <w:t>Yin XL</w:t>
      </w:r>
      <w:r w:rsidRPr="00ED06D9">
        <w:rPr>
          <w:rFonts w:ascii="Book Antiqua" w:hAnsi="Book Antiqua"/>
          <w:sz w:val="24"/>
        </w:rPr>
        <w:t xml:space="preserve">, Zhang W, Yang Y, Shen H. Increasing expression of (CCAAT enhancer binding protein) homologous protein induced by endoplasmic reticulum stress in myocardium after cardiac arrest and resuscitation in rat. </w:t>
      </w:r>
      <w:r w:rsidRPr="00ED06D9">
        <w:rPr>
          <w:rFonts w:ascii="Book Antiqua" w:hAnsi="Book Antiqua"/>
          <w:i/>
          <w:sz w:val="24"/>
        </w:rPr>
        <w:t>Resuscitation</w:t>
      </w:r>
      <w:r w:rsidRPr="00ED06D9">
        <w:rPr>
          <w:rFonts w:ascii="Book Antiqua" w:hAnsi="Book Antiqua"/>
          <w:sz w:val="24"/>
        </w:rPr>
        <w:t xml:space="preserve"> 2012; </w:t>
      </w:r>
      <w:r w:rsidRPr="00ED06D9">
        <w:rPr>
          <w:rFonts w:ascii="Book Antiqua" w:hAnsi="Book Antiqua"/>
          <w:b/>
          <w:sz w:val="24"/>
        </w:rPr>
        <w:t>83</w:t>
      </w:r>
      <w:r w:rsidRPr="00ED06D9">
        <w:rPr>
          <w:rFonts w:ascii="Book Antiqua" w:hAnsi="Book Antiqua"/>
          <w:sz w:val="24"/>
        </w:rPr>
        <w:t>: 378-385 [PMID: 21871856 DOI: 10.1016/j.resuscitation.2011.08.008]</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31 </w:t>
      </w:r>
      <w:r w:rsidRPr="00ED06D9">
        <w:rPr>
          <w:rFonts w:ascii="Book Antiqua" w:hAnsi="Book Antiqua"/>
          <w:b/>
          <w:sz w:val="24"/>
        </w:rPr>
        <w:t>Senft D</w:t>
      </w:r>
      <w:r w:rsidRPr="00ED06D9">
        <w:rPr>
          <w:rFonts w:ascii="Book Antiqua" w:hAnsi="Book Antiqua"/>
          <w:sz w:val="24"/>
        </w:rPr>
        <w:t xml:space="preserve">, Ronai ZA. UPR, autophagy, and mitochondria crosstalk underlies the ER stress response. </w:t>
      </w:r>
      <w:r w:rsidRPr="00ED06D9">
        <w:rPr>
          <w:rFonts w:ascii="Book Antiqua" w:hAnsi="Book Antiqua"/>
          <w:i/>
          <w:sz w:val="24"/>
        </w:rPr>
        <w:t>Trends Biochem Sci</w:t>
      </w:r>
      <w:r w:rsidRPr="00ED06D9">
        <w:rPr>
          <w:rFonts w:ascii="Book Antiqua" w:hAnsi="Book Antiqua"/>
          <w:sz w:val="24"/>
        </w:rPr>
        <w:t xml:space="preserve"> 2015; </w:t>
      </w:r>
      <w:r w:rsidRPr="00ED06D9">
        <w:rPr>
          <w:rFonts w:ascii="Book Antiqua" w:hAnsi="Book Antiqua"/>
          <w:b/>
          <w:sz w:val="24"/>
        </w:rPr>
        <w:t>40</w:t>
      </w:r>
      <w:r w:rsidRPr="00ED06D9">
        <w:rPr>
          <w:rFonts w:ascii="Book Antiqua" w:hAnsi="Book Antiqua"/>
          <w:sz w:val="24"/>
        </w:rPr>
        <w:t>: 141-148 [PMID: 25656104 DOI: 10.1016/j.tibs.2015.01.002]</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32 </w:t>
      </w:r>
      <w:r w:rsidRPr="00ED06D9">
        <w:rPr>
          <w:rFonts w:ascii="Book Antiqua" w:hAnsi="Book Antiqua"/>
          <w:b/>
          <w:sz w:val="24"/>
        </w:rPr>
        <w:t>Volmer R</w:t>
      </w:r>
      <w:r w:rsidRPr="00ED06D9">
        <w:rPr>
          <w:rFonts w:ascii="Book Antiqua" w:hAnsi="Book Antiqua"/>
          <w:sz w:val="24"/>
        </w:rPr>
        <w:t xml:space="preserve">, van der Ploeg K, Ron D. Membrane lipid saturation activates endoplasmic reticulum unfolded protein response transducers through their transmembrane domains. </w:t>
      </w:r>
      <w:r w:rsidRPr="00ED06D9">
        <w:rPr>
          <w:rFonts w:ascii="Book Antiqua" w:hAnsi="Book Antiqua"/>
          <w:i/>
          <w:sz w:val="24"/>
        </w:rPr>
        <w:t>Proc Natl Acad Sci USA</w:t>
      </w:r>
      <w:r w:rsidRPr="00ED06D9">
        <w:rPr>
          <w:rFonts w:ascii="Book Antiqua" w:hAnsi="Book Antiqua"/>
          <w:sz w:val="24"/>
        </w:rPr>
        <w:t xml:space="preserve"> 2013; </w:t>
      </w:r>
      <w:r w:rsidRPr="00ED06D9">
        <w:rPr>
          <w:rFonts w:ascii="Book Antiqua" w:hAnsi="Book Antiqua"/>
          <w:b/>
          <w:sz w:val="24"/>
        </w:rPr>
        <w:t>110</w:t>
      </w:r>
      <w:r w:rsidRPr="00ED06D9">
        <w:rPr>
          <w:rFonts w:ascii="Book Antiqua" w:hAnsi="Book Antiqua"/>
          <w:sz w:val="24"/>
        </w:rPr>
        <w:t>: 4628-4633 [PMID: 23487760 DOI: 10.1073/pnas.1217611110]</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33 </w:t>
      </w:r>
      <w:r w:rsidRPr="00ED06D9">
        <w:rPr>
          <w:rFonts w:ascii="Book Antiqua" w:hAnsi="Book Antiqua"/>
          <w:b/>
          <w:sz w:val="24"/>
        </w:rPr>
        <w:t>Thompson KJ</w:t>
      </w:r>
      <w:r w:rsidRPr="00ED06D9">
        <w:rPr>
          <w:rFonts w:ascii="Book Antiqua" w:hAnsi="Book Antiqua"/>
          <w:sz w:val="24"/>
        </w:rPr>
        <w:t xml:space="preserve">, McKillop IH, Schrum LW. Targeting collagen expression in alcoholic liver disease. </w:t>
      </w:r>
      <w:r w:rsidRPr="00ED06D9">
        <w:rPr>
          <w:rFonts w:ascii="Book Antiqua" w:hAnsi="Book Antiqua"/>
          <w:i/>
          <w:sz w:val="24"/>
        </w:rPr>
        <w:t>World J Gastroenterol</w:t>
      </w:r>
      <w:r w:rsidRPr="00ED06D9">
        <w:rPr>
          <w:rFonts w:ascii="Book Antiqua" w:hAnsi="Book Antiqua"/>
          <w:sz w:val="24"/>
        </w:rPr>
        <w:t xml:space="preserve"> 2011; </w:t>
      </w:r>
      <w:r w:rsidRPr="00ED06D9">
        <w:rPr>
          <w:rFonts w:ascii="Book Antiqua" w:hAnsi="Book Antiqua"/>
          <w:b/>
          <w:sz w:val="24"/>
        </w:rPr>
        <w:t>17</w:t>
      </w:r>
      <w:r w:rsidRPr="00ED06D9">
        <w:rPr>
          <w:rFonts w:ascii="Book Antiqua" w:hAnsi="Book Antiqua"/>
          <w:sz w:val="24"/>
        </w:rPr>
        <w:t>: 2473-2481 [PMID: 21633652 DOI: 10.3748/wjg.v17.i20.2473]</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34 </w:t>
      </w:r>
      <w:r w:rsidRPr="00ED06D9">
        <w:rPr>
          <w:rFonts w:ascii="Book Antiqua" w:hAnsi="Book Antiqua"/>
          <w:b/>
          <w:sz w:val="24"/>
        </w:rPr>
        <w:t>Kusunoki N</w:t>
      </w:r>
      <w:r w:rsidRPr="00ED06D9">
        <w:rPr>
          <w:rFonts w:ascii="Book Antiqua" w:hAnsi="Book Antiqua"/>
          <w:sz w:val="24"/>
        </w:rPr>
        <w:t xml:space="preserve">, Ito T, Sakurai N, Suguro T, Handa H, Kawai S. A novel celecoxib derivative potently induces apoptosis of human synovial fibroblasts. </w:t>
      </w:r>
      <w:r w:rsidRPr="00ED06D9">
        <w:rPr>
          <w:rFonts w:ascii="Book Antiqua" w:hAnsi="Book Antiqua"/>
          <w:i/>
          <w:sz w:val="24"/>
        </w:rPr>
        <w:t>J Pharmacol Exp Ther</w:t>
      </w:r>
      <w:r w:rsidRPr="00ED06D9">
        <w:rPr>
          <w:rFonts w:ascii="Book Antiqua" w:hAnsi="Book Antiqua"/>
          <w:sz w:val="24"/>
        </w:rPr>
        <w:t xml:space="preserve"> 2005; </w:t>
      </w:r>
      <w:r w:rsidRPr="00ED06D9">
        <w:rPr>
          <w:rFonts w:ascii="Book Antiqua" w:hAnsi="Book Antiqua"/>
          <w:b/>
          <w:sz w:val="24"/>
        </w:rPr>
        <w:t>314</w:t>
      </w:r>
      <w:r w:rsidRPr="00ED06D9">
        <w:rPr>
          <w:rFonts w:ascii="Book Antiqua" w:hAnsi="Book Antiqua"/>
          <w:sz w:val="24"/>
        </w:rPr>
        <w:t>: 796-803 [PMID: 15870389 DOI: 10.1124/jpet.105.086116]</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35 </w:t>
      </w:r>
      <w:r w:rsidRPr="00ED06D9">
        <w:rPr>
          <w:rFonts w:ascii="Book Antiqua" w:hAnsi="Book Antiqua"/>
          <w:b/>
          <w:sz w:val="24"/>
        </w:rPr>
        <w:t>Williams BL</w:t>
      </w:r>
      <w:r w:rsidRPr="00ED06D9">
        <w:rPr>
          <w:rFonts w:ascii="Book Antiqua" w:hAnsi="Book Antiqua"/>
          <w:sz w:val="24"/>
        </w:rPr>
        <w:t xml:space="preserve">, Lipkin WI. Endoplasmic reticulum stress and neurodegeneration in rats neonatally infected with borna disease virus. </w:t>
      </w:r>
      <w:r w:rsidRPr="00ED06D9">
        <w:rPr>
          <w:rFonts w:ascii="Book Antiqua" w:hAnsi="Book Antiqua"/>
          <w:i/>
          <w:sz w:val="24"/>
        </w:rPr>
        <w:t>J Virol</w:t>
      </w:r>
      <w:r w:rsidRPr="00ED06D9">
        <w:rPr>
          <w:rFonts w:ascii="Book Antiqua" w:hAnsi="Book Antiqua"/>
          <w:sz w:val="24"/>
        </w:rPr>
        <w:t xml:space="preserve"> 2006; </w:t>
      </w:r>
      <w:r w:rsidRPr="00ED06D9">
        <w:rPr>
          <w:rFonts w:ascii="Book Antiqua" w:hAnsi="Book Antiqua"/>
          <w:b/>
          <w:sz w:val="24"/>
        </w:rPr>
        <w:t>80</w:t>
      </w:r>
      <w:r w:rsidRPr="00ED06D9">
        <w:rPr>
          <w:rFonts w:ascii="Book Antiqua" w:hAnsi="Book Antiqua"/>
          <w:sz w:val="24"/>
        </w:rPr>
        <w:t>: 8613-8626 [PMID: 16912310 DOI: 10.1128/JVI.00836-06]</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36 </w:t>
      </w:r>
      <w:r w:rsidRPr="00ED06D9">
        <w:rPr>
          <w:rFonts w:ascii="Book Antiqua" w:hAnsi="Book Antiqua"/>
          <w:b/>
          <w:sz w:val="24"/>
        </w:rPr>
        <w:t>Wu T</w:t>
      </w:r>
      <w:r w:rsidRPr="00ED06D9">
        <w:rPr>
          <w:rFonts w:ascii="Book Antiqua" w:hAnsi="Book Antiqua"/>
          <w:sz w:val="24"/>
        </w:rPr>
        <w:t xml:space="preserve">, Dong Z, Geng J, Sun Y, Liu G, Kang W, Zhang Y, Ge Z. Valsartan protects against ER stress-induced myocardial apoptosis via CHOP/Puma signaling pathway in streptozotocin-induced diabetic rats. </w:t>
      </w:r>
      <w:r w:rsidRPr="00ED06D9">
        <w:rPr>
          <w:rFonts w:ascii="Book Antiqua" w:hAnsi="Book Antiqua"/>
          <w:i/>
          <w:sz w:val="24"/>
        </w:rPr>
        <w:t>Eur J Pharm Sci</w:t>
      </w:r>
      <w:r w:rsidRPr="00ED06D9">
        <w:rPr>
          <w:rFonts w:ascii="Book Antiqua" w:hAnsi="Book Antiqua"/>
          <w:sz w:val="24"/>
        </w:rPr>
        <w:t xml:space="preserve"> 2011; </w:t>
      </w:r>
      <w:r w:rsidRPr="00ED06D9">
        <w:rPr>
          <w:rFonts w:ascii="Book Antiqua" w:hAnsi="Book Antiqua"/>
          <w:b/>
          <w:sz w:val="24"/>
        </w:rPr>
        <w:t>42</w:t>
      </w:r>
      <w:r w:rsidRPr="00ED06D9">
        <w:rPr>
          <w:rFonts w:ascii="Book Antiqua" w:hAnsi="Book Antiqua"/>
          <w:sz w:val="24"/>
        </w:rPr>
        <w:t>: 496-502 [PMID: 21345370 DOI: 10.1016/j.ejps.2011.02.005]</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lastRenderedPageBreak/>
        <w:t xml:space="preserve">37 </w:t>
      </w:r>
      <w:r w:rsidRPr="00ED06D9">
        <w:rPr>
          <w:rFonts w:ascii="Book Antiqua" w:hAnsi="Book Antiqua"/>
          <w:b/>
          <w:sz w:val="24"/>
        </w:rPr>
        <w:t>Magne L</w:t>
      </w:r>
      <w:r w:rsidRPr="00ED06D9">
        <w:rPr>
          <w:rFonts w:ascii="Book Antiqua" w:hAnsi="Book Antiqua"/>
          <w:sz w:val="24"/>
        </w:rPr>
        <w:t xml:space="preserve">, Blanc E, Legrand B, Lucas D, Barouki R, Rouach H, Garlatti M. ATF4 and the integrated stress response are induced by ethanol and cytochrome P450 2E1 in human hepatocytes. </w:t>
      </w:r>
      <w:r w:rsidRPr="00ED06D9">
        <w:rPr>
          <w:rFonts w:ascii="Book Antiqua" w:hAnsi="Book Antiqua"/>
          <w:i/>
          <w:sz w:val="24"/>
        </w:rPr>
        <w:t>J Hepatol</w:t>
      </w:r>
      <w:r w:rsidRPr="00ED06D9">
        <w:rPr>
          <w:rFonts w:ascii="Book Antiqua" w:hAnsi="Book Antiqua"/>
          <w:sz w:val="24"/>
        </w:rPr>
        <w:t xml:space="preserve"> 2011; </w:t>
      </w:r>
      <w:r w:rsidRPr="00ED06D9">
        <w:rPr>
          <w:rFonts w:ascii="Book Antiqua" w:hAnsi="Book Antiqua"/>
          <w:b/>
          <w:sz w:val="24"/>
        </w:rPr>
        <w:t>54</w:t>
      </w:r>
      <w:r w:rsidRPr="00ED06D9">
        <w:rPr>
          <w:rFonts w:ascii="Book Antiqua" w:hAnsi="Book Antiqua"/>
          <w:sz w:val="24"/>
        </w:rPr>
        <w:t>: 729-737 [PMID: 21146245 DOI: 10.1016/j.jhep.2010.07.023]</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38 </w:t>
      </w:r>
      <w:r w:rsidRPr="00ED06D9">
        <w:rPr>
          <w:rFonts w:ascii="Book Antiqua" w:hAnsi="Book Antiqua"/>
          <w:b/>
          <w:sz w:val="24"/>
        </w:rPr>
        <w:t>Besheer T</w:t>
      </w:r>
      <w:r w:rsidRPr="00ED06D9">
        <w:rPr>
          <w:rFonts w:ascii="Book Antiqua" w:hAnsi="Book Antiqua"/>
          <w:sz w:val="24"/>
        </w:rPr>
        <w:t xml:space="preserve">, Elalfy H, Abd El-Maksoud M, Abd El-Razek A, Taman S, Zalata K, Elkashef W, Zaghloul H, Elshahawy H, Raafat D, Elemshaty W, Elsayed E, El-Gilany AH, El-Bendary M. Diffusion-weighted magnetic resonance imaging and micro-RNA in the diagnosis of hepatic fibrosis in chronic hepatitis C virus. </w:t>
      </w:r>
      <w:r w:rsidRPr="00ED06D9">
        <w:rPr>
          <w:rFonts w:ascii="Book Antiqua" w:hAnsi="Book Antiqua"/>
          <w:i/>
          <w:sz w:val="24"/>
        </w:rPr>
        <w:t>World J Gastroenterol</w:t>
      </w:r>
      <w:r w:rsidRPr="00ED06D9">
        <w:rPr>
          <w:rFonts w:ascii="Book Antiqua" w:hAnsi="Book Antiqua"/>
          <w:sz w:val="24"/>
        </w:rPr>
        <w:t xml:space="preserve"> 2019; </w:t>
      </w:r>
      <w:r w:rsidRPr="00ED06D9">
        <w:rPr>
          <w:rFonts w:ascii="Book Antiqua" w:hAnsi="Book Antiqua"/>
          <w:b/>
          <w:sz w:val="24"/>
        </w:rPr>
        <w:t>25</w:t>
      </w:r>
      <w:r w:rsidRPr="00ED06D9">
        <w:rPr>
          <w:rFonts w:ascii="Book Antiqua" w:hAnsi="Book Antiqua"/>
          <w:sz w:val="24"/>
        </w:rPr>
        <w:t>: 1366-1377 [PMID: 30918429 DOI: 10.3748/wjg.v25.i11.1366]</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39 </w:t>
      </w:r>
      <w:r w:rsidRPr="00ED06D9">
        <w:rPr>
          <w:rFonts w:ascii="Book Antiqua" w:hAnsi="Book Antiqua"/>
          <w:b/>
          <w:sz w:val="24"/>
        </w:rPr>
        <w:t>Petitclerc L</w:t>
      </w:r>
      <w:r w:rsidRPr="00ED06D9">
        <w:rPr>
          <w:rFonts w:ascii="Book Antiqua" w:hAnsi="Book Antiqua"/>
          <w:sz w:val="24"/>
        </w:rPr>
        <w:t xml:space="preserve">, Sebastiani G, Gilbert G, Cloutier G, Tang A. Liver fibrosis: Review of current imaging and MRI quantification techniques. </w:t>
      </w:r>
      <w:r w:rsidRPr="00ED06D9">
        <w:rPr>
          <w:rFonts w:ascii="Book Antiqua" w:hAnsi="Book Antiqua"/>
          <w:i/>
          <w:sz w:val="24"/>
        </w:rPr>
        <w:t>J Magn Reson Imaging</w:t>
      </w:r>
      <w:r w:rsidRPr="00ED06D9">
        <w:rPr>
          <w:rFonts w:ascii="Book Antiqua" w:hAnsi="Book Antiqua"/>
          <w:sz w:val="24"/>
        </w:rPr>
        <w:t xml:space="preserve"> 2017; </w:t>
      </w:r>
      <w:r w:rsidRPr="00ED06D9">
        <w:rPr>
          <w:rFonts w:ascii="Book Antiqua" w:hAnsi="Book Antiqua"/>
          <w:b/>
          <w:sz w:val="24"/>
        </w:rPr>
        <w:t>45</w:t>
      </w:r>
      <w:r w:rsidRPr="00ED06D9">
        <w:rPr>
          <w:rFonts w:ascii="Book Antiqua" w:hAnsi="Book Antiqua"/>
          <w:sz w:val="24"/>
        </w:rPr>
        <w:t>: 1276-1295 [PMID: 27981751 DOI: 10.1002/jmri.25550]</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40 </w:t>
      </w:r>
      <w:r w:rsidRPr="00ED06D9">
        <w:rPr>
          <w:rFonts w:ascii="Book Antiqua" w:hAnsi="Book Antiqua"/>
          <w:b/>
          <w:sz w:val="24"/>
        </w:rPr>
        <w:t>Berzigotti A</w:t>
      </w:r>
      <w:r w:rsidRPr="00ED06D9">
        <w:rPr>
          <w:rFonts w:ascii="Book Antiqua" w:hAnsi="Book Antiqua"/>
          <w:sz w:val="24"/>
        </w:rPr>
        <w:t xml:space="preserve">, França M, Martí-Aguado D, Martí-Bonmatí L. Imaging biomarkers in liver fibrosis. </w:t>
      </w:r>
      <w:r w:rsidRPr="00ED06D9">
        <w:rPr>
          <w:rFonts w:ascii="Book Antiqua" w:hAnsi="Book Antiqua"/>
          <w:i/>
          <w:sz w:val="24"/>
        </w:rPr>
        <w:t>Radiologia</w:t>
      </w:r>
      <w:r w:rsidRPr="00ED06D9">
        <w:rPr>
          <w:rFonts w:ascii="Book Antiqua" w:hAnsi="Book Antiqua"/>
          <w:sz w:val="24"/>
        </w:rPr>
        <w:t xml:space="preserve"> 2018; </w:t>
      </w:r>
      <w:r w:rsidRPr="00ED06D9">
        <w:rPr>
          <w:rFonts w:ascii="Book Antiqua" w:hAnsi="Book Antiqua"/>
          <w:b/>
          <w:sz w:val="24"/>
        </w:rPr>
        <w:t>60</w:t>
      </w:r>
      <w:r w:rsidRPr="00ED06D9">
        <w:rPr>
          <w:rFonts w:ascii="Book Antiqua" w:hAnsi="Book Antiqua"/>
          <w:sz w:val="24"/>
        </w:rPr>
        <w:t>: 74-84 [PMID: 29108657 DOI: 10.1016/j.rx.2017.09.003]</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41 </w:t>
      </w:r>
      <w:r w:rsidRPr="00ED06D9">
        <w:rPr>
          <w:rFonts w:ascii="Book Antiqua" w:hAnsi="Book Antiqua"/>
          <w:b/>
          <w:sz w:val="24"/>
        </w:rPr>
        <w:t>Razek AAKA</w:t>
      </w:r>
      <w:r w:rsidRPr="00ED06D9">
        <w:rPr>
          <w:rFonts w:ascii="Book Antiqua" w:hAnsi="Book Antiqua"/>
          <w:sz w:val="24"/>
        </w:rPr>
        <w:t xml:space="preserve">, Khashaba M, Abdalla A, Bayomy M, Barakat T. Apparent diffusion coefficient value of hepatic fibrosis and inflammation in children with chronic hepatitis. </w:t>
      </w:r>
      <w:r w:rsidRPr="00ED06D9">
        <w:rPr>
          <w:rFonts w:ascii="Book Antiqua" w:hAnsi="Book Antiqua"/>
          <w:i/>
          <w:sz w:val="24"/>
        </w:rPr>
        <w:t>Radiol Med</w:t>
      </w:r>
      <w:r w:rsidRPr="00ED06D9">
        <w:rPr>
          <w:rFonts w:ascii="Book Antiqua" w:hAnsi="Book Antiqua"/>
          <w:sz w:val="24"/>
        </w:rPr>
        <w:t xml:space="preserve"> 2014; </w:t>
      </w:r>
      <w:r w:rsidRPr="00ED06D9">
        <w:rPr>
          <w:rFonts w:ascii="Book Antiqua" w:hAnsi="Book Antiqua"/>
          <w:b/>
          <w:sz w:val="24"/>
        </w:rPr>
        <w:t>119</w:t>
      </w:r>
      <w:r w:rsidRPr="00ED06D9">
        <w:rPr>
          <w:rFonts w:ascii="Book Antiqua" w:hAnsi="Book Antiqua"/>
          <w:sz w:val="24"/>
        </w:rPr>
        <w:t>: 903-909 [PMID: 24846081 DOI: 10.1007/s11547-014-0408-x]</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42 </w:t>
      </w:r>
      <w:r w:rsidRPr="00ED06D9">
        <w:rPr>
          <w:rFonts w:ascii="Book Antiqua" w:hAnsi="Book Antiqua"/>
          <w:b/>
          <w:sz w:val="24"/>
        </w:rPr>
        <w:t>Razek AA</w:t>
      </w:r>
      <w:r w:rsidRPr="00ED06D9">
        <w:rPr>
          <w:rFonts w:ascii="Book Antiqua" w:hAnsi="Book Antiqua"/>
          <w:sz w:val="24"/>
        </w:rPr>
        <w:t xml:space="preserve">, Abdalla A, Omran E, Fathy A, Zalata K. Diagnosis and quantification of hepatic fibrosis in children with diffusion weighted MR imaging. </w:t>
      </w:r>
      <w:r w:rsidRPr="00ED06D9">
        <w:rPr>
          <w:rFonts w:ascii="Book Antiqua" w:hAnsi="Book Antiqua"/>
          <w:i/>
          <w:sz w:val="24"/>
        </w:rPr>
        <w:t>Eur J Radiol</w:t>
      </w:r>
      <w:r w:rsidRPr="00ED06D9">
        <w:rPr>
          <w:rFonts w:ascii="Book Antiqua" w:hAnsi="Book Antiqua"/>
          <w:sz w:val="24"/>
        </w:rPr>
        <w:t xml:space="preserve"> 2011; </w:t>
      </w:r>
      <w:r w:rsidRPr="00ED06D9">
        <w:rPr>
          <w:rFonts w:ascii="Book Antiqua" w:hAnsi="Book Antiqua"/>
          <w:b/>
          <w:sz w:val="24"/>
        </w:rPr>
        <w:t>78</w:t>
      </w:r>
      <w:r w:rsidRPr="00ED06D9">
        <w:rPr>
          <w:rFonts w:ascii="Book Antiqua" w:hAnsi="Book Antiqua"/>
          <w:sz w:val="24"/>
        </w:rPr>
        <w:t>: 129-134 [PMID: 19926420 DOI: 10.1016/j.ejrad.2009.10.012]</w:t>
      </w:r>
    </w:p>
    <w:p w:rsidR="00AC2DF5" w:rsidRPr="00ED06D9" w:rsidRDefault="00AC2DF5">
      <w:pPr>
        <w:adjustRightInd w:val="0"/>
        <w:snapToGrid w:val="0"/>
        <w:spacing w:line="360" w:lineRule="auto"/>
        <w:rPr>
          <w:rFonts w:ascii="Book Antiqua" w:hAnsi="Book Antiqua"/>
          <w:sz w:val="24"/>
        </w:rPr>
      </w:pPr>
      <w:r w:rsidRPr="00ED06D9">
        <w:rPr>
          <w:rFonts w:ascii="Book Antiqua" w:hAnsi="Book Antiqua"/>
          <w:sz w:val="24"/>
        </w:rPr>
        <w:t xml:space="preserve">43 </w:t>
      </w:r>
      <w:r w:rsidRPr="00ED06D9">
        <w:rPr>
          <w:rFonts w:ascii="Book Antiqua" w:hAnsi="Book Antiqua"/>
          <w:b/>
          <w:sz w:val="24"/>
        </w:rPr>
        <w:t>Razek AA</w:t>
      </w:r>
      <w:r w:rsidRPr="00ED06D9">
        <w:rPr>
          <w:rFonts w:ascii="Book Antiqua" w:hAnsi="Book Antiqua"/>
          <w:sz w:val="24"/>
        </w:rPr>
        <w:t xml:space="preserve">, Massoud SM, Azziz MR, El-Bendary MM, Zalata K, Motawea EM. Prediction of esophageal varices in cirrhotic patients with apparent diffusion coefficient of the spleen. </w:t>
      </w:r>
      <w:r w:rsidRPr="00ED06D9">
        <w:rPr>
          <w:rFonts w:ascii="Book Antiqua" w:hAnsi="Book Antiqua"/>
          <w:i/>
          <w:sz w:val="24"/>
        </w:rPr>
        <w:t>Abdom Imaging</w:t>
      </w:r>
      <w:r w:rsidRPr="00ED06D9">
        <w:rPr>
          <w:rFonts w:ascii="Book Antiqua" w:hAnsi="Book Antiqua"/>
          <w:sz w:val="24"/>
        </w:rPr>
        <w:t xml:space="preserve"> 2015; </w:t>
      </w:r>
      <w:r w:rsidRPr="00ED06D9">
        <w:rPr>
          <w:rFonts w:ascii="Book Antiqua" w:hAnsi="Book Antiqua"/>
          <w:b/>
          <w:sz w:val="24"/>
        </w:rPr>
        <w:t>40</w:t>
      </w:r>
      <w:r w:rsidRPr="00ED06D9">
        <w:rPr>
          <w:rFonts w:ascii="Book Antiqua" w:hAnsi="Book Antiqua"/>
          <w:sz w:val="24"/>
        </w:rPr>
        <w:t>: 1465-1469 [PMID: 25732406 DOI: 10.1007/s00261-015-0391-2]</w:t>
      </w:r>
    </w:p>
    <w:p w:rsidR="00AC2DF5" w:rsidRPr="00ED06D9" w:rsidRDefault="00AC2DF5">
      <w:pPr>
        <w:widowControl/>
        <w:adjustRightInd w:val="0"/>
        <w:snapToGrid w:val="0"/>
        <w:spacing w:line="360" w:lineRule="auto"/>
        <w:rPr>
          <w:rFonts w:ascii="Book Antiqua" w:hAnsi="Book Antiqua" w:cs="Book Antiqua"/>
          <w:sz w:val="24"/>
        </w:rPr>
      </w:pPr>
      <w:r w:rsidRPr="00ED06D9">
        <w:rPr>
          <w:rFonts w:ascii="Book Antiqua" w:eastAsia="Book Antiqua" w:hAnsi="Book Antiqua" w:cs="Book Antiqua"/>
          <w:b/>
          <w:kern w:val="0"/>
          <w:sz w:val="24"/>
          <w:lang w:bidi="ar"/>
        </w:rPr>
        <w:br w:type="page"/>
      </w:r>
      <w:r w:rsidRPr="00ED06D9">
        <w:rPr>
          <w:rFonts w:ascii="Book Antiqua" w:eastAsia="Book Antiqua" w:hAnsi="Book Antiqua" w:cs="Book Antiqua"/>
          <w:b/>
          <w:kern w:val="0"/>
          <w:sz w:val="24"/>
          <w:lang w:bidi="ar"/>
        </w:rPr>
        <w:lastRenderedPageBreak/>
        <w:t>Footnotes</w:t>
      </w:r>
    </w:p>
    <w:p w:rsidR="00AC2DF5" w:rsidRPr="00ED06D9" w:rsidRDefault="00AC2DF5">
      <w:pPr>
        <w:widowControl/>
        <w:adjustRightInd w:val="0"/>
        <w:snapToGrid w:val="0"/>
        <w:spacing w:line="360" w:lineRule="auto"/>
        <w:rPr>
          <w:rFonts w:ascii="Book Antiqua" w:eastAsia="Book Antiqua" w:hAnsi="Book Antiqua" w:cs="Book Antiqua"/>
          <w:kern w:val="0"/>
          <w:sz w:val="24"/>
          <w:lang w:bidi="ar"/>
        </w:rPr>
      </w:pPr>
      <w:r w:rsidRPr="00ED06D9">
        <w:rPr>
          <w:rFonts w:ascii="Book Antiqua" w:eastAsia="Book Antiqua" w:hAnsi="Book Antiqua" w:cs="Book Antiqua"/>
          <w:b/>
          <w:kern w:val="0"/>
          <w:sz w:val="24"/>
          <w:lang w:bidi="ar"/>
        </w:rPr>
        <w:t xml:space="preserve">Institutional animal care and use committee statement: </w:t>
      </w:r>
      <w:r w:rsidRPr="00ED06D9">
        <w:rPr>
          <w:rFonts w:ascii="Book Antiqua" w:eastAsia="Book Antiqua" w:hAnsi="Book Antiqua" w:cs="Book Antiqua"/>
          <w:kern w:val="0"/>
          <w:sz w:val="24"/>
          <w:lang w:bidi="ar"/>
        </w:rPr>
        <w:t>The animal procedures were approved by the Animal Use and Care Committee of Sichuan University and were conducted according to regulations formulated by Sichuan University (Licence No. 2017005A).</w:t>
      </w:r>
    </w:p>
    <w:p w:rsidR="00AC2DF5" w:rsidRPr="00ED06D9" w:rsidRDefault="00AC2DF5">
      <w:pPr>
        <w:widowControl/>
        <w:adjustRightInd w:val="0"/>
        <w:snapToGrid w:val="0"/>
        <w:spacing w:line="360" w:lineRule="auto"/>
        <w:rPr>
          <w:rFonts w:ascii="Book Antiqua" w:eastAsia="Book Antiqua" w:hAnsi="Book Antiqua" w:cs="Book Antiqua"/>
          <w:kern w:val="0"/>
          <w:sz w:val="24"/>
          <w:lang w:bidi="ar"/>
        </w:rPr>
      </w:pPr>
    </w:p>
    <w:p w:rsidR="00AC2DF5" w:rsidRPr="00ED06D9" w:rsidRDefault="00AC2DF5">
      <w:pPr>
        <w:adjustRightInd w:val="0"/>
        <w:snapToGrid w:val="0"/>
        <w:spacing w:line="360" w:lineRule="auto"/>
        <w:rPr>
          <w:rFonts w:ascii="Book Antiqua" w:eastAsia="Book Antiqua" w:hAnsi="Book Antiqua" w:cs="Book Antiqua"/>
          <w:kern w:val="0"/>
          <w:sz w:val="24"/>
          <w:lang w:bidi="ar"/>
        </w:rPr>
      </w:pPr>
      <w:r w:rsidRPr="00ED06D9">
        <w:rPr>
          <w:rFonts w:ascii="Book Antiqua" w:eastAsia="Book Antiqua" w:hAnsi="Book Antiqua" w:cs="Book Antiqua"/>
          <w:b/>
          <w:kern w:val="0"/>
          <w:sz w:val="24"/>
          <w:lang w:bidi="ar"/>
        </w:rPr>
        <w:t>Conflict-of-interest statement:</w:t>
      </w:r>
      <w:r w:rsidRPr="00ED06D9">
        <w:rPr>
          <w:rFonts w:ascii="Book Antiqua" w:eastAsia="Book Antiqua" w:hAnsi="Book Antiqua" w:cs="Book Antiqua"/>
          <w:kern w:val="0"/>
          <w:sz w:val="24"/>
          <w:lang w:bidi="ar"/>
        </w:rPr>
        <w:t xml:space="preserve"> The authors declare that there are no conflicts of interest related to this manuscript.</w:t>
      </w:r>
    </w:p>
    <w:p w:rsidR="00AC2DF5" w:rsidRPr="00ED06D9" w:rsidRDefault="00AC2DF5">
      <w:pPr>
        <w:adjustRightInd w:val="0"/>
        <w:snapToGrid w:val="0"/>
        <w:spacing w:line="360" w:lineRule="auto"/>
        <w:rPr>
          <w:rFonts w:ascii="Book Antiqua" w:hAnsi="Book Antiqua" w:cs="Book Antiqua"/>
          <w:sz w:val="24"/>
        </w:rPr>
      </w:pPr>
    </w:p>
    <w:p w:rsidR="00AC2DF5" w:rsidRPr="00ED06D9" w:rsidRDefault="00AC2DF5">
      <w:pPr>
        <w:widowControl/>
        <w:adjustRightInd w:val="0"/>
        <w:snapToGrid w:val="0"/>
        <w:spacing w:line="360" w:lineRule="auto"/>
        <w:rPr>
          <w:rFonts w:ascii="Book Antiqua" w:hAnsi="Book Antiqua" w:cs="Book Antiqua"/>
          <w:sz w:val="24"/>
        </w:rPr>
      </w:pPr>
      <w:r w:rsidRPr="00ED06D9">
        <w:rPr>
          <w:rFonts w:ascii="Book Antiqua" w:eastAsia="Book Antiqua" w:hAnsi="Book Antiqua" w:cs="Book Antiqua"/>
          <w:b/>
          <w:kern w:val="0"/>
          <w:sz w:val="24"/>
          <w:lang w:bidi="ar"/>
        </w:rPr>
        <w:t>Data sharing statement</w:t>
      </w:r>
      <w:r w:rsidRPr="00ED06D9">
        <w:rPr>
          <w:rFonts w:ascii="Book Antiqua" w:eastAsia="Book Antiqua" w:hAnsi="Book Antiqua" w:cs="Book Antiqua"/>
          <w:kern w:val="0"/>
          <w:sz w:val="24"/>
          <w:lang w:bidi="ar"/>
        </w:rPr>
        <w:t xml:space="preserve">: No additional data are available. </w:t>
      </w:r>
    </w:p>
    <w:p w:rsidR="00AC2DF5" w:rsidRPr="00ED06D9" w:rsidRDefault="00AC2DF5">
      <w:pPr>
        <w:widowControl/>
        <w:adjustRightInd w:val="0"/>
        <w:snapToGrid w:val="0"/>
        <w:spacing w:line="360" w:lineRule="auto"/>
        <w:rPr>
          <w:rFonts w:ascii="Book Antiqua" w:eastAsia="Book Antiqua" w:hAnsi="Book Antiqua" w:cs="Book Antiqua"/>
          <w:b/>
          <w:kern w:val="0"/>
          <w:sz w:val="24"/>
          <w:lang w:bidi="ar"/>
        </w:rPr>
      </w:pPr>
    </w:p>
    <w:p w:rsidR="00AC2DF5" w:rsidRPr="00ED06D9" w:rsidRDefault="00AC2DF5">
      <w:pPr>
        <w:widowControl/>
        <w:adjustRightInd w:val="0"/>
        <w:snapToGrid w:val="0"/>
        <w:spacing w:line="360" w:lineRule="auto"/>
        <w:rPr>
          <w:rFonts w:ascii="Book Antiqua" w:hAnsi="Book Antiqua" w:cs="Book Antiqua"/>
          <w:sz w:val="24"/>
        </w:rPr>
      </w:pPr>
      <w:r w:rsidRPr="00ED06D9">
        <w:rPr>
          <w:rFonts w:ascii="Book Antiqua" w:hAnsi="Book Antiqua" w:cs="等线"/>
          <w:b/>
          <w:sz w:val="24"/>
          <w:lang w:val="hu-HU"/>
        </w:rPr>
        <w:t xml:space="preserve">ARRIVE guidelines statement: </w:t>
      </w:r>
      <w:r w:rsidRPr="00ED06D9">
        <w:rPr>
          <w:rFonts w:ascii="Book Antiqua" w:eastAsia="Book Antiqua" w:hAnsi="Book Antiqua" w:cs="Book Antiqua"/>
          <w:kern w:val="0"/>
          <w:sz w:val="24"/>
          <w:lang w:bidi="ar"/>
        </w:rPr>
        <w:t>The authors have read the ARRIVE guidelines, and the manuscript was prepared and revised according to the ARRIVE guidelines.</w:t>
      </w:r>
    </w:p>
    <w:p w:rsidR="00AC2DF5" w:rsidRPr="00ED06D9" w:rsidRDefault="00AC2DF5">
      <w:pPr>
        <w:widowControl/>
        <w:adjustRightInd w:val="0"/>
        <w:snapToGrid w:val="0"/>
        <w:spacing w:line="360" w:lineRule="auto"/>
        <w:rPr>
          <w:rFonts w:ascii="Book Antiqua" w:eastAsia="Book Antiqua" w:hAnsi="Book Antiqua" w:cs="Book Antiqua"/>
          <w:kern w:val="0"/>
          <w:sz w:val="24"/>
          <w:lang w:bidi="ar"/>
        </w:rPr>
      </w:pPr>
    </w:p>
    <w:p w:rsidR="00AC2DF5" w:rsidRPr="00ED06D9" w:rsidRDefault="00AC2DF5">
      <w:pPr>
        <w:adjustRightInd w:val="0"/>
        <w:snapToGrid w:val="0"/>
        <w:spacing w:line="360" w:lineRule="auto"/>
        <w:rPr>
          <w:rFonts w:ascii="Book Antiqua" w:hAnsi="Book Antiqua"/>
          <w:color w:val="000000"/>
          <w:sz w:val="24"/>
          <w:lang w:val="hu-HU"/>
        </w:rPr>
      </w:pPr>
      <w:bookmarkStart w:id="18" w:name="OLE_LINK856"/>
      <w:r w:rsidRPr="00ED06D9">
        <w:rPr>
          <w:rFonts w:ascii="Book Antiqua" w:hAnsi="Book Antiqua"/>
          <w:b/>
          <w:color w:val="000000"/>
          <w:sz w:val="24"/>
        </w:rPr>
        <w:t>Open-Access:</w:t>
      </w:r>
      <w:r w:rsidRPr="00ED06D9">
        <w:rPr>
          <w:rFonts w:ascii="Book Antiqua" w:hAnsi="Book Antiqua"/>
          <w:color w:val="000000"/>
          <w:sz w:val="24"/>
        </w:rPr>
        <w:t xml:space="preserve"> This article is an open-access </w:t>
      </w:r>
      <w:r w:rsidRPr="00ED06D9">
        <w:rPr>
          <w:rFonts w:ascii="Book Antiqua" w:hAnsi="Book Antiqua"/>
          <w:sz w:val="24"/>
        </w:rPr>
        <w:t xml:space="preserve">article that was selected </w:t>
      </w:r>
      <w:r w:rsidRPr="00ED06D9">
        <w:rPr>
          <w:rFonts w:ascii="Book Antiqua" w:hAnsi="Book Antiqua"/>
          <w:color w:val="000000"/>
          <w:sz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C2DF5" w:rsidRPr="00ED06D9" w:rsidRDefault="00AC2DF5">
      <w:pPr>
        <w:adjustRightInd w:val="0"/>
        <w:snapToGrid w:val="0"/>
        <w:spacing w:line="360" w:lineRule="auto"/>
        <w:rPr>
          <w:rFonts w:ascii="Book Antiqua" w:hAnsi="Book Antiqua"/>
          <w:color w:val="000000"/>
          <w:sz w:val="24"/>
          <w:lang w:val="hu-HU"/>
        </w:rPr>
      </w:pPr>
    </w:p>
    <w:p w:rsidR="00AC2DF5" w:rsidRPr="00ED06D9" w:rsidRDefault="00AC2DF5">
      <w:pPr>
        <w:adjustRightInd w:val="0"/>
        <w:snapToGrid w:val="0"/>
        <w:spacing w:line="360" w:lineRule="auto"/>
        <w:rPr>
          <w:rFonts w:ascii="Book Antiqua" w:hAnsi="Book Antiqua"/>
          <w:b/>
          <w:bCs/>
          <w:color w:val="000000"/>
          <w:sz w:val="24"/>
        </w:rPr>
      </w:pPr>
      <w:r w:rsidRPr="00ED06D9">
        <w:rPr>
          <w:rFonts w:ascii="Book Antiqua" w:hAnsi="Book Antiqua"/>
          <w:b/>
          <w:bCs/>
          <w:color w:val="000000"/>
          <w:sz w:val="24"/>
          <w:lang w:eastAsia="pl-PL"/>
        </w:rPr>
        <w:t>Manuscript source:</w:t>
      </w:r>
      <w:r w:rsidRPr="00ED06D9">
        <w:rPr>
          <w:rFonts w:ascii="Book Antiqua" w:hAnsi="Book Antiqua"/>
          <w:b/>
          <w:bCs/>
          <w:color w:val="000000"/>
          <w:sz w:val="24"/>
        </w:rPr>
        <w:t xml:space="preserve"> </w:t>
      </w:r>
      <w:r w:rsidRPr="00ED06D9">
        <w:rPr>
          <w:rFonts w:ascii="Book Antiqua" w:hAnsi="Book Antiqua"/>
          <w:bCs/>
          <w:color w:val="000000"/>
          <w:sz w:val="24"/>
          <w:lang w:eastAsia="pl-PL"/>
        </w:rPr>
        <w:t>Unsolicited manuscript</w:t>
      </w:r>
    </w:p>
    <w:bookmarkEnd w:id="18"/>
    <w:p w:rsidR="00AC2DF5" w:rsidRPr="00ED06D9" w:rsidRDefault="00AC2DF5">
      <w:pPr>
        <w:adjustRightInd w:val="0"/>
        <w:snapToGrid w:val="0"/>
        <w:spacing w:line="360" w:lineRule="auto"/>
        <w:rPr>
          <w:rFonts w:ascii="Book Antiqua" w:hAnsi="Book Antiqua"/>
          <w:b/>
          <w:sz w:val="24"/>
        </w:rPr>
      </w:pPr>
    </w:p>
    <w:p w:rsidR="00AC2DF5" w:rsidRPr="00ED06D9" w:rsidRDefault="00AC2DF5">
      <w:pPr>
        <w:adjustRightInd w:val="0"/>
        <w:snapToGrid w:val="0"/>
        <w:spacing w:line="360" w:lineRule="auto"/>
        <w:rPr>
          <w:rFonts w:ascii="Book Antiqua" w:hAnsi="Book Antiqua"/>
          <w:b/>
          <w:sz w:val="24"/>
        </w:rPr>
      </w:pPr>
      <w:r w:rsidRPr="00ED06D9">
        <w:rPr>
          <w:rFonts w:ascii="Book Antiqua" w:hAnsi="Book Antiqua"/>
          <w:b/>
          <w:sz w:val="24"/>
        </w:rPr>
        <w:t xml:space="preserve">Peer-review started: </w:t>
      </w:r>
      <w:r w:rsidRPr="00ED06D9">
        <w:rPr>
          <w:rFonts w:ascii="Book Antiqua" w:hAnsi="Book Antiqua"/>
          <w:sz w:val="24"/>
        </w:rPr>
        <w:t>January 30, 2020</w:t>
      </w:r>
    </w:p>
    <w:p w:rsidR="00AC2DF5" w:rsidRPr="00ED06D9" w:rsidRDefault="00AC2DF5">
      <w:pPr>
        <w:adjustRightInd w:val="0"/>
        <w:snapToGrid w:val="0"/>
        <w:spacing w:line="360" w:lineRule="auto"/>
        <w:rPr>
          <w:rFonts w:ascii="Book Antiqua" w:hAnsi="Book Antiqua"/>
          <w:b/>
          <w:sz w:val="24"/>
        </w:rPr>
      </w:pPr>
      <w:r w:rsidRPr="00ED06D9">
        <w:rPr>
          <w:rFonts w:ascii="Book Antiqua" w:hAnsi="Book Antiqua"/>
          <w:b/>
          <w:sz w:val="24"/>
        </w:rPr>
        <w:t xml:space="preserve">First decision: </w:t>
      </w:r>
      <w:r w:rsidRPr="00ED06D9">
        <w:rPr>
          <w:rFonts w:ascii="Book Antiqua" w:hAnsi="Book Antiqua"/>
          <w:sz w:val="24"/>
        </w:rPr>
        <w:t>April 22, 2020</w:t>
      </w:r>
    </w:p>
    <w:p w:rsidR="00AC2DF5" w:rsidRPr="00ED06D9" w:rsidRDefault="00AC2DF5">
      <w:pPr>
        <w:adjustRightInd w:val="0"/>
        <w:snapToGrid w:val="0"/>
        <w:spacing w:line="360" w:lineRule="auto"/>
        <w:rPr>
          <w:rFonts w:ascii="Book Antiqua" w:hAnsi="Book Antiqua"/>
          <w:b/>
          <w:sz w:val="24"/>
        </w:rPr>
      </w:pPr>
      <w:r w:rsidRPr="00ED06D9">
        <w:rPr>
          <w:rFonts w:ascii="Book Antiqua" w:hAnsi="Book Antiqua"/>
          <w:b/>
          <w:sz w:val="24"/>
        </w:rPr>
        <w:t>Article in press:</w:t>
      </w:r>
      <w:r w:rsidR="00E01B61" w:rsidRPr="00ED06D9">
        <w:rPr>
          <w:rFonts w:ascii="Book Antiqua" w:hAnsi="Book Antiqua" w:hint="eastAsia"/>
          <w:b/>
          <w:sz w:val="24"/>
        </w:rPr>
        <w:t xml:space="preserve"> </w:t>
      </w:r>
      <w:r w:rsidR="00E01B61" w:rsidRPr="00ED06D9">
        <w:rPr>
          <w:rFonts w:ascii="Book Antiqua" w:hAnsi="Book Antiqua"/>
          <w:sz w:val="24"/>
        </w:rPr>
        <w:t>June 25, 2020</w:t>
      </w:r>
    </w:p>
    <w:p w:rsidR="00AC2DF5" w:rsidRPr="00ED06D9" w:rsidRDefault="00AC2DF5">
      <w:pPr>
        <w:adjustRightInd w:val="0"/>
        <w:snapToGrid w:val="0"/>
        <w:spacing w:line="360" w:lineRule="auto"/>
        <w:rPr>
          <w:rFonts w:ascii="Book Antiqua" w:hAnsi="Book Antiqua" w:cs="等线"/>
          <w:b/>
          <w:sz w:val="24"/>
          <w:lang w:val="hu-HU"/>
        </w:rPr>
      </w:pPr>
    </w:p>
    <w:p w:rsidR="00AC2DF5" w:rsidRPr="00ED06D9" w:rsidRDefault="00AC2DF5">
      <w:pPr>
        <w:adjustRightInd w:val="0"/>
        <w:snapToGrid w:val="0"/>
        <w:spacing w:line="360" w:lineRule="auto"/>
        <w:rPr>
          <w:rFonts w:ascii="Book Antiqua" w:eastAsia="微软雅黑" w:hAnsi="Book Antiqua" w:cs="宋体"/>
          <w:sz w:val="24"/>
        </w:rPr>
      </w:pPr>
      <w:r w:rsidRPr="00ED06D9">
        <w:rPr>
          <w:rFonts w:ascii="Book Antiqua" w:hAnsi="Book Antiqua" w:cs="宋体"/>
          <w:b/>
          <w:sz w:val="24"/>
        </w:rPr>
        <w:t xml:space="preserve">Specialty type: </w:t>
      </w:r>
      <w:r w:rsidRPr="00ED06D9">
        <w:rPr>
          <w:rFonts w:ascii="Book Antiqua" w:eastAsia="微软雅黑" w:hAnsi="Book Antiqua" w:cs="宋体"/>
          <w:sz w:val="24"/>
        </w:rPr>
        <w:t>Gastroenterology and hepatology</w:t>
      </w:r>
    </w:p>
    <w:p w:rsidR="00AC2DF5" w:rsidRPr="00ED06D9" w:rsidRDefault="00AC2DF5">
      <w:pPr>
        <w:adjustRightInd w:val="0"/>
        <w:snapToGrid w:val="0"/>
        <w:spacing w:line="360" w:lineRule="auto"/>
        <w:rPr>
          <w:rFonts w:ascii="Book Antiqua" w:hAnsi="Book Antiqua" w:cs="宋体"/>
          <w:sz w:val="24"/>
        </w:rPr>
      </w:pPr>
      <w:r w:rsidRPr="00ED06D9">
        <w:rPr>
          <w:rFonts w:ascii="Book Antiqua" w:hAnsi="Book Antiqua" w:cs="宋体"/>
          <w:b/>
          <w:sz w:val="24"/>
        </w:rPr>
        <w:lastRenderedPageBreak/>
        <w:t xml:space="preserve">Country/Territory of origin: </w:t>
      </w:r>
      <w:r w:rsidRPr="00ED06D9">
        <w:rPr>
          <w:rFonts w:ascii="Book Antiqua" w:hAnsi="Book Antiqua" w:cs="宋体"/>
          <w:sz w:val="24"/>
        </w:rPr>
        <w:t>China</w:t>
      </w:r>
    </w:p>
    <w:p w:rsidR="00AC2DF5" w:rsidRPr="00ED06D9" w:rsidRDefault="00AC2DF5">
      <w:pPr>
        <w:adjustRightInd w:val="0"/>
        <w:snapToGrid w:val="0"/>
        <w:spacing w:line="360" w:lineRule="auto"/>
        <w:rPr>
          <w:rFonts w:ascii="Book Antiqua" w:hAnsi="Book Antiqua" w:cs="宋体"/>
          <w:b/>
          <w:sz w:val="24"/>
        </w:rPr>
      </w:pPr>
      <w:r w:rsidRPr="00ED06D9">
        <w:rPr>
          <w:rFonts w:ascii="Book Antiqua" w:hAnsi="Book Antiqua" w:cs="宋体"/>
          <w:b/>
          <w:sz w:val="24"/>
        </w:rPr>
        <w:t>Peer-review report’s scientific quality classification</w:t>
      </w:r>
    </w:p>
    <w:p w:rsidR="00AC2DF5" w:rsidRPr="00ED06D9" w:rsidRDefault="00AC2DF5">
      <w:pPr>
        <w:adjustRightInd w:val="0"/>
        <w:snapToGrid w:val="0"/>
        <w:spacing w:line="360" w:lineRule="auto"/>
        <w:rPr>
          <w:rFonts w:ascii="Book Antiqua" w:hAnsi="Book Antiqua" w:cs="宋体"/>
          <w:sz w:val="24"/>
        </w:rPr>
      </w:pPr>
      <w:r w:rsidRPr="00ED06D9">
        <w:rPr>
          <w:rFonts w:ascii="Book Antiqua" w:hAnsi="Book Antiqua" w:cs="宋体"/>
          <w:sz w:val="24"/>
        </w:rPr>
        <w:t>Grade A (Excellent): 0</w:t>
      </w:r>
    </w:p>
    <w:p w:rsidR="00AC2DF5" w:rsidRPr="00ED06D9" w:rsidRDefault="00AC2DF5">
      <w:pPr>
        <w:adjustRightInd w:val="0"/>
        <w:snapToGrid w:val="0"/>
        <w:spacing w:line="360" w:lineRule="auto"/>
        <w:rPr>
          <w:rFonts w:ascii="Book Antiqua" w:hAnsi="Book Antiqua" w:cs="宋体"/>
          <w:sz w:val="24"/>
        </w:rPr>
      </w:pPr>
      <w:r w:rsidRPr="00ED06D9">
        <w:rPr>
          <w:rFonts w:ascii="Book Antiqua" w:hAnsi="Book Antiqua" w:cs="宋体"/>
          <w:sz w:val="24"/>
        </w:rPr>
        <w:t>Grade B (Very good): 0</w:t>
      </w:r>
    </w:p>
    <w:p w:rsidR="00AC2DF5" w:rsidRPr="00ED06D9" w:rsidRDefault="00AC2DF5">
      <w:pPr>
        <w:adjustRightInd w:val="0"/>
        <w:snapToGrid w:val="0"/>
        <w:spacing w:line="360" w:lineRule="auto"/>
        <w:rPr>
          <w:rFonts w:ascii="Book Antiqua" w:hAnsi="Book Antiqua" w:cs="宋体"/>
          <w:sz w:val="24"/>
        </w:rPr>
      </w:pPr>
      <w:r w:rsidRPr="00ED06D9">
        <w:rPr>
          <w:rFonts w:ascii="Book Antiqua" w:hAnsi="Book Antiqua" w:cs="宋体"/>
          <w:sz w:val="24"/>
        </w:rPr>
        <w:t>Grade C (Good): C</w:t>
      </w:r>
    </w:p>
    <w:p w:rsidR="00AC2DF5" w:rsidRPr="00ED06D9" w:rsidRDefault="00AC2DF5">
      <w:pPr>
        <w:adjustRightInd w:val="0"/>
        <w:snapToGrid w:val="0"/>
        <w:spacing w:line="360" w:lineRule="auto"/>
        <w:rPr>
          <w:rFonts w:ascii="Book Antiqua" w:hAnsi="Book Antiqua" w:cs="宋体"/>
          <w:sz w:val="24"/>
        </w:rPr>
      </w:pPr>
      <w:r w:rsidRPr="00ED06D9">
        <w:rPr>
          <w:rFonts w:ascii="Book Antiqua" w:hAnsi="Book Antiqua" w:cs="宋体"/>
          <w:sz w:val="24"/>
        </w:rPr>
        <w:t>Grade D (Fair): 0</w:t>
      </w:r>
    </w:p>
    <w:p w:rsidR="00AC2DF5" w:rsidRPr="00ED06D9" w:rsidRDefault="00AC2DF5">
      <w:pPr>
        <w:adjustRightInd w:val="0"/>
        <w:snapToGrid w:val="0"/>
        <w:spacing w:line="360" w:lineRule="auto"/>
        <w:rPr>
          <w:rFonts w:ascii="Book Antiqua" w:eastAsia="等线" w:hAnsi="Book Antiqua"/>
          <w:sz w:val="24"/>
          <w:lang w:val="hu-HU"/>
        </w:rPr>
      </w:pPr>
      <w:r w:rsidRPr="00ED06D9">
        <w:rPr>
          <w:rFonts w:ascii="Book Antiqua" w:hAnsi="Book Antiqua" w:cs="宋体"/>
          <w:sz w:val="24"/>
        </w:rPr>
        <w:t>Grade E (Poor): 0</w:t>
      </w:r>
    </w:p>
    <w:p w:rsidR="00AC2DF5" w:rsidRPr="00ED06D9" w:rsidRDefault="00AC2DF5">
      <w:pPr>
        <w:adjustRightInd w:val="0"/>
        <w:snapToGrid w:val="0"/>
        <w:spacing w:line="360" w:lineRule="auto"/>
        <w:rPr>
          <w:rFonts w:ascii="Book Antiqua" w:eastAsia="等线" w:hAnsi="Book Antiqua"/>
          <w:sz w:val="24"/>
        </w:rPr>
      </w:pPr>
    </w:p>
    <w:p w:rsidR="00AC2DF5" w:rsidRPr="00ED06D9" w:rsidRDefault="00AC2DF5">
      <w:pPr>
        <w:widowControl/>
        <w:adjustRightInd w:val="0"/>
        <w:snapToGrid w:val="0"/>
        <w:spacing w:line="360" w:lineRule="auto"/>
        <w:rPr>
          <w:rFonts w:ascii="Book Antiqua" w:hAnsi="Book Antiqua" w:cs="宋体"/>
          <w:kern w:val="0"/>
          <w:sz w:val="24"/>
        </w:rPr>
      </w:pPr>
      <w:bookmarkStart w:id="19" w:name="OLE_LINK139"/>
      <w:bookmarkStart w:id="20" w:name="OLE_LINK140"/>
      <w:r w:rsidRPr="00ED06D9">
        <w:rPr>
          <w:rFonts w:ascii="Book Antiqua" w:hAnsi="Book Antiqua"/>
          <w:b/>
          <w:bCs/>
          <w:color w:val="000000"/>
          <w:sz w:val="24"/>
        </w:rPr>
        <w:t>P-Reviewer:</w:t>
      </w:r>
      <w:r w:rsidRPr="00ED06D9">
        <w:rPr>
          <w:rFonts w:ascii="Book Antiqua" w:hAnsi="Book Antiqua"/>
          <w:bCs/>
          <w:color w:val="000000"/>
          <w:sz w:val="24"/>
        </w:rPr>
        <w:t xml:space="preserve"> </w:t>
      </w:r>
      <w:r w:rsidRPr="00ED06D9">
        <w:rPr>
          <w:rFonts w:ascii="Book Antiqua" w:hAnsi="Book Antiqua" w:cs="宋体"/>
          <w:color w:val="000000"/>
          <w:kern w:val="0"/>
          <w:sz w:val="24"/>
          <w:shd w:val="clear" w:color="auto" w:fill="FFFFFF"/>
        </w:rPr>
        <w:t>El-Razek</w:t>
      </w:r>
      <w:r w:rsidRPr="00ED06D9">
        <w:rPr>
          <w:rFonts w:ascii="Book Antiqua" w:hAnsi="Book Antiqua" w:cs="宋体"/>
          <w:kern w:val="0"/>
          <w:sz w:val="24"/>
        </w:rPr>
        <w:t xml:space="preserve"> AA</w:t>
      </w:r>
      <w:r w:rsidRPr="00ED06D9">
        <w:rPr>
          <w:rFonts w:ascii="Book Antiqua" w:hAnsi="Book Antiqua"/>
          <w:bCs/>
          <w:color w:val="000000"/>
          <w:sz w:val="24"/>
        </w:rPr>
        <w:t xml:space="preserve"> </w:t>
      </w:r>
      <w:r w:rsidRPr="00ED06D9">
        <w:rPr>
          <w:rFonts w:ascii="Book Antiqua" w:hAnsi="Book Antiqua"/>
          <w:b/>
          <w:bCs/>
          <w:color w:val="000000"/>
          <w:sz w:val="24"/>
        </w:rPr>
        <w:t>S-Editor:</w:t>
      </w:r>
      <w:r w:rsidRPr="00ED06D9">
        <w:rPr>
          <w:rFonts w:ascii="Book Antiqua" w:hAnsi="Book Antiqua"/>
          <w:color w:val="000000"/>
          <w:sz w:val="24"/>
        </w:rPr>
        <w:t xml:space="preserve"> Dou Y </w:t>
      </w:r>
      <w:r w:rsidRPr="00ED06D9">
        <w:rPr>
          <w:rFonts w:ascii="Book Antiqua" w:hAnsi="Book Antiqua"/>
          <w:b/>
          <w:bCs/>
          <w:color w:val="000000"/>
          <w:sz w:val="24"/>
        </w:rPr>
        <w:t>L-Editor:</w:t>
      </w:r>
      <w:r w:rsidRPr="00ED06D9">
        <w:rPr>
          <w:rFonts w:ascii="Book Antiqua" w:hAnsi="Book Antiqua"/>
          <w:color w:val="000000"/>
          <w:sz w:val="24"/>
        </w:rPr>
        <w:t xml:space="preserve"> Wang TQ </w:t>
      </w:r>
      <w:r w:rsidRPr="00ED06D9">
        <w:rPr>
          <w:rFonts w:ascii="Book Antiqua" w:hAnsi="Book Antiqua"/>
          <w:b/>
          <w:bCs/>
          <w:color w:val="000000"/>
          <w:sz w:val="24"/>
        </w:rPr>
        <w:t>E-Editor:</w:t>
      </w:r>
      <w:r w:rsidR="00E01B61" w:rsidRPr="00ED06D9">
        <w:rPr>
          <w:rFonts w:ascii="Book Antiqua" w:hAnsi="Book Antiqua" w:hint="eastAsia"/>
          <w:b/>
          <w:bCs/>
          <w:color w:val="000000"/>
          <w:sz w:val="24"/>
        </w:rPr>
        <w:t xml:space="preserve"> </w:t>
      </w:r>
      <w:r w:rsidR="00E01B61" w:rsidRPr="00ED06D9">
        <w:rPr>
          <w:rFonts w:ascii="Book Antiqua" w:hAnsi="Book Antiqua"/>
          <w:bCs/>
          <w:color w:val="000000"/>
          <w:sz w:val="24"/>
        </w:rPr>
        <w:t>Zhang YL</w:t>
      </w:r>
    </w:p>
    <w:bookmarkEnd w:id="19"/>
    <w:bookmarkEnd w:id="20"/>
    <w:p w:rsidR="00AC2DF5" w:rsidRPr="00ED06D9" w:rsidRDefault="00AC2DF5">
      <w:pPr>
        <w:widowControl/>
        <w:adjustRightInd w:val="0"/>
        <w:snapToGrid w:val="0"/>
        <w:spacing w:line="360" w:lineRule="auto"/>
        <w:rPr>
          <w:rFonts w:ascii="Book Antiqua" w:hAnsi="Book Antiqua" w:cs="Book Antiqua"/>
          <w:b/>
          <w:sz w:val="24"/>
        </w:rPr>
      </w:pPr>
      <w:r w:rsidRPr="00ED06D9">
        <w:rPr>
          <w:rFonts w:ascii="Book Antiqua" w:hAnsi="Book Antiqua" w:cs="Book Antiqua"/>
          <w:b/>
          <w:sz w:val="24"/>
        </w:rPr>
        <w:br w:type="page"/>
      </w:r>
      <w:r w:rsidRPr="00ED06D9">
        <w:rPr>
          <w:rFonts w:ascii="Book Antiqua" w:hAnsi="Book Antiqua" w:cs="Book Antiqua"/>
          <w:b/>
          <w:sz w:val="24"/>
        </w:rPr>
        <w:lastRenderedPageBreak/>
        <w:t>Figure Legends</w:t>
      </w:r>
    </w:p>
    <w:p w:rsidR="00AC2DF5" w:rsidRPr="00ED06D9" w:rsidRDefault="00CA37E9">
      <w:pPr>
        <w:adjustRightInd w:val="0"/>
        <w:snapToGrid w:val="0"/>
        <w:spacing w:line="360" w:lineRule="auto"/>
        <w:rPr>
          <w:rFonts w:ascii="Book Antiqua" w:hAnsi="Book Antiqua" w:cs="Book Antiqua"/>
          <w:sz w:val="24"/>
        </w:rPr>
      </w:pPr>
      <w:r>
        <w:rPr>
          <w:rFonts w:ascii="Book Antiqua" w:hAnsi="Book Antiqua" w:cs="Book Antiqua"/>
          <w:noProof/>
          <w:sz w:val="24"/>
        </w:rPr>
        <w:drawing>
          <wp:inline distT="0" distB="0" distL="0" distR="0">
            <wp:extent cx="5273675" cy="2696210"/>
            <wp:effectExtent l="0" t="0" r="3175" b="8890"/>
            <wp:docPr id="1" name="图片 1" descr="图片包含 游戏机, 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片包含 游戏机, 食物&#10;&#10;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675" cy="2696210"/>
                    </a:xfrm>
                    <a:prstGeom prst="rect">
                      <a:avLst/>
                    </a:prstGeom>
                    <a:noFill/>
                    <a:ln>
                      <a:noFill/>
                    </a:ln>
                  </pic:spPr>
                </pic:pic>
              </a:graphicData>
            </a:graphic>
          </wp:inline>
        </w:drawing>
      </w:r>
    </w:p>
    <w:p w:rsidR="00AC2DF5" w:rsidRPr="00ED06D9" w:rsidRDefault="00AC2DF5">
      <w:pPr>
        <w:widowControl/>
        <w:adjustRightInd w:val="0"/>
        <w:snapToGrid w:val="0"/>
        <w:spacing w:line="360" w:lineRule="auto"/>
        <w:rPr>
          <w:rFonts w:ascii="Book Antiqua" w:hAnsi="Book Antiqua" w:cs="Book Antiqua"/>
          <w:sz w:val="24"/>
        </w:rPr>
      </w:pPr>
      <w:r w:rsidRPr="00ED06D9">
        <w:rPr>
          <w:rFonts w:ascii="Book Antiqua" w:hAnsi="Book Antiqua" w:cs="Book Antiqua"/>
          <w:b/>
          <w:bCs/>
          <w:sz w:val="24"/>
        </w:rPr>
        <w:t>Figure 1 Effect of thioacetamide</w:t>
      </w:r>
      <w:r w:rsidRPr="00ED06D9">
        <w:rPr>
          <w:rFonts w:ascii="Book Antiqua" w:hAnsi="Book Antiqua" w:cs="Book Antiqua"/>
          <w:sz w:val="24"/>
        </w:rPr>
        <w:t xml:space="preserve"> </w:t>
      </w:r>
      <w:r w:rsidRPr="00ED06D9">
        <w:rPr>
          <w:rFonts w:ascii="Book Antiqua" w:hAnsi="Book Antiqua" w:cs="Book Antiqua"/>
          <w:b/>
          <w:bCs/>
          <w:sz w:val="24"/>
        </w:rPr>
        <w:t>and celecoxib on liver fibrosis.</w:t>
      </w:r>
      <w:r w:rsidRPr="00ED06D9">
        <w:rPr>
          <w:rFonts w:ascii="Book Antiqua" w:hAnsi="Book Antiqua" w:cs="Book Antiqua"/>
          <w:sz w:val="24"/>
        </w:rPr>
        <w:t xml:space="preserve"> A: Macroscopic analysis of liver tissue. Celecoxib improved pathological changes in the liver, as shown by hematoxylin-eosin and Sirius red (SR) staining (original magnification: × 100; scale bar = 400 μm); B: </w:t>
      </w:r>
      <w:r w:rsidRPr="00ED06D9">
        <w:rPr>
          <w:rFonts w:ascii="Book Antiqua" w:hAnsi="Book Antiqua" w:cs="Book Antiqua" w:hint="eastAsia"/>
          <w:sz w:val="24"/>
        </w:rPr>
        <w:t>Ishak</w:t>
      </w:r>
      <w:r w:rsidR="00A46308" w:rsidRPr="00ED06D9">
        <w:rPr>
          <w:rFonts w:ascii="Book Antiqua" w:hAnsi="Book Antiqua" w:cs="Book Antiqua"/>
          <w:sz w:val="24"/>
        </w:rPr>
        <w:t>’</w:t>
      </w:r>
      <w:r w:rsidRPr="00ED06D9">
        <w:rPr>
          <w:rFonts w:ascii="Book Antiqua" w:hAnsi="Book Antiqua" w:cs="Book Antiqua" w:hint="eastAsia"/>
          <w:sz w:val="24"/>
        </w:rPr>
        <w:t>s score based on histology and SR staining</w:t>
      </w:r>
      <w:r w:rsidR="00A46308" w:rsidRPr="00ED06D9">
        <w:rPr>
          <w:rFonts w:ascii="Book Antiqua" w:hAnsi="Book Antiqua" w:cs="Book Antiqua"/>
          <w:sz w:val="24"/>
        </w:rPr>
        <w:t xml:space="preserve"> as well as</w:t>
      </w:r>
      <w:r w:rsidRPr="00ED06D9">
        <w:rPr>
          <w:rFonts w:ascii="Book Antiqua" w:hAnsi="Book Antiqua" w:cs="Book Antiqua" w:hint="eastAsia"/>
          <w:sz w:val="24"/>
        </w:rPr>
        <w:t xml:space="preserve"> alanine aminotransferase, aspartate aminotransferase</w:t>
      </w:r>
      <w:r w:rsidR="00A46308" w:rsidRPr="00ED06D9">
        <w:rPr>
          <w:rFonts w:ascii="Book Antiqua" w:hAnsi="Book Antiqua" w:cs="Book Antiqua"/>
          <w:sz w:val="24"/>
        </w:rPr>
        <w:t>,</w:t>
      </w:r>
      <w:r w:rsidRPr="00ED06D9">
        <w:rPr>
          <w:rFonts w:ascii="Book Antiqua" w:hAnsi="Book Antiqua" w:cs="Book Antiqua" w:hint="eastAsia"/>
          <w:sz w:val="24"/>
        </w:rPr>
        <w:t xml:space="preserve"> and hydroxyproline levels</w:t>
      </w:r>
      <w:r w:rsidRPr="00ED06D9">
        <w:rPr>
          <w:rStyle w:val="a8"/>
          <w:rFonts w:ascii="Book Antiqua" w:hAnsi="Book Antiqua" w:cs="Book Antiqua" w:hint="eastAsia"/>
          <w:sz w:val="24"/>
        </w:rPr>
        <w:t xml:space="preserve">. </w:t>
      </w:r>
      <w:r w:rsidRPr="00ED06D9">
        <w:rPr>
          <w:rFonts w:ascii="Book Antiqua" w:hAnsi="Book Antiqua" w:cs="Book Antiqua"/>
          <w:sz w:val="24"/>
        </w:rPr>
        <w:t>The data are expressed as the mean ± SD (</w:t>
      </w:r>
      <w:r w:rsidRPr="00ED06D9">
        <w:rPr>
          <w:rFonts w:ascii="Book Antiqua" w:hAnsi="Book Antiqua" w:cs="Book Antiqua"/>
          <w:i/>
          <w:iCs/>
          <w:sz w:val="24"/>
        </w:rPr>
        <w:t>n</w:t>
      </w:r>
      <w:r w:rsidRPr="00ED06D9">
        <w:rPr>
          <w:rFonts w:ascii="Book Antiqua" w:hAnsi="Book Antiqua" w:cs="Book Antiqua"/>
          <w:sz w:val="24"/>
        </w:rPr>
        <w:t xml:space="preserve"> = 15, </w:t>
      </w:r>
      <w:r w:rsidRPr="00ED06D9">
        <w:rPr>
          <w:rFonts w:ascii="Book Antiqua" w:hAnsi="Book Antiqua" w:cs="Book Antiqua"/>
          <w:sz w:val="24"/>
          <w:vertAlign w:val="superscript"/>
        </w:rPr>
        <w:t>a</w:t>
      </w:r>
      <w:r w:rsidRPr="00ED06D9">
        <w:rPr>
          <w:rFonts w:ascii="Book Antiqua" w:hAnsi="Book Antiqua" w:cs="Book Antiqua"/>
          <w:i/>
          <w:iCs/>
          <w:sz w:val="24"/>
        </w:rPr>
        <w:t xml:space="preserve">P </w:t>
      </w:r>
      <w:r w:rsidRPr="00ED06D9">
        <w:rPr>
          <w:rFonts w:ascii="Book Antiqua" w:hAnsi="Book Antiqua" w:cs="Book Antiqua"/>
          <w:sz w:val="24"/>
        </w:rPr>
        <w:t xml:space="preserve">&lt; 0.05 </w:t>
      </w:r>
      <w:r w:rsidRPr="00ED06D9">
        <w:rPr>
          <w:rFonts w:ascii="Book Antiqua" w:hAnsi="Book Antiqua" w:cs="Book Antiqua"/>
          <w:i/>
          <w:iCs/>
          <w:sz w:val="24"/>
        </w:rPr>
        <w:t>vs</w:t>
      </w:r>
      <w:r w:rsidRPr="00ED06D9">
        <w:rPr>
          <w:rFonts w:ascii="Book Antiqua" w:hAnsi="Book Antiqua" w:cs="Book Antiqua"/>
          <w:sz w:val="24"/>
        </w:rPr>
        <w:t xml:space="preserve"> TAA + celecoxib group; </w:t>
      </w:r>
      <w:r w:rsidRPr="00ED06D9">
        <w:rPr>
          <w:rFonts w:ascii="Book Antiqua" w:hAnsi="Book Antiqua" w:cs="Book Antiqua"/>
          <w:sz w:val="24"/>
          <w:vertAlign w:val="superscript"/>
        </w:rPr>
        <w:t>b</w:t>
      </w:r>
      <w:r w:rsidRPr="00ED06D9">
        <w:rPr>
          <w:rFonts w:ascii="Book Antiqua" w:hAnsi="Book Antiqua" w:cs="Book Antiqua"/>
          <w:i/>
          <w:iCs/>
          <w:sz w:val="24"/>
        </w:rPr>
        <w:t xml:space="preserve">P </w:t>
      </w:r>
      <w:r w:rsidRPr="00ED06D9">
        <w:rPr>
          <w:rFonts w:ascii="Book Antiqua" w:hAnsi="Book Antiqua" w:cs="Book Antiqua"/>
          <w:sz w:val="24"/>
        </w:rPr>
        <w:t xml:space="preserve">&lt; 0.01 </w:t>
      </w:r>
      <w:r w:rsidRPr="00ED06D9">
        <w:rPr>
          <w:rFonts w:ascii="Book Antiqua" w:hAnsi="Book Antiqua" w:cs="Book Antiqua"/>
          <w:i/>
          <w:iCs/>
          <w:sz w:val="24"/>
        </w:rPr>
        <w:t>vs</w:t>
      </w:r>
      <w:r w:rsidRPr="00ED06D9">
        <w:rPr>
          <w:rFonts w:ascii="Book Antiqua" w:hAnsi="Book Antiqua" w:cs="Book Antiqua"/>
          <w:sz w:val="24"/>
        </w:rPr>
        <w:t xml:space="preserve"> control group). TAA: Thioacetamide; ALT: Alanine aminotransferase; AST: Aspartate aminotransferase; HE: Hematoxylin-eosin staining.</w:t>
      </w:r>
    </w:p>
    <w:p w:rsidR="00AC2DF5" w:rsidRPr="00ED06D9" w:rsidRDefault="00AC2DF5">
      <w:pPr>
        <w:adjustRightInd w:val="0"/>
        <w:snapToGrid w:val="0"/>
        <w:spacing w:line="360" w:lineRule="auto"/>
        <w:rPr>
          <w:rFonts w:ascii="Book Antiqua" w:hAnsi="Book Antiqua" w:cs="Book Antiqua"/>
          <w:b/>
          <w:bCs/>
          <w:sz w:val="24"/>
        </w:rPr>
      </w:pPr>
      <w:r w:rsidRPr="00ED06D9">
        <w:rPr>
          <w:rFonts w:ascii="Book Antiqua" w:hAnsi="Book Antiqua" w:cs="Book Antiqua"/>
          <w:sz w:val="24"/>
        </w:rPr>
        <w:br w:type="page"/>
      </w:r>
      <w:r w:rsidR="00CA37E9">
        <w:rPr>
          <w:rFonts w:ascii="Book Antiqua" w:hAnsi="Book Antiqua" w:cs="Book Antiqua"/>
          <w:noProof/>
          <w:sz w:val="24"/>
        </w:rPr>
        <w:lastRenderedPageBreak/>
        <w:drawing>
          <wp:inline distT="0" distB="0" distL="0" distR="0">
            <wp:extent cx="5273675" cy="3034665"/>
            <wp:effectExtent l="0" t="0" r="3175" b="0"/>
            <wp:docPr id="2" name="图片 7"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手机屏幕截图&#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3675" cy="3034665"/>
                    </a:xfrm>
                    <a:prstGeom prst="rect">
                      <a:avLst/>
                    </a:prstGeom>
                    <a:noFill/>
                    <a:ln>
                      <a:noFill/>
                    </a:ln>
                  </pic:spPr>
                </pic:pic>
              </a:graphicData>
            </a:graphic>
          </wp:inline>
        </w:drawing>
      </w:r>
    </w:p>
    <w:p w:rsidR="00AC2DF5" w:rsidRPr="00ED06D9" w:rsidRDefault="00AC2DF5">
      <w:pPr>
        <w:adjustRightInd w:val="0"/>
        <w:snapToGrid w:val="0"/>
        <w:spacing w:line="360" w:lineRule="auto"/>
        <w:rPr>
          <w:rFonts w:ascii="Book Antiqua" w:hAnsi="Book Antiqua" w:cs="Book Antiqua"/>
          <w:sz w:val="24"/>
        </w:rPr>
      </w:pPr>
      <w:r w:rsidRPr="00ED06D9">
        <w:rPr>
          <w:rFonts w:ascii="Book Antiqua" w:hAnsi="Book Antiqua" w:cs="Book Antiqua"/>
          <w:b/>
          <w:bCs/>
          <w:sz w:val="24"/>
        </w:rPr>
        <w:t>Figure 2 Celecoxib inhibits apoptosis of hepatocytes and expression of caspase-3 and caspase-12 in thioacetamide-induced liver fibrosis</w:t>
      </w:r>
      <w:r w:rsidRPr="00ED06D9">
        <w:rPr>
          <w:rFonts w:ascii="Book Antiqua" w:hAnsi="Book Antiqua" w:cs="Book Antiqua"/>
          <w:sz w:val="24"/>
        </w:rPr>
        <w:t xml:space="preserve">. </w:t>
      </w:r>
      <w:r w:rsidRPr="00ED06D9">
        <w:rPr>
          <w:rFonts w:ascii="Book Antiqua" w:hAnsi="Book Antiqua" w:cs="Book Antiqua" w:hint="eastAsia"/>
          <w:sz w:val="24"/>
        </w:rPr>
        <w:t>A: Immunohistochemical staining (10</w:t>
      </w:r>
      <w:r w:rsidRPr="00ED06D9">
        <w:rPr>
          <w:rFonts w:ascii="Book Antiqua" w:hAnsi="Book Antiqua" w:cs="Book Antiqua"/>
          <w:sz w:val="24"/>
        </w:rPr>
        <w:t>0</w:t>
      </w:r>
      <w:r w:rsidR="00A46308" w:rsidRPr="00ED06D9">
        <w:rPr>
          <w:rFonts w:ascii="Book Antiqua" w:hAnsi="Book Antiqua" w:cs="Book Antiqua"/>
          <w:sz w:val="24"/>
        </w:rPr>
        <w:t xml:space="preserve"> </w:t>
      </w:r>
      <w:r w:rsidRPr="00ED06D9">
        <w:rPr>
          <w:rFonts w:ascii="Book Antiqua" w:hAnsi="Book Antiqua" w:cs="Book Antiqua"/>
          <w:sz w:val="24"/>
        </w:rPr>
        <w:t>×</w:t>
      </w:r>
      <w:r w:rsidRPr="00ED06D9">
        <w:rPr>
          <w:rFonts w:ascii="Book Antiqua" w:hAnsi="Book Antiqua" w:cs="Book Antiqua" w:hint="eastAsia"/>
          <w:sz w:val="24"/>
        </w:rPr>
        <w:t xml:space="preserve">) </w:t>
      </w:r>
      <w:r w:rsidR="00A46308" w:rsidRPr="00ED06D9">
        <w:rPr>
          <w:rFonts w:ascii="Book Antiqua" w:hAnsi="Book Antiqua" w:cs="Book Antiqua"/>
          <w:sz w:val="24"/>
        </w:rPr>
        <w:t>for</w:t>
      </w:r>
      <w:r w:rsidRPr="00ED06D9">
        <w:rPr>
          <w:rFonts w:ascii="Book Antiqua" w:hAnsi="Book Antiqua" w:cs="Book Antiqua" w:hint="eastAsia"/>
          <w:sz w:val="24"/>
        </w:rPr>
        <w:t xml:space="preserve"> collagen III, cyclooxygenase-2 (COX-2), caspase-12</w:t>
      </w:r>
      <w:r w:rsidR="00A46308" w:rsidRPr="00ED06D9">
        <w:rPr>
          <w:rFonts w:ascii="Book Antiqua" w:hAnsi="Book Antiqua" w:cs="Book Antiqua"/>
          <w:sz w:val="24"/>
        </w:rPr>
        <w:t>,</w:t>
      </w:r>
      <w:r w:rsidRPr="00ED06D9">
        <w:rPr>
          <w:rFonts w:ascii="Book Antiqua" w:hAnsi="Book Antiqua" w:cs="Book Antiqua" w:hint="eastAsia"/>
          <w:sz w:val="24"/>
        </w:rPr>
        <w:t xml:space="preserve"> and caspase-3 in the three groups of rats.</w:t>
      </w:r>
      <w:r w:rsidR="00A46308" w:rsidRPr="00ED06D9">
        <w:rPr>
          <w:rFonts w:ascii="Book Antiqua" w:hAnsi="Book Antiqua" w:cs="Book Antiqua"/>
          <w:sz w:val="24"/>
        </w:rPr>
        <w:t xml:space="preserve"> </w:t>
      </w:r>
      <w:r w:rsidRPr="00ED06D9">
        <w:rPr>
          <w:rFonts w:ascii="Book Antiqua" w:hAnsi="Book Antiqua" w:cs="Book Antiqua" w:hint="eastAsia"/>
          <w:sz w:val="24"/>
        </w:rPr>
        <w:t>Positive rates were analyzed using Image-Pro Plus 6.0. The data are expressed as the mea</w:t>
      </w:r>
      <w:r w:rsidRPr="00ED06D9">
        <w:rPr>
          <w:rFonts w:ascii="Book Antiqua" w:hAnsi="Book Antiqua" w:cs="Book Antiqua"/>
          <w:sz w:val="24"/>
        </w:rPr>
        <w:t xml:space="preserve">n ± </w:t>
      </w:r>
      <w:r w:rsidRPr="00ED06D9">
        <w:rPr>
          <w:rFonts w:ascii="Book Antiqua" w:hAnsi="Book Antiqua" w:cs="Book Antiqua" w:hint="eastAsia"/>
          <w:sz w:val="24"/>
        </w:rPr>
        <w:t>SD (</w:t>
      </w:r>
      <w:r w:rsidRPr="00ED06D9">
        <w:rPr>
          <w:rFonts w:ascii="Book Antiqua" w:hAnsi="Book Antiqua" w:cs="Book Antiqua" w:hint="eastAsia"/>
          <w:i/>
          <w:sz w:val="24"/>
        </w:rPr>
        <w:t>n</w:t>
      </w:r>
      <w:r w:rsidRPr="00ED06D9">
        <w:rPr>
          <w:rFonts w:ascii="Book Antiqua" w:hAnsi="Book Antiqua" w:cs="Book Antiqua" w:hint="eastAsia"/>
          <w:sz w:val="24"/>
        </w:rPr>
        <w:t xml:space="preserve"> = 15, </w:t>
      </w:r>
      <w:r w:rsidRPr="00ED06D9">
        <w:rPr>
          <w:rFonts w:ascii="Book Antiqua" w:hAnsi="Book Antiqua" w:cs="Book Antiqua" w:hint="eastAsia"/>
          <w:sz w:val="24"/>
          <w:vertAlign w:val="superscript"/>
        </w:rPr>
        <w:t>a</w:t>
      </w:r>
      <w:r w:rsidRPr="00ED06D9">
        <w:rPr>
          <w:rFonts w:ascii="Book Antiqua" w:hAnsi="Book Antiqua" w:cs="Book Antiqua" w:hint="eastAsia"/>
          <w:i/>
          <w:iCs/>
          <w:sz w:val="24"/>
        </w:rPr>
        <w:t>P</w:t>
      </w:r>
      <w:r w:rsidRPr="00ED06D9">
        <w:rPr>
          <w:rFonts w:ascii="Book Antiqua" w:hAnsi="Book Antiqua" w:cs="Book Antiqua" w:hint="eastAsia"/>
          <w:sz w:val="24"/>
        </w:rPr>
        <w:t xml:space="preserve"> &lt; 0.05 </w:t>
      </w:r>
      <w:r w:rsidRPr="00ED06D9">
        <w:rPr>
          <w:rFonts w:ascii="Book Antiqua" w:hAnsi="Book Antiqua" w:cs="Book Antiqua" w:hint="eastAsia"/>
          <w:i/>
          <w:iCs/>
          <w:sz w:val="24"/>
        </w:rPr>
        <w:t>vs</w:t>
      </w:r>
      <w:r w:rsidR="00A46308" w:rsidRPr="00ED06D9">
        <w:rPr>
          <w:rFonts w:ascii="Book Antiqua" w:hAnsi="Book Antiqua" w:cs="Book Antiqua"/>
          <w:sz w:val="24"/>
        </w:rPr>
        <w:t xml:space="preserve"> </w:t>
      </w:r>
      <w:r w:rsidRPr="00ED06D9">
        <w:rPr>
          <w:rFonts w:ascii="Book Antiqua" w:hAnsi="Book Antiqua" w:cs="Book Antiqua" w:hint="eastAsia"/>
          <w:sz w:val="24"/>
        </w:rPr>
        <w:t xml:space="preserve">TAA + celecoxib group; </w:t>
      </w:r>
      <w:r w:rsidRPr="00ED06D9">
        <w:rPr>
          <w:rFonts w:ascii="Book Antiqua" w:hAnsi="Book Antiqua" w:cs="Book Antiqua" w:hint="eastAsia"/>
          <w:sz w:val="24"/>
          <w:vertAlign w:val="superscript"/>
        </w:rPr>
        <w:t>b</w:t>
      </w:r>
      <w:r w:rsidRPr="00ED06D9">
        <w:rPr>
          <w:rFonts w:ascii="Book Antiqua" w:hAnsi="Book Antiqua" w:cs="Book Antiqua" w:hint="eastAsia"/>
          <w:i/>
          <w:iCs/>
          <w:sz w:val="24"/>
        </w:rPr>
        <w:t>P</w:t>
      </w:r>
      <w:r w:rsidRPr="00ED06D9">
        <w:rPr>
          <w:rFonts w:ascii="Book Antiqua" w:hAnsi="Book Antiqua" w:cs="Book Antiqua" w:hint="eastAsia"/>
          <w:sz w:val="24"/>
        </w:rPr>
        <w:t xml:space="preserve"> &lt; 0.01 </w:t>
      </w:r>
      <w:r w:rsidRPr="00ED06D9">
        <w:rPr>
          <w:rFonts w:ascii="Book Antiqua" w:hAnsi="Book Antiqua" w:cs="Book Antiqua" w:hint="eastAsia"/>
          <w:i/>
          <w:iCs/>
          <w:sz w:val="24"/>
        </w:rPr>
        <w:t>vs</w:t>
      </w:r>
      <w:r w:rsidR="00A46308" w:rsidRPr="00ED06D9">
        <w:rPr>
          <w:rFonts w:ascii="Book Antiqua" w:hAnsi="Book Antiqua" w:cs="Book Antiqua"/>
          <w:sz w:val="24"/>
        </w:rPr>
        <w:t xml:space="preserve"> </w:t>
      </w:r>
      <w:r w:rsidRPr="00ED06D9">
        <w:rPr>
          <w:rFonts w:ascii="Book Antiqua" w:hAnsi="Book Antiqua" w:cs="Book Antiqua" w:hint="eastAsia"/>
          <w:sz w:val="24"/>
        </w:rPr>
        <w:t>control group). The scale bar is 200</w:t>
      </w:r>
      <w:r w:rsidRPr="00ED06D9">
        <w:rPr>
          <w:rFonts w:ascii="Book Antiqua" w:hAnsi="Book Antiqua" w:cs="Book Antiqua"/>
          <w:sz w:val="24"/>
        </w:rPr>
        <w:t xml:space="preserve"> μm</w:t>
      </w:r>
      <w:r w:rsidRPr="00ED06D9">
        <w:rPr>
          <w:rFonts w:ascii="Book Antiqua" w:hAnsi="Book Antiqua" w:cs="Book Antiqua" w:hint="eastAsia"/>
          <w:sz w:val="24"/>
        </w:rPr>
        <w:t>; B: Western blot results showing collagen III, COX-2, caspase-3</w:t>
      </w:r>
      <w:r w:rsidR="00A46308" w:rsidRPr="00ED06D9">
        <w:rPr>
          <w:rFonts w:ascii="Book Antiqua" w:hAnsi="Book Antiqua" w:cs="Book Antiqua"/>
          <w:sz w:val="24"/>
        </w:rPr>
        <w:t>,</w:t>
      </w:r>
      <w:r w:rsidRPr="00ED06D9">
        <w:rPr>
          <w:rFonts w:ascii="Book Antiqua" w:hAnsi="Book Antiqua" w:cs="Book Antiqua" w:hint="eastAsia"/>
          <w:sz w:val="24"/>
        </w:rPr>
        <w:t xml:space="preserve"> and caspase-12 </w:t>
      </w:r>
      <w:r w:rsidR="00A46308" w:rsidRPr="00ED06D9">
        <w:rPr>
          <w:rFonts w:ascii="Book Antiqua" w:hAnsi="Book Antiqua" w:cs="Book Antiqua"/>
          <w:sz w:val="24"/>
        </w:rPr>
        <w:t xml:space="preserve">expression </w:t>
      </w:r>
      <w:r w:rsidRPr="00ED06D9">
        <w:rPr>
          <w:rFonts w:ascii="Book Antiqua" w:hAnsi="Book Antiqua" w:cs="Book Antiqua" w:hint="eastAsia"/>
          <w:sz w:val="24"/>
        </w:rPr>
        <w:t>in the three groups</w:t>
      </w:r>
      <w:r w:rsidR="00A46308" w:rsidRPr="00ED06D9">
        <w:rPr>
          <w:rFonts w:ascii="Book Antiqua" w:hAnsi="Book Antiqua" w:cs="Book Antiqua"/>
          <w:sz w:val="24"/>
        </w:rPr>
        <w:t>.</w:t>
      </w:r>
      <w:r w:rsidRPr="00ED06D9">
        <w:rPr>
          <w:rFonts w:ascii="Book Antiqua" w:hAnsi="Book Antiqua" w:cs="Book Antiqua" w:hint="eastAsia"/>
          <w:sz w:val="24"/>
        </w:rPr>
        <w:t xml:space="preserve"> </w:t>
      </w:r>
      <w:r w:rsidRPr="00ED06D9">
        <w:rPr>
          <w:rFonts w:ascii="Book Antiqua" w:hAnsi="Book Antiqua" w:cs="Book Antiqua" w:hint="eastAsia"/>
          <w:sz w:val="24"/>
          <w:vertAlign w:val="superscript"/>
        </w:rPr>
        <w:t>a</w:t>
      </w:r>
      <w:r w:rsidRPr="00ED06D9">
        <w:rPr>
          <w:rFonts w:ascii="Book Antiqua" w:hAnsi="Book Antiqua" w:cs="Book Antiqua" w:hint="eastAsia"/>
          <w:i/>
          <w:iCs/>
          <w:sz w:val="24"/>
        </w:rPr>
        <w:t>P</w:t>
      </w:r>
      <w:r w:rsidRPr="00ED06D9">
        <w:rPr>
          <w:rFonts w:ascii="Book Antiqua" w:hAnsi="Book Antiqua" w:cs="Book Antiqua" w:hint="eastAsia"/>
          <w:sz w:val="24"/>
        </w:rPr>
        <w:t xml:space="preserve"> &lt; 0.05 </w:t>
      </w:r>
      <w:r w:rsidRPr="00ED06D9">
        <w:rPr>
          <w:rFonts w:ascii="Book Antiqua" w:hAnsi="Book Antiqua" w:cs="Book Antiqua" w:hint="eastAsia"/>
          <w:i/>
          <w:iCs/>
          <w:sz w:val="24"/>
        </w:rPr>
        <w:t>vs</w:t>
      </w:r>
      <w:r w:rsidR="00A46308" w:rsidRPr="00ED06D9">
        <w:rPr>
          <w:rFonts w:ascii="Book Antiqua" w:hAnsi="Book Antiqua" w:cs="Book Antiqua"/>
          <w:sz w:val="24"/>
        </w:rPr>
        <w:t xml:space="preserve"> </w:t>
      </w:r>
      <w:r w:rsidRPr="00ED06D9">
        <w:rPr>
          <w:rFonts w:ascii="Book Antiqua" w:hAnsi="Book Antiqua" w:cs="Book Antiqua" w:hint="eastAsia"/>
          <w:sz w:val="24"/>
        </w:rPr>
        <w:t xml:space="preserve">TAA + celecoxib group; </w:t>
      </w:r>
      <w:r w:rsidRPr="00ED06D9">
        <w:rPr>
          <w:rFonts w:ascii="Book Antiqua" w:hAnsi="Book Antiqua" w:cs="Book Antiqua" w:hint="eastAsia"/>
          <w:sz w:val="24"/>
          <w:vertAlign w:val="superscript"/>
        </w:rPr>
        <w:t>b</w:t>
      </w:r>
      <w:r w:rsidRPr="00ED06D9">
        <w:rPr>
          <w:rFonts w:ascii="Book Antiqua" w:hAnsi="Book Antiqua" w:cs="Book Antiqua" w:hint="eastAsia"/>
          <w:i/>
          <w:iCs/>
          <w:sz w:val="24"/>
        </w:rPr>
        <w:t>P</w:t>
      </w:r>
      <w:r w:rsidRPr="00ED06D9">
        <w:rPr>
          <w:rFonts w:ascii="Book Antiqua" w:hAnsi="Book Antiqua" w:cs="Book Antiqua" w:hint="eastAsia"/>
          <w:sz w:val="24"/>
        </w:rPr>
        <w:t xml:space="preserve"> &lt; 0.01 </w:t>
      </w:r>
      <w:r w:rsidRPr="00ED06D9">
        <w:rPr>
          <w:rFonts w:ascii="Book Antiqua" w:hAnsi="Book Antiqua" w:cs="Book Antiqua" w:hint="eastAsia"/>
          <w:i/>
          <w:iCs/>
          <w:sz w:val="24"/>
        </w:rPr>
        <w:t>vs</w:t>
      </w:r>
      <w:r w:rsidR="00A46308" w:rsidRPr="00ED06D9">
        <w:rPr>
          <w:rFonts w:ascii="Book Antiqua" w:hAnsi="Book Antiqua" w:cs="Book Antiqua"/>
          <w:sz w:val="24"/>
        </w:rPr>
        <w:t xml:space="preserve"> </w:t>
      </w:r>
      <w:r w:rsidRPr="00ED06D9">
        <w:rPr>
          <w:rFonts w:ascii="Book Antiqua" w:hAnsi="Book Antiqua" w:cs="Book Antiqua" w:hint="eastAsia"/>
          <w:sz w:val="24"/>
        </w:rPr>
        <w:t>control group. TAA: Thioacetamide;</w:t>
      </w:r>
      <w:r w:rsidR="00A46308" w:rsidRPr="00ED06D9">
        <w:rPr>
          <w:rFonts w:ascii="Book Antiqua" w:hAnsi="Book Antiqua" w:cs="Book Antiqua"/>
          <w:sz w:val="24"/>
        </w:rPr>
        <w:t xml:space="preserve"> </w:t>
      </w:r>
      <w:r w:rsidRPr="00ED06D9">
        <w:rPr>
          <w:rFonts w:ascii="Book Antiqua" w:hAnsi="Book Antiqua" w:cs="Book Antiqua" w:hint="eastAsia"/>
          <w:sz w:val="24"/>
        </w:rPr>
        <w:t>COX-2:Cyclooxygenase-2;</w:t>
      </w:r>
      <w:r w:rsidR="00A46308" w:rsidRPr="00ED06D9">
        <w:rPr>
          <w:rFonts w:ascii="Book Antiqua" w:hAnsi="Book Antiqua" w:cs="Book Antiqua"/>
          <w:sz w:val="24"/>
        </w:rPr>
        <w:t xml:space="preserve"> </w:t>
      </w:r>
      <w:r w:rsidRPr="00ED06D9">
        <w:rPr>
          <w:rFonts w:ascii="Book Antiqua" w:hAnsi="Book Antiqua" w:cs="Book Antiqua" w:hint="eastAsia"/>
          <w:sz w:val="24"/>
        </w:rPr>
        <w:t>GAPDH: Glyceraldehyde-3-phosphate dehydrogenase.</w:t>
      </w:r>
    </w:p>
    <w:p w:rsidR="00AC2DF5" w:rsidRPr="00ED06D9" w:rsidRDefault="00AC2DF5">
      <w:pPr>
        <w:adjustRightInd w:val="0"/>
        <w:snapToGrid w:val="0"/>
        <w:spacing w:line="360" w:lineRule="auto"/>
        <w:rPr>
          <w:rFonts w:ascii="Book Antiqua" w:hAnsi="Book Antiqua" w:cs="Book Antiqua"/>
          <w:b/>
          <w:bCs/>
          <w:sz w:val="24"/>
        </w:rPr>
      </w:pPr>
      <w:r w:rsidRPr="00ED06D9">
        <w:rPr>
          <w:rFonts w:ascii="Book Antiqua" w:hAnsi="Book Antiqua" w:cs="Book Antiqua"/>
          <w:b/>
          <w:bCs/>
          <w:sz w:val="24"/>
        </w:rPr>
        <w:br w:type="page"/>
      </w:r>
      <w:r w:rsidR="00CA37E9">
        <w:rPr>
          <w:rFonts w:ascii="Book Antiqua" w:hAnsi="Book Antiqua" w:cs="Book Antiqua"/>
          <w:b/>
          <w:noProof/>
          <w:sz w:val="24"/>
        </w:rPr>
        <w:lastRenderedPageBreak/>
        <w:drawing>
          <wp:inline distT="0" distB="0" distL="0" distR="0">
            <wp:extent cx="5273675" cy="3176905"/>
            <wp:effectExtent l="0" t="0" r="3175" b="4445"/>
            <wp:docPr id="3" name="图片 8"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手机屏幕截图&#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675" cy="3176905"/>
                    </a:xfrm>
                    <a:prstGeom prst="rect">
                      <a:avLst/>
                    </a:prstGeom>
                    <a:noFill/>
                    <a:ln>
                      <a:noFill/>
                    </a:ln>
                  </pic:spPr>
                </pic:pic>
              </a:graphicData>
            </a:graphic>
          </wp:inline>
        </w:drawing>
      </w:r>
    </w:p>
    <w:p w:rsidR="00AC2DF5" w:rsidRPr="00ED06D9" w:rsidRDefault="00AC2DF5">
      <w:pPr>
        <w:adjustRightInd w:val="0"/>
        <w:snapToGrid w:val="0"/>
        <w:spacing w:line="360" w:lineRule="auto"/>
        <w:rPr>
          <w:rFonts w:ascii="Book Antiqua" w:hAnsi="Book Antiqua" w:cs="Book Antiqua"/>
          <w:sz w:val="24"/>
        </w:rPr>
      </w:pPr>
      <w:r w:rsidRPr="00ED06D9">
        <w:rPr>
          <w:rFonts w:ascii="Book Antiqua" w:hAnsi="Book Antiqua" w:cs="Book Antiqua"/>
          <w:b/>
          <w:bCs/>
          <w:sz w:val="24"/>
        </w:rPr>
        <w:t xml:space="preserve">Figure 3 Celecoxib inhibits endoplasmic reticulum stress. </w:t>
      </w:r>
      <w:r w:rsidRPr="00ED06D9">
        <w:rPr>
          <w:rFonts w:ascii="Book Antiqua" w:hAnsi="Book Antiqua" w:cs="Book Antiqua"/>
          <w:sz w:val="24"/>
        </w:rPr>
        <w:t>A: Hepatocytes in the thioacetamide (TAA) and TAA + celecoxib groups (transmission electron microscopy, × 6000-10000); B: Hepatic glucose-regulated protein 78</w:t>
      </w:r>
      <w:r w:rsidR="00A46308" w:rsidRPr="00ED06D9">
        <w:rPr>
          <w:rFonts w:ascii="Book Antiqua" w:hAnsi="Book Antiqua" w:cs="Book Antiqua"/>
          <w:sz w:val="24"/>
        </w:rPr>
        <w:t xml:space="preserve"> </w:t>
      </w:r>
      <w:r w:rsidRPr="00ED06D9">
        <w:rPr>
          <w:rFonts w:ascii="Book Antiqua" w:hAnsi="Book Antiqua" w:cs="Book Antiqua"/>
          <w:sz w:val="24"/>
        </w:rPr>
        <w:t xml:space="preserve">and CCAAT/enhancer binding protein homologous protein expression measured by Western blot. </w:t>
      </w:r>
      <w:r w:rsidRPr="00ED06D9">
        <w:rPr>
          <w:rFonts w:ascii="Book Antiqua" w:hAnsi="Book Antiqua" w:cs="Book Antiqua"/>
          <w:i/>
          <w:iCs/>
          <w:sz w:val="24"/>
        </w:rPr>
        <w:t>n</w:t>
      </w:r>
      <w:r w:rsidRPr="00ED06D9">
        <w:rPr>
          <w:rFonts w:ascii="Book Antiqua" w:hAnsi="Book Antiqua" w:cs="Book Antiqua"/>
          <w:sz w:val="24"/>
        </w:rPr>
        <w:t xml:space="preserve"> = 6/group; C and D: Quantitative Western blot results. </w:t>
      </w:r>
      <w:r w:rsidRPr="00ED06D9">
        <w:rPr>
          <w:rFonts w:ascii="Book Antiqua" w:hAnsi="Book Antiqua" w:cs="Book Antiqua"/>
          <w:sz w:val="24"/>
          <w:vertAlign w:val="superscript"/>
        </w:rPr>
        <w:t>a</w:t>
      </w:r>
      <w:r w:rsidRPr="00ED06D9">
        <w:rPr>
          <w:rFonts w:ascii="Book Antiqua" w:hAnsi="Book Antiqua" w:cs="Book Antiqua"/>
          <w:i/>
          <w:iCs/>
          <w:sz w:val="24"/>
        </w:rPr>
        <w:t xml:space="preserve">P </w:t>
      </w:r>
      <w:r w:rsidRPr="00ED06D9">
        <w:rPr>
          <w:rFonts w:ascii="Book Antiqua" w:hAnsi="Book Antiqua" w:cs="Book Antiqua"/>
          <w:sz w:val="24"/>
        </w:rPr>
        <w:t xml:space="preserve">&lt; 0.05 </w:t>
      </w:r>
      <w:r w:rsidRPr="00ED06D9">
        <w:rPr>
          <w:rFonts w:ascii="Book Antiqua" w:hAnsi="Book Antiqua" w:cs="Book Antiqua"/>
          <w:i/>
          <w:iCs/>
          <w:sz w:val="24"/>
        </w:rPr>
        <w:t>vs</w:t>
      </w:r>
      <w:r w:rsidRPr="00ED06D9">
        <w:rPr>
          <w:rFonts w:ascii="Book Antiqua" w:hAnsi="Book Antiqua" w:cs="Book Antiqua"/>
          <w:sz w:val="24"/>
        </w:rPr>
        <w:t xml:space="preserve"> TAA + celecoxib group;</w:t>
      </w:r>
      <w:r w:rsidRPr="00ED06D9">
        <w:rPr>
          <w:rFonts w:ascii="Book Antiqua" w:hAnsi="Book Antiqua" w:cs="Book Antiqua"/>
          <w:sz w:val="24"/>
          <w:vertAlign w:val="superscript"/>
        </w:rPr>
        <w:t xml:space="preserve"> b</w:t>
      </w:r>
      <w:r w:rsidRPr="00ED06D9">
        <w:rPr>
          <w:rFonts w:ascii="Book Antiqua" w:hAnsi="Book Antiqua" w:cs="Book Antiqua"/>
          <w:i/>
          <w:iCs/>
          <w:sz w:val="24"/>
        </w:rPr>
        <w:t xml:space="preserve">P </w:t>
      </w:r>
      <w:r w:rsidRPr="00ED06D9">
        <w:rPr>
          <w:rFonts w:ascii="Book Antiqua" w:hAnsi="Book Antiqua" w:cs="Book Antiqua"/>
          <w:sz w:val="24"/>
        </w:rPr>
        <w:t xml:space="preserve">&lt; 0.01 </w:t>
      </w:r>
      <w:r w:rsidRPr="00ED06D9">
        <w:rPr>
          <w:rFonts w:ascii="Book Antiqua" w:hAnsi="Book Antiqua" w:cs="Book Antiqua"/>
          <w:i/>
          <w:iCs/>
          <w:sz w:val="24"/>
        </w:rPr>
        <w:t>vs</w:t>
      </w:r>
      <w:r w:rsidRPr="00ED06D9">
        <w:rPr>
          <w:rFonts w:ascii="Book Antiqua" w:hAnsi="Book Antiqua" w:cs="Book Antiqua"/>
          <w:sz w:val="24"/>
        </w:rPr>
        <w:t xml:space="preserve"> the control group. GAPDH: Glyceraldehyde-3-phosphate dehydrogenase; GRP78: Glucose-regulated protein 78; CHOP: CCAAT/enhancer binding protein homologous protein. TAA: Thioacetamide.</w:t>
      </w:r>
    </w:p>
    <w:p w:rsidR="00AC2DF5" w:rsidRPr="00ED06D9" w:rsidRDefault="00AC2DF5">
      <w:pPr>
        <w:widowControl/>
        <w:adjustRightInd w:val="0"/>
        <w:snapToGrid w:val="0"/>
        <w:spacing w:line="360" w:lineRule="auto"/>
        <w:rPr>
          <w:rFonts w:ascii="Book Antiqua" w:hAnsi="Book Antiqua" w:cs="Book Antiqua"/>
          <w:b/>
          <w:bCs/>
          <w:sz w:val="24"/>
        </w:rPr>
      </w:pPr>
      <w:r w:rsidRPr="00ED06D9">
        <w:rPr>
          <w:rFonts w:ascii="Book Antiqua" w:hAnsi="Book Antiqua" w:cs="Book Antiqua"/>
          <w:sz w:val="24"/>
        </w:rPr>
        <w:br w:type="page"/>
      </w:r>
      <w:r w:rsidR="00CA37E9">
        <w:rPr>
          <w:rFonts w:ascii="Book Antiqua" w:hAnsi="Book Antiqua" w:cs="Book Antiqua"/>
          <w:noProof/>
          <w:sz w:val="24"/>
        </w:rPr>
        <w:lastRenderedPageBreak/>
        <w:drawing>
          <wp:inline distT="0" distB="0" distL="0" distR="0">
            <wp:extent cx="5273675" cy="3413125"/>
            <wp:effectExtent l="0" t="0" r="3175" b="0"/>
            <wp:docPr id="4" name="图片 9"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手机屏幕截图&#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675" cy="3413125"/>
                    </a:xfrm>
                    <a:prstGeom prst="rect">
                      <a:avLst/>
                    </a:prstGeom>
                    <a:noFill/>
                    <a:ln>
                      <a:noFill/>
                    </a:ln>
                  </pic:spPr>
                </pic:pic>
              </a:graphicData>
            </a:graphic>
          </wp:inline>
        </w:drawing>
      </w:r>
    </w:p>
    <w:p w:rsidR="00AC2DF5" w:rsidRPr="00ED06D9" w:rsidRDefault="00AC2DF5">
      <w:pPr>
        <w:widowControl/>
        <w:adjustRightInd w:val="0"/>
        <w:snapToGrid w:val="0"/>
        <w:spacing w:line="360" w:lineRule="auto"/>
        <w:rPr>
          <w:rFonts w:ascii="Book Antiqua" w:hAnsi="Book Antiqua" w:cs="Book Antiqua"/>
          <w:sz w:val="24"/>
        </w:rPr>
      </w:pPr>
      <w:r w:rsidRPr="00ED06D9">
        <w:rPr>
          <w:rFonts w:ascii="Book Antiqua" w:hAnsi="Book Antiqua" w:cs="Book Antiqua"/>
          <w:b/>
          <w:bCs/>
          <w:sz w:val="24"/>
        </w:rPr>
        <w:t xml:space="preserve">Figure 4 Celecoxib attenuates hepatocyte apoptosis by inhibiting the expression of </w:t>
      </w:r>
      <w:r w:rsidRPr="00ED06D9">
        <w:rPr>
          <w:rFonts w:ascii="Book Antiqua" w:hAnsi="Book Antiqua" w:cs="Book Antiqua"/>
          <w:b/>
          <w:bCs/>
          <w:kern w:val="0"/>
          <w:sz w:val="24"/>
        </w:rPr>
        <w:t>unfolded protein response</w:t>
      </w:r>
      <w:r w:rsidRPr="00ED06D9">
        <w:rPr>
          <w:rFonts w:ascii="Book Antiqua" w:hAnsi="Book Antiqua" w:cs="Book Antiqua"/>
          <w:b/>
          <w:bCs/>
          <w:sz w:val="24"/>
        </w:rPr>
        <w:t>-related pathway proteins.</w:t>
      </w:r>
      <w:r w:rsidRPr="00ED06D9">
        <w:rPr>
          <w:rFonts w:ascii="Book Antiqua" w:hAnsi="Book Antiqua" w:cs="Book Antiqua"/>
          <w:sz w:val="24"/>
        </w:rPr>
        <w:t xml:space="preserve"> A: Hepatic activating transcription factor 6 (ATF6), PKR-like endoplasmic reticulum protein kinase, ATF4, X-box binding protein-1, and inositol-requiring enzyme 1 protein expression measured by Western blot. </w:t>
      </w:r>
      <w:r w:rsidRPr="00ED06D9">
        <w:rPr>
          <w:rFonts w:ascii="Book Antiqua" w:hAnsi="Book Antiqua" w:cs="Book Antiqua"/>
          <w:i/>
          <w:iCs/>
          <w:sz w:val="24"/>
        </w:rPr>
        <w:t>n</w:t>
      </w:r>
      <w:r w:rsidRPr="00ED06D9">
        <w:rPr>
          <w:rFonts w:ascii="Book Antiqua" w:hAnsi="Book Antiqua" w:cs="Book Antiqua"/>
          <w:sz w:val="24"/>
        </w:rPr>
        <w:t xml:space="preserve"> = 6/group; B: Quantitative Western blot results. </w:t>
      </w:r>
      <w:r w:rsidRPr="00ED06D9">
        <w:rPr>
          <w:rFonts w:ascii="Book Antiqua" w:hAnsi="Book Antiqua" w:cs="Book Antiqua"/>
          <w:sz w:val="24"/>
          <w:vertAlign w:val="superscript"/>
        </w:rPr>
        <w:t>a</w:t>
      </w:r>
      <w:r w:rsidRPr="00ED06D9">
        <w:rPr>
          <w:rFonts w:ascii="Book Antiqua" w:hAnsi="Book Antiqua" w:cs="Book Antiqua"/>
          <w:i/>
          <w:iCs/>
          <w:sz w:val="24"/>
        </w:rPr>
        <w:t xml:space="preserve">P </w:t>
      </w:r>
      <w:r w:rsidRPr="00ED06D9">
        <w:rPr>
          <w:rFonts w:ascii="Book Antiqua" w:hAnsi="Book Antiqua" w:cs="Book Antiqua"/>
          <w:sz w:val="24"/>
        </w:rPr>
        <w:t xml:space="preserve">&lt; 0.05 </w:t>
      </w:r>
      <w:r w:rsidRPr="00ED06D9">
        <w:rPr>
          <w:rFonts w:ascii="Book Antiqua" w:hAnsi="Book Antiqua" w:cs="Book Antiqua"/>
          <w:i/>
          <w:iCs/>
          <w:sz w:val="24"/>
        </w:rPr>
        <w:t>vs</w:t>
      </w:r>
      <w:r w:rsidRPr="00ED06D9">
        <w:rPr>
          <w:rFonts w:ascii="Book Antiqua" w:hAnsi="Book Antiqua" w:cs="Book Antiqua"/>
          <w:sz w:val="24"/>
        </w:rPr>
        <w:t xml:space="preserve"> TAA + celecoxib group;</w:t>
      </w:r>
      <w:r w:rsidRPr="00ED06D9">
        <w:rPr>
          <w:rFonts w:ascii="Book Antiqua" w:hAnsi="Book Antiqua" w:cs="Book Antiqua"/>
          <w:sz w:val="24"/>
          <w:vertAlign w:val="superscript"/>
        </w:rPr>
        <w:t xml:space="preserve"> b</w:t>
      </w:r>
      <w:r w:rsidRPr="00ED06D9">
        <w:rPr>
          <w:rFonts w:ascii="Book Antiqua" w:hAnsi="Book Antiqua" w:cs="Book Antiqua"/>
          <w:i/>
          <w:iCs/>
          <w:sz w:val="24"/>
        </w:rPr>
        <w:t xml:space="preserve">P </w:t>
      </w:r>
      <w:r w:rsidRPr="00ED06D9">
        <w:rPr>
          <w:rFonts w:ascii="Book Antiqua" w:hAnsi="Book Antiqua" w:cs="Book Antiqua"/>
          <w:sz w:val="24"/>
        </w:rPr>
        <w:t xml:space="preserve">&lt; 0.01 </w:t>
      </w:r>
      <w:r w:rsidRPr="00ED06D9">
        <w:rPr>
          <w:rFonts w:ascii="Book Antiqua" w:hAnsi="Book Antiqua" w:cs="Book Antiqua"/>
          <w:i/>
          <w:iCs/>
          <w:sz w:val="24"/>
        </w:rPr>
        <w:t>vs</w:t>
      </w:r>
      <w:r w:rsidRPr="00ED06D9">
        <w:rPr>
          <w:rFonts w:ascii="Book Antiqua" w:hAnsi="Book Antiqua" w:cs="Book Antiqua"/>
          <w:sz w:val="24"/>
        </w:rPr>
        <w:t xml:space="preserve"> control group. GAPDH: Glyceraldehyde-3-phosphate dehydrogenase; ATF6: Activating transcription factor 6; PERK: PKR-like endoplasmic reticulum protein kinase; XBP1: X-box binding protein-1; IRE1: Inositol-requiring enzyme 1; TAA: Thioacetamide.</w:t>
      </w:r>
    </w:p>
    <w:p w:rsidR="00AC2DF5" w:rsidRPr="00ED06D9" w:rsidRDefault="00AC2DF5">
      <w:pPr>
        <w:adjustRightInd w:val="0"/>
        <w:snapToGrid w:val="0"/>
        <w:spacing w:line="360" w:lineRule="auto"/>
        <w:rPr>
          <w:rFonts w:ascii="Book Antiqua" w:hAnsi="Book Antiqua" w:cs="Book Antiqua"/>
          <w:b/>
          <w:bCs/>
          <w:sz w:val="24"/>
        </w:rPr>
      </w:pPr>
      <w:r w:rsidRPr="00ED06D9">
        <w:rPr>
          <w:rFonts w:ascii="Book Antiqua" w:hAnsi="Book Antiqua" w:cs="Book Antiqua"/>
          <w:b/>
          <w:bCs/>
          <w:sz w:val="24"/>
        </w:rPr>
        <w:br w:type="page"/>
      </w:r>
      <w:r w:rsidR="00CA37E9">
        <w:rPr>
          <w:noProof/>
        </w:rPr>
        <w:lastRenderedPageBreak/>
        <w:drawing>
          <wp:inline distT="0" distB="0" distL="0" distR="0">
            <wp:extent cx="5273675" cy="4958080"/>
            <wp:effectExtent l="0" t="0" r="317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675" cy="4958080"/>
                    </a:xfrm>
                    <a:prstGeom prst="rect">
                      <a:avLst/>
                    </a:prstGeom>
                    <a:noFill/>
                    <a:ln>
                      <a:noFill/>
                    </a:ln>
                  </pic:spPr>
                </pic:pic>
              </a:graphicData>
            </a:graphic>
          </wp:inline>
        </w:drawing>
      </w:r>
    </w:p>
    <w:p w:rsidR="00AC2DF5" w:rsidRDefault="00AC2DF5">
      <w:pPr>
        <w:adjustRightInd w:val="0"/>
        <w:snapToGrid w:val="0"/>
        <w:spacing w:line="360" w:lineRule="auto"/>
        <w:rPr>
          <w:rFonts w:ascii="Book Antiqua" w:hAnsi="Book Antiqua" w:cs="Book Antiqua"/>
          <w:sz w:val="24"/>
        </w:rPr>
      </w:pPr>
      <w:r w:rsidRPr="00ED06D9">
        <w:rPr>
          <w:rFonts w:ascii="Book Antiqua" w:hAnsi="Book Antiqua" w:cs="Book Antiqua"/>
          <w:b/>
          <w:bCs/>
          <w:sz w:val="24"/>
        </w:rPr>
        <w:t>Figure 5 Celecoxib regulates the endoplasmic reticulum stress signaling pathway.</w:t>
      </w:r>
      <w:r w:rsidRPr="00ED06D9">
        <w:rPr>
          <w:rFonts w:ascii="Book Antiqua" w:hAnsi="Book Antiqua" w:cs="Book Antiqua"/>
          <w:sz w:val="24"/>
        </w:rPr>
        <w:t xml:space="preserve"> A:</w:t>
      </w:r>
      <w:r w:rsidR="00A259A6" w:rsidRPr="00ED06D9">
        <w:rPr>
          <w:rFonts w:ascii="Book Antiqua" w:hAnsi="Book Antiqua" w:cs="Book Antiqua"/>
          <w:sz w:val="24"/>
        </w:rPr>
        <w:t xml:space="preserve"> </w:t>
      </w:r>
      <w:r w:rsidRPr="00ED06D9">
        <w:rPr>
          <w:rFonts w:ascii="Book Antiqua" w:hAnsi="Book Antiqua" w:cs="Book Antiqua" w:hint="eastAsia"/>
          <w:sz w:val="24"/>
        </w:rPr>
        <w:t xml:space="preserve">Western blot analysis of glucose-regulated protein 78 (GRP78), inositol enzyme 1 (IRE1), X-box binding protein 1 (XBP1), activated transcription factor 6 (ATF6), PKR-like endoplasmic reticulum protein </w:t>
      </w:r>
      <w:r w:rsidR="00A259A6" w:rsidRPr="00ED06D9">
        <w:rPr>
          <w:rFonts w:ascii="Book Antiqua" w:hAnsi="Book Antiqua" w:cs="Book Antiqua"/>
          <w:sz w:val="24"/>
        </w:rPr>
        <w:t>k</w:t>
      </w:r>
      <w:r w:rsidRPr="00ED06D9">
        <w:rPr>
          <w:rFonts w:ascii="Book Antiqua" w:hAnsi="Book Antiqua" w:cs="Book Antiqua" w:hint="eastAsia"/>
          <w:sz w:val="24"/>
        </w:rPr>
        <w:t>inase (PERK)</w:t>
      </w:r>
      <w:r w:rsidR="00A259A6" w:rsidRPr="00ED06D9">
        <w:rPr>
          <w:rFonts w:ascii="Book Antiqua" w:hAnsi="Book Antiqua" w:cs="Book Antiqua"/>
          <w:sz w:val="24"/>
        </w:rPr>
        <w:t>,</w:t>
      </w:r>
      <w:r w:rsidRPr="00ED06D9">
        <w:rPr>
          <w:rFonts w:ascii="Book Antiqua" w:hAnsi="Book Antiqua" w:cs="Book Antiqua" w:hint="eastAsia"/>
          <w:sz w:val="24"/>
        </w:rPr>
        <w:t xml:space="preserve"> and ATF4 levels</w:t>
      </w:r>
      <w:r w:rsidR="00A259A6" w:rsidRPr="00ED06D9">
        <w:rPr>
          <w:rFonts w:ascii="Book Antiqua" w:hAnsi="Book Antiqua" w:cs="Book Antiqua"/>
          <w:sz w:val="24"/>
        </w:rPr>
        <w:t xml:space="preserve"> in </w:t>
      </w:r>
      <w:r w:rsidR="00A259A6" w:rsidRPr="00ED06D9">
        <w:rPr>
          <w:rFonts w:ascii="Book Antiqua" w:hAnsi="Book Antiqua" w:cs="Book Antiqua" w:hint="eastAsia"/>
          <w:sz w:val="24"/>
        </w:rPr>
        <w:t>LO</w:t>
      </w:r>
      <w:r w:rsidR="00A259A6" w:rsidRPr="00ED06D9">
        <w:rPr>
          <w:rFonts w:ascii="Book Antiqua" w:hAnsi="Book Antiqua" w:cs="Book Antiqua" w:hint="eastAsia"/>
          <w:sz w:val="24"/>
          <w:vertAlign w:val="subscript"/>
        </w:rPr>
        <w:t>2</w:t>
      </w:r>
      <w:r w:rsidR="00A259A6" w:rsidRPr="00ED06D9">
        <w:rPr>
          <w:rFonts w:ascii="Book Antiqua" w:hAnsi="Book Antiqua" w:cs="Book Antiqua" w:hint="eastAsia"/>
          <w:sz w:val="24"/>
        </w:rPr>
        <w:t xml:space="preserve"> cell</w:t>
      </w:r>
      <w:r w:rsidR="00A259A6" w:rsidRPr="00ED06D9">
        <w:rPr>
          <w:rFonts w:ascii="Book Antiqua" w:hAnsi="Book Antiqua" w:cs="Book Antiqua"/>
          <w:sz w:val="24"/>
        </w:rPr>
        <w:t>s transfected with</w:t>
      </w:r>
      <w:r w:rsidR="00A259A6" w:rsidRPr="00ED06D9">
        <w:rPr>
          <w:rFonts w:ascii="Book Antiqua" w:hAnsi="Book Antiqua" w:cs="Book Antiqua" w:hint="eastAsia"/>
          <w:sz w:val="24"/>
        </w:rPr>
        <w:t xml:space="preserve"> </w:t>
      </w:r>
      <w:r w:rsidR="00A259A6" w:rsidRPr="00ED06D9">
        <w:rPr>
          <w:rFonts w:ascii="Book Antiqua" w:hAnsi="Book Antiqua" w:cs="Book Antiqua"/>
          <w:sz w:val="24"/>
        </w:rPr>
        <w:t xml:space="preserve">a </w:t>
      </w:r>
      <w:r w:rsidR="00A259A6" w:rsidRPr="00ED06D9">
        <w:rPr>
          <w:rFonts w:ascii="Book Antiqua" w:hAnsi="Book Antiqua" w:cs="Book Antiqua" w:hint="eastAsia"/>
          <w:sz w:val="24"/>
        </w:rPr>
        <w:t>cyclooxygenase 2 (COX-2)</w:t>
      </w:r>
      <w:r w:rsidR="00A259A6" w:rsidRPr="00ED06D9">
        <w:rPr>
          <w:rFonts w:ascii="Book Antiqua" w:hAnsi="Book Antiqua" w:cs="Book Antiqua"/>
          <w:sz w:val="24"/>
        </w:rPr>
        <w:t xml:space="preserve"> expressing plasmid and treated with endoplasmic reticulum stress inducers </w:t>
      </w:r>
      <w:r w:rsidR="00A259A6" w:rsidRPr="00ED06D9">
        <w:rPr>
          <w:rFonts w:ascii="Book Antiqua" w:hAnsi="Book Antiqua" w:cs="Book Antiqua" w:hint="eastAsia"/>
          <w:sz w:val="24"/>
        </w:rPr>
        <w:t>tunicamycin (Tu) and thapsigargin (TG)</w:t>
      </w:r>
      <w:r w:rsidRPr="00ED06D9">
        <w:rPr>
          <w:rFonts w:ascii="Book Antiqua" w:hAnsi="Book Antiqua" w:cs="Book Antiqua" w:hint="eastAsia"/>
          <w:sz w:val="24"/>
        </w:rPr>
        <w:t>; B:</w:t>
      </w:r>
      <w:r w:rsidR="00A259A6" w:rsidRPr="00ED06D9">
        <w:rPr>
          <w:rFonts w:ascii="Book Antiqua" w:hAnsi="Book Antiqua" w:cs="Book Antiqua"/>
          <w:sz w:val="24"/>
        </w:rPr>
        <w:t xml:space="preserve"> </w:t>
      </w:r>
      <w:r w:rsidRPr="00ED06D9">
        <w:rPr>
          <w:rFonts w:ascii="Book Antiqua" w:hAnsi="Book Antiqua" w:cs="Book Antiqua" w:hint="eastAsia"/>
          <w:sz w:val="24"/>
        </w:rPr>
        <w:t>Western blot analysis of GRP78, IRE1, XBP1, ATF6, PERK and ATF4 levels</w:t>
      </w:r>
      <w:r w:rsidR="00A259A6" w:rsidRPr="00ED06D9">
        <w:rPr>
          <w:rFonts w:ascii="Book Antiqua" w:hAnsi="Book Antiqua" w:cs="Book Antiqua"/>
          <w:sz w:val="24"/>
        </w:rPr>
        <w:t xml:space="preserve"> in </w:t>
      </w:r>
      <w:r w:rsidR="00A259A6" w:rsidRPr="00ED06D9">
        <w:rPr>
          <w:rFonts w:ascii="Book Antiqua" w:hAnsi="Book Antiqua" w:cs="Book Antiqua" w:hint="eastAsia"/>
          <w:sz w:val="24"/>
        </w:rPr>
        <w:t>LO</w:t>
      </w:r>
      <w:r w:rsidR="00A259A6" w:rsidRPr="00ED06D9">
        <w:rPr>
          <w:rFonts w:ascii="Book Antiqua" w:hAnsi="Book Antiqua" w:cs="Book Antiqua" w:hint="eastAsia"/>
          <w:sz w:val="24"/>
          <w:vertAlign w:val="subscript"/>
        </w:rPr>
        <w:t>2</w:t>
      </w:r>
      <w:r w:rsidR="00A259A6" w:rsidRPr="00ED06D9">
        <w:rPr>
          <w:rFonts w:ascii="Book Antiqua" w:hAnsi="Book Antiqua" w:cs="Book Antiqua" w:hint="eastAsia"/>
          <w:sz w:val="24"/>
        </w:rPr>
        <w:t xml:space="preserve"> cell</w:t>
      </w:r>
      <w:r w:rsidR="00A259A6" w:rsidRPr="00ED06D9">
        <w:rPr>
          <w:rFonts w:ascii="Book Antiqua" w:hAnsi="Book Antiqua" w:cs="Book Antiqua"/>
          <w:sz w:val="24"/>
        </w:rPr>
        <w:t xml:space="preserve">s treated with celecoxib and/or </w:t>
      </w:r>
      <w:r w:rsidR="00A259A6" w:rsidRPr="00ED06D9">
        <w:rPr>
          <w:rFonts w:ascii="Book Antiqua" w:hAnsi="Book Antiqua" w:cs="Book Antiqua" w:hint="eastAsia"/>
          <w:sz w:val="24"/>
        </w:rPr>
        <w:t>Tu and TG</w:t>
      </w:r>
      <w:r w:rsidRPr="00ED06D9">
        <w:rPr>
          <w:rFonts w:ascii="Book Antiqua" w:hAnsi="Book Antiqua" w:cs="Book Antiqua" w:hint="eastAsia"/>
          <w:sz w:val="24"/>
        </w:rPr>
        <w:t xml:space="preserve">. </w:t>
      </w:r>
      <w:r w:rsidRPr="00ED06D9">
        <w:rPr>
          <w:rFonts w:ascii="Book Antiqua" w:hAnsi="Book Antiqua" w:cs="Book Antiqua" w:hint="eastAsia"/>
          <w:sz w:val="24"/>
          <w:vertAlign w:val="superscript"/>
        </w:rPr>
        <w:t>a</w:t>
      </w:r>
      <w:r w:rsidRPr="00ED06D9">
        <w:rPr>
          <w:rFonts w:ascii="Book Antiqua" w:hAnsi="Book Antiqua" w:cs="Book Antiqua" w:hint="eastAsia"/>
          <w:i/>
          <w:iCs/>
          <w:sz w:val="24"/>
        </w:rPr>
        <w:t>P</w:t>
      </w:r>
      <w:r w:rsidRPr="00ED06D9">
        <w:rPr>
          <w:rFonts w:ascii="Book Antiqua" w:hAnsi="Book Antiqua" w:cs="Book Antiqua" w:hint="eastAsia"/>
          <w:sz w:val="24"/>
        </w:rPr>
        <w:t xml:space="preserve"> &lt; 0.05 </w:t>
      </w:r>
      <w:r w:rsidR="00A259A6" w:rsidRPr="00ED06D9">
        <w:rPr>
          <w:rFonts w:ascii="Book Antiqua" w:hAnsi="Book Antiqua" w:cs="Book Antiqua"/>
          <w:sz w:val="24"/>
        </w:rPr>
        <w:t>between</w:t>
      </w:r>
      <w:r w:rsidRPr="00ED06D9">
        <w:rPr>
          <w:rFonts w:ascii="Book Antiqua" w:hAnsi="Book Antiqua" w:cs="Book Antiqua" w:hint="eastAsia"/>
          <w:sz w:val="24"/>
        </w:rPr>
        <w:t xml:space="preserve"> Tu group and control group,</w:t>
      </w:r>
      <w:r w:rsidRPr="00ED06D9">
        <w:rPr>
          <w:rFonts w:ascii="Book Antiqua" w:hAnsi="Book Antiqua" w:cs="Book Antiqua" w:hint="eastAsia"/>
          <w:sz w:val="24"/>
          <w:vertAlign w:val="superscript"/>
        </w:rPr>
        <w:t xml:space="preserve"> c</w:t>
      </w:r>
      <w:r w:rsidRPr="00ED06D9">
        <w:rPr>
          <w:rFonts w:ascii="Book Antiqua" w:hAnsi="Book Antiqua" w:cs="Book Antiqua" w:hint="eastAsia"/>
          <w:i/>
          <w:iCs/>
          <w:sz w:val="24"/>
        </w:rPr>
        <w:t>P</w:t>
      </w:r>
      <w:r w:rsidRPr="00ED06D9">
        <w:rPr>
          <w:rFonts w:ascii="Book Antiqua" w:hAnsi="Book Antiqua" w:cs="Book Antiqua" w:hint="eastAsia"/>
          <w:sz w:val="24"/>
        </w:rPr>
        <w:t xml:space="preserve"> &lt; 0.05 </w:t>
      </w:r>
      <w:r w:rsidR="00A259A6" w:rsidRPr="00ED06D9">
        <w:rPr>
          <w:rFonts w:ascii="Book Antiqua" w:hAnsi="Book Antiqua" w:cs="Book Antiqua"/>
          <w:sz w:val="24"/>
        </w:rPr>
        <w:t>between</w:t>
      </w:r>
      <w:r w:rsidRPr="00ED06D9">
        <w:rPr>
          <w:rFonts w:ascii="Book Antiqua" w:hAnsi="Book Antiqua" w:cs="Book Antiqua" w:hint="eastAsia"/>
          <w:sz w:val="24"/>
        </w:rPr>
        <w:t xml:space="preserve"> Tu group and Tu + celecoxib group, </w:t>
      </w:r>
      <w:r w:rsidRPr="00ED06D9">
        <w:rPr>
          <w:rFonts w:ascii="Book Antiqua" w:hAnsi="Book Antiqua" w:cs="Book Antiqua" w:hint="eastAsia"/>
          <w:sz w:val="24"/>
          <w:vertAlign w:val="superscript"/>
        </w:rPr>
        <w:t>e</w:t>
      </w:r>
      <w:r w:rsidRPr="00ED06D9">
        <w:rPr>
          <w:rFonts w:ascii="Book Antiqua" w:hAnsi="Book Antiqua" w:cs="Book Antiqua" w:hint="eastAsia"/>
          <w:i/>
          <w:iCs/>
          <w:sz w:val="24"/>
        </w:rPr>
        <w:t>P</w:t>
      </w:r>
      <w:r w:rsidRPr="00ED06D9">
        <w:rPr>
          <w:rFonts w:ascii="Book Antiqua" w:hAnsi="Book Antiqua" w:cs="Book Antiqua" w:hint="eastAsia"/>
          <w:sz w:val="24"/>
        </w:rPr>
        <w:t xml:space="preserve"> &lt; 0.05 </w:t>
      </w:r>
      <w:r w:rsidR="00A259A6" w:rsidRPr="00ED06D9">
        <w:rPr>
          <w:rFonts w:ascii="Book Antiqua" w:hAnsi="Book Antiqua" w:cs="Book Antiqua"/>
          <w:sz w:val="24"/>
        </w:rPr>
        <w:t>between</w:t>
      </w:r>
      <w:r w:rsidRPr="00ED06D9">
        <w:rPr>
          <w:rFonts w:ascii="Book Antiqua" w:hAnsi="Book Antiqua" w:cs="Book Antiqua" w:hint="eastAsia"/>
          <w:sz w:val="24"/>
        </w:rPr>
        <w:t xml:space="preserve"> TG group and control group, </w:t>
      </w:r>
      <w:r w:rsidRPr="00ED06D9">
        <w:rPr>
          <w:rFonts w:ascii="Book Antiqua" w:hAnsi="Book Antiqua" w:cs="Book Antiqua" w:hint="eastAsia"/>
          <w:sz w:val="24"/>
          <w:vertAlign w:val="superscript"/>
        </w:rPr>
        <w:t>g</w:t>
      </w:r>
      <w:r w:rsidRPr="00ED06D9">
        <w:rPr>
          <w:rFonts w:ascii="Book Antiqua" w:hAnsi="Book Antiqua" w:cs="Book Antiqua" w:hint="eastAsia"/>
          <w:i/>
          <w:iCs/>
          <w:sz w:val="24"/>
        </w:rPr>
        <w:t>P</w:t>
      </w:r>
      <w:r w:rsidRPr="00ED06D9">
        <w:rPr>
          <w:rFonts w:ascii="Book Antiqua" w:hAnsi="Book Antiqua" w:cs="Book Antiqua" w:hint="eastAsia"/>
          <w:sz w:val="24"/>
        </w:rPr>
        <w:t xml:space="preserve"> &lt; 0.05 </w:t>
      </w:r>
      <w:r w:rsidR="00A259A6" w:rsidRPr="00ED06D9">
        <w:rPr>
          <w:rFonts w:ascii="Book Antiqua" w:hAnsi="Book Antiqua" w:cs="Book Antiqua"/>
          <w:sz w:val="24"/>
        </w:rPr>
        <w:t>between</w:t>
      </w:r>
      <w:r w:rsidRPr="00ED06D9">
        <w:rPr>
          <w:rFonts w:ascii="Book Antiqua" w:hAnsi="Book Antiqua" w:cs="Book Antiqua" w:hint="eastAsia"/>
          <w:sz w:val="24"/>
        </w:rPr>
        <w:t xml:space="preserve"> TG group and control group TG</w:t>
      </w:r>
      <w:r w:rsidR="00A259A6" w:rsidRPr="00ED06D9">
        <w:rPr>
          <w:rFonts w:ascii="Book Antiqua" w:hAnsi="Book Antiqua" w:cs="Book Antiqua"/>
          <w:sz w:val="24"/>
        </w:rPr>
        <w:t xml:space="preserve"> </w:t>
      </w:r>
      <w:r w:rsidRPr="00ED06D9">
        <w:rPr>
          <w:rFonts w:ascii="Book Antiqua" w:hAnsi="Book Antiqua" w:cs="Book Antiqua" w:hint="eastAsia"/>
          <w:sz w:val="24"/>
        </w:rPr>
        <w:t>+</w:t>
      </w:r>
      <w:r w:rsidR="00A259A6" w:rsidRPr="00ED06D9">
        <w:rPr>
          <w:rFonts w:ascii="Book Antiqua" w:hAnsi="Book Antiqua" w:cs="Book Antiqua"/>
          <w:sz w:val="24"/>
        </w:rPr>
        <w:t xml:space="preserve"> c</w:t>
      </w:r>
      <w:r w:rsidRPr="00ED06D9">
        <w:rPr>
          <w:rFonts w:ascii="Book Antiqua" w:hAnsi="Book Antiqua" w:cs="Book Antiqua" w:hint="eastAsia"/>
          <w:sz w:val="24"/>
        </w:rPr>
        <w:t>elecoxib group</w:t>
      </w:r>
      <w:r w:rsidR="00A259A6" w:rsidRPr="00ED06D9">
        <w:rPr>
          <w:rFonts w:ascii="Book Antiqua" w:hAnsi="Book Antiqua" w:cs="Book Antiqua"/>
          <w:sz w:val="24"/>
        </w:rPr>
        <w:t xml:space="preserve"> (</w:t>
      </w:r>
      <w:r w:rsidR="00A259A6" w:rsidRPr="00ED06D9">
        <w:rPr>
          <w:rFonts w:ascii="Book Antiqua" w:hAnsi="Book Antiqua" w:cs="Book Antiqua"/>
          <w:i/>
          <w:sz w:val="24"/>
        </w:rPr>
        <w:t>n</w:t>
      </w:r>
      <w:r w:rsidR="00A259A6" w:rsidRPr="00ED06D9">
        <w:rPr>
          <w:rFonts w:ascii="Book Antiqua" w:hAnsi="Book Antiqua" w:cs="Book Antiqua"/>
          <w:sz w:val="24"/>
        </w:rPr>
        <w:t xml:space="preserve"> = 6</w:t>
      </w:r>
      <w:r w:rsidRPr="00ED06D9">
        <w:rPr>
          <w:rFonts w:ascii="Book Antiqua" w:hAnsi="Book Antiqua" w:cs="Book Antiqua" w:hint="eastAsia"/>
          <w:sz w:val="24"/>
        </w:rPr>
        <w:t>)</w:t>
      </w:r>
      <w:r w:rsidR="00A259A6" w:rsidRPr="00ED06D9">
        <w:rPr>
          <w:rFonts w:ascii="Book Antiqua" w:hAnsi="Book Antiqua" w:cs="Book Antiqua"/>
          <w:sz w:val="24"/>
        </w:rPr>
        <w:t>.</w:t>
      </w:r>
      <w:r w:rsidRPr="00ED06D9">
        <w:rPr>
          <w:rStyle w:val="a8"/>
          <w:rFonts w:hint="eastAsia"/>
        </w:rPr>
        <w:t xml:space="preserve"> </w:t>
      </w:r>
      <w:r w:rsidRPr="00ED06D9">
        <w:rPr>
          <w:rFonts w:ascii="Book Antiqua" w:hAnsi="Book Antiqua" w:cs="Book Antiqua"/>
          <w:sz w:val="24"/>
        </w:rPr>
        <w:t xml:space="preserve">Con: Control; Tu: Tunicamycin; TG: Thapsigargin; Tu + Cel: Tu + celecoxib; TG + Cel: TG + celecoxib; GAPDH: </w:t>
      </w:r>
      <w:r w:rsidRPr="00ED06D9">
        <w:rPr>
          <w:rFonts w:ascii="Book Antiqua" w:hAnsi="Book Antiqua" w:cs="Book Antiqua"/>
          <w:sz w:val="24"/>
        </w:rPr>
        <w:lastRenderedPageBreak/>
        <w:t>Glyceraldehyde-3-phosphate dehydrogenase; GRP78: Glucose-regulated protein 78; ATF6: Activating transcription factor 6; PERK: PKR-like endoplasmic reticulum protein kinase; XBP1: X-box binding protein-1; IRE1: Inositol-requiring enzyme 1; TAA: Thioacetamide; COX-2: Cyclooxygenase-2.</w:t>
      </w:r>
    </w:p>
    <w:sectPr w:rsidR="00AC2DF5">
      <w:footerReference w:type="default" r:id="rId13"/>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AE8" w:rsidRDefault="006F6AE8">
      <w:r>
        <w:separator/>
      </w:r>
    </w:p>
  </w:endnote>
  <w:endnote w:type="continuationSeparator" w:id="0">
    <w:p w:rsidR="006F6AE8" w:rsidRDefault="006F6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DF5" w:rsidRDefault="00AC2DF5">
    <w:pPr>
      <w:pStyle w:val="aa"/>
      <w:jc w:val="right"/>
      <w:rPr>
        <w:rFonts w:ascii="Book Antiqua" w:hAnsi="Book Antiqua"/>
        <w:color w:val="000000"/>
        <w:sz w:val="24"/>
        <w:szCs w:val="24"/>
      </w:rPr>
    </w:pPr>
    <w:r>
      <w:rPr>
        <w:rFonts w:ascii="Book Antiqua" w:hAnsi="Book Antiqua"/>
        <w:color w:val="000000"/>
        <w:sz w:val="24"/>
        <w:szCs w:val="24"/>
      </w:rPr>
      <w:fldChar w:fldCharType="begin"/>
    </w:r>
    <w:r>
      <w:rPr>
        <w:rFonts w:ascii="Book Antiqua" w:hAnsi="Book Antiqua"/>
        <w:color w:val="000000"/>
        <w:sz w:val="24"/>
        <w:szCs w:val="24"/>
      </w:rPr>
      <w:instrText>PAGE  \* Arabic  \* MERGEFORMAT</w:instrText>
    </w:r>
    <w:r>
      <w:rPr>
        <w:rFonts w:ascii="Book Antiqua" w:hAnsi="Book Antiqua"/>
        <w:color w:val="000000"/>
        <w:sz w:val="24"/>
        <w:szCs w:val="24"/>
      </w:rPr>
      <w:fldChar w:fldCharType="separate"/>
    </w:r>
    <w:r w:rsidR="00CA37E9" w:rsidRPr="00CA37E9">
      <w:rPr>
        <w:rFonts w:ascii="Book Antiqua" w:hAnsi="Book Antiqua"/>
        <w:noProof/>
        <w:color w:val="000000"/>
        <w:sz w:val="24"/>
        <w:szCs w:val="24"/>
        <w:lang w:val="zh-CN" w:eastAsia="zh-CN"/>
      </w:rPr>
      <w:t>1</w:t>
    </w:r>
    <w:r>
      <w:rPr>
        <w:rFonts w:ascii="Book Antiqua" w:hAnsi="Book Antiqua"/>
        <w:color w:val="000000"/>
        <w:sz w:val="24"/>
        <w:szCs w:val="24"/>
      </w:rPr>
      <w:fldChar w:fldCharType="end"/>
    </w:r>
    <w:r>
      <w:rPr>
        <w:rFonts w:ascii="Book Antiqua" w:hAnsi="Book Antiqua"/>
        <w:color w:val="000000"/>
        <w:sz w:val="24"/>
        <w:szCs w:val="24"/>
        <w:lang w:val="zh-CN"/>
      </w:rPr>
      <w:t>/</w:t>
    </w:r>
    <w:r>
      <w:rPr>
        <w:rFonts w:ascii="Book Antiqua" w:hAnsi="Book Antiqua"/>
        <w:color w:val="000000"/>
        <w:sz w:val="24"/>
        <w:szCs w:val="24"/>
      </w:rPr>
      <w:fldChar w:fldCharType="begin"/>
    </w:r>
    <w:r>
      <w:rPr>
        <w:rFonts w:ascii="Book Antiqua" w:hAnsi="Book Antiqua"/>
        <w:color w:val="000000"/>
        <w:sz w:val="24"/>
        <w:szCs w:val="24"/>
      </w:rPr>
      <w:instrText>NUMPAGES  \* Arabic  \* MERGEFORMAT</w:instrText>
    </w:r>
    <w:r>
      <w:rPr>
        <w:rFonts w:ascii="Book Antiqua" w:hAnsi="Book Antiqua"/>
        <w:color w:val="000000"/>
        <w:sz w:val="24"/>
        <w:szCs w:val="24"/>
      </w:rPr>
      <w:fldChar w:fldCharType="separate"/>
    </w:r>
    <w:r w:rsidR="00CA37E9" w:rsidRPr="00CA37E9">
      <w:rPr>
        <w:rFonts w:ascii="Book Antiqua" w:hAnsi="Book Antiqua"/>
        <w:noProof/>
        <w:color w:val="000000"/>
        <w:sz w:val="24"/>
        <w:szCs w:val="24"/>
        <w:lang w:val="zh-CN" w:eastAsia="zh-CN"/>
      </w:rPr>
      <w:t>32</w:t>
    </w:r>
    <w:r>
      <w:rPr>
        <w:rFonts w:ascii="Book Antiqua" w:hAnsi="Book Antiqua"/>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AE8" w:rsidRDefault="006F6AE8">
      <w:r>
        <w:separator/>
      </w:r>
    </w:p>
  </w:footnote>
  <w:footnote w:type="continuationSeparator" w:id="0">
    <w:p w:rsidR="006F6AE8" w:rsidRDefault="006F6A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1D2"/>
    <w:rsid w:val="00021CBB"/>
    <w:rsid w:val="00030D7C"/>
    <w:rsid w:val="00077722"/>
    <w:rsid w:val="000915A4"/>
    <w:rsid w:val="000A116C"/>
    <w:rsid w:val="000A29E4"/>
    <w:rsid w:val="000A6D39"/>
    <w:rsid w:val="000B256B"/>
    <w:rsid w:val="000E1CF4"/>
    <w:rsid w:val="001067A0"/>
    <w:rsid w:val="00150840"/>
    <w:rsid w:val="00157790"/>
    <w:rsid w:val="00180274"/>
    <w:rsid w:val="00230074"/>
    <w:rsid w:val="00286525"/>
    <w:rsid w:val="002C4B1D"/>
    <w:rsid w:val="002F623B"/>
    <w:rsid w:val="0030439A"/>
    <w:rsid w:val="00331AE3"/>
    <w:rsid w:val="00346D1B"/>
    <w:rsid w:val="00360B9F"/>
    <w:rsid w:val="00371443"/>
    <w:rsid w:val="0037220B"/>
    <w:rsid w:val="003762E6"/>
    <w:rsid w:val="00387D3B"/>
    <w:rsid w:val="003C7BE8"/>
    <w:rsid w:val="003E4AEF"/>
    <w:rsid w:val="004340FE"/>
    <w:rsid w:val="00436596"/>
    <w:rsid w:val="0044292B"/>
    <w:rsid w:val="004505F1"/>
    <w:rsid w:val="00452B22"/>
    <w:rsid w:val="00473AB7"/>
    <w:rsid w:val="004771D1"/>
    <w:rsid w:val="0049231D"/>
    <w:rsid w:val="004E3FB4"/>
    <w:rsid w:val="005140D9"/>
    <w:rsid w:val="0051463C"/>
    <w:rsid w:val="00515CF2"/>
    <w:rsid w:val="0057760E"/>
    <w:rsid w:val="005B46A6"/>
    <w:rsid w:val="005D1CA2"/>
    <w:rsid w:val="005D4A55"/>
    <w:rsid w:val="005E3F4E"/>
    <w:rsid w:val="0060537A"/>
    <w:rsid w:val="00616B36"/>
    <w:rsid w:val="00635B33"/>
    <w:rsid w:val="006555FB"/>
    <w:rsid w:val="0067187D"/>
    <w:rsid w:val="006C6592"/>
    <w:rsid w:val="006F6AE8"/>
    <w:rsid w:val="00704315"/>
    <w:rsid w:val="00706A73"/>
    <w:rsid w:val="007421D2"/>
    <w:rsid w:val="00760C65"/>
    <w:rsid w:val="00790FB4"/>
    <w:rsid w:val="007950D2"/>
    <w:rsid w:val="007960E9"/>
    <w:rsid w:val="007B6B48"/>
    <w:rsid w:val="00810D1C"/>
    <w:rsid w:val="00847E05"/>
    <w:rsid w:val="008538C3"/>
    <w:rsid w:val="00886B9B"/>
    <w:rsid w:val="00896218"/>
    <w:rsid w:val="008E0443"/>
    <w:rsid w:val="008E7B7A"/>
    <w:rsid w:val="0091278B"/>
    <w:rsid w:val="00957A29"/>
    <w:rsid w:val="009B343A"/>
    <w:rsid w:val="009C1DC2"/>
    <w:rsid w:val="00A259A6"/>
    <w:rsid w:val="00A46308"/>
    <w:rsid w:val="00A65B61"/>
    <w:rsid w:val="00A756F4"/>
    <w:rsid w:val="00AA40AF"/>
    <w:rsid w:val="00AC2DF5"/>
    <w:rsid w:val="00AD62BA"/>
    <w:rsid w:val="00AF2827"/>
    <w:rsid w:val="00B16F4E"/>
    <w:rsid w:val="00B40C20"/>
    <w:rsid w:val="00B459B6"/>
    <w:rsid w:val="00B861D5"/>
    <w:rsid w:val="00B91250"/>
    <w:rsid w:val="00BC7212"/>
    <w:rsid w:val="00BE0063"/>
    <w:rsid w:val="00C41138"/>
    <w:rsid w:val="00C6729E"/>
    <w:rsid w:val="00C84CED"/>
    <w:rsid w:val="00C9599D"/>
    <w:rsid w:val="00CA37E9"/>
    <w:rsid w:val="00CE0CF8"/>
    <w:rsid w:val="00CE4674"/>
    <w:rsid w:val="00CE715D"/>
    <w:rsid w:val="00CF21E7"/>
    <w:rsid w:val="00D04AB7"/>
    <w:rsid w:val="00D20C0F"/>
    <w:rsid w:val="00D40C95"/>
    <w:rsid w:val="00D4629A"/>
    <w:rsid w:val="00D62211"/>
    <w:rsid w:val="00D717AD"/>
    <w:rsid w:val="00D8430E"/>
    <w:rsid w:val="00D90416"/>
    <w:rsid w:val="00D933D5"/>
    <w:rsid w:val="00D94BA0"/>
    <w:rsid w:val="00DA052E"/>
    <w:rsid w:val="00DC7C2C"/>
    <w:rsid w:val="00DD6A6B"/>
    <w:rsid w:val="00E01B61"/>
    <w:rsid w:val="00E83EE9"/>
    <w:rsid w:val="00E865E4"/>
    <w:rsid w:val="00EA6AEA"/>
    <w:rsid w:val="00EB7FC4"/>
    <w:rsid w:val="00ED06D9"/>
    <w:rsid w:val="00EE1BC9"/>
    <w:rsid w:val="00EF3FD3"/>
    <w:rsid w:val="00F05E0C"/>
    <w:rsid w:val="00F35918"/>
    <w:rsid w:val="00F5493E"/>
    <w:rsid w:val="00F933A0"/>
    <w:rsid w:val="00FB195A"/>
    <w:rsid w:val="00FF6B83"/>
    <w:rsid w:val="01DC1F73"/>
    <w:rsid w:val="01FA4EF3"/>
    <w:rsid w:val="02C02482"/>
    <w:rsid w:val="038A56DC"/>
    <w:rsid w:val="03943A16"/>
    <w:rsid w:val="048A3437"/>
    <w:rsid w:val="04C511CB"/>
    <w:rsid w:val="059B77FD"/>
    <w:rsid w:val="07016DB8"/>
    <w:rsid w:val="09CE4A45"/>
    <w:rsid w:val="09EA61B3"/>
    <w:rsid w:val="0A773B48"/>
    <w:rsid w:val="0B707E24"/>
    <w:rsid w:val="0B7F483F"/>
    <w:rsid w:val="0C220D89"/>
    <w:rsid w:val="0D7B11D4"/>
    <w:rsid w:val="0DF90B1B"/>
    <w:rsid w:val="0F56672F"/>
    <w:rsid w:val="103B623D"/>
    <w:rsid w:val="13297292"/>
    <w:rsid w:val="16A42083"/>
    <w:rsid w:val="16A90607"/>
    <w:rsid w:val="18A22562"/>
    <w:rsid w:val="199A5D07"/>
    <w:rsid w:val="1CB56646"/>
    <w:rsid w:val="1DE35DB0"/>
    <w:rsid w:val="1EB83A42"/>
    <w:rsid w:val="1F872CD6"/>
    <w:rsid w:val="212E71FD"/>
    <w:rsid w:val="2174335E"/>
    <w:rsid w:val="217C143E"/>
    <w:rsid w:val="21B8561F"/>
    <w:rsid w:val="23294CBF"/>
    <w:rsid w:val="23CF063E"/>
    <w:rsid w:val="2423084D"/>
    <w:rsid w:val="247211F9"/>
    <w:rsid w:val="251703A9"/>
    <w:rsid w:val="257552C6"/>
    <w:rsid w:val="257D7E4B"/>
    <w:rsid w:val="259A438C"/>
    <w:rsid w:val="27326C7D"/>
    <w:rsid w:val="2749368A"/>
    <w:rsid w:val="27CC5CDB"/>
    <w:rsid w:val="27E74061"/>
    <w:rsid w:val="283C7C67"/>
    <w:rsid w:val="28715DFD"/>
    <w:rsid w:val="288715DB"/>
    <w:rsid w:val="28962FD2"/>
    <w:rsid w:val="29704030"/>
    <w:rsid w:val="2A2E3D4E"/>
    <w:rsid w:val="2C5E431F"/>
    <w:rsid w:val="2C8C258E"/>
    <w:rsid w:val="2CFB5C7F"/>
    <w:rsid w:val="2D111740"/>
    <w:rsid w:val="2D2B086F"/>
    <w:rsid w:val="2D696845"/>
    <w:rsid w:val="2DC346D7"/>
    <w:rsid w:val="2E202EEC"/>
    <w:rsid w:val="304F3F8C"/>
    <w:rsid w:val="30CE7890"/>
    <w:rsid w:val="312B636E"/>
    <w:rsid w:val="34C75535"/>
    <w:rsid w:val="351B483A"/>
    <w:rsid w:val="35304B94"/>
    <w:rsid w:val="38F61587"/>
    <w:rsid w:val="3A3D3859"/>
    <w:rsid w:val="3B523A47"/>
    <w:rsid w:val="3CB67FAA"/>
    <w:rsid w:val="3D165E14"/>
    <w:rsid w:val="3D957835"/>
    <w:rsid w:val="3EBE258C"/>
    <w:rsid w:val="3F23766F"/>
    <w:rsid w:val="40E965A6"/>
    <w:rsid w:val="40F950B4"/>
    <w:rsid w:val="41E0069E"/>
    <w:rsid w:val="43F53594"/>
    <w:rsid w:val="446E135C"/>
    <w:rsid w:val="45151ED4"/>
    <w:rsid w:val="453B7E97"/>
    <w:rsid w:val="45586B23"/>
    <w:rsid w:val="45933537"/>
    <w:rsid w:val="462E448E"/>
    <w:rsid w:val="464778DA"/>
    <w:rsid w:val="467B70A1"/>
    <w:rsid w:val="46BA79A4"/>
    <w:rsid w:val="4740470D"/>
    <w:rsid w:val="481D0F8B"/>
    <w:rsid w:val="491D5F56"/>
    <w:rsid w:val="4BFB0640"/>
    <w:rsid w:val="4D093824"/>
    <w:rsid w:val="4E696D12"/>
    <w:rsid w:val="4FD15E74"/>
    <w:rsid w:val="50491193"/>
    <w:rsid w:val="51864596"/>
    <w:rsid w:val="519879F7"/>
    <w:rsid w:val="5212412D"/>
    <w:rsid w:val="537E065A"/>
    <w:rsid w:val="53B01371"/>
    <w:rsid w:val="53DE0730"/>
    <w:rsid w:val="53FE14B6"/>
    <w:rsid w:val="540236A3"/>
    <w:rsid w:val="544712C7"/>
    <w:rsid w:val="55737DC5"/>
    <w:rsid w:val="569C0BC5"/>
    <w:rsid w:val="57395D2E"/>
    <w:rsid w:val="57A64BFA"/>
    <w:rsid w:val="58D82E0C"/>
    <w:rsid w:val="5A2F392A"/>
    <w:rsid w:val="5BED4F67"/>
    <w:rsid w:val="5C676E46"/>
    <w:rsid w:val="5E7226E4"/>
    <w:rsid w:val="5E7C7EBD"/>
    <w:rsid w:val="5EB84E09"/>
    <w:rsid w:val="5ED06F08"/>
    <w:rsid w:val="5F0F5132"/>
    <w:rsid w:val="5F40371C"/>
    <w:rsid w:val="601618AC"/>
    <w:rsid w:val="60AA4F98"/>
    <w:rsid w:val="61D44311"/>
    <w:rsid w:val="624E5176"/>
    <w:rsid w:val="63253639"/>
    <w:rsid w:val="67030592"/>
    <w:rsid w:val="67466E71"/>
    <w:rsid w:val="675372EA"/>
    <w:rsid w:val="684C54AD"/>
    <w:rsid w:val="686E6FD1"/>
    <w:rsid w:val="689B415E"/>
    <w:rsid w:val="69B36CD3"/>
    <w:rsid w:val="6A8156C5"/>
    <w:rsid w:val="6AD546B3"/>
    <w:rsid w:val="6B515D58"/>
    <w:rsid w:val="6BC56B87"/>
    <w:rsid w:val="6C09410F"/>
    <w:rsid w:val="6CFB69A2"/>
    <w:rsid w:val="6F50633B"/>
    <w:rsid w:val="6F762874"/>
    <w:rsid w:val="703373B7"/>
    <w:rsid w:val="724353EC"/>
    <w:rsid w:val="72B9332B"/>
    <w:rsid w:val="737C3D3A"/>
    <w:rsid w:val="740D5E41"/>
    <w:rsid w:val="74243D37"/>
    <w:rsid w:val="773B11E3"/>
    <w:rsid w:val="78C20D66"/>
    <w:rsid w:val="7929027C"/>
    <w:rsid w:val="79752086"/>
    <w:rsid w:val="7A722120"/>
    <w:rsid w:val="7BB20D41"/>
    <w:rsid w:val="7C554DB9"/>
    <w:rsid w:val="7D490B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uiPriority="0" w:qFormat="1"/>
    <w:lsdException w:name="footer" w:semiHidden="0" w:qFormat="1"/>
    <w:lsdException w:name="caption" w:uiPriority="35" w:qFormat="1"/>
    <w:lsdException w:name="annotation reference" w:semiHidden="0" w:uiPriority="0" w:unhideWhenUsed="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uiPriority="0" w:unhideWhenUsed="0" w:qFormat="1"/>
    <w:lsdException w:name="Strong" w:semiHidden="0" w:uiPriority="0" w:unhideWhenUsed="0" w:qFormat="1"/>
    <w:lsdException w:name="Emphasis" w:semiHidden="0" w:uiPriority="20" w:unhideWhenUsed="0" w:qFormat="1"/>
    <w:lsdException w:name="Normal (Web)" w:semiHidden="0" w:uiPriority="0" w:unhideWhenUsed="0" w:qFormat="1"/>
    <w:lsdException w:name="Normal Table" w:semiHidden="0" w:qFormat="1"/>
    <w:lsdException w:name="annotation subject" w:semiHidden="0"/>
    <w:lsdException w:name="Balloon Text" w:semiHidden="0" w:uiPriority="0" w:unhideWhenUsed="0" w:qFormat="1"/>
    <w:lsdException w:name="Table Grid" w:semiHidden="0" w:uiPriority="39"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unhideWhenUsed/>
    <w:qFormat/>
  </w:style>
  <w:style w:type="table" w:default="1" w:styleId="a1">
    <w:name w:val="Normal Table"/>
    <w:uiPriority w:val="99"/>
    <w:unhideWhenUsed/>
    <w:qFormat/>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1">
    <w:name w:val="批注框文本 Char1"/>
    <w:uiPriority w:val="99"/>
    <w:semiHidden/>
    <w:qFormat/>
    <w:rPr>
      <w:rFonts w:ascii="Calibri" w:eastAsia="宋体" w:hAnsi="Calibri" w:cs="Times New Roman"/>
      <w:sz w:val="18"/>
      <w:szCs w:val="18"/>
    </w:rPr>
  </w:style>
  <w:style w:type="character" w:customStyle="1" w:styleId="Char">
    <w:name w:val="批注主题 Char"/>
    <w:link w:val="a3"/>
    <w:uiPriority w:val="99"/>
    <w:semiHidden/>
    <w:rPr>
      <w:rFonts w:ascii="Calibri" w:eastAsia="宋体" w:hAnsi="Calibri" w:cs="Tahoma"/>
      <w:b/>
      <w:bCs/>
      <w:kern w:val="2"/>
      <w:sz w:val="21"/>
      <w:szCs w:val="24"/>
    </w:rPr>
  </w:style>
  <w:style w:type="character" w:styleId="a4">
    <w:name w:val="Strong"/>
    <w:qFormat/>
    <w:rPr>
      <w:b/>
    </w:rPr>
  </w:style>
  <w:style w:type="character" w:styleId="a5">
    <w:name w:val="Hyperlink"/>
    <w:qFormat/>
    <w:rPr>
      <w:color w:val="0000FF"/>
      <w:u w:val="single"/>
    </w:rPr>
  </w:style>
  <w:style w:type="character" w:customStyle="1" w:styleId="Char0">
    <w:name w:val="批注框文本 Char"/>
    <w:link w:val="a6"/>
    <w:qFormat/>
    <w:rPr>
      <w:rFonts w:ascii="Calibri" w:hAnsi="Calibri"/>
      <w:sz w:val="18"/>
      <w:szCs w:val="18"/>
    </w:rPr>
  </w:style>
  <w:style w:type="character" w:customStyle="1" w:styleId="a7">
    <w:name w:val="未处理的提及"/>
    <w:uiPriority w:val="99"/>
    <w:unhideWhenUsed/>
    <w:rPr>
      <w:color w:val="605E5C"/>
      <w:shd w:val="clear" w:color="auto" w:fill="E1DFDD"/>
    </w:rPr>
  </w:style>
  <w:style w:type="character" w:customStyle="1" w:styleId="normaltextrun">
    <w:name w:val="normaltextrun"/>
  </w:style>
  <w:style w:type="character" w:styleId="a8">
    <w:name w:val="annotation reference"/>
    <w:qFormat/>
    <w:rPr>
      <w:rFonts w:ascii="Tahoma" w:hAnsi="Tahoma" w:cs="Tahoma"/>
      <w:sz w:val="16"/>
      <w:szCs w:val="16"/>
      <w:u w:val="none"/>
    </w:rPr>
  </w:style>
  <w:style w:type="character" w:customStyle="1" w:styleId="Char2">
    <w:name w:val="页眉 Char"/>
    <w:link w:val="a9"/>
    <w:qFormat/>
    <w:rPr>
      <w:sz w:val="18"/>
      <w:szCs w:val="18"/>
    </w:rPr>
  </w:style>
  <w:style w:type="character" w:customStyle="1" w:styleId="Char3">
    <w:name w:val="页脚 Char"/>
    <w:link w:val="aa"/>
    <w:uiPriority w:val="99"/>
    <w:qFormat/>
    <w:rPr>
      <w:sz w:val="18"/>
      <w:szCs w:val="18"/>
    </w:rPr>
  </w:style>
  <w:style w:type="character" w:customStyle="1" w:styleId="Char4">
    <w:name w:val="批注文字 Char"/>
    <w:link w:val="ab"/>
    <w:qFormat/>
    <w:rPr>
      <w:rFonts w:ascii="Tahoma" w:eastAsia="宋体" w:hAnsi="Tahoma" w:cs="Tahoma"/>
      <w:sz w:val="16"/>
      <w:szCs w:val="20"/>
    </w:rPr>
  </w:style>
  <w:style w:type="paragraph" w:styleId="aa">
    <w:name w:val="footer"/>
    <w:basedOn w:val="a"/>
    <w:link w:val="Char3"/>
    <w:uiPriority w:val="99"/>
    <w:unhideWhenUsed/>
    <w:qFormat/>
    <w:pPr>
      <w:tabs>
        <w:tab w:val="center" w:pos="4153"/>
        <w:tab w:val="right" w:pos="8306"/>
      </w:tabs>
      <w:snapToGrid w:val="0"/>
      <w:jc w:val="left"/>
    </w:pPr>
    <w:rPr>
      <w:sz w:val="18"/>
      <w:szCs w:val="18"/>
    </w:rPr>
  </w:style>
  <w:style w:type="paragraph" w:styleId="a3">
    <w:name w:val="annotation subject"/>
    <w:basedOn w:val="ab"/>
    <w:next w:val="ab"/>
    <w:link w:val="Char"/>
    <w:uiPriority w:val="99"/>
    <w:unhideWhenUsed/>
    <w:pPr>
      <w:jc w:val="left"/>
    </w:pPr>
    <w:rPr>
      <w:rFonts w:ascii="Calibri" w:hAnsi="Calibri" w:cs="Times New Roman"/>
      <w:b/>
      <w:bCs/>
      <w:sz w:val="21"/>
      <w:szCs w:val="24"/>
    </w:rPr>
  </w:style>
  <w:style w:type="paragraph" w:styleId="ac">
    <w:name w:val="Normal (Web)"/>
    <w:basedOn w:val="a"/>
    <w:qFormat/>
    <w:pPr>
      <w:jc w:val="left"/>
    </w:pPr>
    <w:rPr>
      <w:kern w:val="0"/>
      <w:sz w:val="24"/>
    </w:rPr>
  </w:style>
  <w:style w:type="paragraph" w:styleId="a9">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6">
    <w:name w:val="Balloon Text"/>
    <w:basedOn w:val="a"/>
    <w:link w:val="Char0"/>
    <w:qFormat/>
    <w:rPr>
      <w:sz w:val="18"/>
      <w:szCs w:val="18"/>
    </w:rPr>
  </w:style>
  <w:style w:type="paragraph" w:styleId="ab">
    <w:name w:val="annotation text"/>
    <w:basedOn w:val="a"/>
    <w:link w:val="Char4"/>
    <w:qFormat/>
    <w:rPr>
      <w:rFonts w:ascii="Tahoma" w:hAnsi="Tahoma" w:cs="Tahoma"/>
      <w:sz w:val="16"/>
      <w:szCs w:val="20"/>
    </w:rPr>
  </w:style>
  <w:style w:type="paragraph" w:customStyle="1" w:styleId="paragraph">
    <w:name w:val="paragraph"/>
    <w:basedOn w:val="a"/>
    <w:pPr>
      <w:widowControl/>
      <w:spacing w:before="100" w:beforeAutospacing="1" w:after="100" w:afterAutospacing="1"/>
      <w:jc w:val="left"/>
    </w:pPr>
    <w:rPr>
      <w:rFonts w:ascii="Times New Roman" w:hAnsi="Times New Roman"/>
      <w:kern w:val="0"/>
      <w:sz w:val="24"/>
      <w:lang w:eastAsia="en-US"/>
    </w:rPr>
  </w:style>
  <w:style w:type="paragraph" w:styleId="ad">
    <w:name w:val="Revision"/>
    <w:uiPriority w:val="99"/>
    <w:unhideWhenUsed/>
    <w:rPr>
      <w:rFonts w:ascii="Calibri" w:hAnsi="Calibri"/>
      <w:kern w:val="2"/>
      <w:sz w:val="21"/>
      <w:szCs w:val="24"/>
    </w:rPr>
  </w:style>
  <w:style w:type="table" w:styleId="ae">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uiPriority="0" w:qFormat="1"/>
    <w:lsdException w:name="footer" w:semiHidden="0" w:qFormat="1"/>
    <w:lsdException w:name="caption" w:uiPriority="35" w:qFormat="1"/>
    <w:lsdException w:name="annotation reference" w:semiHidden="0" w:uiPriority="0" w:unhideWhenUsed="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uiPriority="0" w:unhideWhenUsed="0" w:qFormat="1"/>
    <w:lsdException w:name="Strong" w:semiHidden="0" w:uiPriority="0" w:unhideWhenUsed="0" w:qFormat="1"/>
    <w:lsdException w:name="Emphasis" w:semiHidden="0" w:uiPriority="20" w:unhideWhenUsed="0" w:qFormat="1"/>
    <w:lsdException w:name="Normal (Web)" w:semiHidden="0" w:uiPriority="0" w:unhideWhenUsed="0" w:qFormat="1"/>
    <w:lsdException w:name="Normal Table" w:semiHidden="0" w:qFormat="1"/>
    <w:lsdException w:name="annotation subject" w:semiHidden="0"/>
    <w:lsdException w:name="Balloon Text" w:semiHidden="0" w:uiPriority="0" w:unhideWhenUsed="0" w:qFormat="1"/>
    <w:lsdException w:name="Table Grid" w:semiHidden="0" w:uiPriority="39"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unhideWhenUsed/>
    <w:qFormat/>
  </w:style>
  <w:style w:type="table" w:default="1" w:styleId="a1">
    <w:name w:val="Normal Table"/>
    <w:uiPriority w:val="99"/>
    <w:unhideWhenUsed/>
    <w:qFormat/>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1">
    <w:name w:val="批注框文本 Char1"/>
    <w:uiPriority w:val="99"/>
    <w:semiHidden/>
    <w:qFormat/>
    <w:rPr>
      <w:rFonts w:ascii="Calibri" w:eastAsia="宋体" w:hAnsi="Calibri" w:cs="Times New Roman"/>
      <w:sz w:val="18"/>
      <w:szCs w:val="18"/>
    </w:rPr>
  </w:style>
  <w:style w:type="character" w:customStyle="1" w:styleId="Char">
    <w:name w:val="批注主题 Char"/>
    <w:link w:val="a3"/>
    <w:uiPriority w:val="99"/>
    <w:semiHidden/>
    <w:rPr>
      <w:rFonts w:ascii="Calibri" w:eastAsia="宋体" w:hAnsi="Calibri" w:cs="Tahoma"/>
      <w:b/>
      <w:bCs/>
      <w:kern w:val="2"/>
      <w:sz w:val="21"/>
      <w:szCs w:val="24"/>
    </w:rPr>
  </w:style>
  <w:style w:type="character" w:styleId="a4">
    <w:name w:val="Strong"/>
    <w:qFormat/>
    <w:rPr>
      <w:b/>
    </w:rPr>
  </w:style>
  <w:style w:type="character" w:styleId="a5">
    <w:name w:val="Hyperlink"/>
    <w:qFormat/>
    <w:rPr>
      <w:color w:val="0000FF"/>
      <w:u w:val="single"/>
    </w:rPr>
  </w:style>
  <w:style w:type="character" w:customStyle="1" w:styleId="Char0">
    <w:name w:val="批注框文本 Char"/>
    <w:link w:val="a6"/>
    <w:qFormat/>
    <w:rPr>
      <w:rFonts w:ascii="Calibri" w:hAnsi="Calibri"/>
      <w:sz w:val="18"/>
      <w:szCs w:val="18"/>
    </w:rPr>
  </w:style>
  <w:style w:type="character" w:customStyle="1" w:styleId="a7">
    <w:name w:val="未处理的提及"/>
    <w:uiPriority w:val="99"/>
    <w:unhideWhenUsed/>
    <w:rPr>
      <w:color w:val="605E5C"/>
      <w:shd w:val="clear" w:color="auto" w:fill="E1DFDD"/>
    </w:rPr>
  </w:style>
  <w:style w:type="character" w:customStyle="1" w:styleId="normaltextrun">
    <w:name w:val="normaltextrun"/>
  </w:style>
  <w:style w:type="character" w:styleId="a8">
    <w:name w:val="annotation reference"/>
    <w:qFormat/>
    <w:rPr>
      <w:rFonts w:ascii="Tahoma" w:hAnsi="Tahoma" w:cs="Tahoma"/>
      <w:sz w:val="16"/>
      <w:szCs w:val="16"/>
      <w:u w:val="none"/>
    </w:rPr>
  </w:style>
  <w:style w:type="character" w:customStyle="1" w:styleId="Char2">
    <w:name w:val="页眉 Char"/>
    <w:link w:val="a9"/>
    <w:qFormat/>
    <w:rPr>
      <w:sz w:val="18"/>
      <w:szCs w:val="18"/>
    </w:rPr>
  </w:style>
  <w:style w:type="character" w:customStyle="1" w:styleId="Char3">
    <w:name w:val="页脚 Char"/>
    <w:link w:val="aa"/>
    <w:uiPriority w:val="99"/>
    <w:qFormat/>
    <w:rPr>
      <w:sz w:val="18"/>
      <w:szCs w:val="18"/>
    </w:rPr>
  </w:style>
  <w:style w:type="character" w:customStyle="1" w:styleId="Char4">
    <w:name w:val="批注文字 Char"/>
    <w:link w:val="ab"/>
    <w:qFormat/>
    <w:rPr>
      <w:rFonts w:ascii="Tahoma" w:eastAsia="宋体" w:hAnsi="Tahoma" w:cs="Tahoma"/>
      <w:sz w:val="16"/>
      <w:szCs w:val="20"/>
    </w:rPr>
  </w:style>
  <w:style w:type="paragraph" w:styleId="aa">
    <w:name w:val="footer"/>
    <w:basedOn w:val="a"/>
    <w:link w:val="Char3"/>
    <w:uiPriority w:val="99"/>
    <w:unhideWhenUsed/>
    <w:qFormat/>
    <w:pPr>
      <w:tabs>
        <w:tab w:val="center" w:pos="4153"/>
        <w:tab w:val="right" w:pos="8306"/>
      </w:tabs>
      <w:snapToGrid w:val="0"/>
      <w:jc w:val="left"/>
    </w:pPr>
    <w:rPr>
      <w:sz w:val="18"/>
      <w:szCs w:val="18"/>
    </w:rPr>
  </w:style>
  <w:style w:type="paragraph" w:styleId="a3">
    <w:name w:val="annotation subject"/>
    <w:basedOn w:val="ab"/>
    <w:next w:val="ab"/>
    <w:link w:val="Char"/>
    <w:uiPriority w:val="99"/>
    <w:unhideWhenUsed/>
    <w:pPr>
      <w:jc w:val="left"/>
    </w:pPr>
    <w:rPr>
      <w:rFonts w:ascii="Calibri" w:hAnsi="Calibri" w:cs="Times New Roman"/>
      <w:b/>
      <w:bCs/>
      <w:sz w:val="21"/>
      <w:szCs w:val="24"/>
    </w:rPr>
  </w:style>
  <w:style w:type="paragraph" w:styleId="ac">
    <w:name w:val="Normal (Web)"/>
    <w:basedOn w:val="a"/>
    <w:qFormat/>
    <w:pPr>
      <w:jc w:val="left"/>
    </w:pPr>
    <w:rPr>
      <w:kern w:val="0"/>
      <w:sz w:val="24"/>
    </w:rPr>
  </w:style>
  <w:style w:type="paragraph" w:styleId="a9">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6">
    <w:name w:val="Balloon Text"/>
    <w:basedOn w:val="a"/>
    <w:link w:val="Char0"/>
    <w:qFormat/>
    <w:rPr>
      <w:sz w:val="18"/>
      <w:szCs w:val="18"/>
    </w:rPr>
  </w:style>
  <w:style w:type="paragraph" w:styleId="ab">
    <w:name w:val="annotation text"/>
    <w:basedOn w:val="a"/>
    <w:link w:val="Char4"/>
    <w:qFormat/>
    <w:rPr>
      <w:rFonts w:ascii="Tahoma" w:hAnsi="Tahoma" w:cs="Tahoma"/>
      <w:sz w:val="16"/>
      <w:szCs w:val="20"/>
    </w:rPr>
  </w:style>
  <w:style w:type="paragraph" w:customStyle="1" w:styleId="paragraph">
    <w:name w:val="paragraph"/>
    <w:basedOn w:val="a"/>
    <w:pPr>
      <w:widowControl/>
      <w:spacing w:before="100" w:beforeAutospacing="1" w:after="100" w:afterAutospacing="1"/>
      <w:jc w:val="left"/>
    </w:pPr>
    <w:rPr>
      <w:rFonts w:ascii="Times New Roman" w:hAnsi="Times New Roman"/>
      <w:kern w:val="0"/>
      <w:sz w:val="24"/>
      <w:lang w:eastAsia="en-US"/>
    </w:rPr>
  </w:style>
  <w:style w:type="paragraph" w:styleId="ad">
    <w:name w:val="Revision"/>
    <w:uiPriority w:val="99"/>
    <w:unhideWhenUsed/>
    <w:rPr>
      <w:rFonts w:ascii="Calibri" w:hAnsi="Calibri"/>
      <w:kern w:val="2"/>
      <w:sz w:val="21"/>
      <w:szCs w:val="24"/>
    </w:rPr>
  </w:style>
  <w:style w:type="table" w:styleId="ae">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7309</Words>
  <Characters>41665</Characters>
  <Application>Microsoft Office Word</Application>
  <DocSecurity>0</DocSecurity>
  <Lines>347</Lines>
  <Paragraphs>97</Paragraphs>
  <ScaleCrop>false</ScaleCrop>
  <Company>China</Company>
  <LinksUpToDate>false</LinksUpToDate>
  <CharactersWithSpaces>48877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User</cp:lastModifiedBy>
  <cp:revision>2</cp:revision>
  <dcterms:created xsi:type="dcterms:W3CDTF">2020-07-28T10:53:00Z</dcterms:created>
  <dcterms:modified xsi:type="dcterms:W3CDTF">2020-07-28T10:53:00Z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