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C4A7" w14:textId="05EE542C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b/>
          <w:i/>
          <w:color w:val="000000" w:themeColor="text1"/>
          <w:kern w:val="2"/>
          <w:sz w:val="24"/>
          <w:szCs w:val="24"/>
          <w:lang w:eastAsia="zh-CN"/>
        </w:rPr>
      </w:pPr>
      <w:r w:rsidRPr="00A64FAC">
        <w:rPr>
          <w:rFonts w:ascii="Book Antiqua" w:eastAsia="Times New Roman" w:hAnsi="Book Antiqua" w:cs="宋体"/>
          <w:b/>
          <w:color w:val="000000" w:themeColor="text1"/>
          <w:kern w:val="2"/>
          <w:sz w:val="24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A64FAC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  <w:lang w:eastAsia="zh-CN"/>
        </w:rPr>
        <w:t xml:space="preserve">World Journal of </w:t>
      </w:r>
      <w:bookmarkStart w:id="7" w:name="OLE_LINK1222"/>
      <w:bookmarkStart w:id="8" w:name="OLE_LINK1223"/>
      <w:r w:rsidRPr="00A64FAC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  <w:lang w:eastAsia="zh-CN"/>
        </w:rPr>
        <w:t>Gastroenterology</w:t>
      </w:r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4999C2E" w14:textId="5F6A209D" w:rsidR="00904F0B" w:rsidRPr="00904F0B" w:rsidRDefault="00904F0B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Cs/>
          <w:color w:val="000000" w:themeColor="text1"/>
          <w:kern w:val="2"/>
          <w:sz w:val="24"/>
          <w:szCs w:val="24"/>
          <w:lang w:val="en-GB" w:eastAsia="zh-CN"/>
        </w:rPr>
      </w:pPr>
      <w:r w:rsidRPr="00904F0B">
        <w:rPr>
          <w:rFonts w:ascii="Book Antiqua" w:eastAsia="Times New Roman" w:hAnsi="Book Antiqua" w:cs="Times New Roman"/>
          <w:b/>
          <w:bCs/>
          <w:color w:val="000000" w:themeColor="text1"/>
          <w:kern w:val="2"/>
          <w:sz w:val="24"/>
          <w:szCs w:val="24"/>
          <w:lang w:eastAsia="zh-CN"/>
        </w:rPr>
        <w:t>Manuscript NO</w:t>
      </w:r>
      <w:r w:rsidRPr="00904F0B">
        <w:rPr>
          <w:rFonts w:ascii="Book Antiqua" w:hAnsi="Book Antiqua" w:cs="Arial"/>
          <w:b/>
          <w:color w:val="000000" w:themeColor="text1"/>
          <w:kern w:val="2"/>
          <w:sz w:val="24"/>
          <w:szCs w:val="24"/>
          <w:lang w:val="en" w:eastAsia="zh-CN"/>
        </w:rPr>
        <w:t xml:space="preserve">: </w:t>
      </w:r>
      <w:r w:rsidRPr="00A64FAC">
        <w:rPr>
          <w:rFonts w:ascii="Book Antiqua" w:hAnsi="Book Antiqua" w:cs="Arial"/>
          <w:bCs/>
          <w:color w:val="000000" w:themeColor="text1"/>
          <w:kern w:val="2"/>
          <w:sz w:val="24"/>
          <w:szCs w:val="24"/>
          <w:lang w:val="en" w:eastAsia="zh-CN"/>
        </w:rPr>
        <w:t>52630</w:t>
      </w:r>
    </w:p>
    <w:p w14:paraId="707934C2" w14:textId="0B05AC11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b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>Manuscript Type</w:t>
      </w:r>
      <w:r w:rsidRPr="00A64FAC">
        <w:rPr>
          <w:rFonts w:ascii="Book Antiqua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: </w:t>
      </w:r>
      <w:bookmarkEnd w:id="9"/>
      <w:bookmarkEnd w:id="10"/>
      <w:r w:rsidR="00904F0B" w:rsidRPr="00A64FAC">
        <w:rPr>
          <w:rFonts w:ascii="Book Antiqua" w:hAnsi="Book Antiqua"/>
          <w:bCs/>
          <w:color w:val="000000" w:themeColor="text1"/>
          <w:sz w:val="24"/>
          <w:szCs w:val="24"/>
        </w:rPr>
        <w:t>OPINION REVIEW</w:t>
      </w:r>
    </w:p>
    <w:p w14:paraId="0607CFF8" w14:textId="77777777" w:rsidR="00904F0B" w:rsidRPr="00A64FAC" w:rsidRDefault="00904F0B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74E9F81A" w14:textId="05721E7A" w:rsidR="00BA14F1" w:rsidRPr="00A64FAC" w:rsidRDefault="002E7FD8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64FAC">
        <w:rPr>
          <w:rFonts w:ascii="Book Antiqua" w:hAnsi="Book Antiqua"/>
          <w:b/>
          <w:color w:val="000000" w:themeColor="text1"/>
          <w:sz w:val="24"/>
          <w:szCs w:val="24"/>
        </w:rPr>
        <w:t>C</w:t>
      </w:r>
      <w:r w:rsidR="00BA14F1" w:rsidRPr="00A64FAC">
        <w:rPr>
          <w:rFonts w:ascii="Book Antiqua" w:hAnsi="Book Antiqua"/>
          <w:b/>
          <w:color w:val="000000" w:themeColor="text1"/>
          <w:sz w:val="24"/>
          <w:szCs w:val="24"/>
        </w:rPr>
        <w:t>urrent status of endoscopic sleeve gastroplasty: An opinion review</w:t>
      </w:r>
    </w:p>
    <w:p w14:paraId="4EDFE093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highlight w:val="white"/>
          <w:lang w:eastAsia="zh-CN"/>
        </w:rPr>
      </w:pPr>
    </w:p>
    <w:p w14:paraId="7DB74D3A" w14:textId="551B1291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Wang JW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  <w:t>et al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. </w:t>
      </w:r>
      <w:r w:rsidR="002E7FD8" w:rsidRPr="00A64FAC">
        <w:rPr>
          <w:rFonts w:ascii="Book Antiqua" w:hAnsi="Book Antiqua"/>
          <w:color w:val="000000" w:themeColor="text1"/>
          <w:sz w:val="24"/>
          <w:szCs w:val="24"/>
        </w:rPr>
        <w:t>C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urrent status of </w:t>
      </w:r>
      <w:r w:rsidR="00904F0B" w:rsidRPr="00A64FAC">
        <w:rPr>
          <w:rFonts w:ascii="Book Antiqua" w:hAnsi="Book Antiqua"/>
          <w:color w:val="000000" w:themeColor="text1"/>
          <w:sz w:val="24"/>
          <w:szCs w:val="24"/>
        </w:rPr>
        <w:t>ESG</w:t>
      </w:r>
    </w:p>
    <w:p w14:paraId="7C1AA480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525BB36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Jiunn-Wei Wang, Chih-Yen Chen</w:t>
      </w:r>
    </w:p>
    <w:p w14:paraId="338BD212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1813789" w14:textId="35F924E9" w:rsidR="006B3379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1" w:name="_Hlk526854947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Jiunn-Wei Wang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,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Division of Gastroenterology, Department of Internal medicine, Kaohsiung Medical University Hospital, Kaohsiung</w:t>
      </w:r>
      <w:r w:rsidR="00904F0B" w:rsidRPr="00A64FAC">
        <w:rPr>
          <w:color w:val="000000" w:themeColor="text1"/>
        </w:rPr>
        <w:t xml:space="preserve"> </w:t>
      </w:r>
      <w:r w:rsidR="00904F0B" w:rsidRPr="00A64FAC">
        <w:rPr>
          <w:rFonts w:ascii="Book Antiqua" w:hAnsi="Book Antiqua" w:cs="Times New Roman"/>
          <w:color w:val="000000" w:themeColor="text1"/>
          <w:sz w:val="24"/>
          <w:szCs w:val="24"/>
        </w:rPr>
        <w:t>80756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200AA0F8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C0C0271" w14:textId="3209CC32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Jiunn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-Wei Wang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Department of Medicine, College of Medicine, Kaohsiung Medical University, Kaohsiung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80756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1B21CD73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1606D302" w14:textId="303FD02B" w:rsidR="00BA14F1" w:rsidRPr="00A64FAC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Jiunn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-Wei Wang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Graduate Institute of Clinical Medicine, College of Medicine, Kaohsiung Medical University, Kaohsiung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80756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49D104C1" w14:textId="77777777" w:rsidR="00904F0B" w:rsidRPr="00A64FAC" w:rsidRDefault="00904F0B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F2F9A4A" w14:textId="434F4E63" w:rsidR="006B3379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Division of Gastroenterology and Hepatology, Department of Medicine, Taipei Veterans General Hospital, Taipei</w:t>
      </w:r>
      <w:r w:rsidR="006B337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3379" w:rsidRPr="00A64FAC">
        <w:rPr>
          <w:rFonts w:ascii="Book Antiqua" w:hAnsi="Book Antiqua" w:cs="Times New Roman"/>
          <w:color w:val="000000" w:themeColor="text1"/>
          <w:sz w:val="24"/>
          <w:szCs w:val="24"/>
        </w:rPr>
        <w:t>11217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5B903DBE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19249093" w14:textId="0ECB12D2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Endoscopy Center for Diagnosis and Treatment, Taipei Veterans General Hospital, Taipei</w:t>
      </w:r>
      <w:r w:rsidR="00904F0B" w:rsidRPr="00A64FAC">
        <w:rPr>
          <w:color w:val="000000" w:themeColor="text1"/>
        </w:rPr>
        <w:t xml:space="preserve"> </w:t>
      </w:r>
      <w:r w:rsidR="00904F0B" w:rsidRPr="00A64FAC">
        <w:rPr>
          <w:rFonts w:ascii="Book Antiqua" w:hAnsi="Book Antiqua" w:cs="Times New Roman"/>
          <w:color w:val="000000" w:themeColor="text1"/>
          <w:sz w:val="24"/>
          <w:szCs w:val="24"/>
        </w:rPr>
        <w:t>11217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00BC726B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474E8151" w14:textId="0E598560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Faculty of Medicine, National Yang-Ming University School of Medicine, Taipei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11217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1B5E5F56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113A7A8" w14:textId="1FFF5A4A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6B3379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6B3379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6B337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6B3379">
        <w:rPr>
          <w:rFonts w:ascii="Book Antiqua" w:hAnsi="Book Antiqua" w:cs="Times New Roman"/>
          <w:color w:val="000000" w:themeColor="text1"/>
          <w:sz w:val="24"/>
          <w:szCs w:val="24"/>
        </w:rPr>
        <w:t>Institutional Review Board, Taipei Veterans General Hospital, Taipei</w:t>
      </w:r>
      <w:r w:rsidRPr="006B337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11217</w:t>
      </w:r>
      <w:r w:rsidR="00BA14F1" w:rsidRPr="006B3379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46847F49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6413E604" w14:textId="5C7B0AC6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Author contributions: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Chen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conceived and designed the study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Wang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JW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reviewed the literature and wrote the manuscript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>Chen CY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Wang JW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made critical revisions and approved the final version of the manuscript.</w:t>
      </w:r>
    </w:p>
    <w:bookmarkEnd w:id="11"/>
    <w:p w14:paraId="1F80A659" w14:textId="77777777" w:rsidR="00BA14F1" w:rsidRPr="00A64FAC" w:rsidRDefault="00BA14F1" w:rsidP="00904F0B">
      <w:pPr>
        <w:pStyle w:val="aa"/>
        <w:adjustRightInd w:val="0"/>
        <w:snapToGrid w:val="0"/>
        <w:spacing w:line="360" w:lineRule="auto"/>
        <w:jc w:val="both"/>
        <w:rPr>
          <w:rFonts w:eastAsia="宋体" w:cs="Times New Roman"/>
          <w:color w:val="000000" w:themeColor="text1"/>
          <w:lang w:val="en-US"/>
        </w:rPr>
      </w:pPr>
    </w:p>
    <w:p w14:paraId="257A6718" w14:textId="664CDEB9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12" w:name="_Hlk526855072"/>
      <w:r w:rsidRPr="00A64FAC">
        <w:rPr>
          <w:rFonts w:ascii="Book Antiqua" w:hAnsi="Book Antiqua"/>
          <w:b/>
          <w:color w:val="000000" w:themeColor="text1"/>
          <w:sz w:val="24"/>
          <w:szCs w:val="24"/>
        </w:rPr>
        <w:t>Corresponding author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bookmarkStart w:id="13" w:name="OLE_LINK57"/>
      <w:bookmarkStart w:id="14" w:name="OLE_LINK58"/>
      <w:bookmarkStart w:id="15" w:name="_Hlk523142522"/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 AGAF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,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MD,</w:t>
      </w:r>
      <w:r w:rsidRPr="00A64FAC">
        <w:rPr>
          <w:rFonts w:ascii="Book Antiqua" w:eastAsia="PMingLiU" w:hAnsi="Book Antiqua" w:cs="Times New Roman"/>
          <w:b/>
          <w:color w:val="000000" w:themeColor="text1"/>
          <w:sz w:val="24"/>
          <w:szCs w:val="24"/>
          <w:lang w:eastAsia="zh-TW"/>
        </w:rPr>
        <w:t xml:space="preserve"> 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PhD, </w:t>
      </w:r>
      <w:r w:rsidR="00AA5BF0"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Professor,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bookmarkEnd w:id="13"/>
      <w:bookmarkEnd w:id="14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A64FAC">
        <w:rPr>
          <w:rFonts w:ascii="Book Antiqua" w:eastAsia="PMingLiU" w:hAnsi="Book Antiqua" w:cs="Times New Roman"/>
          <w:color w:val="000000" w:themeColor="text1"/>
          <w:sz w:val="24"/>
          <w:szCs w:val="24"/>
          <w:lang w:eastAsia="zh-TW"/>
        </w:rPr>
        <w:t xml:space="preserve">ivision of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Gastroenterology</w:t>
      </w:r>
      <w:r w:rsidRPr="00A64FAC">
        <w:rPr>
          <w:rFonts w:ascii="Book Antiqua" w:eastAsia="PMingLiU" w:hAnsi="Book Antiqua" w:cs="Times New Roman"/>
          <w:color w:val="000000" w:themeColor="text1"/>
          <w:sz w:val="24"/>
          <w:szCs w:val="24"/>
          <w:lang w:eastAsia="zh-TW"/>
        </w:rPr>
        <w:t xml:space="preserve"> and Hepatology, Department of Medicine, Taipei Veterans General Hospital, 201, Section 2, Shih-Pai Road, Taipei 11217, Taiwan.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chency@vghtpe.gov.tw</w:t>
      </w:r>
    </w:p>
    <w:p w14:paraId="15FD2C86" w14:textId="77777777" w:rsidR="00AA5BF0" w:rsidRPr="00A64FAC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bookmarkStart w:id="16" w:name="_Hlk28872415"/>
      <w:bookmarkEnd w:id="12"/>
      <w:bookmarkEnd w:id="15"/>
    </w:p>
    <w:p w14:paraId="0215A1DC" w14:textId="62762D31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>Received:</w:t>
      </w:r>
      <w:r w:rsidRPr="00AA5BF0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val="en-GB" w:eastAsia="zh-CN"/>
        </w:rPr>
        <w:t xml:space="preserve"> </w:t>
      </w:r>
      <w:r w:rsidRPr="00AA5BF0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November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Pr="00A64FAC">
        <w:rPr>
          <w:rFonts w:ascii="Book Antiqua" w:eastAsia="等线" w:hAnsi="Book Antiqua" w:cs="Times New Roman"/>
          <w:color w:val="000000" w:themeColor="text1"/>
          <w:kern w:val="2"/>
          <w:sz w:val="24"/>
          <w:szCs w:val="24"/>
          <w:lang w:val="en-GB" w:eastAsia="zh-CN"/>
        </w:rPr>
        <w:t>12</w:t>
      </w:r>
      <w:r w:rsidRPr="00AA5BF0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, 201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>9</w:t>
      </w:r>
    </w:p>
    <w:p w14:paraId="12EF2661" w14:textId="75F7B43E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>Revised: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February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Pr="00A64FAC">
        <w:rPr>
          <w:rFonts w:ascii="Book Antiqua" w:eastAsia="等线" w:hAnsi="Book Antiqua" w:cs="Times New Roman"/>
          <w:color w:val="000000" w:themeColor="text1"/>
          <w:kern w:val="2"/>
          <w:sz w:val="24"/>
          <w:szCs w:val="24"/>
          <w:lang w:val="en-GB" w:eastAsia="zh-CN"/>
        </w:rPr>
        <w:t>27</w:t>
      </w:r>
      <w:r w:rsidRPr="00AA5BF0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, 2020</w:t>
      </w:r>
    </w:p>
    <w:p w14:paraId="7BA00638" w14:textId="564823F9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>Accepted:</w:t>
      </w:r>
      <w:bookmarkStart w:id="17" w:name="OLE_LINK52"/>
      <w:bookmarkStart w:id="18" w:name="OLE_LINK53"/>
      <w:r w:rsidR="00FC1580" w:rsidRPr="00FC1580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FC1580" w:rsidRPr="00FC1580">
        <w:rPr>
          <w:rFonts w:ascii="Book Antiqua" w:hAnsi="Book Antiqua"/>
          <w:bCs/>
          <w:color w:val="000000" w:themeColor="text1"/>
          <w:sz w:val="24"/>
          <w:szCs w:val="24"/>
        </w:rPr>
        <w:t>March 9, 2020</w:t>
      </w:r>
      <w:bookmarkEnd w:id="17"/>
      <w:bookmarkEnd w:id="18"/>
      <w:r w:rsidRPr="00FC1580">
        <w:rPr>
          <w:rFonts w:cs="Times New Roman"/>
          <w:bCs/>
          <w:color w:val="000000" w:themeColor="text1"/>
          <w:lang w:val="el-GR"/>
        </w:rPr>
        <w:t xml:space="preserve"> </w:t>
      </w:r>
    </w:p>
    <w:p w14:paraId="451B7EEA" w14:textId="77777777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zh-CN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 xml:space="preserve">Published online: </w:t>
      </w:r>
    </w:p>
    <w:bookmarkEnd w:id="16"/>
    <w:p w14:paraId="5A979402" w14:textId="77777777" w:rsidR="00BA14F1" w:rsidRPr="00A64FAC" w:rsidRDefault="00BA14F1" w:rsidP="00904F0B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0415E6F9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bookmarkStart w:id="19" w:name="_Hlk522979004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574A948E" w14:textId="42C1AEFE" w:rsidR="00BA14F1" w:rsidRPr="00A64FAC" w:rsidRDefault="00C27D3E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Bariatric surgeries have been demonstrated to be safe and effective treatment options for </w:t>
      </w:r>
      <w:r w:rsidR="00F6477E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>morbid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obesity patient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, but operative risks and high health care costs limit the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ir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clinical application. </w:t>
      </w:r>
      <w:r w:rsidR="004469D3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ndoscopic bariatric therapies are emerging as valuable alternatives for patients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with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doubt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about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bariatric surgery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or ineligible for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it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. Endoscopic sleeve gastroplasty (ESG),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a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relatively novel technique of </w:t>
      </w:r>
      <w:r w:rsidR="00A64FAC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endoscopic bariatric therapies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, ha</w:t>
      </w:r>
      <w:r w:rsidR="004469D3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gained standing in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the past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few years. The safety, feasibility, repeatability</w:t>
      </w:r>
      <w:r w:rsidR="00656E2D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and potential for reversibility of ESG have been </w:t>
      </w:r>
      <w:r w:rsidR="00E2628C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proven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by multicenter studies. </w:t>
      </w:r>
      <w:r w:rsidR="00E9170F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C</w:t>
      </w:r>
      <w:r w:rsidR="0081494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ompar</w:t>
      </w:r>
      <w:r w:rsidR="0043362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ed</w:t>
      </w:r>
      <w:r w:rsidR="0081494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E9170F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to o</w:t>
      </w:r>
      <w:r w:rsidR="0081494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ther weight loss strategies</w:t>
      </w:r>
      <w:r w:rsidR="00E9170F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current evidence </w:t>
      </w:r>
      <w:r w:rsidR="00E9170F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>demonstrate</w:t>
      </w:r>
      <w:r w:rsidR="00656E2D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>s</w:t>
      </w:r>
      <w:r w:rsidR="00E9170F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 xml:space="preserve"> that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ESG offer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efficacy in weight loss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ven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though it is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inferior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362A" w:rsidRPr="00A64FAC">
        <w:rPr>
          <w:rFonts w:ascii="Book Antiqua" w:hAnsi="Book Antiqua" w:cs="Times New Roman"/>
          <w:color w:val="000000" w:themeColor="text1"/>
          <w:sz w:val="24"/>
          <w:szCs w:val="24"/>
        </w:rPr>
        <w:t>laparoscopic sleeve gastrectomy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lower risks of adverse events </w:t>
      </w:r>
      <w:r w:rsidR="0043362A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than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surgical interventions and </w:t>
      </w:r>
      <w:r w:rsidR="0043362A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intragastric balloon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one-year follow-up.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ESG may be the ideal weight control strategy for patients who have poor adherence to behavioral interventions.</w:t>
      </w:r>
      <w:r w:rsidR="00332B12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Even so, trend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decreased weight loss effect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over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time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post-procedure weight regain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B2DDD" w:rsidRPr="00A64FAC">
        <w:rPr>
          <w:rFonts w:ascii="Book Antiqua" w:hAnsi="Book Antiqua" w:cs="Times New Roman"/>
          <w:color w:val="000000" w:themeColor="text1"/>
          <w:sz w:val="24"/>
          <w:szCs w:val="24"/>
        </w:rPr>
        <w:t>post-procedure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gut hormone alteration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possible effects of race and ethnicity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4B2DD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ESG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still remain undetermined</w:t>
      </w:r>
      <w:r w:rsidR="00D3295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 </w:t>
      </w:r>
      <w:r w:rsidR="005C609C" w:rsidRPr="00A64FAC">
        <w:rPr>
          <w:rFonts w:ascii="Book Antiqua" w:hAnsi="Book Antiqua" w:cs="Times New Roman"/>
          <w:color w:val="000000" w:themeColor="text1"/>
          <w:sz w:val="24"/>
          <w:szCs w:val="24"/>
        </w:rPr>
        <w:t>very limited reports</w:t>
      </w:r>
      <w:r w:rsidR="00DA439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5C609C" w:rsidRPr="00A64FAC">
        <w:rPr>
          <w:rFonts w:ascii="Book Antiqua" w:hAnsi="Book Antiqua" w:cs="Times New Roman"/>
          <w:color w:val="000000" w:themeColor="text1"/>
          <w:sz w:val="24"/>
          <w:szCs w:val="24"/>
        </w:rPr>
        <w:t>very short follow</w:t>
      </w:r>
      <w:r w:rsidR="00CA305B" w:rsidRPr="00A64FA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5C609C" w:rsidRPr="00A64FAC">
        <w:rPr>
          <w:rFonts w:ascii="Book Antiqua" w:hAnsi="Book Antiqua" w:cs="Times New Roman"/>
          <w:color w:val="000000" w:themeColor="text1"/>
          <w:sz w:val="24"/>
          <w:szCs w:val="24"/>
        </w:rPr>
        <w:t>ups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F71A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01071E" w:rsidRPr="00A64FAC">
        <w:rPr>
          <w:rFonts w:ascii="Book Antiqua" w:hAnsi="Book Antiqua" w:cs="Times New Roman"/>
          <w:color w:val="000000" w:themeColor="text1"/>
          <w:sz w:val="24"/>
          <w:szCs w:val="24"/>
        </w:rPr>
        <w:t>urther clinical</w:t>
      </w:r>
      <w:r w:rsidR="0055219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trials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required </w:t>
      </w:r>
      <w:r w:rsidR="00552199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 validate</w:t>
      </w:r>
      <w:r w:rsidR="0052413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answer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questions</w:t>
      </w:r>
      <w:r w:rsidR="0052413D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331EAF8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eastAsia="zh-CN"/>
        </w:rPr>
      </w:pPr>
    </w:p>
    <w:bookmarkEnd w:id="19"/>
    <w:p w14:paraId="0D100EB4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Key words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: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Obesity; </w:t>
      </w:r>
      <w:r w:rsidR="006A78A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Endoscopic bariatric therapy;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Endoscopic sleeve gastroplasty; Laparoscopic sleeve gastrectomy; Intragastric balloon; Behavioral weight loss intervention</w:t>
      </w:r>
    </w:p>
    <w:p w14:paraId="3C10C45E" w14:textId="6522041E" w:rsidR="00BA14F1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08F20980" w14:textId="77777777" w:rsidR="00A64FAC" w:rsidRPr="00A64FAC" w:rsidRDefault="00A64FAC" w:rsidP="00A64FAC">
      <w:pPr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Wang JW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Chen CY. Current status of endoscopic sleeve gastroplasty: An opinion review.</w:t>
      </w:r>
      <w:r w:rsidRPr="00A64FAC">
        <w:rPr>
          <w:rFonts w:ascii="Book Antiqua" w:hAnsi="Book Antiqua" w:cs="Arial"/>
          <w:bCs/>
          <w:i/>
          <w:iCs/>
          <w:sz w:val="24"/>
          <w:szCs w:val="24"/>
        </w:rPr>
        <w:t xml:space="preserve"> World J Gastroenterol </w:t>
      </w:r>
      <w:r w:rsidRPr="00A64FAC">
        <w:rPr>
          <w:rFonts w:ascii="Book Antiqua" w:hAnsi="Book Antiqua" w:cs="Arial"/>
          <w:bCs/>
          <w:sz w:val="24"/>
          <w:szCs w:val="24"/>
        </w:rPr>
        <w:t xml:space="preserve">2020; </w:t>
      </w:r>
      <w:r w:rsidRPr="00A64FAC">
        <w:rPr>
          <w:rFonts w:ascii="Book Antiqua" w:hAnsi="Book Antiqua" w:hint="eastAsia"/>
          <w:sz w:val="24"/>
          <w:szCs w:val="24"/>
          <w:lang w:eastAsia="zh-CN"/>
        </w:rPr>
        <w:t>In press</w:t>
      </w:r>
    </w:p>
    <w:p w14:paraId="6504EC81" w14:textId="77777777" w:rsidR="00A64FAC" w:rsidRPr="00A64FAC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6A4A0DBB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bookmarkStart w:id="20" w:name="_Hlk527021330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Core tip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: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Endoscopic sleeve gastroplasty offers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efficacy in weight loss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though it is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inferior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laparoscopic sleeve gastrectomy and has lower risks of adverse events than surgical interventions and intragastric balloon within one-year follow-up.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="00715B7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it may 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the ideal weight 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control strategy for patients who have poor adherence to behavioral interventions.</w:t>
      </w:r>
    </w:p>
    <w:bookmarkEnd w:id="20"/>
    <w:p w14:paraId="61AEBDFD" w14:textId="5EE74E84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BFC535C" w14:textId="77777777" w:rsidR="006072BE" w:rsidRPr="006072BE" w:rsidRDefault="00BA14F1" w:rsidP="006072B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  <w:bookmarkStart w:id="21" w:name="_Hlk27562550"/>
      <w:r w:rsidR="006072BE" w:rsidRPr="006072BE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bookmarkEnd w:id="21"/>
    <w:p w14:paraId="40DC9EA8" w14:textId="5AB10525" w:rsidR="00BA14F1" w:rsidRPr="00A64FAC" w:rsidRDefault="00BA14F1" w:rsidP="006072B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Growing prevalence of obesity has become a current worldwide public health epidemic in adults, children</w:t>
      </w:r>
      <w:r w:rsidR="0096087B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adolescents. The increasing trend in obesity is also of concern owing to </w:t>
      </w:r>
      <w:r w:rsidR="0096087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comorbidity and mortality in obesity patients and </w:t>
      </w:r>
      <w:r w:rsidR="0096087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expanding economic burden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society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1,2]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Bariatric surgeries have been demonstrated to be safe and effective treatment options for </w:t>
      </w:r>
      <w:r w:rsidR="00F6477E" w:rsidRPr="00A64FAC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TW"/>
        </w:rPr>
        <w:t>morbid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obesity patient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but low patient acceptance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due to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fear of operative risks and high health care costs limit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clinical application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 In this situation, endoscopic bariatric therapies (EBTs)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characteristics of minimally invasive nature, reversibility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high applicability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emerging as valuable alternatives for patients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doub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ts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about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bariatric surgery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or ineligible for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it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Endoscopic sleeve gastroplasty (ESG),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relatively novel technique of EBTs, was first published by the Mayo Clinic in the USA in 2013 and ha</w:t>
      </w:r>
      <w:r w:rsidR="00446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gained standing in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past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few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years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ESG is an incisionless transoral endoscopic procedure </w:t>
      </w:r>
      <w:r w:rsidR="00E75077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</w:t>
      </w:r>
      <w:r w:rsidR="00E75077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full-thickness endoscopic suturing system to reduce stomach volume into a tubular gastric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cavity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 The safety, feasibility, repeatability</w:t>
      </w:r>
      <w:r w:rsidR="007609E9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potential for reversibility of ESG have been </w:t>
      </w:r>
      <w:r w:rsidR="007609E9" w:rsidRPr="00A64FAC">
        <w:rPr>
          <w:rFonts w:ascii="Book Antiqua" w:hAnsi="Book Antiqua" w:cs="Times New Roman"/>
          <w:color w:val="000000" w:themeColor="text1"/>
          <w:sz w:val="24"/>
          <w:szCs w:val="24"/>
        </w:rPr>
        <w:t>shown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several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multicenter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7,8]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Furthermore, there are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>many studies making a direct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comparison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ESG and other </w:t>
      </w:r>
      <w:bookmarkStart w:id="22" w:name="_Hlk2365459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weight loss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strategies</w:t>
      </w:r>
      <w:bookmarkEnd w:id="22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9-12]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are separately discussed in the following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>section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s.</w:t>
      </w:r>
    </w:p>
    <w:p w14:paraId="6ABF7303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eastAsia="zh-CN"/>
        </w:rPr>
      </w:pPr>
    </w:p>
    <w:p w14:paraId="4DAC2E14" w14:textId="09764B5F" w:rsidR="00BA14F1" w:rsidRPr="005A6BA5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5A6BA5">
        <w:rPr>
          <w:rFonts w:ascii="Book Antiqua" w:eastAsia="等线" w:hAnsi="Book Antiqua" w:cs="Times New Roman"/>
          <w:b/>
          <w:bCs/>
          <w:caps/>
          <w:color w:val="000000" w:themeColor="text1"/>
          <w:kern w:val="2"/>
          <w:sz w:val="24"/>
          <w:szCs w:val="24"/>
          <w:u w:val="single"/>
          <w:lang w:eastAsia="ja-JP"/>
        </w:rPr>
        <w:t>ESG</w:t>
      </w:r>
      <w:r w:rsidR="00BA14F1" w:rsidRPr="005A6BA5">
        <w:rPr>
          <w:rFonts w:ascii="Book Antiqua" w:eastAsia="等线" w:hAnsi="Book Antiqua" w:cs="Times New Roman"/>
          <w:b/>
          <w:bCs/>
          <w:caps/>
          <w:color w:val="000000" w:themeColor="text1"/>
          <w:kern w:val="2"/>
          <w:sz w:val="24"/>
          <w:szCs w:val="24"/>
          <w:u w:val="single"/>
          <w:lang w:eastAsia="ja-JP"/>
        </w:rPr>
        <w:t xml:space="preserve"> </w:t>
      </w:r>
      <w:r w:rsidR="00BA14F1" w:rsidRPr="00F365A8">
        <w:rPr>
          <w:rFonts w:ascii="Book Antiqua" w:eastAsia="等线" w:hAnsi="Book Antiqua" w:cs="Times New Roman"/>
          <w:b/>
          <w:bCs/>
          <w:i/>
          <w:caps/>
          <w:color w:val="000000" w:themeColor="text1"/>
          <w:kern w:val="2"/>
          <w:sz w:val="24"/>
          <w:szCs w:val="24"/>
          <w:u w:val="single"/>
          <w:lang w:eastAsia="ja-JP"/>
        </w:rPr>
        <w:t>v</w:t>
      </w:r>
      <w:r w:rsidR="00E97326" w:rsidRPr="00F365A8">
        <w:rPr>
          <w:rFonts w:ascii="Book Antiqua" w:eastAsia="等线" w:hAnsi="Book Antiqua" w:cs="Times New Roman"/>
          <w:b/>
          <w:bCs/>
          <w:i/>
          <w:caps/>
          <w:color w:val="000000" w:themeColor="text1"/>
          <w:kern w:val="2"/>
          <w:sz w:val="24"/>
          <w:szCs w:val="24"/>
          <w:u w:val="single"/>
          <w:lang w:eastAsia="ja-JP"/>
        </w:rPr>
        <w:t>S</w:t>
      </w:r>
      <w:r w:rsidR="00BA14F1" w:rsidRPr="005A6BA5">
        <w:rPr>
          <w:rFonts w:ascii="Book Antiqua" w:eastAsia="等线" w:hAnsi="Book Antiqua" w:cs="Times New Roman"/>
          <w:b/>
          <w:bCs/>
          <w:caps/>
          <w:color w:val="000000" w:themeColor="text1"/>
          <w:kern w:val="2"/>
          <w:sz w:val="24"/>
          <w:szCs w:val="24"/>
          <w:u w:val="single"/>
          <w:lang w:eastAsia="ja-JP"/>
        </w:rPr>
        <w:t xml:space="preserve"> laparoscopic sleeve gastrectomy</w:t>
      </w:r>
    </w:p>
    <w:p w14:paraId="617095FF" w14:textId="3DA2512E" w:rsidR="00BA14F1" w:rsidRPr="00A64FAC" w:rsidRDefault="00BA14F1" w:rsidP="005A6BA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23" w:name="OLE_LINK55"/>
      <w:bookmarkStart w:id="24" w:name="OLE_LINK5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Laparoscopic sleeve gastrectomy (LSG) is the most popular restrictive bariatric surgical procedure because of 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high efficiency in weight loss, reduction in obesity-related morbidities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simple surgical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technique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13]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Novikov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unmatched cohort study to compare the outcomes of ESG with surgical interventions. The study 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>showed that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 achieved greater body mass index (BMI) decrease and </w:t>
      </w:r>
      <w:bookmarkStart w:id="25" w:name="_Hlk2366172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percent total body weight loss (%TBWL)</w:t>
      </w:r>
      <w:bookmarkEnd w:id="25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ESG at 12-mo follow-up (29.28</w:t>
      </w:r>
      <w:r w:rsidR="00D13F20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17.57%,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P 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Furthermore, and there were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significant difference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A6BA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>= 0.21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in %TBWL between the two procedures in the subgroup of patients with BMI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lastRenderedPageBreak/>
        <w:t>&lt;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40 kg/m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multivariable adjustment. Significantly lower post-procedure length of stay (0.34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± 0.73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3.09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± 1.47 d, </w:t>
      </w:r>
      <w:r w:rsidR="005A6BA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) and adverse event rate (2.20</w:t>
      </w:r>
      <w:r w:rsidR="002E4CD0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9.17%, </w:t>
      </w:r>
      <w:r w:rsidR="005A6BA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were both observed in ESG compared with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in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LSG. The other case-match study by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Fayad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10]</w:t>
      </w:r>
      <w:r w:rsidR="005A6BA5" w:rsidRPr="005A6BA5">
        <w:rPr>
          <w:rFonts w:ascii="Book Antiqua" w:hAnsi="Book Antiqua" w:cs="Times New Roman"/>
          <w:noProof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enrolled 54 ESG and 83 LSG patients. ESG initially presented more %TBWL and BMI decrease than LSG at 30 d (9.8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6.6%,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; 9.4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6.7%,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respectively), but reverse outcomes in both %TBWL and BMI decrease for ESG and LSG (17.1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23.6%,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0.001;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17.2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23.7%,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respectively) were shown at 6-mo follow-up. Moreover,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lower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rate of adverse events was observed in ESG than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 (5.2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16.9%,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), especially in new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onset gastroesophageal reflux disease (1.9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14.5%,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).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Both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comparison studies both demonstrated the superior weight loss effects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 and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increased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safety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ESG at 6-mo and 12-mo follow-up. </w:t>
      </w:r>
      <w:r w:rsidR="00403D54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 addition</w:t>
      </w:r>
      <w:r w:rsidR="00705F4C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13F4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recent </w:t>
      </w:r>
      <w:r w:rsidR="00047C37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case-match retrospective study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evaluated </w:t>
      </w:r>
      <w:r w:rsidR="005C2C4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6-mo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quality of life </w:t>
      </w:r>
      <w:r w:rsidR="0063423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operation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23 </w:t>
      </w:r>
      <w:r w:rsidR="006B78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pairs of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="00072FD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G and LSG patients with </w:t>
      </w:r>
      <w:proofErr w:type="gramStart"/>
      <w:r w:rsidR="00072FDF" w:rsidRPr="00A64FAC">
        <w:rPr>
          <w:rFonts w:ascii="Book Antiqua" w:hAnsi="Book Antiqua" w:cs="Times New Roman"/>
          <w:color w:val="000000" w:themeColor="text1"/>
          <w:sz w:val="24"/>
          <w:szCs w:val="24"/>
        </w:rPr>
        <w:t>questionnaire</w:t>
      </w:r>
      <w:r w:rsidR="0097203C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97203C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97203C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72FD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C7FA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cohort </w:t>
      </w:r>
      <w:r w:rsidR="00056854" w:rsidRPr="00A64FAC">
        <w:rPr>
          <w:rFonts w:ascii="Book Antiqua" w:hAnsi="Book Antiqua" w:cs="Times New Roman"/>
          <w:color w:val="000000" w:themeColor="text1"/>
          <w:sz w:val="24"/>
          <w:szCs w:val="24"/>
        </w:rPr>
        <w:t>reported significantly better results in gastrointestinal symptoms subdomain than LSG cohort (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056854"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= 0.001</w:t>
      </w:r>
      <w:r w:rsidR="00056854" w:rsidRPr="00A64FAC">
        <w:rPr>
          <w:rFonts w:ascii="Book Antiqua" w:hAnsi="Book Antiqua" w:cs="Times New Roman"/>
          <w:color w:val="000000" w:themeColor="text1"/>
          <w:sz w:val="24"/>
          <w:szCs w:val="24"/>
        </w:rPr>
        <w:t>).</w:t>
      </w:r>
      <w:r w:rsidR="00AF558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483B" w:rsidRPr="00A64FAC">
        <w:rPr>
          <w:rFonts w:ascii="Book Antiqua" w:hAnsi="Book Antiqua" w:cs="Times New Roman"/>
          <w:color w:val="000000" w:themeColor="text1"/>
          <w:sz w:val="24"/>
          <w:szCs w:val="24"/>
        </w:rPr>
        <w:t>No ESG patients but 7 LSG patients developed postoperative gastroesophageal reflux disease and required daily proton-pump inhibitors use</w:t>
      </w:r>
      <w:r w:rsidR="00316FDD" w:rsidRPr="00A64FA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16FDD" w:rsidRPr="00A64FA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16FDD"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= 0.004</w:t>
      </w:r>
      <w:r w:rsidR="00316FDD" w:rsidRPr="00A64FA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F483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A6E24" w:rsidRPr="00A64FAC">
        <w:rPr>
          <w:rFonts w:ascii="Book Antiqua" w:hAnsi="Book Antiqua" w:cs="Times New Roman"/>
          <w:color w:val="000000" w:themeColor="text1"/>
          <w:sz w:val="24"/>
          <w:szCs w:val="24"/>
        </w:rPr>
        <w:t>Nevertheless, 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he current results are limited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 the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retrospective nature of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studies and short-term follow-up, and they should be validated in future randomized controlled trials with longer follow-up.</w:t>
      </w:r>
    </w:p>
    <w:p w14:paraId="37374495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 w:themeColor="text1"/>
          <w:kern w:val="2"/>
          <w:sz w:val="24"/>
          <w:szCs w:val="24"/>
          <w:highlight w:val="green"/>
          <w:lang w:eastAsia="zh-CN"/>
        </w:rPr>
      </w:pPr>
    </w:p>
    <w:p w14:paraId="5E4EE603" w14:textId="2DCCADB9" w:rsidR="00BA14F1" w:rsidRPr="004646C5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>ESG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</w:t>
      </w:r>
      <w:r w:rsidR="00E97326" w:rsidRPr="00F365A8">
        <w:rPr>
          <w:rFonts w:ascii="Book Antiqua" w:eastAsia="Calibri" w:hAnsi="Book Antiqua" w:cs="Times New Roman"/>
          <w:b/>
          <w:bCs/>
          <w:i/>
          <w:caps/>
          <w:color w:val="000000" w:themeColor="text1"/>
          <w:sz w:val="24"/>
          <w:szCs w:val="24"/>
          <w:u w:val="single"/>
        </w:rPr>
        <w:t>VS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intragastric balloon insertion</w:t>
      </w:r>
    </w:p>
    <w:p w14:paraId="13DAF1C9" w14:textId="1E26334C" w:rsidR="00BA14F1" w:rsidRPr="00A64FAC" w:rsidRDefault="00BA14F1" w:rsidP="004646C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EBTs have several promising applications in metabolic obesity disease, and one of them is intragastric balloon (IGB)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ose efficacy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body weight loss and safety 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demonstrated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by a systematic review and meta-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analysis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 IGB was introduced 30 years ago and underwent several upgraded product developments but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far, weight regain remains the major limitation because of necessary removal of the balloon at 6 </w:t>
      </w:r>
      <w:proofErr w:type="spellStart"/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Likewise, ESG, a new emerging EBT, presented 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 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against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obesity disease. One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recent retrospective study reported by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Fayad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his colleague compared the two EBTs </w:t>
      </w:r>
      <w:r w:rsidR="00A2406F" w:rsidRPr="00A64FA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and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IGB</w:t>
      </w:r>
      <w:r w:rsidR="00A2406F" w:rsidRPr="00A64FA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11]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All 58 ESG and 47 IGB patients achieved meaningful body weight loss.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showed significant higher mean %TBWL than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IGB group over 12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post-procedure (at 12-mo follow-up, 21.3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13.9%,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= 0.005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respectively). Notably,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a decreasing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trend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%TBWL was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seen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and decreasing %TBWL presented after 6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IGB group, which can be explained by balloon removal at 6 mo. There was a significantly lower rate of adverse events in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than in 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IGB group (5.2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17.0%,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= 0.048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respectively). Up to 17% of IGB patients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had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adverse events requiring balloon removal, and th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events completely subsided after balloon removal. In contrast, ESG-associated adverse events are more likely to require medical treatment. This study provided evidence that ESG may be a more appropriate EBT than IGB in clinical practice even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limitation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selection bias.</w:t>
      </w:r>
    </w:p>
    <w:p w14:paraId="517A66B0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</w:pPr>
    </w:p>
    <w:p w14:paraId="5FC25064" w14:textId="7C986141" w:rsidR="00BA14F1" w:rsidRPr="004646C5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>ESG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</w:t>
      </w:r>
      <w:r w:rsidR="00E97326" w:rsidRPr="00F365A8">
        <w:rPr>
          <w:rFonts w:ascii="Book Antiqua" w:eastAsia="Calibri" w:hAnsi="Book Antiqua" w:cs="Times New Roman"/>
          <w:b/>
          <w:bCs/>
          <w:i/>
          <w:caps/>
          <w:color w:val="000000" w:themeColor="text1"/>
          <w:sz w:val="24"/>
          <w:szCs w:val="24"/>
          <w:u w:val="single"/>
        </w:rPr>
        <w:t>VS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behavioral interventions</w:t>
      </w:r>
    </w:p>
    <w:p w14:paraId="3C930018" w14:textId="17113093" w:rsidR="00BA14F1" w:rsidRPr="00A64FAC" w:rsidRDefault="0023067A" w:rsidP="004646C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4646C5">
        <w:rPr>
          <w:rFonts w:ascii="Book Antiqua" w:hAnsi="Book Antiqua" w:cs="Times New Roman"/>
          <w:color w:val="000000" w:themeColor="text1"/>
          <w:sz w:val="24"/>
          <w:szCs w:val="24"/>
        </w:rPr>
        <w:t xml:space="preserve">nited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646C5">
        <w:rPr>
          <w:rFonts w:ascii="Book Antiqua" w:hAnsi="Book Antiqua" w:cs="Times New Roman"/>
          <w:color w:val="000000" w:themeColor="text1"/>
          <w:sz w:val="24"/>
          <w:szCs w:val="24"/>
        </w:rPr>
        <w:t>tates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 of Health and Human Services </w:t>
      </w:r>
      <w:r w:rsidR="00A82356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proposed lifestyle interventions, such as dietary therapy and physical activity, as first-line treatment for weight loss and maintenance since 1998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7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One systemic review and meta-analysis revealed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behavioral interventions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bring about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small but significant benefits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weight loss and </w:t>
      </w:r>
      <w:proofErr w:type="gramStart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maintenance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8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. Certain obese patient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prefer these non-surgical interventions over invasive therapies. </w:t>
      </w:r>
      <w:proofErr w:type="spellStart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Cheskin</w:t>
      </w:r>
      <w:proofErr w:type="spellEnd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BA14F1"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4646C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4646C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12]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case-matched study of 105 patients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underwent ESG and 281 patients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underwent high-intensity diet and lifestyle therapy (HIDLT) to compare weight loss between the two groups.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had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greater mean %TBWL than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HIDLT group throughout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12-mo follow-up (20.6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14.3%, respectively). It is worth noting that ESG had no superiority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weight loss over 6 </w:t>
      </w:r>
      <w:proofErr w:type="spellStart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post-procedure compared with HIDLT in BMI &gt; 40 kg/m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patients. In addition,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proportion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patients (4.8%) experienced moderate-to-severe adverse events in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ESG group, and no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subjects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suffered from any adverse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event in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HIDLT group. Consequently, ESG is likely a valuable alternative for patients who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do not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comply with HIDLT.</w:t>
      </w:r>
    </w:p>
    <w:p w14:paraId="6E77648B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755921CD" w14:textId="77777777" w:rsidR="00BA14F1" w:rsidRPr="004646C5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4646C5"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  <w:t>Conclusion</w:t>
      </w:r>
    </w:p>
    <w:p w14:paraId="7772B8AB" w14:textId="2A0CC05E" w:rsidR="00BA14F1" w:rsidRPr="00A64FAC" w:rsidRDefault="00BA14F1" w:rsidP="004646C5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Current evidence, summarized in Table 1, indicate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ESG offer</w:t>
      </w:r>
      <w:r w:rsidR="00E9170F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efficacy in weight loss even if inferior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LSG, and has lower risks of adverse events compared to surgical interventions and IGB within one-year follow-up. Moreover, ESG may be the ideal weight control strategy for patients who have poor adherence to behavioral interventions. Even so, </w:t>
      </w:r>
      <w:r w:rsidR="005E33C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reasons for 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trend</w:t>
      </w:r>
      <w:r w:rsidR="005E33C9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E33C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decreased weight loss effect with time and post-procedure weight regain in ESG still remain undetermined. As gut hormones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20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cytokines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adipokines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hepatokines</w:t>
      </w:r>
      <w:proofErr w:type="spell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and bile acids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play important roles in promoting weight loss, ameliorating type 2 diabetes mellitus and improving fatty liver disease, basic mechanistic insights into EBT, including ESG, are </w:t>
      </w:r>
      <w:r w:rsidR="00DA006D" w:rsidRPr="00A64FAC">
        <w:rPr>
          <w:rFonts w:ascii="Book Antiqua" w:hAnsi="Book Antiqua" w:cs="Times New Roman"/>
          <w:color w:val="000000" w:themeColor="text1"/>
          <w:sz w:val="24"/>
          <w:szCs w:val="24"/>
        </w:rPr>
        <w:t>required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Since </w:t>
      </w:r>
      <w:r w:rsidR="00DA006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Y-Y paradox exists between Caucasians and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Asians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bookmarkStart w:id="26" w:name="_GoBack"/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bookmarkEnd w:id="2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direct extrapolation of the results obtained from Western countries may not be proper in Eastern countries. Thus, analyses of the possible effects of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race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ethnicity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comorbidities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weight loss outcomes in each cohort become more and more imperative. </w:t>
      </w:r>
      <w:r w:rsidR="00966ABA" w:rsidRPr="00A64FAC">
        <w:rPr>
          <w:rFonts w:ascii="Book Antiqua" w:hAnsi="Book Antiqua" w:cs="Times New Roman"/>
          <w:color w:val="000000" w:themeColor="text1"/>
          <w:sz w:val="24"/>
          <w:szCs w:val="24"/>
        </w:rPr>
        <w:t>With very limited reports and very short follow-ups, 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his novel endoscopic technique</w:t>
      </w:r>
      <w:r w:rsidR="00DA006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obesity treatment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ESG, </w:t>
      </w:r>
      <w:r w:rsidR="005F3567" w:rsidRPr="00A64FAC">
        <w:rPr>
          <w:rFonts w:ascii="Book Antiqua" w:hAnsi="Book Antiqua" w:cs="Times New Roman"/>
          <w:color w:val="000000" w:themeColor="text1"/>
          <w:sz w:val="24"/>
          <w:szCs w:val="24"/>
        </w:rPr>
        <w:t>will require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 large-scale randomized controlled trials</w:t>
      </w:r>
      <w:r w:rsidR="005F3567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order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validate </w:t>
      </w:r>
      <w:r w:rsidR="005F3567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clinical efficacy and safety in long-term follow-up.</w:t>
      </w:r>
    </w:p>
    <w:p w14:paraId="07237A6D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eastAsia="zh-CN"/>
        </w:rPr>
      </w:pPr>
    </w:p>
    <w:bookmarkEnd w:id="23"/>
    <w:bookmarkEnd w:id="24"/>
    <w:p w14:paraId="771C5646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References</w:t>
      </w:r>
    </w:p>
    <w:p w14:paraId="14C76FB1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bookmarkStart w:id="27" w:name="OLE_LINK235"/>
      <w:bookmarkStart w:id="28" w:name="OLE_LINK236"/>
      <w:bookmarkStart w:id="29" w:name="OLE_LINK684"/>
      <w:bookmarkStart w:id="30" w:name="OLE_LINK44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Flegal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KM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Kit BK,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Orpana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Graubard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BI. Association of all-cause mortality with overweight and obesity using standard body mass index categories: a systematic review and meta-analysis.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JAMA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309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71-82 [PMID: 23280227 DOI: 10.1001/jama.2012.113905]</w:t>
      </w:r>
    </w:p>
    <w:p w14:paraId="4214A60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Wu WC,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Lee WJ, Yeh C, Chen SC, Chen CY. Impacts of Different Modes of Bariatric Surgery on Plasma Levels of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Hepassocin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in Patients with Diabetes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Mellitus. </w:t>
      </w:r>
      <w:r w:rsidRPr="004615D9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Reports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24 [DOI: 10.3390/reports2040024]</w:t>
      </w:r>
    </w:p>
    <w:p w14:paraId="2D323462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Welbourn R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Pournaras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DJ, Dixon 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Higa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Kinsman R,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Ottosson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Ramos A, van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Wagensveld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Walton P, Weiner R, Zundel N. Bariatric Surgery Worldwide: Baseline Demographic Description and One-Year Outcomes from the Second IFSO Global Registry Report 2013-2015.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313-322 [PMID: 28822052 DOI: 10.1007/s11695-017-2845-9]</w:t>
      </w:r>
    </w:p>
    <w:p w14:paraId="7A10654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Hill C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Endoluminal weight loss and metabolic therapies: current and future techniques.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Ann N Y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Acad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Sci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1411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36-52 [PMID: 28884820 DOI: 10.1111/nyas.13441]</w:t>
      </w:r>
    </w:p>
    <w:p w14:paraId="620A07D1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Abu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Dayyeh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BK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Rajan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Gostout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CJ. Endoscopic sleeve gastroplasty: a potential endoscopic alternative to surgical sleeve gastrectomy for treatment of obesity.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530-535 [PMID: 23711556 DOI: 10.1016/j.gie.2013.04.197]</w:t>
      </w:r>
    </w:p>
    <w:p w14:paraId="35DAD19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Lopez-Nava 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Galvão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MP, da Bautista-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Castaño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Jimenez A, De Grado T, Fernandez-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Corbelle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JP. Endoscopic sleeve gastroplasty for the treatment of obesity.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Endoscopy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47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449-452 [PMID: 25380508 DOI: 10.1055/s-0034-1390766]</w:t>
      </w:r>
    </w:p>
    <w:p w14:paraId="26A76094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Lopez-Nava 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Sharaiha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RZ, Vargas EJ,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Bazerbachi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Manoel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GN, Bautista-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Castaño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Acosta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Topazian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MD, Mundi MS,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Kumta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Kahaleh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Herr AM, Shukla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Aronne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Gostout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CJ, Abu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Dayyeh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BK. Endoscopic Sleeve Gastroplasty for Obesity: a Multicenter Study of 248 Patients with 24 Months Follow-Up.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27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2649-2655 [PMID: 28451929 DOI: 10.1007/s11695-017-2693-7]</w:t>
      </w:r>
    </w:p>
    <w:p w14:paraId="7E30D59E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Sartoretto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Sui Z, Hill C, Dunlap M, Rivera AR,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Marinos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Wilson E,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(ESG) Is a Reproducible and Effective Endoscopic Bariatric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Therapy Suitable for Widespread Clinical Adoption: a Large, International Multicenter Study.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1812-1821 [PMID: 29450845 DOI: 10.1007/s11695-018-3135-x]</w:t>
      </w:r>
    </w:p>
    <w:p w14:paraId="3280160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9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Novikov AA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Afaneh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Saumoy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Parra V, Shukla A, Dakin GF, Pomp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Dawod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Shah 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Aronne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Sharaiha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RZ. Endoscopic Sleeve Gastroplasty, Laparoscopic Sleeve Gastrectomy, and Laparoscopic Band for Weight Loss: How Do They Compare?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267-273 [PMID: 29110192 DOI: 10.1007/s11605-017-3615-7]</w:t>
      </w:r>
    </w:p>
    <w:p w14:paraId="76D98EF6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Adam A, Schweitzer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Ajayi T, Dunlap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Badurdeen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DS, Hill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Paranji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Lalezari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versus laparoscopic sleeve gastrectomy: a case-matched study.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89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782-788 [PMID: 30148991 DOI: 10.1016/j.gie.2018.08.030]</w:t>
      </w:r>
    </w:p>
    <w:p w14:paraId="134E68B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Adam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Badurdeen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DS, Hill C, Agnihotri A, Dunlap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Simsek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versus intragastric balloon insertion: efficacy, durability, and safety.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Endoscopy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532-539 [PMID: 30841009 DOI: 10.1055/a-0852-3441]</w:t>
      </w:r>
    </w:p>
    <w:p w14:paraId="4213AC9D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Hill C, Adam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Dunlap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Badurdeen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Koller K,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Bunyard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Frutchey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Al-Grain H, Kahan 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Hedjoudje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versus high-intensity diet and lifestyle therapy: a case-matched study.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2020;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342-349.e1 [PMID: 31568769 DOI: 10.1016/j.gie.2019.09.029]</w:t>
      </w:r>
    </w:p>
    <w:p w14:paraId="07D1DA1B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Benaiges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D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Más-Lorenzo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Goday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Ramon JM,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Chillarón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JJ, Pedro-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Botet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Flores-Le Roux JA. Laparoscopic sleeve gastrectomy: More than a restrictive bariatric surgery procedure?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World J Gastroenterol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11804-11814 [PMID: 26557004 DOI: 10.3748/wjg.v21.i41.11804]</w:t>
      </w:r>
    </w:p>
    <w:p w14:paraId="18A8F3D6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Fiorillo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Quero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Vix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Guerriero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Pizzicannella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Lapergola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D'Urso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Swanstrom L, Mutter D,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Dallemagne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Perretta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6-Month Gastrointestinal Quality of Life (QoL) Results after Endoscopic Sleeve Gastroplasty and Laparoscopic Sleeve Gastrectomy: A Propensity Score Analysis.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2020 [PMID: 31965488 DOI: 10.1007/s11695-020-04419-1]</w:t>
      </w:r>
    </w:p>
    <w:p w14:paraId="249F0ACC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ASGE Bariatric Endoscopy Task Force and ASGE Technology Committee.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Abu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Dayyeh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BK, Kumar 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Edmundowicz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Jonnalagadda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Larsen M, Sullivan S, Thompson CC, Banerjee S. ASGE Bariatric Endoscopy Task Force systematic review and meta-analysis assessing the ASGE PIVI thresholds for adopting endoscopic bariatric therapies.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425-38.e5 [PMID: 26232362 DOI: 10.1016/j.gie.2015.03.1964]</w:t>
      </w:r>
    </w:p>
    <w:p w14:paraId="046DF47A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Genco 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López-Nava G,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Wahlen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Maselli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Cipriano M, Sanchez MM, Jacobs C, Lorenzo M. Multi-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centre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European experience with intragastric balloon in overweight populations: 13 years of experience.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23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515-521 [PMID: 23224509 DOI: 10.1007/s11695-012-0829-3]</w:t>
      </w:r>
    </w:p>
    <w:p w14:paraId="0948A0EC" w14:textId="58D6EBAF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17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Clinical Guidelines on the Identification, Evaluation, and Treatment of Overweight and Obesity in Adults--The Evidence Report. National Institutes of Health.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Res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 Suppl 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51S-209S [PMID: 9813653]</w:t>
      </w:r>
    </w:p>
    <w:p w14:paraId="425244D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Dombrowski SU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Knittle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Avenell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Araújo-Soares V,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Sniehotta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FF. Long term maintenance of weight loss with non-surgical interventions in obese adults: systematic review and meta-analyses of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controlled trials.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BMJ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g2646 [PMID: 25134100 DOI: 10.1136/bmj.g2646]</w:t>
      </w:r>
    </w:p>
    <w:p w14:paraId="6927D46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19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WJ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Chen CY, Chong K, Lee YC, Chen SC, Lee SD. Changes in postprandial gut hormones after metabolic surgery: a comparison of gastric bypass and sleeve gastrectomy.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Surg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Relat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Dis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683-690 [PMID: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21996600 DOI: 10.1016/j.soard.2011.07.009]</w:t>
      </w:r>
    </w:p>
    <w:p w14:paraId="380C6DA0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WJ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Chen CY, Ser KH, Chong K, Chen SC, Lee PC, Liao YD, Lee SD. Differential influences of gastric bypass and sleeve gastrectomy on plasma nesfatin-1 and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obestatin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levels in patients with type 2 diabetes mellitus.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Pharm Des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19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5830-5835 [PMID: 23768444 DOI: 10.2174/13816128113198880010]</w:t>
      </w:r>
    </w:p>
    <w:p w14:paraId="4FD676C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 CY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Lee WJ, Asakawa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Fujitsuka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Chong K, Chen SC, Lee SD, Inui A. Insulin secretion and interleukin-1β dependent mechanisms in human diabetes remission after metabolic surgery.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Med Chem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20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2374-2388 [PMID: 23531221 DOI: 10.2174/0929867311320180008]</w:t>
      </w:r>
    </w:p>
    <w:p w14:paraId="7197A07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 YC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Inui A, Chang ES, Chen SC, Lee WJ, Chen CY. Comparison of gut hormones and adipokines stimulated by glucagon test among patients with type II diabetes mellitus after metabolic surgery.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Neuropeptides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55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39-45 [PMID: 26621498 DOI: 10.1016/j.npep.2015.11.002]</w:t>
      </w:r>
    </w:p>
    <w:p w14:paraId="60F3A57C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23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Huang HH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Yeh C, Chen JC, Lee TH, Chen SC, Lee WJ, Chen CY. Does bariatric surgery influence plasma levels of fetuin-A and leukocyte cell-derived chemotaxin-2 in patients with type 2 diabetes mellitus?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PeerJ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e4884 [PMID: 29910974 DOI: 10.7717/peerj.4884]</w:t>
      </w:r>
    </w:p>
    <w:p w14:paraId="7E205EFC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Huang HH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Lee WJ, Chen SC, Chen TF, Lee SD, Chen CY. Bile Acid and Fibroblast Growth Factor 19 Regulation in Obese Diabetics, and Non-Alcoholic Fatty Liver Disease after Sleeve Gastrectomy.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Clin Med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[PMID: 31181641 DOI: 10.3390/jcm8060815]</w:t>
      </w:r>
    </w:p>
    <w:p w14:paraId="3AE8DAB0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25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 CY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Tsai CY. From endocrine to rheumatism: do gut hormones play roles in rheumatoid arthritis?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Rheumatology (Oxford)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53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205-212 [PMID: 23882111 DOI: 10.1093/rheumatology/ket255]</w:t>
      </w:r>
    </w:p>
    <w:p w14:paraId="42AB338F" w14:textId="77777777" w:rsidR="003D2E02" w:rsidRDefault="003D2E02">
      <w:pPr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eastAsia="zh-CN"/>
        </w:rPr>
        <w:br w:type="page"/>
      </w:r>
    </w:p>
    <w:p w14:paraId="5753ACC1" w14:textId="77777777" w:rsidR="003D2E02" w:rsidRPr="003D2E02" w:rsidRDefault="003D2E02" w:rsidP="003D2E02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l-GR"/>
        </w:rPr>
      </w:pPr>
      <w:bookmarkStart w:id="31" w:name="_Hlk27143351"/>
      <w:r w:rsidRPr="003D2E02">
        <w:rPr>
          <w:rFonts w:ascii="Book Antiqua" w:hAnsi="Book Antiqua" w:cs="Times New Roman"/>
          <w:b/>
          <w:sz w:val="24"/>
          <w:szCs w:val="24"/>
          <w:lang w:val="el-GR"/>
        </w:rPr>
        <w:lastRenderedPageBreak/>
        <w:t>Footnotes</w:t>
      </w:r>
    </w:p>
    <w:bookmarkEnd w:id="31"/>
    <w:p w14:paraId="343DAE28" w14:textId="6B8C6EDD" w:rsidR="00AA5BF0" w:rsidRDefault="00AA5BF0" w:rsidP="00AA5BF0">
      <w:pPr>
        <w:pStyle w:val="12"/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</w:pPr>
      <w:r w:rsidRPr="00A64FAC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 w:eastAsia="zh-CN"/>
        </w:rPr>
        <w:t xml:space="preserve">Conflicts of interest statement: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Jiunn-Wei Wang </w:t>
      </w:r>
      <w:r w:rsidRPr="00A64FAC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 xml:space="preserve">and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Chih-Yen Chen</w:t>
      </w:r>
      <w:r w:rsidRPr="00A64FAC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 xml:space="preserve"> have no potential conflicts of interest to declare.</w:t>
      </w:r>
    </w:p>
    <w:p w14:paraId="0585FFBC" w14:textId="77777777" w:rsidR="009A5A60" w:rsidRDefault="009A5A60" w:rsidP="00AA5BF0">
      <w:pPr>
        <w:pStyle w:val="12"/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</w:pPr>
    </w:p>
    <w:p w14:paraId="6AF0E67D" w14:textId="77777777" w:rsidR="003D2E02" w:rsidRPr="003D2E02" w:rsidRDefault="003D2E02" w:rsidP="003D2E02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bookmarkStart w:id="32" w:name="_Hlk29216443"/>
      <w:bookmarkStart w:id="33" w:name="_Hlk27570239"/>
      <w:bookmarkStart w:id="34" w:name="_Hlk27143403"/>
      <w:bookmarkStart w:id="35" w:name="_Hlk28272061"/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 xml:space="preserve">Open-Access: </w:t>
      </w:r>
      <w:r w:rsidRPr="003D2E02">
        <w:rPr>
          <w:rFonts w:ascii="Book Antiqua" w:eastAsia="等线" w:hAnsi="Book Antiqua" w:cs="Times New Roman"/>
          <w:color w:val="000000"/>
          <w:kern w:val="2"/>
          <w:sz w:val="24"/>
          <w:lang w:eastAsia="zh-CN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3D2E02">
        <w:rPr>
          <w:rFonts w:ascii="Book Antiqua" w:eastAsia="等线" w:hAnsi="Book Antiqua" w:cs="Times New Roman"/>
          <w:color w:val="000000"/>
          <w:kern w:val="2"/>
          <w:sz w:val="24"/>
          <w:lang w:eastAsia="zh-CN"/>
        </w:rPr>
        <w:t>NonCommercial</w:t>
      </w:r>
      <w:proofErr w:type="spellEnd"/>
      <w:r w:rsidRPr="003D2E02">
        <w:rPr>
          <w:rFonts w:ascii="Book Antiqua" w:eastAsia="等线" w:hAnsi="Book Antiqua" w:cs="Times New Roman"/>
          <w:color w:val="000000"/>
          <w:kern w:val="2"/>
          <w:sz w:val="24"/>
          <w:lang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6C729C5" w14:textId="77777777" w:rsidR="003D2E02" w:rsidRPr="003D2E02" w:rsidRDefault="003D2E02" w:rsidP="003D2E02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GB" w:eastAsia="zh-CN"/>
        </w:rPr>
      </w:pPr>
    </w:p>
    <w:p w14:paraId="119A34D3" w14:textId="25C9E8E4" w:rsidR="003D2E02" w:rsidRPr="003D2E02" w:rsidRDefault="003D2E02" w:rsidP="003D2E02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sz w:val="24"/>
          <w:szCs w:val="24"/>
          <w:lang w:val="en-GB" w:eastAsia="zh-CN"/>
        </w:rPr>
      </w:pPr>
      <w:r w:rsidRPr="003D2E02">
        <w:rPr>
          <w:rFonts w:ascii="Book Antiqua" w:hAnsi="Book Antiqua" w:cs="宋体"/>
          <w:b/>
          <w:sz w:val="24"/>
          <w:szCs w:val="24"/>
          <w:lang w:val="en-GB"/>
        </w:rPr>
        <w:t>Manuscript</w:t>
      </w:r>
      <w:r w:rsidRPr="003D2E02">
        <w:rPr>
          <w:rFonts w:ascii="Book Antiqua" w:hAnsi="Book Antiqua" w:cs="宋体" w:hint="eastAsia"/>
          <w:b/>
          <w:sz w:val="24"/>
          <w:szCs w:val="24"/>
          <w:lang w:val="en-GB" w:eastAsia="zh-CN"/>
        </w:rPr>
        <w:t xml:space="preserve"> </w:t>
      </w:r>
      <w:r w:rsidRPr="003D2E02">
        <w:rPr>
          <w:rFonts w:ascii="Book Antiqua" w:hAnsi="Book Antiqua" w:cs="宋体"/>
          <w:b/>
          <w:sz w:val="24"/>
          <w:szCs w:val="24"/>
          <w:lang w:val="en-GB"/>
        </w:rPr>
        <w:t>source:</w:t>
      </w:r>
      <w:bookmarkEnd w:id="32"/>
      <w:r w:rsidRPr="003D2E02">
        <w:rPr>
          <w:rFonts w:ascii="Book Antiqua" w:hAnsi="Book Antiqua" w:cs="宋体" w:hint="eastAsia"/>
          <w:sz w:val="24"/>
          <w:szCs w:val="24"/>
          <w:lang w:val="en-GB" w:eastAsia="zh-CN"/>
        </w:rPr>
        <w:t xml:space="preserve"> </w:t>
      </w:r>
      <w:bookmarkStart w:id="36" w:name="_Hlk28276239"/>
      <w:r w:rsidRPr="003D2E02">
        <w:rPr>
          <w:rFonts w:ascii="Book Antiqua" w:hAnsi="Book Antiqua" w:cs="宋体"/>
          <w:sz w:val="24"/>
          <w:szCs w:val="24"/>
          <w:lang w:val="en-GB"/>
        </w:rPr>
        <w:t>Invited</w:t>
      </w:r>
      <w:r w:rsidRPr="003D2E02">
        <w:rPr>
          <w:rFonts w:ascii="Book Antiqua" w:hAnsi="Book Antiqua" w:cs="宋体" w:hint="eastAsia"/>
          <w:sz w:val="24"/>
          <w:szCs w:val="24"/>
          <w:lang w:val="en-GB" w:eastAsia="zh-CN"/>
        </w:rPr>
        <w:t xml:space="preserve"> </w:t>
      </w:r>
      <w:r w:rsidRPr="003D2E02">
        <w:rPr>
          <w:rFonts w:ascii="Book Antiqua" w:hAnsi="Book Antiqua" w:cs="宋体"/>
          <w:sz w:val="24"/>
          <w:szCs w:val="24"/>
          <w:lang w:val="en-GB"/>
        </w:rPr>
        <w:t>manuscript</w:t>
      </w:r>
      <w:bookmarkEnd w:id="36"/>
    </w:p>
    <w:bookmarkEnd w:id="33"/>
    <w:p w14:paraId="5C1A9A8D" w14:textId="77777777" w:rsidR="00CD48A5" w:rsidRDefault="00CD48A5" w:rsidP="00CD48A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highlight w:val="yellow"/>
        </w:rPr>
      </w:pPr>
    </w:p>
    <w:p w14:paraId="3D2F65A1" w14:textId="3F87371C" w:rsidR="00CD48A5" w:rsidRPr="00CD48A5" w:rsidRDefault="00CD48A5" w:rsidP="00CD48A5">
      <w:pPr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val="el-GR" w:eastAsia="zh-CN"/>
        </w:rPr>
      </w:pPr>
      <w:r w:rsidRPr="00CD48A5"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val="el-GR"/>
        </w:rPr>
        <w:t>Corresponding Author's Membership in Professional Societies</w:t>
      </w:r>
      <w:r w:rsidRPr="00CD48A5">
        <w:rPr>
          <w:rFonts w:ascii="Book Antiqua" w:eastAsia="等线" w:hAnsi="Book Antiqua" w:cs="Times New Roman" w:hint="eastAsia"/>
          <w:b/>
          <w:bCs/>
          <w:color w:val="000000"/>
          <w:sz w:val="24"/>
          <w:szCs w:val="24"/>
          <w:lang w:val="el-GR" w:eastAsia="zh-CN"/>
        </w:rPr>
        <w:t>:</w:t>
      </w:r>
      <w:r w:rsidRPr="00CD48A5"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val="el-GR" w:eastAsia="zh-CN"/>
        </w:rPr>
        <w:t xml:space="preserve"> </w:t>
      </w:r>
      <w:r w:rsidRPr="00CD48A5">
        <w:rPr>
          <w:rFonts w:ascii="Book Antiqua" w:hAnsi="Book Antiqua" w:cs="Times New Roman"/>
          <w:color w:val="000000" w:themeColor="text1"/>
          <w:sz w:val="24"/>
          <w:szCs w:val="24"/>
        </w:rPr>
        <w:t>Chinese Taipei Society for the Study of Obesity; World Health Organization-Strategic Initiative for Developing Capacity in Ethical Review/Forum for Ethical Review Committees in the Asian and Western Pacific Region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.</w:t>
      </w:r>
    </w:p>
    <w:p w14:paraId="4758A775" w14:textId="77777777" w:rsidR="003D2E02" w:rsidRPr="00CD48A5" w:rsidRDefault="003D2E02" w:rsidP="003D2E02">
      <w:pPr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eastAsia="zh-CN"/>
        </w:rPr>
      </w:pPr>
    </w:p>
    <w:p w14:paraId="2F1D02DB" w14:textId="27766CAA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bookmarkStart w:id="37" w:name="_Hlk29216459"/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>Peer-review started: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484392" w:rsidRPr="003D2E02">
        <w:rPr>
          <w:rFonts w:ascii="Book Antiqua" w:hAnsi="Book Antiqua" w:cs="Times New Roman"/>
          <w:sz w:val="24"/>
          <w:szCs w:val="24"/>
          <w:lang w:val="en-GB" w:eastAsia="zh-CN"/>
        </w:rPr>
        <w:t>November</w:t>
      </w:r>
      <w:r w:rsidR="00484392"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>1</w:t>
      </w:r>
      <w:r w:rsidR="00484392">
        <w:rPr>
          <w:rFonts w:ascii="Book Antiqua" w:hAnsi="Book Antiqua" w:cs="Times New Roman"/>
          <w:sz w:val="24"/>
          <w:szCs w:val="24"/>
          <w:lang w:val="en-GB" w:eastAsia="zh-CN"/>
        </w:rPr>
        <w:t>2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>, 201</w:t>
      </w:r>
      <w:r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>9</w:t>
      </w:r>
      <w:r w:rsidRPr="003D2E0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07034CC0" w14:textId="41C4A8CE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>First decision: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484392" w:rsidRPr="003D2E02">
        <w:rPr>
          <w:rFonts w:ascii="Book Antiqua" w:hAnsi="Book Antiqua" w:cs="Times New Roman"/>
          <w:sz w:val="24"/>
          <w:szCs w:val="24"/>
          <w:lang w:val="en-GB" w:eastAsia="zh-CN"/>
        </w:rPr>
        <w:t>February</w:t>
      </w:r>
      <w:r w:rsidR="00484392"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484392">
        <w:rPr>
          <w:rFonts w:ascii="Book Antiqua" w:hAnsi="Book Antiqua" w:cs="Times New Roman"/>
          <w:sz w:val="24"/>
          <w:szCs w:val="24"/>
          <w:lang w:val="en-GB" w:eastAsia="zh-CN"/>
        </w:rPr>
        <w:t>24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 xml:space="preserve">, </w:t>
      </w:r>
      <w:r w:rsidR="006C373C">
        <w:rPr>
          <w:rFonts w:ascii="Book Antiqua" w:hAnsi="Book Antiqua" w:cs="Times New Roman"/>
          <w:sz w:val="24"/>
          <w:szCs w:val="24"/>
          <w:lang w:val="en-GB" w:eastAsia="zh-CN"/>
        </w:rPr>
        <w:t>2020</w:t>
      </w:r>
    </w:p>
    <w:p w14:paraId="24A41647" w14:textId="70A203F3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>Article in press:</w:t>
      </w:r>
      <w:r w:rsidRPr="003D2E0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End w:id="37"/>
    </w:p>
    <w:p w14:paraId="45F761EE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14:paraId="3E74D3E2" w14:textId="77A5E00C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l-GR"/>
        </w:rPr>
      </w:pPr>
      <w:bookmarkStart w:id="38" w:name="_Hlk29216517"/>
      <w:r w:rsidRPr="003D2E02">
        <w:rPr>
          <w:rFonts w:ascii="Book Antiqua" w:hAnsi="Book Antiqua" w:cs="Helvetica"/>
          <w:b/>
          <w:sz w:val="24"/>
          <w:szCs w:val="24"/>
          <w:lang w:val="el-GR"/>
        </w:rPr>
        <w:t xml:space="preserve">Specialty type: </w:t>
      </w:r>
      <w:r w:rsidR="00FE09BA" w:rsidRPr="00FE09BA">
        <w:rPr>
          <w:rFonts w:ascii="Book Antiqua" w:eastAsia="微软雅黑" w:hAnsi="Book Antiqua" w:cs="宋体"/>
          <w:sz w:val="24"/>
          <w:szCs w:val="24"/>
          <w:lang w:val="el-GR"/>
        </w:rPr>
        <w:t>Gastroenterology and hepatology</w:t>
      </w:r>
    </w:p>
    <w:p w14:paraId="22F15893" w14:textId="31887BA8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b/>
          <w:sz w:val="24"/>
          <w:szCs w:val="24"/>
          <w:lang w:val="el-GR"/>
        </w:rPr>
        <w:t xml:space="preserve">Country of origin: </w:t>
      </w:r>
      <w:r w:rsidR="00892086" w:rsidRPr="00892086">
        <w:rPr>
          <w:rFonts w:ascii="Book Antiqua" w:hAnsi="Book Antiqua" w:cs="Helvetica"/>
          <w:bCs/>
          <w:sz w:val="24"/>
          <w:szCs w:val="24"/>
          <w:lang w:val="el-GR"/>
        </w:rPr>
        <w:t>Taiwan</w:t>
      </w:r>
    </w:p>
    <w:p w14:paraId="1FDFC038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l-GR"/>
        </w:rPr>
      </w:pPr>
      <w:r w:rsidRPr="003D2E02">
        <w:rPr>
          <w:rFonts w:ascii="Book Antiqua" w:hAnsi="Book Antiqua" w:cs="Helvetica"/>
          <w:b/>
          <w:sz w:val="24"/>
          <w:szCs w:val="24"/>
          <w:lang w:val="el-GR"/>
        </w:rPr>
        <w:t>Peer-review report classification</w:t>
      </w:r>
    </w:p>
    <w:p w14:paraId="65DDDC63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A (Excellent): </w:t>
      </w:r>
      <w:r w:rsidRPr="003D2E02">
        <w:rPr>
          <w:rFonts w:ascii="Book Antiqua" w:hAnsi="Book Antiqua" w:cs="Helvetica"/>
          <w:sz w:val="24"/>
          <w:szCs w:val="24"/>
          <w:lang w:val="el-GR" w:eastAsia="zh-CN"/>
        </w:rPr>
        <w:t>0</w:t>
      </w:r>
    </w:p>
    <w:p w14:paraId="0B5CBD13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B (Very good): </w:t>
      </w:r>
      <w:r w:rsidRPr="003D2E02">
        <w:rPr>
          <w:rFonts w:ascii="Book Antiqua" w:hAnsi="Book Antiqua" w:cs="Helvetica" w:hint="eastAsia"/>
          <w:sz w:val="24"/>
          <w:szCs w:val="24"/>
          <w:lang w:val="el-GR" w:eastAsia="zh-CN"/>
        </w:rPr>
        <w:t>0</w:t>
      </w:r>
    </w:p>
    <w:p w14:paraId="7FCE4615" w14:textId="7856D23E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C (Good): </w:t>
      </w:r>
      <w:r w:rsidR="00484392">
        <w:rPr>
          <w:rFonts w:ascii="Book Antiqua" w:hAnsi="Book Antiqua" w:cs="Helvetica"/>
          <w:sz w:val="24"/>
          <w:szCs w:val="24"/>
          <w:lang w:val="el-GR" w:eastAsia="zh-CN"/>
        </w:rPr>
        <w:t>C</w:t>
      </w:r>
    </w:p>
    <w:p w14:paraId="27639F13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D (Fair): 0 </w:t>
      </w:r>
    </w:p>
    <w:p w14:paraId="33DA50BA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lastRenderedPageBreak/>
        <w:t>Grade E (Poor): 0</w:t>
      </w:r>
    </w:p>
    <w:bookmarkEnd w:id="38"/>
    <w:p w14:paraId="5957CB95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/>
          <w:noProof/>
          <w:sz w:val="24"/>
          <w:szCs w:val="24"/>
          <w:lang w:val="en-GB" w:eastAsia="zh-CN"/>
        </w:rPr>
      </w:pPr>
    </w:p>
    <w:p w14:paraId="1D1DC1BB" w14:textId="53D33E7E" w:rsidR="00AA5BF0" w:rsidRDefault="003D2E02" w:rsidP="003D2E02">
      <w:pPr>
        <w:widowControl w:val="0"/>
        <w:snapToGrid w:val="0"/>
        <w:spacing w:line="360" w:lineRule="auto"/>
        <w:ind w:right="120"/>
        <w:jc w:val="both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</w:pPr>
      <w:bookmarkStart w:id="39" w:name="_Hlk29216555"/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>P-Reviewer:</w:t>
      </w:r>
      <w:r w:rsidR="00484392" w:rsidRPr="00484392">
        <w:t xml:space="preserve"> </w:t>
      </w:r>
      <w:proofErr w:type="spellStart"/>
      <w:r w:rsidR="00484392" w:rsidRPr="00484392">
        <w:rPr>
          <w:rFonts w:ascii="Book Antiqua" w:hAnsi="Book Antiqua" w:cs="Courier New"/>
          <w:bCs/>
          <w:kern w:val="2"/>
          <w:sz w:val="24"/>
          <w:szCs w:val="24"/>
          <w:lang w:eastAsia="zh-CN"/>
        </w:rPr>
        <w:t>Fogli</w:t>
      </w:r>
      <w:proofErr w:type="spellEnd"/>
      <w:r w:rsidR="00484392" w:rsidRPr="00484392">
        <w:rPr>
          <w:rFonts w:ascii="Book Antiqua" w:hAnsi="Book Antiqua" w:cs="Courier New"/>
          <w:bCs/>
          <w:kern w:val="2"/>
          <w:sz w:val="24"/>
          <w:szCs w:val="24"/>
          <w:lang w:eastAsia="zh-CN"/>
        </w:rPr>
        <w:t xml:space="preserve"> L</w:t>
      </w:r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 xml:space="preserve"> S-Editor: </w:t>
      </w:r>
      <w:r w:rsidRPr="003D2E02">
        <w:rPr>
          <w:rFonts w:ascii="Book Antiqua" w:hAnsi="Book Antiqua" w:cs="Courier New" w:hint="eastAsia"/>
          <w:kern w:val="2"/>
          <w:sz w:val="24"/>
          <w:szCs w:val="24"/>
          <w:lang w:eastAsia="zh-CN"/>
        </w:rPr>
        <w:t>Wang YQ</w:t>
      </w:r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 xml:space="preserve"> L-Editor: E-Editor:</w:t>
      </w:r>
      <w:bookmarkEnd w:id="39"/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 xml:space="preserve"> </w:t>
      </w:r>
      <w:bookmarkEnd w:id="27"/>
      <w:bookmarkEnd w:id="28"/>
      <w:bookmarkEnd w:id="29"/>
      <w:bookmarkEnd w:id="30"/>
      <w:bookmarkEnd w:id="34"/>
      <w:bookmarkEnd w:id="35"/>
    </w:p>
    <w:p w14:paraId="6A1141E9" w14:textId="77777777" w:rsidR="009A5A60" w:rsidRPr="003D2E02" w:rsidRDefault="009A5A60" w:rsidP="003D2E02">
      <w:pPr>
        <w:widowControl w:val="0"/>
        <w:snapToGrid w:val="0"/>
        <w:spacing w:line="360" w:lineRule="auto"/>
        <w:ind w:right="120"/>
        <w:jc w:val="both"/>
        <w:rPr>
          <w:rFonts w:ascii="Book Antiqua" w:hAnsi="Book Antiqua" w:cs="Courier New"/>
          <w:b/>
          <w:kern w:val="2"/>
          <w:sz w:val="24"/>
          <w:szCs w:val="24"/>
          <w:lang w:eastAsia="zh-CN"/>
        </w:rPr>
      </w:pPr>
    </w:p>
    <w:p w14:paraId="1776BBCB" w14:textId="77777777" w:rsidR="009A5A60" w:rsidRDefault="009A5A60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sectPr w:rsidR="009A5A60" w:rsidSect="00904F0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78C97AD" w14:textId="55CC3E16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lastRenderedPageBreak/>
        <w:t>Table 1</w:t>
      </w:r>
      <w:r w:rsidR="003D2E02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t>Summary of comparison studies for weight control strategies</w:t>
      </w:r>
    </w:p>
    <w:tbl>
      <w:tblPr>
        <w:tblStyle w:val="a8"/>
        <w:tblW w:w="153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693"/>
        <w:gridCol w:w="1563"/>
        <w:gridCol w:w="1839"/>
        <w:gridCol w:w="1974"/>
        <w:gridCol w:w="2672"/>
        <w:gridCol w:w="2725"/>
      </w:tblGrid>
      <w:tr w:rsidR="00F51A47" w:rsidRPr="00A64FAC" w14:paraId="24135178" w14:textId="77777777" w:rsidTr="00F365A8">
        <w:trPr>
          <w:jc w:val="center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3B77E" w14:textId="6D66ACA4" w:rsidR="00BA14F1" w:rsidRPr="00A64FAC" w:rsidRDefault="00F365A8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 w:hint="eastAsia"/>
                <w:b/>
                <w:color w:val="000000" w:themeColor="text1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28F9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Type of study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7CE3F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Comparison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0F0A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Subject numbers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EFC3" w14:textId="5D29C05D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Length of follow-up (</w:t>
            </w:r>
            <w:proofErr w:type="spellStart"/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mo</w:t>
            </w:r>
            <w:proofErr w:type="spellEnd"/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F2B7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Weight loss efficacy (%TBWL)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3F62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Adverse event rate</w:t>
            </w:r>
          </w:p>
        </w:tc>
      </w:tr>
      <w:tr w:rsidR="00F51A47" w:rsidRPr="00A64FAC" w14:paraId="2FAE8CB6" w14:textId="77777777" w:rsidTr="00F365A8">
        <w:trPr>
          <w:jc w:val="center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14292B48" w14:textId="33E123CF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Novikov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[9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A6E35F6" w14:textId="5BD27769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-unmatched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4118D8D0" w14:textId="672098F5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LABG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7142711C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91 ESG/120 LSG/67 LAGB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14:paraId="1CFA3F4D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14:paraId="1179851A" w14:textId="309A693A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(29.28%) &gt; ESG (17.57%) &gt; LAGB (13.30%)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 xml:space="preserve"> &lt; 0.001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1419751D" w14:textId="2FA63F3A" w:rsidR="00BA14F1" w:rsidRPr="009A5A60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(9.17%) &gt; LAGB (8.96%) &gt; ESG (2.20%)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0.05</w:t>
            </w:r>
          </w:p>
        </w:tc>
      </w:tr>
      <w:tr w:rsidR="00F51A47" w:rsidRPr="00A64FAC" w14:paraId="2575D8F3" w14:textId="77777777" w:rsidTr="00F365A8">
        <w:trPr>
          <w:jc w:val="center"/>
        </w:trPr>
        <w:tc>
          <w:tcPr>
            <w:tcW w:w="1840" w:type="dxa"/>
            <w:vAlign w:val="center"/>
          </w:tcPr>
          <w:p w14:paraId="5658FE47" w14:textId="2D4B113D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Fayad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10]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2693" w:type="dxa"/>
            <w:vAlign w:val="center"/>
          </w:tcPr>
          <w:p w14:paraId="2F1FD3AB" w14:textId="5E276CAC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-matched</w:t>
            </w:r>
          </w:p>
        </w:tc>
        <w:tc>
          <w:tcPr>
            <w:tcW w:w="1563" w:type="dxa"/>
            <w:vAlign w:val="center"/>
          </w:tcPr>
          <w:p w14:paraId="730813D8" w14:textId="4E17D62F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LSG</w:t>
            </w:r>
          </w:p>
        </w:tc>
        <w:tc>
          <w:tcPr>
            <w:tcW w:w="1839" w:type="dxa"/>
            <w:vAlign w:val="center"/>
          </w:tcPr>
          <w:p w14:paraId="17EE45AD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54 ESG/83 LSG</w:t>
            </w:r>
          </w:p>
        </w:tc>
        <w:tc>
          <w:tcPr>
            <w:tcW w:w="1974" w:type="dxa"/>
            <w:vAlign w:val="center"/>
          </w:tcPr>
          <w:p w14:paraId="2AF3A93C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2" w:type="dxa"/>
            <w:vAlign w:val="center"/>
          </w:tcPr>
          <w:p w14:paraId="5F4D61D9" w14:textId="0A76ECA6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(23.6%) &gt; ESG (17.1%)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2725" w:type="dxa"/>
            <w:vAlign w:val="center"/>
          </w:tcPr>
          <w:p w14:paraId="0DA59C9D" w14:textId="36558909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(16.9%) &gt; ESG (5.2%)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0.05</w:t>
            </w:r>
          </w:p>
        </w:tc>
      </w:tr>
      <w:tr w:rsidR="00F51A47" w:rsidRPr="00A64FAC" w14:paraId="11D06F2C" w14:textId="77777777" w:rsidTr="00F365A8">
        <w:trPr>
          <w:jc w:val="center"/>
        </w:trPr>
        <w:tc>
          <w:tcPr>
            <w:tcW w:w="1840" w:type="dxa"/>
            <w:vAlign w:val="center"/>
          </w:tcPr>
          <w:p w14:paraId="5D896285" w14:textId="4CAB5CED" w:rsidR="0007118F" w:rsidRPr="009A5A60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Fiorillo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14]</w:t>
            </w:r>
            <w:r w:rsidR="009A5A60">
              <w:rPr>
                <w:rFonts w:ascii="Book Antiqua" w:hAnsi="Book Antiqua" w:cs="Times New Roman" w:hint="eastAsia"/>
                <w:noProof/>
                <w:color w:val="000000" w:themeColor="text1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A64FAC">
              <w:rPr>
                <w:rFonts w:ascii="Book Antiqua" w:eastAsiaTheme="minorEastAsia" w:hAnsi="Book Antiqua" w:cs="Times New Roman"/>
                <w:color w:val="000000" w:themeColor="text1"/>
                <w:sz w:val="24"/>
                <w:szCs w:val="24"/>
                <w:lang w:eastAsia="zh-TW"/>
              </w:rPr>
              <w:t xml:space="preserve">2020 </w:t>
            </w:r>
          </w:p>
        </w:tc>
        <w:tc>
          <w:tcPr>
            <w:tcW w:w="2693" w:type="dxa"/>
            <w:vAlign w:val="center"/>
          </w:tcPr>
          <w:p w14:paraId="7A955F74" w14:textId="2663CFCB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-matched</w:t>
            </w:r>
          </w:p>
        </w:tc>
        <w:tc>
          <w:tcPr>
            <w:tcW w:w="1563" w:type="dxa"/>
            <w:vAlign w:val="center"/>
          </w:tcPr>
          <w:p w14:paraId="4F7BEEDC" w14:textId="7A21AF3A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LSG</w:t>
            </w:r>
          </w:p>
        </w:tc>
        <w:tc>
          <w:tcPr>
            <w:tcW w:w="1839" w:type="dxa"/>
            <w:vAlign w:val="center"/>
          </w:tcPr>
          <w:p w14:paraId="6087425D" w14:textId="77777777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 ESG/23 LSG</w:t>
            </w:r>
          </w:p>
        </w:tc>
        <w:tc>
          <w:tcPr>
            <w:tcW w:w="1974" w:type="dxa"/>
            <w:vAlign w:val="center"/>
          </w:tcPr>
          <w:p w14:paraId="4009DED3" w14:textId="77777777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64FAC">
              <w:rPr>
                <w:rFonts w:ascii="Book Antiqua" w:eastAsiaTheme="minorEastAsia" w:hAnsi="Book Antiqua" w:cs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72" w:type="dxa"/>
            <w:vAlign w:val="center"/>
          </w:tcPr>
          <w:p w14:paraId="45246BCF" w14:textId="0F615B19" w:rsidR="0037791D" w:rsidRPr="00F51A47" w:rsidRDefault="0012016D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(18.8%) &gt; ESG (13.4%)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 0.03</w:t>
            </w:r>
          </w:p>
        </w:tc>
        <w:tc>
          <w:tcPr>
            <w:tcW w:w="2725" w:type="dxa"/>
            <w:vAlign w:val="center"/>
          </w:tcPr>
          <w:p w14:paraId="0013C746" w14:textId="5BBEF1B2" w:rsidR="0037791D" w:rsidRPr="00F51A47" w:rsidRDefault="004C0E20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GERD symptoms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1FE2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LSG 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(30.7%</w:t>
            </w:r>
            <w:r w:rsidR="007C1FE2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 &gt; ESG (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</w:t>
            </w:r>
            <w:r w:rsidR="007C1FE2"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F51A47" w:rsidRPr="00A64FAC" w14:paraId="653D7326" w14:textId="77777777" w:rsidTr="00F365A8">
        <w:trPr>
          <w:jc w:val="center"/>
        </w:trPr>
        <w:tc>
          <w:tcPr>
            <w:tcW w:w="1840" w:type="dxa"/>
            <w:vAlign w:val="center"/>
          </w:tcPr>
          <w:p w14:paraId="04459AF2" w14:textId="053BA5A0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Fayad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11]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2693" w:type="dxa"/>
            <w:vAlign w:val="center"/>
          </w:tcPr>
          <w:p w14:paraId="7D55DA45" w14:textId="2FEC577D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-matched</w:t>
            </w:r>
          </w:p>
        </w:tc>
        <w:tc>
          <w:tcPr>
            <w:tcW w:w="1563" w:type="dxa"/>
            <w:vAlign w:val="center"/>
          </w:tcPr>
          <w:p w14:paraId="61A38517" w14:textId="7CD5CF54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IGB</w:t>
            </w:r>
          </w:p>
        </w:tc>
        <w:tc>
          <w:tcPr>
            <w:tcW w:w="1839" w:type="dxa"/>
            <w:vAlign w:val="center"/>
          </w:tcPr>
          <w:p w14:paraId="5935AD14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58 ESG/47 IGB</w:t>
            </w:r>
          </w:p>
        </w:tc>
        <w:tc>
          <w:tcPr>
            <w:tcW w:w="1974" w:type="dxa"/>
            <w:vAlign w:val="center"/>
          </w:tcPr>
          <w:p w14:paraId="7B3DBD6A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2" w:type="dxa"/>
            <w:vAlign w:val="center"/>
          </w:tcPr>
          <w:p w14:paraId="1A70C8A4" w14:textId="6A3EA51E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ESG (21.3%) &gt; IGB (13.9%)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 0.005</w:t>
            </w:r>
          </w:p>
        </w:tc>
        <w:tc>
          <w:tcPr>
            <w:tcW w:w="2725" w:type="dxa"/>
            <w:vAlign w:val="center"/>
          </w:tcPr>
          <w:p w14:paraId="4061065A" w14:textId="00515BCD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IGB (17.0%) &gt; ESG (5.2%)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 0.048</w:t>
            </w:r>
          </w:p>
        </w:tc>
      </w:tr>
      <w:tr w:rsidR="00F51A47" w:rsidRPr="00A64FAC" w14:paraId="036BF1D6" w14:textId="77777777" w:rsidTr="00F365A8">
        <w:trPr>
          <w:jc w:val="center"/>
        </w:trPr>
        <w:tc>
          <w:tcPr>
            <w:tcW w:w="1840" w:type="dxa"/>
            <w:vAlign w:val="center"/>
          </w:tcPr>
          <w:p w14:paraId="01776B73" w14:textId="5F455778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Cheskin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[12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2693" w:type="dxa"/>
            <w:vAlign w:val="center"/>
          </w:tcPr>
          <w:p w14:paraId="5D61CACE" w14:textId="670F70E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-unmatched</w:t>
            </w:r>
          </w:p>
        </w:tc>
        <w:tc>
          <w:tcPr>
            <w:tcW w:w="1563" w:type="dxa"/>
            <w:vAlign w:val="center"/>
          </w:tcPr>
          <w:p w14:paraId="0BAE2B3D" w14:textId="0FF717BF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HIDLT</w:t>
            </w:r>
          </w:p>
        </w:tc>
        <w:tc>
          <w:tcPr>
            <w:tcW w:w="1839" w:type="dxa"/>
            <w:vAlign w:val="center"/>
          </w:tcPr>
          <w:p w14:paraId="33BD7F67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105 ESG/281 HIDLT</w:t>
            </w:r>
          </w:p>
        </w:tc>
        <w:tc>
          <w:tcPr>
            <w:tcW w:w="1974" w:type="dxa"/>
            <w:vAlign w:val="center"/>
          </w:tcPr>
          <w:p w14:paraId="07CD6DC2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2" w:type="dxa"/>
            <w:vAlign w:val="center"/>
          </w:tcPr>
          <w:p w14:paraId="4BC98C82" w14:textId="08E23CAE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ESG (20.6%) &gt; HIDLT (14.3%)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2725" w:type="dxa"/>
            <w:vAlign w:val="center"/>
          </w:tcPr>
          <w:p w14:paraId="0E202D06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ESG (4.8%) &gt; HIDLT (0.0%)</w:t>
            </w:r>
          </w:p>
        </w:tc>
      </w:tr>
    </w:tbl>
    <w:p w14:paraId="5F294A20" w14:textId="12D6A7A2" w:rsidR="00C22F53" w:rsidRPr="00A64FAC" w:rsidRDefault="00BA14F1" w:rsidP="00904F0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ESG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Endoscopic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sleeve gastroplasty;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GERD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Gastroesophageal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reflux disease; HIDLT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High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-intensity diet and lifestyle therapy; IGB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Intragastric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balloon; LAGB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Laparoscopic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adjustable gastric banding;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LSG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Laparoscopic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sleeve gastrectomy; %TBWL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Percent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total body weight loss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.</w:t>
      </w:r>
    </w:p>
    <w:sectPr w:rsidR="00C22F53" w:rsidRPr="00A64FAC" w:rsidSect="009A5A6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6232" w14:textId="77777777" w:rsidR="00B529CB" w:rsidRDefault="00B529CB"/>
  </w:endnote>
  <w:endnote w:type="continuationSeparator" w:id="0">
    <w:p w14:paraId="6A5E5E9A" w14:textId="77777777" w:rsidR="00B529CB" w:rsidRDefault="00B52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FEED" w14:textId="77777777" w:rsidR="00B529CB" w:rsidRDefault="00B529CB"/>
  </w:footnote>
  <w:footnote w:type="continuationSeparator" w:id="0">
    <w:p w14:paraId="21328570" w14:textId="77777777" w:rsidR="00B529CB" w:rsidRDefault="00B52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E7"/>
    <w:multiLevelType w:val="multilevel"/>
    <w:tmpl w:val="780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4ECD"/>
    <w:multiLevelType w:val="multilevel"/>
    <w:tmpl w:val="BE18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857BC"/>
    <w:multiLevelType w:val="hybridMultilevel"/>
    <w:tmpl w:val="385E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72FE"/>
    <w:multiLevelType w:val="hybridMultilevel"/>
    <w:tmpl w:val="3A1EFD86"/>
    <w:lvl w:ilvl="0" w:tplc="44442FD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A14F1"/>
    <w:rsid w:val="0001071E"/>
    <w:rsid w:val="00047C37"/>
    <w:rsid w:val="00050CF2"/>
    <w:rsid w:val="00056854"/>
    <w:rsid w:val="0007118F"/>
    <w:rsid w:val="00072FDF"/>
    <w:rsid w:val="00073505"/>
    <w:rsid w:val="00075EC7"/>
    <w:rsid w:val="000838F6"/>
    <w:rsid w:val="000A6E24"/>
    <w:rsid w:val="00105B8A"/>
    <w:rsid w:val="00113BE3"/>
    <w:rsid w:val="0012016D"/>
    <w:rsid w:val="00125705"/>
    <w:rsid w:val="0012595C"/>
    <w:rsid w:val="00136F96"/>
    <w:rsid w:val="00144A39"/>
    <w:rsid w:val="00152BEC"/>
    <w:rsid w:val="00207040"/>
    <w:rsid w:val="00217401"/>
    <w:rsid w:val="0023067A"/>
    <w:rsid w:val="00244521"/>
    <w:rsid w:val="00257435"/>
    <w:rsid w:val="00266341"/>
    <w:rsid w:val="00275A6B"/>
    <w:rsid w:val="00284A0B"/>
    <w:rsid w:val="002C2B8A"/>
    <w:rsid w:val="002D1C2E"/>
    <w:rsid w:val="002E4CD0"/>
    <w:rsid w:val="002E7FD8"/>
    <w:rsid w:val="00316D95"/>
    <w:rsid w:val="00316FDD"/>
    <w:rsid w:val="00332B12"/>
    <w:rsid w:val="00355649"/>
    <w:rsid w:val="003625AE"/>
    <w:rsid w:val="00377726"/>
    <w:rsid w:val="0037791D"/>
    <w:rsid w:val="003A6BFB"/>
    <w:rsid w:val="003D2E02"/>
    <w:rsid w:val="003D3B1B"/>
    <w:rsid w:val="00403D54"/>
    <w:rsid w:val="00424567"/>
    <w:rsid w:val="0043362A"/>
    <w:rsid w:val="004424C4"/>
    <w:rsid w:val="004469D3"/>
    <w:rsid w:val="00452600"/>
    <w:rsid w:val="004614BB"/>
    <w:rsid w:val="004615D9"/>
    <w:rsid w:val="004632DC"/>
    <w:rsid w:val="004646C5"/>
    <w:rsid w:val="00474E4B"/>
    <w:rsid w:val="00484392"/>
    <w:rsid w:val="004B2DDD"/>
    <w:rsid w:val="004C0E20"/>
    <w:rsid w:val="00513753"/>
    <w:rsid w:val="00513F40"/>
    <w:rsid w:val="0052413D"/>
    <w:rsid w:val="0052770B"/>
    <w:rsid w:val="00552199"/>
    <w:rsid w:val="0058047A"/>
    <w:rsid w:val="00583E03"/>
    <w:rsid w:val="00587C40"/>
    <w:rsid w:val="00593313"/>
    <w:rsid w:val="005A6BA5"/>
    <w:rsid w:val="005B6BDA"/>
    <w:rsid w:val="005C2C40"/>
    <w:rsid w:val="005C609C"/>
    <w:rsid w:val="005E33C9"/>
    <w:rsid w:val="005F3567"/>
    <w:rsid w:val="006072BE"/>
    <w:rsid w:val="0063423F"/>
    <w:rsid w:val="00650263"/>
    <w:rsid w:val="00656E2D"/>
    <w:rsid w:val="0067794F"/>
    <w:rsid w:val="006829D3"/>
    <w:rsid w:val="00694D5D"/>
    <w:rsid w:val="006A78A0"/>
    <w:rsid w:val="006B3379"/>
    <w:rsid w:val="006B7841"/>
    <w:rsid w:val="006C373C"/>
    <w:rsid w:val="006F483B"/>
    <w:rsid w:val="007023D3"/>
    <w:rsid w:val="00705F4C"/>
    <w:rsid w:val="00707C45"/>
    <w:rsid w:val="00715B7B"/>
    <w:rsid w:val="00723341"/>
    <w:rsid w:val="00741C43"/>
    <w:rsid w:val="007609E9"/>
    <w:rsid w:val="0079665D"/>
    <w:rsid w:val="007A0741"/>
    <w:rsid w:val="007A461E"/>
    <w:rsid w:val="007A55AB"/>
    <w:rsid w:val="007B6B94"/>
    <w:rsid w:val="007C1FE2"/>
    <w:rsid w:val="007F252E"/>
    <w:rsid w:val="0081494A"/>
    <w:rsid w:val="00821E00"/>
    <w:rsid w:val="008404FA"/>
    <w:rsid w:val="00892086"/>
    <w:rsid w:val="00904F0B"/>
    <w:rsid w:val="00907AEC"/>
    <w:rsid w:val="0096087B"/>
    <w:rsid w:val="00966ABA"/>
    <w:rsid w:val="0097203C"/>
    <w:rsid w:val="009A5A60"/>
    <w:rsid w:val="009C7FAA"/>
    <w:rsid w:val="009E7123"/>
    <w:rsid w:val="00A217BD"/>
    <w:rsid w:val="00A2406F"/>
    <w:rsid w:val="00A36244"/>
    <w:rsid w:val="00A64FAC"/>
    <w:rsid w:val="00A7180E"/>
    <w:rsid w:val="00A82356"/>
    <w:rsid w:val="00AA5BF0"/>
    <w:rsid w:val="00AD3C1D"/>
    <w:rsid w:val="00AF5584"/>
    <w:rsid w:val="00B31EBD"/>
    <w:rsid w:val="00B529CB"/>
    <w:rsid w:val="00BA14F1"/>
    <w:rsid w:val="00BF71A4"/>
    <w:rsid w:val="00C1388A"/>
    <w:rsid w:val="00C15B73"/>
    <w:rsid w:val="00C22F53"/>
    <w:rsid w:val="00C26738"/>
    <w:rsid w:val="00C27D3E"/>
    <w:rsid w:val="00C43274"/>
    <w:rsid w:val="00C439A8"/>
    <w:rsid w:val="00C518BF"/>
    <w:rsid w:val="00C6105D"/>
    <w:rsid w:val="00C66DFE"/>
    <w:rsid w:val="00C92AC5"/>
    <w:rsid w:val="00CA305B"/>
    <w:rsid w:val="00CA3A10"/>
    <w:rsid w:val="00CD48A5"/>
    <w:rsid w:val="00CE6BC7"/>
    <w:rsid w:val="00D13F20"/>
    <w:rsid w:val="00D32951"/>
    <w:rsid w:val="00D51291"/>
    <w:rsid w:val="00D60901"/>
    <w:rsid w:val="00D770CD"/>
    <w:rsid w:val="00D94099"/>
    <w:rsid w:val="00DA006D"/>
    <w:rsid w:val="00DA4393"/>
    <w:rsid w:val="00DF1179"/>
    <w:rsid w:val="00E2628C"/>
    <w:rsid w:val="00E3370A"/>
    <w:rsid w:val="00E75077"/>
    <w:rsid w:val="00E9170F"/>
    <w:rsid w:val="00E97326"/>
    <w:rsid w:val="00EA3447"/>
    <w:rsid w:val="00EE1F89"/>
    <w:rsid w:val="00EE5C15"/>
    <w:rsid w:val="00EF732D"/>
    <w:rsid w:val="00F14A19"/>
    <w:rsid w:val="00F365A8"/>
    <w:rsid w:val="00F51A47"/>
    <w:rsid w:val="00F569F2"/>
    <w:rsid w:val="00F6477E"/>
    <w:rsid w:val="00FC1580"/>
    <w:rsid w:val="00FC2826"/>
    <w:rsid w:val="00FC6960"/>
    <w:rsid w:val="00FE09BA"/>
    <w:rsid w:val="00FE45CF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1F8A"/>
  <w15:docId w15:val="{0F7BFF5B-93C0-4DE8-A224-1DAF242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F1"/>
    <w:rPr>
      <w:rFonts w:ascii="Calibri" w:eastAsia="宋体" w:hAnsi="Calibri" w:cs="Calibri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14F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A14F1"/>
    <w:pPr>
      <w:spacing w:before="332" w:after="166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14F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semiHidden/>
    <w:rsid w:val="00BA14F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BA14F1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en-US"/>
    </w:rPr>
  </w:style>
  <w:style w:type="character" w:customStyle="1" w:styleId="40">
    <w:name w:val="标题 4 字符"/>
    <w:basedOn w:val="a0"/>
    <w:link w:val="4"/>
    <w:uiPriority w:val="9"/>
    <w:rsid w:val="00BA14F1"/>
    <w:rPr>
      <w:rFonts w:ascii="Times New Roman" w:eastAsia="Times New Roman" w:hAnsi="Times New Roman" w:cs="Times New Roman"/>
      <w:b/>
      <w:bCs/>
      <w:color w:val="59331F"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BA14F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4">
    <w:name w:val="页眉 字符"/>
    <w:basedOn w:val="a0"/>
    <w:link w:val="a3"/>
    <w:uiPriority w:val="99"/>
    <w:rsid w:val="00BA14F1"/>
    <w:rPr>
      <w:rFonts w:eastAsia="宋体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BA14F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页脚 字符"/>
    <w:basedOn w:val="a0"/>
    <w:link w:val="a5"/>
    <w:uiPriority w:val="99"/>
    <w:rsid w:val="00BA14F1"/>
    <w:rPr>
      <w:rFonts w:eastAsia="宋体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BA14F1"/>
    <w:rPr>
      <w:color w:val="0563C1" w:themeColor="hyperlink"/>
      <w:u w:val="single"/>
    </w:rPr>
  </w:style>
  <w:style w:type="paragraph" w:customStyle="1" w:styleId="EndNoteBibliography">
    <w:name w:val="EndNote Bibliography"/>
    <w:basedOn w:val="a"/>
    <w:link w:val="EndNoteBibliographyChar"/>
    <w:rsid w:val="00BA14F1"/>
    <w:pPr>
      <w:spacing w:after="160"/>
    </w:pPr>
    <w:rPr>
      <w:rFonts w:ascii="Book Antiqua" w:hAnsi="Book Antiqua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BA14F1"/>
    <w:rPr>
      <w:rFonts w:ascii="Book Antiqua" w:eastAsia="宋体" w:hAnsi="Book Antiqua" w:cs="Times New Roman"/>
      <w:noProof/>
      <w:kern w:val="0"/>
      <w:lang w:eastAsia="en-US"/>
    </w:rPr>
  </w:style>
  <w:style w:type="table" w:styleId="a8">
    <w:name w:val="Table Grid"/>
    <w:basedOn w:val="a1"/>
    <w:uiPriority w:val="39"/>
    <w:rsid w:val="00BA14F1"/>
    <w:rPr>
      <w:rFonts w:eastAsia="宋体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BA14F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BA14F1"/>
    <w:pPr>
      <w:spacing w:line="259" w:lineRule="auto"/>
      <w:jc w:val="center"/>
    </w:pPr>
    <w:rPr>
      <w:rFonts w:ascii="Book Antiqua" w:hAnsi="Book Antiqua" w:cstheme="minorBidi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BA14F1"/>
    <w:rPr>
      <w:rFonts w:ascii="Book Antiqua" w:eastAsia="宋体" w:hAnsi="Book Antiqua"/>
      <w:noProof/>
      <w:kern w:val="0"/>
      <w:lang w:eastAsia="en-US"/>
    </w:rPr>
  </w:style>
  <w:style w:type="paragraph" w:styleId="aa">
    <w:name w:val="Body Text"/>
    <w:basedOn w:val="a"/>
    <w:link w:val="ab"/>
    <w:uiPriority w:val="1"/>
    <w:qFormat/>
    <w:rsid w:val="00BA14F1"/>
    <w:pPr>
      <w:widowControl w:val="0"/>
      <w:autoSpaceDE w:val="0"/>
      <w:autoSpaceDN w:val="0"/>
    </w:pPr>
    <w:rPr>
      <w:rFonts w:ascii="Book Antiqua" w:eastAsia="Book Antiqua" w:hAnsi="Book Antiqua" w:cs="Book Antiqua"/>
      <w:sz w:val="24"/>
      <w:szCs w:val="24"/>
      <w:lang w:val="zh-CN" w:eastAsia="zh-CN" w:bidi="zh-CN"/>
    </w:rPr>
  </w:style>
  <w:style w:type="character" w:customStyle="1" w:styleId="ab">
    <w:name w:val="正文文本 字符"/>
    <w:basedOn w:val="a0"/>
    <w:link w:val="aa"/>
    <w:uiPriority w:val="1"/>
    <w:rsid w:val="00BA14F1"/>
    <w:rPr>
      <w:rFonts w:ascii="Book Antiqua" w:eastAsia="Book Antiqua" w:hAnsi="Book Antiqua" w:cs="Book Antiqua"/>
      <w:kern w:val="0"/>
      <w:szCs w:val="24"/>
      <w:lang w:val="zh-CN" w:eastAsia="zh-CN" w:bidi="zh-CN"/>
    </w:rPr>
  </w:style>
  <w:style w:type="paragraph" w:styleId="ac">
    <w:name w:val="Balloon Text"/>
    <w:basedOn w:val="a"/>
    <w:link w:val="ad"/>
    <w:uiPriority w:val="99"/>
    <w:semiHidden/>
    <w:unhideWhenUsed/>
    <w:rsid w:val="00BA14F1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14F1"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BA14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14F1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BA14F1"/>
    <w:rPr>
      <w:rFonts w:ascii="Calibri" w:eastAsia="宋体" w:hAnsi="Calibri" w:cs="Calibri"/>
      <w:kern w:val="0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14F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A14F1"/>
    <w:rPr>
      <w:rFonts w:ascii="Calibri" w:eastAsia="宋体" w:hAnsi="Calibri" w:cs="Calibri"/>
      <w:b/>
      <w:bCs/>
      <w:kern w:val="0"/>
      <w:sz w:val="20"/>
      <w:szCs w:val="20"/>
      <w:lang w:eastAsia="en-US"/>
    </w:rPr>
  </w:style>
  <w:style w:type="paragraph" w:styleId="af3">
    <w:name w:val="Normal (Web)"/>
    <w:basedOn w:val="a"/>
    <w:uiPriority w:val="99"/>
    <w:semiHidden/>
    <w:unhideWhenUsed/>
    <w:rsid w:val="00BA1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未解析的提及項目1"/>
    <w:basedOn w:val="a0"/>
    <w:uiPriority w:val="99"/>
    <w:semiHidden/>
    <w:unhideWhenUsed/>
    <w:rsid w:val="00BA14F1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BA14F1"/>
    <w:rPr>
      <w:rFonts w:ascii="Calibri" w:eastAsia="宋体" w:hAnsi="Calibri" w:cs="Calibri"/>
      <w:kern w:val="0"/>
      <w:sz w:val="22"/>
      <w:lang w:eastAsia="en-US"/>
    </w:rPr>
  </w:style>
  <w:style w:type="paragraph" w:customStyle="1" w:styleId="12">
    <w:name w:val="正文1"/>
    <w:uiPriority w:val="99"/>
    <w:rsid w:val="00BA14F1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table" w:styleId="af5">
    <w:name w:val="Light Shading"/>
    <w:basedOn w:val="a1"/>
    <w:uiPriority w:val="60"/>
    <w:rsid w:val="00BA14F1"/>
    <w:rPr>
      <w:rFonts w:eastAsia="宋体"/>
      <w:color w:val="000000" w:themeColor="text1" w:themeShade="BF"/>
      <w:kern w:val="0"/>
      <w:sz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1">
    <w:name w:val="未解析的提及項目2"/>
    <w:basedOn w:val="a0"/>
    <w:uiPriority w:val="99"/>
    <w:semiHidden/>
    <w:unhideWhenUsed/>
    <w:rsid w:val="00BA14F1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BA14F1"/>
  </w:style>
  <w:style w:type="character" w:customStyle="1" w:styleId="EndNoteBibliography0">
    <w:name w:val="EndNote Bibliography 字元"/>
    <w:basedOn w:val="a0"/>
    <w:rsid w:val="00BA14F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3217</Words>
  <Characters>18340</Characters>
  <Application>Microsoft Office Word</Application>
  <DocSecurity>0</DocSecurity>
  <Lines>152</Lines>
  <Paragraphs>43</Paragraphs>
  <ScaleCrop>false</ScaleCrop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俊偉 王</dc:creator>
  <cp:lastModifiedBy>Liansheng Ma</cp:lastModifiedBy>
  <cp:revision>2</cp:revision>
  <dcterms:created xsi:type="dcterms:W3CDTF">2020-03-09T05:51:00Z</dcterms:created>
  <dcterms:modified xsi:type="dcterms:W3CDTF">2020-03-09T05:51:00Z</dcterms:modified>
</cp:coreProperties>
</file>