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E414" w14:textId="0098BBD5"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Name of Journal: </w:t>
      </w:r>
      <w:r w:rsidRPr="00DE7219">
        <w:rPr>
          <w:rFonts w:ascii="Book Antiqua" w:eastAsia="Times New Roman" w:hAnsi="Book Antiqua"/>
          <w:i/>
          <w:sz w:val="24"/>
          <w:szCs w:val="24"/>
          <w:lang w:eastAsia="ar-SA"/>
        </w:rPr>
        <w:t>World Journal of Clinical Cases</w:t>
      </w:r>
    </w:p>
    <w:p w14:paraId="04D39714" w14:textId="79BEAA6E" w:rsidR="009727DA" w:rsidRPr="00DE7219" w:rsidRDefault="00257958" w:rsidP="00DE7219">
      <w:pPr>
        <w:suppressAutoHyphens/>
        <w:spacing w:line="360" w:lineRule="auto"/>
        <w:rPr>
          <w:rFonts w:ascii="Book Antiqua" w:eastAsia="Times New Roman" w:hAnsi="Book Antiqua"/>
          <w:bCs/>
          <w:sz w:val="24"/>
          <w:szCs w:val="24"/>
          <w:lang w:eastAsia="ar-SA"/>
        </w:rPr>
      </w:pPr>
      <w:r w:rsidRPr="00DE7219">
        <w:rPr>
          <w:rFonts w:ascii="Book Antiqua" w:eastAsia="Times New Roman" w:hAnsi="Book Antiqua"/>
          <w:b/>
          <w:sz w:val="24"/>
          <w:szCs w:val="24"/>
          <w:lang w:eastAsia="ar-SA"/>
        </w:rPr>
        <w:t xml:space="preserve">Manuscript No: </w:t>
      </w:r>
      <w:r w:rsidRPr="00DE7219">
        <w:rPr>
          <w:rFonts w:ascii="Book Antiqua" w:eastAsia="Times New Roman" w:hAnsi="Book Antiqua"/>
          <w:bCs/>
          <w:sz w:val="24"/>
          <w:szCs w:val="24"/>
          <w:lang w:eastAsia="ar-SA"/>
        </w:rPr>
        <w:t>52661</w:t>
      </w:r>
    </w:p>
    <w:p w14:paraId="44579C81" w14:textId="6BB65E4D" w:rsidR="009727DA" w:rsidRPr="00DE7219" w:rsidRDefault="009727DA" w:rsidP="00DE7219">
      <w:pPr>
        <w:suppressAutoHyphens/>
        <w:spacing w:line="360" w:lineRule="auto"/>
        <w:rPr>
          <w:rFonts w:ascii="Book Antiqua" w:eastAsia="Times New Roman" w:hAnsi="Book Antiqua"/>
          <w:sz w:val="24"/>
          <w:szCs w:val="24"/>
          <w:lang w:eastAsia="ar-SA"/>
        </w:rPr>
      </w:pPr>
      <w:r w:rsidRPr="00DE7219">
        <w:rPr>
          <w:rFonts w:ascii="Book Antiqua" w:eastAsia="Times New Roman" w:hAnsi="Book Antiqua"/>
          <w:b/>
          <w:sz w:val="24"/>
          <w:szCs w:val="24"/>
          <w:lang w:eastAsia="ar-SA"/>
        </w:rPr>
        <w:t xml:space="preserve">Manuscript Type: </w:t>
      </w:r>
      <w:r w:rsidR="004F24BB" w:rsidRPr="00DE7219">
        <w:rPr>
          <w:rFonts w:ascii="Book Antiqua" w:eastAsia="Times New Roman" w:hAnsi="Book Antiqua"/>
          <w:sz w:val="24"/>
          <w:szCs w:val="24"/>
          <w:lang w:eastAsia="ar-SA"/>
        </w:rPr>
        <w:t>SYSTEMATIC REVIEW</w:t>
      </w:r>
    </w:p>
    <w:p w14:paraId="701BCA37"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p w14:paraId="75299983" w14:textId="11476FDC" w:rsidR="009727DA" w:rsidRPr="00DE7219" w:rsidRDefault="009727DA" w:rsidP="00DE7219">
      <w:pPr>
        <w:suppressAutoHyphens/>
        <w:spacing w:line="360" w:lineRule="auto"/>
        <w:rPr>
          <w:rFonts w:ascii="Book Antiqua" w:eastAsia="Times New Roman" w:hAnsi="Book Antiqua"/>
          <w:b/>
          <w:sz w:val="24"/>
          <w:szCs w:val="24"/>
          <w:lang w:eastAsia="ar-SA"/>
        </w:rPr>
      </w:pPr>
      <w:bookmarkStart w:id="0" w:name="OLE_LINK2"/>
      <w:r w:rsidRPr="00DE7219">
        <w:rPr>
          <w:rFonts w:ascii="Book Antiqua" w:eastAsia="Times New Roman" w:hAnsi="Book Antiqua"/>
          <w:b/>
          <w:sz w:val="24"/>
          <w:szCs w:val="24"/>
          <w:lang w:eastAsia="ar-SA"/>
        </w:rPr>
        <w:t>LINX</w:t>
      </w:r>
      <w:r w:rsidR="00FA48DE" w:rsidRPr="00DE7219">
        <w:rPr>
          <w:rFonts w:ascii="Book Antiqua" w:eastAsia="Times New Roman" w:hAnsi="Book Antiqua"/>
          <w:b/>
          <w:sz w:val="24"/>
          <w:szCs w:val="24"/>
          <w:vertAlign w:val="superscript"/>
          <w:lang w:eastAsia="ar-SA"/>
        </w:rPr>
        <w:t>®</w:t>
      </w:r>
      <w:r w:rsidRPr="00DE7219">
        <w:rPr>
          <w:rFonts w:ascii="Book Antiqua" w:eastAsia="Times New Roman" w:hAnsi="Book Antiqua"/>
          <w:b/>
          <w:sz w:val="24"/>
          <w:szCs w:val="24"/>
          <w:lang w:eastAsia="ar-SA"/>
        </w:rPr>
        <w:t xml:space="preserve"> </w:t>
      </w:r>
      <w:r w:rsidR="004F24BB" w:rsidRPr="00DE7219">
        <w:rPr>
          <w:rFonts w:ascii="Book Antiqua" w:eastAsia="Times New Roman" w:hAnsi="Book Antiqua"/>
          <w:b/>
          <w:sz w:val="24"/>
          <w:szCs w:val="24"/>
          <w:lang w:eastAsia="ar-SA"/>
        </w:rPr>
        <w:t xml:space="preserve">reflux management system </w:t>
      </w:r>
      <w:r w:rsidRPr="00DE7219">
        <w:rPr>
          <w:rFonts w:ascii="Book Antiqua" w:eastAsia="Times New Roman" w:hAnsi="Book Antiqua"/>
          <w:b/>
          <w:sz w:val="24"/>
          <w:szCs w:val="24"/>
          <w:lang w:eastAsia="ar-SA"/>
        </w:rPr>
        <w:t xml:space="preserve">to bridge the “treatment gap” in </w:t>
      </w:r>
      <w:r w:rsidR="004F24BB" w:rsidRPr="00DE7219">
        <w:rPr>
          <w:rFonts w:ascii="Book Antiqua" w:eastAsia="Times New Roman" w:hAnsi="Book Antiqua"/>
          <w:b/>
          <w:sz w:val="24"/>
          <w:szCs w:val="24"/>
          <w:lang w:eastAsia="ar-SA"/>
        </w:rPr>
        <w:t>gastroesophageal reflux disease</w:t>
      </w:r>
      <w:r w:rsidRPr="00DE7219">
        <w:rPr>
          <w:rFonts w:ascii="Book Antiqua" w:eastAsia="Times New Roman" w:hAnsi="Book Antiqua"/>
          <w:b/>
          <w:sz w:val="24"/>
          <w:szCs w:val="24"/>
          <w:lang w:eastAsia="ar-SA"/>
        </w:rPr>
        <w:t xml:space="preserve">: A </w:t>
      </w:r>
      <w:r w:rsidR="00257958" w:rsidRPr="00DE7219">
        <w:rPr>
          <w:rFonts w:ascii="Book Antiqua" w:eastAsia="Times New Roman" w:hAnsi="Book Antiqua"/>
          <w:b/>
          <w:sz w:val="24"/>
          <w:szCs w:val="24"/>
          <w:lang w:eastAsia="ar-SA"/>
        </w:rPr>
        <w:t xml:space="preserve">systematic review </w:t>
      </w:r>
      <w:r w:rsidRPr="00DE7219">
        <w:rPr>
          <w:rFonts w:ascii="Book Antiqua" w:eastAsia="Times New Roman" w:hAnsi="Book Antiqua"/>
          <w:b/>
          <w:sz w:val="24"/>
          <w:szCs w:val="24"/>
          <w:lang w:eastAsia="ar-SA"/>
        </w:rPr>
        <w:t>of 35 studies</w:t>
      </w:r>
    </w:p>
    <w:p w14:paraId="57F32868"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bookmarkEnd w:id="0"/>
    <w:p w14:paraId="2661F453" w14:textId="60B40583" w:rsidR="009727DA" w:rsidRPr="00DE7219" w:rsidRDefault="009727DA" w:rsidP="00DE7219">
      <w:pPr>
        <w:spacing w:line="360" w:lineRule="auto"/>
        <w:rPr>
          <w:rFonts w:ascii="Book Antiqua" w:eastAsia="Times New Roman" w:hAnsi="Book Antiqua"/>
          <w:sz w:val="24"/>
          <w:szCs w:val="24"/>
          <w:lang w:eastAsia="el-GR"/>
        </w:rPr>
      </w:pPr>
      <w:proofErr w:type="spellStart"/>
      <w:r w:rsidRPr="00DE7219">
        <w:rPr>
          <w:rFonts w:ascii="Book Antiqua" w:eastAsia="Times New Roman" w:hAnsi="Book Antiqua"/>
          <w:sz w:val="24"/>
          <w:szCs w:val="24"/>
          <w:lang w:eastAsia="ar-SA"/>
        </w:rPr>
        <w:t>Schizas</w:t>
      </w:r>
      <w:proofErr w:type="spellEnd"/>
      <w:r w:rsidRPr="00DE7219">
        <w:rPr>
          <w:rFonts w:ascii="Book Antiqua" w:eastAsia="Times New Roman" w:hAnsi="Book Antiqua"/>
          <w:sz w:val="24"/>
          <w:szCs w:val="24"/>
          <w:lang w:eastAsia="ar-SA"/>
        </w:rPr>
        <w:t xml:space="preserve"> D </w:t>
      </w:r>
      <w:r w:rsidR="004F24BB" w:rsidRPr="00DE7219">
        <w:rPr>
          <w:rFonts w:ascii="Book Antiqua" w:eastAsia="Times New Roman" w:hAnsi="Book Antiqua"/>
          <w:i/>
          <w:sz w:val="24"/>
          <w:szCs w:val="24"/>
          <w:lang w:eastAsia="ar-SA"/>
        </w:rPr>
        <w:t xml:space="preserve">et al. </w:t>
      </w:r>
      <w:bookmarkStart w:id="1" w:name="OLE_LINK3"/>
      <w:r w:rsidRPr="00DE7219">
        <w:rPr>
          <w:rFonts w:ascii="Book Antiqua" w:eastAsia="Times New Roman" w:hAnsi="Book Antiqua"/>
          <w:sz w:val="24"/>
          <w:szCs w:val="24"/>
          <w:lang w:eastAsia="ar-SA"/>
        </w:rPr>
        <w:t>LINX</w:t>
      </w:r>
      <w:r w:rsidR="00FA48DE" w:rsidRPr="00DE7219">
        <w:rPr>
          <w:rFonts w:ascii="Book Antiqua" w:eastAsia="Times New Roman" w:hAnsi="Book Antiqua"/>
          <w:sz w:val="24"/>
          <w:szCs w:val="24"/>
          <w:vertAlign w:val="superscript"/>
          <w:lang w:eastAsia="ar-SA"/>
        </w:rPr>
        <w:t>®</w:t>
      </w:r>
      <w:r w:rsidRPr="00DE7219">
        <w:rPr>
          <w:rFonts w:ascii="Book Antiqua" w:eastAsia="Times New Roman" w:hAnsi="Book Antiqua"/>
          <w:sz w:val="24"/>
          <w:szCs w:val="24"/>
          <w:lang w:eastAsia="ar-SA"/>
        </w:rPr>
        <w:t xml:space="preserve"> reflux management system</w:t>
      </w:r>
    </w:p>
    <w:bookmarkEnd w:id="1"/>
    <w:p w14:paraId="16E6E620"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p w14:paraId="33172887" w14:textId="7F2247D7" w:rsidR="009727DA" w:rsidRPr="00DE7219" w:rsidRDefault="009727DA" w:rsidP="00DE7219">
      <w:pPr>
        <w:spacing w:line="360" w:lineRule="auto"/>
        <w:rPr>
          <w:rFonts w:ascii="Book Antiqua" w:eastAsia="Times New Roman" w:hAnsi="Book Antiqua"/>
          <w:bCs/>
          <w:sz w:val="24"/>
          <w:szCs w:val="24"/>
          <w:lang w:eastAsia="ar-SA"/>
        </w:rPr>
      </w:pPr>
      <w:proofErr w:type="spellStart"/>
      <w:r w:rsidRPr="00DE7219">
        <w:rPr>
          <w:rFonts w:ascii="Book Antiqua" w:eastAsia="Times New Roman" w:hAnsi="Book Antiqua"/>
          <w:bCs/>
          <w:sz w:val="24"/>
          <w:szCs w:val="24"/>
          <w:lang w:eastAsia="ar-SA"/>
        </w:rPr>
        <w:t>Dimitrios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Schizas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Aikaterini</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Mastoraki</w:t>
      </w:r>
      <w:proofErr w:type="spellEnd"/>
      <w:r w:rsidRPr="00DE7219">
        <w:rPr>
          <w:rFonts w:ascii="Book Antiqua" w:eastAsia="Times New Roman" w:hAnsi="Book Antiqua"/>
          <w:bCs/>
          <w:sz w:val="24"/>
          <w:szCs w:val="24"/>
          <w:lang w:eastAsia="ar-SA"/>
        </w:rPr>
        <w:t xml:space="preserve">, Eleni </w:t>
      </w:r>
      <w:proofErr w:type="spellStart"/>
      <w:r w:rsidRPr="00DE7219">
        <w:rPr>
          <w:rFonts w:ascii="Book Antiqua" w:eastAsia="Times New Roman" w:hAnsi="Book Antiqua"/>
          <w:bCs/>
          <w:sz w:val="24"/>
          <w:szCs w:val="24"/>
          <w:lang w:eastAsia="ar-SA"/>
        </w:rPr>
        <w:t>Papoutsi</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Vassilis</w:t>
      </w:r>
      <w:proofErr w:type="spellEnd"/>
      <w:r w:rsidRPr="00DE7219">
        <w:rPr>
          <w:rFonts w:ascii="Book Antiqua" w:eastAsia="Times New Roman" w:hAnsi="Book Antiqua"/>
          <w:bCs/>
          <w:sz w:val="24"/>
          <w:szCs w:val="24"/>
          <w:lang w:eastAsia="ar-SA"/>
        </w:rPr>
        <w:t xml:space="preserve"> G </w:t>
      </w:r>
      <w:proofErr w:type="spellStart"/>
      <w:r w:rsidRPr="00DE7219">
        <w:rPr>
          <w:rFonts w:ascii="Book Antiqua" w:eastAsia="Times New Roman" w:hAnsi="Book Antiqua"/>
          <w:bCs/>
          <w:sz w:val="24"/>
          <w:szCs w:val="24"/>
          <w:lang w:eastAsia="ar-SA"/>
        </w:rPr>
        <w:t>Giannakoulis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Prodromos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Kanavidis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Diamantis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Tsilimigras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Dimitrios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Ntourakis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Orestis</w:t>
      </w:r>
      <w:proofErr w:type="spellEnd"/>
      <w:r w:rsidRPr="00DE7219">
        <w:rPr>
          <w:rFonts w:ascii="Book Antiqua" w:eastAsia="Times New Roman" w:hAnsi="Book Antiqua"/>
          <w:bCs/>
          <w:sz w:val="24"/>
          <w:szCs w:val="24"/>
          <w:lang w:eastAsia="ar-SA"/>
        </w:rPr>
        <w:t xml:space="preserve"> </w:t>
      </w:r>
      <w:proofErr w:type="spellStart"/>
      <w:r w:rsidRPr="00DE7219">
        <w:rPr>
          <w:rFonts w:ascii="Book Antiqua" w:eastAsia="Times New Roman" w:hAnsi="Book Antiqua"/>
          <w:bCs/>
          <w:sz w:val="24"/>
          <w:szCs w:val="24"/>
          <w:lang w:eastAsia="ar-SA"/>
        </w:rPr>
        <w:t>Lyros</w:t>
      </w:r>
      <w:proofErr w:type="spellEnd"/>
      <w:r w:rsidRPr="00DE7219">
        <w:rPr>
          <w:rFonts w:ascii="Book Antiqua" w:eastAsia="Times New Roman" w:hAnsi="Book Antiqua"/>
          <w:bCs/>
          <w:sz w:val="24"/>
          <w:szCs w:val="24"/>
          <w:lang w:eastAsia="ar-SA"/>
        </w:rPr>
        <w:t xml:space="preserve">, Theodore </w:t>
      </w:r>
      <w:proofErr w:type="spellStart"/>
      <w:r w:rsidRPr="00DE7219">
        <w:rPr>
          <w:rFonts w:ascii="Book Antiqua" w:eastAsia="Times New Roman" w:hAnsi="Book Antiqua"/>
          <w:bCs/>
          <w:sz w:val="24"/>
          <w:szCs w:val="24"/>
          <w:lang w:eastAsia="ar-SA"/>
        </w:rPr>
        <w:t>Liakakos</w:t>
      </w:r>
      <w:proofErr w:type="spellEnd"/>
      <w:r w:rsidRPr="00DE7219">
        <w:rPr>
          <w:rFonts w:ascii="Book Antiqua" w:eastAsia="Times New Roman" w:hAnsi="Book Antiqua"/>
          <w:bCs/>
          <w:sz w:val="24"/>
          <w:szCs w:val="24"/>
          <w:lang w:eastAsia="ar-SA"/>
        </w:rPr>
        <w:t xml:space="preserve">, </w:t>
      </w:r>
      <w:bookmarkStart w:id="2" w:name="OLE_LINK4"/>
      <w:proofErr w:type="spellStart"/>
      <w:r w:rsidRPr="00DE7219">
        <w:rPr>
          <w:rFonts w:ascii="Book Antiqua" w:eastAsia="Times New Roman" w:hAnsi="Book Antiqua"/>
          <w:bCs/>
          <w:sz w:val="24"/>
          <w:szCs w:val="24"/>
          <w:lang w:eastAsia="ar-SA"/>
        </w:rPr>
        <w:t>Dimitrios</w:t>
      </w:r>
      <w:bookmarkEnd w:id="2"/>
      <w:proofErr w:type="spellEnd"/>
      <w:r w:rsidRPr="00DE7219">
        <w:rPr>
          <w:rFonts w:ascii="Book Antiqua" w:eastAsia="Times New Roman" w:hAnsi="Book Antiqua"/>
          <w:bCs/>
          <w:sz w:val="24"/>
          <w:szCs w:val="24"/>
          <w:lang w:eastAsia="ar-SA"/>
        </w:rPr>
        <w:t xml:space="preserve"> </w:t>
      </w:r>
      <w:bookmarkStart w:id="3" w:name="OLE_LINK5"/>
      <w:bookmarkStart w:id="4" w:name="OLE_LINK6"/>
      <w:proofErr w:type="spellStart"/>
      <w:r w:rsidRPr="00DE7219">
        <w:rPr>
          <w:rFonts w:ascii="Book Antiqua" w:eastAsia="Times New Roman" w:hAnsi="Book Antiqua"/>
          <w:bCs/>
          <w:sz w:val="24"/>
          <w:szCs w:val="24"/>
          <w:lang w:eastAsia="ar-SA"/>
        </w:rPr>
        <w:t>Moris</w:t>
      </w:r>
      <w:bookmarkEnd w:id="3"/>
      <w:bookmarkEnd w:id="4"/>
      <w:proofErr w:type="spellEnd"/>
      <w:r w:rsidRPr="00DE7219">
        <w:rPr>
          <w:rFonts w:ascii="Book Antiqua" w:eastAsia="Times New Roman" w:hAnsi="Book Antiqua"/>
          <w:bCs/>
          <w:sz w:val="24"/>
          <w:szCs w:val="24"/>
          <w:lang w:eastAsia="ar-SA"/>
        </w:rPr>
        <w:t xml:space="preserve"> </w:t>
      </w:r>
    </w:p>
    <w:p w14:paraId="1A7A80C9"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p>
    <w:p w14:paraId="68AB6C45" w14:textId="69ECC45B" w:rsidR="009727DA" w:rsidRPr="00DE7219" w:rsidRDefault="009727DA" w:rsidP="00DE7219">
      <w:pPr>
        <w:suppressAutoHyphens/>
        <w:spacing w:line="360" w:lineRule="auto"/>
        <w:rPr>
          <w:rFonts w:ascii="Book Antiqua" w:eastAsia="Times New Roman" w:hAnsi="Book Antiqua"/>
          <w:sz w:val="24"/>
          <w:szCs w:val="24"/>
          <w:lang w:eastAsia="ar-SA"/>
        </w:rPr>
      </w:pPr>
      <w:proofErr w:type="spellStart"/>
      <w:r w:rsidRPr="00DE7219">
        <w:rPr>
          <w:rFonts w:ascii="Book Antiqua" w:eastAsia="Times New Roman" w:hAnsi="Book Antiqua"/>
          <w:b/>
          <w:sz w:val="24"/>
          <w:szCs w:val="24"/>
          <w:lang w:eastAsia="ar-SA"/>
        </w:rPr>
        <w:t>Dimitrios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Schizas</w:t>
      </w:r>
      <w:proofErr w:type="spellEnd"/>
      <w:r w:rsidRPr="00DE7219">
        <w:rPr>
          <w:rFonts w:ascii="Book Antiqua" w:eastAsia="Times New Roman" w:hAnsi="Book Antiqua"/>
          <w:b/>
          <w:sz w:val="24"/>
          <w:szCs w:val="24"/>
          <w:lang w:eastAsia="ar-SA"/>
        </w:rPr>
        <w:t xml:space="preserve">, </w:t>
      </w:r>
      <w:r w:rsidRPr="00DE7219">
        <w:rPr>
          <w:rFonts w:ascii="Book Antiqua" w:eastAsia="Times New Roman" w:hAnsi="Book Antiqua"/>
          <w:b/>
          <w:bCs/>
          <w:sz w:val="24"/>
          <w:szCs w:val="24"/>
          <w:lang w:eastAsia="el-GR"/>
        </w:rPr>
        <w:t xml:space="preserve">Eleni </w:t>
      </w:r>
      <w:proofErr w:type="spellStart"/>
      <w:r w:rsidRPr="00DE7219">
        <w:rPr>
          <w:rFonts w:ascii="Book Antiqua" w:eastAsia="Times New Roman" w:hAnsi="Book Antiqua"/>
          <w:b/>
          <w:bCs/>
          <w:sz w:val="24"/>
          <w:szCs w:val="24"/>
          <w:lang w:eastAsia="el-GR"/>
        </w:rPr>
        <w:t>Papoutsi</w:t>
      </w:r>
      <w:proofErr w:type="spellEnd"/>
      <w:r w:rsidRPr="00DE7219">
        <w:rPr>
          <w:rFonts w:ascii="Book Antiqua" w:eastAsia="Times New Roman" w:hAnsi="Book Antiqua"/>
          <w:b/>
          <w:bCs/>
          <w:sz w:val="24"/>
          <w:szCs w:val="24"/>
          <w:lang w:eastAsia="el-GR"/>
        </w:rPr>
        <w:t xml:space="preserve">, </w:t>
      </w:r>
      <w:proofErr w:type="spellStart"/>
      <w:r w:rsidRPr="00DE7219">
        <w:rPr>
          <w:rFonts w:ascii="Book Antiqua" w:eastAsia="Times New Roman" w:hAnsi="Book Antiqua"/>
          <w:b/>
          <w:bCs/>
          <w:sz w:val="24"/>
          <w:szCs w:val="24"/>
          <w:lang w:eastAsia="el-GR"/>
        </w:rPr>
        <w:t>Vassilis</w:t>
      </w:r>
      <w:proofErr w:type="spellEnd"/>
      <w:r w:rsidRPr="00DE7219">
        <w:rPr>
          <w:rFonts w:ascii="Book Antiqua" w:eastAsia="Times New Roman" w:hAnsi="Book Antiqua"/>
          <w:b/>
          <w:bCs/>
          <w:sz w:val="24"/>
          <w:szCs w:val="24"/>
          <w:lang w:eastAsia="el-GR"/>
        </w:rPr>
        <w:t xml:space="preserve"> G </w:t>
      </w:r>
      <w:proofErr w:type="spellStart"/>
      <w:r w:rsidRPr="00DE7219">
        <w:rPr>
          <w:rFonts w:ascii="Book Antiqua" w:eastAsia="Times New Roman" w:hAnsi="Book Antiqua"/>
          <w:b/>
          <w:bCs/>
          <w:sz w:val="24"/>
          <w:szCs w:val="24"/>
          <w:lang w:eastAsia="el-GR"/>
        </w:rPr>
        <w:t>Giannakoulis</w:t>
      </w:r>
      <w:proofErr w:type="spellEnd"/>
      <w:r w:rsidRPr="00DE7219">
        <w:rPr>
          <w:rFonts w:ascii="Book Antiqua" w:eastAsia="Times New Roman" w:hAnsi="Book Antiqua"/>
          <w:b/>
          <w:bCs/>
          <w:sz w:val="24"/>
          <w:szCs w:val="24"/>
          <w:lang w:eastAsia="el-GR"/>
        </w:rPr>
        <w:t>,</w:t>
      </w:r>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Prodromos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Kanavidis</w:t>
      </w:r>
      <w:proofErr w:type="spellEnd"/>
      <w:r w:rsidRPr="00DE7219">
        <w:rPr>
          <w:rFonts w:ascii="Book Antiqua" w:eastAsia="Times New Roman" w:hAnsi="Book Antiqua"/>
          <w:b/>
          <w:sz w:val="24"/>
          <w:szCs w:val="24"/>
          <w:lang w:eastAsia="ar-SA"/>
        </w:rPr>
        <w:t xml:space="preserve">, Theodore </w:t>
      </w:r>
      <w:proofErr w:type="spellStart"/>
      <w:r w:rsidRPr="00DE7219">
        <w:rPr>
          <w:rFonts w:ascii="Book Antiqua" w:eastAsia="Times New Roman" w:hAnsi="Book Antiqua"/>
          <w:b/>
          <w:sz w:val="24"/>
          <w:szCs w:val="24"/>
          <w:lang w:eastAsia="ar-SA"/>
        </w:rPr>
        <w:t>Liakakos</w:t>
      </w:r>
      <w:proofErr w:type="spellEnd"/>
      <w:r w:rsidRPr="00DE7219">
        <w:rPr>
          <w:rFonts w:ascii="Book Antiqua" w:eastAsia="Times New Roman" w:hAnsi="Book Antiqua"/>
          <w:b/>
          <w:sz w:val="24"/>
          <w:szCs w:val="24"/>
          <w:lang w:eastAsia="ar-SA"/>
        </w:rPr>
        <w:t xml:space="preserve">, </w:t>
      </w:r>
      <w:r w:rsidRPr="00DE7219">
        <w:rPr>
          <w:rFonts w:ascii="Book Antiqua" w:eastAsia="Times New Roman" w:hAnsi="Book Antiqua"/>
          <w:sz w:val="24"/>
          <w:szCs w:val="24"/>
          <w:lang w:eastAsia="ar-SA"/>
        </w:rPr>
        <w:t>1</w:t>
      </w:r>
      <w:r w:rsidRPr="00DE7219">
        <w:rPr>
          <w:rFonts w:ascii="Book Antiqua" w:eastAsia="Times New Roman" w:hAnsi="Book Antiqua"/>
          <w:sz w:val="24"/>
          <w:szCs w:val="24"/>
          <w:vertAlign w:val="superscript"/>
          <w:lang w:eastAsia="ar-SA"/>
        </w:rPr>
        <w:t>st</w:t>
      </w:r>
      <w:r w:rsidRPr="00DE7219">
        <w:rPr>
          <w:rFonts w:ascii="Book Antiqua" w:eastAsia="Times New Roman" w:hAnsi="Book Antiqua"/>
          <w:sz w:val="24"/>
          <w:szCs w:val="24"/>
          <w:lang w:eastAsia="ar-SA"/>
        </w:rPr>
        <w:t xml:space="preserve"> Department of Surgery, National and </w:t>
      </w:r>
      <w:proofErr w:type="spellStart"/>
      <w:r w:rsidRPr="00DE7219">
        <w:rPr>
          <w:rFonts w:ascii="Book Antiqua" w:eastAsia="Times New Roman" w:hAnsi="Book Antiqua"/>
          <w:sz w:val="24"/>
          <w:szCs w:val="24"/>
          <w:lang w:eastAsia="ar-SA"/>
        </w:rPr>
        <w:t>Kapodistrian</w:t>
      </w:r>
      <w:proofErr w:type="spellEnd"/>
      <w:r w:rsidRPr="00DE7219">
        <w:rPr>
          <w:rFonts w:ascii="Book Antiqua" w:eastAsia="Times New Roman" w:hAnsi="Book Antiqua"/>
          <w:sz w:val="24"/>
          <w:szCs w:val="24"/>
          <w:lang w:eastAsia="ar-SA"/>
        </w:rPr>
        <w:t xml:space="preserve"> University of Athens, </w:t>
      </w:r>
      <w:proofErr w:type="spellStart"/>
      <w:r w:rsidRPr="00DE7219">
        <w:rPr>
          <w:rFonts w:ascii="Book Antiqua" w:eastAsia="Times New Roman" w:hAnsi="Book Antiqua"/>
          <w:sz w:val="24"/>
          <w:szCs w:val="24"/>
          <w:lang w:eastAsia="ar-SA"/>
        </w:rPr>
        <w:t>Laikon</w:t>
      </w:r>
      <w:proofErr w:type="spellEnd"/>
      <w:r w:rsidRPr="00DE7219">
        <w:rPr>
          <w:rFonts w:ascii="Book Antiqua" w:eastAsia="Times New Roman" w:hAnsi="Book Antiqua"/>
          <w:sz w:val="24"/>
          <w:szCs w:val="24"/>
          <w:lang w:eastAsia="ar-SA"/>
        </w:rPr>
        <w:t xml:space="preserve"> Hospital, Athens</w:t>
      </w:r>
      <w:r w:rsidR="004F24BB" w:rsidRPr="00DE7219">
        <w:rPr>
          <w:rFonts w:ascii="Book Antiqua" w:eastAsia="Times New Roman" w:hAnsi="Book Antiqua"/>
          <w:sz w:val="24"/>
          <w:szCs w:val="24"/>
          <w:lang w:eastAsia="ar-SA"/>
        </w:rPr>
        <w:t xml:space="preserve"> 11527</w:t>
      </w:r>
      <w:r w:rsidRPr="00DE7219">
        <w:rPr>
          <w:rFonts w:ascii="Book Antiqua" w:eastAsia="Times New Roman" w:hAnsi="Book Antiqua"/>
          <w:sz w:val="24"/>
          <w:szCs w:val="24"/>
          <w:lang w:eastAsia="ar-SA"/>
        </w:rPr>
        <w:t>, Greece</w:t>
      </w:r>
    </w:p>
    <w:p w14:paraId="2857DF52" w14:textId="77777777" w:rsidR="00257958" w:rsidRPr="00DE7219" w:rsidRDefault="00257958" w:rsidP="00DE7219">
      <w:pPr>
        <w:suppressAutoHyphens/>
        <w:spacing w:line="360" w:lineRule="auto"/>
        <w:rPr>
          <w:rFonts w:ascii="Book Antiqua" w:eastAsia="Times New Roman" w:hAnsi="Book Antiqua"/>
          <w:sz w:val="24"/>
          <w:szCs w:val="24"/>
          <w:lang w:eastAsia="ar-SA"/>
        </w:rPr>
      </w:pPr>
    </w:p>
    <w:p w14:paraId="13657753" w14:textId="26F08FAE" w:rsidR="009727DA" w:rsidRPr="00DE7219" w:rsidRDefault="009727DA" w:rsidP="00DE7219">
      <w:pPr>
        <w:suppressAutoHyphens/>
        <w:spacing w:line="360" w:lineRule="auto"/>
        <w:rPr>
          <w:rFonts w:ascii="Book Antiqua" w:eastAsia="Times New Roman" w:hAnsi="Book Antiqua"/>
          <w:sz w:val="24"/>
          <w:szCs w:val="24"/>
          <w:lang w:eastAsia="ar-SA"/>
        </w:rPr>
      </w:pPr>
      <w:proofErr w:type="spellStart"/>
      <w:r w:rsidRPr="00DE7219">
        <w:rPr>
          <w:rFonts w:ascii="Book Antiqua" w:eastAsia="Times New Roman" w:hAnsi="Book Antiqua"/>
          <w:b/>
          <w:sz w:val="24"/>
          <w:szCs w:val="24"/>
          <w:lang w:eastAsia="ar-SA"/>
        </w:rPr>
        <w:t>Aikaterini</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Mastoraki</w:t>
      </w:r>
      <w:proofErr w:type="spellEnd"/>
      <w:r w:rsidRPr="00DE7219">
        <w:rPr>
          <w:rFonts w:ascii="Book Antiqua" w:eastAsia="Times New Roman" w:hAnsi="Book Antiqua"/>
          <w:b/>
          <w:sz w:val="24"/>
          <w:szCs w:val="24"/>
          <w:lang w:eastAsia="ar-SA"/>
        </w:rPr>
        <w:t xml:space="preserve">, </w:t>
      </w:r>
      <w:r w:rsidRPr="00DE7219">
        <w:rPr>
          <w:rFonts w:ascii="Book Antiqua" w:eastAsia="Times New Roman" w:hAnsi="Book Antiqua"/>
          <w:sz w:val="24"/>
          <w:szCs w:val="24"/>
          <w:lang w:eastAsia="ar-SA"/>
        </w:rPr>
        <w:t>4</w:t>
      </w:r>
      <w:r w:rsidRPr="00DE7219">
        <w:rPr>
          <w:rFonts w:ascii="Book Antiqua" w:eastAsia="Times New Roman" w:hAnsi="Book Antiqua"/>
          <w:sz w:val="24"/>
          <w:szCs w:val="24"/>
          <w:vertAlign w:val="superscript"/>
          <w:lang w:eastAsia="ar-SA"/>
        </w:rPr>
        <w:t>th</w:t>
      </w:r>
      <w:r w:rsidRPr="00DE7219">
        <w:rPr>
          <w:rFonts w:ascii="Book Antiqua" w:eastAsia="Times New Roman" w:hAnsi="Book Antiqua"/>
          <w:sz w:val="24"/>
          <w:szCs w:val="24"/>
          <w:lang w:eastAsia="ar-SA"/>
        </w:rPr>
        <w:t xml:space="preserve"> Department of Surgery, National and </w:t>
      </w:r>
      <w:proofErr w:type="spellStart"/>
      <w:r w:rsidRPr="00DE7219">
        <w:rPr>
          <w:rFonts w:ascii="Book Antiqua" w:eastAsia="Times New Roman" w:hAnsi="Book Antiqua"/>
          <w:sz w:val="24"/>
          <w:szCs w:val="24"/>
          <w:lang w:eastAsia="ar-SA"/>
        </w:rPr>
        <w:t>Kapodistrian</w:t>
      </w:r>
      <w:proofErr w:type="spellEnd"/>
      <w:r w:rsidRPr="00DE7219">
        <w:rPr>
          <w:rFonts w:ascii="Book Antiqua" w:eastAsia="Times New Roman" w:hAnsi="Book Antiqua"/>
          <w:sz w:val="24"/>
          <w:szCs w:val="24"/>
          <w:lang w:eastAsia="ar-SA"/>
        </w:rPr>
        <w:t xml:space="preserve"> University of Athens, </w:t>
      </w:r>
      <w:proofErr w:type="spellStart"/>
      <w:r w:rsidRPr="00DE7219">
        <w:rPr>
          <w:rFonts w:ascii="Book Antiqua" w:eastAsia="Times New Roman" w:hAnsi="Book Antiqua"/>
          <w:sz w:val="24"/>
          <w:szCs w:val="24"/>
          <w:lang w:eastAsia="ar-SA"/>
        </w:rPr>
        <w:t>Attikon</w:t>
      </w:r>
      <w:proofErr w:type="spellEnd"/>
      <w:r w:rsidRPr="00DE7219">
        <w:rPr>
          <w:rFonts w:ascii="Book Antiqua" w:eastAsia="Times New Roman" w:hAnsi="Book Antiqua"/>
          <w:sz w:val="24"/>
          <w:szCs w:val="24"/>
          <w:lang w:eastAsia="ar-SA"/>
        </w:rPr>
        <w:t xml:space="preserve"> University Hospital, </w:t>
      </w:r>
      <w:proofErr w:type="spellStart"/>
      <w:r w:rsidRPr="00DE7219">
        <w:rPr>
          <w:rFonts w:ascii="Book Antiqua" w:eastAsia="Times New Roman" w:hAnsi="Book Antiqua"/>
          <w:sz w:val="24"/>
          <w:szCs w:val="24"/>
          <w:lang w:eastAsia="ar-SA"/>
        </w:rPr>
        <w:t>Chaidari</w:t>
      </w:r>
      <w:proofErr w:type="spellEnd"/>
      <w:r w:rsidRPr="00DE7219">
        <w:rPr>
          <w:rFonts w:ascii="Book Antiqua" w:eastAsia="Times New Roman" w:hAnsi="Book Antiqua"/>
          <w:sz w:val="24"/>
          <w:szCs w:val="24"/>
          <w:lang w:eastAsia="ar-SA"/>
        </w:rPr>
        <w:t>, Athens</w:t>
      </w:r>
      <w:r w:rsidR="004F24BB" w:rsidRPr="00DE7219">
        <w:rPr>
          <w:rFonts w:ascii="Book Antiqua" w:eastAsia="Times New Roman" w:hAnsi="Book Antiqua"/>
          <w:sz w:val="24"/>
          <w:szCs w:val="24"/>
          <w:lang w:eastAsia="ar-SA"/>
        </w:rPr>
        <w:t xml:space="preserve"> 11527</w:t>
      </w:r>
      <w:r w:rsidRPr="00DE7219">
        <w:rPr>
          <w:rFonts w:ascii="Book Antiqua" w:eastAsia="Times New Roman" w:hAnsi="Book Antiqua"/>
          <w:sz w:val="24"/>
          <w:szCs w:val="24"/>
          <w:lang w:eastAsia="ar-SA"/>
        </w:rPr>
        <w:t>, Greece</w:t>
      </w:r>
    </w:p>
    <w:p w14:paraId="19214D9D" w14:textId="77777777" w:rsidR="00257958" w:rsidRPr="00DE7219" w:rsidRDefault="00257958" w:rsidP="00DE7219">
      <w:pPr>
        <w:suppressAutoHyphens/>
        <w:spacing w:line="360" w:lineRule="auto"/>
        <w:rPr>
          <w:rFonts w:ascii="Book Antiqua" w:eastAsia="Times New Roman" w:hAnsi="Book Antiqua"/>
          <w:position w:val="6"/>
          <w:sz w:val="24"/>
          <w:szCs w:val="24"/>
          <w:lang w:eastAsia="el-GR"/>
        </w:rPr>
      </w:pPr>
    </w:p>
    <w:p w14:paraId="369F5FFA" w14:textId="56F5AE71" w:rsidR="009727DA" w:rsidRPr="00DE7219" w:rsidRDefault="009727DA" w:rsidP="00DE7219">
      <w:pPr>
        <w:pBdr>
          <w:top w:val="nil"/>
          <w:left w:val="nil"/>
          <w:bottom w:val="nil"/>
          <w:right w:val="nil"/>
          <w:between w:val="nil"/>
        </w:pBdr>
        <w:spacing w:line="360" w:lineRule="auto"/>
        <w:rPr>
          <w:rFonts w:ascii="Book Antiqua" w:eastAsia="Times New Roman,SimSun" w:hAnsi="Book Antiqua"/>
          <w:iCs/>
          <w:sz w:val="24"/>
          <w:szCs w:val="24"/>
        </w:rPr>
      </w:pPr>
      <w:proofErr w:type="spellStart"/>
      <w:r w:rsidRPr="00DE7219">
        <w:rPr>
          <w:rFonts w:ascii="Book Antiqua" w:eastAsia="Times New Roman" w:hAnsi="Book Antiqua"/>
          <w:b/>
          <w:bCs/>
          <w:sz w:val="24"/>
          <w:szCs w:val="24"/>
          <w:lang w:eastAsia="el-GR"/>
        </w:rPr>
        <w:t>Diamantis</w:t>
      </w:r>
      <w:proofErr w:type="spellEnd"/>
      <w:r w:rsidRPr="00DE7219">
        <w:rPr>
          <w:rFonts w:ascii="Book Antiqua" w:eastAsia="Times New Roman" w:hAnsi="Book Antiqua"/>
          <w:b/>
          <w:bCs/>
          <w:sz w:val="24"/>
          <w:szCs w:val="24"/>
          <w:lang w:eastAsia="el-GR"/>
        </w:rPr>
        <w:t xml:space="preserve"> </w:t>
      </w:r>
      <w:proofErr w:type="spellStart"/>
      <w:r w:rsidRPr="00DE7219">
        <w:rPr>
          <w:rFonts w:ascii="Book Antiqua" w:eastAsia="Times New Roman" w:hAnsi="Book Antiqua"/>
          <w:b/>
          <w:bCs/>
          <w:sz w:val="24"/>
          <w:szCs w:val="24"/>
          <w:lang w:eastAsia="el-GR"/>
        </w:rPr>
        <w:t>Tsilimigras</w:t>
      </w:r>
      <w:proofErr w:type="spellEnd"/>
      <w:r w:rsidRPr="00DE7219">
        <w:rPr>
          <w:rFonts w:ascii="Book Antiqua" w:eastAsia="Times New Roman" w:hAnsi="Book Antiqua"/>
          <w:b/>
          <w:bCs/>
          <w:sz w:val="24"/>
          <w:szCs w:val="24"/>
          <w:lang w:eastAsia="el-GR"/>
        </w:rPr>
        <w:t>,</w:t>
      </w:r>
      <w:r w:rsidRPr="00DE7219">
        <w:rPr>
          <w:rFonts w:ascii="Book Antiqua" w:eastAsia="Times New Roman" w:hAnsi="Book Antiqua"/>
          <w:b/>
          <w:sz w:val="24"/>
          <w:szCs w:val="24"/>
          <w:lang w:eastAsia="ar-SA"/>
        </w:rPr>
        <w:t xml:space="preserve"> </w:t>
      </w:r>
      <w:r w:rsidRPr="00DE7219">
        <w:rPr>
          <w:rFonts w:ascii="Book Antiqua" w:eastAsia="Times New Roman,SimSun" w:hAnsi="Book Antiqua"/>
          <w:iCs/>
          <w:sz w:val="24"/>
          <w:szCs w:val="24"/>
        </w:rPr>
        <w:t>Department of Surgery, Division of Surgical Oncology, The Ohio State University Wexner Medical Center and James Cancer Hospital and Solove Research Institute, Columbus,</w:t>
      </w:r>
      <w:r w:rsidR="004E2CF8" w:rsidRPr="00DE7219">
        <w:rPr>
          <w:rFonts w:ascii="Book Antiqua" w:eastAsia="Times New Roman,SimSun" w:hAnsi="Book Antiqua"/>
          <w:iCs/>
          <w:sz w:val="24"/>
          <w:szCs w:val="24"/>
        </w:rPr>
        <w:t xml:space="preserve"> OH 45830,</w:t>
      </w:r>
      <w:r w:rsidRPr="00DE7219">
        <w:rPr>
          <w:rFonts w:ascii="Book Antiqua" w:eastAsia="Times New Roman,SimSun" w:hAnsi="Book Antiqua"/>
          <w:iCs/>
          <w:sz w:val="24"/>
          <w:szCs w:val="24"/>
        </w:rPr>
        <w:t xml:space="preserve"> </w:t>
      </w:r>
      <w:bookmarkStart w:id="5" w:name="OLE_LINK7"/>
      <w:r w:rsidR="004F24BB" w:rsidRPr="00DE7219">
        <w:rPr>
          <w:rFonts w:ascii="Book Antiqua" w:eastAsia="Times New Roman,SimSun" w:hAnsi="Book Antiqua"/>
          <w:iCs/>
          <w:sz w:val="24"/>
          <w:szCs w:val="24"/>
        </w:rPr>
        <w:t>United States</w:t>
      </w:r>
      <w:bookmarkEnd w:id="5"/>
    </w:p>
    <w:p w14:paraId="1DE962FC" w14:textId="77777777" w:rsidR="00257958" w:rsidRPr="00DE7219" w:rsidRDefault="00257958" w:rsidP="00DE7219">
      <w:pPr>
        <w:pBdr>
          <w:top w:val="nil"/>
          <w:left w:val="nil"/>
          <w:bottom w:val="nil"/>
          <w:right w:val="nil"/>
          <w:between w:val="nil"/>
        </w:pBdr>
        <w:spacing w:line="360" w:lineRule="auto"/>
        <w:rPr>
          <w:rFonts w:ascii="Book Antiqua" w:eastAsia="Times New Roman,SimSun" w:hAnsi="Book Antiqua"/>
          <w:iCs/>
          <w:sz w:val="24"/>
          <w:szCs w:val="24"/>
        </w:rPr>
      </w:pPr>
    </w:p>
    <w:p w14:paraId="1B31D5D6" w14:textId="0239865C" w:rsidR="009727DA" w:rsidRPr="00DE7219" w:rsidRDefault="009727DA" w:rsidP="00DE7219">
      <w:pPr>
        <w:pBdr>
          <w:top w:val="nil"/>
          <w:left w:val="nil"/>
          <w:bottom w:val="nil"/>
          <w:right w:val="nil"/>
          <w:between w:val="nil"/>
        </w:pBdr>
        <w:spacing w:line="360" w:lineRule="auto"/>
        <w:rPr>
          <w:rFonts w:ascii="Book Antiqua" w:eastAsia="Times New Roman" w:hAnsi="Book Antiqua"/>
          <w:color w:val="000000"/>
          <w:sz w:val="24"/>
          <w:szCs w:val="24"/>
          <w:lang w:eastAsia="el-GR"/>
        </w:rPr>
      </w:pPr>
      <w:proofErr w:type="spellStart"/>
      <w:r w:rsidRPr="00DE7219">
        <w:rPr>
          <w:rFonts w:ascii="Book Antiqua" w:eastAsia="Times New Roman" w:hAnsi="Book Antiqua"/>
          <w:b/>
          <w:sz w:val="24"/>
          <w:szCs w:val="24"/>
          <w:lang w:eastAsia="ar-SA"/>
        </w:rPr>
        <w:t>Dimitrios</w:t>
      </w:r>
      <w:proofErr w:type="spellEnd"/>
      <w:r w:rsidRPr="00DE7219">
        <w:rPr>
          <w:rFonts w:ascii="Book Antiqua" w:eastAsia="Times New Roman" w:hAnsi="Book Antiqua"/>
          <w:b/>
          <w:sz w:val="24"/>
          <w:szCs w:val="24"/>
          <w:lang w:eastAsia="ar-SA"/>
        </w:rPr>
        <w:t xml:space="preserve"> </w:t>
      </w:r>
      <w:proofErr w:type="spellStart"/>
      <w:r w:rsidRPr="00DE7219">
        <w:rPr>
          <w:rFonts w:ascii="Book Antiqua" w:eastAsia="Times New Roman" w:hAnsi="Book Antiqua"/>
          <w:b/>
          <w:sz w:val="24"/>
          <w:szCs w:val="24"/>
          <w:lang w:eastAsia="ar-SA"/>
        </w:rPr>
        <w:t>Ntourakis</w:t>
      </w:r>
      <w:proofErr w:type="spellEnd"/>
      <w:r w:rsidRPr="00DE7219">
        <w:rPr>
          <w:rFonts w:ascii="Book Antiqua" w:eastAsia="Times New Roman" w:hAnsi="Book Antiqua"/>
          <w:b/>
          <w:sz w:val="24"/>
          <w:szCs w:val="24"/>
          <w:lang w:eastAsia="ar-SA"/>
        </w:rPr>
        <w:t>,</w:t>
      </w:r>
      <w:r w:rsidRPr="00DE7219">
        <w:rPr>
          <w:rFonts w:ascii="Book Antiqua" w:eastAsia="Times New Roman" w:hAnsi="Book Antiqua"/>
          <w:sz w:val="24"/>
          <w:szCs w:val="24"/>
          <w:lang w:eastAsia="ar-SA"/>
        </w:rPr>
        <w:t xml:space="preserve"> </w:t>
      </w:r>
      <w:r w:rsidRPr="00DE7219">
        <w:rPr>
          <w:rFonts w:ascii="Book Antiqua" w:eastAsia="Times New Roman" w:hAnsi="Book Antiqua"/>
          <w:color w:val="000000"/>
          <w:sz w:val="24"/>
          <w:szCs w:val="24"/>
          <w:lang w:eastAsia="el-GR"/>
        </w:rPr>
        <w:t>Department of Surgery, School of Medicine, European University Cyprus, Nicosia</w:t>
      </w:r>
      <w:r w:rsidR="004E2CF8" w:rsidRPr="00DE7219">
        <w:rPr>
          <w:rFonts w:ascii="Book Antiqua" w:eastAsia="Times New Roman" w:hAnsi="Book Antiqua"/>
          <w:color w:val="000000"/>
          <w:sz w:val="24"/>
          <w:szCs w:val="24"/>
          <w:lang w:eastAsia="el-GR"/>
        </w:rPr>
        <w:t xml:space="preserve"> 2404</w:t>
      </w:r>
      <w:r w:rsidRPr="00DE7219">
        <w:rPr>
          <w:rFonts w:ascii="Book Antiqua" w:eastAsia="Times New Roman" w:hAnsi="Book Antiqua"/>
          <w:color w:val="000000"/>
          <w:sz w:val="24"/>
          <w:szCs w:val="24"/>
          <w:lang w:eastAsia="el-GR"/>
        </w:rPr>
        <w:t>, Cyprus</w:t>
      </w:r>
    </w:p>
    <w:p w14:paraId="6564F9A8" w14:textId="77777777" w:rsidR="00257958" w:rsidRPr="00DE7219" w:rsidRDefault="00257958" w:rsidP="00DE7219">
      <w:pPr>
        <w:pBdr>
          <w:top w:val="nil"/>
          <w:left w:val="nil"/>
          <w:bottom w:val="nil"/>
          <w:right w:val="nil"/>
          <w:between w:val="nil"/>
        </w:pBdr>
        <w:spacing w:line="360" w:lineRule="auto"/>
        <w:rPr>
          <w:rFonts w:ascii="Book Antiqua" w:hAnsi="Book Antiqua"/>
          <w:color w:val="000000"/>
          <w:sz w:val="24"/>
          <w:szCs w:val="24"/>
        </w:rPr>
      </w:pPr>
    </w:p>
    <w:p w14:paraId="61E52850" w14:textId="7C420F21" w:rsidR="009727DA" w:rsidRPr="00DE7219" w:rsidRDefault="009727DA" w:rsidP="00DE7219">
      <w:pPr>
        <w:pStyle w:val="a3"/>
        <w:spacing w:line="360" w:lineRule="auto"/>
        <w:ind w:left="0"/>
        <w:rPr>
          <w:rFonts w:ascii="Book Antiqua" w:eastAsia="Times New Roman" w:hAnsi="Book Antiqua"/>
          <w:color w:val="000000"/>
          <w:sz w:val="24"/>
          <w:szCs w:val="24"/>
          <w:lang w:eastAsia="el-GR"/>
        </w:rPr>
      </w:pPr>
      <w:proofErr w:type="spellStart"/>
      <w:r w:rsidRPr="00DE7219">
        <w:rPr>
          <w:rFonts w:ascii="Book Antiqua" w:eastAsia="Times New Roman" w:hAnsi="Book Antiqua"/>
          <w:b/>
          <w:color w:val="000000"/>
          <w:sz w:val="24"/>
          <w:szCs w:val="24"/>
          <w:lang w:eastAsia="el-GR"/>
        </w:rPr>
        <w:t>Orestis</w:t>
      </w:r>
      <w:proofErr w:type="spellEnd"/>
      <w:r w:rsidRPr="00DE7219">
        <w:rPr>
          <w:rFonts w:ascii="Book Antiqua" w:eastAsia="Times New Roman" w:hAnsi="Book Antiqua"/>
          <w:b/>
          <w:color w:val="000000"/>
          <w:sz w:val="24"/>
          <w:szCs w:val="24"/>
          <w:lang w:eastAsia="el-GR"/>
        </w:rPr>
        <w:t xml:space="preserve"> </w:t>
      </w:r>
      <w:proofErr w:type="spellStart"/>
      <w:r w:rsidRPr="00DE7219">
        <w:rPr>
          <w:rFonts w:ascii="Book Antiqua" w:eastAsia="Times New Roman" w:hAnsi="Book Antiqua"/>
          <w:b/>
          <w:color w:val="000000"/>
          <w:sz w:val="24"/>
          <w:szCs w:val="24"/>
          <w:lang w:eastAsia="el-GR"/>
        </w:rPr>
        <w:t>Lyros</w:t>
      </w:r>
      <w:proofErr w:type="spellEnd"/>
      <w:r w:rsidRPr="00DE7219">
        <w:rPr>
          <w:rFonts w:ascii="Book Antiqua" w:eastAsia="Times New Roman" w:hAnsi="Book Antiqua"/>
          <w:b/>
          <w:color w:val="000000"/>
          <w:sz w:val="24"/>
          <w:szCs w:val="24"/>
          <w:lang w:eastAsia="el-GR"/>
        </w:rPr>
        <w:t>,</w:t>
      </w:r>
      <w:r w:rsidRPr="00DE7219">
        <w:rPr>
          <w:rFonts w:ascii="Book Antiqua" w:eastAsia="Times New Roman" w:hAnsi="Book Antiqua"/>
          <w:color w:val="000000"/>
          <w:sz w:val="24"/>
          <w:szCs w:val="24"/>
          <w:lang w:eastAsia="el-GR"/>
        </w:rPr>
        <w:t xml:space="preserve"> Department of Visceral, Transplant, Thoracic and Vascular Surgery, University Hospital Leipzig,</w:t>
      </w:r>
      <w:r w:rsidR="004E2CF8" w:rsidRPr="00DE7219">
        <w:rPr>
          <w:rFonts w:ascii="Book Antiqua" w:eastAsia="Times New Roman" w:hAnsi="Book Antiqua"/>
          <w:color w:val="000000"/>
          <w:sz w:val="24"/>
          <w:szCs w:val="24"/>
          <w:lang w:eastAsia="el-GR"/>
        </w:rPr>
        <w:t xml:space="preserve"> Leipzig 04103,</w:t>
      </w:r>
      <w:r w:rsidRPr="00DE7219">
        <w:rPr>
          <w:rFonts w:ascii="Book Antiqua" w:eastAsia="Times New Roman" w:hAnsi="Book Antiqua"/>
          <w:color w:val="000000"/>
          <w:sz w:val="24"/>
          <w:szCs w:val="24"/>
          <w:lang w:eastAsia="el-GR"/>
        </w:rPr>
        <w:t xml:space="preserve"> Germany</w:t>
      </w:r>
    </w:p>
    <w:p w14:paraId="7E6E398B" w14:textId="77777777" w:rsidR="004E2CF8" w:rsidRPr="00DE7219" w:rsidRDefault="004E2CF8" w:rsidP="00DE7219">
      <w:pPr>
        <w:pStyle w:val="a3"/>
        <w:spacing w:line="360" w:lineRule="auto"/>
        <w:ind w:left="0"/>
        <w:rPr>
          <w:rFonts w:ascii="Book Antiqua" w:eastAsia="Times New Roman" w:hAnsi="Book Antiqua"/>
          <w:color w:val="000000"/>
          <w:sz w:val="24"/>
          <w:szCs w:val="24"/>
          <w:lang w:eastAsia="el-GR"/>
        </w:rPr>
      </w:pPr>
    </w:p>
    <w:p w14:paraId="0C9FE472" w14:textId="02C09152" w:rsidR="00257958" w:rsidRPr="00DE7219" w:rsidRDefault="00257958" w:rsidP="00DE7219">
      <w:pPr>
        <w:pStyle w:val="a3"/>
        <w:spacing w:line="360" w:lineRule="auto"/>
        <w:ind w:left="0"/>
        <w:rPr>
          <w:rFonts w:ascii="Book Antiqua" w:hAnsi="Book Antiqua"/>
          <w:color w:val="000000"/>
          <w:sz w:val="24"/>
          <w:szCs w:val="24"/>
        </w:rPr>
      </w:pPr>
      <w:proofErr w:type="spellStart"/>
      <w:r w:rsidRPr="00DE7219">
        <w:rPr>
          <w:rFonts w:ascii="Book Antiqua" w:hAnsi="Book Antiqua"/>
          <w:b/>
          <w:bCs/>
          <w:color w:val="000000"/>
          <w:sz w:val="24"/>
          <w:szCs w:val="24"/>
        </w:rPr>
        <w:t>D</w:t>
      </w:r>
      <w:r w:rsidRPr="00DE7219">
        <w:rPr>
          <w:rFonts w:ascii="Book Antiqua" w:eastAsia="Times New Roman" w:hAnsi="Book Antiqua"/>
          <w:b/>
          <w:color w:val="000000"/>
          <w:sz w:val="24"/>
          <w:szCs w:val="24"/>
          <w:lang w:eastAsia="el-GR"/>
        </w:rPr>
        <w:t>imitrios</w:t>
      </w:r>
      <w:proofErr w:type="spellEnd"/>
      <w:r w:rsidRPr="00DE7219">
        <w:rPr>
          <w:rFonts w:ascii="Book Antiqua" w:eastAsia="Times New Roman" w:hAnsi="Book Antiqua"/>
          <w:b/>
          <w:color w:val="000000"/>
          <w:sz w:val="24"/>
          <w:szCs w:val="24"/>
          <w:lang w:eastAsia="el-GR"/>
        </w:rPr>
        <w:t xml:space="preserve"> </w:t>
      </w:r>
      <w:proofErr w:type="spellStart"/>
      <w:r w:rsidRPr="00DE7219">
        <w:rPr>
          <w:rFonts w:ascii="Book Antiqua" w:eastAsia="Times New Roman" w:hAnsi="Book Antiqua"/>
          <w:b/>
          <w:color w:val="000000"/>
          <w:sz w:val="24"/>
          <w:szCs w:val="24"/>
          <w:lang w:eastAsia="el-GR"/>
        </w:rPr>
        <w:t>Moris</w:t>
      </w:r>
      <w:proofErr w:type="spellEnd"/>
      <w:r w:rsidRPr="00DE7219">
        <w:rPr>
          <w:rFonts w:ascii="Book Antiqua" w:eastAsia="Times New Roman" w:hAnsi="Book Antiqua"/>
          <w:b/>
          <w:color w:val="000000"/>
          <w:sz w:val="24"/>
          <w:szCs w:val="24"/>
          <w:lang w:eastAsia="el-GR"/>
        </w:rPr>
        <w:t>,</w:t>
      </w:r>
      <w:r w:rsidRPr="00DE7219">
        <w:rPr>
          <w:rFonts w:ascii="Book Antiqua" w:hAnsi="Book Antiqua"/>
          <w:sz w:val="24"/>
          <w:szCs w:val="24"/>
        </w:rPr>
        <w:t xml:space="preserve"> Department of Surgery, Duke University Medical Center,</w:t>
      </w:r>
      <w:r w:rsidR="004E2CF8" w:rsidRPr="00DE7219">
        <w:rPr>
          <w:rFonts w:ascii="Book Antiqua" w:hAnsi="Book Antiqua"/>
          <w:sz w:val="24"/>
          <w:szCs w:val="24"/>
        </w:rPr>
        <w:t xml:space="preserve"> </w:t>
      </w:r>
      <w:bookmarkStart w:id="6" w:name="OLE_LINK8"/>
      <w:r w:rsidR="004E2CF8" w:rsidRPr="00DE7219">
        <w:rPr>
          <w:rFonts w:ascii="Book Antiqua" w:hAnsi="Book Antiqua"/>
          <w:sz w:val="24"/>
          <w:szCs w:val="24"/>
        </w:rPr>
        <w:t>Duke University,</w:t>
      </w:r>
      <w:r w:rsidRPr="00DE7219">
        <w:rPr>
          <w:rFonts w:ascii="Book Antiqua" w:hAnsi="Book Antiqua"/>
          <w:sz w:val="24"/>
          <w:szCs w:val="24"/>
        </w:rPr>
        <w:t xml:space="preserve"> </w:t>
      </w:r>
      <w:bookmarkEnd w:id="6"/>
      <w:r w:rsidRPr="00DE7219">
        <w:rPr>
          <w:rFonts w:ascii="Book Antiqua" w:hAnsi="Book Antiqua"/>
          <w:sz w:val="24"/>
          <w:szCs w:val="24"/>
        </w:rPr>
        <w:t>Durham, NC</w:t>
      </w:r>
      <w:r w:rsidR="004E2CF8" w:rsidRPr="00DE7219">
        <w:rPr>
          <w:rFonts w:ascii="Book Antiqua" w:hAnsi="Book Antiqua"/>
          <w:sz w:val="24"/>
          <w:szCs w:val="24"/>
        </w:rPr>
        <w:t xml:space="preserve"> 27705</w:t>
      </w:r>
      <w:r w:rsidRPr="00DE7219">
        <w:rPr>
          <w:rFonts w:ascii="Book Antiqua" w:hAnsi="Book Antiqua"/>
          <w:sz w:val="24"/>
          <w:szCs w:val="24"/>
        </w:rPr>
        <w:t xml:space="preserve">, </w:t>
      </w:r>
      <w:r w:rsidR="004E2CF8" w:rsidRPr="00DE7219">
        <w:rPr>
          <w:rFonts w:ascii="Book Antiqua" w:eastAsia="Times New Roman,SimSun" w:hAnsi="Book Antiqua"/>
          <w:iCs/>
          <w:sz w:val="24"/>
          <w:szCs w:val="24"/>
        </w:rPr>
        <w:t>United States</w:t>
      </w:r>
    </w:p>
    <w:p w14:paraId="63D0C83A"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p>
    <w:p w14:paraId="5B9E480A" w14:textId="77777777" w:rsidR="009727DA" w:rsidRPr="00DE7219" w:rsidRDefault="009727DA" w:rsidP="00DE7219">
      <w:pPr>
        <w:suppressAutoHyphens/>
        <w:spacing w:line="360" w:lineRule="auto"/>
        <w:rPr>
          <w:rFonts w:ascii="Book Antiqua" w:eastAsia="Times New Roman" w:hAnsi="Book Antiqua"/>
          <w:sz w:val="24"/>
          <w:szCs w:val="24"/>
          <w:lang w:eastAsia="ar-SA"/>
        </w:rPr>
      </w:pPr>
      <w:r w:rsidRPr="00DE7219">
        <w:rPr>
          <w:rFonts w:ascii="Book Antiqua" w:eastAsia="Times New Roman" w:hAnsi="Book Antiqua"/>
          <w:b/>
          <w:sz w:val="24"/>
          <w:szCs w:val="24"/>
          <w:lang w:eastAsia="ar-SA"/>
        </w:rPr>
        <w:t xml:space="preserve">Author contributions: </w:t>
      </w:r>
      <w:r w:rsidRPr="00DE7219">
        <w:rPr>
          <w:rFonts w:ascii="Book Antiqua" w:eastAsia="Times New Roman" w:hAnsi="Book Antiqua"/>
          <w:sz w:val="24"/>
          <w:szCs w:val="24"/>
          <w:lang w:eastAsia="ar-SA"/>
        </w:rPr>
        <w:t>All authors equally contributed to this paper with conception and design of the study, literature review and analysis, drafting and critical revision and editing, and final approval of the final version.</w:t>
      </w:r>
      <w:r w:rsidRPr="00DE7219">
        <w:rPr>
          <w:rFonts w:ascii="Book Antiqua" w:eastAsia="Times New Roman" w:hAnsi="Book Antiqua"/>
          <w:b/>
          <w:sz w:val="24"/>
          <w:szCs w:val="24"/>
          <w:lang w:eastAsia="ar-SA"/>
        </w:rPr>
        <w:t xml:space="preserve"> </w:t>
      </w:r>
    </w:p>
    <w:p w14:paraId="623E81D8" w14:textId="77777777" w:rsidR="009727DA" w:rsidRPr="00DE7219" w:rsidRDefault="009727DA" w:rsidP="00DE7219">
      <w:pPr>
        <w:suppressAutoHyphens/>
        <w:spacing w:line="360" w:lineRule="auto"/>
        <w:rPr>
          <w:rFonts w:ascii="Book Antiqua" w:eastAsia="Times New Roman" w:hAnsi="Book Antiqua"/>
          <w:b/>
          <w:sz w:val="24"/>
          <w:szCs w:val="24"/>
          <w:lang w:eastAsia="ar-SA"/>
        </w:rPr>
      </w:pPr>
      <w:r w:rsidRPr="00DE7219">
        <w:rPr>
          <w:rFonts w:ascii="Book Antiqua" w:eastAsia="Times New Roman" w:hAnsi="Book Antiqua"/>
          <w:b/>
          <w:sz w:val="24"/>
          <w:szCs w:val="24"/>
          <w:lang w:eastAsia="ar-SA"/>
        </w:rPr>
        <w:t xml:space="preserve"> </w:t>
      </w:r>
    </w:p>
    <w:p w14:paraId="09C4DBFB" w14:textId="40005336" w:rsidR="009727DA" w:rsidRPr="00DE7219" w:rsidRDefault="009727DA" w:rsidP="00DE7219">
      <w:pPr>
        <w:suppressAutoHyphens/>
        <w:spacing w:line="360" w:lineRule="auto"/>
        <w:rPr>
          <w:rFonts w:ascii="Book Antiqua" w:eastAsia="Times New Roman" w:hAnsi="Book Antiqua"/>
          <w:sz w:val="24"/>
          <w:szCs w:val="24"/>
          <w:lang w:eastAsia="ar-SA"/>
        </w:rPr>
      </w:pPr>
      <w:r w:rsidRPr="00DE7219">
        <w:rPr>
          <w:rFonts w:ascii="Book Antiqua" w:eastAsia="Times New Roman" w:hAnsi="Book Antiqua"/>
          <w:b/>
          <w:sz w:val="24"/>
          <w:szCs w:val="24"/>
          <w:lang w:eastAsia="ar-SA"/>
        </w:rPr>
        <w:t>Correspond</w:t>
      </w:r>
      <w:r w:rsidR="004E2CF8" w:rsidRPr="00DE7219">
        <w:rPr>
          <w:rFonts w:ascii="Book Antiqua" w:eastAsia="Times New Roman" w:hAnsi="Book Antiqua"/>
          <w:b/>
          <w:sz w:val="24"/>
          <w:szCs w:val="24"/>
          <w:lang w:eastAsia="ar-SA"/>
        </w:rPr>
        <w:t>ing a</w:t>
      </w:r>
      <w:r w:rsidR="00FA48DE" w:rsidRPr="00DE7219">
        <w:rPr>
          <w:rFonts w:ascii="Book Antiqua" w:eastAsia="Times New Roman" w:hAnsi="Book Antiqua"/>
          <w:b/>
          <w:sz w:val="24"/>
          <w:szCs w:val="24"/>
          <w:lang w:eastAsia="ar-SA"/>
        </w:rPr>
        <w:t>u</w:t>
      </w:r>
      <w:r w:rsidR="004E2CF8" w:rsidRPr="00DE7219">
        <w:rPr>
          <w:rFonts w:ascii="Book Antiqua" w:eastAsia="Times New Roman" w:hAnsi="Book Antiqua"/>
          <w:b/>
          <w:sz w:val="24"/>
          <w:szCs w:val="24"/>
          <w:lang w:eastAsia="ar-SA"/>
        </w:rPr>
        <w:t>thor</w:t>
      </w:r>
      <w:r w:rsidRPr="00DE7219">
        <w:rPr>
          <w:rFonts w:ascii="Book Antiqua" w:eastAsia="Times New Roman" w:hAnsi="Book Antiqua"/>
          <w:b/>
          <w:sz w:val="24"/>
          <w:szCs w:val="24"/>
          <w:lang w:eastAsia="ar-SA"/>
        </w:rPr>
        <w:t xml:space="preserve">: </w:t>
      </w:r>
      <w:proofErr w:type="spellStart"/>
      <w:r w:rsidRPr="00DE7219">
        <w:rPr>
          <w:rFonts w:ascii="Book Antiqua" w:hAnsi="Book Antiqua"/>
          <w:b/>
          <w:bCs/>
          <w:color w:val="000000"/>
          <w:sz w:val="24"/>
          <w:szCs w:val="24"/>
        </w:rPr>
        <w:t>Dimitrios</w:t>
      </w:r>
      <w:proofErr w:type="spellEnd"/>
      <w:r w:rsidRPr="00DE7219">
        <w:rPr>
          <w:rFonts w:ascii="Book Antiqua" w:hAnsi="Book Antiqua"/>
          <w:b/>
          <w:bCs/>
          <w:color w:val="000000"/>
          <w:sz w:val="24"/>
          <w:szCs w:val="24"/>
        </w:rPr>
        <w:t xml:space="preserve"> </w:t>
      </w:r>
      <w:proofErr w:type="spellStart"/>
      <w:r w:rsidRPr="00DE7219">
        <w:rPr>
          <w:rFonts w:ascii="Book Antiqua" w:hAnsi="Book Antiqua"/>
          <w:b/>
          <w:bCs/>
          <w:color w:val="000000"/>
          <w:sz w:val="24"/>
          <w:szCs w:val="24"/>
        </w:rPr>
        <w:t>Moris</w:t>
      </w:r>
      <w:proofErr w:type="spellEnd"/>
      <w:r w:rsidR="004E2CF8" w:rsidRPr="00DE7219">
        <w:rPr>
          <w:rFonts w:ascii="Book Antiqua" w:hAnsi="Book Antiqua"/>
          <w:b/>
          <w:bCs/>
          <w:color w:val="000000"/>
          <w:sz w:val="24"/>
          <w:szCs w:val="24"/>
        </w:rPr>
        <w:t>,</w:t>
      </w:r>
      <w:r w:rsidRPr="00DE7219">
        <w:rPr>
          <w:rFonts w:ascii="Book Antiqua" w:hAnsi="Book Antiqua"/>
          <w:b/>
          <w:bCs/>
          <w:color w:val="000000"/>
          <w:sz w:val="24"/>
          <w:szCs w:val="24"/>
        </w:rPr>
        <w:t xml:space="preserve"> </w:t>
      </w:r>
      <w:r w:rsidR="004E2CF8" w:rsidRPr="00DE7219">
        <w:rPr>
          <w:rFonts w:ascii="Book Antiqua" w:hAnsi="Book Antiqua"/>
          <w:b/>
          <w:bCs/>
          <w:color w:val="000000"/>
          <w:sz w:val="24"/>
          <w:szCs w:val="24"/>
        </w:rPr>
        <w:t>MD, MSc, PhD, Academic Fellow, Academic Research, Doctor, Research Fellow, Surgeon,</w:t>
      </w:r>
      <w:r w:rsidRPr="00DE7219">
        <w:rPr>
          <w:rFonts w:ascii="Book Antiqua" w:hAnsi="Book Antiqua"/>
          <w:b/>
          <w:bCs/>
          <w:color w:val="000000"/>
          <w:sz w:val="24"/>
          <w:szCs w:val="24"/>
        </w:rPr>
        <w:t xml:space="preserve"> </w:t>
      </w:r>
      <w:r w:rsidRPr="00DE7219">
        <w:rPr>
          <w:rFonts w:ascii="Book Antiqua" w:hAnsi="Book Antiqua"/>
          <w:sz w:val="24"/>
          <w:szCs w:val="24"/>
        </w:rPr>
        <w:t xml:space="preserve">Department of Surgery, Duke University Medical Center, </w:t>
      </w:r>
      <w:r w:rsidR="004E2CF8" w:rsidRPr="00DE7219">
        <w:rPr>
          <w:rFonts w:ascii="Book Antiqua" w:hAnsi="Book Antiqua"/>
          <w:sz w:val="24"/>
          <w:szCs w:val="24"/>
        </w:rPr>
        <w:t xml:space="preserve">Duke University, 2310 Erwin Road, Durham, NC 27705, </w:t>
      </w:r>
      <w:r w:rsidR="004E2CF8" w:rsidRPr="00DE7219">
        <w:rPr>
          <w:rFonts w:ascii="Book Antiqua" w:eastAsia="Times New Roman,SimSun" w:hAnsi="Book Antiqua"/>
          <w:iCs/>
          <w:sz w:val="24"/>
          <w:szCs w:val="24"/>
        </w:rPr>
        <w:t>United States.</w:t>
      </w:r>
      <w:r w:rsidRPr="00DE7219">
        <w:rPr>
          <w:rFonts w:ascii="Book Antiqua" w:hAnsi="Book Antiqua"/>
          <w:sz w:val="24"/>
          <w:szCs w:val="24"/>
        </w:rPr>
        <w:t xml:space="preserve"> dimmoris@yahoo.com</w:t>
      </w:r>
    </w:p>
    <w:p w14:paraId="6A08E13C" w14:textId="77777777" w:rsidR="000210DF" w:rsidRPr="00DE7219" w:rsidRDefault="000210DF" w:rsidP="00DE7219">
      <w:pPr>
        <w:widowControl/>
        <w:spacing w:line="360" w:lineRule="auto"/>
        <w:rPr>
          <w:rFonts w:ascii="Book Antiqua" w:hAnsi="Book Antiqua"/>
          <w:color w:val="000000"/>
          <w:sz w:val="24"/>
          <w:szCs w:val="24"/>
        </w:rPr>
      </w:pPr>
    </w:p>
    <w:p w14:paraId="6F7AF712" w14:textId="71C5A49E"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 xml:space="preserve">Received: </w:t>
      </w:r>
      <w:r w:rsidRPr="00DE7219">
        <w:rPr>
          <w:rFonts w:ascii="Book Antiqua" w:hAnsi="Book Antiqua"/>
          <w:sz w:val="24"/>
          <w:szCs w:val="24"/>
          <w:lang w:val="en-GB"/>
        </w:rPr>
        <w:t>November 12, 2019</w:t>
      </w:r>
    </w:p>
    <w:p w14:paraId="5B656965" w14:textId="07BBC603"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 xml:space="preserve">Revised: </w:t>
      </w:r>
      <w:r w:rsidR="00DE7219" w:rsidRPr="00DE7219">
        <w:rPr>
          <w:rFonts w:ascii="Book Antiqua" w:hAnsi="Book Antiqua"/>
          <w:sz w:val="24"/>
          <w:szCs w:val="24"/>
          <w:lang w:val="en-GB"/>
        </w:rPr>
        <w:t>December 6</w:t>
      </w:r>
      <w:r w:rsidRPr="00DE7219">
        <w:rPr>
          <w:rFonts w:ascii="Book Antiqua" w:hAnsi="Book Antiqua"/>
          <w:sz w:val="24"/>
          <w:szCs w:val="24"/>
          <w:lang w:val="en-GB"/>
        </w:rPr>
        <w:t>, 2019</w:t>
      </w:r>
    </w:p>
    <w:p w14:paraId="5C892B45" w14:textId="0C7D91B9"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Accepted:</w:t>
      </w:r>
      <w:r w:rsidRPr="00DE7219">
        <w:rPr>
          <w:rFonts w:ascii="Book Antiqua" w:hAnsi="Book Antiqua"/>
          <w:sz w:val="24"/>
          <w:szCs w:val="24"/>
          <w:lang w:val="en-GB"/>
        </w:rPr>
        <w:t xml:space="preserve"> </w:t>
      </w:r>
      <w:r w:rsidR="00591067" w:rsidRPr="00591067">
        <w:rPr>
          <w:rFonts w:ascii="Book Antiqua" w:hAnsi="Book Antiqua"/>
          <w:sz w:val="24"/>
          <w:szCs w:val="24"/>
          <w:lang w:val="en-GB"/>
        </w:rPr>
        <w:t>December 14, 2019</w:t>
      </w:r>
    </w:p>
    <w:p w14:paraId="6086A6B1" w14:textId="6D4E21C5" w:rsidR="000210DF" w:rsidRPr="00DE7219" w:rsidRDefault="000210DF" w:rsidP="00DE7219">
      <w:pPr>
        <w:spacing w:line="360" w:lineRule="auto"/>
        <w:rPr>
          <w:rFonts w:ascii="Book Antiqua" w:hAnsi="Book Antiqua"/>
          <w:b/>
          <w:sz w:val="24"/>
          <w:szCs w:val="24"/>
          <w:lang w:val="en-GB"/>
        </w:rPr>
      </w:pPr>
      <w:r w:rsidRPr="00DE7219">
        <w:rPr>
          <w:rFonts w:ascii="Book Antiqua" w:hAnsi="Book Antiqua"/>
          <w:b/>
          <w:sz w:val="24"/>
          <w:szCs w:val="24"/>
          <w:lang w:val="en-GB"/>
        </w:rPr>
        <w:t xml:space="preserve">Published online: </w:t>
      </w:r>
      <w:r w:rsidR="002F458F" w:rsidRPr="006438FC">
        <w:rPr>
          <w:rFonts w:ascii="Book Antiqua" w:hAnsi="Book Antiqua"/>
          <w:sz w:val="24"/>
          <w:szCs w:val="24"/>
        </w:rPr>
        <w:t xml:space="preserve">January </w:t>
      </w:r>
      <w:r w:rsidR="00350F93">
        <w:rPr>
          <w:rFonts w:ascii="Book Antiqua" w:hAnsi="Book Antiqua" w:hint="eastAsia"/>
          <w:sz w:val="24"/>
          <w:szCs w:val="24"/>
        </w:rPr>
        <w:t>2</w:t>
      </w:r>
      <w:r w:rsidR="002F458F" w:rsidRPr="006438FC">
        <w:rPr>
          <w:rFonts w:ascii="Book Antiqua" w:hAnsi="Book Antiqua"/>
          <w:sz w:val="24"/>
          <w:szCs w:val="24"/>
        </w:rPr>
        <w:t>6, 2020</w:t>
      </w:r>
    </w:p>
    <w:p w14:paraId="65657B96" w14:textId="71B5A4F8" w:rsidR="009727DA" w:rsidRPr="00DE7219" w:rsidRDefault="009727DA" w:rsidP="00DE7219">
      <w:pPr>
        <w:widowControl/>
        <w:spacing w:line="360" w:lineRule="auto"/>
        <w:rPr>
          <w:rFonts w:ascii="Book Antiqua" w:hAnsi="Book Antiqua"/>
          <w:color w:val="000000"/>
          <w:sz w:val="24"/>
          <w:szCs w:val="24"/>
        </w:rPr>
      </w:pPr>
      <w:r w:rsidRPr="00DE7219">
        <w:rPr>
          <w:rFonts w:ascii="Book Antiqua" w:hAnsi="Book Antiqua"/>
          <w:color w:val="000000"/>
          <w:sz w:val="24"/>
          <w:szCs w:val="24"/>
        </w:rPr>
        <w:br w:type="page"/>
      </w:r>
    </w:p>
    <w:p w14:paraId="566C87B4" w14:textId="77777777" w:rsidR="009727DA" w:rsidRPr="00DE7219" w:rsidRDefault="009727DA" w:rsidP="00DE7219">
      <w:pPr>
        <w:adjustRightInd w:val="0"/>
        <w:snapToGrid w:val="0"/>
        <w:spacing w:line="360" w:lineRule="auto"/>
        <w:rPr>
          <w:rFonts w:ascii="Book Antiqua" w:hAnsi="Book Antiqua"/>
          <w:b/>
          <w:bCs/>
          <w:sz w:val="24"/>
          <w:szCs w:val="24"/>
        </w:rPr>
      </w:pPr>
      <w:r w:rsidRPr="00DE7219">
        <w:rPr>
          <w:rFonts w:ascii="Book Antiqua" w:eastAsia="Times New Roman" w:hAnsi="Book Antiqua"/>
          <w:b/>
          <w:bCs/>
          <w:sz w:val="24"/>
          <w:szCs w:val="24"/>
        </w:rPr>
        <w:t>Abstract</w:t>
      </w:r>
    </w:p>
    <w:p w14:paraId="1C9EF05D" w14:textId="77777777" w:rsidR="009727DA" w:rsidRPr="00DE7219" w:rsidRDefault="009727DA" w:rsidP="00DE7219">
      <w:pPr>
        <w:spacing w:line="360" w:lineRule="auto"/>
        <w:rPr>
          <w:rFonts w:ascii="Book Antiqua" w:hAnsi="Book Antiqua"/>
          <w:color w:val="000000" w:themeColor="text1"/>
          <w:sz w:val="24"/>
          <w:szCs w:val="24"/>
        </w:rPr>
      </w:pPr>
      <w:r w:rsidRPr="00DE7219">
        <w:rPr>
          <w:rFonts w:ascii="Book Antiqua" w:hAnsi="Book Antiqua"/>
          <w:color w:val="000000" w:themeColor="text1"/>
          <w:sz w:val="24"/>
          <w:szCs w:val="24"/>
        </w:rPr>
        <w:t>BACKGROUND</w:t>
      </w:r>
      <w:r w:rsidRPr="00DE7219">
        <w:rPr>
          <w:rFonts w:ascii="Book Antiqua" w:hAnsi="Book Antiqua"/>
          <w:color w:val="0000FF"/>
          <w:sz w:val="24"/>
          <w:szCs w:val="24"/>
        </w:rPr>
        <w:t xml:space="preserve"> </w:t>
      </w:r>
    </w:p>
    <w:p w14:paraId="1877EFD0" w14:textId="36A05B73" w:rsidR="009727DA" w:rsidRPr="00DE7219" w:rsidRDefault="009727DA" w:rsidP="00DE7219">
      <w:pPr>
        <w:adjustRightInd w:val="0"/>
        <w:snapToGrid w:val="0"/>
        <w:spacing w:line="360" w:lineRule="auto"/>
        <w:rPr>
          <w:rFonts w:ascii="Book Antiqua" w:hAnsi="Book Antiqua"/>
          <w:color w:val="000000"/>
          <w:sz w:val="24"/>
          <w:szCs w:val="24"/>
        </w:rPr>
      </w:pPr>
      <w:r w:rsidRPr="00DE7219">
        <w:rPr>
          <w:rFonts w:ascii="Book Antiqua" w:hAnsi="Book Antiqua"/>
          <w:color w:val="000000"/>
          <w:sz w:val="24"/>
          <w:szCs w:val="24"/>
        </w:rPr>
        <w:t xml:space="preserve">Gastroesophageal reflux disease (GERD) occurs when the reflux of stomach contents causes troublesome symptoms and/or complications. When medical therapy is insufficient, surgical therapy is indicated and, until now, Laparoscopic </w:t>
      </w:r>
      <w:r w:rsidR="004E2CF8" w:rsidRPr="00DE7219">
        <w:rPr>
          <w:rFonts w:ascii="Book Antiqua" w:hAnsi="Book Antiqua"/>
          <w:color w:val="000000"/>
          <w:sz w:val="24"/>
          <w:szCs w:val="24"/>
        </w:rPr>
        <w:t xml:space="preserve">fundoplication </w:t>
      </w:r>
      <w:r w:rsidRPr="00DE7219">
        <w:rPr>
          <w:rFonts w:ascii="Book Antiqua" w:hAnsi="Book Antiqua"/>
          <w:color w:val="000000"/>
          <w:sz w:val="24"/>
          <w:szCs w:val="24"/>
        </w:rPr>
        <w:t xml:space="preserve">(LF) constitutes the gold-standard method. However, </w:t>
      </w:r>
      <w:r w:rsidR="004E2CF8" w:rsidRPr="00DE7219">
        <w:rPr>
          <w:rFonts w:ascii="Book Antiqua" w:hAnsi="Book Antiqua"/>
          <w:color w:val="000000"/>
          <w:sz w:val="24"/>
          <w:szCs w:val="24"/>
        </w:rPr>
        <w:t>magnetic sphincter augmentation</w:t>
      </w:r>
      <w:r w:rsidRPr="00DE7219">
        <w:rPr>
          <w:rFonts w:ascii="Book Antiqua" w:hAnsi="Book Antiqua"/>
          <w:color w:val="000000"/>
          <w:sz w:val="24"/>
          <w:szCs w:val="24"/>
        </w:rPr>
        <w:t xml:space="preserve"> (MSA) using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has recently emerged and disputes the standard therapeutic approach.</w:t>
      </w:r>
    </w:p>
    <w:p w14:paraId="4C0F4E8C" w14:textId="77777777" w:rsidR="009727DA" w:rsidRPr="00DE7219" w:rsidRDefault="009727DA" w:rsidP="00DE7219">
      <w:pPr>
        <w:adjustRightInd w:val="0"/>
        <w:snapToGrid w:val="0"/>
        <w:spacing w:line="360" w:lineRule="auto"/>
        <w:rPr>
          <w:rFonts w:ascii="Book Antiqua" w:hAnsi="Book Antiqua"/>
          <w:b/>
          <w:bCs/>
          <w:i/>
          <w:sz w:val="24"/>
          <w:szCs w:val="24"/>
        </w:rPr>
      </w:pPr>
    </w:p>
    <w:p w14:paraId="4C37B1BD" w14:textId="07145588" w:rsidR="009727DA" w:rsidRPr="00DE7219" w:rsidRDefault="009727DA" w:rsidP="00DE7219">
      <w:pPr>
        <w:adjustRightInd w:val="0"/>
        <w:snapToGrid w:val="0"/>
        <w:spacing w:line="360" w:lineRule="auto"/>
        <w:rPr>
          <w:rFonts w:ascii="Book Antiqua" w:hAnsi="Book Antiqua"/>
          <w:color w:val="0000FF"/>
          <w:sz w:val="24"/>
          <w:szCs w:val="24"/>
          <w:lang w:val="en"/>
        </w:rPr>
      </w:pPr>
      <w:r w:rsidRPr="00DE7219">
        <w:rPr>
          <w:rFonts w:ascii="Book Antiqua" w:hAnsi="Book Antiqua"/>
          <w:bCs/>
          <w:sz w:val="24"/>
          <w:szCs w:val="24"/>
        </w:rPr>
        <w:t>AIM</w:t>
      </w:r>
      <w:r w:rsidRPr="00DE7219">
        <w:rPr>
          <w:rFonts w:ascii="Book Antiqua" w:hAnsi="Book Antiqua"/>
          <w:color w:val="0000FF"/>
          <w:sz w:val="24"/>
          <w:szCs w:val="24"/>
          <w:lang w:val="en"/>
        </w:rPr>
        <w:t xml:space="preserve"> </w:t>
      </w:r>
    </w:p>
    <w:p w14:paraId="0FAA7BD3" w14:textId="03B9B68B" w:rsidR="009727DA" w:rsidRPr="00DE7219" w:rsidRDefault="004E2CF8" w:rsidP="00DE7219">
      <w:pPr>
        <w:adjustRightInd w:val="0"/>
        <w:snapToGrid w:val="0"/>
        <w:spacing w:line="360" w:lineRule="auto"/>
        <w:rPr>
          <w:rFonts w:ascii="Book Antiqua" w:hAnsi="Book Antiqua"/>
          <w:color w:val="000000"/>
          <w:sz w:val="24"/>
          <w:szCs w:val="24"/>
        </w:rPr>
      </w:pPr>
      <w:r w:rsidRPr="00DE7219">
        <w:rPr>
          <w:rFonts w:ascii="Book Antiqua" w:hAnsi="Book Antiqua"/>
          <w:color w:val="000000"/>
          <w:sz w:val="24"/>
          <w:szCs w:val="24"/>
        </w:rPr>
        <w:t>To investigate the device’s safety and efficacy in resolving GERD symptoms.</w:t>
      </w:r>
    </w:p>
    <w:p w14:paraId="1A5D112A" w14:textId="77777777" w:rsidR="009727DA" w:rsidRPr="00DE7219" w:rsidRDefault="009727DA" w:rsidP="00DE7219">
      <w:pPr>
        <w:adjustRightInd w:val="0"/>
        <w:snapToGrid w:val="0"/>
        <w:spacing w:line="360" w:lineRule="auto"/>
        <w:rPr>
          <w:rFonts w:ascii="Book Antiqua" w:hAnsi="Book Antiqua"/>
          <w:sz w:val="24"/>
          <w:szCs w:val="24"/>
        </w:rPr>
      </w:pPr>
    </w:p>
    <w:p w14:paraId="7F6844FB" w14:textId="77777777" w:rsidR="009727DA" w:rsidRPr="00DE7219" w:rsidRDefault="009727DA" w:rsidP="00DE7219">
      <w:pPr>
        <w:adjustRightInd w:val="0"/>
        <w:snapToGrid w:val="0"/>
        <w:spacing w:line="360" w:lineRule="auto"/>
        <w:rPr>
          <w:rFonts w:ascii="Book Antiqua" w:hAnsi="Book Antiqua"/>
          <w:caps/>
          <w:sz w:val="24"/>
          <w:szCs w:val="24"/>
        </w:rPr>
      </w:pPr>
      <w:r w:rsidRPr="00DE7219">
        <w:rPr>
          <w:rFonts w:ascii="Book Antiqua" w:hAnsi="Book Antiqua"/>
          <w:bCs/>
          <w:caps/>
          <w:sz w:val="24"/>
          <w:szCs w:val="24"/>
        </w:rPr>
        <w:t>Methods</w:t>
      </w:r>
    </w:p>
    <w:p w14:paraId="5E2B5162" w14:textId="3BFA26C3"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 xml:space="preserve">This is a systematic review conducted in accordance to the PRISMA guidelines. We searched </w:t>
      </w:r>
      <w:r w:rsidR="00B12C9C" w:rsidRPr="00DE7219">
        <w:rPr>
          <w:rFonts w:ascii="Book Antiqua" w:hAnsi="Book Antiqua"/>
          <w:color w:val="000000"/>
          <w:sz w:val="24"/>
          <w:szCs w:val="24"/>
        </w:rPr>
        <w:t>MEDLINE</w:t>
      </w:r>
      <w:r w:rsidRPr="00DE7219">
        <w:rPr>
          <w:rFonts w:ascii="Book Antiqua" w:hAnsi="Book Antiqua"/>
          <w:color w:val="000000"/>
          <w:sz w:val="24"/>
          <w:szCs w:val="24"/>
        </w:rPr>
        <w:t>, Clinicaltrials.gov, EMBASE, Cochrane Central Register of Controlled Trials CENTRAL databases from inception until September 2019</w:t>
      </w:r>
      <w:r w:rsidRPr="00DE7219">
        <w:rPr>
          <w:rFonts w:ascii="Book Antiqua" w:hAnsi="Book Antiqua"/>
          <w:sz w:val="24"/>
          <w:szCs w:val="24"/>
        </w:rPr>
        <w:t>.</w:t>
      </w:r>
    </w:p>
    <w:p w14:paraId="3EDE14B6" w14:textId="77777777" w:rsidR="009727DA" w:rsidRPr="00DE7219" w:rsidRDefault="009727DA" w:rsidP="00DE7219">
      <w:pPr>
        <w:adjustRightInd w:val="0"/>
        <w:snapToGrid w:val="0"/>
        <w:spacing w:line="360" w:lineRule="auto"/>
        <w:rPr>
          <w:rFonts w:ascii="Book Antiqua" w:hAnsi="Book Antiqua"/>
          <w:sz w:val="24"/>
          <w:szCs w:val="24"/>
        </w:rPr>
      </w:pPr>
    </w:p>
    <w:p w14:paraId="68CD6A79" w14:textId="77777777" w:rsidR="009727DA" w:rsidRPr="00DE7219" w:rsidRDefault="009727DA" w:rsidP="00DE7219">
      <w:pPr>
        <w:adjustRightInd w:val="0"/>
        <w:snapToGrid w:val="0"/>
        <w:spacing w:line="360" w:lineRule="auto"/>
        <w:rPr>
          <w:rFonts w:ascii="Book Antiqua" w:hAnsi="Book Antiqua"/>
          <w:caps/>
          <w:sz w:val="24"/>
          <w:szCs w:val="24"/>
        </w:rPr>
      </w:pPr>
      <w:r w:rsidRPr="00DE7219">
        <w:rPr>
          <w:rFonts w:ascii="Book Antiqua" w:hAnsi="Book Antiqua"/>
          <w:bCs/>
          <w:caps/>
          <w:sz w:val="24"/>
          <w:szCs w:val="24"/>
        </w:rPr>
        <w:t>Results</w:t>
      </w:r>
    </w:p>
    <w:p w14:paraId="2B7A946D" w14:textId="31C6D194"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 xml:space="preserve">Overall, 35 studies with a total number of 2511 MSA patients were included and analyzed. Post-operative </w:t>
      </w:r>
      <w:r w:rsidR="004E2CF8" w:rsidRPr="00DE7219">
        <w:rPr>
          <w:rFonts w:ascii="Book Antiqua" w:hAnsi="Book Antiqua"/>
          <w:color w:val="000000"/>
          <w:sz w:val="24"/>
          <w:szCs w:val="24"/>
        </w:rPr>
        <w:t>proton-pump inhibitor (</w:t>
      </w:r>
      <w:r w:rsidRPr="00DE7219">
        <w:rPr>
          <w:rFonts w:ascii="Book Antiqua" w:hAnsi="Book Antiqua"/>
          <w:color w:val="000000"/>
          <w:sz w:val="24"/>
          <w:szCs w:val="24"/>
        </w:rPr>
        <w:t>PPI</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cessation rates reached 100%, with less bloating symptoms and a better ability to belch or vomit in comparison to LF. Special patient groups (</w:t>
      </w:r>
      <w:r w:rsidRPr="00DE7219">
        <w:rPr>
          <w:rFonts w:ascii="Book Antiqua" w:hAnsi="Book Antiqua"/>
          <w:i/>
          <w:iCs/>
          <w:color w:val="000000"/>
          <w:sz w:val="24"/>
          <w:szCs w:val="24"/>
        </w:rPr>
        <w:t>e</w:t>
      </w:r>
      <w:r w:rsidR="004E2CF8" w:rsidRPr="00DE7219">
        <w:rPr>
          <w:rFonts w:ascii="Book Antiqua" w:hAnsi="Book Antiqua"/>
          <w:i/>
          <w:iCs/>
          <w:color w:val="000000"/>
          <w:sz w:val="24"/>
          <w:szCs w:val="24"/>
        </w:rPr>
        <w:t>.</w:t>
      </w:r>
      <w:r w:rsidRPr="00DE7219">
        <w:rPr>
          <w:rFonts w:ascii="Book Antiqua" w:hAnsi="Book Antiqua"/>
          <w:i/>
          <w:iCs/>
          <w:color w:val="000000"/>
          <w:sz w:val="24"/>
          <w:szCs w:val="24"/>
        </w:rPr>
        <w:t>g.</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bariatric or large hiatal-hernias) had promising results too. The most common postoperative complication was dysphagia ranging between 6% and 83%. Dilation due to dysphagia occurred in 8% of patients with typical inclusion criteria. Esophageal erosion may occur in up to 0.03% of patients. Furthermore, a recent trial indicated MSA as an efficient alternative to double-dose PPIs in moderate-to-severe GERD</w:t>
      </w:r>
      <w:r w:rsidRPr="00DE7219">
        <w:rPr>
          <w:rFonts w:ascii="Book Antiqua" w:eastAsia="Times New Roman" w:hAnsi="Book Antiqua"/>
          <w:sz w:val="24"/>
          <w:szCs w:val="24"/>
        </w:rPr>
        <w:t>.</w:t>
      </w:r>
    </w:p>
    <w:p w14:paraId="189CE5BA" w14:textId="77777777" w:rsidR="009727DA" w:rsidRPr="00DE7219" w:rsidRDefault="009727DA" w:rsidP="00DE7219">
      <w:pPr>
        <w:adjustRightInd w:val="0"/>
        <w:snapToGrid w:val="0"/>
        <w:spacing w:line="360" w:lineRule="auto"/>
        <w:rPr>
          <w:rFonts w:ascii="Book Antiqua" w:hAnsi="Book Antiqua"/>
          <w:sz w:val="24"/>
          <w:szCs w:val="24"/>
        </w:rPr>
      </w:pPr>
    </w:p>
    <w:p w14:paraId="5625D906" w14:textId="77777777" w:rsidR="009727DA" w:rsidRPr="00DE7219" w:rsidRDefault="009727DA" w:rsidP="00DE7219">
      <w:pPr>
        <w:adjustRightInd w:val="0"/>
        <w:snapToGrid w:val="0"/>
        <w:spacing w:line="360" w:lineRule="auto"/>
        <w:rPr>
          <w:rFonts w:ascii="Book Antiqua" w:hAnsi="Book Antiqua"/>
          <w:bCs/>
          <w:caps/>
          <w:sz w:val="24"/>
          <w:szCs w:val="24"/>
        </w:rPr>
      </w:pPr>
      <w:r w:rsidRPr="00DE7219">
        <w:rPr>
          <w:rFonts w:ascii="Book Antiqua" w:hAnsi="Book Antiqua"/>
          <w:bCs/>
          <w:caps/>
          <w:sz w:val="24"/>
          <w:szCs w:val="24"/>
        </w:rPr>
        <w:t>Conclusion</w:t>
      </w:r>
    </w:p>
    <w:p w14:paraId="0503ADD3" w14:textId="53A7E2DA"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The findings</w:t>
      </w:r>
      <w:r w:rsidRPr="00DE7219">
        <w:rPr>
          <w:rFonts w:ascii="Book Antiqua" w:hAnsi="Book Antiqua"/>
          <w:b/>
          <w:color w:val="000000"/>
          <w:sz w:val="24"/>
          <w:szCs w:val="24"/>
        </w:rPr>
        <w:t xml:space="preserve"> </w:t>
      </w:r>
      <w:r w:rsidRPr="00DE7219">
        <w:rPr>
          <w:rFonts w:ascii="Book Antiqua" w:hAnsi="Book Antiqua"/>
          <w:color w:val="000000"/>
          <w:sz w:val="24"/>
          <w:szCs w:val="24"/>
        </w:rPr>
        <w:t>of our review suggest that</w:t>
      </w:r>
      <w:r w:rsidRPr="00DE7219">
        <w:rPr>
          <w:rFonts w:ascii="Book Antiqua" w:hAnsi="Book Antiqua"/>
          <w:sz w:val="24"/>
          <w:szCs w:val="24"/>
        </w:rPr>
        <w:t xml:space="preserve"> </w:t>
      </w:r>
      <w:r w:rsidRPr="00DE7219">
        <w:rPr>
          <w:rFonts w:ascii="Book Antiqua" w:hAnsi="Book Antiqua"/>
          <w:color w:val="000000"/>
          <w:sz w:val="24"/>
          <w:szCs w:val="24"/>
        </w:rPr>
        <w:t xml:space="preserve">MSA has the potential to bridge the treatment gap between maxed-out medical treatment and </w:t>
      </w:r>
      <w:r w:rsidR="004E2CF8" w:rsidRPr="00DE7219">
        <w:rPr>
          <w:rFonts w:ascii="Book Antiqua" w:hAnsi="Book Antiqua"/>
          <w:color w:val="000000"/>
          <w:sz w:val="24"/>
          <w:szCs w:val="24"/>
        </w:rPr>
        <w:t>LF</w:t>
      </w:r>
      <w:r w:rsidRPr="00DE7219">
        <w:rPr>
          <w:rFonts w:ascii="Book Antiqua" w:hAnsi="Book Antiqua"/>
          <w:color w:val="000000"/>
          <w:sz w:val="24"/>
          <w:szCs w:val="24"/>
        </w:rPr>
        <w:t>. However, further studies with longer follow-up are needed for a better elucidation of these results</w:t>
      </w:r>
      <w:r w:rsidRPr="00DE7219">
        <w:rPr>
          <w:rFonts w:ascii="Book Antiqua" w:eastAsia="Times New Roman" w:hAnsi="Book Antiqua"/>
          <w:sz w:val="24"/>
          <w:szCs w:val="24"/>
        </w:rPr>
        <w:t>.</w:t>
      </w:r>
    </w:p>
    <w:p w14:paraId="793027AE" w14:textId="77777777" w:rsidR="009727DA" w:rsidRPr="00DE7219" w:rsidRDefault="009727DA" w:rsidP="00DE7219">
      <w:pPr>
        <w:adjustRightInd w:val="0"/>
        <w:snapToGrid w:val="0"/>
        <w:spacing w:line="360" w:lineRule="auto"/>
        <w:rPr>
          <w:rFonts w:ascii="Book Antiqua" w:hAnsi="Book Antiqua"/>
          <w:sz w:val="24"/>
          <w:szCs w:val="24"/>
        </w:rPr>
      </w:pPr>
    </w:p>
    <w:p w14:paraId="476F289C" w14:textId="1774BC84" w:rsidR="009727DA" w:rsidRPr="00DE7219" w:rsidRDefault="009727DA" w:rsidP="00DE7219">
      <w:pPr>
        <w:adjustRightInd w:val="0"/>
        <w:snapToGrid w:val="0"/>
        <w:spacing w:line="360" w:lineRule="auto"/>
        <w:rPr>
          <w:rFonts w:ascii="Book Antiqua" w:eastAsia="Times New Roman" w:hAnsi="Book Antiqua"/>
          <w:sz w:val="24"/>
          <w:szCs w:val="24"/>
        </w:rPr>
      </w:pPr>
      <w:r w:rsidRPr="00DE7219">
        <w:rPr>
          <w:rFonts w:ascii="Book Antiqua" w:eastAsia="Times New Roman" w:hAnsi="Book Antiqua"/>
          <w:b/>
          <w:bCs/>
          <w:sz w:val="24"/>
          <w:szCs w:val="24"/>
        </w:rPr>
        <w:t>Key words:</w:t>
      </w:r>
      <w:bookmarkStart w:id="7" w:name="OLE_LINK501"/>
      <w:bookmarkStart w:id="8" w:name="OLE_LINK502"/>
      <w:r w:rsidRPr="00DE7219">
        <w:rPr>
          <w:rFonts w:ascii="Book Antiqua" w:hAnsi="Book Antiqua"/>
          <w:color w:val="0000FF"/>
          <w:sz w:val="24"/>
          <w:szCs w:val="24"/>
          <w:lang w:val="en"/>
        </w:rPr>
        <w:t xml:space="preserve"> </w:t>
      </w:r>
      <w:bookmarkStart w:id="9" w:name="OLE_LINK9"/>
      <w:r w:rsidRPr="00DE7219">
        <w:rPr>
          <w:rFonts w:ascii="Book Antiqua" w:hAnsi="Book Antiqua"/>
          <w:color w:val="000000"/>
          <w:sz w:val="24"/>
          <w:szCs w:val="24"/>
        </w:rPr>
        <w:t>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w:t>
      </w:r>
      <w:r w:rsidR="004E2CF8" w:rsidRPr="00DE7219">
        <w:rPr>
          <w:rFonts w:ascii="Book Antiqua" w:hAnsi="Book Antiqua"/>
          <w:color w:val="000000"/>
          <w:sz w:val="24"/>
          <w:szCs w:val="24"/>
        </w:rPr>
        <w:t>reflux management system</w:t>
      </w:r>
      <w:bookmarkEnd w:id="9"/>
      <w:r w:rsidRPr="00DE7219">
        <w:rPr>
          <w:rFonts w:ascii="Book Antiqua" w:hAnsi="Book Antiqua"/>
          <w:color w:val="000000"/>
          <w:sz w:val="24"/>
          <w:szCs w:val="24"/>
        </w:rPr>
        <w:t xml:space="preserve">; </w:t>
      </w:r>
      <w:bookmarkStart w:id="10" w:name="OLE_LINK10"/>
      <w:r w:rsidRPr="00DE7219">
        <w:rPr>
          <w:rFonts w:ascii="Book Antiqua" w:hAnsi="Book Antiqua"/>
          <w:color w:val="000000"/>
          <w:sz w:val="24"/>
          <w:szCs w:val="24"/>
        </w:rPr>
        <w:t xml:space="preserve">Magnetic </w:t>
      </w:r>
      <w:r w:rsidR="004E2CF8" w:rsidRPr="00DE7219">
        <w:rPr>
          <w:rFonts w:ascii="Book Antiqua" w:hAnsi="Book Antiqua"/>
          <w:color w:val="000000"/>
          <w:sz w:val="24"/>
          <w:szCs w:val="24"/>
        </w:rPr>
        <w:t>sphincter augmentation</w:t>
      </w:r>
      <w:bookmarkEnd w:id="10"/>
      <w:r w:rsidRPr="00DE7219">
        <w:rPr>
          <w:rFonts w:ascii="Book Antiqua" w:hAnsi="Book Antiqua"/>
          <w:color w:val="000000"/>
          <w:sz w:val="24"/>
          <w:szCs w:val="24"/>
        </w:rPr>
        <w:t xml:space="preserve">; </w:t>
      </w:r>
      <w:bookmarkStart w:id="11" w:name="OLE_LINK11"/>
      <w:r w:rsidRPr="00DE7219">
        <w:rPr>
          <w:rFonts w:ascii="Book Antiqua" w:hAnsi="Book Antiqua"/>
          <w:color w:val="000000"/>
          <w:sz w:val="24"/>
          <w:szCs w:val="24"/>
        </w:rPr>
        <w:t>Gastroesophageal reflux disease</w:t>
      </w:r>
      <w:bookmarkEnd w:id="11"/>
      <w:r w:rsidRPr="00DE7219">
        <w:rPr>
          <w:rFonts w:ascii="Book Antiqua" w:hAnsi="Book Antiqua"/>
          <w:color w:val="000000"/>
          <w:sz w:val="24"/>
          <w:szCs w:val="24"/>
        </w:rPr>
        <w:t xml:space="preserve">; </w:t>
      </w:r>
      <w:bookmarkStart w:id="12" w:name="OLE_LINK12"/>
      <w:bookmarkStart w:id="13" w:name="OLE_LINK13"/>
      <w:r w:rsidR="004E2CF8" w:rsidRPr="00DE7219">
        <w:rPr>
          <w:rFonts w:ascii="Book Antiqua" w:hAnsi="Book Antiqua"/>
          <w:color w:val="000000"/>
          <w:sz w:val="24"/>
          <w:szCs w:val="24"/>
        </w:rPr>
        <w:t>Gastroesophageal reflux disease -</w:t>
      </w:r>
      <w:r w:rsidRPr="00DE7219">
        <w:rPr>
          <w:rFonts w:ascii="Book Antiqua" w:hAnsi="Book Antiqua"/>
          <w:color w:val="000000"/>
          <w:sz w:val="24"/>
          <w:szCs w:val="24"/>
        </w:rPr>
        <w:t xml:space="preserve"> </w:t>
      </w:r>
      <w:r w:rsidR="004E2CF8" w:rsidRPr="00DE7219">
        <w:rPr>
          <w:rFonts w:ascii="Book Antiqua" w:hAnsi="Book Antiqua"/>
          <w:color w:val="000000"/>
          <w:sz w:val="24"/>
          <w:szCs w:val="24"/>
        </w:rPr>
        <w:t>health</w:t>
      </w:r>
      <w:r w:rsidRPr="00DE7219">
        <w:rPr>
          <w:rFonts w:ascii="Book Antiqua" w:hAnsi="Book Antiqua"/>
          <w:color w:val="000000"/>
          <w:sz w:val="24"/>
          <w:szCs w:val="24"/>
        </w:rPr>
        <w:t>-</w:t>
      </w:r>
      <w:r w:rsidR="004E2CF8" w:rsidRPr="00DE7219">
        <w:rPr>
          <w:rFonts w:ascii="Book Antiqua" w:hAnsi="Book Antiqua"/>
          <w:color w:val="000000"/>
          <w:sz w:val="24"/>
          <w:szCs w:val="24"/>
        </w:rPr>
        <w:t xml:space="preserve">related quality </w:t>
      </w:r>
      <w:r w:rsidRPr="00DE7219">
        <w:rPr>
          <w:rFonts w:ascii="Book Antiqua" w:hAnsi="Book Antiqua"/>
          <w:color w:val="000000"/>
          <w:sz w:val="24"/>
          <w:szCs w:val="24"/>
        </w:rPr>
        <w:t xml:space="preserve">of </w:t>
      </w:r>
      <w:r w:rsidR="004E2CF8" w:rsidRPr="00DE7219">
        <w:rPr>
          <w:rFonts w:ascii="Book Antiqua" w:hAnsi="Book Antiqua"/>
          <w:color w:val="000000"/>
          <w:sz w:val="24"/>
          <w:szCs w:val="24"/>
        </w:rPr>
        <w:t>life</w:t>
      </w:r>
      <w:bookmarkEnd w:id="12"/>
      <w:bookmarkEnd w:id="13"/>
    </w:p>
    <w:bookmarkEnd w:id="7"/>
    <w:bookmarkEnd w:id="8"/>
    <w:p w14:paraId="0E75BFD1" w14:textId="77777777" w:rsidR="009727DA" w:rsidRPr="00DE7219" w:rsidRDefault="009727DA" w:rsidP="00DE7219">
      <w:pPr>
        <w:adjustRightInd w:val="0"/>
        <w:snapToGrid w:val="0"/>
        <w:spacing w:line="360" w:lineRule="auto"/>
        <w:rPr>
          <w:rFonts w:ascii="Book Antiqua" w:eastAsia="Times New Roman" w:hAnsi="Book Antiqua"/>
          <w:b/>
          <w:i/>
          <w:sz w:val="24"/>
          <w:szCs w:val="24"/>
        </w:rPr>
      </w:pPr>
    </w:p>
    <w:p w14:paraId="22BFF3BE" w14:textId="77777777" w:rsidR="00C82E79" w:rsidRDefault="002F458F" w:rsidP="00C82E79">
      <w:pPr>
        <w:adjustRightInd w:val="0"/>
        <w:snapToGrid w:val="0"/>
        <w:spacing w:line="360" w:lineRule="auto"/>
        <w:rPr>
          <w:rFonts w:ascii="Book Antiqua" w:hAnsi="Book Antiqua" w:hint="eastAsia"/>
          <w:iCs/>
          <w:sz w:val="24"/>
          <w:szCs w:val="24"/>
        </w:rPr>
      </w:pPr>
      <w:bookmarkStart w:id="14" w:name="OLE_LINK505"/>
      <w:bookmarkStart w:id="15" w:name="OLE_LINK508"/>
      <w:r w:rsidRPr="002F458F">
        <w:rPr>
          <w:rFonts w:ascii="Book Antiqua" w:hAnsi="Book Antiqua" w:hint="eastAsia"/>
          <w:b/>
          <w:color w:val="000000"/>
          <w:sz w:val="24"/>
          <w:szCs w:val="24"/>
        </w:rPr>
        <w:t>Citat</w:t>
      </w:r>
      <w:bookmarkStart w:id="16" w:name="_GoBack"/>
      <w:bookmarkEnd w:id="16"/>
      <w:r w:rsidRPr="002F458F">
        <w:rPr>
          <w:rFonts w:ascii="Book Antiqua" w:hAnsi="Book Antiqua" w:hint="eastAsia"/>
          <w:b/>
          <w:color w:val="000000"/>
          <w:sz w:val="24"/>
          <w:szCs w:val="24"/>
        </w:rPr>
        <w:t>ion:</w:t>
      </w:r>
      <w:r>
        <w:rPr>
          <w:rFonts w:ascii="Book Antiqua" w:hAnsi="Book Antiqua" w:hint="eastAsia"/>
          <w:color w:val="000000"/>
          <w:sz w:val="24"/>
          <w:szCs w:val="24"/>
        </w:rPr>
        <w:t xml:space="preserve"> </w:t>
      </w:r>
      <w:proofErr w:type="spellStart"/>
      <w:r w:rsidR="009727DA" w:rsidRPr="00DE7219">
        <w:rPr>
          <w:rFonts w:ascii="Book Antiqua" w:hAnsi="Book Antiqua"/>
          <w:color w:val="000000"/>
          <w:sz w:val="24"/>
          <w:szCs w:val="24"/>
        </w:rPr>
        <w:t>Schizas</w:t>
      </w:r>
      <w:proofErr w:type="spellEnd"/>
      <w:r w:rsidR="009727DA" w:rsidRPr="00DE7219">
        <w:rPr>
          <w:rFonts w:ascii="Book Antiqua" w:hAnsi="Book Antiqua"/>
          <w:color w:val="000000"/>
          <w:sz w:val="24"/>
          <w:szCs w:val="24"/>
        </w:rPr>
        <w:t xml:space="preserve"> D, </w:t>
      </w:r>
      <w:proofErr w:type="spellStart"/>
      <w:r w:rsidR="009727DA" w:rsidRPr="00DE7219">
        <w:rPr>
          <w:rFonts w:ascii="Book Antiqua" w:hAnsi="Book Antiqua"/>
          <w:color w:val="000000"/>
          <w:sz w:val="24"/>
          <w:szCs w:val="24"/>
        </w:rPr>
        <w:t>Mastoraki</w:t>
      </w:r>
      <w:proofErr w:type="spellEnd"/>
      <w:r w:rsidR="009727DA" w:rsidRPr="00DE7219">
        <w:rPr>
          <w:rFonts w:ascii="Book Antiqua" w:hAnsi="Book Antiqua"/>
          <w:color w:val="000000"/>
          <w:sz w:val="24"/>
          <w:szCs w:val="24"/>
        </w:rPr>
        <w:t xml:space="preserve"> A, </w:t>
      </w:r>
      <w:proofErr w:type="spellStart"/>
      <w:r w:rsidR="009727DA" w:rsidRPr="00DE7219">
        <w:rPr>
          <w:rFonts w:ascii="Book Antiqua" w:hAnsi="Book Antiqua"/>
          <w:color w:val="000000"/>
          <w:sz w:val="24"/>
          <w:szCs w:val="24"/>
        </w:rPr>
        <w:t>Papoutsi</w:t>
      </w:r>
      <w:proofErr w:type="spellEnd"/>
      <w:r w:rsidR="009727DA" w:rsidRPr="00DE7219">
        <w:rPr>
          <w:rFonts w:ascii="Book Antiqua" w:hAnsi="Book Antiqua"/>
          <w:color w:val="000000"/>
          <w:sz w:val="24"/>
          <w:szCs w:val="24"/>
        </w:rPr>
        <w:t xml:space="preserve"> E, </w:t>
      </w:r>
      <w:proofErr w:type="spellStart"/>
      <w:r w:rsidR="009727DA" w:rsidRPr="00DE7219">
        <w:rPr>
          <w:rFonts w:ascii="Book Antiqua" w:hAnsi="Book Antiqua"/>
          <w:color w:val="000000"/>
          <w:sz w:val="24"/>
          <w:szCs w:val="24"/>
        </w:rPr>
        <w:t>Giannakoulis</w:t>
      </w:r>
      <w:proofErr w:type="spellEnd"/>
      <w:r w:rsidR="009727DA" w:rsidRPr="00DE7219">
        <w:rPr>
          <w:rFonts w:ascii="Book Antiqua" w:hAnsi="Book Antiqua"/>
          <w:color w:val="000000"/>
          <w:sz w:val="24"/>
          <w:szCs w:val="24"/>
        </w:rPr>
        <w:t xml:space="preserve"> VG, </w:t>
      </w:r>
      <w:proofErr w:type="spellStart"/>
      <w:r w:rsidR="009727DA" w:rsidRPr="00DE7219">
        <w:rPr>
          <w:rFonts w:ascii="Book Antiqua" w:hAnsi="Book Antiqua"/>
          <w:color w:val="000000"/>
          <w:sz w:val="24"/>
          <w:szCs w:val="24"/>
        </w:rPr>
        <w:t>Kanavidis</w:t>
      </w:r>
      <w:proofErr w:type="spellEnd"/>
      <w:r w:rsidR="009727DA" w:rsidRPr="00DE7219">
        <w:rPr>
          <w:rFonts w:ascii="Book Antiqua" w:hAnsi="Book Antiqua"/>
          <w:color w:val="000000"/>
          <w:sz w:val="24"/>
          <w:szCs w:val="24"/>
        </w:rPr>
        <w:t xml:space="preserve"> P, </w:t>
      </w:r>
      <w:proofErr w:type="spellStart"/>
      <w:r w:rsidR="009727DA" w:rsidRPr="00DE7219">
        <w:rPr>
          <w:rFonts w:ascii="Book Antiqua" w:hAnsi="Book Antiqua"/>
          <w:color w:val="000000"/>
          <w:sz w:val="24"/>
          <w:szCs w:val="24"/>
        </w:rPr>
        <w:t>Tsilimigras</w:t>
      </w:r>
      <w:proofErr w:type="spellEnd"/>
      <w:r w:rsidR="009727DA" w:rsidRPr="00DE7219">
        <w:rPr>
          <w:rFonts w:ascii="Book Antiqua" w:hAnsi="Book Antiqua"/>
          <w:color w:val="000000"/>
          <w:sz w:val="24"/>
          <w:szCs w:val="24"/>
        </w:rPr>
        <w:t xml:space="preserve"> D, </w:t>
      </w:r>
      <w:proofErr w:type="spellStart"/>
      <w:r w:rsidR="009727DA" w:rsidRPr="00DE7219">
        <w:rPr>
          <w:rFonts w:ascii="Book Antiqua" w:hAnsi="Book Antiqua"/>
          <w:color w:val="000000"/>
          <w:sz w:val="24"/>
          <w:szCs w:val="24"/>
        </w:rPr>
        <w:t>Ntourakis</w:t>
      </w:r>
      <w:proofErr w:type="spellEnd"/>
      <w:r w:rsidR="009727DA" w:rsidRPr="00DE7219">
        <w:rPr>
          <w:rFonts w:ascii="Book Antiqua" w:hAnsi="Book Antiqua"/>
          <w:color w:val="000000"/>
          <w:sz w:val="24"/>
          <w:szCs w:val="24"/>
        </w:rPr>
        <w:t xml:space="preserve"> D, </w:t>
      </w:r>
      <w:proofErr w:type="spellStart"/>
      <w:r w:rsidR="009727DA" w:rsidRPr="00DE7219">
        <w:rPr>
          <w:rFonts w:ascii="Book Antiqua" w:hAnsi="Book Antiqua"/>
          <w:color w:val="000000"/>
          <w:sz w:val="24"/>
          <w:szCs w:val="24"/>
        </w:rPr>
        <w:t>Lyros</w:t>
      </w:r>
      <w:proofErr w:type="spellEnd"/>
      <w:r w:rsidR="009727DA" w:rsidRPr="00DE7219">
        <w:rPr>
          <w:rFonts w:ascii="Book Antiqua" w:hAnsi="Book Antiqua"/>
          <w:color w:val="000000"/>
          <w:sz w:val="24"/>
          <w:szCs w:val="24"/>
        </w:rPr>
        <w:t xml:space="preserve"> O, </w:t>
      </w:r>
      <w:proofErr w:type="spellStart"/>
      <w:r w:rsidR="009727DA" w:rsidRPr="00DE7219">
        <w:rPr>
          <w:rFonts w:ascii="Book Antiqua" w:hAnsi="Book Antiqua"/>
          <w:color w:val="000000"/>
          <w:sz w:val="24"/>
          <w:szCs w:val="24"/>
        </w:rPr>
        <w:t>Liakakos</w:t>
      </w:r>
      <w:proofErr w:type="spellEnd"/>
      <w:r w:rsidR="009727DA" w:rsidRPr="00DE7219">
        <w:rPr>
          <w:rFonts w:ascii="Book Antiqua" w:hAnsi="Book Antiqua"/>
          <w:color w:val="000000"/>
          <w:sz w:val="24"/>
          <w:szCs w:val="24"/>
        </w:rPr>
        <w:t xml:space="preserve"> T, </w:t>
      </w:r>
      <w:proofErr w:type="spellStart"/>
      <w:r w:rsidR="009727DA" w:rsidRPr="00DE7219">
        <w:rPr>
          <w:rFonts w:ascii="Book Antiqua" w:hAnsi="Book Antiqua"/>
          <w:color w:val="000000"/>
          <w:sz w:val="24"/>
          <w:szCs w:val="24"/>
        </w:rPr>
        <w:t>Moris</w:t>
      </w:r>
      <w:proofErr w:type="spellEnd"/>
      <w:r w:rsidR="009727DA" w:rsidRPr="00DE7219">
        <w:rPr>
          <w:rFonts w:ascii="Book Antiqua" w:hAnsi="Book Antiqua"/>
          <w:color w:val="000000"/>
          <w:sz w:val="24"/>
          <w:szCs w:val="24"/>
        </w:rPr>
        <w:t xml:space="preserve"> D.</w:t>
      </w:r>
      <w:r w:rsidR="009727DA" w:rsidRPr="00DE7219">
        <w:rPr>
          <w:rFonts w:ascii="Book Antiqua" w:eastAsia="Times New Roman" w:hAnsi="Book Antiqua"/>
          <w:b/>
          <w:sz w:val="24"/>
          <w:szCs w:val="24"/>
          <w:lang w:eastAsia="ar-SA"/>
        </w:rPr>
        <w:t xml:space="preserve"> </w:t>
      </w:r>
      <w:r w:rsidR="009727DA" w:rsidRPr="00DE7219">
        <w:rPr>
          <w:rFonts w:ascii="Book Antiqua" w:eastAsia="Times New Roman" w:hAnsi="Book Antiqua"/>
          <w:sz w:val="24"/>
          <w:szCs w:val="24"/>
          <w:lang w:eastAsia="ar-SA"/>
        </w:rPr>
        <w:t>LINX</w:t>
      </w:r>
      <w:r w:rsidR="00FA48DE" w:rsidRPr="00DE7219">
        <w:rPr>
          <w:rFonts w:ascii="Book Antiqua" w:eastAsia="Times New Roman" w:hAnsi="Book Antiqua"/>
          <w:sz w:val="24"/>
          <w:szCs w:val="24"/>
          <w:vertAlign w:val="superscript"/>
          <w:lang w:eastAsia="ar-SA"/>
        </w:rPr>
        <w:t>®</w:t>
      </w:r>
      <w:r w:rsidR="009727DA" w:rsidRPr="00DE7219">
        <w:rPr>
          <w:rFonts w:ascii="Book Antiqua" w:eastAsia="Times New Roman" w:hAnsi="Book Antiqua"/>
          <w:sz w:val="24"/>
          <w:szCs w:val="24"/>
          <w:lang w:eastAsia="ar-SA"/>
        </w:rPr>
        <w:t xml:space="preserve"> </w:t>
      </w:r>
      <w:r w:rsidR="004E2CF8" w:rsidRPr="00DE7219">
        <w:rPr>
          <w:rFonts w:ascii="Book Antiqua" w:eastAsia="Times New Roman" w:hAnsi="Book Antiqua"/>
          <w:sz w:val="24"/>
          <w:szCs w:val="24"/>
          <w:lang w:eastAsia="ar-SA"/>
        </w:rPr>
        <w:t>reflux management system</w:t>
      </w:r>
      <w:r w:rsidR="009727DA" w:rsidRPr="00DE7219">
        <w:rPr>
          <w:rFonts w:ascii="Book Antiqua" w:eastAsia="Times New Roman" w:hAnsi="Book Antiqua"/>
          <w:sz w:val="24"/>
          <w:szCs w:val="24"/>
          <w:lang w:eastAsia="ar-SA"/>
        </w:rPr>
        <w:t xml:space="preserve"> to bridge the “treatment gap” in </w:t>
      </w:r>
      <w:r w:rsidR="004E2CF8" w:rsidRPr="00DE7219">
        <w:rPr>
          <w:rFonts w:ascii="Book Antiqua" w:eastAsia="Times New Roman" w:hAnsi="Book Antiqua"/>
          <w:sz w:val="24"/>
          <w:szCs w:val="24"/>
          <w:lang w:eastAsia="ar-SA"/>
        </w:rPr>
        <w:t>gastroesophageal reflux disease</w:t>
      </w:r>
      <w:r w:rsidR="009727DA" w:rsidRPr="00DE7219">
        <w:rPr>
          <w:rFonts w:ascii="Book Antiqua" w:eastAsia="Times New Roman" w:hAnsi="Book Antiqua"/>
          <w:sz w:val="24"/>
          <w:szCs w:val="24"/>
          <w:lang w:eastAsia="ar-SA"/>
        </w:rPr>
        <w:t xml:space="preserve">: A </w:t>
      </w:r>
      <w:r w:rsidR="004E2CF8" w:rsidRPr="00DE7219">
        <w:rPr>
          <w:rFonts w:ascii="Book Antiqua" w:eastAsia="Times New Roman" w:hAnsi="Book Antiqua"/>
          <w:sz w:val="24"/>
          <w:szCs w:val="24"/>
          <w:lang w:eastAsia="ar-SA"/>
        </w:rPr>
        <w:t>systematic review</w:t>
      </w:r>
      <w:r w:rsidR="009727DA" w:rsidRPr="00DE7219">
        <w:rPr>
          <w:rFonts w:ascii="Book Antiqua" w:eastAsia="Times New Roman" w:hAnsi="Book Antiqua"/>
          <w:sz w:val="24"/>
          <w:szCs w:val="24"/>
          <w:lang w:eastAsia="ar-SA"/>
        </w:rPr>
        <w:t xml:space="preserve"> of 35 studies.</w:t>
      </w:r>
      <w:r w:rsidR="009727DA" w:rsidRPr="00DE7219">
        <w:rPr>
          <w:rFonts w:ascii="Book Antiqua" w:hAnsi="Book Antiqua"/>
          <w:sz w:val="24"/>
          <w:szCs w:val="24"/>
          <w:lang w:eastAsia="it-IT"/>
        </w:rPr>
        <w:t xml:space="preserve"> </w:t>
      </w:r>
      <w:bookmarkStart w:id="17" w:name="OLE_LINK73"/>
      <w:bookmarkStart w:id="18" w:name="OLE_LINK74"/>
      <w:bookmarkStart w:id="19" w:name="OLE_LINK154"/>
      <w:bookmarkStart w:id="20" w:name="OLE_LINK289"/>
      <w:bookmarkStart w:id="21" w:name="OLE_LINK1826"/>
      <w:bookmarkStart w:id="22" w:name="OLE_LINK26"/>
      <w:bookmarkStart w:id="23" w:name="OLE_LINK385"/>
      <w:bookmarkStart w:id="24" w:name="OLE_LINK309"/>
      <w:bookmarkStart w:id="25" w:name="OLE_LINK424"/>
      <w:r w:rsidR="009727DA" w:rsidRPr="00DE7219">
        <w:rPr>
          <w:rFonts w:ascii="Book Antiqua" w:hAnsi="Book Antiqua"/>
          <w:i/>
          <w:sz w:val="24"/>
          <w:szCs w:val="24"/>
        </w:rPr>
        <w:t xml:space="preserve">World J </w:t>
      </w:r>
      <w:proofErr w:type="spellStart"/>
      <w:r w:rsidR="009727DA" w:rsidRPr="00DE7219">
        <w:rPr>
          <w:rFonts w:ascii="Book Antiqua" w:hAnsi="Book Antiqua"/>
          <w:i/>
          <w:sz w:val="24"/>
          <w:szCs w:val="24"/>
        </w:rPr>
        <w:t>Clin</w:t>
      </w:r>
      <w:proofErr w:type="spellEnd"/>
      <w:r w:rsidR="009727DA" w:rsidRPr="00DE7219">
        <w:rPr>
          <w:rFonts w:ascii="Book Antiqua" w:hAnsi="Book Antiqua"/>
          <w:i/>
          <w:sz w:val="24"/>
          <w:szCs w:val="24"/>
        </w:rPr>
        <w:t xml:space="preserve"> Cases </w:t>
      </w:r>
      <w:bookmarkEnd w:id="14"/>
      <w:bookmarkEnd w:id="15"/>
      <w:bookmarkEnd w:id="17"/>
      <w:bookmarkEnd w:id="18"/>
      <w:bookmarkEnd w:id="19"/>
      <w:bookmarkEnd w:id="20"/>
      <w:bookmarkEnd w:id="21"/>
      <w:bookmarkEnd w:id="22"/>
      <w:bookmarkEnd w:id="23"/>
      <w:bookmarkEnd w:id="24"/>
      <w:bookmarkEnd w:id="25"/>
      <w:r w:rsidR="00C82E79" w:rsidRPr="006438FC">
        <w:rPr>
          <w:rFonts w:ascii="Book Antiqua" w:eastAsia="等线" w:hAnsi="Book Antiqua"/>
          <w:color w:val="000000" w:themeColor="text1"/>
          <w:sz w:val="24"/>
          <w:szCs w:val="24"/>
        </w:rPr>
        <w:t>2</w:t>
      </w:r>
      <w:r w:rsidR="00C82E79">
        <w:rPr>
          <w:rFonts w:ascii="Book Antiqua" w:hAnsi="Book Antiqua"/>
          <w:iCs/>
          <w:sz w:val="24"/>
          <w:szCs w:val="24"/>
        </w:rPr>
        <w:t>020; 8(</w:t>
      </w:r>
      <w:r w:rsidR="00C82E79">
        <w:rPr>
          <w:rFonts w:ascii="Book Antiqua" w:hAnsi="Book Antiqua" w:hint="eastAsia"/>
          <w:iCs/>
          <w:sz w:val="24"/>
          <w:szCs w:val="24"/>
        </w:rPr>
        <w:t>2</w:t>
      </w:r>
      <w:r w:rsidR="00C82E79" w:rsidRPr="006438FC">
        <w:rPr>
          <w:rFonts w:ascii="Book Antiqua" w:hAnsi="Book Antiqua"/>
          <w:iCs/>
          <w:sz w:val="24"/>
          <w:szCs w:val="24"/>
        </w:rPr>
        <w:t xml:space="preserve">): </w:t>
      </w:r>
      <w:r w:rsidR="00C82E79" w:rsidRPr="00BF0565">
        <w:rPr>
          <w:rFonts w:ascii="Book Antiqua" w:hAnsi="Book Antiqua"/>
          <w:iCs/>
          <w:sz w:val="24"/>
          <w:szCs w:val="24"/>
        </w:rPr>
        <w:t>294-305</w:t>
      </w:r>
      <w:r w:rsidR="00C82E79" w:rsidRPr="006438FC">
        <w:rPr>
          <w:rFonts w:ascii="Book Antiqua" w:hAnsi="Book Antiqua"/>
          <w:iCs/>
          <w:sz w:val="24"/>
          <w:szCs w:val="24"/>
        </w:rPr>
        <w:t xml:space="preserve">  </w:t>
      </w:r>
    </w:p>
    <w:p w14:paraId="6499A610" w14:textId="77777777" w:rsidR="00C82E79" w:rsidRDefault="00C82E79" w:rsidP="00C82E79">
      <w:pPr>
        <w:adjustRightInd w:val="0"/>
        <w:snapToGrid w:val="0"/>
        <w:spacing w:line="360" w:lineRule="auto"/>
        <w:rPr>
          <w:rFonts w:ascii="Book Antiqua" w:hAnsi="Book Antiqua" w:hint="eastAsia"/>
          <w:iCs/>
          <w:sz w:val="24"/>
          <w:szCs w:val="24"/>
        </w:rPr>
      </w:pPr>
      <w:r w:rsidRPr="00C82E79">
        <w:rPr>
          <w:rFonts w:ascii="Book Antiqua" w:hAnsi="Book Antiqua"/>
          <w:b/>
          <w:iCs/>
          <w:sz w:val="24"/>
          <w:szCs w:val="24"/>
        </w:rPr>
        <w:t>URL:</w:t>
      </w:r>
      <w:r w:rsidRPr="006438FC">
        <w:rPr>
          <w:rFonts w:ascii="Book Antiqua" w:hAnsi="Book Antiqua"/>
          <w:iCs/>
          <w:sz w:val="24"/>
          <w:szCs w:val="24"/>
        </w:rPr>
        <w:t xml:space="preserve"> https://www.wjgnet.com/</w:t>
      </w:r>
      <w:r w:rsidRPr="006438FC">
        <w:rPr>
          <w:rFonts w:ascii="Book Antiqua" w:hAnsi="Book Antiqua"/>
          <w:color w:val="333333"/>
          <w:sz w:val="24"/>
          <w:szCs w:val="24"/>
          <w:shd w:val="clear" w:color="auto" w:fill="FFFFFF"/>
        </w:rPr>
        <w:t>2307-8960</w:t>
      </w:r>
      <w:r>
        <w:rPr>
          <w:rFonts w:ascii="Book Antiqua" w:hAnsi="Book Antiqua"/>
          <w:iCs/>
          <w:sz w:val="24"/>
          <w:szCs w:val="24"/>
        </w:rPr>
        <w:t>/full/v8/i</w:t>
      </w:r>
      <w:r>
        <w:rPr>
          <w:rFonts w:ascii="Book Antiqua" w:hAnsi="Book Antiqua" w:hint="eastAsia"/>
          <w:iCs/>
          <w:sz w:val="24"/>
          <w:szCs w:val="24"/>
        </w:rPr>
        <w:t>2</w:t>
      </w:r>
      <w:r w:rsidRPr="006438FC">
        <w:rPr>
          <w:rFonts w:ascii="Book Antiqua" w:hAnsi="Book Antiqua"/>
          <w:iCs/>
          <w:sz w:val="24"/>
          <w:szCs w:val="24"/>
        </w:rPr>
        <w:t>/</w:t>
      </w:r>
      <w:r w:rsidRPr="00BF0565">
        <w:rPr>
          <w:rFonts w:ascii="Book Antiqua" w:hAnsi="Book Antiqua"/>
          <w:iCs/>
          <w:sz w:val="24"/>
          <w:szCs w:val="24"/>
        </w:rPr>
        <w:t>294</w:t>
      </w:r>
      <w:r w:rsidRPr="006438FC">
        <w:rPr>
          <w:rFonts w:ascii="Book Antiqua" w:hAnsi="Book Antiqua"/>
          <w:iCs/>
          <w:sz w:val="24"/>
          <w:szCs w:val="24"/>
        </w:rPr>
        <w:t xml:space="preserve">.htm  </w:t>
      </w:r>
    </w:p>
    <w:p w14:paraId="3AFC875D" w14:textId="7584A061" w:rsidR="009727DA" w:rsidRDefault="00C82E79" w:rsidP="00C82E79">
      <w:pPr>
        <w:adjustRightInd w:val="0"/>
        <w:snapToGrid w:val="0"/>
        <w:spacing w:line="360" w:lineRule="auto"/>
        <w:rPr>
          <w:rFonts w:ascii="Book Antiqua" w:hAnsi="Book Antiqua" w:hint="eastAsia"/>
          <w:iCs/>
          <w:sz w:val="24"/>
          <w:szCs w:val="24"/>
        </w:rPr>
      </w:pPr>
      <w:r w:rsidRPr="00C82E79">
        <w:rPr>
          <w:rFonts w:ascii="Book Antiqua" w:hAnsi="Book Antiqua"/>
          <w:b/>
          <w:iCs/>
          <w:sz w:val="24"/>
          <w:szCs w:val="24"/>
        </w:rPr>
        <w:t>DOI:</w:t>
      </w:r>
      <w:r w:rsidRPr="006438FC">
        <w:rPr>
          <w:rFonts w:ascii="Book Antiqua" w:hAnsi="Book Antiqua"/>
          <w:iCs/>
          <w:sz w:val="24"/>
          <w:szCs w:val="24"/>
        </w:rPr>
        <w:t xml:space="preserve"> </w:t>
      </w:r>
      <w:r w:rsidRPr="00B133A0">
        <w:rPr>
          <w:rFonts w:ascii="Book Antiqua" w:hAnsi="Book Antiqua"/>
          <w:iCs/>
          <w:sz w:val="24"/>
          <w:szCs w:val="24"/>
        </w:rPr>
        <w:t>https://dx.doi.org/</w:t>
      </w:r>
      <w:r w:rsidRPr="00B133A0">
        <w:rPr>
          <w:rFonts w:ascii="Book Antiqua" w:eastAsia="宋体" w:hAnsi="Book Antiqua" w:cs="宋体"/>
          <w:kern w:val="0"/>
          <w:sz w:val="24"/>
          <w:szCs w:val="24"/>
        </w:rPr>
        <w:t>10.12998</w:t>
      </w:r>
      <w:r>
        <w:rPr>
          <w:rFonts w:ascii="Book Antiqua" w:hAnsi="Book Antiqua"/>
          <w:iCs/>
          <w:sz w:val="24"/>
          <w:szCs w:val="24"/>
        </w:rPr>
        <w:t>/wjcc.v8.i</w:t>
      </w:r>
      <w:r>
        <w:rPr>
          <w:rFonts w:ascii="Book Antiqua" w:hAnsi="Book Antiqua" w:hint="eastAsia"/>
          <w:iCs/>
          <w:sz w:val="24"/>
          <w:szCs w:val="24"/>
        </w:rPr>
        <w:t>2</w:t>
      </w:r>
      <w:r w:rsidRPr="00B133A0">
        <w:rPr>
          <w:rFonts w:ascii="Book Antiqua" w:hAnsi="Book Antiqua"/>
          <w:iCs/>
          <w:sz w:val="24"/>
          <w:szCs w:val="24"/>
        </w:rPr>
        <w:t>.</w:t>
      </w:r>
      <w:r w:rsidRPr="00BF0565">
        <w:rPr>
          <w:rFonts w:ascii="Book Antiqua" w:hAnsi="Book Antiqua"/>
          <w:iCs/>
          <w:sz w:val="24"/>
          <w:szCs w:val="24"/>
        </w:rPr>
        <w:t>294</w:t>
      </w:r>
    </w:p>
    <w:p w14:paraId="4AF4AEF1" w14:textId="77777777" w:rsidR="00C82E79" w:rsidRPr="00C82E79" w:rsidRDefault="00C82E79" w:rsidP="00C82E79">
      <w:pPr>
        <w:adjustRightInd w:val="0"/>
        <w:snapToGrid w:val="0"/>
        <w:spacing w:line="360" w:lineRule="auto"/>
        <w:rPr>
          <w:rFonts w:ascii="Book Antiqua" w:hAnsi="Book Antiqua"/>
          <w:sz w:val="24"/>
          <w:szCs w:val="24"/>
        </w:rPr>
      </w:pPr>
    </w:p>
    <w:p w14:paraId="04E1D3A7" w14:textId="4DFCC926" w:rsidR="009727DA" w:rsidRPr="00DE7219" w:rsidRDefault="009727DA" w:rsidP="00DE7219">
      <w:pPr>
        <w:adjustRightInd w:val="0"/>
        <w:snapToGrid w:val="0"/>
        <w:spacing w:line="360" w:lineRule="auto"/>
        <w:rPr>
          <w:rFonts w:ascii="Book Antiqua" w:hAnsi="Book Antiqua"/>
          <w:sz w:val="24"/>
          <w:szCs w:val="24"/>
        </w:rPr>
      </w:pPr>
      <w:r w:rsidRPr="00DE7219">
        <w:rPr>
          <w:rFonts w:ascii="Book Antiqua" w:eastAsia="Times New Roman" w:hAnsi="Book Antiqua"/>
          <w:b/>
          <w:bCs/>
          <w:sz w:val="24"/>
          <w:szCs w:val="24"/>
        </w:rPr>
        <w:t>Core tip:</w:t>
      </w:r>
      <w:bookmarkStart w:id="26" w:name="OLE_LINK503"/>
      <w:bookmarkStart w:id="27" w:name="OLE_LINK504"/>
      <w:r w:rsidRPr="00DE7219">
        <w:rPr>
          <w:rFonts w:ascii="Book Antiqua" w:eastAsia="Arial Unicode MS" w:hAnsi="Book Antiqua" w:cs="Arial Unicode MS"/>
          <w:b/>
          <w:sz w:val="24"/>
          <w:szCs w:val="24"/>
        </w:rPr>
        <w:t xml:space="preserve"> </w:t>
      </w:r>
      <w:bookmarkStart w:id="28" w:name="OLE_LINK14"/>
      <w:r w:rsidRPr="00DE7219">
        <w:rPr>
          <w:rFonts w:ascii="Book Antiqua" w:hAnsi="Book Antiqua"/>
          <w:color w:val="000000"/>
          <w:sz w:val="24"/>
          <w:szCs w:val="24"/>
        </w:rPr>
        <w:t xml:space="preserve">Gastroesophageal reflux disease occurs when the reflux of stomach contents causes troublesome symptoms and/or complications. When medical therapy is insufficient, surgical therapy is indicated and, until now, </w:t>
      </w:r>
      <w:r w:rsidR="004E2CF8" w:rsidRPr="00DE7219">
        <w:rPr>
          <w:rFonts w:ascii="Book Antiqua" w:hAnsi="Book Antiqua"/>
          <w:color w:val="000000"/>
          <w:sz w:val="24"/>
          <w:szCs w:val="24"/>
        </w:rPr>
        <w:t xml:space="preserve">laparoscopic fundoplication </w:t>
      </w:r>
      <w:r w:rsidRPr="00DE7219">
        <w:rPr>
          <w:rFonts w:ascii="Book Antiqua" w:hAnsi="Book Antiqua"/>
          <w:color w:val="000000"/>
          <w:sz w:val="24"/>
          <w:szCs w:val="24"/>
        </w:rPr>
        <w:t xml:space="preserve">(LF) constitutes the gold-standard method. However, Magnetic </w:t>
      </w:r>
      <w:r w:rsidR="004E2CF8" w:rsidRPr="00DE7219">
        <w:rPr>
          <w:rFonts w:ascii="Book Antiqua" w:hAnsi="Book Antiqua"/>
          <w:color w:val="000000"/>
          <w:sz w:val="24"/>
          <w:szCs w:val="24"/>
        </w:rPr>
        <w:t xml:space="preserve">sphincter augmentation </w:t>
      </w:r>
      <w:r w:rsidRPr="00DE7219">
        <w:rPr>
          <w:rFonts w:ascii="Book Antiqua" w:hAnsi="Book Antiqua"/>
          <w:color w:val="000000"/>
          <w:sz w:val="24"/>
          <w:szCs w:val="24"/>
        </w:rPr>
        <w:t>(MSA) using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has recently emerged and disputes the standard therapeutic approach. The findings of our review enforce the notion that MSA has the potential to bridge the treatment gap between maxed-out medical treatment and </w:t>
      </w:r>
      <w:r w:rsidR="004E2CF8" w:rsidRPr="00DE7219">
        <w:rPr>
          <w:rFonts w:ascii="Book Antiqua" w:hAnsi="Book Antiqua"/>
          <w:color w:val="000000"/>
          <w:sz w:val="24"/>
          <w:szCs w:val="24"/>
        </w:rPr>
        <w:t>LF</w:t>
      </w:r>
      <w:r w:rsidRPr="00DE7219">
        <w:rPr>
          <w:rFonts w:ascii="Book Antiqua" w:hAnsi="Book Antiqua"/>
          <w:color w:val="000000"/>
          <w:sz w:val="24"/>
          <w:szCs w:val="24"/>
        </w:rPr>
        <w:t>. However, further studies with longer follow-up are needed for a better elucidation of these results</w:t>
      </w:r>
      <w:r w:rsidRPr="00DE7219">
        <w:rPr>
          <w:rFonts w:ascii="Book Antiqua" w:hAnsi="Book Antiqua"/>
          <w:sz w:val="24"/>
          <w:szCs w:val="24"/>
        </w:rPr>
        <w:t>.</w:t>
      </w:r>
      <w:bookmarkEnd w:id="26"/>
      <w:bookmarkEnd w:id="27"/>
    </w:p>
    <w:bookmarkEnd w:id="28"/>
    <w:p w14:paraId="753D943B" w14:textId="77777777" w:rsidR="009727DA" w:rsidRPr="00DE7219" w:rsidRDefault="009727DA" w:rsidP="00DE7219">
      <w:pPr>
        <w:widowControl/>
        <w:spacing w:line="360" w:lineRule="auto"/>
        <w:rPr>
          <w:rFonts w:ascii="Book Antiqua" w:hAnsi="Book Antiqua"/>
          <w:sz w:val="24"/>
          <w:szCs w:val="24"/>
        </w:rPr>
      </w:pPr>
      <w:r w:rsidRPr="00DE7219">
        <w:rPr>
          <w:rFonts w:ascii="Book Antiqua" w:hAnsi="Book Antiqua"/>
          <w:sz w:val="24"/>
          <w:szCs w:val="24"/>
        </w:rPr>
        <w:br w:type="page"/>
      </w:r>
    </w:p>
    <w:p w14:paraId="07D47CDD" w14:textId="77777777" w:rsidR="009727DA" w:rsidRPr="00DE7219" w:rsidRDefault="009727DA" w:rsidP="00DE7219">
      <w:pPr>
        <w:adjustRightInd w:val="0"/>
        <w:snapToGrid w:val="0"/>
        <w:spacing w:line="360" w:lineRule="auto"/>
        <w:rPr>
          <w:rFonts w:ascii="Book Antiqua" w:eastAsia="Times New Roman" w:hAnsi="Book Antiqua"/>
          <w:bCs/>
          <w:sz w:val="24"/>
          <w:szCs w:val="24"/>
          <w:u w:val="single"/>
        </w:rPr>
      </w:pPr>
      <w:r w:rsidRPr="00DE7219">
        <w:rPr>
          <w:rFonts w:ascii="Book Antiqua" w:eastAsia="Times New Roman" w:hAnsi="Book Antiqua"/>
          <w:b/>
          <w:bCs/>
          <w:sz w:val="24"/>
          <w:szCs w:val="24"/>
          <w:u w:val="single"/>
        </w:rPr>
        <w:t>INTRODUCTION</w:t>
      </w:r>
    </w:p>
    <w:p w14:paraId="52DA00A1" w14:textId="6DCD29DF"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Gastroesophageal reflux disease (GERD) represents the most common gastrointestinal disorder of the esophagus, with an estimated prevalence of 10%-30% in the western world</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{"citationItems":[{"id":"ITEM-1","itemData":{"DOI":"10.1136/gutjnl-2012-304269","ISSN":"1468-3288","PMID":"23853213","abstract":"OBJECTIVE To update the findings of the 2005 systematic review of population-based studies assessing the epidemiology of gastro-oesophageal reflux disease (GERD). DESIGN PubMed and Embase were screened for new references using the original search strings. Studies were required to be population-based, to include ≥ 200 individuals, to have response rates ≥ 50% and recall periods &lt;12 months. GERD was defined as heartburn and/or regurgitation on at least 1 day a week, or according to the Montreal definition, or diagnosed by a clinician. Temporal and geographic trends in disease prevalence were examined using a Poisson regression model. RESULTS 16 studies of GERD epidemiology published since the original review were found to be suitable for inclusion (15 reporting prevalence and one reporting incidence), and were added to the 13 prevalence and two incidence studies found previously. The range of GERD prevalence estimates was 18.1%-27.8% in North America, 8.8%-25.9% in Europe, 2.5%-7.8% in East Asia, 8.7%-33.1% in the Middle East, 11.6% in Australia and 23.0% in South America. Incidence per 1000 person-years was approximately 5 in the overall UK and US populations, and 0.84 in paediatric patients aged 1-17 years in the UK. Evidence suggests an increase in GERD prevalence since 1995 (p&lt;0.0001), particularly in North America and East Asia. CONCLUSIONS GERD is prevalent worldwide, and disease burden may be increasing. Prevalence estimates show considerable geographic variation, but only East Asia shows estimates consistently lower than 10%.","author":[{"dropping-particle":"","family":"El-Serag","given":"Hashem B","non-dropping-particle":"","parse-names":false,"suffix":""},{"dropping-particle":"","family":"Sweet","given":"Stephen","non-dropping-particle":"","parse-names":false,"suffix":""},{"dropping-particle":"","family":"Winchester","given":"Christopher C","non-dropping-particle":"","parse-names":false,"suffix":""},{"dropping-particle":"","family":"Dent","given":"John","non-dropping-particle":"","parse-names":false,"suffix":""}],"container-title":"Gut","id":"ITEM-1","issue":"6","issued":{"date-parts":[["2014","6"]]},"page":"871-80","publisher":"NIH Public Access","title":"Update on the epidemiology of gastro-oesophageal reflux disease: a systematic review.","type":"article-journal","volume":"63"},"uris":["http://www.mendeley.com/documents/?uuid=1be6898e-dbe1-379c-89b6-4c9d4ddbec7f"]}],"mendeley":{"formattedCitation":"[1]","plainTextFormattedCitation":"[1]","previouslyFormattedCitation":"[1]"},"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According to the Montreal definition of GERD, it is defined as “a condition which develops when the reflux of stomach contents causes troublesome symptoms and/or complications”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{"citationItems":[{"id":"ITEM-1","itemData":{"DOI":"10.1111/j.1572-0241.2006.00630.x","ISSN":"00029270","PMID":"16928254","abstract":"OBJECTIVES A globally acceptable definition and classification of gastroesophageal reflux disease (GERD) is desirable for research and clinical practice. The aim of this initiative was to develop a consensus definition and classification that would be useful for patients, physicians, and regulatory agencies. METHODS A modified Delphi process was employed to reach consensus using repeated iterative voting. A series of statements was developed by a working group of five experts after a systematic review of the literature in three databases (Embase, Cochrane trials register, Medline). Over a period of 2 yr, the statements were developed, modified, and approved through four rounds of voting. The voting group consisted of 44 experts from 18 countries. The final vote was conducted on a 6-point scale and consensus was defined a priori as agreement by two-thirds of the participants. RESULTS The level of agreement strengthened throughout the process with two-thirds of the participants agreeing with 86%, 88%, 94%, and 100% of statements at each vote, respectively. At the final vote, 94% of the final 51 statements were approved by 90% of the Consensus Group, and 90% of statements were accepted with strong agreement or minor reservation. GERD was defined as a condition that develops when the reflux of stomach contents causes troublesome symptoms and/or complications. The disease was subclassified into esophageal and extraesophageal syndromes. Novel aspects of the new definition include a patient-centered approach that is independent of endoscopic findings, subclassification of the disease into discrete syndromes, and the recognition of laryngitis, cough, asthma, and dental erosions as possible GERD syndromes. It also proposes a new definition for suspected and proven Barrett's esophagus. CONCLUSIONS Evidence-based global consensus definitions are possible despite differences in terminology and language, prevalence, and manifestations of the disease in different countries. A global consensus definition for GERD may simplify disease management, allow collaborative research, and make studies more generalizable, assisting patients, physicians, and regulatory agencies.","author":[{"dropping-particle":"","family":"Vakil","given":"Nimish","non-dropping-particle":"","parse-names":false,"suffix":""},{"dropping-particle":"V.","family":"Zanten","given":"Sander","non-dropping-particle":"van","parse-names":false,"suffix":""},{"dropping-particle":"","family":"Kahrilas","given":"Peter","non-dropping-particle":"","parse-names":false,"suffix":""},{"dropping-particle":"","family":"Dent","given":"John","non-dropping-particle":"","parse-names":false,"suffix":""},{"dropping-particle":"","family":"Jones","given":"Roger","non-dropping-particle":"","parse-names":false,"suffix":""},{"dropping-particle":"","family":"Global Consensus Group","given":"","non-dropping-particle":"","parse-names":false,"suffix":""}],"container-title":"The American Journal of Gastroenterology","id":"ITEM-1","issue":"8","issued":{"date-parts":[["2006","8"]]},"page":"1900-1920","title":"The Montreal Definition and Classification of Gastroesophageal Reflux Disease: A Global Evidence-Based Consensus","type":"article-journal","volume":"101"},"uris":["http://www.mendeley.com/documents/?uuid=c564eed6-e1a1-3fcd-b81d-53cf08c60fab"]}],"mendeley":{"formattedCitation":"[2]","plainTextFormattedCitation":"[2]","previouslyFormattedCitation":"[2]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The main underlying causal mechanism of GERD constitutes a failure in the valvular mechanism of the esophagogastric junction, which normally prevents reflux of stomach contents. This mechanism consists of six anatomic elements; the lower esophageal sphincter (LES), the diaphragmatic </w:t>
      </w:r>
      <w:proofErr w:type="spellStart"/>
      <w:r w:rsidRPr="00DE7219">
        <w:rPr>
          <w:rFonts w:ascii="Book Antiqua" w:hAnsi="Book Antiqua"/>
          <w:color w:val="000000"/>
          <w:sz w:val="24"/>
          <w:szCs w:val="24"/>
        </w:rPr>
        <w:t>crura</w:t>
      </w:r>
      <w:proofErr w:type="spellEnd"/>
      <w:r w:rsidRPr="00DE7219">
        <w:rPr>
          <w:rFonts w:ascii="Book Antiqua" w:hAnsi="Book Antiqua"/>
          <w:color w:val="000000"/>
          <w:sz w:val="24"/>
          <w:szCs w:val="24"/>
        </w:rPr>
        <w:t xml:space="preserve">, the abdominal part of the esophagus, the acute angle of His and the </w:t>
      </w:r>
      <w:proofErr w:type="spellStart"/>
      <w:r w:rsidRPr="00DE7219">
        <w:rPr>
          <w:rFonts w:ascii="Book Antiqua" w:hAnsi="Book Antiqua"/>
          <w:color w:val="000000"/>
          <w:sz w:val="24"/>
          <w:szCs w:val="24"/>
        </w:rPr>
        <w:t>Gubaroff</w:t>
      </w:r>
      <w:proofErr w:type="spellEnd"/>
      <w:r w:rsidRPr="00DE7219">
        <w:rPr>
          <w:rFonts w:ascii="Book Antiqua" w:hAnsi="Book Antiqua"/>
          <w:color w:val="000000"/>
          <w:sz w:val="24"/>
          <w:szCs w:val="24"/>
        </w:rPr>
        <w:t xml:space="preserve"> valves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{"citationItems":[{"id":"ITEM-1","itemData":{"DOI":"10.1007/s00268-017-3952-4","ISSN":"0364-2313","author":[{"dropping-particle":"","family":"Menezes","given":"Mariano A.","non-dropping-particle":"","parse-names":false,"suffix":""},{"dropping-particle":"","family":"Herbella","given":"Fernando A. M.","non-dropping-particle":"","parse-names":false,"suffix":""}],"container-title":"World Journal of Surgery","id":"ITEM-1","issue":"7","issued":{"date-parts":[["2017","7","3"]]},"page":"1666-1671","title":"Pathophysiology of Gastroesophageal Reflux Disease","type":"article-journal","volume":"41"},"uris":["http://www.mendeley.com/documents/?uuid=a7ae930a-eb91-308e-9073-83f13cf57993"]}],"mendeley":{"formattedCitation":"[3]","plainTextFormattedCitation":"[3]","previouslyFormattedCitation":"[3]"},"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[3]</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GERD typically presents with regurgitation and heartburn, which constitute hallmark clinical signs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{"citationItems":[{"id":"ITEM-1","itemData":{"DOI":"10.4292/wjgpt.v5.i3.105","ISSN":"2150-5349","PMID":"25133039","abstract":"Gastroesophageal reflux disease (GERD) is a common disease with a prevalence as high as 10%-20% in the western world. The disease can manifest in various symptoms which can be grouped into typical, atypical and extra-esophageal symptoms. Those with the highest specificity for GERD are acid regurgitation and heartburn. In the absence of alarm symptoms, these symptoms can allow one to make a presumptive diagnosis and initiate empiric therapy. In certain situations, further diagnostic testing is needed to confirm the diagnosis as well as to assess for complications or alternate causes for the symptoms. GERD complications include erosive esophagitis, peptic stricture, Barrett's esophagus, esophageal adenocarcinoma and pulmonary disease. Management of GERD may involve lifestyle modification, medical therapy and surgical therapy. Lifestyle modifications including weight loss and/or head of bed elevation have been shown to improve esophageal pH and/or GERD symptoms. Medical therapy involves acid suppression which can be achieved with antacids, histamine-receptor antagonists or proton-pump inhibitors. Whereas most patients can be effectively managed with medical therapy, others may go on to require anti-reflux surgery after undergoing a proper pre-operative evaluation. The purpose of this review is to discuss the current approach to the diagnosis and treatment of gastroesophageal reflux disease.","author":[{"dropping-particle":"","family":"Badillo","given":"Raul","non-dropping-particle":"","parse-names":false,"suffix":""},{"dropping-particle":"","family":"Francis","given":"Dawn","non-dropping-particle":"","parse-names":false,"suffix":""}],"container-title":"World journal of gastrointestinal pharmacology and therapeutics","id":"ITEM-1","issue":"3","issued":{"date-parts":[["2014","8","6"]]},"page":"105-12","publisher":"Baishideng Publishing Group Inc","title":"Diagnosis and treatment of gastroesophageal reflux disease.","type":"article-journal","volume":"5"},"uris":["http://www.mendeley.com/documents/?uuid=09c7fbcc-61e4-3cd0-8275-f66ec91ffd87"]}],"mendeley":{"formattedCitation":"[4]","plainTextFormattedCitation":"[4]","previouslyFormattedCitation":"[4]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However, the Montreal definition and classification of GERD describes a wide range of clinical presentation, from typical esophageal symptoms to atypical cardiac, laryngeal, and pulmonary ones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{"citationItems":[{"id":"ITEM-1","itemData":{"DOI":"10.1111/j.1572-0241.2006.00630.x","ISSN":"00029270","PMID":"16928254","abstract":"OBJECTIVES A globally acceptable definition and classification of gastroesophageal reflux disease (GERD) is desirable for research and clinical practice. The aim of this initiative was to develop a consensus definition and classification that would be useful for patients, physicians, and regulatory agencies. METHODS A modified Delphi process was employed to reach consensus using repeated iterative voting. A series of statements was developed by a working group of five experts after a systematic review of the literature in three databases (Embase, Cochrane trials register, Medline). Over a period of 2 yr, the statements were developed, modified, and approved through four rounds of voting. The voting group consisted of 44 experts from 18 countries. The final vote was conducted on a 6-point scale and consensus was defined a priori as agreement by two-thirds of the participants. RESULTS The level of agreement strengthened throughout the process with two-thirds of the participants agreeing with 86%, 88%, 94%, and 100% of statements at each vote, respectively. At the final vote, 94% of the final 51 statements were approved by 90% of the Consensus Group, and 90% of statements were accepted with strong agreement or minor reservation. GERD was defined as a condition that develops when the reflux of stomach contents causes troublesome symptoms and/or complications. The disease was subclassified into esophageal and extraesophageal syndromes. Novel aspects of the new definition include a patient-centered approach that is independent of endoscopic findings, subclassification of the disease into discrete syndromes, and the recognition of laryngitis, cough, asthma, and dental erosions as possible GERD syndromes. It also proposes a new definition for suspected and proven Barrett's esophagus. CONCLUSIONS Evidence-based global consensus definitions are possible despite differences in terminology and language, prevalence, and manifestations of the disease in different countries. A global consensus definition for GERD may simplify disease management, allow collaborative research, and make studies more generalizable, assisting patients, physicians, and regulatory agencies.","author":[{"dropping-particle":"","family":"Vakil","given":"Nimish","non-dropping-particle":"","parse-names":false,"suffix":""},{"dropping-particle":"V.","family":"Zanten","given":"Sander","non-dropping-particle":"van","parse-names":false,"suffix":""},{"dropping-particle":"","family":"Kahrilas","given":"Peter","non-dropping-particle":"","parse-names":false,"suffix":""},{"dropping-particle":"","family":"Dent","given":"John","non-dropping-particle":"","parse-names":false,"suffix":""},{"dropping-particle":"","family":"Jones","given":"Roger","non-dropping-particle":"","parse-names":false,"suffix":""},{"dropping-particle":"","family":"Global Consensus Group","given":"","non-dropping-particle":"","parse-names":false,"suffix":""}],"container-title":"The American Journal of Gastroenterology","id":"ITEM-1","issue":"8","issued":{"date-parts":[["2006","8"]]},"page":"1900-1920","title":"The Montreal Definition and Classification of Gastroesophageal Reflux Disease: A Global Evidence-Based Consensus","type":"article-journal","volume":"101"},"uris":["http://www.mendeley.com/documents/?uuid=c564eed6-e1a1-3fcd-b81d-53cf08c60fab"]}],"mendeley":{"formattedCitation":"[2]","plainTextFormattedCitation":"[2]","previouslyFormattedCitation":"[2]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24DC6F5C" w14:textId="0B3DAEFB"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Should GERD stay undertreated, a series of severe complications may occur. Erosive esophagitis, peptic stricture, aspiration pneumonia, exacerbations of chronic obstructive lung disease and lung fibrosis have been associated with reflux of gastric contents into the esophagus and the airways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10.1111/j.1742-1241.2005.00370.x","ISSN":"13685031","author":[{"dropping-particle":"","family":"Malfertheiner","given":"P.","non-dropping-particle":"","parse-names":false,"suffix":""},{"dropping-particle":"","family":"Hallerbäck","given":"B.","non-dropping-particle":"","parse-names":false,"suffix":""}],"container-title":"International Journal of Clinical Practice","id":"ITEM-1","issue":"3","issued":{"date-parts":[["2005","2","23"]]},"page":"346-355","title":"Clinical manifestations and complications of gastroesophageal reflux disease (GERD)","type":"article-journal","volume":"59"},"uris":["http://www.mendeley.com/documents/?uuid=41c3bd60-c351-38ef-b818-4af445a56ddb"]}],"mendeley":{"formattedCitation":"[5]","plainTextFormattedCitation":"[5]","previouslyFormattedCitation":"[5]"},"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[5]</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GERD can also cause Barrett’s esophagus (BE), a precancerous state for esophageal adenocarcinoma</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10.1016/j.bpg.2013.07.002","ISSN":"15216918","author":[{"dropping-particle":"","family":"Parasa","given":"S.","non-dropping-particle":"","parse-names":false,"suffix":""},{"dropping-particle":"","family":"Sharma","given":"P.","non-dropping-particle":"","parse-names":false,"suffix":""}],"container-title":"Best Practice &amp; Research Clinical Gastroenterology","id":"ITEM-1","issue":"3","issued":{"date-parts":[["2013","6"]]},"page":"433-442","title":"Complications of gastro-oesophageal reflux disease","type":"article-journal","volume":"27"},"uris":["http://www.mendeley.com/documents/?uuid=19d7639c-4be3-3341-b8d0-b7d97cb33ed9"]}],"mendeley":{"formattedCitation":"[6]","plainTextFormattedCitation":"[6]","previouslyFormattedCitation":"[6]"},"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[6]</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The initial diagnostic approach includes some combination of symptom presentation, objective testing with endoscopy, ambulatory reflux monitoring (24 h PH-</w:t>
      </w:r>
      <w:proofErr w:type="spellStart"/>
      <w:r w:rsidRPr="00DE7219">
        <w:rPr>
          <w:rFonts w:ascii="Book Antiqua" w:hAnsi="Book Antiqua"/>
          <w:color w:val="000000"/>
          <w:sz w:val="24"/>
          <w:szCs w:val="24"/>
        </w:rPr>
        <w:t>Metry</w:t>
      </w:r>
      <w:proofErr w:type="spellEnd"/>
      <w:r w:rsidRPr="00DE7219">
        <w:rPr>
          <w:rFonts w:ascii="Book Antiqua" w:hAnsi="Book Antiqua"/>
          <w:color w:val="000000"/>
          <w:sz w:val="24"/>
          <w:szCs w:val="24"/>
        </w:rPr>
        <w:t xml:space="preserve">), and response to antisecretory therapy. The treatment approach usually starts with lifestyle modifications and </w:t>
      </w:r>
      <w:proofErr w:type="spellStart"/>
      <w:r w:rsidRPr="00DE7219">
        <w:rPr>
          <w:rFonts w:ascii="Book Antiqua" w:hAnsi="Book Antiqua"/>
          <w:color w:val="000000"/>
          <w:sz w:val="24"/>
          <w:szCs w:val="24"/>
        </w:rPr>
        <w:t>antireflux</w:t>
      </w:r>
      <w:proofErr w:type="spellEnd"/>
      <w:r w:rsidRPr="00DE7219">
        <w:rPr>
          <w:rFonts w:ascii="Book Antiqua" w:hAnsi="Book Antiqua"/>
          <w:color w:val="000000"/>
          <w:sz w:val="24"/>
          <w:szCs w:val="24"/>
        </w:rPr>
        <w:t xml:space="preserve"> medical therapy with proton-pump inhibitors (PPIs)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{"citationItems":[{"id":"ITEM-1","itemData":{"DOI":"10.1038/ajg.2012.444","ISSN":"0002-9270","author":[{"dropping-particle":"","family":"Katz","given":"Philip O","non-dropping-particle":"","parse-names":false,"suffix":""},{"dropping-particle":"","family":"Gerson","given":"Lauren B","non-dropping-particle":"","parse-names":false,"suffix":""},{"dropping-particle":"","family":"Vela","given":"Marcelo F","non-dropping-particle":"","parse-names":false,"suffix":""}],"container-title":"American Journal of Gastroenterology","id":"ITEM-1","issue":"3","issued":{"date-parts":[["2013","3"]]},"page":"308-328","title":"Guidelines for the Diagnosis and Management of Gastroesophageal Reflux Disease","type":"article-journal","volume":"108"},"uris":["http://www.mendeley.com/documents/?uuid=44d6f8a0-3552-3243-8e3d-b60e06597f6c"]}],"mendeley":{"formattedCitation":"[7]","plainTextFormattedCitation":"[7]","previouslyFormattedCitation":"[7]"},"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[7]</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However, 10%-40% of patients do not respond well in standard treatment. Additionally, reflux in typical treatment is not halted, because PPIs do not fundamentally address the pathophysiology of the disease and the function of the </w:t>
      </w:r>
      <w:proofErr w:type="spellStart"/>
      <w:r w:rsidRPr="00DE7219">
        <w:rPr>
          <w:rFonts w:ascii="Book Antiqua" w:hAnsi="Book Antiqua"/>
          <w:color w:val="000000"/>
          <w:sz w:val="24"/>
          <w:szCs w:val="24"/>
        </w:rPr>
        <w:t>antireflux</w:t>
      </w:r>
      <w:proofErr w:type="spellEnd"/>
      <w:r w:rsidRPr="00DE7219">
        <w:rPr>
          <w:rFonts w:ascii="Book Antiqua" w:hAnsi="Book Antiqua"/>
          <w:color w:val="000000"/>
          <w:sz w:val="24"/>
          <w:szCs w:val="24"/>
        </w:rPr>
        <w:t xml:space="preserve"> mechanism</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{"citationItems":[{"id":"ITEM-1","itemData":{"DOI":"10.1016/J.BPG.2013.06.005","ISSN":"1532-1916","PMID":"23998978","abstract":"Proton pump inhibitors (PPIs) remove most of the acid from the gastroesophageal refluxate. However, PPIs do not eliminate reflux and the response of specific GERD symptoms to PPI therapy depends on the degree to which acid drives those symptoms. PPIs are progressively less effective for heartburn, regurgitation, chest pain and extra-oesophageal symptoms. Hence, with an incomplete PPI response, obtaining an accurate history, detailing which symptoms are 'refractory' and exactly what evidence exists linking these symptoms to GERD is paramount. Reflux can continue to cause symptoms despite PPI therapy because of persistent acid reflux or weakly acidic reflux. Given these possibilities, diagnostic testing (pH or pH-impedance monitoring) becomes essential. Antireflux surgery is an alternative in patients if a clear relationship is established between persistent symptoms, particularly regurgitation, and reflux. Treating visceral hypersensitivity may also benefit the subset of GERD patients whose symptoms are driven by this mechanism.","author":[{"dropping-particle":"","family":"Kahrilas","given":"Peter J","non-dropping-particle":"","parse-names":false,"suffix":""},{"dropping-particle":"","family":"Boeckxstaens","given":"Guy","non-dropping-particle":"","parse-names":false,"suffix":""},{"dropping-particle":"","family":"Smout","given":"Andre JPM","non-dropping-particle":"","parse-names":false,"suffix":""}],"container-title":"Best practice &amp; research. Clinical gastroenterology","id":"ITEM-1","issue":"3","issued":{"date-parts":[["2013","6"]]},"page":"401","publisher":"NIH Public Access","title":"Management of the Patient with Incomplete Response to PPI Therapy","type":"article-journal","volume":"27"},"uris":["http://www.mendeley.com/documents/?uuid=4af486a7-ea39-38b3-8030-4880fdb6c19e"]}],"mendeley":{"formattedCitation":"[8]","plainTextFormattedCitation":"[8]","previouslyFormattedCitation":"[8]"},"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[8]</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72CC35FD" w14:textId="5279B458"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131413"/>
          <w:sz w:val="24"/>
          <w:szCs w:val="24"/>
        </w:rPr>
        <w:t xml:space="preserve">In patients not responding to standard treatment, surgical therapy is often proposed. Laparoscopic Nissen </w:t>
      </w:r>
      <w:r w:rsidR="004E2CF8" w:rsidRPr="00DE7219">
        <w:rPr>
          <w:rFonts w:ascii="Book Antiqua" w:hAnsi="Book Antiqua"/>
          <w:color w:val="131413"/>
          <w:sz w:val="24"/>
          <w:szCs w:val="24"/>
        </w:rPr>
        <w:t xml:space="preserve">fundoplication </w:t>
      </w:r>
      <w:r w:rsidRPr="00DE7219">
        <w:rPr>
          <w:rFonts w:ascii="Book Antiqua" w:hAnsi="Book Antiqua"/>
          <w:color w:val="131413"/>
          <w:sz w:val="24"/>
          <w:szCs w:val="24"/>
        </w:rPr>
        <w:t>(LNF) has been established as the gold standard treatment procedure for GERD. Additionally, in the presence of a hiatal hernia, concurrent hiatal hernia repair should be performed along with the LNF</w:t>
      </w:r>
      <w:r w:rsidRPr="00DE7219">
        <w:rPr>
          <w:rFonts w:ascii="Book Antiqua" w:hAnsi="Book Antiqua"/>
          <w:color w:val="131413"/>
          <w:sz w:val="24"/>
          <w:szCs w:val="24"/>
          <w:vertAlign w:val="superscript"/>
        </w:rPr>
        <w:fldChar w:fldCharType="begin" w:fldLock="1"/>
      </w:r>
      <w:r w:rsidRPr="00DE7219">
        <w:rPr>
          <w:rFonts w:ascii="Book Antiqua" w:hAnsi="Book Antiqua"/>
          <w:color w:val="131413"/>
          <w:sz w:val="24"/>
          <w:szCs w:val="24"/>
          <w:vertAlign w:val="superscript"/>
        </w:rPr>
        <w:instrText>ADDIN CSL_CITATION {"citationItems":[{"id":"ITEM-1","itemData":{"DOI":"10.4240/wjgs.v8.i1.77","ISSN":"1948-9366","PMID":"26843915","abstract":"Gastroesophageal reflux disease (GERD) is a very common disorder with increasing prevalence. It is estimated that up to 20%-25% of Americans experience symptoms of GERD weekly. Excessive reflux of acidic often with alkaline bile salt gastric and duodenal contents results in a multitude of symptoms for the patient including heartburn, regurgitation, cough, and dysphagia. There are also associated complications of GERD including erosive esophagitis, Barrett's esophagus, stricture and adenocarcinoma of the esophagus. While first line treatments for GERD involve mainly lifestyle and non-surgical therapies, surgical interventions have proven to be effective in appropriate circumstances. Anti-reflux operations are aimed at creating an effective barrier to reflux at the gastroesophageal junction and thus attempt to improve physiologic and mechanical issues that may be involved in the pathogenesis of GERD. The decision for surgical intervention in the treatment of GERD, moreover, requires an objective confirmation of the diagnosis. Confirmation is achieved using various preoperative evaluations including: ambulatory pH monitoring, esophageal manometry, upper endoscopy (esophagogastroduodenoscopy) and barium swallow. Upon confirmation of the diagnosis and with appropriate patient criteria met, an anti-reflux operation is a good alternative to prolonged medical therapy. Currently, minimally invasive gastro-esophageal fundoplication is the gold standard for surgical intervention of GERD. Our review outlines the many factors that are involved in surgical decision-making. We will review the prominent features that reflect appropriate anti-reflux surgery and present suggestions that are pertinent to surgical practices, based on evidence-based studies.","author":[{"dropping-particle":"","family":"Moore","given":"Maureen","non-dropping-particle":"","parse-names":false,"suffix":""},{"dropping-particle":"","family":"Afaneh","given":"Cheguevara","non-dropping-particle":"","parse-names":false,"suffix":""},{"dropping-particle":"","family":"Benhuri","given":"Daniel","non-dropping-particle":"","parse-names":false,"suffix":""},{"dropping-particle":"","family":"Antonacci","given":"Caroline","non-dropping-particle":"","parse-names":false,"suffix":""},{"dropping-particle":"","family":"Abelson","given":"Jonathan","non-dropping-particle":"","parse-names":false,"suffix":""},{"dropping-particle":"","family":"Zarnegar","given":"Rasa","non-dropping-particle":"","parse-names":false,"suffix":""}],"container-title":"World journal of gastrointestinal surgery","id":"ITEM-1","issue":"1","issued":{"date-parts":[["2016","1","27"]]},"page":"77-83","publisher":"Baishideng Publishing Group Inc","title":"Gastroesophageal reflux disease: A review of surgical decision making.","type":"article-journal","volume":"8"},"uris":["http://www.mendeley.com/documents/?uuid=b16c7996-c6d5-35ee-bbc8-ce94512442e1"]}],"mendeley":{"formattedCitation":"[9]","plainTextFormattedCitation":"[9]","previouslyFormattedCitation":"[9]"},"properties":{"noteIndex":0},"schema":"https://github.com/citation-style-language/schema/raw/master/csl-citation.json"}</w:instrText>
      </w:r>
      <w:r w:rsidRPr="00DE7219">
        <w:rPr>
          <w:rFonts w:ascii="Book Antiqua" w:hAnsi="Book Antiqua"/>
          <w:color w:val="131413"/>
          <w:sz w:val="24"/>
          <w:szCs w:val="24"/>
          <w:vertAlign w:val="superscript"/>
        </w:rPr>
        <w:fldChar w:fldCharType="separate"/>
      </w:r>
      <w:r w:rsidRPr="00DE7219">
        <w:rPr>
          <w:rFonts w:ascii="Book Antiqua" w:hAnsi="Book Antiqua"/>
          <w:noProof/>
          <w:color w:val="131413"/>
          <w:sz w:val="24"/>
          <w:szCs w:val="24"/>
          <w:vertAlign w:val="superscript"/>
        </w:rPr>
        <w:t>[9]</w:t>
      </w:r>
      <w:r w:rsidRPr="00DE7219">
        <w:rPr>
          <w:rFonts w:ascii="Book Antiqua" w:hAnsi="Book Antiqua"/>
          <w:color w:val="131413"/>
          <w:sz w:val="24"/>
          <w:szCs w:val="24"/>
          <w:vertAlign w:val="superscript"/>
        </w:rPr>
        <w:fldChar w:fldCharType="end"/>
      </w:r>
      <w:r w:rsidRPr="00DE7219">
        <w:rPr>
          <w:rFonts w:ascii="Book Antiqua" w:hAnsi="Book Antiqua"/>
          <w:color w:val="131413"/>
          <w:sz w:val="24"/>
          <w:szCs w:val="24"/>
        </w:rPr>
        <w:t>. Although its long-term safety and efficacy are well documented (postoperative symptom resolution and decreased acid reflux in up to 94% of patients), the level of technical difficulty and the possible side effects have limited LNF to a specific subset of GERD patients</w:t>
      </w:r>
      <w:r w:rsidRPr="00DE7219">
        <w:rPr>
          <w:rFonts w:ascii="Book Antiqua" w:hAnsi="Book Antiqua"/>
          <w:color w:val="131413"/>
          <w:sz w:val="24"/>
          <w:szCs w:val="24"/>
          <w:vertAlign w:val="superscript"/>
        </w:rPr>
        <w:fldChar w:fldCharType="begin" w:fldLock="1"/>
      </w:r>
      <w:r w:rsidRPr="00DE7219">
        <w:rPr>
          <w:rFonts w:ascii="Book Antiqua" w:hAnsi="Book Antiqua"/>
          <w:color w:val="131413"/>
          <w:sz w:val="24"/>
          <w:szCs w:val="24"/>
          <w:vertAlign w:val="superscript"/>
        </w:rPr>
        <w:instrText>ADDIN CSL_CITATION {"citationItems":[{"id":"ITEM-1","itemData":{"DOI":"10.1038/ajg.2012.444","ISSN":"0002-9270","author":[{"dropping-particle":"","family":"Katz","given":"Philip O","non-dropping-particle":"","parse-names":false,"suffix":""},{"dropping-particle":"","family":"Gerson","given":"Lauren B","non-dropping-particle":"","parse-names":false,"suffix":""},{"dropping-particle":"","family":"Vela","given":"Marcelo F","non-dropping-particle":"","parse-names":false,"suffix":""}],"container-title":"American Journal of Gastroenterology","id":"ITEM-1","issue":"3","issued":{"date-parts":[["2013","3"]]},"page":"308-328","title":"Guidelines for the Diagnosis and Management of Gastroesophageal Reflux Disease","type":"article-journal","volume":"108"},"uris":["http://www.mendeley.com/documents/?uuid=44d6f8a0-3552-3243-8e3d-b60e06597f6c"]},{"id":"ITEM-2","itemData":{"DOI":"10.4240/wjgs.v8.i1.77","ISSN":"1948-9366","PMID":"26843915","abstract":"Gastroesophageal reflux disease (GERD) is a very common disorder with increasing prevalence. It is estimated that up to 20%-25% of Americans experience symptoms of GERD weekly. Excessive reflux of acidic often with alkaline bile salt gastric and duodenal contents results in a multitude of symptoms for the patient including heartburn, regurgitation, cough, and dysphagia. There are also associated complications of GERD including erosive esophagitis, Barrett's esophagus, stricture and adenocarcinoma of the esophagus. While first line treatments for GERD involve mainly lifestyle and non-surgical therapies, surgical interventions have proven to be effective in appropriate circumstances. Anti-reflux operations are aimed at creating an effective barrier to reflux at the gastroesophageal junction and thus attempt to improve physiologic and mechanical issues that may be involved in the pathogenesis of GERD. The decision for surgical intervention in the treatment of GERD, moreover, requires an objective confirmation of the diagnosis. Confirmation is achieved using various preoperative evaluations including: ambulatory pH monitoring, esophageal manometry, upper endoscopy (esophagogastroduodenoscopy) and barium swallow. Upon confirmation of the diagnosis and with appropriate patient criteria met, an anti-reflux operation is a good alternative to prolonged medical therapy. Currently, minimally invasive gastro-esophageal fundoplication is the gold standard for surgical intervention of GERD. Our review outlines the many factors that are involved in surgical decision-making. We will review the prominent features that reflect appropriate anti-reflux surgery and present suggestions that are pertinent to surgical practices, based on evidence-based studies.","author":[{"dropping-particle":"","family":"Moore","given":"Maureen","non-dropping-particle":"","parse-names":false,"suffix":""},{"dropping-particle":"","family":"Afaneh","given":"Cheguevara","non-dropping-particle":"","parse-names":false,"suffix":""},{"dropping-particle":"","family":"Benhuri","given":"Daniel","non-dropping-particle":"","parse-names":false,"suffix":""},{"dropping-particle":"","family":"Antonacci","given":"Caroline","non-dropping-particle":"","parse-names":false,"suffix":""},{"dropping-particle":"","family":"Abelson","given":"Jonathan","non-dropping-particle":"","parse-names":false,"suffix":""},{"dropping-particle":"","family":"Zarnegar","given":"Rasa","non-dropping-particle":"","parse-names":false,"suffix":""}],"container-title":"World journal of gastrointestinal surgery","id":"ITEM-2","issue":"1","issued":{"date-parts":[["2016","1","27"]]},"page":"77-83","publisher":"Baishideng Publishing Group Inc","title":"Gastroesophageal reflux disease: A review of surgical decision making.","type":"article-journal","volume":"8"},"uris":["http://www.mendeley.com/documents/?uuid=b16c7996-c6d5-35ee-bbc8-ce94512442e1"]}],"mendeley":{"formattedCitation":"[7,9]","plainTextFormattedCitation":"[7,9]","previouslyFormattedCitation":"[7,9]"},"properties":{"noteIndex":0},"schema":"https://github.com/citation-style-language/schema/raw/master/csl-citation.json"}</w:instrText>
      </w:r>
      <w:r w:rsidRPr="00DE7219">
        <w:rPr>
          <w:rFonts w:ascii="Book Antiqua" w:hAnsi="Book Antiqua"/>
          <w:color w:val="131413"/>
          <w:sz w:val="24"/>
          <w:szCs w:val="24"/>
          <w:vertAlign w:val="superscript"/>
        </w:rPr>
        <w:fldChar w:fldCharType="separate"/>
      </w:r>
      <w:r w:rsidRPr="00DE7219">
        <w:rPr>
          <w:rFonts w:ascii="Book Antiqua" w:hAnsi="Book Antiqua"/>
          <w:noProof/>
          <w:color w:val="131413"/>
          <w:sz w:val="24"/>
          <w:szCs w:val="24"/>
          <w:vertAlign w:val="superscript"/>
        </w:rPr>
        <w:t>[7,9]</w:t>
      </w:r>
      <w:r w:rsidRPr="00DE7219">
        <w:rPr>
          <w:rFonts w:ascii="Book Antiqua" w:hAnsi="Book Antiqua"/>
          <w:color w:val="131413"/>
          <w:sz w:val="24"/>
          <w:szCs w:val="24"/>
          <w:vertAlign w:val="superscript"/>
        </w:rPr>
        <w:fldChar w:fldCharType="end"/>
      </w:r>
      <w:r w:rsidRPr="00DE7219">
        <w:rPr>
          <w:rFonts w:ascii="Book Antiqua" w:hAnsi="Book Antiqua"/>
          <w:color w:val="131413"/>
          <w:sz w:val="24"/>
          <w:szCs w:val="24"/>
        </w:rPr>
        <w:t xml:space="preserve">. In this subset of patients, it is estimated that 25%-30% of them decline LNF, mostly because they are not willing to accept its potential </w:t>
      </w:r>
      <w:r w:rsidR="004E2CF8" w:rsidRPr="00DE7219">
        <w:rPr>
          <w:rFonts w:ascii="Book Antiqua" w:hAnsi="Book Antiqua"/>
          <w:color w:val="131413"/>
          <w:sz w:val="24"/>
          <w:szCs w:val="24"/>
        </w:rPr>
        <w:t>long-term</w:t>
      </w:r>
      <w:r w:rsidRPr="00DE7219">
        <w:rPr>
          <w:rFonts w:ascii="Book Antiqua" w:hAnsi="Book Antiqua"/>
          <w:color w:val="131413"/>
          <w:sz w:val="24"/>
          <w:szCs w:val="24"/>
        </w:rPr>
        <w:t xml:space="preserve"> side effects. Therefore, in absence of alternative treatment approaches, a treatment gap occurs</w:t>
      </w:r>
      <w:r w:rsidRPr="00DE7219">
        <w:rPr>
          <w:rFonts w:ascii="Book Antiqua" w:hAnsi="Book Antiqua"/>
          <w:color w:val="131413"/>
          <w:sz w:val="24"/>
          <w:szCs w:val="24"/>
          <w:vertAlign w:val="superscript"/>
        </w:rPr>
        <w:fldChar w:fldCharType="begin" w:fldLock="1"/>
      </w:r>
      <w:r w:rsidRPr="00DE7219">
        <w:rPr>
          <w:rFonts w:ascii="Book Antiqua" w:hAnsi="Book Antiqua"/>
          <w:color w:val="131413"/>
          <w:sz w:val="24"/>
          <w:szCs w:val="24"/>
          <w:vertAlign w:val="superscript"/>
        </w:rPr>
        <w:instrText>ADDIN CSL_CITATION {"citationItems":[{"id":"ITEM-1","itemData":{"DOI":"10.1111/nyas.13104","ISSN":"00778923","author":[{"dropping-particle":"","family":"Triadafilopoulos","given":"George","non-dropping-particle":"","parse-names":false,"suffix":""},{"dropping-particle":"","family":"Azagury","given":"Dan","non-dropping-particle":"","parse-names":false,"suffix":""}],"container-title":"Annals of the New York Academy of Sciences","id":"ITEM-1","issue":"1","issued":{"date-parts":[["2016","10"]]},"page":"14-20","title":"How can we deal with the GERD treatment gap?","type":"article-journal","volume":"1381"},"uris":["http://www.mendeley.com/documents/?uuid=7282265e-7f79-34e4-8532-cd77a47fee41"]}],"mendeley":{"formattedCitation":"[10]","plainTextFormattedCitation":"[10]","previouslyFormattedCitation":"[10]"},"properties":{"noteIndex":0},"schema":"https://github.com/citation-style-language/schema/raw/master/csl-citation.json"}</w:instrText>
      </w:r>
      <w:r w:rsidRPr="00DE7219">
        <w:rPr>
          <w:rFonts w:ascii="Book Antiqua" w:hAnsi="Book Antiqua"/>
          <w:color w:val="131413"/>
          <w:sz w:val="24"/>
          <w:szCs w:val="24"/>
          <w:vertAlign w:val="superscript"/>
        </w:rPr>
        <w:fldChar w:fldCharType="separate"/>
      </w:r>
      <w:r w:rsidRPr="00DE7219">
        <w:rPr>
          <w:rFonts w:ascii="Book Antiqua" w:hAnsi="Book Antiqua"/>
          <w:noProof/>
          <w:color w:val="131413"/>
          <w:sz w:val="24"/>
          <w:szCs w:val="24"/>
          <w:vertAlign w:val="superscript"/>
        </w:rPr>
        <w:t>[10]</w:t>
      </w:r>
      <w:r w:rsidRPr="00DE7219">
        <w:rPr>
          <w:rFonts w:ascii="Book Antiqua" w:hAnsi="Book Antiqua"/>
          <w:color w:val="131413"/>
          <w:sz w:val="24"/>
          <w:szCs w:val="24"/>
          <w:vertAlign w:val="superscript"/>
        </w:rPr>
        <w:fldChar w:fldCharType="end"/>
      </w:r>
      <w:r w:rsidRPr="00DE7219">
        <w:rPr>
          <w:rFonts w:ascii="Book Antiqua" w:hAnsi="Book Antiqua"/>
          <w:color w:val="131413"/>
          <w:sz w:val="24"/>
          <w:szCs w:val="24"/>
        </w:rPr>
        <w:t xml:space="preserve">. To bridge this gap, the </w:t>
      </w:r>
      <w:r w:rsidRPr="00DE7219">
        <w:rPr>
          <w:rFonts w:ascii="Book Antiqua" w:hAnsi="Book Antiqua"/>
          <w:color w:val="000000"/>
          <w:sz w:val="24"/>
          <w:szCs w:val="24"/>
        </w:rPr>
        <w:t>magnetic sphincter augmentation (MSA) device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of the LES first appeared in 2008</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{"citationItems":[{"id":"ITEM-1","itemData":{"DOI":"10.1007/s11605-008-0698-1","ISSN":"1091-255X","PMID":"18846406","abstract":"BACKGROUND The high prevalence of gastroesophageal reflux disease continues to encourage the development of treatment modalities to fill the gap between acid-suppression therapy and the laparoscopic Nissen fundoplication. The Magnetic Sphincter Augmentation device has been designed to augment the lower esophageal sphincter barrier using magnetic force. A multi-center feasibility trial was done to evaluate safety and efficacy. METHODS Patients with typical heartburn (at least partially responding to proton-pump inhibitors), abnormal esophageal acid exposure, and normal esophageal peristalsis were enrolled. Patients with hiatal hernia &gt;3 cm were excluded from the study. The device was implanted laparoscopically around the distal esophagus. RESULTS Over a 1-year period, 38 out of 41 enrolled patients underwent this procedure in 3 hospitals. No operative complications were recorded. A free diet was allowed since post-operative day one, and 97% of patients were discharged within 48 h. The mean follow-up was 209 days (range 12-434 days). The GERD-HRQL score decreased from 26.0 to 1.0 (p &lt; 0.005). At 3 months post-operatively, 89% of patients were off anti-reflux medications, and 79% of patients had a normal 24-h pH test. All patients preserved the ability to belch. Mild dysphagia occurred in 45% of patients. No migrations or erosions of the device occurred. CONCLUSIONS Laparoscopic implant of the MSA device is safe and well tolerated. It requires minimal surgical dissection and a short learning curve compared to the conventional Nissen fundoplication.","author":[{"dropping-particle":"","family":"Bonavina","given":"Luigi","non-dropping-particle":"","parse-names":false,"suffix":""},{"dropping-particle":"","family":"Saino","given":"Greta I.","non-dropping-particle":"","parse-names":false,"suffix":""},{"dropping-particle":"","family":"Bona","given":"Davide","non-dropping-particle":"","parse-names":false,"suffix":""},{"dropping-particle":"","family":"Lipham","given":"John","non-dropping-particle":"","parse-names":false,"suffix":""},{"dropping-particle":"","family":"Ganz","given":"Robert A.","non-dropping-particle":"","parse-names":false,"suffix":""},{"dropping-particle":"","family":"Dunn","given":"Daniel","non-dropping-particle":"","parse-names":false,"suffix":""},{"dropping-particle":"","family":"DeMeester","given":"Tom","non-dropping-particle":"","parse-names":false,"suffix":""}],"container-title":"Journal of Gastrointestinal Surgery","id":"ITEM-1","issue":"12","issued":{"date-parts":[["2008","12","10"]]},"page":"2133-2140","title":"Magnetic Augmentation of the Lower Esophageal Sphincter: Results of a Feasibility Clinical Trial","type":"article-journal","volume":"12"},"uris":["http://www.mendeley.com/documents/?uuid=5a38909f-6938-3a5f-a068-617563c7fce6"]}],"mendeley":{"formattedCitation":"[11]","plainTextFormattedCitation":"[11]","previouslyFormattedCitation":"[11]"},"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[11]</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Considering the relative novelty of MSA devices, this review article aims to better elucidate the concept of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surgical procedure, as well as to verify its potential role in GERD treatment.</w:t>
      </w:r>
    </w:p>
    <w:p w14:paraId="78416884" w14:textId="77777777" w:rsidR="009727DA" w:rsidRPr="00DE7219" w:rsidRDefault="009727DA" w:rsidP="00DE7219">
      <w:pPr>
        <w:spacing w:line="360" w:lineRule="auto"/>
        <w:ind w:firstLineChars="100" w:firstLine="240"/>
        <w:rPr>
          <w:rFonts w:ascii="Book Antiqua" w:hAnsi="Book Antiqua"/>
          <w:sz w:val="24"/>
          <w:szCs w:val="24"/>
        </w:rPr>
      </w:pPr>
    </w:p>
    <w:p w14:paraId="758EA602" w14:textId="373E7D52"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b/>
          <w:i/>
          <w:iCs/>
          <w:color w:val="000000"/>
          <w:sz w:val="24"/>
          <w:szCs w:val="24"/>
        </w:rPr>
        <w:t>LINX</w:t>
      </w:r>
      <w:r w:rsidR="00FA48DE" w:rsidRPr="00DE7219">
        <w:rPr>
          <w:rFonts w:ascii="Book Antiqua" w:hAnsi="Book Antiqua"/>
          <w:b/>
          <w:iCs/>
          <w:color w:val="000000"/>
          <w:sz w:val="24"/>
          <w:szCs w:val="24"/>
          <w:vertAlign w:val="superscript"/>
        </w:rPr>
        <w:t>®</w:t>
      </w:r>
      <w:r w:rsidRPr="00DE7219">
        <w:rPr>
          <w:rFonts w:ascii="Book Antiqua" w:hAnsi="Book Antiqua"/>
          <w:b/>
          <w:i/>
          <w:iCs/>
          <w:color w:val="000000"/>
          <w:sz w:val="24"/>
          <w:szCs w:val="24"/>
        </w:rPr>
        <w:t xml:space="preserve"> device and implantation</w:t>
      </w:r>
    </w:p>
    <w:p w14:paraId="610C352D" w14:textId="57F47372"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color w:val="000000"/>
          <w:sz w:val="24"/>
          <w:szCs w:val="24"/>
        </w:rPr>
        <w:t>The MSA device of the LES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w:t>
      </w:r>
      <w:proofErr w:type="spellStart"/>
      <w:r w:rsidRPr="00DE7219">
        <w:rPr>
          <w:rFonts w:ascii="Book Antiqua" w:hAnsi="Book Antiqua"/>
          <w:color w:val="000000"/>
          <w:sz w:val="24"/>
          <w:szCs w:val="24"/>
        </w:rPr>
        <w:t>Torax</w:t>
      </w:r>
      <w:proofErr w:type="spellEnd"/>
      <w:r w:rsidRPr="00DE7219">
        <w:rPr>
          <w:rFonts w:ascii="Book Antiqua" w:hAnsi="Book Antiqua"/>
          <w:color w:val="000000"/>
          <w:sz w:val="24"/>
          <w:szCs w:val="24"/>
        </w:rPr>
        <w:t xml:space="preserve"> Medical, Shoreview, MN) is made up of a series of magnetic beads that are interconnected by a titanium wire and allow for expansion depending to the applied pressure. The device is placed around the esophagogastric junction and applies magnetic force in order to enhance the </w:t>
      </w:r>
      <w:proofErr w:type="spellStart"/>
      <w:r w:rsidRPr="00DE7219">
        <w:rPr>
          <w:rFonts w:ascii="Book Antiqua" w:hAnsi="Book Antiqua"/>
          <w:color w:val="000000"/>
          <w:sz w:val="24"/>
          <w:szCs w:val="24"/>
        </w:rPr>
        <w:t>antireflux</w:t>
      </w:r>
      <w:proofErr w:type="spellEnd"/>
      <w:r w:rsidRPr="00DE7219">
        <w:rPr>
          <w:rFonts w:ascii="Book Antiqua" w:hAnsi="Book Antiqua"/>
          <w:color w:val="000000"/>
          <w:sz w:val="24"/>
          <w:szCs w:val="24"/>
        </w:rPr>
        <w:t xml:space="preserve"> barrier function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{"citationItems":[{"id":"ITEM-1","itemData":{"DOI":"10.2147/MDER.S113679","ISSN":"11791470","abstract":"Background The initial approach to gastroesophageal reflux disease (GERD) management typically involves lifestyle modification and medical therapy utilizing acid reducing agents such as histamine blockers and proton pump inhibitors. In severe cases refractory to such treatments, surgical therapy may be indicated. The gold standard for surgical treatment of GERD is the laparoscopic Nissen fundoplication. In recent years, a new technique known as magnetic sphincter augmentation (MSA) has been developed using the Linx™ Reflux Management System. This is an implantable ring of magnetic beads that is placed around the esophagus at the gastroesophageal junction to restore lower esophageal integrity. The aim of this review is to discuss the current literature regarding indications, surgical technique, efficacy, and complications of MSA using the Linx device. Methods A standardized literature search was performed yielding 367 abstracts. After elimination due to duplicates between databases and irrelevance, 96 articles remained. The information found to be significant and non-redundant was included in this review. Conclusion After several years of clinical application, the Linx device has been shown to not only be effective for the management of GERD but also be as effective as fundoplication. With respect to safety, the most common complication of MSA is dysphagia. This often resolved without intervention, but esophageal dilation or device explanation are occasionally necessary. Not fully appreciated in earlier reviews, erosion of the device into the esophagus appears to be the most significant complication of the device after extended follow-up. While very rare, the potentially severe consequences of this phenomenon suggest that the device should be used with some restraint and that patients should be made aware of this potential morbidity. Fortunately, in the few cases of device erosion described in the literature reviewed, the Linx device was easily and safely removed.","author":[{"dropping-particle":"","family":"Zadeh","given":"Jonathan","non-dropping-particle":"","parse-names":false,"suffix":""},{"dropping-particle":"","family":"Andreoni","given":"Anthony","non-dropping-particle":"","parse-names":false,"suffix":""},{"dropping-particle":"","family":"Treitl","given":"Daniela","non-dropping-particle":"","parse-names":false,"suffix":""},{"dropping-particle":"","family":"Ben-David","given":"Kfir","non-dropping-particle":"","parse-names":false,"suffix":""}],"container-title":"Medical Devices: Evidence and Research","id":"ITEM-1","issued":{"date-parts":[["2018"]]},"page":"291-300","publisher":"Dove Medical Press Ltd","title":"Spotlight on the linx™ reflux management system for the treatment of gastroesophageal reflux disease: Evidence and research","type":"article","volume":"11"},"uris":["http://www.mendeley.com/documents/?uuid=f5677a16-88a1-3653-ad9e-a5b2e2bfadde"]}],"mendeley":{"formattedCitation":"[12]","plainTextFormattedCitation":"[12]","previouslyFormattedCitation":"[12]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When the beads are closed, this magnetic force is approximately 40 g, however when fully distanced they apply much less force, approximately 7 g. As a result, the device allows the bolus during swallowing to pass the esophagus and it also allows the release of elevated gastric pressure, which is associated with belching or vomiting. On the other hand, it is highly unlikely that during digestion or at rest, the stomach would generate enough force to open the device. Consequently,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device augments the LES at rest and prevents inappropriate transient relaxation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gastroenterology","id":"ITEM-1","issue":"4","issued":{"date-parts":[["2013","7"]]},"page":"261-8","publisher":"SAGE Publications","title":"LINX(®) Reflux Management System in chronic gastroesophageal reflux: a novel effective technology for restoring the natural barrier to reflux.","type":"article-journal","volume":"6"},"uris":["http://www.mendeley.com/documents/?uuid=46629798-f4d0-33df-845e-599335b0c403"]}],"mendeley":{"formattedCitation":"[13]","plainTextFormattedCitation":"[13]","previouslyFormattedCitation":"[13]"},"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[13]</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1B25505A" w14:textId="6CE9A0AD"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Regarding technical information,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is laparoscopically inserted at the level of the gastroesophageal junction, with the </w:t>
      </w:r>
      <w:r w:rsidR="004E2CF8" w:rsidRPr="00DE7219">
        <w:rPr>
          <w:rFonts w:ascii="Book Antiqua" w:hAnsi="Book Antiqua"/>
          <w:color w:val="000000"/>
          <w:sz w:val="24"/>
          <w:szCs w:val="24"/>
        </w:rPr>
        <w:t>pharyngoesophageal</w:t>
      </w:r>
      <w:r w:rsidRPr="00DE7219">
        <w:rPr>
          <w:rFonts w:ascii="Book Antiqua" w:hAnsi="Book Antiqua"/>
          <w:color w:val="000000"/>
          <w:sz w:val="24"/>
          <w:szCs w:val="24"/>
        </w:rPr>
        <w:t xml:space="preserve"> ligament preserved. At rest, this innovative apparatus encircles the </w:t>
      </w:r>
      <w:r w:rsidR="004E2CF8" w:rsidRPr="00DE7219">
        <w:rPr>
          <w:rFonts w:ascii="Book Antiqua" w:hAnsi="Book Antiqua"/>
          <w:color w:val="000000"/>
          <w:sz w:val="24"/>
          <w:szCs w:val="24"/>
        </w:rPr>
        <w:t>gastroesophageal junction</w:t>
      </w:r>
      <w:r w:rsidRPr="00DE7219">
        <w:rPr>
          <w:rFonts w:ascii="Book Antiqua" w:hAnsi="Book Antiqua"/>
          <w:color w:val="000000"/>
          <w:sz w:val="24"/>
          <w:szCs w:val="24"/>
        </w:rPr>
        <w:t xml:space="preserve"> resembling a </w:t>
      </w:r>
      <w:r w:rsidR="004E2CF8" w:rsidRPr="00DE7219">
        <w:rPr>
          <w:rFonts w:ascii="Book Antiqua" w:hAnsi="Book Antiqua"/>
          <w:color w:val="000000"/>
          <w:sz w:val="24"/>
          <w:szCs w:val="24"/>
        </w:rPr>
        <w:t>“</w:t>
      </w:r>
      <w:r w:rsidRPr="00DE7219">
        <w:rPr>
          <w:rFonts w:ascii="Book Antiqua" w:hAnsi="Book Antiqua"/>
          <w:color w:val="000000"/>
          <w:sz w:val="24"/>
          <w:szCs w:val="24"/>
        </w:rPr>
        <w:t>Roman arch</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with each bead resting against its neighbor thus preventing esophageal compression. In addition, each magnetic bead can move independently of the alongside beads in an intention to imitate normal esophageal motility. This is of critical importance as this machine responds to the movements of the esophagus rather than restrains them thus averting compression that may lead to erosion. Also, it has displayed significant reproducibility, safe side effect profile and minimal disruption of anatomy. Moreover, after the procedure, fibrous tissue forms around the MSA device, outside the esophageal wall and the diaphragmatic </w:t>
      </w:r>
      <w:proofErr w:type="spellStart"/>
      <w:r w:rsidRPr="00DE7219">
        <w:rPr>
          <w:rFonts w:ascii="Book Antiqua" w:hAnsi="Book Antiqua"/>
          <w:color w:val="000000"/>
          <w:sz w:val="24"/>
          <w:szCs w:val="24"/>
        </w:rPr>
        <w:t>crura</w:t>
      </w:r>
      <w:proofErr w:type="spellEnd"/>
      <w:r w:rsidRPr="00DE7219">
        <w:rPr>
          <w:rFonts w:ascii="Book Antiqua" w:hAnsi="Book Antiqua"/>
          <w:color w:val="000000"/>
          <w:sz w:val="24"/>
          <w:szCs w:val="24"/>
        </w:rPr>
        <w:t>, thus enabling removal without endangering esophageal damage</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gastroenterology","id":"ITEM-1","issue":"4","issued":{"date-parts":[["2013","7"]]},"page":"261-8","publisher":"SAGE Publications","title":"LINX(®) Reflux Management System in chronic gastroesophageal reflux: a novel effective technology for restoring the natural barrier to reflux.","type":"article-journal","volume":"6"},"uris":["http://www.mendeley.com/documents/?uuid=46629798-f4d0-33df-845e-599335b0c403"]}],"mendeley":{"formattedCitation":"[13]","plainTextFormattedCitation":"[13]","previouslyFormattedCitation":"[13]"},"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[13]</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The system is FDA approved for magnetic resonance imaging up to 1.5T in new generation systems, while older versions are compatible with </w:t>
      </w:r>
      <w:r w:rsidR="00267722" w:rsidRPr="00DE7219">
        <w:rPr>
          <w:rFonts w:ascii="Book Antiqua" w:hAnsi="Book Antiqua"/>
          <w:color w:val="000000"/>
          <w:sz w:val="24"/>
          <w:szCs w:val="24"/>
        </w:rPr>
        <w:t>magnetic resonance imaging</w:t>
      </w:r>
      <w:r w:rsidRPr="00DE7219">
        <w:rPr>
          <w:rFonts w:ascii="Book Antiqua" w:hAnsi="Book Antiqua"/>
          <w:color w:val="000000"/>
          <w:sz w:val="24"/>
          <w:szCs w:val="24"/>
        </w:rPr>
        <w:t xml:space="preserve"> up to 0.7T</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mendeley":{"formattedCitation":"[14]","plainTextFormattedCitation":"[14]","previouslyFormattedCitation":"[14]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Patients usually stay in the hospital for 1 d, with some centers performing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as an outpatient procedure. Upon discharge, patients are instructed to return on a normal diet with frequent small volume meals, chew their meals well and discontinue any previous PPI therapy</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{"citationItems":[{"id":"ITEM-1","itemData":{"DOI":"10.1097/MOG.0000000000000189","ISSN":"0267-1379","PMID":"26039726","abstract":"PURPOSE OF REVIEW To evaluate the current data on the safety, efficacy, and indications for magnetic sphincter augmentation (MSA) using the LINX device to treat gastroesophageal reflux disease (GERD). RECENT FINDINGS The LINX device has demonstrated excellent safety and GERD efficacy in several recent nonblinded, single arm studies with strict inclusion criteria and up to 3 years follow-up. Dysphagia has been the most common adverse effect occurring after LINX. Other gastrointestinal side-effects seen after laparoscopic fundoplication (bloating, gas, and inability to belch) may be less common after LINX. SUMMARY The LINX device is a safe, well tolerated, and effective therapy for GERD in the short term. MSA should be considered for selected GERD patients without significant anatomic or motility defects. However, the long-term safety and efficacy of LINX - both alone and in comparison to current GERD therapies - remains to be determined.","author":[{"dropping-particle":"","family":"Sheu","given":"Eric G.","non-dropping-particle":"","parse-names":false,"suffix":""},{"dropping-particle":"","family":"Rattner","given":"David W.","non-dropping-particle":"","parse-names":false,"suffix":""}],"container-title":"Current Opinion in Gastroenterology","id":"ITEM-1","issue":"4","issued":{"date-parts":[["2015","7"]]},"page":"334-338","title":"Evaluation of the LINX antireflux procedure","type":"article-journal","volume":"31"},"uris":["http://www.mendeley.com/documents/?uuid=a8ab4cf3-7831-3939-abe6-e8af35d6150f"]},{"id":"ITEM-2","itemData":{"DOI":"10.1177/1756283X13486311","ISSN":"1756-283X","PMID":"23814607","abstract":"Gastroesophageal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gastroenterology","id":"ITEM-2","issue":"4","issued":{"date-parts":[["2013","7"]]},"page":"261-8","publisher":"SAGE Publications","title":"LINX(®) Reflux Management System in chronic gastroesophageal reflux: a novel effective technology for restoring the natural barrier to reflux.","type":"article-journal","volume":"6"},"uris":["http://www.mendeley.com/documents/?uuid=46629798-f4d0-33df-845e-599335b0c403"]}],"mendeley":{"formattedCitation":"[13,15]","plainTextFormattedCitation":"[13,15]","previouslyFormattedCitation":"[13,15]"},"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[13,15]</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31E4FF6C" w14:textId="77777777" w:rsidR="009727DA" w:rsidRPr="00DE7219" w:rsidRDefault="009727DA" w:rsidP="00DE7219">
      <w:pPr>
        <w:spacing w:line="360" w:lineRule="auto"/>
        <w:ind w:firstLineChars="100" w:firstLine="240"/>
        <w:rPr>
          <w:rFonts w:ascii="Book Antiqua" w:hAnsi="Book Antiqua"/>
          <w:b/>
          <w:i/>
          <w:iCs/>
          <w:color w:val="000000"/>
          <w:sz w:val="24"/>
          <w:szCs w:val="24"/>
        </w:rPr>
      </w:pPr>
    </w:p>
    <w:p w14:paraId="6631C5B4" w14:textId="2371F852"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b/>
          <w:i/>
          <w:iCs/>
          <w:color w:val="000000"/>
          <w:sz w:val="24"/>
          <w:szCs w:val="24"/>
        </w:rPr>
        <w:t>Indications</w:t>
      </w:r>
    </w:p>
    <w:p w14:paraId="66502BAB" w14:textId="18FBD694"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Non-obese patients with GERD confirmed by 24</w:t>
      </w:r>
      <w:r w:rsidR="00267722" w:rsidRPr="00DE7219">
        <w:rPr>
          <w:rFonts w:ascii="Book Antiqua" w:hAnsi="Book Antiqua"/>
          <w:color w:val="000000"/>
          <w:sz w:val="24"/>
          <w:szCs w:val="24"/>
        </w:rPr>
        <w:t xml:space="preserve"> </w:t>
      </w:r>
      <w:r w:rsidRPr="00DE7219">
        <w:rPr>
          <w:rFonts w:ascii="Book Antiqua" w:hAnsi="Book Antiqua"/>
          <w:color w:val="000000"/>
          <w:sz w:val="24"/>
          <w:szCs w:val="24"/>
        </w:rPr>
        <w:t>h ambulatory pH monitoring and persisting symptoms after maximized medical therapy should be offered to proceed with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surgical procedure</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mendeley":{"formattedCitation":"[14]","plainTextFormattedCitation":"[14]","previouslyFormattedCitation":"[14]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xml:space="preserve">. Officially, </w:t>
      </w:r>
      <w:r w:rsidR="004E2CF8" w:rsidRPr="00DE7219">
        <w:rPr>
          <w:rFonts w:ascii="Book Antiqua" w:hAnsi="Book Antiqua"/>
          <w:color w:val="000000"/>
          <w:sz w:val="24"/>
          <w:szCs w:val="24"/>
        </w:rPr>
        <w:t>BE</w:t>
      </w:r>
      <w:r w:rsidRPr="00DE7219">
        <w:rPr>
          <w:rFonts w:ascii="Book Antiqua" w:hAnsi="Book Antiqua"/>
          <w:color w:val="000000"/>
          <w:sz w:val="24"/>
          <w:szCs w:val="24"/>
        </w:rPr>
        <w:t xml:space="preserve"> exclusion in endoscopy and confirmation of normal esophageal motility in manometry, are considered strong requirements for MSA implantation. Regarding hiatal hernias</w:t>
      </w:r>
      <w:r w:rsidR="00267722" w:rsidRPr="00DE7219">
        <w:rPr>
          <w:rFonts w:ascii="Book Antiqua" w:hAnsi="Book Antiqua"/>
          <w:color w:val="000000"/>
          <w:sz w:val="24"/>
          <w:szCs w:val="24"/>
        </w:rPr>
        <w:t xml:space="preserve"> (HH)</w:t>
      </w:r>
      <w:r w:rsidRPr="00DE7219">
        <w:rPr>
          <w:rFonts w:ascii="Book Antiqua" w:hAnsi="Book Antiqua"/>
          <w:color w:val="000000"/>
          <w:sz w:val="24"/>
          <w:szCs w:val="24"/>
        </w:rPr>
        <w:t>, those smaller than 3</w:t>
      </w:r>
      <w:r w:rsidR="00267722" w:rsidRPr="00DE7219">
        <w:rPr>
          <w:rFonts w:ascii="Book Antiqua" w:hAnsi="Book Antiqua"/>
          <w:color w:val="000000"/>
          <w:sz w:val="24"/>
          <w:szCs w:val="24"/>
        </w:rPr>
        <w:t xml:space="preserve"> </w:t>
      </w:r>
      <w:r w:rsidRPr="00DE7219">
        <w:rPr>
          <w:rFonts w:ascii="Book Antiqua" w:hAnsi="Book Antiqua"/>
          <w:color w:val="000000"/>
          <w:sz w:val="24"/>
          <w:szCs w:val="24"/>
        </w:rPr>
        <w:t>cm are verified as a clear indication for the procedure</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id":"ITEM-2","itemData":{"DOI":"10.1007/s00464-014-3772-7","ISSN":"0930-2794","author":[{"dropping-particle":"","family":"Riegler","given":"Martin","non-dropping-particle":"","parse-names":false,"suffix":""},{"dropping-particle":"","family":"Schoppman","given":"Sebastian F.","non-dropping-particle":"","parse-names":false,"suffix":""},{"dropping-particle":"","family":"Bonavina","given":"Luigi","non-dropping-particle":"","parse-names":false,"suffix":""},{"dropping-particle":"","family":"Ashton","given":"David","non-dropping-particle":"","parse-names":false,"suffix":""},{"dropping-particle":"","family":"Horbach","given":"Thomas","non-dropping-particle":"","parse-names":false,"suffix":""},{"dropping-particle":"","family":"Kemen","given":"Matthias","non-dropping-particle":"","parse-names":false,"suffix":""}],"container-title":"Surgical Endoscopy","id":"ITEM-2","issue":"5","issued":{"date-parts":[["2015","5","30"]]},"page":"1123-1129","title":"Magnetic sphincter augmentation and fundoplication for GERD in clinical practice: one-year results of a multicenter, prospective observational study","type":"article-journal","volume":"29"},"uris":["http://www.mendeley.com/documents/?uuid=dc5e544e-42af-3642-bc3e-1f455e628cca"]}],"mendeley":{"formattedCitation":"[14,16]","plainTextFormattedCitation":"[14,16]","previouslyFormattedCitation":"[14,16]"},"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[14,16]</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w:t>
      </w:r>
    </w:p>
    <w:p w14:paraId="388289D0" w14:textId="77777777" w:rsidR="009727DA" w:rsidRPr="00DE7219" w:rsidRDefault="009727DA" w:rsidP="00DE7219">
      <w:pPr>
        <w:spacing w:line="360" w:lineRule="auto"/>
        <w:rPr>
          <w:rFonts w:ascii="Book Antiqua" w:hAnsi="Book Antiqua"/>
          <w:b/>
          <w:i/>
          <w:iCs/>
          <w:color w:val="000000"/>
          <w:sz w:val="24"/>
          <w:szCs w:val="24"/>
        </w:rPr>
      </w:pPr>
    </w:p>
    <w:p w14:paraId="591C004B" w14:textId="0AFA64A7" w:rsidR="009727DA" w:rsidRPr="00DE7219" w:rsidRDefault="009727DA" w:rsidP="00DE7219">
      <w:pPr>
        <w:spacing w:line="360" w:lineRule="auto"/>
        <w:rPr>
          <w:rFonts w:ascii="Book Antiqua" w:hAnsi="Book Antiqua"/>
          <w:b/>
          <w:i/>
          <w:iCs/>
          <w:color w:val="000000"/>
          <w:sz w:val="24"/>
          <w:szCs w:val="24"/>
        </w:rPr>
      </w:pPr>
      <w:r w:rsidRPr="00DE7219">
        <w:rPr>
          <w:rFonts w:ascii="Book Antiqua" w:hAnsi="Book Antiqua"/>
          <w:b/>
          <w:i/>
          <w:iCs/>
          <w:color w:val="000000"/>
          <w:sz w:val="24"/>
          <w:szCs w:val="24"/>
        </w:rPr>
        <w:t>Contraindications</w:t>
      </w:r>
    </w:p>
    <w:p w14:paraId="42F4090C" w14:textId="01208A47"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 xml:space="preserve">Obesity </w:t>
      </w:r>
      <w:r w:rsidR="00267722" w:rsidRPr="00DE7219">
        <w:rPr>
          <w:rFonts w:ascii="Book Antiqua" w:hAnsi="Book Antiqua"/>
          <w:color w:val="000000"/>
          <w:sz w:val="24"/>
          <w:szCs w:val="24"/>
        </w:rPr>
        <w:t xml:space="preserve">[Body mass index (BMI) </w:t>
      </w:r>
      <w:r w:rsidRPr="00DE7219">
        <w:rPr>
          <w:rFonts w:ascii="Book Antiqua" w:hAnsi="Book Antiqua"/>
          <w:color w:val="000000"/>
          <w:sz w:val="24"/>
          <w:szCs w:val="24"/>
        </w:rPr>
        <w:t>&gt; 35 kg/m</w:t>
      </w:r>
      <w:r w:rsidRPr="00DE7219">
        <w:rPr>
          <w:rFonts w:ascii="Book Antiqua" w:hAnsi="Book Antiqua"/>
          <w:color w:val="000000"/>
          <w:sz w:val="24"/>
          <w:szCs w:val="24"/>
          <w:vertAlign w:val="superscript"/>
        </w:rPr>
        <w:t>2</w:t>
      </w:r>
      <w:r w:rsidR="00267722" w:rsidRPr="00DE7219">
        <w:rPr>
          <w:rFonts w:ascii="Book Antiqua" w:hAnsi="Book Antiqua"/>
          <w:color w:val="000000"/>
          <w:sz w:val="24"/>
          <w:szCs w:val="24"/>
        </w:rPr>
        <w:t>]</w:t>
      </w:r>
      <w:r w:rsidRPr="00DE7219">
        <w:rPr>
          <w:rFonts w:ascii="Book Antiqua" w:hAnsi="Book Antiqua"/>
          <w:color w:val="000000"/>
          <w:sz w:val="24"/>
          <w:szCs w:val="24"/>
        </w:rPr>
        <w:t xml:space="preserve"> may prevent anticipated positive outcomes after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implantation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{"citationItems":[{"id":"ITEM-1","itemData":{"DOI":"10.1007/s00464-017-5696-5","ISSN":"0930-2794","author":[{"dropping-particle":"","family":"Warren","given":"Heather F.","non-dropping-particle":"","parse-names":false,"suffix":""},{"dropping-particle":"","family":"Brown","given":"Lisa M.","non-dropping-particle":"","parse-names":false,"suffix":""},{"dropping-particle":"","family":"Mihura","given":"Matias","non-dropping-particle":"","parse-names":false,"suffix":""},{"dropping-particle":"","family":"Farivar","given":"Alexander S.","non-dropping-particle":"","parse-names":false,"suffix":""},{"dropping-particle":"","family":"Aye","given":"Ralph W.","non-dropping-particle":"","parse-names":false,"suffix":""},{"dropping-particle":"","family":"Louie","given":"Brian E.","non-dropping-particle":"","parse-names":false,"suffix":""}],"container-title":"Surgical Endoscopy","id":"ITEM-1","issue":"1","issued":{"date-parts":[["2018","1","29"]]},"page":"405-412","title":"Factors influencing the outcome of magnetic sphincter augmentation for chronic gastroesophageal reflux disease","type":"article-journal","volume":"32"},"uris":["http://www.mendeley.com/documents/?uuid=192a1d11-7c0f-3b1f-96d3-009ba2bbb10c"]}],"mendeley":{"formattedCitation":"[17]","plainTextFormattedCitation":"[17]","previouslyFormattedCitation":"[17]"},"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[17]</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Therefore, patients with obesity and confirmed GERD should be advised to lose weight before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becomes a viable option. Although FDA considered usage of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in large HH (&gt; 3 cm) a “precautions”, increasing evidence exist that large </w:t>
      </w:r>
      <w:r w:rsidR="00267722" w:rsidRPr="00DE7219">
        <w:rPr>
          <w:rFonts w:ascii="Book Antiqua" w:hAnsi="Book Antiqua"/>
          <w:color w:val="000000"/>
          <w:sz w:val="24"/>
          <w:szCs w:val="24"/>
        </w:rPr>
        <w:t>HH</w:t>
      </w:r>
      <w:r w:rsidRPr="00DE7219">
        <w:rPr>
          <w:rFonts w:ascii="Book Antiqua" w:hAnsi="Book Antiqua"/>
          <w:color w:val="000000"/>
          <w:sz w:val="24"/>
          <w:szCs w:val="24"/>
        </w:rPr>
        <w:t xml:space="preserve"> are not a contraindication, therefore more studies are needed to better elucidate these results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{"citationItems":[{"id":"ITEM-1","itemData":{"DOI":"10.1007/s00464-017-5859-4","ISSN":"0930-2794","PMID":"28936790","abstract":"INTRODUCTION Magnetic sphincter augmentation (MSA) of the lower esophageal sphincter restores the antireflux barrier in patients with hiatal hernias ≤3 cm. We performed a prospective study in patients undergoing MSA with the LINX device during repair of paraesophageal and hernias over 3 cm axial component. METHODS AND PROCEDURES Multicenter, prospective study of consecutive patients treated with MSA at the time of repair of hiatal hernias &gt;3 cm. RESULTS 200 patients (110 female) were treated between March 2014 and February 2017 via laparoscopic hernia repair and MSA. Mean age was 59.5 years, mean BMI 29.4. 40% had esophagitis, 20% intestinal metaplasia, 72 of 77 tested had abnormal pH studies. Preoperative PPI use was reported by 87%. Eighteen patients had prior hiatal hernia/fundoplication. All had normal function. 78% of patients had axial hiatal hernia ≥5 cm or large paraesophageal component. Mean operative time was 81 min (38-193), EBL was 10 cc. Non-permanent mesh reinforcement of hiatal repair was performed in 83% of the patients. There were two readmissions for dehydration; 2 patients with pulmonary embolism, and 1 patient with cardiac ischemia. Nineteen patients required dilation. 156 pts were followed at a median of 8.6 months. GERD-HRQL scores improved from 26 preoperatively to 2 postoperatively. Complete PPI independence was achieved in 94% (147/156). Videoesophagram in 51 patients at median 11 months found 3 asymptomatic hernias &lt;3 cm. One symptomatic patient underwent successful repair of the hernia without MSA manipulation. There have been no device explants, erosions, or migrations to date. CONCLUSIONS This prospective study of 200 patients with &gt;3 cm hernias undergoing MSA with hiatoplasty resulted in favorable outcomes with median of 9 months follow-up. Comparing this to published reports of MSA in patients with &lt;3 cm hernias, the safety and clinical efficacy of MSA are independent of initial hernia size.","author":[{"dropping-particle":"","family":"Buckley","given":"F. P.","non-dropping-particle":"","parse-names":false,"suffix":""},{"dropping-particle":"","family":"Bell","given":"Reginald C. W.","non-dropping-particle":"","parse-names":false,"suffix":""},{"dropping-particle":"","family":"Freeman","given":"Kate","non-dropping-particle":"","parse-names":false,"suffix":""},{"dropping-particle":"","family":"Doggett","given":"Stephanie","non-dropping-particle":"","parse-names":false,"suffix":""},{"dropping-particle":"","family":"Heidrick","given":"Rachel","non-dropping-particle":"","parse-names":false,"suffix":""}],"container-title":"Surgical Endoscopy","id":"ITEM-1","issue":"4","issued":{"date-parts":[["2018","4","21"]]},"page":"1762-1768","title":"Favorable results from a prospective evaluation of 200 patients with large hiatal hernias undergoing LINX magnetic sphincter augmentation","type":"article-journal","volume":"32"},"uris":["http://www.mendeley.com/documents/?uuid=a42e327d-5eaa-3b35-8385-48799157cb4f"]}],"mendeley":{"formattedCitation":"[18]","plainTextFormattedCitation":"[18]","previouslyFormattedCitation":"[18]"},"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[18]</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Moreover, if a HH greater than 3 cm is detected during the operation for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implantation, it is strongly recommended to repair it before device insertion</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{"citationItems":[{"id":"ITEM-1","itemData":{"DOI":"10.2147/MDER.S113679","ISSN":"11791470","abstract":"Background The initial approach to gastroesophageal reflux disease (GERD) management typically involves lifestyle modification and medical therapy utilizing acid reducing agents such as histamine blockers and proton pump inhibitors. In severe cases refractory to such treatments, surgical therapy may be indicated. The gold standard for surgical treatment of GERD is the laparoscopic Nissen fundoplication. In recent years, a new technique known as magnetic sphincter augmentation (MSA) has been developed using the Linx™ Reflux Management System. This is an implantable ring of magnetic beads that is placed around the esophagus at the gastroesophageal junction to restore lower esophageal integrity. The aim of this review is to discuss the current literature regarding indications, surgical technique, efficacy, and complications of MSA using the Linx device. Methods A standardized literature search was performed yielding 367 abstracts. After elimination due to duplicates between databases and irrelevance, 96 articles remained. The information found to be significant and non-redundant was included in this review. Conclusion After several years of clinical application, the Linx device has been shown to not only be effective for the management of GERD but also be as effective as fundoplication. With respect to safety, the most common complication of MSA is dysphagia. This often resolved without intervention, but esophageal dilation or device explanation are occasionally necessary. Not fully appreciated in earlier reviews, erosion of the device into the esophagus appears to be the most significant complication of the device after extended follow-up. While very rare, the potentially severe consequences of this phenomenon suggest that the device should be used with some restraint and that patients should be made aware of this potential morbidity. Fortunately, in the few cases of device erosion described in the literature reviewed, the Linx device was easily and safely removed.","author":[{"dropping-particle":"","family":"Zadeh","given":"Jonathan","non-dropping-particle":"","parse-names":false,"suffix":""},{"dropping-particle":"","family":"Andreoni","given":"Anthony","non-dropping-particle":"","parse-names":false,"suffix":""},{"dropping-particle":"","family":"Treitl","given":"Daniela","non-dropping-particle":"","parse-names":false,"suffix":""},{"dropping-particle":"","family":"Ben-David","given":"Kfir","non-dropping-particle":"","parse-names":false,"suffix":""}],"container-title":"Medical Devices: Evidence and Research","id":"ITEM-1","issued":{"date-parts":[["2018"]]},"page":"291-300","publisher":"Dove Medical Press Ltd","title":"Spotlight on the linx™ reflux management system for the treatment of gastroesophageal reflux disease: Evidence and research","type":"article","volume":"11"},"uris":["http://www.mendeley.com/documents/?uuid=f5677a16-88a1-3653-ad9e-a5b2e2bfadde"]}],"mendeley":{"formattedCitation":"[12]","plainTextFormattedCitation":"[12]","previouslyFormattedCitation":"[12]"},"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[12]</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Patients with advanced esophagitis or esophageal dysmotility are also excluded</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{"citationItems":[{"id":"ITEM-1","itemData":{"DOI":"10.1177/1756283X13486311","ISSN":"1756-283X","PMID":"23814607","abstract":"Gastroesophageal reflux disease (GERD) results from incompetency of the lower esophageal sphincter that allows the contents of the stomach to reflux into the esophagus, the airways, and the mouth. The disease affects about 10% of the western population and has a profound negative impact on quality of life. The majority of patients are successfully treated with proton-pump inhibitors, but up to 40% have incomplete relief of symptoms even after dose adjustment. The laparoscopic Nissen fundoplication represents the surgical gold standard, but is largely underused because of the level of technical difficulty and the prevalence of side effects. These factors have contributed to the propensity of patients to continue with medical therapy despite inadequate symptom control and complications of the disease. As a consequence, a significant 'therapy gap' in the treatment of GERD remains evident in current clinical practice. The LINX(®) Reflux Management System (Torax Medical, St. Paul, MN, USA) is designed to provide a permanent solution to GERD by augmenting the sphincter barrier with a standardized, reproducible laparoscopic procedure that does not alter gastric anatomy and is easily reversible. Two single-group trials confirmed that a magnetic device designed to augment the lower esophageal sphincter can be safely and effectively implanted using a standard laparoscopic approach. The device decreased esophageal acid exposure, improved reflux symptoms and quality of life, and allowed cessation of proton-pump inhibitors in the majority of patients.","author":[{"dropping-particle":"","family":"Bonavina","given":"Luigi","non-dropping-particle":"","parse-names":false,"suffix":""},{"dropping-particle":"","family":"Saino","given":"Greta","non-dropping-particle":"","parse-names":false,"suffix":""},{"dropping-particle":"","family":"Lipham","given":"John C.","non-dropping-particle":"","parse-names":false,"suffix":""},{"dropping-particle":"","family":"DeMeester","given":"Tom R.","non-dropping-particle":"","parse-names":false,"suffix":""}],"container-title":"Therapeutic Advances in Gastroenterology","id":"ITEM-1","issue":"4","issued":{"date-parts":[["2013","7"]]},"page":"261","publisher":"SAGE Publications","title":"LINX® Reflux Management System in chronic gastroesophageal reflux: a novel effective technology for restoring the natural barrier to reflux","type":"article-journal","volume":"6"},"uris":["http://www.mendeley.com/documents/?uuid=8bcaaeeb-ce43-36c7-9eb9-37112dc46d26"]}],"mendeley":{"formattedCitation":"[19]","plainTextFormattedCitation":"[19]","previouslyFormattedCitation":"[19]"},"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w:t>
      </w:r>
      <w:r w:rsidR="00E879CF" w:rsidRPr="00DE7219">
        <w:rPr>
          <w:rFonts w:ascii="Book Antiqua" w:hAnsi="Book Antiqua"/>
          <w:noProof/>
          <w:color w:val="000000"/>
          <w:sz w:val="24"/>
          <w:szCs w:val="24"/>
          <w:vertAlign w:val="superscript"/>
        </w:rPr>
        <w:t>3</w:t>
      </w:r>
      <w:r w:rsidRPr="00DE7219">
        <w:rPr>
          <w:rFonts w:ascii="Book Antiqua" w:hAnsi="Book Antiqua"/>
          <w:noProof/>
          <w:color w:val="000000"/>
          <w:sz w:val="24"/>
          <w:szCs w:val="24"/>
          <w:vertAlign w:val="superscript"/>
        </w:rPr>
        <w:t>]</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An allergy to titanium, stainless steel, nickel and ferrous materials is an indisputable barrier to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placement</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{"citationItems":[{"id":"ITEM-1","itemData":{"DOI":"10.1007/s00464-017-5813-5","ISSN":"0930-2794","author":[{"dropping-particle":"","family":"Telem","given":"Dana A.","non-dropping-particle":"","parse-names":false,"suffix":""},{"dropping-particle":"","family":"Wright","given":"Andrew S.","non-dropping-particle":"","parse-names":false,"suffix":""},{"dropping-particle":"","family":"Shah","given":"Paresh C.","non-dropping-particle":"","parse-names":false,"suffix":""},{"dropping-particle":"","family":"Hutter","given":"Matthew M.","non-dropping-particle":"","parse-names":false,"suffix":""}],"container-title":"Surgical Endoscopy","id":"ITEM-1","issue":"10","issued":{"date-parts":[["2017","10","25"]]},"page":"3811-3826","title":"SAGES technology and value assessment committee (TAVAC) safety and effectiveness analysis: LINX® reflux management system","type":"article-journal","volume":"31"},"uris":["http://www.mendeley.com/documents/?uuid=0fd20a46-2997-3c38-a4fb-21b71ebb8537"]}],"mendeley":{"formattedCitation":"[14]","plainTextFormattedCitation":"[14]","previouslyFormattedCitation":"[14]"},"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[14]</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LINX is a relatively new treatment option in GERD, therefore many of the contraindications mentioned are a consequence of not extensively testing the safety and effectiveness of LINX in these patient groups. Thus, as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system is more and more implanted and evaluated, </w:t>
      </w:r>
      <w:r w:rsidR="004E2CF8" w:rsidRPr="00DE7219">
        <w:rPr>
          <w:rFonts w:ascii="Book Antiqua" w:hAnsi="Book Antiqua"/>
          <w:color w:val="000000"/>
          <w:sz w:val="24"/>
          <w:szCs w:val="24"/>
        </w:rPr>
        <w:t>BE</w:t>
      </w:r>
      <w:r w:rsidRPr="00DE7219">
        <w:rPr>
          <w:rFonts w:ascii="Book Antiqua" w:hAnsi="Book Antiqua"/>
          <w:color w:val="000000"/>
          <w:sz w:val="24"/>
          <w:szCs w:val="24"/>
        </w:rPr>
        <w:t>, larger HH and mild esophageal motility disorders are not considered as contraindications.</w:t>
      </w:r>
    </w:p>
    <w:p w14:paraId="5A6F45C6" w14:textId="77777777" w:rsidR="009727DA" w:rsidRPr="00DE7219" w:rsidRDefault="009727DA" w:rsidP="00DE7219">
      <w:pPr>
        <w:spacing w:line="360" w:lineRule="auto"/>
        <w:rPr>
          <w:rFonts w:ascii="Book Antiqua" w:hAnsi="Book Antiqua"/>
          <w:i/>
          <w:iCs/>
          <w:sz w:val="24"/>
          <w:szCs w:val="24"/>
        </w:rPr>
      </w:pPr>
    </w:p>
    <w:p w14:paraId="47095EB3" w14:textId="77777777" w:rsidR="009727DA" w:rsidRPr="00DE7219" w:rsidRDefault="009727DA" w:rsidP="00DE7219">
      <w:pPr>
        <w:adjustRightInd w:val="0"/>
        <w:snapToGrid w:val="0"/>
        <w:spacing w:line="360" w:lineRule="auto"/>
        <w:rPr>
          <w:rFonts w:ascii="Book Antiqua" w:hAnsi="Book Antiqua"/>
          <w:sz w:val="24"/>
          <w:szCs w:val="24"/>
          <w:u w:val="single"/>
        </w:rPr>
      </w:pPr>
      <w:r w:rsidRPr="00DE7219">
        <w:rPr>
          <w:rFonts w:ascii="Book Antiqua" w:hAnsi="Book Antiqua"/>
          <w:b/>
          <w:bCs/>
          <w:sz w:val="24"/>
          <w:szCs w:val="24"/>
          <w:u w:val="single"/>
        </w:rPr>
        <w:t>MATERIALS AND METHODS</w:t>
      </w:r>
    </w:p>
    <w:p w14:paraId="62A6D771" w14:textId="46D34A49"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This is a systematic review conducted in accordance to the PRISMA guidelines for reporting systematic reviews and meta-analyses</w:t>
      </w:r>
      <w:r w:rsidRPr="00DE7219">
        <w:rPr>
          <w:rFonts w:ascii="Book Antiqua" w:hAnsi="Book Antiqua"/>
          <w:color w:val="000000"/>
          <w:sz w:val="24"/>
          <w:szCs w:val="24"/>
          <w:vertAlign w:val="superscript"/>
        </w:rPr>
        <w:fldChar w:fldCharType="begin" w:fldLock="1"/>
      </w:r>
      <w:r w:rsidRPr="00DE7219">
        <w:rPr>
          <w:rFonts w:ascii="Book Antiqua" w:hAnsi="Book Antiqua"/>
          <w:color w:val="000000"/>
          <w:sz w:val="24"/>
          <w:szCs w:val="24"/>
          <w:vertAlign w:val="superscript"/>
        </w:rPr>
        <w:instrText>ADDIN CSL_CITATION {"citationItems":[{"id":"ITEM-1","itemData":{"DOI":"10.7326/0003-4819-151-4-200908180-00136","ISSN":"0003-4819","author":[{"dropping-particle":"","family":"Liberati","given":"Alessandro","non-dropping-particle":"","parse-names":false,"suffix":""}],"container-title":"Annals of Internal Medicine","id":"ITEM-1","issue":"4","issued":{"date-parts":[["2009","8","18"]]},"page":"W","title":"The PRISMA Statement for Reporting Systematic Reviews and Meta-Analyses of Studies That Evaluate Health Care Interventions: Explanation and Elaboration","type":"article-journal","volume":"151"},"uris":["http://www.mendeley.com/documents/?uuid=c60074f1-5710-3a89-8146-4847adae7076"]}],"mendeley":{"formattedCitation":"[20]","plainTextFormattedCitation":"[20]","previouslyFormattedCitation":"[20]"},"properties":{"noteIndex":0},"schema":"https://github.com/citation-style-language/schema/raw/master/csl-citation.json"}</w:instrText>
      </w:r>
      <w:r w:rsidRPr="00DE7219">
        <w:rPr>
          <w:rFonts w:ascii="Book Antiqua" w:hAnsi="Book Antiqua"/>
          <w:color w:val="000000"/>
          <w:sz w:val="24"/>
          <w:szCs w:val="24"/>
          <w:vertAlign w:val="superscript"/>
        </w:rPr>
        <w:fldChar w:fldCharType="separate"/>
      </w:r>
      <w:r w:rsidRPr="00DE7219">
        <w:rPr>
          <w:rFonts w:ascii="Book Antiqua" w:hAnsi="Book Antiqua"/>
          <w:noProof/>
          <w:color w:val="000000"/>
          <w:sz w:val="24"/>
          <w:szCs w:val="24"/>
          <w:vertAlign w:val="superscript"/>
        </w:rPr>
        <w:t>[</w:t>
      </w:r>
      <w:r w:rsidR="00E879CF" w:rsidRPr="00DE7219">
        <w:rPr>
          <w:rFonts w:ascii="Book Antiqua" w:hAnsi="Book Antiqua"/>
          <w:noProof/>
          <w:color w:val="000000"/>
          <w:sz w:val="24"/>
          <w:szCs w:val="24"/>
          <w:vertAlign w:val="superscript"/>
        </w:rPr>
        <w:t>19</w:t>
      </w:r>
      <w:r w:rsidRPr="00DE7219">
        <w:rPr>
          <w:rFonts w:ascii="Book Antiqua" w:hAnsi="Book Antiqua"/>
          <w:noProof/>
          <w:color w:val="000000"/>
          <w:sz w:val="24"/>
          <w:szCs w:val="24"/>
          <w:vertAlign w:val="superscript"/>
        </w:rPr>
        <w:t>]</w:t>
      </w:r>
      <w:r w:rsidRPr="00DE7219">
        <w:rPr>
          <w:rFonts w:ascii="Book Antiqua" w:hAnsi="Book Antiqua"/>
          <w:color w:val="000000"/>
          <w:sz w:val="24"/>
          <w:szCs w:val="24"/>
          <w:vertAlign w:val="superscript"/>
        </w:rPr>
        <w:fldChar w:fldCharType="end"/>
      </w:r>
      <w:r w:rsidRPr="00DE7219">
        <w:rPr>
          <w:rFonts w:ascii="Book Antiqua" w:hAnsi="Book Antiqua"/>
          <w:color w:val="000000"/>
          <w:sz w:val="24"/>
          <w:szCs w:val="24"/>
        </w:rPr>
        <w:t>. This systematic literature review was performed using the MEDLINE, Clinicaltrials.gov, EMBASE and Cochrane Controlled Register of Trials (CENTRAL) databases, from inception till 15 September, 2019. The terms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“Magnetic Sphincter Augmentation” “MSA” “Gastroesophageal Reflux Disease” and “GERD” were utilized. “Snowball sampling” by searching the references of articles retrieved was also performed, to avoid any article losses.</w:t>
      </w:r>
    </w:p>
    <w:p w14:paraId="79D4B3BF" w14:textId="65E6CDB7"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 xml:space="preserve">Regarding the eligibility criteria, all studies assessing the implementation of MSA devices were recruited. Comparative studies of MSA and </w:t>
      </w:r>
      <w:r w:rsidR="00267722" w:rsidRPr="00DE7219">
        <w:rPr>
          <w:rFonts w:ascii="Book Antiqua" w:hAnsi="Book Antiqua"/>
          <w:color w:val="000000"/>
          <w:sz w:val="24"/>
          <w:szCs w:val="24"/>
        </w:rPr>
        <w:t xml:space="preserve">laparoscopic fundoplication </w:t>
      </w:r>
      <w:r w:rsidR="004E2CF8" w:rsidRPr="00DE7219">
        <w:rPr>
          <w:rFonts w:ascii="Book Antiqua" w:hAnsi="Book Antiqua"/>
          <w:color w:val="000000"/>
          <w:sz w:val="24"/>
          <w:szCs w:val="24"/>
        </w:rPr>
        <w:t>(LF)</w:t>
      </w:r>
      <w:r w:rsidRPr="00DE7219">
        <w:rPr>
          <w:rFonts w:ascii="Book Antiqua" w:hAnsi="Book Antiqua"/>
          <w:color w:val="000000"/>
          <w:sz w:val="24"/>
          <w:szCs w:val="24"/>
        </w:rPr>
        <w:t xml:space="preserve"> were also included. Data extracted include study characteristics, initial number of patients and number of patients on the follow up, demographic characteristics of patients and clinical outcomes. A total of four investigators searched and assessed the literature.</w:t>
      </w:r>
    </w:p>
    <w:p w14:paraId="324360C5" w14:textId="5DE4428D" w:rsidR="009727DA" w:rsidRPr="00DE7219" w:rsidRDefault="009727DA" w:rsidP="00DE7219">
      <w:pPr>
        <w:spacing w:line="360" w:lineRule="auto"/>
        <w:rPr>
          <w:rFonts w:ascii="Book Antiqua" w:hAnsi="Book Antiqua"/>
          <w:color w:val="000000"/>
          <w:sz w:val="24"/>
          <w:szCs w:val="24"/>
        </w:rPr>
      </w:pPr>
    </w:p>
    <w:p w14:paraId="14924041" w14:textId="77777777" w:rsidR="009727DA" w:rsidRPr="00DE7219" w:rsidRDefault="009727DA" w:rsidP="00DE7219">
      <w:pPr>
        <w:adjustRightInd w:val="0"/>
        <w:snapToGrid w:val="0"/>
        <w:spacing w:line="360" w:lineRule="auto"/>
        <w:rPr>
          <w:rFonts w:ascii="Book Antiqua" w:hAnsi="Book Antiqua"/>
          <w:b/>
          <w:bCs/>
          <w:sz w:val="24"/>
          <w:szCs w:val="24"/>
          <w:u w:val="single"/>
        </w:rPr>
      </w:pPr>
      <w:r w:rsidRPr="00DE7219">
        <w:rPr>
          <w:rFonts w:ascii="Book Antiqua" w:hAnsi="Book Antiqua"/>
          <w:b/>
          <w:bCs/>
          <w:sz w:val="24"/>
          <w:szCs w:val="24"/>
          <w:u w:val="single"/>
        </w:rPr>
        <w:t>RESULTS</w:t>
      </w:r>
    </w:p>
    <w:p w14:paraId="18DA0506" w14:textId="26F6A121"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 xml:space="preserve">After screening 614 research articles, 579 were excluded (reviews, duplicates, articles not assessing </w:t>
      </w:r>
      <w:r w:rsidR="004E2CF8" w:rsidRPr="00DE7219">
        <w:rPr>
          <w:rFonts w:ascii="Book Antiqua" w:hAnsi="Book Antiqua"/>
          <w:color w:val="000000"/>
          <w:sz w:val="24"/>
          <w:szCs w:val="24"/>
        </w:rPr>
        <w:t>MSA</w:t>
      </w:r>
      <w:r w:rsidRPr="00DE7219">
        <w:rPr>
          <w:rFonts w:ascii="Book Antiqua" w:hAnsi="Book Antiqua"/>
          <w:color w:val="000000"/>
          <w:sz w:val="24"/>
          <w:szCs w:val="24"/>
        </w:rPr>
        <w:t xml:space="preserve"> of the upper GI tract). Our literature research revealed 35 studies with a total number of 2511 MSA patients (Figure 1). Twenty of them evaluated the MSA procedure on normal indications, accounting for 1539 patients, with 1452 of them presenting on the follow up.</w:t>
      </w:r>
      <w:r w:rsidRPr="00DE7219">
        <w:rPr>
          <w:rFonts w:ascii="Book Antiqua" w:hAnsi="Book Antiqua"/>
          <w:sz w:val="24"/>
          <w:szCs w:val="24"/>
        </w:rPr>
        <w:t xml:space="preserve"> </w:t>
      </w:r>
      <w:r w:rsidRPr="00DE7219">
        <w:rPr>
          <w:rFonts w:ascii="Book Antiqua" w:hAnsi="Book Antiqua"/>
          <w:color w:val="000000"/>
          <w:sz w:val="24"/>
          <w:szCs w:val="24"/>
        </w:rPr>
        <w:t>Table 1 presents the demographic characteristics and the clinical data of patients in the 20 studies following typical MSA inclusion criteria.</w:t>
      </w:r>
    </w:p>
    <w:p w14:paraId="6E8B1C3C" w14:textId="626EDBCA"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Due to the fact that some studies followed-up the same patient group on different time periods, only the data from the most recent study with the longest follow-up are included in the table, to avoid duplicate patient group reporting. Of the remaining 15 studies, 3 examined the efficacy of MSA on Laparoscopic Sleeve Gastrectomy patients, 3 on extended indications (</w:t>
      </w:r>
      <w:r w:rsidRPr="00DE7219">
        <w:rPr>
          <w:rFonts w:ascii="Book Antiqua" w:hAnsi="Book Antiqua"/>
          <w:i/>
          <w:iCs/>
          <w:color w:val="000000"/>
          <w:sz w:val="24"/>
          <w:szCs w:val="24"/>
        </w:rPr>
        <w:t>e.g.</w:t>
      </w:r>
      <w:r w:rsidR="00267722" w:rsidRPr="00DE7219">
        <w:rPr>
          <w:rFonts w:ascii="Book Antiqua" w:hAnsi="Book Antiqua"/>
          <w:color w:val="000000"/>
          <w:sz w:val="24"/>
          <w:szCs w:val="24"/>
        </w:rPr>
        <w:t>,</w:t>
      </w:r>
      <w:r w:rsidRPr="00DE7219">
        <w:rPr>
          <w:rFonts w:ascii="Book Antiqua" w:hAnsi="Book Antiqua"/>
          <w:color w:val="000000"/>
          <w:sz w:val="24"/>
          <w:szCs w:val="24"/>
        </w:rPr>
        <w:t xml:space="preserve"> large </w:t>
      </w:r>
      <w:r w:rsidR="00267722" w:rsidRPr="00DE7219">
        <w:rPr>
          <w:rFonts w:ascii="Book Antiqua" w:hAnsi="Book Antiqua"/>
          <w:color w:val="000000"/>
          <w:sz w:val="24"/>
          <w:szCs w:val="24"/>
        </w:rPr>
        <w:t>HH</w:t>
      </w:r>
      <w:r w:rsidRPr="00DE7219">
        <w:rPr>
          <w:rFonts w:ascii="Book Antiqua" w:hAnsi="Book Antiqua"/>
          <w:color w:val="000000"/>
          <w:sz w:val="24"/>
          <w:szCs w:val="24"/>
        </w:rPr>
        <w:t xml:space="preserve"> or increased BMI), 3 examined possible removal of MSA, 1 compared MSA with double-dose PPI medication; 2 studies of alternative surgical approaches and 1 study of esophageal erosion are also mentioned. Of the 20 studies including patients operated with normal indications, 7 were comparative between MSA and LF. Our literature research also revealed 2 meta-analyses of the comparative studies.</w:t>
      </w:r>
    </w:p>
    <w:p w14:paraId="08501F11" w14:textId="04C48E7E" w:rsidR="009727DA" w:rsidRPr="00DE7219" w:rsidRDefault="009727DA" w:rsidP="00DE7219">
      <w:pPr>
        <w:spacing w:line="360" w:lineRule="auto"/>
        <w:ind w:firstLineChars="100" w:firstLine="240"/>
        <w:rPr>
          <w:rFonts w:ascii="Book Antiqua" w:hAnsi="Book Antiqua"/>
          <w:color w:val="000000"/>
          <w:sz w:val="24"/>
          <w:szCs w:val="24"/>
        </w:rPr>
      </w:pPr>
    </w:p>
    <w:p w14:paraId="039B3DE9" w14:textId="7AE09891" w:rsidR="009727DA" w:rsidRPr="00DE7219" w:rsidRDefault="009727DA" w:rsidP="00DE7219">
      <w:pPr>
        <w:spacing w:line="360" w:lineRule="auto"/>
        <w:rPr>
          <w:rFonts w:ascii="Book Antiqua" w:hAnsi="Book Antiqua"/>
          <w:i/>
          <w:iCs/>
          <w:sz w:val="24"/>
          <w:szCs w:val="24"/>
        </w:rPr>
      </w:pPr>
      <w:r w:rsidRPr="00DE7219">
        <w:rPr>
          <w:rFonts w:ascii="Book Antiqua" w:hAnsi="Book Antiqua"/>
          <w:b/>
          <w:i/>
          <w:color w:val="000000"/>
          <w:sz w:val="24"/>
          <w:szCs w:val="24"/>
        </w:rPr>
        <w:t>Studies with typical MSA inclusion criteria</w:t>
      </w:r>
    </w:p>
    <w:p w14:paraId="6B7E9298" w14:textId="6ABB7CB5" w:rsidR="009727DA" w:rsidRPr="00DE7219" w:rsidRDefault="009727DA" w:rsidP="00DE7219">
      <w:pPr>
        <w:spacing w:line="360" w:lineRule="auto"/>
        <w:rPr>
          <w:rFonts w:ascii="Book Antiqua" w:hAnsi="Book Antiqua"/>
          <w:color w:val="000000"/>
          <w:sz w:val="24"/>
          <w:szCs w:val="24"/>
        </w:rPr>
      </w:pPr>
      <w:r w:rsidRPr="00DE7219">
        <w:rPr>
          <w:rFonts w:ascii="Book Antiqua" w:hAnsi="Book Antiqua"/>
          <w:color w:val="000000"/>
          <w:sz w:val="24"/>
          <w:szCs w:val="24"/>
        </w:rPr>
        <w:t>Concerning the studies presented in table 1, after excluding duplicate patient populations, our literature research revealed a total of 1539 MSA patients, with 1452 of them being followed up for a period ranging between 1 and 80 mo. Most studies (15/20) had a follow-up of over 12 mo. The mean age and BMI of patients ranged between 39.3-54 years and 24-28 kg/m</w:t>
      </w:r>
      <w:r w:rsidRPr="00DE7219">
        <w:rPr>
          <w:rFonts w:ascii="Book Antiqua" w:hAnsi="Book Antiqua"/>
          <w:color w:val="000000"/>
          <w:sz w:val="24"/>
          <w:szCs w:val="24"/>
          <w:vertAlign w:val="superscript"/>
        </w:rPr>
        <w:t>2</w:t>
      </w:r>
      <w:r w:rsidRPr="00DE7219">
        <w:rPr>
          <w:rFonts w:ascii="Book Antiqua" w:hAnsi="Book Antiqua"/>
          <w:color w:val="000000"/>
          <w:sz w:val="24"/>
          <w:szCs w:val="24"/>
        </w:rPr>
        <w:t xml:space="preserve">, respectively. Seven studies were comparative between MSA and </w:t>
      </w:r>
      <w:r w:rsidR="004E2CF8" w:rsidRPr="00DE7219">
        <w:rPr>
          <w:rFonts w:ascii="Book Antiqua" w:hAnsi="Book Antiqua"/>
          <w:color w:val="000000"/>
          <w:sz w:val="24"/>
          <w:szCs w:val="24"/>
        </w:rPr>
        <w:t>LF</w:t>
      </w:r>
      <w:r w:rsidRPr="00DE7219">
        <w:rPr>
          <w:rFonts w:ascii="Book Antiqua" w:hAnsi="Book Antiqua"/>
          <w:color w:val="000000"/>
          <w:sz w:val="24"/>
          <w:szCs w:val="24"/>
        </w:rPr>
        <w:t>. These studies are additionally discussed in a different section bellow.</w:t>
      </w:r>
    </w:p>
    <w:p w14:paraId="5A8BCB6C" w14:textId="3853558B" w:rsidR="009727DA" w:rsidRPr="00DE7219" w:rsidRDefault="009727DA" w:rsidP="00DE7219">
      <w:pPr>
        <w:spacing w:line="360" w:lineRule="auto"/>
        <w:ind w:firstLineChars="100" w:firstLine="240"/>
        <w:rPr>
          <w:rFonts w:ascii="Book Antiqua" w:hAnsi="Book Antiqua"/>
          <w:color w:val="000000"/>
          <w:sz w:val="24"/>
          <w:szCs w:val="24"/>
        </w:rPr>
      </w:pPr>
      <w:r w:rsidRPr="00DE7219">
        <w:rPr>
          <w:rFonts w:ascii="Book Antiqua" w:hAnsi="Book Antiqua"/>
          <w:color w:val="000000"/>
          <w:sz w:val="24"/>
          <w:szCs w:val="24"/>
        </w:rPr>
        <w:t xml:space="preserve">The mean OR time ranged between 27-73 min. A hospital length stay ranging between 13-100 h was reported. The most common complication was mild dysphagia, which occurred in 6%-83% of patients. In case of persistent dysphagia, balloon dilation was performed as an initial treatment approach, which occurred in 8% of patients. Additionally, in 2% of patients, device removal was required, due to dysphagia or recurrent heartburn/regurgitation or esophageal wall erosion. The device removal procedure occurred uneventfully in all of them. Regarding the results of MSA implantation as a therapeutic approach to GERD, between 75% and 100% of patients, depending on the study, stayed PPI free after surgery. Moreover, their </w:t>
      </w:r>
      <w:proofErr w:type="spellStart"/>
      <w:r w:rsidRPr="00DE7219">
        <w:rPr>
          <w:rFonts w:ascii="Book Antiqua" w:hAnsi="Book Antiqua"/>
          <w:color w:val="000000"/>
          <w:sz w:val="24"/>
          <w:szCs w:val="24"/>
        </w:rPr>
        <w:t>DeMeester</w:t>
      </w:r>
      <w:proofErr w:type="spellEnd"/>
      <w:r w:rsidRPr="00DE7219">
        <w:rPr>
          <w:rFonts w:ascii="Book Antiqua" w:hAnsi="Book Antiqua"/>
          <w:color w:val="000000"/>
          <w:sz w:val="24"/>
          <w:szCs w:val="24"/>
        </w:rPr>
        <w:t xml:space="preserve"> score ranged between 33.4 and 49.5 pre-operatively, while dropping to 11.2-15.6 post-operatively. The mean GERD</w:t>
      </w:r>
      <w:r w:rsidR="004E2CF8" w:rsidRPr="00DE7219">
        <w:rPr>
          <w:rFonts w:ascii="Book Antiqua" w:hAnsi="Book Antiqua"/>
          <w:color w:val="000000"/>
          <w:sz w:val="24"/>
          <w:szCs w:val="24"/>
        </w:rPr>
        <w:t xml:space="preserve"> </w:t>
      </w:r>
      <w:r w:rsidR="00267722" w:rsidRPr="00DE7219">
        <w:rPr>
          <w:rFonts w:ascii="Book Antiqua" w:hAnsi="Book Antiqua"/>
          <w:color w:val="000000"/>
          <w:sz w:val="24"/>
          <w:szCs w:val="24"/>
        </w:rPr>
        <w:t>health</w:t>
      </w:r>
      <w:r w:rsidR="004E2CF8" w:rsidRPr="00DE7219">
        <w:rPr>
          <w:rFonts w:ascii="Book Antiqua" w:hAnsi="Book Antiqua"/>
          <w:color w:val="000000"/>
          <w:sz w:val="24"/>
          <w:szCs w:val="24"/>
        </w:rPr>
        <w:t>-</w:t>
      </w:r>
      <w:r w:rsidR="00267722" w:rsidRPr="00DE7219">
        <w:rPr>
          <w:rFonts w:ascii="Book Antiqua" w:hAnsi="Book Antiqua"/>
          <w:color w:val="000000"/>
          <w:sz w:val="24"/>
          <w:szCs w:val="24"/>
        </w:rPr>
        <w:t xml:space="preserve">related quality </w:t>
      </w:r>
      <w:r w:rsidR="004E2CF8" w:rsidRPr="00DE7219">
        <w:rPr>
          <w:rFonts w:ascii="Book Antiqua" w:hAnsi="Book Antiqua"/>
          <w:color w:val="000000"/>
          <w:sz w:val="24"/>
          <w:szCs w:val="24"/>
        </w:rPr>
        <w:t xml:space="preserve">of </w:t>
      </w:r>
      <w:r w:rsidR="00267722" w:rsidRPr="00DE7219">
        <w:rPr>
          <w:rFonts w:ascii="Book Antiqua" w:hAnsi="Book Antiqua"/>
          <w:color w:val="000000"/>
          <w:sz w:val="24"/>
          <w:szCs w:val="24"/>
        </w:rPr>
        <w:t xml:space="preserve">life </w:t>
      </w:r>
      <w:r w:rsidR="004E2CF8" w:rsidRPr="00DE7219">
        <w:rPr>
          <w:rFonts w:ascii="Book Antiqua" w:hAnsi="Book Antiqua"/>
          <w:color w:val="000000"/>
          <w:sz w:val="24"/>
          <w:szCs w:val="24"/>
        </w:rPr>
        <w:t>(GERD</w:t>
      </w:r>
      <w:r w:rsidRPr="00DE7219">
        <w:rPr>
          <w:rFonts w:ascii="Book Antiqua" w:hAnsi="Book Antiqua"/>
          <w:color w:val="000000"/>
          <w:sz w:val="24"/>
          <w:szCs w:val="24"/>
        </w:rPr>
        <w:t>-HRQL</w:t>
      </w:r>
      <w:r w:rsidR="004E2CF8" w:rsidRPr="00DE7219">
        <w:rPr>
          <w:rFonts w:ascii="Book Antiqua" w:hAnsi="Book Antiqua"/>
          <w:color w:val="000000"/>
          <w:sz w:val="24"/>
          <w:szCs w:val="24"/>
        </w:rPr>
        <w:t>)</w:t>
      </w:r>
      <w:r w:rsidRPr="00DE7219">
        <w:rPr>
          <w:rFonts w:ascii="Book Antiqua" w:hAnsi="Book Antiqua"/>
          <w:color w:val="000000"/>
          <w:sz w:val="24"/>
          <w:szCs w:val="24"/>
        </w:rPr>
        <w:t xml:space="preserve"> score pre-operatively was in the 11-27 range while post-operatively dropped in the 0-6 range.</w:t>
      </w:r>
    </w:p>
    <w:p w14:paraId="49E69DD1" w14:textId="77777777" w:rsidR="009727DA" w:rsidRPr="00DE7219" w:rsidRDefault="009727DA" w:rsidP="00DE7219">
      <w:pPr>
        <w:spacing w:line="360" w:lineRule="auto"/>
        <w:rPr>
          <w:rFonts w:ascii="Book Antiqua" w:hAnsi="Book Antiqua"/>
          <w:color w:val="000000"/>
          <w:sz w:val="24"/>
          <w:szCs w:val="24"/>
        </w:rPr>
      </w:pPr>
    </w:p>
    <w:p w14:paraId="070EC182" w14:textId="4A6C87C8"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Comparing MSA and LF: 2 meta-analyses</w:t>
      </w:r>
    </w:p>
    <w:p w14:paraId="40A1D734" w14:textId="4143D372" w:rsidR="009727DA" w:rsidRPr="00DE7219" w:rsidRDefault="009727DA" w:rsidP="00DE7219">
      <w:pPr>
        <w:spacing w:line="360" w:lineRule="auto"/>
        <w:rPr>
          <w:rFonts w:ascii="Book Antiqua" w:hAnsi="Book Antiqua"/>
          <w:b/>
          <w:i/>
          <w:sz w:val="24"/>
          <w:szCs w:val="24"/>
        </w:rPr>
      </w:pPr>
      <w:proofErr w:type="spellStart"/>
      <w:r w:rsidRPr="00DE7219">
        <w:rPr>
          <w:rFonts w:ascii="Book Antiqua" w:hAnsi="Book Antiqua"/>
          <w:sz w:val="24"/>
          <w:szCs w:val="24"/>
        </w:rPr>
        <w:t>Aiolfi</w:t>
      </w:r>
      <w:proofErr w:type="spellEnd"/>
      <w:r w:rsidRPr="00DE7219">
        <w:rPr>
          <w:rFonts w:ascii="Book Antiqua" w:hAnsi="Book Antiqua"/>
          <w:sz w:val="24"/>
          <w:szCs w:val="24"/>
        </w:rPr>
        <w:t xml:space="preserve"> </w:t>
      </w:r>
      <w:r w:rsidRPr="00DE7219">
        <w:rPr>
          <w:rFonts w:ascii="Book Antiqua" w:hAnsi="Book Antiqua"/>
          <w:i/>
          <w:iCs/>
          <w:sz w:val="24"/>
          <w:szCs w:val="24"/>
        </w:rPr>
        <w:t xml:space="preserve">et </w:t>
      </w:r>
      <w:proofErr w:type="gramStart"/>
      <w:r w:rsidRPr="00DE7219">
        <w:rPr>
          <w:rFonts w:ascii="Book Antiqua" w:hAnsi="Book Antiqua"/>
          <w:i/>
          <w:iCs/>
          <w:sz w:val="24"/>
          <w:szCs w:val="24"/>
        </w:rPr>
        <w:t>al</w:t>
      </w:r>
      <w:r w:rsidR="00267722" w:rsidRPr="00DE7219">
        <w:rPr>
          <w:rFonts w:ascii="Book Antiqua" w:hAnsi="Book Antiqua"/>
          <w:sz w:val="24"/>
          <w:szCs w:val="24"/>
          <w:vertAlign w:val="superscript"/>
        </w:rPr>
        <w:t>[</w:t>
      </w:r>
      <w:proofErr w:type="gramEnd"/>
      <w:r w:rsidR="00267722" w:rsidRPr="00DE7219">
        <w:rPr>
          <w:rFonts w:ascii="Book Antiqua" w:hAnsi="Book Antiqua"/>
          <w:sz w:val="24"/>
          <w:szCs w:val="24"/>
          <w:vertAlign w:val="superscript"/>
        </w:rPr>
        <w:t>3</w:t>
      </w:r>
      <w:r w:rsidR="00E879CF" w:rsidRPr="00DE7219">
        <w:rPr>
          <w:rFonts w:ascii="Book Antiqua" w:hAnsi="Book Antiqua"/>
          <w:sz w:val="24"/>
          <w:szCs w:val="24"/>
          <w:vertAlign w:val="superscript"/>
        </w:rPr>
        <w:t>7</w:t>
      </w:r>
      <w:r w:rsidR="00267722" w:rsidRPr="00DE7219">
        <w:rPr>
          <w:rFonts w:ascii="Book Antiqua" w:hAnsi="Book Antiqua"/>
          <w:sz w:val="24"/>
          <w:szCs w:val="24"/>
          <w:vertAlign w:val="superscript"/>
        </w:rPr>
        <w:t>]</w:t>
      </w:r>
      <w:r w:rsidRPr="00DE7219">
        <w:rPr>
          <w:rFonts w:ascii="Book Antiqua" w:hAnsi="Book Antiqua"/>
          <w:sz w:val="24"/>
          <w:szCs w:val="24"/>
        </w:rPr>
        <w:t>, conducted a meta-analysis of the 7 comparative studies mentioned in the literature. This 2018 study included a total number of 1211 patients, 686 MSA and 525 LF. There was no incidence of death in either group; however postoperative morbidity was more frequent among patients who underwent LF (0-3% in the MSA group and 0-7% in the LF group). The operative time was longer for the LF group compared to MSA group (42-73 min in the MSA group and 76-118 in the LF group). Severe dysphagia treated with endoscopic dilatation occurred in 9.3% of MSA patients and 6.6% of LF patients, a difference though not statistically significant. In addition, their results demonstrated a strong association between MSA and less bloating symptoms (</w:t>
      </w:r>
      <w:r w:rsidRPr="00DE7219">
        <w:rPr>
          <w:rFonts w:ascii="Book Antiqua" w:hAnsi="Book Antiqua"/>
          <w:i/>
          <w:iCs/>
          <w:sz w:val="24"/>
          <w:szCs w:val="24"/>
        </w:rPr>
        <w:t>P</w:t>
      </w:r>
      <w:r w:rsidRPr="00DE7219">
        <w:rPr>
          <w:rFonts w:ascii="Book Antiqua" w:hAnsi="Book Antiqua"/>
          <w:sz w:val="24"/>
          <w:szCs w:val="24"/>
        </w:rPr>
        <w:t xml:space="preserve"> &lt; 0.001), a greater ability to vomit (</w:t>
      </w:r>
      <w:r w:rsidRPr="00DE7219">
        <w:rPr>
          <w:rFonts w:ascii="Book Antiqua" w:hAnsi="Book Antiqua"/>
          <w:i/>
          <w:iCs/>
          <w:sz w:val="24"/>
          <w:szCs w:val="24"/>
        </w:rPr>
        <w:t xml:space="preserve">P </w:t>
      </w:r>
      <w:r w:rsidRPr="00DE7219">
        <w:rPr>
          <w:rFonts w:ascii="Book Antiqua" w:hAnsi="Book Antiqua"/>
          <w:sz w:val="24"/>
          <w:szCs w:val="24"/>
        </w:rPr>
        <w:t>&lt; 0.001) and belch (</w:t>
      </w:r>
      <w:r w:rsidRPr="00DE7219">
        <w:rPr>
          <w:rFonts w:ascii="Book Antiqua" w:hAnsi="Book Antiqua"/>
          <w:i/>
          <w:iCs/>
          <w:sz w:val="24"/>
          <w:szCs w:val="24"/>
        </w:rPr>
        <w:t>P</w:t>
      </w:r>
      <w:r w:rsidRPr="00DE7219">
        <w:rPr>
          <w:rFonts w:ascii="Book Antiqua" w:hAnsi="Book Antiqua"/>
          <w:sz w:val="24"/>
          <w:szCs w:val="24"/>
        </w:rPr>
        <w:t xml:space="preserve"> &lt; 0.001). There was no statistically significant difference between PPI suspension and reoperation rates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{"citationItems":[{"id":"ITEM-1","itemData":{"DOI":"10.1016/j.ijsu.2018.02.041","ISSN":"17439191","PMID":"29471155","abstract":"BACKGROUND Laparoscopic Nissen and Toupet fundoplication (LF) are currently considered gold-standard surgical treatment for Gastroesophageal Reflux Disease (GERD). Magnetic Sphincter Augmentation (MSA) is an innovative surgical procedure that has been showed to be effective to control GERD symptoms and to reduce esophageal acid exposure. The aim of this systematic review and meta-analysis was to compare early outcomes of LF and MSA. MATERIALS AND METHODS PubMed, MEDLINE, Embase, and Cochrane databases were consulted matching the terms \"Gastroesophageal reflux or heartburn\", \"LINX or magnetic sphincter augmentation\" and \"fundoplication\". Pooled effect measures were calculated using an inverse-variance weighted or Mantel-Haenszel in random effects meta-analysis. Heterogeneity was evaluated using I2-index and Cochrane Q-test. Meta-regression was used to address the effect of potential confounders. RESULTS Seven observational cohort studies, published between 2014 and 2017, matched the inclusion criteria. Overall, 1211 patients, 686 MSA and 525 LF, were included. Postoperative morbidity ranged from 0 to 3% in the MSA group and from 0 to 7% in the LF group, and there was no mortality. Dysphagia requiring endoscopic dilatation occurred in 9.3% and 6.6% of patients respectively (OR</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1.56, 95% CI</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0.61-3.95,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0.119). The pooled OR of gas/bloat symptoms, ability to vomit, and ability to belch were 0.39 (95% CI 0.25-0.61;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&lt;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0.001), 10.10 (95% CI 5.33-19.15;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&lt;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0.001), and 5.53 (95% CI 3.73-8.19;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&lt;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0.001), respectively. The postoperative GERD-HRQL was similar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0.101). The pooled OR of PPI suspension, endoscopic dilation, and reoperation were similar in the two patients groups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0.548,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0.119,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0.183, respectively). CONCLUSION Both anti-reflux procedures are safe and effective up to 1-year follow-up. PPI suspension rate, dysphagia requiring endoscopic dilatation, and disease-related quality of life are similar in the two patient groups. MSA is associated with less gas/bloat symptoms and increased ability to vomit and belch.","author":[{"dropping-particle":"","family":"Aiolfi","given":"Alberto","non-dropping-particle":"","parse-names":false,"suffix":""},{"dropping-particle":"","family":"Asti","given":"Emanuele","non-dropping-particle":"","parse-names":false,"suffix":""},{"dropping-particle":"","family":"Bernardi","given":"Daniele","non-dropping-particle":"","parse-names":false,"suffix":""},{"dropping-particle":"","family":"Bonitta","given":"Gianluca","non-dropping-particle":"","parse-names":false,"suffix":""},{"dropping-particle":"","family":"Rausa","given":"Emanuele","non-dropping-particle":"","parse-names":false,"suffix":""},{"dropping-particle":"","family":"Siboni","given":"Stefano","non-dropping-particle":"","parse-names":false,"suffix":""},{"dropping-particle":"","family":"Bonavina","given":"Luigi","non-dropping-particle":"","parse-names":false,"suffix":""}],"container-title":"International Journal of Surgery","id":"ITEM-1","issued":{"date-parts":[["2018","4"]]},"page":"82-88","title":"Early results of magnetic sphincter augmentation versus fundoplication for gastroesophageal reflux disease: Systematic review and meta-analysis","type":"article-journal","volume":"52"},"uris":["http://www.mendeley.com/documents/?uuid=1d2cb610-24e1-3ee7-b68b-3deef0dc3896"]}],"mendeley":{"formattedCitation":"[38]","plainTextFormattedCitation":"[38]","previouslyFormattedCitation":"[38]"},"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7</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Similarly, in another meta-analysis of 6 comparative studies conducted in 2019, statistically significant differences occurred only in belching and bloating, whereas there were no statistically significant differences in GERD-HRQL, PPI suspension and dysphagia</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10.1093/dote/doz031","ISSN":"1120-8694","author":[{"dropping-particle":"","family":"Guidozzi","given":"Nadia","non-dropping-particle":"","parse-names":false,"suffix":""},{"dropping-particle":"","family":"Wiggins","given":"Tom","non-dropping-particle":"","parse-names":false,"suffix":""},{"dropping-particle":"","family":"Ahmed","given":"Ahmed R","non-dropping-particle":"","parse-names":false,"suffix":""},{"dropping-particle":"","family":"Hanna","given":"George B","non-dropping-particle":"","parse-names":false,"suffix":""},{"dropping-particle":"","family":"Markar","given":"Sheraz R","non-dropping-particle":"","parse-names":false,"suffix":""}],"container-title":"Diseases of the Esophagus","id":"ITEM-1","issued":{"date-parts":[["2019","5","9"]]},"title":"Laparoscopic magnetic sphincter augmentation versus fundoplication for gastroesophageal reflux disease: systematic review and pooled analysis","type":"article-journal"},"uris":["http://www.mendeley.com/documents/?uuid=11be4776-8405-31d9-aea5-8f1b697d5104"]}],"mendeley":{"formattedCitation":"[39]","plainTextFormattedCitation":"[39]","previouslyFormattedCitation":"[39]"},"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8</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231879C6" w14:textId="7D04760B" w:rsidR="009727DA" w:rsidRPr="00DE7219" w:rsidRDefault="009727DA" w:rsidP="00DE7219">
      <w:pPr>
        <w:spacing w:line="360" w:lineRule="auto"/>
        <w:rPr>
          <w:rFonts w:ascii="Book Antiqua" w:hAnsi="Book Antiqua"/>
          <w:b/>
          <w:i/>
          <w:sz w:val="24"/>
          <w:szCs w:val="24"/>
        </w:rPr>
      </w:pPr>
    </w:p>
    <w:p w14:paraId="2F319163" w14:textId="0EB4A30D"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Assessing device removal</w:t>
      </w:r>
    </w:p>
    <w:p w14:paraId="42DFEA50" w14:textId="7D84C4DE"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Aiming to examine the safety profile of the MSA device, Lipham </w:t>
      </w:r>
      <w:r w:rsidRPr="00DE7219">
        <w:rPr>
          <w:rFonts w:ascii="Book Antiqua" w:hAnsi="Book Antiqua"/>
          <w:i/>
          <w:iCs/>
          <w:sz w:val="24"/>
          <w:szCs w:val="24"/>
        </w:rPr>
        <w:t>et al</w:t>
      </w:r>
      <w:r w:rsidR="005C7477" w:rsidRPr="00DE7219">
        <w:rPr>
          <w:rFonts w:ascii="Book Antiqua" w:hAnsi="Book Antiqua"/>
          <w:sz w:val="24"/>
          <w:szCs w:val="24"/>
          <w:vertAlign w:val="superscript"/>
        </w:rPr>
        <w:fldChar w:fldCharType="begin" w:fldLock="1"/>
      </w:r>
      <w:r w:rsidR="005C7477" w:rsidRPr="00DE7219">
        <w:rPr>
          <w:rFonts w:ascii="Book Antiqua" w:hAnsi="Book Antiqua"/>
          <w:sz w:val="24"/>
          <w:szCs w:val="24"/>
          <w:vertAlign w:val="superscript"/>
        </w:rPr>
        <w:instrText>ADDIN CSL_CITATION {"citationItems":[{"id":"ITEM-1","itemData":{"DOI":"10.1111/dote.12199","ISSN":"11208694","PMID":"24612509","abstract":"Antireflux surgery with a magnetic sphincter augmentation device (MSAD) restores the competency of the lower esophageal sphincter with a device rather than a tissue fundoplication. As a regulated device, safety information from the published clinical literature can be supplemented by tracking under the Safe Medical Devices Act. The aim of this study was to examine the safety profile of the MSAD in the first 1000 implanted patients. We compiled safety data from all available sources as of July 1, 2013. The analysis included intra/perioperative complications, hospital readmissions, procedure-related interventions, reoperations, and device malfunctions leading to injury or inability to complete the procedure. Over 1000 patients worldwide have been implanted with the MSAD at 82 institutions with median implant duration of 274 days. Event rates were 0.1% intra/perioperative complications, 1.3% hospital readmissions, 5.6% endoscopic dilations, and 3.4% reoperations. All reoperations were performed non-emergently for device removal, with no complications or conversion to laparotomy. The primary reason for device removal was dysphagia. No device migrations or malfunctions were reported. Erosion of the device occurred in one patient (0.1%). The safety analysis of the first 1000 patients treated with MSAD for gastroesophageal reflux disease confirms the safety of this device and the implantation technique. The overall event rates were low based on data from 82 institutions. The MSAD is a safe therapeutic option for patients with chronic, uncomplicated gastroesophageal reflux disease.","author":[{"dropping-particle":"","family":"Lipham","given":"J. C.","non-dropping-particle":"","parse-names":false,"suffix":""},{"dropping-particle":"","family":"Taiganides","given":"P. A.","non-dropping-particle":"","parse-names":false,"suffix":""},{"dropping-particle":"","family":"Louie","given":"B. E.","non-dropping-particle":"","parse-names":false,"suffix":""},{"dropping-particle":"","family":"Ganz","given":"R. A.","non-dropping-particle":"","parse-names":false,"suffix":""},{"dropping-particle":"","family":"DeMeester","given":"T. R.","non-dropping-particle":"","parse-names":false,"suffix":""}],"container-title":"Diseases of the Esophagus","id":"ITEM-1","issue":"4","issued":{"date-parts":[["2015","5"]]},"page":"305-311","title":"Safety analysis of first 1000 patients treated with magnetic sphincter augmentation for gastroesophageal reflux disease","type":"article-journal","volume":"28"},"uris":["http://www.mendeley.com/documents/?uuid=109ea17b-f83e-328d-9d09-a528a9c15a29"]}],"mendeley":{"formattedCitation":"[40]","plainTextFormattedCitation":"[40]","previouslyFormattedCitation":"[40]"},"properties":{"noteIndex":0},"schema":"https://github.com/citation-style-language/schema/raw/master/csl-citation.json"}</w:instrText>
      </w:r>
      <w:r w:rsidR="005C7477" w:rsidRPr="00DE7219">
        <w:rPr>
          <w:rFonts w:ascii="Book Antiqua" w:hAnsi="Book Antiqua"/>
          <w:sz w:val="24"/>
          <w:szCs w:val="24"/>
          <w:vertAlign w:val="superscript"/>
        </w:rPr>
        <w:fldChar w:fldCharType="separate"/>
      </w:r>
      <w:r w:rsidR="005C7477" w:rsidRPr="00DE7219">
        <w:rPr>
          <w:rFonts w:ascii="Book Antiqua" w:hAnsi="Book Antiqua"/>
          <w:noProof/>
          <w:sz w:val="24"/>
          <w:szCs w:val="24"/>
          <w:vertAlign w:val="superscript"/>
        </w:rPr>
        <w:t>[39]</w:t>
      </w:r>
      <w:r w:rsidR="005C7477" w:rsidRPr="00DE7219">
        <w:rPr>
          <w:rFonts w:ascii="Book Antiqua" w:hAnsi="Book Antiqua"/>
          <w:sz w:val="24"/>
          <w:szCs w:val="24"/>
          <w:vertAlign w:val="superscript"/>
        </w:rPr>
        <w:fldChar w:fldCharType="end"/>
      </w:r>
      <w:r w:rsidRPr="00DE7219">
        <w:rPr>
          <w:rFonts w:ascii="Book Antiqua" w:hAnsi="Book Antiqua"/>
          <w:sz w:val="24"/>
          <w:szCs w:val="24"/>
        </w:rPr>
        <w:t>, designed a study which analyzed all the available data of the first 1000 patients who underwent MSA at 82 institutions worldwide. Median implant duration was 274 d and the results showed that intra/perioperative complications occurred in 0.1% of patients, 1.3% needed readmission and endoscopic dilations were noted in 5.6% of patients. Furthermore, 3.4% of patients were re-operated, but no reoperation for device removal was performed emergently and there was no intraoperative complication or conversion into laparotomy. No device migrations or malfunctions were noted and erosion occurred in one patient (0.1%). The overall event rates were low and this analysis confirms the safety of this device and the MSA technique</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{"citationItems":[{"id":"ITEM-1","itemData":{"DOI":"10.1111/dote.12199","ISSN":"11208694","PMID":"24612509","abstract":"Antireflux surgery with a magnetic sphincter augmentation device (MSAD) restores the competency of the lower esophageal sphincter with a device rather than a tissue fundoplication. As a regulated device, safety information from the published clinical literature can be supplemented by tracking under the Safe Medical Devices Act. The aim of this study was to examine the safety profile of the MSAD in the first 1000 implanted patients. We compiled safety data from all available sources as of July 1, 2013. The analysis included intra/perioperative complications, hospital readmissions, procedure-related interventions, reoperations, and device malfunctions leading to injury or inability to complete the procedure. Over 1000 patients worldwide have been implanted with the MSAD at 82 institutions with median implant duration of 274 days. Event rates were 0.1% intra/perioperative complications, 1.3% hospital readmissions, 5.6% endoscopic dilations, and 3.4% reoperations. All reoperations were performed non-emergently for device removal, with no complications or conversion to laparotomy. The primary reason for device removal was dysphagia. No device migrations or malfunctions were reported. Erosion of the device occurred in one patient (0.1%). The safety analysis of the first 1000 patients treated with MSAD for gastroesophageal reflux disease confirms the safety of this device and the implantation technique. The overall event rates were low based on data from 82 institutions. The MSAD is a safe therapeutic option for patients with chronic, uncomplicated gastroesophageal reflux disease.","author":[{"dropping-particle":"","family":"Lipham","given":"J. C.","non-dropping-particle":"","parse-names":false,"suffix":""},{"dropping-particle":"","family":"Taiganides","given":"P. A.","non-dropping-particle":"","parse-names":false,"suffix":""},{"dropping-particle":"","family":"Louie","given":"B. E.","non-dropping-particle":"","parse-names":false,"suffix":""},{"dropping-particle":"","family":"Ganz","given":"R. A.","non-dropping-particle":"","parse-names":false,"suffix":""},{"dropping-particle":"","family":"DeMeester","given":"T. R.","non-dropping-particle":"","parse-names":false,"suffix":""}],"container-title":"Diseases of the Esophagus","id":"ITEM-1","issue":"4","issued":{"date-parts":[["2015","5"]]},"page":"305-311","title":"Safety analysis of first 1000 patients treated with magnetic sphincter augmentation for gastroesophageal reflux disease","type":"article-journal","volume":"28"},"uris":["http://www.mendeley.com/documents/?uuid=109ea17b-f83e-328d-9d09-a528a9c15a29"]}],"mendeley":{"formattedCitation":"[40]","plainTextFormattedCitation":"[40]","previouslyFormattedCitation":"[40]"},"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w:t>
      </w:r>
      <w:r w:rsidR="00E879CF" w:rsidRPr="00DE7219">
        <w:rPr>
          <w:rFonts w:ascii="Book Antiqua" w:hAnsi="Book Antiqua"/>
          <w:noProof/>
          <w:sz w:val="24"/>
          <w:szCs w:val="24"/>
          <w:vertAlign w:val="superscript"/>
        </w:rPr>
        <w:t>39</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21526045" w14:textId="4892EA7E" w:rsidR="009727DA" w:rsidRPr="00DE7219" w:rsidRDefault="009727DA" w:rsidP="00DE7219">
      <w:pPr>
        <w:spacing w:line="360" w:lineRule="auto"/>
        <w:ind w:firstLineChars="100" w:firstLine="240"/>
        <w:rPr>
          <w:rFonts w:ascii="Book Antiqua" w:hAnsi="Book Antiqua"/>
          <w:sz w:val="24"/>
          <w:szCs w:val="24"/>
        </w:rPr>
      </w:pPr>
      <w:r w:rsidRPr="00DE7219">
        <w:rPr>
          <w:rFonts w:ascii="Book Antiqua" w:hAnsi="Book Antiqua"/>
          <w:sz w:val="24"/>
          <w:szCs w:val="24"/>
        </w:rPr>
        <w:t xml:space="preserve">In the same direction, Smith </w:t>
      </w:r>
      <w:r w:rsidRPr="00DE7219">
        <w:rPr>
          <w:rFonts w:ascii="Book Antiqua" w:hAnsi="Book Antiqua"/>
          <w:i/>
          <w:iCs/>
          <w:sz w:val="24"/>
          <w:szCs w:val="24"/>
        </w:rPr>
        <w:t>et al</w:t>
      </w:r>
      <w:r w:rsidR="00267722" w:rsidRPr="00DE7219">
        <w:rPr>
          <w:rFonts w:ascii="Book Antiqua" w:hAnsi="Book Antiqua"/>
          <w:sz w:val="24"/>
          <w:szCs w:val="24"/>
          <w:vertAlign w:val="superscript"/>
        </w:rPr>
        <w:fldChar w:fldCharType="begin" w:fldLock="1"/>
      </w:r>
      <w:r w:rsidR="00267722" w:rsidRPr="00DE7219">
        <w:rPr>
          <w:rFonts w:ascii="Book Antiqua" w:hAnsi="Book Antiqua"/>
          <w:sz w:val="24"/>
          <w:szCs w:val="24"/>
          <w:vertAlign w:val="superscript"/>
        </w:rPr>
        <w:instrText>ADDIN CSL_CITATION {"citationItems":[{"id":"ITEM-1","itemData":{"DOI":"10.1089/lap.2017.0025","ISSN":"1092-6429","PMID":"28430558","abstract":"INTRODUCTION Use of the magnetic sphincter augmentation device (MSAD) for gastroesophageal reflux disease (GERD) is increasing. As this innovative treatment for GERD gains widespread use and adoption, an assessment of its safety since U.S. market introduction is presented. METHODS Events were collected from the Manufacturer and User Facility Device Experience (MAUDE) database, which reports events submitted to the Food and Drug Administration (FDA) of suspected device-associated deaths, serious injuries, and malfunctions. The reporting period was from March 22, 2012 (FDA approval) through May 31, 2016, and included only events occurring in the United States. Additional information was provided by the manufacturer, allowing calculation of implant rates and durations. RESULTS An estimated 3283 patients underwent magnetic sphincter augmentation (165 surgeons at 191 institutions). The median implant duration was 1.4 years, with 1016 patients implanted for at least 2 years. No deaths, life-threatening events, or device malfunctions were reported. The overall rate of device removal was 2.7% (89/3283). The most common reasons for device removal were dysphagia (52/89) and persistent reflux symptoms (19/89). Removal for erosion and migration was 0.15% (5/3283) and 0% (0/3283), respectively. There were no perforations. Of the device removals, 57.3% (51/89) occurred &lt;1 year after implant, 30.3% (27/89) between 1 and 2 years, and 12.4% (11/89) &gt;2 years after implant. The rate of device removal and erosion with an implant duration &gt;2 years were 1.1% (11/1016) and 0.1% (1/1016), respectively. All device removals and erosions were managed nonemergently, with no complications or long-term consequences. CONCLUSIONS During a 4-year period in more than 3000 patients, no unanticipated MSAD complications have emerged, and there is no data to suggest a trend of increased events over time. The presentation and management of device-related issues have been less complicated than revisions for laparoscopic fundoplication or other interventions for GERD. MSAD is considered safe for the widespread treatment of GERD.","author":[{"dropping-particle":"","family":"Smith","given":"C. Daniel","non-dropping-particle":"","parse-names":false,"suffix":""},{"dropping-particle":"","family":"Ganz","given":"Robert A.","non-dropping-particle":"","parse-names":false,"suffix":""},{"dropping-particle":"","family":"Lipham","given":"John C.","non-dropping-particle":"","parse-names":false,"suffix":""},{"dropping-particle":"","family":"Bell","given":"Reginald C.","non-dropping-particle":"","parse-names":false,"suffix":""},{"dropping-particle":"","family":"Rattner","given":"David W.","non-dropping-particle":"","parse-names":false,"suffix":""}],"container-title":"Journal of Laparoendoscopic &amp; Advanced Surgical Techniques","id":"ITEM-1","issue":"6","issued":{"date-parts":[["2017","6"]]},"page":"586-591","title":"Lower Esophageal Sphincter Augmentation for Gastroesophageal Reflux Disease: The Safety of a Modern Implant","type":"article-journal","volume":"27"},"uris":["http://www.mendeley.com/documents/?uuid=114f5a98-366f-3c1f-9eea-a1f6fc5b000f"]}],"mendeley":{"formattedCitation":"[41]","plainTextFormattedCitation":"[41]","previouslyFormattedCitation":"[41]"},"properties":{"noteIndex":0},"schema":"https://github.com/citation-style-language/schema/raw/master/csl-citation.json"}</w:instrText>
      </w:r>
      <w:r w:rsidR="00267722" w:rsidRPr="00DE7219">
        <w:rPr>
          <w:rFonts w:ascii="Book Antiqua" w:hAnsi="Book Antiqua"/>
          <w:sz w:val="24"/>
          <w:szCs w:val="24"/>
          <w:vertAlign w:val="superscript"/>
        </w:rPr>
        <w:fldChar w:fldCharType="separate"/>
      </w:r>
      <w:r w:rsidR="00267722"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0</w:t>
      </w:r>
      <w:r w:rsidR="00267722" w:rsidRPr="00DE7219">
        <w:rPr>
          <w:rFonts w:ascii="Book Antiqua" w:hAnsi="Book Antiqua"/>
          <w:noProof/>
          <w:sz w:val="24"/>
          <w:szCs w:val="24"/>
          <w:vertAlign w:val="superscript"/>
        </w:rPr>
        <w:t>]</w:t>
      </w:r>
      <w:r w:rsidR="00267722" w:rsidRPr="00DE7219">
        <w:rPr>
          <w:rFonts w:ascii="Book Antiqua" w:hAnsi="Book Antiqua"/>
          <w:sz w:val="24"/>
          <w:szCs w:val="24"/>
          <w:vertAlign w:val="superscript"/>
        </w:rPr>
        <w:fldChar w:fldCharType="end"/>
      </w:r>
      <w:r w:rsidRPr="00DE7219">
        <w:rPr>
          <w:rFonts w:ascii="Book Antiqua" w:hAnsi="Book Antiqua"/>
          <w:sz w:val="24"/>
          <w:szCs w:val="24"/>
        </w:rPr>
        <w:t xml:space="preserve"> developed a subsequent study collecting data from the Manufacturer and User Facility Device Experience database between 2012 and 2016. The study included a total number of 3283 patients. Overall incidence of device removal was 2.7% while 88% of the removals occurred within 2</w:t>
      </w:r>
      <w:r w:rsidR="00267722" w:rsidRPr="00DE7219">
        <w:rPr>
          <w:rFonts w:ascii="Book Antiqua" w:hAnsi="Book Antiqua"/>
          <w:sz w:val="24"/>
          <w:szCs w:val="24"/>
        </w:rPr>
        <w:t xml:space="preserve"> </w:t>
      </w:r>
      <w:r w:rsidRPr="00DE7219">
        <w:rPr>
          <w:rFonts w:ascii="Book Antiqua" w:hAnsi="Book Antiqua"/>
          <w:sz w:val="24"/>
          <w:szCs w:val="24"/>
        </w:rPr>
        <w:t>years after surgery, with no complications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{"citationItems":[{"id":"ITEM-1","itemData":{"DOI":"10.1089/lap.2017.0025","ISSN":"1092-6429","PMID":"28430558","abstract":"INTRODUCTION Use of the magnetic sphincter augmentation device (MSAD) for gastroesophageal reflux disease (GERD) is increasing. As this innovative treatment for GERD gains widespread use and adoption, an assessment of its safety since U.S. market introduction is presented. METHODS Events were collected from the Manufacturer and User Facility Device Experience (MAUDE) database, which reports events submitted to the Food and Drug Administration (FDA) of suspected device-associated deaths, serious injuries, and malfunctions. The reporting period was from March 22, 2012 (FDA approval) through May 31, 2016, and included only events occurring in the United States. Additional information was provided by the manufacturer, allowing calculation of implant rates and durations. RESULTS An estimated 3283 patients underwent magnetic sphincter augmentation (165 surgeons at 191 institutions). The median implant duration was 1.4 years, with 1016 patients implanted for at least 2 years. No deaths, life-threatening events, or device malfunctions were reported. The overall rate of device removal was 2.7% (89/3283). The most common reasons for device removal were dysphagia (52/89) and persistent reflux symptoms (19/89). Removal for erosion and migration was 0.15% (5/3283) and 0% (0/3283), respectively. There were no perforations. Of the device removals, 57.3% (51/89) occurred &lt;1 year after implant, 30.3% (27/89) between 1 and 2 years, and 12.4% (11/89) &gt;2 years after implant. The rate of device removal and erosion with an implant duration &gt;2 years were 1.1% (11/1016) and 0.1% (1/1016), respectively. All device removals and erosions were managed nonemergently, with no complications or long-term consequences. CONCLUSIONS During a 4-year period in more than 3000 patients, no unanticipated MSAD complications have emerged, and there is no data to suggest a trend of increased events over time. The presentation and management of device-related issues have been less complicated than revisions for laparoscopic fundoplication or other interventions for GERD. MSAD is considered safe for the widespread treatment of GERD.","author":[{"dropping-particle":"","family":"Smith","given":"C. Daniel","non-dropping-particle":"","parse-names":false,"suffix":""},{"dropping-particle":"","family":"Ganz","given":"Robert A.","non-dropping-particle":"","parse-names":false,"suffix":""},{"dropping-particle":"","family":"Lipham","given":"John C.","non-dropping-particle":"","parse-names":false,"suffix":""},{"dropping-particle":"","family":"Bell","given":"Reginald C.","non-dropping-particle":"","parse-names":false,"suffix":""},{"dropping-particle":"","family":"Rattner","given":"David W.","non-dropping-particle":"","parse-names":false,"suffix":""}],"container-title":"Journal of Laparoendoscopic &amp; Advanced Surgical Techniques","id":"ITEM-1","issue":"6","issued":{"date-parts":[["2017","6"]]},"page":"586-591","title":"Lower Esophageal Sphincter Augmentation for Gastroesophageal Reflux Disease: The Safety of a Modern Implant","type":"article-journal","volume":"27"},"uris":["http://www.mendeley.com/documents/?uuid=114f5a98-366f-3c1f-9eea-a1f6fc5b000f"]}],"mendeley":{"formattedCitation":"[41]","plainTextFormattedCitation":"[41]","previouslyFormattedCitation":"[41]"},"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0</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In addition, a single-center cohort study estimated the device’s safety examining reoperations for MSA removal out of 164 patients who underwent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implantation. In total, 11 patients (6.7%) were explanted for a variety of reasons mostly between 12 and 24 </w:t>
      </w:r>
      <w:proofErr w:type="spellStart"/>
      <w:r w:rsidRPr="00DE7219">
        <w:rPr>
          <w:rFonts w:ascii="Book Antiqua" w:hAnsi="Book Antiqua"/>
          <w:sz w:val="24"/>
          <w:szCs w:val="24"/>
        </w:rPr>
        <w:t>mo</w:t>
      </w:r>
      <w:proofErr w:type="spellEnd"/>
      <w:r w:rsidRPr="00DE7219">
        <w:rPr>
          <w:rFonts w:ascii="Book Antiqua" w:hAnsi="Book Antiqua"/>
          <w:sz w:val="24"/>
          <w:szCs w:val="24"/>
        </w:rPr>
        <w:t xml:space="preserve"> after the index procedure. The main symptom indicating need for device removal was recurrence of heartburn or regurgitation in 46%. During device removal surgeons also performed partial fundoplication and there were no conversions to laparotomy or long-term complications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10.1097/SLA.0000000000001785","ISSN":"0003-4932","author":[{"dropping-particle":"","family":"Asti","given":"Emanuele","non-dropping-particle":"","parse-names":false,"suffix":""},{"dropping-particle":"","family":"Siboni","given":"Stefano","non-dropping-particle":"","parse-names":false,"suffix":""},{"dropping-particle":"","family":"Lazzari","given":"Veronica","non-dropping-particle":"","parse-names":false,"suffix":""},{"dropping-particle":"","family":"Bonitta","given":"Gianluca","non-dropping-particle":"","parse-names":false,"suffix":""},{"dropping-particle":"","family":"Sironi","given":"Andrea","non-dropping-particle":"","parse-names":false,"suffix":""},{"dropping-particle":"","family":"Bonavina","given":"Luigi","non-dropping-particle":"","parse-names":false,"suffix":""}],"container-title":"Annals of Surgery","id":"ITEM-1","issue":"5","issued":{"date-parts":[["2017","5"]]},"page":"941-945","title":"Removal of the Magnetic Sphincter Augmentation Device","type":"article-journal","volume":"265"},"uris":["http://www.mendeley.com/documents/?uuid=617c3042-ce1c-303c-88cd-2ff375cd1723"]}],"mendeley":{"formattedCitation":"[42]","plainTextFormattedCitation":"[42]","previouslyFormattedCitation":"[42]"},"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1</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4830C35B" w14:textId="11C34CB5" w:rsidR="009727DA" w:rsidRPr="00DE7219" w:rsidRDefault="009727DA" w:rsidP="00DE7219">
      <w:pPr>
        <w:spacing w:line="360" w:lineRule="auto"/>
        <w:rPr>
          <w:rFonts w:ascii="Book Antiqua" w:hAnsi="Book Antiqua"/>
          <w:sz w:val="24"/>
          <w:szCs w:val="24"/>
        </w:rPr>
      </w:pPr>
    </w:p>
    <w:p w14:paraId="0C627CA5" w14:textId="3AFC940C"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Evaluating alternative surgical approaches</w:t>
      </w:r>
    </w:p>
    <w:p w14:paraId="06C871FF" w14:textId="5B647834"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Upon some years of clinical application, recent studies considered and evaluated the efficacy and safety of alternative surgical strategies. Tatum </w:t>
      </w:r>
      <w:r w:rsidRPr="00DE7219">
        <w:rPr>
          <w:rFonts w:ascii="Book Antiqua" w:hAnsi="Book Antiqua"/>
          <w:i/>
          <w:iCs/>
          <w:sz w:val="24"/>
          <w:szCs w:val="24"/>
        </w:rPr>
        <w:t xml:space="preserve">et </w:t>
      </w:r>
      <w:proofErr w:type="gramStart"/>
      <w:r w:rsidRPr="00DE7219">
        <w:rPr>
          <w:rFonts w:ascii="Book Antiqua" w:hAnsi="Book Antiqua"/>
          <w:i/>
          <w:iCs/>
          <w:sz w:val="24"/>
          <w:szCs w:val="24"/>
        </w:rPr>
        <w:t>al</w:t>
      </w:r>
      <w:r w:rsidRPr="00DE7219">
        <w:rPr>
          <w:rFonts w:ascii="Book Antiqua" w:hAnsi="Book Antiqua"/>
          <w:sz w:val="24"/>
          <w:szCs w:val="24"/>
          <w:vertAlign w:val="superscript"/>
        </w:rPr>
        <w:t>[</w:t>
      </w:r>
      <w:proofErr w:type="gramEnd"/>
      <w:r w:rsidRPr="00DE7219">
        <w:rPr>
          <w:rFonts w:ascii="Book Antiqua" w:hAnsi="Book Antiqua"/>
          <w:sz w:val="24"/>
          <w:szCs w:val="24"/>
          <w:vertAlign w:val="superscript"/>
        </w:rPr>
        <w:t>4</w:t>
      </w:r>
      <w:r w:rsidR="00E879CF" w:rsidRPr="00DE7219">
        <w:rPr>
          <w:rFonts w:ascii="Book Antiqua" w:hAnsi="Book Antiqua"/>
          <w:sz w:val="24"/>
          <w:szCs w:val="24"/>
          <w:vertAlign w:val="superscript"/>
        </w:rPr>
        <w:t>2</w:t>
      </w:r>
      <w:r w:rsidRPr="00DE7219">
        <w:rPr>
          <w:rFonts w:ascii="Book Antiqua" w:hAnsi="Book Antiqua"/>
          <w:sz w:val="24"/>
          <w:szCs w:val="24"/>
          <w:vertAlign w:val="superscript"/>
        </w:rPr>
        <w:t>]</w:t>
      </w:r>
      <w:r w:rsidRPr="00DE7219">
        <w:rPr>
          <w:rFonts w:ascii="Book Antiqua" w:hAnsi="Book Antiqua"/>
          <w:sz w:val="24"/>
          <w:szCs w:val="24"/>
        </w:rPr>
        <w:t xml:space="preserve"> collected data of 182 patients who underwent MSA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 at a single center between December 2012 and November 2016. Minimal </w:t>
      </w:r>
      <w:r w:rsidR="00267722" w:rsidRPr="00DE7219">
        <w:rPr>
          <w:rFonts w:ascii="Book Antiqua" w:hAnsi="Book Antiqua"/>
          <w:sz w:val="24"/>
          <w:szCs w:val="24"/>
        </w:rPr>
        <w:t xml:space="preserve">hiatal dissection </w:t>
      </w:r>
      <w:r w:rsidRPr="00DE7219">
        <w:rPr>
          <w:rFonts w:ascii="Book Antiqua" w:hAnsi="Book Antiqua"/>
          <w:sz w:val="24"/>
          <w:szCs w:val="24"/>
        </w:rPr>
        <w:t>(MHD) at the diaphragmatic hiatus was used as the operative technique for MSA between December 2012 and September 2015 (</w:t>
      </w:r>
      <w:r w:rsidRPr="00DE7219">
        <w:rPr>
          <w:rFonts w:ascii="Book Antiqua" w:hAnsi="Book Antiqua"/>
          <w:i/>
          <w:iCs/>
          <w:sz w:val="24"/>
          <w:szCs w:val="24"/>
        </w:rPr>
        <w:t>n</w:t>
      </w:r>
      <w:r w:rsidRPr="00DE7219">
        <w:rPr>
          <w:rFonts w:ascii="Book Antiqua" w:hAnsi="Book Antiqua"/>
          <w:sz w:val="24"/>
          <w:szCs w:val="24"/>
        </w:rPr>
        <w:t xml:space="preserve"> = 96), whereas all patients (</w:t>
      </w:r>
      <w:r w:rsidRPr="00DE7219">
        <w:rPr>
          <w:rFonts w:ascii="Book Antiqua" w:hAnsi="Book Antiqua"/>
          <w:i/>
          <w:iCs/>
          <w:sz w:val="24"/>
          <w:szCs w:val="24"/>
        </w:rPr>
        <w:t>n</w:t>
      </w:r>
      <w:r w:rsidRPr="00DE7219">
        <w:rPr>
          <w:rFonts w:ascii="Book Antiqua" w:hAnsi="Book Antiqua"/>
          <w:sz w:val="24"/>
          <w:szCs w:val="24"/>
        </w:rPr>
        <w:t xml:space="preserve"> = 86) between September 2015 and 2016 were managed with </w:t>
      </w:r>
      <w:r w:rsidR="00267722" w:rsidRPr="00DE7219">
        <w:rPr>
          <w:rFonts w:ascii="Book Antiqua" w:hAnsi="Book Antiqua"/>
          <w:sz w:val="24"/>
          <w:szCs w:val="24"/>
        </w:rPr>
        <w:t xml:space="preserve">obligatory dissection </w:t>
      </w:r>
      <w:r w:rsidRPr="00DE7219">
        <w:rPr>
          <w:rFonts w:ascii="Book Antiqua" w:hAnsi="Book Antiqua"/>
          <w:sz w:val="24"/>
          <w:szCs w:val="24"/>
        </w:rPr>
        <w:t>(OD). Mean follow-up time was 554 d for MHD group and 374 for OD group and mean hernia size according to intraoperative measurements was 0.77 cm for the MHD group compared to 3.95</w:t>
      </w:r>
      <w:r w:rsidR="00267722" w:rsidRPr="00DE7219">
        <w:rPr>
          <w:rFonts w:ascii="Book Antiqua" w:hAnsi="Book Antiqua"/>
          <w:sz w:val="24"/>
          <w:szCs w:val="24"/>
        </w:rPr>
        <w:t xml:space="preserve"> </w:t>
      </w:r>
      <w:r w:rsidRPr="00DE7219">
        <w:rPr>
          <w:rFonts w:ascii="Book Antiqua" w:hAnsi="Book Antiqua"/>
          <w:sz w:val="24"/>
          <w:szCs w:val="24"/>
        </w:rPr>
        <w:t xml:space="preserve">cm for the OD group. At </w:t>
      </w:r>
      <w:r w:rsidR="00267722" w:rsidRPr="00DE7219">
        <w:rPr>
          <w:rFonts w:ascii="Book Antiqua" w:hAnsi="Book Antiqua"/>
          <w:sz w:val="24"/>
          <w:szCs w:val="24"/>
        </w:rPr>
        <w:t>1-year</w:t>
      </w:r>
      <w:r w:rsidRPr="00DE7219">
        <w:rPr>
          <w:rFonts w:ascii="Book Antiqua" w:hAnsi="Book Antiqua"/>
          <w:sz w:val="24"/>
          <w:szCs w:val="24"/>
        </w:rPr>
        <w:t xml:space="preserve"> follow-up, both groups showed similar results in postoperative dysphagia; however, recurrent GERD symptoms were more frequent after MHD compared to OD (16.3% </w:t>
      </w:r>
      <w:r w:rsidRPr="00DE7219">
        <w:rPr>
          <w:rFonts w:ascii="Book Antiqua" w:hAnsi="Book Antiqua"/>
          <w:i/>
          <w:iCs/>
          <w:sz w:val="24"/>
          <w:szCs w:val="24"/>
        </w:rPr>
        <w:t>vs</w:t>
      </w:r>
      <w:r w:rsidRPr="00DE7219">
        <w:rPr>
          <w:rFonts w:ascii="Book Antiqua" w:hAnsi="Book Antiqua"/>
          <w:sz w:val="24"/>
          <w:szCs w:val="24"/>
        </w:rPr>
        <w:t xml:space="preserve"> 3.6%, respectively). Recurrent hiatal hernia of 2 cm or greater occurred in 11.5% of patients in the MHD group, while no patient in OD group presented with this complication. Consequently, the study strongly indicated that OD of the hiatus during implantation of the device with </w:t>
      </w:r>
      <w:proofErr w:type="spellStart"/>
      <w:r w:rsidRPr="00DE7219">
        <w:rPr>
          <w:rFonts w:ascii="Book Antiqua" w:hAnsi="Book Antiqua"/>
          <w:sz w:val="24"/>
          <w:szCs w:val="24"/>
        </w:rPr>
        <w:t>crural</w:t>
      </w:r>
      <w:proofErr w:type="spellEnd"/>
      <w:r w:rsidRPr="00DE7219">
        <w:rPr>
          <w:rFonts w:ascii="Book Antiqua" w:hAnsi="Book Antiqua"/>
          <w:sz w:val="24"/>
          <w:szCs w:val="24"/>
        </w:rPr>
        <w:t xml:space="preserve"> closure has more favorable outcomes and results in decreased recurrence of GERD symptoms and hiatal </w:t>
      </w:r>
      <w:proofErr w:type="gramStart"/>
      <w:r w:rsidRPr="00DE7219">
        <w:rPr>
          <w:rFonts w:ascii="Book Antiqua" w:hAnsi="Book Antiqua"/>
          <w:sz w:val="24"/>
          <w:szCs w:val="24"/>
        </w:rPr>
        <w:t>hernia</w:t>
      </w:r>
      <w:r w:rsidRPr="00DE7219">
        <w:rPr>
          <w:rFonts w:ascii="Book Antiqua" w:hAnsi="Book Antiqua"/>
          <w:sz w:val="24"/>
          <w:szCs w:val="24"/>
          <w:vertAlign w:val="superscript"/>
        </w:rPr>
        <w:t>[</w:t>
      </w:r>
      <w:proofErr w:type="gramEnd"/>
      <w:r w:rsidRPr="00DE7219">
        <w:rPr>
          <w:rFonts w:ascii="Book Antiqua" w:hAnsi="Book Antiqua"/>
          <w:sz w:val="24"/>
          <w:szCs w:val="24"/>
          <w:vertAlign w:val="superscript"/>
        </w:rPr>
        <w:t>3</w:t>
      </w:r>
      <w:r w:rsidR="00E879CF" w:rsidRPr="00DE7219">
        <w:rPr>
          <w:rFonts w:ascii="Book Antiqua" w:hAnsi="Book Antiqua"/>
          <w:sz w:val="24"/>
          <w:szCs w:val="24"/>
          <w:vertAlign w:val="superscript"/>
        </w:rPr>
        <w:t>4</w:t>
      </w:r>
      <w:r w:rsidRPr="00DE7219">
        <w:rPr>
          <w:rFonts w:ascii="Book Antiqua" w:hAnsi="Book Antiqua"/>
          <w:sz w:val="24"/>
          <w:szCs w:val="24"/>
          <w:vertAlign w:val="superscript"/>
        </w:rPr>
        <w:t>]</w:t>
      </w:r>
      <w:r w:rsidRPr="00DE7219">
        <w:rPr>
          <w:rFonts w:ascii="Book Antiqua" w:hAnsi="Book Antiqua"/>
          <w:sz w:val="24"/>
          <w:szCs w:val="24"/>
        </w:rPr>
        <w:t xml:space="preserve">. Moreover, </w:t>
      </w:r>
      <w:proofErr w:type="spellStart"/>
      <w:r w:rsidRPr="00DE7219">
        <w:rPr>
          <w:rFonts w:ascii="Book Antiqua" w:hAnsi="Book Antiqua"/>
          <w:sz w:val="24"/>
          <w:szCs w:val="24"/>
        </w:rPr>
        <w:t>Alnasser</w:t>
      </w:r>
      <w:proofErr w:type="spellEnd"/>
      <w:r w:rsidRPr="00DE7219">
        <w:rPr>
          <w:rFonts w:ascii="Book Antiqua" w:hAnsi="Book Antiqua"/>
          <w:sz w:val="24"/>
          <w:szCs w:val="24"/>
        </w:rPr>
        <w:t xml:space="preserve"> </w:t>
      </w:r>
      <w:r w:rsidRPr="00DE7219">
        <w:rPr>
          <w:rFonts w:ascii="Book Antiqua" w:hAnsi="Book Antiqua"/>
          <w:i/>
          <w:iCs/>
          <w:sz w:val="24"/>
          <w:szCs w:val="24"/>
        </w:rPr>
        <w:t>et al</w:t>
      </w:r>
      <w:r w:rsidR="00DE7219" w:rsidRPr="00DE7219">
        <w:rPr>
          <w:rFonts w:ascii="Book Antiqua" w:hAnsi="Book Antiqua"/>
          <w:sz w:val="24"/>
          <w:szCs w:val="24"/>
          <w:vertAlign w:val="superscript"/>
        </w:rPr>
        <w:fldChar w:fldCharType="begin" w:fldLock="1"/>
      </w:r>
      <w:r w:rsidR="00DE7219" w:rsidRPr="00DE7219">
        <w:rPr>
          <w:rFonts w:ascii="Book Antiqua" w:hAnsi="Book Antiqua"/>
          <w:sz w:val="24"/>
          <w:szCs w:val="24"/>
          <w:vertAlign w:val="superscript"/>
        </w:rPr>
        <w:instrText>ADDIN CSL_CITATION {"citationItems":[{"id":"ITEM-1","itemData":{"DOI":"10.1007/s00464-018-6343-5","ISSN":"0930-2794","PMID":"30006845","abstract":"BACKGROUND The magnetic sphincter augmentation (MSA) device was initially implanted with minimal hiatal dissection (MHD) at the diaphragmatic hiatus. Due to concern of possible MSA device dysfunction if herniated into an occult or small hiatal hernia, and increased understanding to the role of defective crura in reflux disease, the operative procedure was changed to planned obligatory dissection (OD) of the hiatus at the time of all implantations. METHODS Between December 2012 and September 2016, 182 patients underwent MSA implant at a single medical center and have complete records available for review through September 2017. The MHD dissection period extended from December 2012 to September 2015, from September 2015 to 2016 all patients underwent OD. RESULTS MHD occurred 53% (96/182) versus OD in 47% (86/182), mean follow-up time in days for MHD and OD was 554 (SD 427) versus 374 (298) days. Intraoperative measurement of hernia size for the MHD versus OD was 0.77 (1.1) versus 3.95 (2.4) cm,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&lt;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0.001. At first visit follow-up, there was no difference in any dysphagia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0.11). Recurrent GERD (defined as resumption of PPI after successful initial post-operative wean) was less frequent after OD than after MHD, 3.6 versus 16.3%,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0.006. Delayed onset dysphagia was 1.2% in the OD group versus 8.6% in the MHD group,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0.04. Recurrent hiatal hernia of 2</w:instrText>
      </w:r>
      <w:r w:rsidR="00DE7219" w:rsidRPr="00DE7219">
        <w:rPr>
          <w:rFonts w:ascii="Book Antiqua" w:hAnsi="Book Antiqua" w:cs="Book Antiqua"/>
          <w:sz w:val="24"/>
          <w:szCs w:val="24"/>
          <w:vertAlign w:val="superscript"/>
        </w:rPr>
        <w:instrText> </w:instrText>
      </w:r>
      <w:r w:rsidR="00DE7219" w:rsidRPr="00DE7219">
        <w:rPr>
          <w:rFonts w:ascii="Book Antiqua" w:hAnsi="Book Antiqua"/>
          <w:sz w:val="24"/>
          <w:szCs w:val="24"/>
          <w:vertAlign w:val="superscript"/>
        </w:rPr>
        <w:instrText>cm or greater occurred in 0.0% of the OD and 11.5% of the MHD,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0.03. Repeat surgery for hiatal hernia repair has occurred in 0% of the OD and 6.6% of the MHD, p</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w:instrText>
      </w:r>
      <w:r w:rsidR="00DE7219" w:rsidRPr="00DE7219">
        <w:rPr>
          <w:rFonts w:ascii="MS Mincho" w:eastAsia="MS Mincho" w:hAnsi="MS Mincho" w:cs="MS Mincho" w:hint="eastAsia"/>
          <w:sz w:val="24"/>
          <w:szCs w:val="24"/>
          <w:vertAlign w:val="superscript"/>
        </w:rPr>
        <w:instrText> </w:instrText>
      </w:r>
      <w:r w:rsidR="00DE7219" w:rsidRPr="00DE7219">
        <w:rPr>
          <w:rFonts w:ascii="Book Antiqua" w:hAnsi="Book Antiqua"/>
          <w:sz w:val="24"/>
          <w:szCs w:val="24"/>
          <w:vertAlign w:val="superscript"/>
        </w:rPr>
        <w:instrText>0.02. CONCLUSION OD of the hiatus with crural closure resulted in less recurrence of reflux symptoms and hiatal hernia, despite an increased proportion of patients with larger hiatal hernia and more complex anatomic disease at the time of operation.","author":[{"dropping-particle":"","family":"Tatum","given":"James M.","non-dropping-particle":"","parse-names":false,"suffix":""},{"dropping-particle":"","family":"Alicuben","given":"Evan","non-dropping-particle":"","parse-names":false,"suffix":""},{"dropping-particle":"","family":"Bildzukewicz","given":"Nikolai","non-dropping-particle":"","parse-names":false,"suffix":""},{"dropping-particle":"","family":"Samakar","given":"Kamran","non-dropping-particle":"","parse-names":false,"suffix":""},{"dropping-particle":"","family":"Houghton","given":"Caitlin C.","non-dropping-particle":"","parse-names":false,"suffix":""},{"dropping-particle":"","family":"Lipham","given":"John C.","non-dropping-particle":"","parse-names":false,"suffix":""}],"container-title":"Surgical Endoscopy","id":"ITEM-1","issue":"3","issued":{"date-parts":[["2019","3","13"]]},"page":"782-788","title":"Minimal versus obligatory dissection of the diaphragmatic hiatus during magnetic sphincter augmentation surgery","type":"article-journal","volume":"33"},"uris":["http://www.mendeley.com/documents/?uuid=dc2313e7-83ec-38b1-adbc-95bab5c496a3"]}],"mendeley":{"formattedCitation":"[43]","plainTextFormattedCitation":"[43]","previouslyFormattedCitation":"[43]"},"properties":{"noteIndex":0},"schema":"https://github.com/citation-style-language/schema/raw/master/csl-citation.json"}</w:instrText>
      </w:r>
      <w:r w:rsidR="00DE7219" w:rsidRPr="00DE7219">
        <w:rPr>
          <w:rFonts w:ascii="Book Antiqua" w:hAnsi="Book Antiqua"/>
          <w:sz w:val="24"/>
          <w:szCs w:val="24"/>
          <w:vertAlign w:val="superscript"/>
        </w:rPr>
        <w:fldChar w:fldCharType="separate"/>
      </w:r>
      <w:r w:rsidR="00DE7219" w:rsidRPr="00DE7219">
        <w:rPr>
          <w:rFonts w:ascii="Book Antiqua" w:hAnsi="Book Antiqua"/>
          <w:noProof/>
          <w:sz w:val="24"/>
          <w:szCs w:val="24"/>
          <w:vertAlign w:val="superscript"/>
        </w:rPr>
        <w:t>[42]</w:t>
      </w:r>
      <w:r w:rsidR="00DE7219" w:rsidRPr="00DE7219">
        <w:rPr>
          <w:rFonts w:ascii="Book Antiqua" w:hAnsi="Book Antiqua"/>
          <w:sz w:val="24"/>
          <w:szCs w:val="24"/>
          <w:vertAlign w:val="superscript"/>
        </w:rPr>
        <w:fldChar w:fldCharType="end"/>
      </w:r>
      <w:r w:rsidRPr="00DE7219">
        <w:rPr>
          <w:rFonts w:ascii="Book Antiqua" w:hAnsi="Book Antiqua"/>
          <w:sz w:val="24"/>
          <w:szCs w:val="24"/>
        </w:rPr>
        <w:t xml:space="preserve"> focused on the need to obtain alternative access to implant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devices for patient with certain criteria; the authors described two cases that underwent MSA through left thoracotomy due to previous abdominal surgeries. They highlighted that a trans-thoracic approach is a feasible, alternative strategy for MSA</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{"citationItems":[{"id":"ITEM-1","itemData":{"DOI":"10.1007/s00464-018-6343-5","ISSN":"0930-2794","PMID":"30006845","abstract":"BACKGROUND The magnetic sphincter augmentation (MSA) device was initially implanted with minimal hiatal dissection (MHD) at the diaphragmatic hiatus. Due to concern of possible MSA device dysfunction if herniated into an occult or small hiatal hernia, and increased understanding to the role of defective crura in reflux disease, the operative procedure was changed to planned obligatory dissection (OD) of the hiatus at the time of all implantations. METHODS Between December 2012 and September 2016, 182 patients underwent MSA implant at a single medical center and have complete records available for review through September 2017. The MHD dissection period extended from December 2012 to September 2015, from September 2015 to 2016 all patients underwent OD. RESULTS MHD occurred 53% (96/182) versus OD in 47% (86/182), mean follow-up time in days for MHD and OD was 554 (SD 427) versus 374 (298) days. Intraoperative measurement of hernia size for the MHD versus OD was 0.77 (1.1) versus 3.95 (2.4) cm,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0.001. At first visit follow-up, there was no difference in any dysphagia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0.11). Recurrent GERD (defined as resumption of PPI after successful initial post-operative wean) was less frequent after OD than after MHD, 3.6 versus 16.3%,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0.006. Delayed onset dysphagia was 1.2% in the OD group versus 8.6% in the MHD group,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0.04. Recurrent hiatal hernia of 2</w:instrText>
      </w:r>
      <w:r w:rsidRPr="00DE7219">
        <w:rPr>
          <w:rFonts w:ascii="Book Antiqua" w:hAnsi="Book Antiqua" w:cs="Book Antiqua"/>
          <w:sz w:val="24"/>
          <w:szCs w:val="24"/>
          <w:vertAlign w:val="superscript"/>
        </w:rPr>
        <w:instrText> </w:instrText>
      </w:r>
      <w:r w:rsidRPr="00DE7219">
        <w:rPr>
          <w:rFonts w:ascii="Book Antiqua" w:hAnsi="Book Antiqua"/>
          <w:sz w:val="24"/>
          <w:szCs w:val="24"/>
          <w:vertAlign w:val="superscript"/>
        </w:rPr>
        <w:instrText>cm or greater occurred in 0.0% of the OD and 11.5% of the MHD,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0.03. Repeat surgery for hiatal hernia repair has occurred in 0% of the OD and 6.6% of the MHD,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w:instrText>
      </w:r>
      <w:r w:rsidRPr="00DE7219">
        <w:rPr>
          <w:rFonts w:ascii="MS Mincho" w:eastAsia="MS Mincho" w:hAnsi="MS Mincho" w:cs="MS Mincho" w:hint="eastAsia"/>
          <w:sz w:val="24"/>
          <w:szCs w:val="24"/>
          <w:vertAlign w:val="superscript"/>
        </w:rPr>
        <w:instrText> </w:instrText>
      </w:r>
      <w:r w:rsidRPr="00DE7219">
        <w:rPr>
          <w:rFonts w:ascii="Book Antiqua" w:hAnsi="Book Antiqua"/>
          <w:sz w:val="24"/>
          <w:szCs w:val="24"/>
          <w:vertAlign w:val="superscript"/>
        </w:rPr>
        <w:instrText>0.02. CONCLUSION OD of the hiatus with crural closure resulted in less recurrence of reflux symptoms and hiatal hernia, despite an increased proportion of patients with larger hiatal hernia and more complex anatomic disease at the time of operation.","author":[{"dropping-particle":"","family":"Tatum","given":"James M.","non-dropping-particle":"","parse-names":false,"suffix":""},{"dropping-particle":"","family":"Alicuben","given":"Evan","non-dropping-particle":"","parse-names":false,"suffix":""},{"dropping-particle":"","family":"Bildzukewicz","given":"Nikolai","non-dropping-particle":"","parse-names":false,"suffix":""},{"dropping-particle":"","family":"Samakar","given":"Kamran","non-dropping-particle":"","parse-names":false,"suffix":""},{"dropping-particle":"","family":"Houghton","given":"Caitlin C.","non-dropping-particle":"","parse-names":false,"suffix":""},{"dropping-particle":"","family":"Lipham","given":"John C.","non-dropping-particle":"","parse-names":false,"suffix":""}],"container-title":"Surgical Endoscopy","id":"ITEM-1","issue":"3","issued":{"date-parts":[["2019","3","13"]]},"page":"782-788","title":"Minimal versus obligatory dissection of the diaphragmatic hiatus during magnetic sphincter augmentation surgery","type":"article-journal","volume":"33"},"uris":["http://www.mendeley.com/documents/?uuid=dc2313e7-83ec-38b1-adbc-95bab5c496a3"]}],"mendeley":{"formattedCitation":"[43]","plainTextFormattedCitation":"[43]","previouslyFormattedCitation":"[43]"},"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2</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4A28F179" w14:textId="1FC48906" w:rsidR="009727DA" w:rsidRPr="00DE7219" w:rsidRDefault="009727DA" w:rsidP="00DE7219">
      <w:pPr>
        <w:spacing w:line="360" w:lineRule="auto"/>
        <w:rPr>
          <w:rFonts w:ascii="Book Antiqua" w:hAnsi="Book Antiqua"/>
          <w:sz w:val="24"/>
          <w:szCs w:val="24"/>
        </w:rPr>
      </w:pPr>
    </w:p>
    <w:p w14:paraId="51C96B64" w14:textId="086464A2"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MSA implantation on bariatric surgery patients</w:t>
      </w:r>
    </w:p>
    <w:p w14:paraId="0E7560EA" w14:textId="6478628F"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Laparoscopic Sleeve Gastrectomy in bariatric patients has been associated with new-onset or worsening of GERD symptoms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{"citationItems":[{"id":"ITEM-1","itemData":{"DOI":"10.1503/cjs.030612","ISSN":"1488-2310","PMID":"24666452","abstract":"Obesity is an epidemic that is known to play a role in the development of gastroesophageal reflux disease (GERD). Studies have shown that increasing body mass index plays a role in the incompetence of the gastroesophageal junction and that weight loss and lifestyle modifications reduce the symptoms of GERD. As a method of producing effective and sustainable weight loss, bariatric surgery plays a major role in the treatment of obesity. We reviewed the literature on the effects of different types of bariatric surgery on the symptomatic relief of GERD and its complications. Roux-en- Y gastric bypass was considered an effective method to alleviate symptoms of GERD, whereas laparoscopic sleeve gastrectomy appeared to increase the incidence of the disease. Adjustable gastric banding was seen to initially improve the symptoms of GERD; however, a subset of patients experienced a new onset of GERD symptoms during long-term follow-up. The literature suggests that different surgeries have different impacts on the symptomatology of GERD and that careful assessment may be needed before performing bariatric surgery in patients with GERD. L’obésité atteint des proportions épidémiques et on sait qu’elle joue un rôle dans l’apparition du phénomène de reflux gastro-oesophagien (RGO). Des études ont montré que l’augmentation de l’indice de masse corporelle contribue à l’incompétence de la jonction entre l’oesophage et l’estomac et que la perte de poids et des modifications de l’hygiène de vie réduisent les symptômes de RGO. Comme mé - thode pour obtenir une perte de poids efficace et durable, la chirurgie bariatrique occupe une place importante dans le traitement de l’obésité. Nous avons passé en revue la littérature traitant des effets de différents types de chirurgie bariatrique sur le soulagement des symptômes du RGO et ses complications. La dérivation gastrique Roux-en-Y a été considérée comme une méthode efficace pour le soulagement des symptômes de RGO, tandis que la gastrectomie verticale par laparoscopie a semblé faire augmenter l’incidence de la maladie. Quant au cerclage gastrique ajustable, il a semblé améliorer initialement le RGO; toutefois chez une catégorie de patients, le RGO s’est manifesté de nouveau lors du suivi à long terme. Selon la littérature, chaque type d’intervention exerce un impact différent sur la symptomatologie du RGO et une évaluation soigneuse s’impose avant de procéder à une chirurgie bariatrique chez les patients souffrant de RGO.","author":[{"dropping-particle":"","family":"El-Hadi","given":"Mustafa","non-dropping-particle":"","parse-names":false,"suffix":""},{"dropping-particle":"","family":"Birch","given":"Daniel W","non-dropping-particle":"","parse-names":false,"suffix":""},{"dropping-particle":"","family":"Gill","given":"Richdeep S","non-dropping-particle":"","parse-names":false,"suffix":""},{"dropping-particle":"","family":"Karmali","given":"Shahzeer","non-dropping-particle":"","parse-names":false,"suffix":""}],"container-title":"Canadian journal of surgery. Journal canadien de chirurgie","id":"ITEM-1","issue":"2","issued":{"date-parts":[["2014","4"]]},"page":"139-44","publisher":"Canadian Medical Association","title":"The effect of bariatric surgery on gastroesophageal reflux disease.","type":"article-journal","volume":"57"},"uris":["http://www.mendeley.com/documents/?uuid=d83a5daa-0cba-3f39-aed0-ba26286eef42"]}],"mendeley":{"formattedCitation":"[44]","plainTextFormattedCitation":"[44]","previouslyFormattedCitation":"[44]"},"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3</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In general, a BMI &gt; 35 kg/m</w:t>
      </w:r>
      <w:r w:rsidRPr="00DE7219">
        <w:rPr>
          <w:rFonts w:ascii="Book Antiqua" w:hAnsi="Book Antiqua"/>
          <w:sz w:val="24"/>
          <w:szCs w:val="24"/>
          <w:vertAlign w:val="superscript"/>
        </w:rPr>
        <w:t xml:space="preserve">2 </w:t>
      </w:r>
      <w:r w:rsidRPr="00DE7219">
        <w:rPr>
          <w:rFonts w:ascii="Book Antiqua" w:hAnsi="Book Antiqua"/>
          <w:sz w:val="24"/>
          <w:szCs w:val="24"/>
        </w:rPr>
        <w:t xml:space="preserve">is negatively associated with excellent/good outcomes in MSA </w:t>
      </w:r>
      <w:proofErr w:type="gramStart"/>
      <w:r w:rsidRPr="00DE7219">
        <w:rPr>
          <w:rFonts w:ascii="Book Antiqua" w:hAnsi="Book Antiqua"/>
          <w:sz w:val="24"/>
          <w:szCs w:val="24"/>
        </w:rPr>
        <w:t>implantation</w:t>
      </w:r>
      <w:r w:rsidRPr="00DE7219">
        <w:rPr>
          <w:rFonts w:ascii="Book Antiqua" w:hAnsi="Book Antiqua"/>
          <w:sz w:val="24"/>
          <w:szCs w:val="24"/>
          <w:vertAlign w:val="superscript"/>
        </w:rPr>
        <w:t>[</w:t>
      </w:r>
      <w:proofErr w:type="gramEnd"/>
      <w:r w:rsidRPr="00DE7219">
        <w:rPr>
          <w:rFonts w:ascii="Book Antiqua" w:hAnsi="Book Antiqua"/>
          <w:sz w:val="24"/>
          <w:szCs w:val="24"/>
          <w:vertAlign w:val="superscript"/>
        </w:rPr>
        <w:t>17]</w:t>
      </w:r>
      <w:r w:rsidRPr="00DE7219">
        <w:rPr>
          <w:rFonts w:ascii="Book Antiqua" w:hAnsi="Book Antiqua"/>
          <w:sz w:val="24"/>
          <w:szCs w:val="24"/>
        </w:rPr>
        <w:t>. However, upon losing weight, bariatric surgery patients become suitable candidates for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procedure. Although our literature research revealed only 3 studies with a total of 33 bariatric patients (26 on follow-up) being assessed, the results seem very promising. The clinical and demographic characteristics of bariatric patients with MSA devices are presented in Table 2.</w:t>
      </w:r>
    </w:p>
    <w:p w14:paraId="42ACF4A0" w14:textId="733D980B"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The most common bariatric procedure was </w:t>
      </w:r>
      <w:r w:rsidR="00267722" w:rsidRPr="00DE7219">
        <w:rPr>
          <w:rFonts w:ascii="Book Antiqua" w:hAnsi="Book Antiqua" w:cstheme="majorHAnsi"/>
          <w:iCs/>
          <w:sz w:val="24"/>
          <w:szCs w:val="24"/>
        </w:rPr>
        <w:t>laparoscopic sleeve gastrectomy</w:t>
      </w:r>
      <w:r w:rsidR="00267722" w:rsidRPr="00DE7219">
        <w:rPr>
          <w:rFonts w:ascii="Book Antiqua" w:hAnsi="Book Antiqua"/>
          <w:sz w:val="24"/>
          <w:szCs w:val="24"/>
        </w:rPr>
        <w:t xml:space="preserve"> (</w:t>
      </w:r>
      <w:r w:rsidRPr="00DE7219">
        <w:rPr>
          <w:rFonts w:ascii="Book Antiqua" w:hAnsi="Book Antiqua"/>
          <w:sz w:val="24"/>
          <w:szCs w:val="24"/>
        </w:rPr>
        <w:t>LSG</w:t>
      </w:r>
      <w:r w:rsidR="00267722" w:rsidRPr="00DE7219">
        <w:rPr>
          <w:rFonts w:ascii="Book Antiqua" w:hAnsi="Book Antiqua"/>
          <w:sz w:val="24"/>
          <w:szCs w:val="24"/>
        </w:rPr>
        <w:t>)</w:t>
      </w:r>
      <w:r w:rsidRPr="00DE7219">
        <w:rPr>
          <w:rFonts w:ascii="Book Antiqua" w:hAnsi="Book Antiqua"/>
          <w:sz w:val="24"/>
          <w:szCs w:val="24"/>
        </w:rPr>
        <w:t>. The mean BMI of bariatric patients upon MSA implantation was reported to be 30.1 and 33 in two studies, with one of them reporting a BMI upper limit of 44, which is over the usual indications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{"citationItems":[{"id":"ITEM-1","itemData":{"DOI":"10.1016/j.amjsurg.2018.10.040","ISSN":"00029610","PMID":"30390937","abstract":"BACKGROUND Management of severe reflux after sleeve gastrectomy (SG) is often done by conversion to Roux-en-Y gastric bypass (RYGB). The LINX® system could be an alternative treatment. METHOD Between 2015 and 2017, 13 patients had LINX® system placed to manage their reflux after SG. Pre-operative evaluation included a barium swallow, endoscopy with pH monitor and esophageal motility. RESULTS Ten females and three males with mean age of 49</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13 years were evaluated. Their mean weight before placing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system was 193</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45 lbs. and mean BMI of 33</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6</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kg/m2. The mean time between SG and placing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system was 43</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19 months. The mean Bravo score was 46</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26 (normal 14.7). One patient developed severe dysphagia post-operatively requiring removal of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after 18 days and one patient was lost to follow up. The mean follow-up in the remaining 11 patients was 26</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12 months. The mean GERD-HRQL score dropped significantly from 47/75</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17/75 to 12/75</w:instrText>
      </w:r>
      <w:r w:rsidRPr="00DE7219">
        <w:rPr>
          <w:rFonts w:ascii="Times New Roman" w:hAnsi="Times New Roman" w:cs="Times New Roman"/>
          <w:sz w:val="24"/>
          <w:szCs w:val="24"/>
          <w:vertAlign w:val="superscript"/>
        </w:rPr>
        <w:instrText> </w:instrText>
      </w:r>
      <w:r w:rsidRPr="00DE7219">
        <w:rPr>
          <w:rFonts w:ascii="Book Antiqua" w:hAnsi="Book Antiqua" w:cs="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14/75 (p</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w:instrText>
      </w:r>
      <w:r w:rsidRPr="00DE7219">
        <w:rPr>
          <w:rFonts w:ascii="Times New Roman" w:hAnsi="Times New Roman" w:cs="Times New Roman"/>
          <w:sz w:val="24"/>
          <w:szCs w:val="24"/>
          <w:vertAlign w:val="superscript"/>
        </w:rPr>
        <w:instrText> </w:instrText>
      </w:r>
      <w:r w:rsidRPr="00DE7219">
        <w:rPr>
          <w:rFonts w:ascii="Book Antiqua" w:hAnsi="Book Antiqua"/>
          <w:sz w:val="24"/>
          <w:szCs w:val="24"/>
          <w:vertAlign w:val="superscript"/>
        </w:rPr>
        <w:instrText>.0003). CONCLUSION The LINX</w:instrText>
      </w:r>
      <w:r w:rsidRPr="00DE7219">
        <w:rPr>
          <w:rFonts w:ascii="Book Antiqua" w:hAnsi="Book Antiqua" w:cs="Book Antiqua"/>
          <w:sz w:val="24"/>
          <w:szCs w:val="24"/>
          <w:vertAlign w:val="superscript"/>
        </w:rPr>
        <w:instrText>®</w:instrText>
      </w:r>
      <w:r w:rsidRPr="00DE7219">
        <w:rPr>
          <w:rFonts w:ascii="Book Antiqua" w:hAnsi="Book Antiqua"/>
          <w:sz w:val="24"/>
          <w:szCs w:val="24"/>
          <w:vertAlign w:val="superscript"/>
        </w:rPr>
        <w:instrText xml:space="preserve"> system may be used as an alternative to RYGB conversion in managing refractory post-SG reflux.","author":[{"dropping-particle":"","family":"Hawasli","given":"Abdelkader","non-dropping-particle":"","parse-names":false,"suffix":""},{"dropping-particle":"","family":"Sadoun","given":"Moutamn","non-dropping-particle":"","parse-names":false,"suffix":""},{"dropping-particle":"","family":"Meguid","given":"Ahmed","non-dropping-particle":"","parse-names":false,"suffix":""},{"dropping-particle":"","family":"Dean","given":"Mosab","non-dropping-particle":"","parse-names":false,"suffix":""},{"dropping-particle":"","family":"Sahly","given":"Mohamad","non-dropping-particle":"","parse-names":false,"suffix":""},{"dropping-particle":"","family":"Hawasli","given":"Bianca","non-dropping-particle":"","parse-names":false,"suffix":""}],"container-title":"The American Journal of Surgery","id":"ITEM-1","issue":"3","issued":{"date-parts":[["2019","3"]]},"page":"496-499","title":"Laparoscopic placement of the LINX® system in management of severe reflux after sleeve gastrectomy","type":"article-journal","volume":"217"},"uris":["http://www.mendeley.com/documents/?uuid=ec32dd74-de4f-3700-912d-ef5bc2f9d6e2"]},{"id":"ITEM-2","itemData":{"DOI":"10.1007/s00464-019-07096-z","ISSN":"0930-2794","author":[{"dropping-particle":"","family":"Broderick","given":"Ryan C.","non-dropping-particle":"","parse-names":false,"suffix":""},{"dropping-particle":"","family":"Smith","given":"C. Daniel","non-dropping-particle":"","parse-names":false,"suffix":""},{"dropping-particle":"","family":"Cheverie","given":"Joslin N.","non-dropping-particle":"","parse-names":false,"suffix":""},{"dropping-particle":"","family":"Omelanczuk","given":"Pablo","non-dropping-particle":"","parse-names":false,"suffix":""},{"dropping-particle":"","family":"Lee","given":"Arielle M.","non-dropping-particle":"","parse-names":false,"suffix":""},{"dropping-particle":"","family":"Dominguez-Profeta","given":"Rebeca","non-dropping-particle":"","parse-names":false,"suffix":""},{"dropping-particle":"","family":"Cubas","given":"Robert","non-dropping-particle":"","parse-names":false,"suffix":""},{"dropping-particle":"","family":"Jacobsen","given":"Garth R.","non-dropping-particle":"","parse-names":false,"suffix":""},{"dropping-particle":"","family":"Sandler","given":"Bryan J.","non-dropping-particle":"","parse-names":false,"suffix":""},{"dropping-particle":"","family":"Fuchs","given":"Karl-Hermann","non-dropping-particle":"","parse-names":false,"suffix":""},{"dropping-particle":"","family":"Horgan","given":"Santiago","non-dropping-particle":"","parse-names":false,"suffix":""}],"container-title":"Surgical Endoscopy","id":"ITEM-2","issued":{"date-parts":[["2019","9","4"]]},"title":"Magnetic sphincter augmentation: a viable rescue therapy for symptomatic reflux following bariatric surgery","type":"article-journal"},"uris":["http://www.mendeley.com/documents/?uuid=fcda3369-992f-32ec-85ff-23bdc402499e"]}],"mendeley":{"formattedCitation":"[46,47]","plainTextFormattedCitation":"[46,47]","previouslyFormattedCitation":"[46,47]"},"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5</w:t>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6</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Moreover, one of the studies implementing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on 13 LSG patients reported 100% satisfaction and a drop of GERD-HRQL score from 17-18 to 5-6</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11605-015-2887-z","ISSN":"1091-255X","author":[{"dropping-particle":"","family":"Desart","given":"Kenneth","non-dropping-particle":"","parse-names":false,"suffix":""},{"dropping-particle":"","family":"Rossidis","given":"Georgios","non-dropping-particle":"","parse-names":false,"suffix":""},{"dropping-particle":"","family":"Michel","given":"Michael","non-dropping-particle":"","parse-names":false,"suffix":""},{"dropping-particle":"","family":"Lux","given":"Tamara","non-dropping-particle":"","parse-names":false,"suffix":""},{"dropping-particle":"","family":"Ben-David","given":"Kfir","non-dropping-particle":"","parse-names":false,"suffix":""}],"container-title":"Journal of Gastrointestinal Surgery","id":"ITEM-1","issue":"10","issued":{"date-parts":[["2015","10","11"]]},"page":"1782-1786","title":"Gastroesophageal Reflux Management with the LINX® System for Gastroesophageal Reflux Disease Following Laparoscopic Sleeve Gastrectomy","type":"article-journal","volume":"19"},"uris":["http://www.mendeley.com/documents/?uuid=7539cc2c-fa09-3170-8dde-c0bfdea205f2"]}],"mendeley":{"formattedCitation":"[45]","plainTextFormattedCitation":"[45]","previouslyFormattedCitation":"[45]"},"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4</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In addition, although the vast majority of patients (28/33) had undergone LSG prior to MSA implantation, 1 out of 3 studies reported 4 Laparoscopic Roux-en-Y Gastric Bypass patients and 1 Duodenal Switch patient. The study reported 100% patient satisfaction rates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{"citationItems":[{"id":"ITEM-1","itemData":{"DOI":"10.1007/s00464-019-07096-z","ISSN":"0930-2794","author":[{"dropping-particle":"","family":"Broderick","given":"Ryan C.","non-dropping-particle":"","parse-names":false,"suffix":""},{"dropping-particle":"","family":"Smith","given":"C. Daniel","non-dropping-particle":"","parse-names":false,"suffix":""},{"dropping-particle":"","family":"Cheverie","given":"Joslin N.","non-dropping-particle":"","parse-names":false,"suffix":""},{"dropping-particle":"","family":"Omelanczuk","given":"Pablo","non-dropping-particle":"","parse-names":false,"suffix":""},{"dropping-particle":"","family":"Lee","given":"Arielle M.","non-dropping-particle":"","parse-names":false,"suffix":""},{"dropping-particle":"","family":"Dominguez-Profeta","given":"Rebeca","non-dropping-particle":"","parse-names":false,"suffix":""},{"dropping-particle":"","family":"Cubas","given":"Robert","non-dropping-particle":"","parse-names":false,"suffix":""},{"dropping-particle":"","family":"Jacobsen","given":"Garth R.","non-dropping-particle":"","parse-names":false,"suffix":""},{"dropping-particle":"","family":"Sandler","given":"Bryan J.","non-dropping-particle":"","parse-names":false,"suffix":""},{"dropping-particle":"","family":"Fuchs","given":"Karl-Hermann","non-dropping-particle":"","parse-names":false,"suffix":""},{"dropping-particle":"","family":"Horgan","given":"Santiago","non-dropping-particle":"","parse-names":false,"suffix":""}],"container-title":"Surgical Endoscopy","id":"ITEM-1","issued":{"date-parts":[["2019","9","4"]]},"title":"Magnetic sphincter augmentation: a viable rescue therapy for symptomatic reflux following bariatric surgery","type":"article-journal"},"uris":["http://www.mendeley.com/documents/?uuid=fcda3369-992f-32ec-85ff-23bdc402499e"]}],"mendeley":{"formattedCitation":"[47]","plainTextFormattedCitation":"[47]","previouslyFormattedCitation":"[47]"},"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[4</w:t>
      </w:r>
      <w:r w:rsidR="00E879CF" w:rsidRPr="00DE7219">
        <w:rPr>
          <w:rFonts w:ascii="Book Antiqua" w:hAnsi="Book Antiqua"/>
          <w:noProof/>
          <w:sz w:val="24"/>
          <w:szCs w:val="24"/>
          <w:vertAlign w:val="superscript"/>
        </w:rPr>
        <w:t>6</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For a better delineation of these results, further studies, with larger patient populations, are needed.</w:t>
      </w:r>
    </w:p>
    <w:p w14:paraId="011BD346" w14:textId="7667153C" w:rsidR="009727DA" w:rsidRPr="00DE7219" w:rsidRDefault="009727DA" w:rsidP="00DE7219">
      <w:pPr>
        <w:spacing w:line="360" w:lineRule="auto"/>
        <w:rPr>
          <w:rFonts w:ascii="Book Antiqua" w:hAnsi="Book Antiqua"/>
          <w:b/>
          <w:i/>
          <w:sz w:val="24"/>
          <w:szCs w:val="24"/>
        </w:rPr>
      </w:pPr>
    </w:p>
    <w:p w14:paraId="6BA68380" w14:textId="6F423C21" w:rsidR="009727DA" w:rsidRPr="00DE7219" w:rsidRDefault="009727DA" w:rsidP="00DE7219">
      <w:pPr>
        <w:spacing w:line="360" w:lineRule="auto"/>
        <w:rPr>
          <w:rFonts w:ascii="Book Antiqua" w:hAnsi="Book Antiqua"/>
          <w:b/>
          <w:i/>
          <w:sz w:val="24"/>
          <w:szCs w:val="24"/>
        </w:rPr>
      </w:pPr>
      <w:r w:rsidRPr="00DE7219">
        <w:rPr>
          <w:rFonts w:ascii="Book Antiqua" w:hAnsi="Book Antiqua"/>
          <w:b/>
          <w:i/>
          <w:sz w:val="24"/>
          <w:szCs w:val="24"/>
        </w:rPr>
        <w:t>Seeking to extend the indications</w:t>
      </w:r>
    </w:p>
    <w:p w14:paraId="5B09A709" w14:textId="6ADE55B9" w:rsidR="009727DA" w:rsidRPr="00DE7219" w:rsidRDefault="009727DA" w:rsidP="00DE7219">
      <w:pPr>
        <w:spacing w:line="360" w:lineRule="auto"/>
        <w:rPr>
          <w:rFonts w:ascii="Book Antiqua" w:eastAsia="Gungsuh" w:hAnsi="Book Antiqua"/>
          <w:sz w:val="24"/>
          <w:szCs w:val="24"/>
        </w:rPr>
      </w:pPr>
      <w:r w:rsidRPr="00DE7219">
        <w:rPr>
          <w:rFonts w:ascii="Book Antiqua" w:eastAsia="Gungsuh" w:hAnsi="Book Antiqua"/>
          <w:sz w:val="24"/>
          <w:szCs w:val="24"/>
        </w:rPr>
        <w:t xml:space="preserve">Rona </w:t>
      </w:r>
      <w:r w:rsidRPr="00DE7219">
        <w:rPr>
          <w:rFonts w:ascii="Book Antiqua" w:eastAsia="Gungsuh" w:hAnsi="Book Antiqua"/>
          <w:i/>
          <w:iCs/>
          <w:sz w:val="24"/>
          <w:szCs w:val="24"/>
        </w:rPr>
        <w:t>et</w:t>
      </w:r>
      <w:r w:rsidR="00267722" w:rsidRPr="00DE7219">
        <w:rPr>
          <w:rFonts w:ascii="Book Antiqua" w:eastAsia="Gungsuh" w:hAnsi="Book Antiqua"/>
          <w:i/>
          <w:iCs/>
          <w:sz w:val="24"/>
          <w:szCs w:val="24"/>
        </w:rPr>
        <w:t xml:space="preserve"> </w:t>
      </w:r>
      <w:proofErr w:type="gramStart"/>
      <w:r w:rsidRPr="00DE7219">
        <w:rPr>
          <w:rFonts w:ascii="Book Antiqua" w:eastAsia="Gungsuh" w:hAnsi="Book Antiqua"/>
          <w:i/>
          <w:iCs/>
          <w:sz w:val="24"/>
          <w:szCs w:val="24"/>
        </w:rPr>
        <w:t>al</w:t>
      </w:r>
      <w:r w:rsidR="00267722" w:rsidRPr="00DE7219">
        <w:rPr>
          <w:rFonts w:ascii="Book Antiqua" w:eastAsia="Gungsuh" w:hAnsi="Book Antiqua"/>
          <w:sz w:val="24"/>
          <w:szCs w:val="24"/>
          <w:vertAlign w:val="superscript"/>
        </w:rPr>
        <w:t>[</w:t>
      </w:r>
      <w:proofErr w:type="gramEnd"/>
      <w:r w:rsidR="00267722" w:rsidRPr="00DE7219">
        <w:rPr>
          <w:rFonts w:ascii="Book Antiqua" w:eastAsia="Gungsuh" w:hAnsi="Book Antiqua"/>
          <w:sz w:val="24"/>
          <w:szCs w:val="24"/>
          <w:vertAlign w:val="superscript"/>
        </w:rPr>
        <w:t>4</w:t>
      </w:r>
      <w:r w:rsidR="00E879CF" w:rsidRPr="00DE7219">
        <w:rPr>
          <w:rFonts w:ascii="Book Antiqua" w:eastAsia="Gungsuh" w:hAnsi="Book Antiqua"/>
          <w:sz w:val="24"/>
          <w:szCs w:val="24"/>
          <w:vertAlign w:val="superscript"/>
        </w:rPr>
        <w:t>7</w:t>
      </w:r>
      <w:r w:rsidR="00267722" w:rsidRPr="00DE7219">
        <w:rPr>
          <w:rFonts w:ascii="Book Antiqua" w:eastAsia="Gungsuh" w:hAnsi="Book Antiqua"/>
          <w:sz w:val="24"/>
          <w:szCs w:val="24"/>
          <w:vertAlign w:val="superscript"/>
        </w:rPr>
        <w:t>]</w:t>
      </w:r>
      <w:r w:rsidRPr="00DE7219">
        <w:rPr>
          <w:rFonts w:ascii="Book Antiqua" w:eastAsia="Gungsuh" w:hAnsi="Book Antiqua"/>
          <w:sz w:val="24"/>
          <w:szCs w:val="24"/>
        </w:rPr>
        <w:t xml:space="preserve"> reviewed a series of 192 patients with a median follow-up time of 20 months. Among these patients 52 (27%) presented with a large hiatal hernia (≥ 3 cm). These patients reported reduced postoperative PPI’s use compared to patients with smaller hernias (9.6 </w:t>
      </w:r>
      <w:r w:rsidRPr="00DE7219">
        <w:rPr>
          <w:rFonts w:ascii="Book Antiqua" w:eastAsia="Gungsuh" w:hAnsi="Book Antiqua"/>
          <w:i/>
          <w:iCs/>
          <w:sz w:val="24"/>
          <w:szCs w:val="24"/>
        </w:rPr>
        <w:t>vs</w:t>
      </w:r>
      <w:r w:rsidRPr="00DE7219">
        <w:rPr>
          <w:rFonts w:ascii="Book Antiqua" w:eastAsia="Gungsuh" w:hAnsi="Book Antiqua"/>
          <w:sz w:val="24"/>
          <w:szCs w:val="24"/>
        </w:rPr>
        <w:t xml:space="preserve"> 26.6 %, respectively) and the mean GERD-HRQL score was improved (3.6 </w:t>
      </w:r>
      <w:r w:rsidRPr="00DE7219">
        <w:rPr>
          <w:rFonts w:ascii="Book Antiqua" w:eastAsia="Gungsuh" w:hAnsi="Book Antiqua"/>
          <w:i/>
          <w:iCs/>
          <w:sz w:val="24"/>
          <w:szCs w:val="24"/>
        </w:rPr>
        <w:t>vs</w:t>
      </w:r>
      <w:r w:rsidRPr="00DE7219">
        <w:rPr>
          <w:rFonts w:ascii="Book Antiqua" w:eastAsia="Gungsuh" w:hAnsi="Book Antiqua"/>
          <w:sz w:val="24"/>
          <w:szCs w:val="24"/>
        </w:rPr>
        <w:t xml:space="preserve"> 5.6, respectively). In both groups, the majority of patients reported complete resolution of GERD symptoms</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{"citationItems":[{"id":"ITEM-1","itemData":{"DOI":"10.1007/s00464-016-5204-3","ISSN":"0930-2794","PMID":"27553803","abstract":"BACKGROUND Magnetic sphincter augmentation (MSA) has demonstrated long-term safety and efficacy in the treatment of patients with gastroesophageal reflux (GERD), but its efficacy in patients with large hiatal hernias has yet to be proven. The aim of our study was to assess outcomes of MSA in patients with hiatal hernias ≥3 cm. METHODS We retrospectively reviewed all patients who underwent MSA at our institutions over a 6-year period. Information obtained consisted of patient demographics, symptoms of GERD, preoperative GERD Health-Related Quality-of-Life (HRQL) scores, perioperative details, and implantation of the MSA device. Primary endpoints included postoperative GERD-HRQL scores, proton-pump inhibitor (PPI) use, symptom change, and procedure-related complications. A large hiatal hernia was defined as a hernia measuring ≥3 cm by intraoperative measurement. RESULTS A total of 192 patients were reviewed. Median follow-up was 20 months (3-75 months). Mean GERD-HRQL scores in the overall population before and after MSA were 18.9 and 5.0, respectively (p &lt; 0.001). In the majority of patients symptoms improved or resolved (N = 177, p &lt; 0.001). Fifty-two patients (27.0 %) had a hiatal hernia ≥3 cm (range 3-7 cm). Their mean GERD-HRQL score decreased from 20.5 to 3.6 (p &lt; 0.001) following MSA. When compared to patients with smaller hernias, patients with large hiatal hernias had decreased postoperative PPI requirement (9.6 vs. 26.6 %, p = 0.011) and lower mean postoperative GERD-HRQL scores (3.6 vs. 5.6, p = 0.027). The percent of patients requiring postoperative intervention for dysphagia was similar (13.5 vs. 17.9 %, p = 0.522), as was the incidence of symptom resolution or improvement (98.1 vs. 91.3 %, p = 0.118). CONCLUSION MSA in patients with large hiatal hernias demonstrates decreased postoperative PPI requirement and mean GERD-HRQL scores compared to patients with smaller hernias. The incidence of symptom resolution or improvement and the percentage of patients requiring intervention for dysphagia are similar. Short-term outcomes of MSA are encouraging in patients with gastroesophageal reflux disease and large hiatal hernias.","author":[{"dropping-particle":"","family":"Rona","given":"Kais A.","non-dropping-particle":"","parse-names":false,"suffix":""},{"dropping-particle":"","family":"Reynolds","given":"Jessica","non-dropping-particle":"","parse-names":false,"suffix":""},{"dropping-particle":"","family":"Schwameis","given":"Katrin","non-dropping-particle":"","parse-names":false,"suffix":""},{"dropping-particle":"","family":"Zehetner","given":"Joerg","non-dropping-particle":"","parse-names":false,"suffix":""},{"dropping-particle":"","family":"Samakar","given":"Kamran","non-dropping-particle":"","parse-names":false,"suffix":""},{"dropping-particle":"","family":"Oh","given":"Paul","non-dropping-particle":"","parse-names":false,"suffix":""},{"dropping-particle":"","family":"Vong","given":"David","non-dropping-particle":"","parse-names":false,"suffix":""},{"dropping-particle":"","family":"Sandhu","given":"Kulmeet","non-dropping-particle":"","parse-names":false,"suffix":""},{"dropping-particle":"","family":"Katkhouda","given":"Namir","non-dropping-particle":"","parse-names":false,"suffix":""},{"dropping-particle":"","family":"Bildzukewicz","given":"Nikolai","non-dropping-particle":"","parse-names":false,"suffix":""},{"dropping-particle":"","family":"Lipham","given":"John C.","non-dropping-particle":"","parse-names":false,"suffix":""}],"container-title":"Surgical Endoscopy","id":"ITEM-1","issue":"5","issued":{"date-parts":[["2017","5","23"]]},"page":"2096-2102","title":"Efficacy of magnetic sphincter augmentation in patients with large hiatal hernias","type":"article-journal","volume":"31"},"uris":["http://www.mendeley.com/documents/?uuid=c7b02b63-43db-32c4-b333-7a83275bd260"]}],"mendeley":{"formattedCitation":"[48]","plainTextFormattedCitation":"[48]","previouslyFormattedCitation":"[48]"},"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[4</w:t>
      </w:r>
      <w:r w:rsidR="00E879CF" w:rsidRPr="00DE7219">
        <w:rPr>
          <w:rFonts w:ascii="Book Antiqua" w:eastAsia="Gungsuh" w:hAnsi="Book Antiqua"/>
          <w:noProof/>
          <w:sz w:val="24"/>
          <w:szCs w:val="24"/>
          <w:vertAlign w:val="superscript"/>
        </w:rPr>
        <w:t>7</w:t>
      </w:r>
      <w:r w:rsidRPr="00DE7219">
        <w:rPr>
          <w:rFonts w:ascii="Book Antiqua" w:eastAsia="Gungsuh" w:hAnsi="Book Antiqua"/>
          <w:noProof/>
          <w:sz w:val="24"/>
          <w:szCs w:val="24"/>
          <w:vertAlign w:val="superscript"/>
        </w:rPr>
        <w:t>]</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 xml:space="preserve">. The authors also analyzed and published the recurrent rate of hiatal hernia in a total of 47 patients with large (&gt; 3 cm) hiatal hernia who were managed with laparoscopic repair combined with MSA. GERD-HRQL score was improved (from 20.3 to 3.1) and resolution of reflux symptoms was achieved in 97% of patients. Recurrence of </w:t>
      </w:r>
      <w:r w:rsidR="00267722" w:rsidRPr="00DE7219">
        <w:rPr>
          <w:rFonts w:ascii="Book Antiqua" w:eastAsia="Gungsuh" w:hAnsi="Book Antiqua"/>
          <w:sz w:val="24"/>
          <w:szCs w:val="24"/>
        </w:rPr>
        <w:t>HH</w:t>
      </w:r>
      <w:r w:rsidRPr="00DE7219">
        <w:rPr>
          <w:rFonts w:ascii="Book Antiqua" w:eastAsia="Gungsuh" w:hAnsi="Book Antiqua"/>
          <w:sz w:val="24"/>
          <w:szCs w:val="24"/>
        </w:rPr>
        <w:t xml:space="preserve"> occurred in 2 patients (4.3%) at a mean of 18 </w:t>
      </w:r>
      <w:proofErr w:type="spellStart"/>
      <w:r w:rsidRPr="00DE7219">
        <w:rPr>
          <w:rFonts w:ascii="Book Antiqua" w:eastAsia="Gungsuh" w:hAnsi="Book Antiqua"/>
          <w:sz w:val="24"/>
          <w:szCs w:val="24"/>
        </w:rPr>
        <w:t>mo</w:t>
      </w:r>
      <w:proofErr w:type="spellEnd"/>
      <w:r w:rsidRPr="00DE7219">
        <w:rPr>
          <w:rFonts w:ascii="Book Antiqua" w:eastAsia="Gungsuh" w:hAnsi="Book Antiqua"/>
          <w:sz w:val="24"/>
          <w:szCs w:val="24"/>
        </w:rPr>
        <w:t xml:space="preserve"> postoperatively</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{"citationItems":[{"id":"ITEM-1","itemData":{"DOI":"10.1007/s00464-018-6059-6","ISSN":"0930-2794","author":[{"dropping-particle":"","family":"Rona","given":"Kais A.","non-dropping-particle":"","parse-names":false,"suffix":""},{"dropping-particle":"","family":"Tatum","given":"James M.","non-dropping-particle":"","parse-names":false,"suffix":""},{"dropping-particle":"","family":"Zehetner","given":"Joerg","non-dropping-particle":"","parse-names":false,"suffix":""},{"dropping-particle":"","family":"Schwameis","given":"Katrin","non-dropping-particle":"","parse-names":false,"suffix":""},{"dropping-particle":"","family":"Chow","given":"Carol","non-dropping-particle":"","parse-names":false,"suffix":""},{"dropping-particle":"","family":"Samakar","given":"Kamran","non-dropping-particle":"","parse-names":false,"suffix":""},{"dropping-particle":"","family":"Dobrowolsky","given":"Adrian","non-dropping-particle":"","parse-names":false,"suffix":""},{"dropping-particle":"","family":"Houghton","given":"Caitlin C.","non-dropping-particle":"","parse-names":false,"suffix":""},{"dropping-particle":"","family":"Bildzukewicz","given":"Nikolai","non-dropping-particle":"","parse-names":false,"suffix":""},{"dropping-particle":"","family":"Lipham","given":"John C.","non-dropping-particle":"","parse-names":false,"suffix":""}],"container-title":"Surgical Endoscopy","id":"ITEM-1","issue":"7","issued":{"date-parts":[["2018","7","16"]]},"page":"3374-3379","title":"Hiatal hernia recurrence following magnetic sphincter augmentation and posterior cruroplasty: intermediate-term outcomes","type":"article-journal","volume":"32"},"uris":["http://www.mendeley.com/documents/?uuid=1aba0295-a491-3bf5-9a50-4ad5caf7cdeb"]}],"mendeley":{"formattedCitation":"[49]","plainTextFormattedCitation":"[49]","previouslyFormattedCitation":"[49]"},"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[4</w:t>
      </w:r>
      <w:r w:rsidR="00E879CF" w:rsidRPr="00DE7219">
        <w:rPr>
          <w:rFonts w:ascii="Book Antiqua" w:eastAsia="Gungsuh" w:hAnsi="Book Antiqua"/>
          <w:noProof/>
          <w:sz w:val="24"/>
          <w:szCs w:val="24"/>
          <w:vertAlign w:val="superscript"/>
        </w:rPr>
        <w:t>8</w:t>
      </w:r>
      <w:r w:rsidRPr="00DE7219">
        <w:rPr>
          <w:rFonts w:ascii="Book Antiqua" w:eastAsia="Gungsuh" w:hAnsi="Book Antiqua"/>
          <w:noProof/>
          <w:sz w:val="24"/>
          <w:szCs w:val="24"/>
          <w:vertAlign w:val="superscript"/>
        </w:rPr>
        <w:t>]</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 xml:space="preserve">. In the same direction, Buckley </w:t>
      </w:r>
      <w:r w:rsidRPr="00DE7219">
        <w:rPr>
          <w:rFonts w:ascii="Book Antiqua" w:eastAsia="Gungsuh" w:hAnsi="Book Antiqua"/>
          <w:i/>
          <w:iCs/>
          <w:sz w:val="24"/>
          <w:szCs w:val="24"/>
        </w:rPr>
        <w:t>et al</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{"citationItems":[{"id":"ITEM-1","itemData":{"DOI":"10.1007/s00464-017-5859-4","ISSN":"0930-2794","PMID":"28936790","abstract":"INTRODUCTION Magnetic sphincter augmentation (MSA) of the lower esophageal sphincter restores the antireflux barrier in patients with hiatal hernias ≤3 cm. We performed a prospective study in patients undergoing MSA with the LINX device during repair of paraesophageal and hernias over 3 cm axial component. METHODS AND PROCEDURES Multicenter, prospective study of consecutive patients treated with MSA at the time of repair of hiatal hernias &gt;3 cm. RESULTS 200 patients (110 female) were treated between March 2014 and February 2017 via laparoscopic hernia repair and MSA. Mean age was 59.5 years, mean BMI 29.4. 40% had esophagitis, 20% intestinal metaplasia, 72 of 77 tested had abnormal pH studies. Preoperative PPI use was reported by 87%. Eighteen patients had prior hiatal hernia/fundoplication. All had normal function. 78% of patients had axial hiatal hernia ≥5 cm or large paraesophageal component. Mean operative time was 81 min (38-193), EBL was 10 cc. Non-permanent mesh reinforcement of hiatal repair was performed in 83% of the patients. There were two readmissions for dehydration; 2 patients with pulmonary embolism, and 1 patient with cardiac ischemia. Nineteen patients required dilation. 156 pts were followed at a median of 8.6 months. GERD-HRQL scores improved from 26 preoperatively to 2 postoperatively. Complete PPI independence was achieved in 94% (147/156). Videoesophagram in 51 patients at median 11 months found 3 asymptomatic hernias &lt;3 cm. One symptomatic patient underwent successful repair of the hernia without MSA manipulation. There have been no device explants, erosions, or migrations to date. CONCLUSIONS This prospective study of 200 patients with &gt;3 cm hernias undergoing MSA with hiatoplasty resulted in favorable outcomes with median of 9 months follow-up. Comparing this to published reports of MSA in patients with &lt;3 cm hernias, the safety and clinical efficacy of MSA are independent of initial hernia size.","author":[{"dropping-particle":"","family":"Buckley","given":"F. P.","non-dropping-particle":"","parse-names":false,"suffix":""},{"dropping-particle":"","family":"Bell","given":"Reginald C. W.","non-dropping-particle":"","parse-names":false,"suffix":""},{"dropping-particle":"","family":"Freeman","given":"Kate","non-dropping-particle":"","parse-names":false,"suffix":""},{"dropping-particle":"","family":"Doggett","given":"Stephanie","non-dropping-particle":"","parse-names":false,"suffix":""},{"dropping-particle":"","family":"Heidrick","given":"Rachel","non-dropping-particle":"","parse-names":false,"suffix":""}],"container-title":"Surgical Endoscopy","id":"ITEM-1","issue":"4","issued":{"date-parts":[["2018","4","21"]]},"page":"1762-1768","title":"Favorable results from a prospective evaluation of 200 patients with large hiatal hernias undergoing LINX magnetic sphincter augmentation","type":"article-journal","volume":"32"},"uris":["http://www.mendeley.com/documents/?uuid=a42e327d-5eaa-3b35-8385-48799157cb4f"]}],"mendeley":{"formattedCitation":"[18]","plainTextFormattedCitation":"[18]","previouslyFormattedCitation":"[18]"},"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[18]</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 xml:space="preserve"> reviewed 200 patients with </w:t>
      </w:r>
      <w:r w:rsidR="00267722" w:rsidRPr="00DE7219">
        <w:rPr>
          <w:rFonts w:ascii="Book Antiqua" w:eastAsia="Gungsuh" w:hAnsi="Book Antiqua"/>
          <w:sz w:val="24"/>
          <w:szCs w:val="24"/>
        </w:rPr>
        <w:t>HH</w:t>
      </w:r>
      <w:r w:rsidRPr="00DE7219">
        <w:rPr>
          <w:rFonts w:ascii="Book Antiqua" w:eastAsia="Gungsuh" w:hAnsi="Book Antiqua"/>
          <w:sz w:val="24"/>
          <w:szCs w:val="24"/>
        </w:rPr>
        <w:t xml:space="preserve"> who were treated with MSA. 78% of patients appeared with hiatal hernia ≥ 5 cm and most of them (83%) were managed with non-permanent mesh reinforcement of the hiatus. Postoperatively, GERD-HRQL scores were significantly decreased (from 26 at baseline to 2) and complete cessation of PPI use was achieved in 94% of patients. Consequently, the authors indicated that hernia size does not affect the safety and efficacy of MSA</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{"citationItems":[{"id":"ITEM-1","itemData":{"DOI":"10.1007/s00464-017-5859-4","ISSN":"0930-2794","PMID":"28936790","abstract":"INTRODUCTION Magnetic sphincter augmentation (MSA) of the lower esophageal sphincter restores the antireflux barrier in patients with hiatal hernias ≤3 cm. We performed a prospective study in patients undergoing MSA with the LINX device during repair of paraesophageal and hernias over 3 cm axial component. METHODS AND PROCEDURES Multicenter, prospective study of consecutive patients treated with MSA at the time of repair of hiatal hernias &gt;3 cm. RESULTS 200 patients (110 female) were treated between March 2014 and February 2017 via laparoscopic hernia repair and MSA. Mean age was 59.5 years, mean BMI 29.4. 40% had esophagitis, 20% intestinal metaplasia, 72 of 77 tested had abnormal pH studies. Preoperative PPI use was reported by 87%. Eighteen patients had prior hiatal hernia/fundoplication. All had normal function. 78% of patients had axial hiatal hernia ≥5 cm or large paraesophageal component. Mean operative time was 81 min (38-193), EBL was 10 cc. Non-permanent mesh reinforcement of hiatal repair was performed in 83% of the patients. There were two readmissions for dehydration; 2 patients with pulmonary embolism, and 1 patient with cardiac ischemia. Nineteen patients required dilation. 156 pts were followed at a median of 8.6 months. GERD-HRQL scores improved from 26 preoperatively to 2 postoperatively. Complete PPI independence was achieved in 94% (147/156). Videoesophagram in 51 patients at median 11 months found 3 asymptomatic hernias &lt;3 cm. One symptomatic patient underwent successful repair of the hernia without MSA manipulation. There have been no device explants, erosions, or migrations to date. CONCLUSIONS This prospective study of 200 patients with &gt;3 cm hernias undergoing MSA with hiatoplasty resulted in favorable outcomes with median of 9 months follow-up. Comparing this to published reports of MSA in patients with &lt;3 cm hernias, the safety and clinical efficacy of MSA are independent of initial hernia size.","author":[{"dropping-particle":"","family":"Buckley","given":"F. P.","non-dropping-particle":"","parse-names":false,"suffix":""},{"dropping-particle":"","family":"Bell","given":"Reginald C. W.","non-dropping-particle":"","parse-names":false,"suffix":""},{"dropping-particle":"","family":"Freeman","given":"Kate","non-dropping-particle":"","parse-names":false,"suffix":""},{"dropping-particle":"","family":"Doggett","given":"Stephanie","non-dropping-particle":"","parse-names":false,"suffix":""},{"dropping-particle":"","family":"Heidrick","given":"Rachel","non-dropping-particle":"","parse-names":false,"suffix":""}],"container-title":"Surgical Endoscopy","id":"ITEM-1","issue":"4","issued":{"date-parts":[["2018","4","21"]]},"page":"1762-1768","title":"Favorable results from a prospective evaluation of 200 patients with large hiatal hernias undergoing LINX magnetic sphincter augmentation","type":"article-journal","volume":"32"},"uris":["http://www.mendeley.com/documents/?uuid=a42e327d-5eaa-3b35-8385-48799157cb4f"]}],"mendeley":{"formattedCitation":"[18]","plainTextFormattedCitation":"[18]","previouslyFormattedCitation":"[18]"},"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[18]</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w:t>
      </w:r>
    </w:p>
    <w:p w14:paraId="5684011E" w14:textId="212BAD7F" w:rsidR="009727DA" w:rsidRPr="00DE7219" w:rsidRDefault="009727DA" w:rsidP="00DE7219">
      <w:pPr>
        <w:spacing w:line="360" w:lineRule="auto"/>
        <w:rPr>
          <w:rFonts w:ascii="Book Antiqua" w:hAnsi="Book Antiqua"/>
          <w:sz w:val="24"/>
          <w:szCs w:val="24"/>
        </w:rPr>
      </w:pPr>
    </w:p>
    <w:p w14:paraId="23ABB38F" w14:textId="1107C6B7" w:rsidR="009727DA" w:rsidRPr="00DE7219" w:rsidRDefault="009727DA" w:rsidP="00DE7219">
      <w:pPr>
        <w:spacing w:line="360" w:lineRule="auto"/>
        <w:rPr>
          <w:rFonts w:ascii="Book Antiqua" w:eastAsia="Gungsuh" w:hAnsi="Book Antiqua"/>
          <w:b/>
          <w:i/>
          <w:sz w:val="24"/>
          <w:szCs w:val="24"/>
        </w:rPr>
      </w:pPr>
      <w:r w:rsidRPr="00DE7219">
        <w:rPr>
          <w:rFonts w:ascii="Book Antiqua" w:eastAsia="Gungsuh" w:hAnsi="Book Antiqua"/>
          <w:b/>
          <w:i/>
          <w:sz w:val="24"/>
          <w:szCs w:val="24"/>
        </w:rPr>
        <w:t>MSA vs double-dose PPI</w:t>
      </w:r>
      <w:r w:rsidRPr="00DE7219">
        <w:rPr>
          <w:rFonts w:ascii="Book Antiqua" w:hAnsi="Book Antiqua"/>
          <w:b/>
          <w:i/>
          <w:sz w:val="24"/>
          <w:szCs w:val="24"/>
        </w:rPr>
        <w:t>s</w:t>
      </w:r>
    </w:p>
    <w:p w14:paraId="725F1B5E" w14:textId="0DBAE62A" w:rsidR="009727DA" w:rsidRPr="00DE7219" w:rsidRDefault="00257958" w:rsidP="00DE7219">
      <w:pPr>
        <w:spacing w:line="360" w:lineRule="auto"/>
        <w:rPr>
          <w:rFonts w:ascii="Book Antiqua" w:hAnsi="Book Antiqua"/>
          <w:b/>
          <w:i/>
          <w:sz w:val="24"/>
          <w:szCs w:val="24"/>
        </w:rPr>
      </w:pPr>
      <w:r w:rsidRPr="00DE7219">
        <w:rPr>
          <w:rFonts w:ascii="Book Antiqua" w:eastAsia="Gungsuh" w:hAnsi="Book Antiqua"/>
          <w:sz w:val="24"/>
          <w:szCs w:val="24"/>
        </w:rPr>
        <w:t>A randomized controlled trial of 152 patients compared the MSA procedure with double-dose PPI medication for the treatment of moderate-to-severe GERD. Study inclusion criteria were participants aged &gt; 21 years, having moderate-to-severe GERD and taking a daily single dose of PPI therapy for at least 8 wk. The rest of the inclusion criteria were similar to the typical indications of MSA implantation. The active seeking of participants for alternative, surgical treatments was a prerequisite. The results of the study indicated that the MSA implantation is superior to increased PPI medication, and patients with moderate-to-severe GERD should be recommended MSA implantation instead of double PPI doses</w:t>
      </w:r>
      <w:r w:rsidRPr="00DE7219">
        <w:rPr>
          <w:rFonts w:ascii="Book Antiqua" w:eastAsia="Gungsuh" w:hAnsi="Book Antiqua"/>
          <w:sz w:val="24"/>
          <w:szCs w:val="24"/>
          <w:vertAlign w:val="superscript"/>
        </w:rPr>
        <w:fldChar w:fldCharType="begin" w:fldLock="1"/>
      </w:r>
      <w:r w:rsidRPr="00DE7219">
        <w:rPr>
          <w:rFonts w:ascii="Book Antiqua" w:eastAsia="Gungsuh" w:hAnsi="Book Antiqua"/>
          <w:sz w:val="24"/>
          <w:szCs w:val="24"/>
          <w:vertAlign w:val="superscript"/>
        </w:rPr>
        <w:instrText>ADDIN CSL_CITATION {"citationItems":[{"id":"ITEM-1","itemData":{"DOI":"10.1016/J.GIE.2018.07.007","ISSN":"0016-5107","abstract":"BACKGROUND AND AIMS\nGERD patients frequently complain of regurgitation of gastric contents. Medical therapy with proton-pump inhibitors (PPIs) is frequently ineffective in alleviating regurgitation symptoms, because PPIs do nothing to restore a weak lower esophageal sphincter. Our aim was to compare effectiveness of increased PPI dosing with laparoscopic magnetic sphincter augmentation (MSA) in patients with moderate-to-severe regurgitation despite once-daily PPI therapy. \n\nMETHODS\nOne hundred fifty-two patients with GERD, aged ≥21 years with moderate-to-severe regurgitation despite 8 weeks of once-daily PPI therapy, were prospectively enrolled at 21 U.S. sites. Participants were randomized 2:1 to treatment with twice-daily (BID) PPIs (N = 102) or to laparoscopic MSA (N = 50). Standardized foregut symptom questionnaires and ambulatory esophageal reflux monitoring were performed at baseline and at 6 months. Relief of regurgitation, improvement in foregut questionnaire scores, decrease in esophageal acid exposure and reflux events, discontinuation of PPIs, and adverse events were the measures of efficacy. \n\nRESULTS\nPer protocol, 89% (42/47) of treated patients with MSA reported relief of regurgitation compared with 10% (10/101) of the BID PPI group (P &lt; .001) at the 6-month primary endpoint. By intention-to-treat analysis, 84% (42/50) of patients in the MSA group and 10% (10/102) in the BID PPI group met this primary endpoint (P &lt; .001). Eighty-one percent (38/47) of patients with MSA versus 8% (7/87) of patients with BID PPI had ≥50% improvement in GERD–health-related quality of life scores (P &lt; .001), and 91% (43/47) remained off of PPI therapy. A normal number of reflux episodes and acid exposures was observed in 91% (40/44) and 89% (39/44) of MSA patients, respectively, compared with 58% (46/79) (P &lt; .001) and 75% (59/79) (P = .065) of BID PPI patients at 6 months. No significant safety issues were observed. In MSA patients, 28% reported transient dysphagia; 4% reported ongoing dysphagia. \n\nCONCLUSION\nPatients with GERD with moderate-to-severe regurgitation, especially despite once-daily PPI treatment, should be considered for minimally invasive treatment with MSA rather than increased PPI therapy. (Clinical trial registration number: NCT02505945.)","author":[{"dropping-particle":"","family":"Bell","given":"Reginald","non-dropping-particle":"","parse-names":false,"suffix":""},{"dropping-particle":"","family":"Lipham","given":"John","non-dropping-particle":"","parse-names":false,"suffix":""},{"dropping-particle":"","family":"Louie","given":"Brian","non-dropping-particle":"","parse-names":false,"suffix":""},{"dropping-particle":"","family":"Williams","given":"Valerie","non-dropping-particle":"","parse-names":false,"suffix":""},{"dropping-particle":"","family":"Luketich","given":"James","non-dropping-particle":"","parse-names":false,"suffix":""},{"dropping-particle":"","family":"Hill","given":"Michael","non-dropping-particle":"","parse-names":false,"suffix":""},{"dropping-particle":"","family":"Richards","given":"William","non-dropping-particle":"","parse-names":false,"suffix":""},{"dropping-particle":"","family":"Dunst","given":"Christy","non-dropping-particle":"","parse-names":false,"suffix":""},{"dropping-particle":"","family":"Lister","given":"Dan","non-dropping-particle":"","parse-names":false,"suffix":""},{"dropping-particle":"","family":"McDowell-Jacobs","given":"Lauren","non-dropping-particle":"","parse-names":false,"suffix":""},{"dropping-particle":"","family":"Reardon","given":"Patrick","non-dropping-particle":"","parse-names":false,"suffix":""},{"dropping-particle":"","family":"Woods","given":"Karen","non-dropping-particle":"","parse-names":false,"suffix":""},{"dropping-particle":"","family":"Gould","given":"Jon","non-dropping-particle":"","parse-names":false,"suffix":""},{"dropping-particle":"","family":"Buckley","given":"F. Paul","non-dropping-particle":"","parse-names":false,"suffix":""},{"dropping-particle":"","family":"Kothari","given":"Shanu","non-dropping-particle":"","parse-names":false,"suffix":""},{"dropping-particle":"","family":"Khaitan","given":"Leena","non-dropping-particle":"","parse-names":false,"suffix":""},{"dropping-particle":"","family":"Smith","given":"C. Daniel","non-dropping-particle":"","parse-names":false,"suffix":""},{"dropping-particle":"","family":"Park","given":"Adrian","non-dropping-particle":"","parse-names":false,"suffix":""},{"dropping-particle":"","family":"Smith","given":"Christopher","non-dropping-particle":"","parse-names":false,"suffix":""},{"dropping-particle":"","family":"Jacobsen","given":"Garth","non-dropping-particle":"","parse-names":false,"suffix":""},{"dropping-particle":"","family":"Abbas","given":"Ghulam","non-dropping-particle":"","parse-names":false,"suffix":""},{"dropping-particle":"","family":"Katz","given":"Philip","non-dropping-particle":"","parse-names":false,"suffix":""}],"container-title":"Gastrointestinal Endoscopy","id":"ITEM-1","issue":"1","issued":{"date-parts":[["2019","1","1"]]},"page":"14-22.e1","publisher":"Mosby","title":"Laparoscopic magnetic sphincter augmentation versus double-dose proton pump inhibitors for management of moderate-to-severe regurgitation in GERD: a randomized controlled trial","type":"article-journal","volume":"89"},"uris":["http://www.mendeley.com/documents/?uuid=b9f32ed4-8e18-3395-bd4a-a0b212d185be"]}],"mendeley":{"formattedCitation":"[50]","plainTextFormattedCitation":"[50]","previouslyFormattedCitation":"[50]"},"properties":{"noteIndex":0},"schema":"https://github.com/citation-style-language/schema/raw/master/csl-citation.json"}</w:instrText>
      </w:r>
      <w:r w:rsidRPr="00DE7219">
        <w:rPr>
          <w:rFonts w:ascii="Book Antiqua" w:eastAsia="Gungsuh" w:hAnsi="Book Antiqua"/>
          <w:sz w:val="24"/>
          <w:szCs w:val="24"/>
          <w:vertAlign w:val="superscript"/>
        </w:rPr>
        <w:fldChar w:fldCharType="separate"/>
      </w:r>
      <w:r w:rsidRPr="00DE7219">
        <w:rPr>
          <w:rFonts w:ascii="Book Antiqua" w:eastAsia="Gungsuh" w:hAnsi="Book Antiqua"/>
          <w:noProof/>
          <w:sz w:val="24"/>
          <w:szCs w:val="24"/>
          <w:vertAlign w:val="superscript"/>
        </w:rPr>
        <w:t>[</w:t>
      </w:r>
      <w:r w:rsidR="00E879CF" w:rsidRPr="00DE7219">
        <w:rPr>
          <w:rFonts w:ascii="Book Antiqua" w:eastAsia="Gungsuh" w:hAnsi="Book Antiqua"/>
          <w:noProof/>
          <w:sz w:val="24"/>
          <w:szCs w:val="24"/>
          <w:vertAlign w:val="superscript"/>
        </w:rPr>
        <w:t>49</w:t>
      </w:r>
      <w:r w:rsidRPr="00DE7219">
        <w:rPr>
          <w:rFonts w:ascii="Book Antiqua" w:eastAsia="Gungsuh" w:hAnsi="Book Antiqua"/>
          <w:noProof/>
          <w:sz w:val="24"/>
          <w:szCs w:val="24"/>
          <w:vertAlign w:val="superscript"/>
        </w:rPr>
        <w:t>]</w:t>
      </w:r>
      <w:r w:rsidRPr="00DE7219">
        <w:rPr>
          <w:rFonts w:ascii="Book Antiqua" w:eastAsia="Gungsuh" w:hAnsi="Book Antiqua"/>
          <w:sz w:val="24"/>
          <w:szCs w:val="24"/>
          <w:vertAlign w:val="superscript"/>
        </w:rPr>
        <w:fldChar w:fldCharType="end"/>
      </w:r>
      <w:r w:rsidRPr="00DE7219">
        <w:rPr>
          <w:rFonts w:ascii="Book Antiqua" w:eastAsia="Gungsuh" w:hAnsi="Book Antiqua"/>
          <w:sz w:val="24"/>
          <w:szCs w:val="24"/>
        </w:rPr>
        <w:t>.</w:t>
      </w:r>
    </w:p>
    <w:p w14:paraId="1DCB6DBE" w14:textId="77777777" w:rsidR="009727DA" w:rsidRPr="00DE7219" w:rsidRDefault="009727DA" w:rsidP="00DE7219">
      <w:pPr>
        <w:spacing w:line="360" w:lineRule="auto"/>
        <w:rPr>
          <w:rFonts w:ascii="Book Antiqua" w:hAnsi="Book Antiqua"/>
          <w:b/>
          <w:i/>
          <w:sz w:val="24"/>
          <w:szCs w:val="24"/>
        </w:rPr>
      </w:pPr>
    </w:p>
    <w:p w14:paraId="273F9A8C" w14:textId="54C6BB36" w:rsidR="009727DA" w:rsidRPr="00DE7219" w:rsidRDefault="00257958" w:rsidP="00DE7219">
      <w:pPr>
        <w:spacing w:line="360" w:lineRule="auto"/>
        <w:rPr>
          <w:rFonts w:ascii="Book Antiqua" w:eastAsia="Gungsuh" w:hAnsi="Book Antiqua"/>
          <w:b/>
          <w:i/>
          <w:sz w:val="24"/>
          <w:szCs w:val="24"/>
        </w:rPr>
      </w:pPr>
      <w:r w:rsidRPr="00DE7219">
        <w:rPr>
          <w:rFonts w:ascii="Book Antiqua" w:eastAsia="Gungsuh" w:hAnsi="Book Antiqua"/>
          <w:b/>
          <w:i/>
          <w:sz w:val="24"/>
          <w:szCs w:val="24"/>
        </w:rPr>
        <w:t>Esophageal erosio</w:t>
      </w:r>
      <w:r w:rsidRPr="00DE7219">
        <w:rPr>
          <w:rFonts w:ascii="Book Antiqua" w:hAnsi="Book Antiqua"/>
          <w:b/>
          <w:i/>
          <w:sz w:val="24"/>
          <w:szCs w:val="24"/>
        </w:rPr>
        <w:t>n</w:t>
      </w:r>
    </w:p>
    <w:p w14:paraId="6708EA6B" w14:textId="79799271" w:rsidR="00257958" w:rsidRPr="00DE7219" w:rsidRDefault="00257958" w:rsidP="00DE7219">
      <w:pPr>
        <w:spacing w:line="360" w:lineRule="auto"/>
        <w:rPr>
          <w:rFonts w:ascii="Book Antiqua" w:hAnsi="Book Antiqua"/>
          <w:i/>
          <w:iCs/>
          <w:sz w:val="24"/>
          <w:szCs w:val="24"/>
        </w:rPr>
      </w:pPr>
      <w:r w:rsidRPr="00DE7219">
        <w:rPr>
          <w:rFonts w:ascii="Book Antiqua" w:hAnsi="Book Antiqua"/>
          <w:sz w:val="24"/>
          <w:szCs w:val="24"/>
        </w:rPr>
        <w:t>Esophageal erosion is regarded as the most dreadful complication of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procedure. A study collected data from 9453 device implantations all over the world. The data were obtained from the device manufacturer, </w:t>
      </w:r>
      <w:proofErr w:type="spellStart"/>
      <w:r w:rsidRPr="00DE7219">
        <w:rPr>
          <w:rFonts w:ascii="Book Antiqua" w:hAnsi="Book Antiqua"/>
          <w:sz w:val="24"/>
          <w:szCs w:val="24"/>
        </w:rPr>
        <w:t>Torax</w:t>
      </w:r>
      <w:proofErr w:type="spellEnd"/>
      <w:r w:rsidRPr="00DE7219">
        <w:rPr>
          <w:rFonts w:ascii="Book Antiqua" w:hAnsi="Book Antiqua"/>
          <w:sz w:val="24"/>
          <w:szCs w:val="24"/>
        </w:rPr>
        <w:t xml:space="preserve"> Medical and included records of devices implanted until 2017. The risk of esophageal erosion from the device increased from 0.05% at 1 year to 0.3% at 4 years. All of the devices were removed successfully, and in a median follow-up of 1.9 </w:t>
      </w:r>
      <w:proofErr w:type="spellStart"/>
      <w:r w:rsidRPr="00DE7219">
        <w:rPr>
          <w:rFonts w:ascii="Book Antiqua" w:hAnsi="Book Antiqua"/>
          <w:sz w:val="24"/>
          <w:szCs w:val="24"/>
        </w:rPr>
        <w:t>mo</w:t>
      </w:r>
      <w:proofErr w:type="spellEnd"/>
      <w:r w:rsidRPr="00DE7219">
        <w:rPr>
          <w:rFonts w:ascii="Book Antiqua" w:hAnsi="Book Antiqua"/>
          <w:sz w:val="24"/>
          <w:szCs w:val="24"/>
        </w:rPr>
        <w:t>, 24/29 patients had returned to baseline and were symptom free</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{"citationItems":[{"id":"ITEM-1","itemData":{"DOI":"10.1007/s11605-018-3775-0","ISSN":"1091-255X","PMID":"29667094","abstract":"BACKGROUND The magnetic sphincter augmentation device continues to become a more common antireflux surgical option with low complication rates. Erosion into the esophagus is an important complication to recognize and is reported to occur at very low incidences (0.1-0.15%). Characterization of this complication remains limited. We aim to describe the worldwide experience with erosion of the magnetic sphincter augmentation device including presentation, techniques for removal, and possible risk factors. MATERIALS AND METHODS We reviewed data obtained from the device manufacturer Torax Medical, Inc., as well as the Manufacturer and User Facility Device Experience (MAUDE) database. The study period was from February 2007 through July 2017 and included all devices placed worldwide. RESULTS In total, 9453 devices were placed and there were 29 reported cases of erosions. The median time to presentation of an erosion was 26 months with most occurring between 1 and 4 years after placement. The risk of erosion was 0.3% at 4 years after device implantation. Most patients experienced new-onset dysphagia prompting evaluation. Devices were successfully removed in all patients most commonly via an endoscopic removal of the eroded portion followed by a delayed laparoscopic removal of the remaining beads. At a median follow-up of 58 days post-removal, there were no complications and 24 patients have returned to baseline. Four patients reported ongoing mild dysphagia. CONCLUSIONS Erosion of the LINX device is an important but rare complication to recognize that has been safely managed via minimally invasive approaches without long-term consequences.","author":[{"dropping-particle":"","family":"Alicuben","given":"Evan T.","non-dropping-particle":"","parse-names":false,"suffix":""},{"dropping-particle":"","family":"Bell","given":"Reginald C. W.","non-dropping-particle":"","parse-names":false,"suffix":""},{"dropping-particle":"","family":"Jobe","given":"Blair A.","non-dropping-particle":"","parse-names":false,"suffix":""},{"dropping-particle":"","family":"Buckley","given":"F. P.","non-dropping-particle":"","parse-names":false,"suffix":""},{"dropping-particle":"","family":"Daniel Smith","given":"C.","non-dropping-particle":"","parse-names":false,"suffix":""},{"dropping-particle":"","family":"Graybeal","given":"Casey J.","non-dropping-particle":"","parse-names":false,"suffix":""},{"dropping-particle":"","family":"Lipham","given":"John C.","non-dropping-particle":"","parse-names":false,"suffix":""}],"container-title":"Journal of Gastrointestinal Surgery","id":"ITEM-1","issue":"8","issued":{"date-parts":[["2018","8","17"]]},"page":"1442-1447","title":"Worldwide Experience with Erosion of the Magnetic Sphincter Augmentation Device","type":"article-journal","volume":"22"},"uris":["http://www.mendeley.com/documents/?uuid=630030fc-d130-3b2f-abff-bd16ccf982d0"]}],"mendeley":{"formattedCitation":"[51]","plainTextFormattedCitation":"[51]","previouslyFormattedCitation":"[51]"},"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0</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612E9EF2" w14:textId="019388C8" w:rsidR="009727DA" w:rsidRPr="00DE7219" w:rsidRDefault="009727DA" w:rsidP="00DE7219">
      <w:pPr>
        <w:spacing w:line="360" w:lineRule="auto"/>
        <w:ind w:firstLineChars="100" w:firstLine="240"/>
        <w:rPr>
          <w:rFonts w:ascii="Book Antiqua" w:hAnsi="Book Antiqua"/>
          <w:sz w:val="24"/>
          <w:szCs w:val="24"/>
        </w:rPr>
      </w:pPr>
    </w:p>
    <w:p w14:paraId="13F3091F" w14:textId="6E945EA4" w:rsidR="00257958" w:rsidRPr="00DE7219" w:rsidRDefault="00257958" w:rsidP="00DE7219">
      <w:pPr>
        <w:spacing w:line="360" w:lineRule="auto"/>
        <w:rPr>
          <w:rFonts w:ascii="Book Antiqua" w:hAnsi="Book Antiqua"/>
          <w:b/>
          <w:i/>
          <w:sz w:val="24"/>
          <w:szCs w:val="24"/>
        </w:rPr>
      </w:pPr>
      <w:r w:rsidRPr="00DE7219">
        <w:rPr>
          <w:rFonts w:ascii="Book Antiqua" w:hAnsi="Book Antiqua"/>
          <w:b/>
          <w:i/>
          <w:sz w:val="24"/>
          <w:szCs w:val="24"/>
        </w:rPr>
        <w:t>The cost-effectiveness of LINX</w:t>
      </w:r>
    </w:p>
    <w:p w14:paraId="4CFFAF5D" w14:textId="04BE64CA" w:rsidR="00257958" w:rsidRPr="00DE7219" w:rsidRDefault="00257958" w:rsidP="00DE7219">
      <w:pPr>
        <w:spacing w:line="360" w:lineRule="auto"/>
        <w:rPr>
          <w:rFonts w:ascii="Book Antiqua" w:hAnsi="Book Antiqua"/>
          <w:b/>
          <w:i/>
          <w:sz w:val="24"/>
          <w:szCs w:val="24"/>
        </w:rPr>
      </w:pPr>
      <w:r w:rsidRPr="00DE7219">
        <w:rPr>
          <w:rFonts w:ascii="Book Antiqua" w:hAnsi="Book Antiqua"/>
          <w:sz w:val="24"/>
          <w:szCs w:val="24"/>
        </w:rPr>
        <w:t>Although many studies evaluating the safety and efficacy of LINX have emerged, our literature research revealed only two studies assessing the cost-effectiveness of MSA</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{"citationItems":[{"id":"ITEM-1","itemData":{"DOI":"10.1007/s00464-019-07021-4","ISSN":"0930-2794","abstract":"INTRODUCTION: Magnetic sphincter augmentation (MSA) is a promising antireflux surgical treatment. The cost associated with the device may be perceived as a drawback by payers, which may limit the adoption of this technique. There are limited data regarding the cost of MSA in the management of reflux disease. The aims of the study were to report the clinical outcome and quality of life measures in patients after MSA and to compare the pharmaceutical and procedure payer costs and the disease-related and overall expense of MSA compared to laparoscopic Nissen fundoplication (LNF) from a payer perspective. METHODS AND PROCEDURES: This prospective observational study was performed in conjunction with the region's largest health insurance company. Data were collected on patients who underwent MSA over a 2-year period beginning in September 2015 at the study network hospitals. The LNF comparison group was procured from members' claims data of the payer. Inclusion was predicated by patients having continuous coverage during study period. The total procedural reimbursement and the disease-related and overall medical claims submitted up to 12 months prior to surgery and up to 12 months following surgery were obtained. The payer reimbursement data are presented as allowed cost per member per month (PMPM). These values were then compared between groups. RESULTS: There were 195 patients who underwent MSA and 1131 that had LNF. MSA results in comparable symptom control, PPI elimination rate, and quality of life measures compared to values reported for LNF in the literature. The median (IQR) reimbursement of surgery was $13,522 (13,195-14,439) for those who underwent MSA and $13,388 (9951-16,261) for patients with LNF, p = 0.02. In patients who underwent MSA, the median reimbursement related to the upper gastrointestinal disease was $ 305 PMPM, at 12 months prior to surgery and $ 104 at 12 months after surgery, representing 66% decrease in cost. These values were $ 233 PMPM and $126 PMPM for patients who underwent LNF, representing a 46% decrease (p = 0.0001). At 12 months following surgery, the reimbursement for overall medical expenses had decreased by 10.7% in the MSA group and 1.4% in the LNF group when compared to the preoperative baseline reimbursement. The reimbursement for PPI use after surgery showed a 95% decrease in the MSA group and 90% among LNF group when compared to the preoperative baseline (p = 0.10). CONCLUSION: When compared with LNF, MSA results in …","author":[{"dropping-particle":"","family":"Ayazi","given":"Shahin","non-dropping-particle":"","parse-names":false,"suffix":""},{"dropping-particle":"","family":"Zaidi","given":"Ali H.","non-dropping-particle":"","parse-names":false,"suffix":""},{"dropping-particle":"","family":"Zheng","given":"Ping","non-dropping-particle":"","parse-names":false,"suffix":""},{"dropping-particle":"","family":"Chovanec","given":"Kristy","non-dropping-particle":"","parse-names":false,"suffix":""},{"dropping-particle":"","family":"Chowdhury","given":"Nobel","non-dropping-particle":"","parse-names":false,"suffix":""},{"dropping-particle":"","family":"Salvitti","given":"Madison","non-dropping-particle":"","parse-names":false,"suffix":""},{"dropping-particle":"","family":"Newhams","given":"Kirsten","non-dropping-particle":"","parse-names":false,"suffix":""},{"dropping-particle":"","family":"Levy","given":"Jonathan","non-dropping-particle":"","parse-names":false,"suffix":""},{"dropping-particle":"","family":"Hoppo","given":"Toshitaka","non-dropping-particle":"","parse-names":false,"suffix":""},{"dropping-particle":"","family":"Jobe","given":"Blair A.","non-dropping-particle":"","parse-names":false,"suffix":""}],"container-title":"Surgical Endoscopy","id":"ITEM-1","issued":{"date-parts":[["2019","8","2"]]},"publisher":"Springer Science and Business Media LLC","title":"Comparison of surgical payer costs and implication on the healthcare expenses between laparoscopic magnetic sphincter augmentation (MSA) and laparoscopic Nissen fundoplication (LNF) in a large healthcare system","type":"article-journal"},"uris":["http://www.mendeley.com/documents/?uuid=a56a7495-284f-3424-bfb9-4e8f3f31f0ce"]},{"id":"ITEM-2","itemData":{"DOI":"10.1007/s00464-015-4635-6","ISSN":"0930-2794","author":[{"dropping-particle":"","family":"Reynolds","given":"Jessica L.","non-dropping-particle":"","parse-names":false,"suffix":""},{"dropping-particle":"","family":"Zehetner","given":"Joerg","non-dropping-particle":"","parse-names":false,"suffix":""},{"dropping-particle":"","family":"Nieh","given":"Angela","non-dropping-particle":"","parse-names":false,"suffix":""},{"dropping-particle":"","family":"Bildzukewicz","given":"Nikolai","non-dropping-particle":"","parse-names":false,"suffix":""},{"dropping-particle":"","family":"Sandhu","given":"Kulmeet","non-dropping-particle":"","parse-names":false,"suffix":""},{"dropping-particle":"","family":"Katkhouda","given":"Namir","non-dropping-particle":"","parse-names":false,"suffix":""},{"dropping-particle":"","family":"Lipham","given":"John C.","non-dropping-particle":"","parse-names":false,"suffix":""}],"container-title":"Surgical Endoscopy","id":"ITEM-2","issue":"8","issued":{"date-parts":[["2016","8","5"]]},"page":"3225-3230","title":"Charges, outcomes, and complications: a comparison of magnetic sphincter augmentation versus laparoscopic Nissen fundoplication for the treatment of GERD","type":"article-journal","volume":"30"},"uris":["http://www.mendeley.com/documents/?uuid=5ee03b63-9b92-3c42-866d-7057d067efc0"]}],"mendeley":{"formattedCitation":"[36,52]","plainTextFormattedCitation":"[36,52]","previouslyFormattedCitation":"[36,52]"},"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5</w:t>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1</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xml:space="preserve">. The first study retrieved data from 2 institutions and compared MSA with LNF regarding surgical admission charges. It concluded that the increased cost of MSA is completely counteracted by its shorter operative time and length of stay ($48491 </w:t>
      </w:r>
      <w:r w:rsidRPr="00DE7219">
        <w:rPr>
          <w:rFonts w:ascii="Book Antiqua" w:hAnsi="Book Antiqua"/>
          <w:i/>
          <w:iCs/>
          <w:sz w:val="24"/>
          <w:szCs w:val="24"/>
        </w:rPr>
        <w:t>vs</w:t>
      </w:r>
      <w:r w:rsidRPr="00DE7219">
        <w:rPr>
          <w:rFonts w:ascii="Book Antiqua" w:hAnsi="Book Antiqua"/>
          <w:sz w:val="24"/>
          <w:szCs w:val="24"/>
        </w:rPr>
        <w:t xml:space="preserve"> $50111, </w:t>
      </w:r>
      <w:r w:rsidRPr="00DE7219">
        <w:rPr>
          <w:rFonts w:ascii="Book Antiqua" w:hAnsi="Book Antiqua"/>
          <w:i/>
          <w:iCs/>
          <w:sz w:val="24"/>
          <w:szCs w:val="24"/>
        </w:rPr>
        <w:t>P</w:t>
      </w:r>
      <w:r w:rsidRPr="00DE7219">
        <w:rPr>
          <w:rFonts w:ascii="Book Antiqua" w:hAnsi="Book Antiqua"/>
          <w:sz w:val="24"/>
          <w:szCs w:val="24"/>
        </w:rPr>
        <w:t xml:space="preserve"> = 0.506)</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{"citationItems":[{"id":"ITEM-1","itemData":{"DOI":"10.1007/s00464-015-4635-6","ISSN":"0930-2794","author":[{"dropping-particle":"","family":"Reynolds","given":"Jessica L.","non-dropping-particle":"","parse-names":false,"suffix":""},{"dropping-particle":"","family":"Zehetner","given":"Joerg","non-dropping-particle":"","parse-names":false,"suffix":""},{"dropping-particle":"","family":"Nieh","given":"Angela","non-dropping-particle":"","parse-names":false,"suffix":""},{"dropping-particle":"","family":"Bildzukewicz","given":"Nikolai","non-dropping-particle":"","parse-names":false,"suffix":""},{"dropping-particle":"","family":"Sandhu","given":"Kulmeet","non-dropping-particle":"","parse-names":false,"suffix":""},{"dropping-particle":"","family":"Katkhouda","given":"Namir","non-dropping-particle":"","parse-names":false,"suffix":""},{"dropping-particle":"","family":"Lipham","given":"John C.","non-dropping-particle":"","parse-names":false,"suffix":""}],"container-title":"Surgical Endoscopy","id":"ITEM-1","issue":"8","issued":{"date-parts":[["2016","8","5"]]},"page":"3225-3230","title":"Charges, outcomes, and complications: a comparison of magnetic sphincter augmentation versus laparoscopic Nissen fundoplication for the treatment of GERD","type":"article-journal","volume":"30"},"uris":["http://www.mendeley.com/documents/?uuid=5ee03b63-9b92-3c42-866d-7057d067efc0"]}],"mendeley":{"formattedCitation":"[36]","plainTextFormattedCitation":"[36]","previouslyFormattedCitation":"[36]"},"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5</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The second study retrieved data from patients in Western and Central Pennsylvania, the Lehigh Valley, West Virginia, and the border areas of eastern Ohio</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{"citationItems":[{"id":"ITEM-1","itemData":{"DOI":"10.1007/s00464-019-07021-4","ISSN":"0930-2794","abstract":"INTRODUCTION: Magnetic sphincter augmentation (MSA) is a promising antireflux surgical treatment. The cost associated with the device may be perceived as a drawback by payers, which may limit the adoption of this technique. There are limited data regarding the cost of MSA in the management of reflux disease. The aims of the study were to report the clinical outcome and quality of life measures in patients after MSA and to compare the pharmaceutical and procedure payer costs and the disease-related and overall expense of MSA compared to laparoscopic Nissen fundoplication (LNF) from a payer perspective. METHODS AND PROCEDURES: This prospective observational study was performed in conjunction with the region's largest health insurance company. Data were collected on patients who underwent MSA over a 2-year period beginning in September 2015 at the study network hospitals. The LNF comparison group was procured from members' claims data of the payer. Inclusion was predicated by patients having continuous coverage during study period. The total procedural reimbursement and the disease-related and overall medical claims submitted up to 12 months prior to surgery and up to 12 months following surgery were obtained. The payer reimbursement data are presented as allowed cost per member per month (PMPM). These values were then compared between groups. RESULTS: There were 195 patients who underwent MSA and 1131 that had LNF. MSA results in comparable symptom control, PPI elimination rate, and quality of life measures compared to values reported for LNF in the literature. The median (IQR) reimbursement of surgery was $13,522 (13,195-14,439) for those who underwent MSA and $13,388 (9951-16,261) for patients with LNF, p = 0.02. In patients who underwent MSA, the median reimbursement related to the upper gastrointestinal disease was $ 305 PMPM, at 12 months prior to surgery and $ 104 at 12 months after surgery, representing 66% decrease in cost. These values were $ 233 PMPM and $126 PMPM for patients who underwent LNF, representing a 46% decrease (p = 0.0001). At 12 months following surgery, the reimbursement for overall medical expenses had decreased by 10.7% in the MSA group and 1.4% in the LNF group when compared to the preoperative baseline reimbursement. The reimbursement for PPI use after surgery showed a 95% decrease in the MSA group and 90% among LNF group when compared to the preoperative baseline (p = 0.10). CONCLUSION: When compared with LNF, MSA results in …","author":[{"dropping-particle":"","family":"Ayazi","given":"Shahin","non-dropping-particle":"","parse-names":false,"suffix":""},{"dropping-particle":"","family":"Zaidi","given":"Ali H.","non-dropping-particle":"","parse-names":false,"suffix":""},{"dropping-particle":"","family":"Zheng","given":"Ping","non-dropping-particle":"","parse-names":false,"suffix":""},{"dropping-particle":"","family":"Chovanec","given":"Kristy","non-dropping-particle":"","parse-names":false,"suffix":""},{"dropping-particle":"","family":"Chowdhury","given":"Nobel","non-dropping-particle":"","parse-names":false,"suffix":""},{"dropping-particle":"","family":"Salvitti","given":"Madison","non-dropping-particle":"","parse-names":false,"suffix":""},{"dropping-particle":"","family":"Newhams","given":"Kirsten","non-dropping-particle":"","parse-names":false,"suffix":""},{"dropping-particle":"","family":"Levy","given":"Jonathan","non-dropping-particle":"","parse-names":false,"suffix":""},{"dropping-particle":"","family":"Hoppo","given":"Toshitaka","non-dropping-particle":"","parse-names":false,"suffix":""},{"dropping-particle":"","family":"Jobe","given":"Blair A.","non-dropping-particle":"","parse-names":false,"suffix":""}],"container-title":"Surgical Endoscopy","id":"ITEM-1","issued":{"date-parts":[["2019","8","2"]]},"publisher":"Springer Science and Business Media LLC","title":"Comparison of surgical payer costs and implication on the healthcare expenses between laparoscopic magnetic sphincter augmentation (MSA) and laparoscopic Nissen fundoplication (LNF) in a large healthcare system","type":"article-journal"},"uris":["http://www.mendeley.com/documents/?uuid=a56a7495-284f-3424-bfb9-4e8f3f31f0ce"]}],"mendeley":{"formattedCitation":"[52]","plainTextFormattedCitation":"[52]","previouslyFormattedCitation":"[52]"},"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1</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xml:space="preserve">. The cost analysis revealed that MSA has a higher same-day procedural payer cost than LNF ($13522 </w:t>
      </w:r>
      <w:r w:rsidRPr="00DE7219">
        <w:rPr>
          <w:rFonts w:ascii="Book Antiqua" w:hAnsi="Book Antiqua"/>
          <w:i/>
          <w:iCs/>
          <w:sz w:val="24"/>
          <w:szCs w:val="24"/>
        </w:rPr>
        <w:t>vs</w:t>
      </w:r>
      <w:r w:rsidRPr="00DE7219">
        <w:rPr>
          <w:rFonts w:ascii="Book Antiqua" w:hAnsi="Book Antiqua"/>
          <w:sz w:val="24"/>
          <w:szCs w:val="24"/>
        </w:rPr>
        <w:t xml:space="preserve"> $13388, </w:t>
      </w:r>
      <w:r w:rsidRPr="00DE7219">
        <w:rPr>
          <w:rFonts w:ascii="Book Antiqua" w:hAnsi="Book Antiqua"/>
          <w:i/>
          <w:iCs/>
          <w:sz w:val="24"/>
          <w:szCs w:val="24"/>
        </w:rPr>
        <w:t>P</w:t>
      </w:r>
      <w:r w:rsidRPr="00DE7219">
        <w:rPr>
          <w:rFonts w:ascii="Book Antiqua" w:hAnsi="Book Antiqua"/>
          <w:sz w:val="24"/>
          <w:szCs w:val="24"/>
        </w:rPr>
        <w:t xml:space="preserve"> = 0.02), which may partially be offset by a decreased need for hospital stay in MSA. Furthermore, in a follow-up of 12 </w:t>
      </w:r>
      <w:proofErr w:type="spellStart"/>
      <w:r w:rsidRPr="00DE7219">
        <w:rPr>
          <w:rFonts w:ascii="Book Antiqua" w:hAnsi="Book Antiqua"/>
          <w:sz w:val="24"/>
          <w:szCs w:val="24"/>
        </w:rPr>
        <w:t>mo</w:t>
      </w:r>
      <w:proofErr w:type="spellEnd"/>
      <w:r w:rsidRPr="00DE7219">
        <w:rPr>
          <w:rFonts w:ascii="Book Antiqua" w:hAnsi="Book Antiqua"/>
          <w:sz w:val="24"/>
          <w:szCs w:val="24"/>
        </w:rPr>
        <w:t xml:space="preserve">, a higher reduction in disease-related costs was observed in the MSA group compared to the LNF group (65.9% </w:t>
      </w:r>
      <w:r w:rsidRPr="00DE7219">
        <w:rPr>
          <w:rFonts w:ascii="Book Antiqua" w:hAnsi="Book Antiqua"/>
          <w:i/>
          <w:iCs/>
          <w:sz w:val="24"/>
          <w:szCs w:val="24"/>
        </w:rPr>
        <w:t>vs</w:t>
      </w:r>
      <w:r w:rsidRPr="00DE7219">
        <w:rPr>
          <w:rFonts w:ascii="Book Antiqua" w:hAnsi="Book Antiqua"/>
          <w:sz w:val="24"/>
          <w:szCs w:val="24"/>
        </w:rPr>
        <w:t xml:space="preserve"> 46%, </w:t>
      </w:r>
      <w:r w:rsidRPr="00DE7219">
        <w:rPr>
          <w:rFonts w:ascii="Book Antiqua" w:hAnsi="Book Antiqua"/>
          <w:i/>
          <w:iCs/>
          <w:sz w:val="24"/>
          <w:szCs w:val="24"/>
        </w:rPr>
        <w:t>P</w:t>
      </w:r>
      <w:r w:rsidRPr="00DE7219">
        <w:rPr>
          <w:rFonts w:ascii="Book Antiqua" w:hAnsi="Book Antiqua"/>
          <w:sz w:val="24"/>
          <w:szCs w:val="24"/>
        </w:rPr>
        <w:t xml:space="preserve"> = 0.0001).</w:t>
      </w:r>
    </w:p>
    <w:p w14:paraId="3AC2941B" w14:textId="55B89052" w:rsidR="00257958" w:rsidRPr="00DE7219" w:rsidRDefault="00257958" w:rsidP="00DE7219">
      <w:pPr>
        <w:spacing w:line="360" w:lineRule="auto"/>
        <w:rPr>
          <w:rFonts w:ascii="Book Antiqua" w:hAnsi="Book Antiqua"/>
          <w:b/>
          <w:i/>
          <w:sz w:val="24"/>
          <w:szCs w:val="24"/>
        </w:rPr>
      </w:pPr>
    </w:p>
    <w:p w14:paraId="0DC545AF" w14:textId="77777777" w:rsidR="00257958" w:rsidRPr="00DE7219" w:rsidRDefault="00257958" w:rsidP="00DE7219">
      <w:pPr>
        <w:adjustRightInd w:val="0"/>
        <w:snapToGrid w:val="0"/>
        <w:spacing w:line="360" w:lineRule="auto"/>
        <w:rPr>
          <w:rFonts w:ascii="Book Antiqua" w:hAnsi="Book Antiqua"/>
          <w:b/>
          <w:bCs/>
          <w:sz w:val="24"/>
          <w:szCs w:val="24"/>
          <w:u w:val="single"/>
        </w:rPr>
      </w:pPr>
      <w:r w:rsidRPr="00DE7219">
        <w:rPr>
          <w:rFonts w:ascii="Book Antiqua" w:hAnsi="Book Antiqua"/>
          <w:b/>
          <w:bCs/>
          <w:sz w:val="24"/>
          <w:szCs w:val="24"/>
          <w:u w:val="single"/>
        </w:rPr>
        <w:t>DISCUSSION</w:t>
      </w:r>
    </w:p>
    <w:p w14:paraId="5EFC8D85" w14:textId="32214348" w:rsidR="009727DA" w:rsidRPr="00DE7219" w:rsidRDefault="009727DA" w:rsidP="00DE7219">
      <w:pPr>
        <w:spacing w:line="360" w:lineRule="auto"/>
        <w:rPr>
          <w:rFonts w:ascii="Book Antiqua" w:hAnsi="Book Antiqua"/>
          <w:sz w:val="24"/>
          <w:szCs w:val="24"/>
        </w:rPr>
      </w:pPr>
      <w:r w:rsidRPr="00DE7219">
        <w:rPr>
          <w:rFonts w:ascii="Book Antiqua" w:hAnsi="Book Antiqua"/>
          <w:sz w:val="24"/>
          <w:szCs w:val="24"/>
        </w:rPr>
        <w:t xml:space="preserve">Even though GERD’s management is primarily conservative and involves diet modifications and acid reducing agents, there is a patient group responding only partially to this therapeutic approach. For years, </w:t>
      </w:r>
      <w:r w:rsidR="004E2CF8" w:rsidRPr="00DE7219">
        <w:rPr>
          <w:rFonts w:ascii="Book Antiqua" w:hAnsi="Book Antiqua"/>
          <w:sz w:val="24"/>
          <w:szCs w:val="24"/>
        </w:rPr>
        <w:t>LF</w:t>
      </w:r>
      <w:r w:rsidRPr="00DE7219">
        <w:rPr>
          <w:rFonts w:ascii="Book Antiqua" w:hAnsi="Book Antiqua"/>
          <w:sz w:val="24"/>
          <w:szCs w:val="24"/>
        </w:rPr>
        <w:t xml:space="preserve"> was the usual alternative option in this patient group. However, after a decade of clinical application and with some studies reaching a 5-year follow-up, MSA appears to be a safe alternative for managing persistent GERD symptoms. Overall, the majority of patients reported complete resolution of their GERD symptoms, with post-operative PPI’s cessation rates reaching 100%. Interestingly, results were consistent even after applying MSA in patients with large </w:t>
      </w:r>
      <w:r w:rsidR="00267722" w:rsidRPr="00DE7219">
        <w:rPr>
          <w:rFonts w:ascii="Book Antiqua" w:hAnsi="Book Antiqua"/>
          <w:sz w:val="24"/>
          <w:szCs w:val="24"/>
        </w:rPr>
        <w:t>HH</w:t>
      </w:r>
      <w:r w:rsidRPr="00DE7219">
        <w:rPr>
          <w:rFonts w:ascii="Book Antiqua" w:hAnsi="Book Antiqua"/>
          <w:sz w:val="24"/>
          <w:szCs w:val="24"/>
        </w:rPr>
        <w:t>, BMI &gt; 35 kg/m</w:t>
      </w:r>
      <w:r w:rsidRPr="00DE7219">
        <w:rPr>
          <w:rFonts w:ascii="Book Antiqua" w:hAnsi="Book Antiqua"/>
          <w:sz w:val="24"/>
          <w:szCs w:val="24"/>
          <w:vertAlign w:val="superscript"/>
        </w:rPr>
        <w:t>2</w:t>
      </w:r>
      <w:r w:rsidRPr="00DE7219">
        <w:rPr>
          <w:rFonts w:ascii="Book Antiqua" w:hAnsi="Book Antiqua"/>
          <w:sz w:val="24"/>
          <w:szCs w:val="24"/>
        </w:rPr>
        <w:t xml:space="preserve"> and in bariatric patients. Different surgical approaches such as the left transthoracic were also introduced with success.</w:t>
      </w:r>
    </w:p>
    <w:p w14:paraId="79D90973" w14:textId="01E550BF" w:rsidR="009727DA" w:rsidRPr="00DE7219" w:rsidRDefault="009727DA" w:rsidP="00DE7219">
      <w:pPr>
        <w:spacing w:line="360" w:lineRule="auto"/>
        <w:ind w:firstLineChars="100" w:firstLine="240"/>
        <w:rPr>
          <w:rFonts w:ascii="Book Antiqua" w:hAnsi="Book Antiqua"/>
          <w:sz w:val="24"/>
          <w:szCs w:val="24"/>
        </w:rPr>
      </w:pPr>
      <w:r w:rsidRPr="00DE7219">
        <w:rPr>
          <w:rFonts w:ascii="Book Antiqua" w:hAnsi="Book Antiqua"/>
          <w:sz w:val="24"/>
          <w:szCs w:val="24"/>
        </w:rPr>
        <w:t>Although both LF and MSA appear to be safe, effective procedures, the MSA seems to have distinct advantages. First of all, the results of our review indicate MSA to be superior regarding the ability to vomit/belch and also to be associated with less bloating symptoms in comparison to LF. Moreover, it is generally considered a less technical procedure, designed to limit technical variability and provide more persistent outcomes</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{"citationItems":[{"id":"ITEM-1","itemData":{"DOI":"10.1586/egh.12.47","ISSN":"1747-4124","author":[{"dropping-particle":"","family":"Bonavina","given":"Luigi","non-dropping-particle":"","parse-names":false,"suffix":""},{"dropping-particle":"","family":"DeMeester","given":"Tom R","non-dropping-particle":"","parse-names":false,"suffix":""},{"dropping-particle":"","family":"Ganz","given":"Robert A","non-dropping-particle":"","parse-names":false,"suffix":""}],"container-title":"Expert Review of Gastroenterology &amp; Hepatology","id":"ITEM-1","issue":"6","issued":{"date-parts":[["2012","12","10"]]},"page":"667-674","title":"LINX &lt;sup&gt;™&lt;/sup&gt; Reflux Management System: magnetic sphincter augmentation in the treatment of gastroesophageal reflux disease","type":"article-journal","volume":"6"},"uris":["http://www.mendeley.com/documents/?uuid=82459bca-faad-3e74-b4e5-3f438da85016"]}],"mendeley":{"formattedCitation":"[53]","plainTextFormattedCitation":"[53]","previouslyFormattedCitation":"[53]"},"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2</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xml:space="preserve">. Lastly, the procedure can be quite easily reversed through a device removal, with the same not applying to </w:t>
      </w:r>
      <w:r w:rsidR="004E2CF8" w:rsidRPr="00DE7219">
        <w:rPr>
          <w:rFonts w:ascii="Book Antiqua" w:hAnsi="Book Antiqua"/>
          <w:sz w:val="24"/>
          <w:szCs w:val="24"/>
        </w:rPr>
        <w:t>LF</w:t>
      </w:r>
      <w:r w:rsidRPr="00DE7219">
        <w:rPr>
          <w:rFonts w:ascii="Book Antiqua" w:hAnsi="Book Antiqua"/>
          <w:sz w:val="24"/>
          <w:szCs w:val="24"/>
        </w:rPr>
        <w:t>, which is a more interventional method, considered to have more severe complications when re-operation is deemed necessary. Most importantly, if the MSA procedure fails, LF is still a viable option after removing the device</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{"citationItems":[{"id":"ITEM-1","itemData":{"DOI":"10.1016/j.cgh.2015.05.028","ISSN":"15423565","PMID":"26044316","abstract":"BACKGROUND &amp; AIMS Based on results from year 2 of a 5-year trial, in 2012 the US Food and Drug Administration approved the use of a magnetic device to augment lower esophageal sphincter function in patients with gastroesophageal reflux disease (GERD). We report the final results of 5 years of follow-up evaluation of patients who received this device. METHODS We performed a prospective study of the safety and efficacy of a magnetic device in 100 adults with GERD for 6 months or more, who were partially responsive to daily proton pump inhibitors (PPIs) and had evidence of pathologic esophageal acid exposure, at 14 centers in the United States and The Netherlands. The magnetic device was placed using standard laparoscopic tools and techniques. Eighty-five subjects were followed up for 5 years to evaluate quality of life, reflux control, use of PPIs, and side effects. The GERD-health-related quality of life (GERD-HRQL) questionnaire was administered at baseline to patients on and off PPIs, and after placement of the device; patients served as their own controls. A partial response to PPIs was defined as a GERD-HRQL score of 10 or less on PPIs and a score of 15 or higher off PPIs, or a 6-point or more improvement when scores on vs off PPI were compared. RESULTS Over the follow-up period, no device erosions, migrations, or malfunctions occurred. At baseline, the median GERD-HRQL scores were 27 in patients not taking PPIs and 11 in patients on PPIs; 5 years after device placement this score decreased to 4. All patients used PPIs at baseline; this value decreased to 15.3% at 5 years. Moderate or severe regurgitation occurred in 57% of subjects at baseline, but only 1.2% at 5 years. All patients reported the ability to belch and vomit if needed. Bothersome dysphagia was present in 5% at baseline and in 6% at 5 years. Bothersome gas-bloat was present in 52% at baseline and decreased to 8.3% at 5 years. CONCLUSIONS Augmentation of the lower esophageal sphincter with a magnetic device provides significant and sustained control of reflux, with minimal side effects or complications. No new safety risks emerged over a 5-year follow-up period. These findings validate the long-term safety and efficacy of the magnetic sphincter augmentation device for patients with GERD. ClinicalTrials.gov no: NCT00776997.","author":[{"dropping-particle":"","family":"Ganz","given":"Robert A.","non-dropping-particle":"","parse-names":false,"suffix":""},{"dropping-particle":"","family":"Edmundowicz","given":"Steven A.","non-dropping-particle":"","parse-names":false,"suffix":""},{"dropping-particle":"","family":"Taiganides","given":"Paul A.","non-dropping-particle":"","parse-names":false,"suffix":""},{"dropping-particle":"","family":"Lipham","given":"John C.","non-dropping-particle":"","parse-names":false,"suffix":""},{"dropping-particle":"","family":"Smith","given":"C. Daniel","non-dropping-particle":"","parse-names":false,"suffix":""},{"dropping-particle":"","family":"DeVault","given":"Kenneth R.","non-dropping-particle":"","parse-names":false,"suffix":""},{"dropping-particle":"","family":"Horgan","given":"Santiago","non-dropping-particle":"","parse-names":false,"suffix":""},{"dropping-particle":"","family":"Jacobsen","given":"Garth","non-dropping-particle":"","parse-names":false,"suffix":""},{"dropping-particle":"","family":"Luketich","given":"James D.","non-dropping-particle":"","parse-names":false,"suffix":""},{"dropping-particle":"","family":"Smith","given":"Christopher C.","non-dropping-particle":"","parse-names":false,"suffix":""},{"dropping-particle":"","family":"Schlack-Haerer","given":"Steven C.","non-dropping-particle":"","parse-names":false,"suffix":""},{"dropping-particle":"","family":"Kothari","given":"Shanu N.","non-dropping-particle":"","parse-names":false,"suffix":""},{"dropping-particle":"","family":"Dunst","given":"Christy M.","non-dropping-particle":"","parse-names":false,"suffix":""},{"dropping-particle":"","family":"Watson","given":"Thomas J.","non-dropping-particle":"","parse-names":false,"suffix":""},{"dropping-particle":"","family":"Peters","given":"Jeffrey","non-dropping-particle":"","parse-names":false,"suffix":""},{"dropping-particle":"","family":"Oelschlager","given":"Brant K.","non-dropping-particle":"","parse-names":false,"suffix":""},{"dropping-particle":"","family":"Perry","given":"Kyle A.","non-dropping-particle":"","parse-names":false,"suffix":""},{"dropping-particle":"","family":"Melvin","given":"Scott","non-dropping-particle":"","parse-names":false,"suffix":""},{"dropping-particle":"","family":"Bemelman","given":"Willem A.","non-dropping-particle":"","parse-names":false,"suffix":""},{"dropping-particle":"","family":"Smout","given":"André J.P.M.","non-dropping-particle":"","parse-names":false,"suffix":""},{"dropping-particle":"","family":"Dunn","given":"Dan","non-dropping-particle":"","parse-names":false,"suffix":""}],"container-title":"Clinical Gastroenterology and Hepatology","id":"ITEM-1","issue":"5","issued":{"date-parts":[["2016","5"]]},"page":"671-677","title":"Long-term Outcomes of Patients Receiving a Magnetic Sphincter Augmentation Device for Gastroesophageal Reflux","type":"article-journal","volume":"14"},"uris":["http://www.mendeley.com/documents/?uuid=a0650ff7-e48a-3370-aa39-db91291bd8cd"]},{"id":"ITEM-2","itemData":{"DOI":"10.2147/MDER.S113679","ISSN":"11791470","abstract":"Background The initial approach to gastroesophageal reflux disease (GERD) management typically involves lifestyle modification and medical therapy utilizing acid reducing agents such as histamine blockers and proton pump inhibitors. In severe cases refractory to such treatments, surgical therapy may be indicated. The gold standard for surgical treatment of GERD is the laparoscopic Nissen fundoplication. In recent years, a new technique known as magnetic sphincter augmentation (MSA) has been developed using the Linx™ Reflux Management System. This is an implantable ring of magnetic beads that is placed around the esophagus at the gastroesophageal junction to restore lower esophageal integrity. The aim of this review is to discuss the current literature regarding indications, surgical technique, efficacy, and complications of MSA using the Linx device. Methods A standardized literature search was performed yielding 367 abstracts. After elimination due to duplicates between databases and irrelevance, 96 articles remained. The information found to be significant and non-redundant was included in this review. Conclusion After several years of clinical application, the Linx device has been shown to not only be effective for the management of GERD but also be as effective as fundoplication. With respect to safety, the most common complication of MSA is dysphagia. This often resolved without intervention, but esophageal dilation or device explanation are occasionally necessary. Not fully appreciated in earlier reviews, erosion of the device into the esophagus appears to be the most significant complication of the device after extended follow-up. While very rare, the potentially severe consequences of this phenomenon suggest that the device should be used with some restraint and that patients should be made aware of this potential morbidity. Fortunately, in the few cases of device erosion described in the literature reviewed, the Linx device was easily and safely removed.","author":[{"dropping-particle":"","family":"Zadeh","given":"Jonathan","non-dropping-particle":"","parse-names":false,"suffix":""},{"dropping-particle":"","family":"Andreoni","given":"Anthony","non-dropping-particle":"","parse-names":false,"suffix":""},{"dropping-particle":"","family":"Treitl","given":"Daniela","non-dropping-particle":"","parse-names":false,"suffix":""},{"dropping-particle":"","family":"Ben-David","given":"Kfir","non-dropping-particle":"","parse-names":false,"suffix":""}],"container-title":"Medical Devices: Evidence and Research","id":"ITEM-2","issued":{"date-parts":[["2018"]]},"page":"291-300","publisher":"Dove Medical Press Ltd","title":"Spotlight on the linx™ reflux management system for the treatment of gastroesophageal reflux disease: Evidence and research","type":"article","volume":"11"},"uris":["http://www.mendeley.com/documents/?uuid=f5677a16-88a1-3653-ad9e-a5b2e2bfadde"]}],"mendeley":{"formattedCitation":"[12,27]","plainTextFormattedCitation":"[12,27]","previouslyFormattedCitation":"[12,27]"},"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[12,2</w:t>
      </w:r>
      <w:r w:rsidR="00E879CF" w:rsidRPr="00DE7219">
        <w:rPr>
          <w:rFonts w:ascii="Book Antiqua" w:hAnsi="Book Antiqua"/>
          <w:noProof/>
          <w:sz w:val="24"/>
          <w:szCs w:val="24"/>
          <w:vertAlign w:val="superscript"/>
        </w:rPr>
        <w:t>6</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w:t>
      </w:r>
    </w:p>
    <w:p w14:paraId="266B8758" w14:textId="2F14C3B0" w:rsidR="009727DA" w:rsidRPr="00DE7219" w:rsidRDefault="009727DA" w:rsidP="00DE7219">
      <w:pPr>
        <w:pBdr>
          <w:top w:val="nil"/>
          <w:left w:val="nil"/>
          <w:bottom w:val="nil"/>
          <w:right w:val="nil"/>
          <w:between w:val="nil"/>
        </w:pBdr>
        <w:spacing w:line="360" w:lineRule="auto"/>
        <w:ind w:firstLineChars="200" w:firstLine="480"/>
        <w:rPr>
          <w:rFonts w:ascii="Book Antiqua" w:hAnsi="Book Antiqua"/>
          <w:sz w:val="24"/>
          <w:szCs w:val="24"/>
        </w:rPr>
      </w:pPr>
      <w:r w:rsidRPr="00DE7219">
        <w:rPr>
          <w:rFonts w:ascii="Book Antiqua" w:hAnsi="Book Antiqua"/>
          <w:sz w:val="24"/>
          <w:szCs w:val="24"/>
        </w:rPr>
        <w:t>Interestingly, MSA also seems to take the high ground when compared with maxed-out dose of PPIs in a randomized controlled trial</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{"citationItems":[{"id":"ITEM-1","itemData":{"DOI":"10.1016/J.GIE.2018.07.007","ISSN":"0016-5107","abstract":"BACKGROUND AND AIMS\nGERD patients frequently complain of regurgitation of gastric contents. Medical therapy with proton-pump inhibitors (PPIs) is frequently ineffective in alleviating regurgitation symptoms, because PPIs do nothing to restore a weak lower esophageal sphincter. Our aim was to compare effectiveness of increased PPI dosing with laparoscopic magnetic sphincter augmentation (MSA) in patients with moderate-to-severe regurgitation despite once-daily PPI therapy. \n\nMETHODS\nOne hundred fifty-two patients with GERD, aged ≥21 years with moderate-to-severe regurgitation despite 8 weeks of once-daily PPI therapy, were prospectively enrolled at 21 U.S. sites. Participants were randomized 2:1 to treatment with twice-daily (BID) PPIs (N = 102) or to laparoscopic MSA (N = 50). Standardized foregut symptom questionnaires and ambulatory esophageal reflux monitoring were performed at baseline and at 6 months. Relief of regurgitation, improvement in foregut questionnaire scores, decrease in esophageal acid exposure and reflux events, discontinuation of PPIs, and adverse events were the measures of efficacy. \n\nRESULTS\nPer protocol, 89% (42/47) of treated patients with MSA reported relief of regurgitation compared with 10% (10/101) of the BID PPI group (P &lt; .001) at the 6-month primary endpoint. By intention-to-treat analysis, 84% (42/50) of patients in the MSA group and 10% (10/102) in the BID PPI group met this primary endpoint (P &lt; .001). Eighty-one percent (38/47) of patients with MSA versus 8% (7/87) of patients with BID PPI had ≥50% improvement in GERD–health-related quality of life scores (P &lt; .001), and 91% (43/47) remained off of PPI therapy. A normal number of reflux episodes and acid exposures was observed in 91% (40/44) and 89% (39/44) of MSA patients, respectively, compared with 58% (46/79) (P &lt; .001) and 75% (59/79) (P = .065) of BID PPI patients at 6 months. No significant safety issues were observed. In MSA patients, 28% reported transient dysphagia; 4% reported ongoing dysphagia. \n\nCONCLUSION\nPatients with GERD with moderate-to-severe regurgitation, especially despite once-daily PPI treatment, should be considered for minimally invasive treatment with MSA rather than increased PPI therapy. (Clinical trial registration number: NCT02505945.)","author":[{"dropping-particle":"","family":"Bell","given":"Reginald","non-dropping-particle":"","parse-names":false,"suffix":""},{"dropping-particle":"","family":"Lipham","given":"John","non-dropping-particle":"","parse-names":false,"suffix":""},{"dropping-particle":"","family":"Louie","given":"Brian","non-dropping-particle":"","parse-names":false,"suffix":""},{"dropping-particle":"","family":"Williams","given":"Valerie","non-dropping-particle":"","parse-names":false,"suffix":""},{"dropping-particle":"","family":"Luketich","given":"James","non-dropping-particle":"","parse-names":false,"suffix":""},{"dropping-particle":"","family":"Hill","given":"Michael","non-dropping-particle":"","parse-names":false,"suffix":""},{"dropping-particle":"","family":"Richards","given":"William","non-dropping-particle":"","parse-names":false,"suffix":""},{"dropping-particle":"","family":"Dunst","given":"Christy","non-dropping-particle":"","parse-names":false,"suffix":""},{"dropping-particle":"","family":"Lister","given":"Dan","non-dropping-particle":"","parse-names":false,"suffix":""},{"dropping-particle":"","family":"McDowell-Jacobs","given":"Lauren","non-dropping-particle":"","parse-names":false,"suffix":""},{"dropping-particle":"","family":"Reardon","given":"Patrick","non-dropping-particle":"","parse-names":false,"suffix":""},{"dropping-particle":"","family":"Woods","given":"Karen","non-dropping-particle":"","parse-names":false,"suffix":""},{"dropping-particle":"","family":"Gould","given":"Jon","non-dropping-particle":"","parse-names":false,"suffix":""},{"dropping-particle":"","family":"Buckley","given":"F. Paul","non-dropping-particle":"","parse-names":false,"suffix":""},{"dropping-particle":"","family":"Kothari","given":"Shanu","non-dropping-particle":"","parse-names":false,"suffix":""},{"dropping-particle":"","family":"Khaitan","given":"Leena","non-dropping-particle":"","parse-names":false,"suffix":""},{"dropping-particle":"","family":"Smith","given":"C. Daniel","non-dropping-particle":"","parse-names":false,"suffix":""},{"dropping-particle":"","family":"Park","given":"Adrian","non-dropping-particle":"","parse-names":false,"suffix":""},{"dropping-particle":"","family":"Smith","given":"Christopher","non-dropping-particle":"","parse-names":false,"suffix":""},{"dropping-particle":"","family":"Jacobsen","given":"Garth","non-dropping-particle":"","parse-names":false,"suffix":""},{"dropping-particle":"","family":"Abbas","given":"Ghulam","non-dropping-particle":"","parse-names":false,"suffix":""},{"dropping-particle":"","family":"Katz","given":"Philip","non-dropping-particle":"","parse-names":false,"suffix":""}],"container-title":"Gastrointestinal Endoscopy","id":"ITEM-1","issue":"1","issued":{"date-parts":[["2019","1","1"]]},"page":"14-22.e1","publisher":"Mosby","title":"Laparoscopic magnetic sphincter augmentation versus double-dose proton pump inhibitors for management of moderate-to-severe regurgitation in GERD: a randomized controlled trial","type":"article-journal","volume":"89"},"uris":["http://www.mendeley.com/documents/?uuid=b9f32ed4-8e18-3395-bd4a-a0b212d185be"]}],"mendeley":{"formattedCitation":"[50]","plainTextFormattedCitation":"[50]","previouslyFormattedCitation":"[50]"},"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w:t>
      </w:r>
      <w:r w:rsidR="00E879CF" w:rsidRPr="00DE7219">
        <w:rPr>
          <w:rFonts w:ascii="Book Antiqua" w:hAnsi="Book Antiqua"/>
          <w:noProof/>
          <w:sz w:val="24"/>
          <w:szCs w:val="24"/>
          <w:vertAlign w:val="superscript"/>
        </w:rPr>
        <w:t>49</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The promising results of this trial broaden the treatment options of patients seeking a more drastic and effective measure than doubling their dose of PPIs. Although this was the only study comparing MSA with double-dose PPIs, it could still be hypothesized that as MSA becomes an increasingly common procedure, future indications may propose the MSA procedure as a valid alternative to medical therapy in moderate-to-severe GERD.</w:t>
      </w:r>
    </w:p>
    <w:p w14:paraId="768886A3" w14:textId="3D666FA7" w:rsidR="009727DA" w:rsidRPr="00DE7219" w:rsidRDefault="009727DA" w:rsidP="00DE7219">
      <w:pPr>
        <w:pBdr>
          <w:top w:val="nil"/>
          <w:left w:val="nil"/>
          <w:bottom w:val="nil"/>
          <w:right w:val="nil"/>
          <w:between w:val="nil"/>
        </w:pBdr>
        <w:spacing w:line="360" w:lineRule="auto"/>
        <w:ind w:firstLineChars="200" w:firstLine="480"/>
        <w:rPr>
          <w:rFonts w:ascii="Book Antiqua" w:hAnsi="Book Antiqua"/>
          <w:sz w:val="24"/>
          <w:szCs w:val="24"/>
        </w:rPr>
      </w:pPr>
      <w:r w:rsidRPr="00DE7219">
        <w:rPr>
          <w:rFonts w:ascii="Book Antiqua" w:hAnsi="Book Antiqua"/>
          <w:sz w:val="24"/>
          <w:szCs w:val="24"/>
        </w:rPr>
        <w:t>Nonetheless, concerning complications, dysphagia appears to be the most common occurrence in both the MSA and the LF</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10.1093/dote/doz031","ISSN":"1120-8694","author":[{"dropping-particle":"","family":"Guidozzi","given":"Nadia","non-dropping-particle":"","parse-names":false,"suffix":""},{"dropping-particle":"","family":"Wiggins","given":"Tom","non-dropping-particle":"","parse-names":false,"suffix":""},{"dropping-particle":"","family":"Ahmed","given":"Ahmed R","non-dropping-particle":"","parse-names":false,"suffix":""},{"dropping-particle":"","family":"Hanna","given":"George B","non-dropping-particle":"","parse-names":false,"suffix":""},{"dropping-particle":"","family":"Markar","given":"Sheraz R","non-dropping-particle":"","parse-names":false,"suffix":""}],"container-title":"Diseases of the Esophagus","id":"ITEM-1","issued":{"date-parts":[["2019","5","9"]]},"title":"Laparoscopic magnetic sphincter augmentation versus fundoplication for gastroesophageal reflux disease: systematic review and pooled analysis","type":"article-journal"},"uris":["http://www.mendeley.com/documents/?uuid=11be4776-8405-31d9-aea5-8f1b697d5104"]}],"mendeley":{"formattedCitation":"[39]","plainTextFormattedCitation":"[39]","previouslyFormattedCitation":"[39]"},"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8</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It should also be mentioned than when dysphagia occurs, some studies report that it is more severe in MSA than in LF</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{"citationItems":[{"id":"ITEM-1","itemData":{"DOI":"10.1007/s00464-014-3704-6","ISSN":"0930-2794","PMID":"25012804","abstract":"BACKGROUND Laparoscopic magnetic sphincter augmentation (MSA) with the LINX device is a promising new therapy for the treatment of gastroesophageal reflux disease (GERD). Initial studies have demonstrated MSA to be safe and effective. However, no direct comparison between MSA and laparoscopic Nissen fundoplication (LNF), the gold standard surgical therapy for GERD, has been performed. METHODS A single institution, case-control study was conducted of MSA performed from 2012 to 2013 and a cohort of LNF matched for age, gender, and hiatal hernia size. RESULTS MSA and LNF were both effective treatments for reflux with 75 and 83 % of patients, respectively, reporting resolution of GERD at short-term follow-up. Dysphagia was common following both MSA and LNF, but severe dysphagia requiring endoscopic dilation was more frequent after MSA (50 vs. 0 %, p = 0.01). Need for dilation did not correlate with size of the LINX device or any other examined patient factors. A trend toward decreased adverse GI symptoms of bloating, flatulence, and diarrhea was seen after MSA compared to LNF (0 vs. 33 %). MSA had a shorter operative time (64 vs. 90 min, p &lt; 0.01) but other peri-operative outcomes, including pain, morbidity, and re-admissions were equivalent to LNF. MSA patients were more likely to be self-referred (58 vs. 0 %, p &lt; 0.001). CONCLUSIONS MSA and LNF are both effective and safe treatments for GERD; however, severe dysphagia requiring endoscopic intervention is more common with MSA. Other adverse GI side effects may be less frequent after MSA. Consideration should be paid to these distinct post-operative symptom profiles when selecting a surgical therapy for reflux disease.","author":[{"dropping-particle":"","family":"Sheu","given":"Eric G.","non-dropping-particle":"","parse-names":false,"suffix":""},{"dropping-particle":"","family":"Nau","given":"Peter","non-dropping-particle":"","parse-names":false,"suffix":""},{"dropping-particle":"","family":"Nath","given":"Barbara","non-dropping-particle":"","parse-names":false,"suffix":""},{"dropping-particle":"","family":"Kuo","given":"Braden","non-dropping-particle":"","parse-names":false,"suffix":""},{"dropping-particle":"","family":"Rattner","given":"David W.","non-dropping-particle":"","parse-names":false,"suffix":""}],"container-title":"Surgical Endoscopy","id":"ITEM-1","issue":"3","issued":{"date-parts":[["2015","3","11"]]},"page":"505-509","title":"A comparative trial of laparoscopic magnetic sphincter augmentation and Nissen fundoplication","type":"article-journal","volume":"29"},"uris":["http://www.mendeley.com/documents/?uuid=adc815d9-0b60-338a-801f-6ad265f84d77"]}],"mendeley":{"formattedCitation":"[33]","plainTextFormattedCitation":"[33]","previouslyFormattedCitation":"[33]"},"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[3</w:t>
      </w:r>
      <w:r w:rsidR="00E879CF" w:rsidRPr="00DE7219">
        <w:rPr>
          <w:rFonts w:ascii="Book Antiqua" w:hAnsi="Book Antiqua"/>
          <w:noProof/>
          <w:sz w:val="24"/>
          <w:szCs w:val="24"/>
          <w:vertAlign w:val="superscript"/>
        </w:rPr>
        <w:t>2</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However, this finding was not present in the 2 meta-analyses presented in our results. In addition, recent publications revealed rare and relatively serious complications such as esophageal erosion</w:t>
      </w:r>
      <w:r w:rsidRPr="00DE7219">
        <w:rPr>
          <w:rFonts w:ascii="Book Antiqua" w:hAnsi="Book Antiqua"/>
          <w:sz w:val="24"/>
          <w:szCs w:val="24"/>
          <w:vertAlign w:val="superscript"/>
        </w:rPr>
        <w:fldChar w:fldCharType="begin" w:fldLock="1"/>
      </w:r>
      <w:r w:rsidRPr="00DE7219">
        <w:rPr>
          <w:rFonts w:ascii="Book Antiqua" w:hAnsi="Book Antiqua"/>
          <w:sz w:val="24"/>
          <w:szCs w:val="24"/>
          <w:vertAlign w:val="superscript"/>
        </w:rPr>
        <w:instrText>ADDIN CSL_CITATION {"citationItems":[{"id":"ITEM-1","itemData":{"DOI":"10.1007/s11605-018-3775-0","ISSN":"1091-255X","PMID":"29667094","abstract":"BACKGROUND The magnetic sphincter augmentation device continues to become a more common antireflux surgical option with low complication rates. Erosion into the esophagus is an important complication to recognize and is reported to occur at very low incidences (0.1-0.15%). Characterization of this complication remains limited. We aim to describe the worldwide experience with erosion of the magnetic sphincter augmentation device including presentation, techniques for removal, and possible risk factors. MATERIALS AND METHODS We reviewed data obtained from the device manufacturer Torax Medical, Inc., as well as the Manufacturer and User Facility Device Experience (MAUDE) database. The study period was from February 2007 through July 2017 and included all devices placed worldwide. RESULTS In total, 9453 devices were placed and there were 29 reported cases of erosions. The median time to presentation of an erosion was 26 months with most occurring between 1 and 4 years after placement. The risk of erosion was 0.3% at 4 years after device implantation. Most patients experienced new-onset dysphagia prompting evaluation. Devices were successfully removed in all patients most commonly via an endoscopic removal of the eroded portion followed by a delayed laparoscopic removal of the remaining beads. At a median follow-up of 58 days post-removal, there were no complications and 24 patients have returned to baseline. Four patients reported ongoing mild dysphagia. CONCLUSIONS Erosion of the LINX device is an important but rare complication to recognize that has been safely managed via minimally invasive approaches without long-term consequences.","author":[{"dropping-particle":"","family":"Alicuben","given":"Evan T.","non-dropping-particle":"","parse-names":false,"suffix":""},{"dropping-particle":"","family":"Bell","given":"Reginald C. W.","non-dropping-particle":"","parse-names":false,"suffix":""},{"dropping-particle":"","family":"Jobe","given":"Blair A.","non-dropping-particle":"","parse-names":false,"suffix":""},{"dropping-particle":"","family":"Buckley","given":"F. P.","non-dropping-particle":"","parse-names":false,"suffix":""},{"dropping-particle":"","family":"Daniel Smith","given":"C.","non-dropping-particle":"","parse-names":false,"suffix":""},{"dropping-particle":"","family":"Graybeal","given":"Casey J.","non-dropping-particle":"","parse-names":false,"suffix":""},{"dropping-particle":"","family":"Lipham","given":"John C.","non-dropping-particle":"","parse-names":false,"suffix":""}],"container-title":"Journal of Gastrointestinal Surgery","id":"ITEM-1","issue":"8","issued":{"date-parts":[["2018","8","17"]]},"page":"1442-1447","title":"Worldwide Experience with Erosion of the Magnetic Sphincter Augmentation Device","type":"article-journal","volume":"22"},"uris":["http://www.mendeley.com/documents/?uuid=630030fc-d130-3b2f-abff-bd16ccf982d0"]}],"mendeley":{"formattedCitation":"[51]","plainTextFormattedCitation":"[51]","previouslyFormattedCitation":"[51]"},"properties":{"noteIndex":0},"schema":"https://github.com/citation-style-language/schema/raw/master/csl-citation.json"}</w:instrText>
      </w:r>
      <w:r w:rsidRPr="00DE7219">
        <w:rPr>
          <w:rFonts w:ascii="Book Antiqua" w:hAnsi="Book Antiqua"/>
          <w:sz w:val="24"/>
          <w:szCs w:val="24"/>
          <w:vertAlign w:val="superscript"/>
        </w:rPr>
        <w:fldChar w:fldCharType="separate"/>
      </w:r>
      <w:r w:rsidRPr="00DE7219">
        <w:rPr>
          <w:rFonts w:ascii="Book Antiqua" w:hAnsi="Book Antiqua"/>
          <w:noProof/>
          <w:sz w:val="24"/>
          <w:szCs w:val="24"/>
          <w:vertAlign w:val="superscript"/>
        </w:rPr>
        <w:t>[5</w:t>
      </w:r>
      <w:r w:rsidR="00E879CF" w:rsidRPr="00DE7219">
        <w:rPr>
          <w:rFonts w:ascii="Book Antiqua" w:hAnsi="Book Antiqua"/>
          <w:noProof/>
          <w:sz w:val="24"/>
          <w:szCs w:val="24"/>
          <w:vertAlign w:val="superscript"/>
        </w:rPr>
        <w:t>0</w:t>
      </w:r>
      <w:r w:rsidRPr="00DE7219">
        <w:rPr>
          <w:rFonts w:ascii="Book Antiqua" w:hAnsi="Book Antiqua"/>
          <w:noProof/>
          <w:sz w:val="24"/>
          <w:szCs w:val="24"/>
          <w:vertAlign w:val="superscript"/>
        </w:rPr>
        <w:t>]</w:t>
      </w:r>
      <w:r w:rsidRPr="00DE7219">
        <w:rPr>
          <w:rFonts w:ascii="Book Antiqua" w:hAnsi="Book Antiqua"/>
          <w:sz w:val="24"/>
          <w:szCs w:val="24"/>
          <w:vertAlign w:val="superscript"/>
        </w:rPr>
        <w:fldChar w:fldCharType="end"/>
      </w:r>
      <w:r w:rsidRPr="00DE7219">
        <w:rPr>
          <w:rFonts w:ascii="Book Antiqua" w:hAnsi="Book Antiqua"/>
          <w:sz w:val="24"/>
          <w:szCs w:val="24"/>
        </w:rPr>
        <w:t>. However, the device removal occurred uneventfully in these cases.</w:t>
      </w:r>
    </w:p>
    <w:p w14:paraId="0C6DDAFE" w14:textId="75B6A40B" w:rsidR="009727DA" w:rsidRPr="00DE7219" w:rsidRDefault="009727DA" w:rsidP="00DE7219">
      <w:pPr>
        <w:spacing w:line="360" w:lineRule="auto"/>
        <w:ind w:firstLineChars="100" w:firstLine="240"/>
        <w:rPr>
          <w:rFonts w:ascii="Book Antiqua" w:hAnsi="Book Antiqua"/>
          <w:sz w:val="24"/>
          <w:szCs w:val="24"/>
        </w:rPr>
      </w:pPr>
      <w:r w:rsidRPr="00DE7219">
        <w:rPr>
          <w:rFonts w:ascii="Book Antiqua" w:hAnsi="Book Antiqua"/>
          <w:sz w:val="24"/>
          <w:szCs w:val="24"/>
        </w:rPr>
        <w:t>In conclusion, MSA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 is considered a safe procedure with excellent results. When compared with the gold standard, </w:t>
      </w:r>
      <w:r w:rsidR="004E2CF8" w:rsidRPr="00DE7219">
        <w:rPr>
          <w:rFonts w:ascii="Book Antiqua" w:hAnsi="Book Antiqua"/>
          <w:sz w:val="24"/>
          <w:szCs w:val="24"/>
        </w:rPr>
        <w:t>LF</w:t>
      </w:r>
      <w:r w:rsidRPr="00DE7219">
        <w:rPr>
          <w:rFonts w:ascii="Book Antiqua" w:hAnsi="Book Antiqua"/>
          <w:sz w:val="24"/>
          <w:szCs w:val="24"/>
        </w:rPr>
        <w:t xml:space="preserve">, MSA seems to have similar efficacy and safety profiles. Nonetheless, it also has some distinct advantages. These include shorter operative time, less technical variability, less interventions on the normal anatomy, less bloating symptoms and a better ability to belch or vomit. Moreover, promising results comparing the MSA procedure with double-dose PPIs in moderate-to-severe GERD exist. Overall, the results of our review enforce the notion that the MSA procedure has the potential to bridge the treatment gap between maxed-out dose of medical treatment and </w:t>
      </w:r>
      <w:r w:rsidR="004E2CF8" w:rsidRPr="00DE7219">
        <w:rPr>
          <w:rFonts w:ascii="Book Antiqua" w:hAnsi="Book Antiqua"/>
          <w:sz w:val="24"/>
          <w:szCs w:val="24"/>
        </w:rPr>
        <w:t>LF</w:t>
      </w:r>
      <w:r w:rsidRPr="00DE7219">
        <w:rPr>
          <w:rFonts w:ascii="Book Antiqua" w:hAnsi="Book Antiqua"/>
          <w:sz w:val="24"/>
          <w:szCs w:val="24"/>
        </w:rPr>
        <w:t>.</w:t>
      </w:r>
    </w:p>
    <w:p w14:paraId="0B117225" w14:textId="1401066C" w:rsidR="009727DA" w:rsidRPr="00DE7219" w:rsidRDefault="009727DA" w:rsidP="00DE7219">
      <w:pPr>
        <w:spacing w:line="360" w:lineRule="auto"/>
        <w:rPr>
          <w:rFonts w:ascii="Book Antiqua" w:hAnsi="Book Antiqua"/>
          <w:sz w:val="24"/>
          <w:szCs w:val="24"/>
        </w:rPr>
      </w:pPr>
    </w:p>
    <w:p w14:paraId="2F56BD51" w14:textId="77777777" w:rsidR="00FD094D" w:rsidRPr="00DE7219" w:rsidRDefault="00FD094D" w:rsidP="00DE7219">
      <w:pPr>
        <w:adjustRightInd w:val="0"/>
        <w:snapToGrid w:val="0"/>
        <w:spacing w:line="360" w:lineRule="auto"/>
        <w:rPr>
          <w:rFonts w:ascii="Book Antiqua" w:hAnsi="Book Antiqua"/>
          <w:b/>
          <w:color w:val="000000"/>
          <w:sz w:val="24"/>
          <w:szCs w:val="24"/>
          <w:u w:val="single"/>
        </w:rPr>
      </w:pPr>
      <w:r w:rsidRPr="00DE7219">
        <w:rPr>
          <w:rFonts w:ascii="Book Antiqua" w:hAnsi="Book Antiqua"/>
          <w:b/>
          <w:color w:val="000000"/>
          <w:sz w:val="24"/>
          <w:szCs w:val="24"/>
          <w:u w:val="single"/>
        </w:rPr>
        <w:t>ARTICLE HIGHLIGHTS</w:t>
      </w:r>
    </w:p>
    <w:p w14:paraId="784BA3B3"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background</w:t>
      </w:r>
    </w:p>
    <w:p w14:paraId="066016C8" w14:textId="2B13DCB2" w:rsidR="00FD094D" w:rsidRPr="00DE7219" w:rsidRDefault="00FD094D" w:rsidP="00DE7219">
      <w:pPr>
        <w:spacing w:line="360" w:lineRule="auto"/>
        <w:rPr>
          <w:rFonts w:ascii="Book Antiqua" w:hAnsi="Book Antiqua"/>
          <w:color w:val="000000"/>
          <w:sz w:val="24"/>
          <w:szCs w:val="24"/>
        </w:rPr>
      </w:pPr>
      <w:r w:rsidRPr="00DE7219">
        <w:rPr>
          <w:rFonts w:ascii="Book Antiqua" w:hAnsi="Book Antiqua"/>
          <w:color w:val="000000"/>
          <w:sz w:val="24"/>
          <w:szCs w:val="24"/>
        </w:rPr>
        <w:t>Gastroesophageal reflux disease (GERD) refers to the reflux of stomach contents causing troublesome symptoms and/or complications. When medical therapy is insufficient, surgical therapy is needed and, until now, Laparoscopic Fundoplication (LF) is the gold-standard method.</w:t>
      </w:r>
    </w:p>
    <w:p w14:paraId="41BC2C1C" w14:textId="77777777" w:rsidR="00FD094D" w:rsidRPr="00DE7219" w:rsidRDefault="00FD094D" w:rsidP="00DE7219">
      <w:pPr>
        <w:spacing w:line="360" w:lineRule="auto"/>
        <w:rPr>
          <w:rFonts w:ascii="Book Antiqua" w:hAnsi="Book Antiqua"/>
          <w:sz w:val="24"/>
          <w:szCs w:val="24"/>
        </w:rPr>
      </w:pPr>
    </w:p>
    <w:p w14:paraId="47A54494"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motivation</w:t>
      </w:r>
    </w:p>
    <w:p w14:paraId="4AA040EB" w14:textId="3BB0A669" w:rsidR="00FD094D" w:rsidRPr="00DE7219" w:rsidRDefault="00FD094D" w:rsidP="00DE7219">
      <w:pPr>
        <w:spacing w:line="360" w:lineRule="auto"/>
        <w:rPr>
          <w:rFonts w:ascii="Book Antiqua" w:hAnsi="Book Antiqua"/>
          <w:color w:val="000000"/>
          <w:sz w:val="24"/>
          <w:szCs w:val="24"/>
        </w:rPr>
      </w:pPr>
      <w:r w:rsidRPr="00DE7219">
        <w:rPr>
          <w:rFonts w:ascii="Book Antiqua" w:hAnsi="Book Antiqua"/>
          <w:color w:val="000000"/>
          <w:sz w:val="24"/>
          <w:szCs w:val="24"/>
        </w:rPr>
        <w:t>Magnetic sphincter augmentation (MSA) using the LINX</w:t>
      </w:r>
      <w:r w:rsidR="00FA48DE" w:rsidRPr="00DE7219">
        <w:rPr>
          <w:rFonts w:ascii="Book Antiqua" w:hAnsi="Book Antiqua"/>
          <w:color w:val="000000"/>
          <w:sz w:val="24"/>
          <w:szCs w:val="24"/>
          <w:vertAlign w:val="superscript"/>
        </w:rPr>
        <w:t>®</w:t>
      </w:r>
      <w:r w:rsidRPr="00DE7219">
        <w:rPr>
          <w:rFonts w:ascii="Book Antiqua" w:hAnsi="Book Antiqua"/>
          <w:color w:val="000000"/>
          <w:sz w:val="24"/>
          <w:szCs w:val="24"/>
        </w:rPr>
        <w:t xml:space="preserve"> reflux management system has recently appeared and questions standard treatments.</w:t>
      </w:r>
    </w:p>
    <w:p w14:paraId="7468AA57" w14:textId="77777777" w:rsidR="00FD094D" w:rsidRPr="00DE7219" w:rsidRDefault="00FD094D" w:rsidP="00DE7219">
      <w:pPr>
        <w:spacing w:line="360" w:lineRule="auto"/>
        <w:rPr>
          <w:rFonts w:ascii="Book Antiqua" w:hAnsi="Book Antiqua"/>
          <w:sz w:val="24"/>
          <w:szCs w:val="24"/>
        </w:rPr>
      </w:pPr>
    </w:p>
    <w:p w14:paraId="6452FF49"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 xml:space="preserve">Research objectives </w:t>
      </w:r>
    </w:p>
    <w:p w14:paraId="45EF6D1B" w14:textId="3FC0B6B8" w:rsidR="00FD094D" w:rsidRPr="00DE7219" w:rsidRDefault="00FD094D" w:rsidP="00DE7219">
      <w:pPr>
        <w:spacing w:line="360" w:lineRule="auto"/>
        <w:rPr>
          <w:rFonts w:ascii="Book Antiqua" w:hAnsi="Book Antiqua"/>
          <w:color w:val="000000"/>
          <w:sz w:val="24"/>
          <w:szCs w:val="24"/>
        </w:rPr>
      </w:pPr>
      <w:r w:rsidRPr="00DE7219">
        <w:rPr>
          <w:rFonts w:ascii="Book Antiqua" w:hAnsi="Book Antiqua"/>
          <w:color w:val="000000"/>
          <w:sz w:val="24"/>
          <w:szCs w:val="24"/>
        </w:rPr>
        <w:t>The purpose of this review is to investigate the device’s safety and efficacy in resolving GERD symptoms.</w:t>
      </w:r>
    </w:p>
    <w:p w14:paraId="5F2E9565" w14:textId="77777777" w:rsidR="00FD094D" w:rsidRPr="00DE7219" w:rsidRDefault="00FD094D" w:rsidP="00DE7219">
      <w:pPr>
        <w:spacing w:line="360" w:lineRule="auto"/>
        <w:rPr>
          <w:rFonts w:ascii="Book Antiqua" w:hAnsi="Book Antiqua"/>
          <w:sz w:val="24"/>
          <w:szCs w:val="24"/>
        </w:rPr>
      </w:pPr>
    </w:p>
    <w:p w14:paraId="5422875B"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methods</w:t>
      </w:r>
    </w:p>
    <w:p w14:paraId="5CE4B4CD" w14:textId="71B2A568" w:rsidR="00FD094D" w:rsidRPr="00DE7219" w:rsidRDefault="00FD094D"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Our systematic review based on the PRISMA guidelines. From inception to September 2019, we searched Medline, Clinicaltrials.gov, EMBASE, Cochrane Central Register of Controlled Trials CENTRAL databases</w:t>
      </w:r>
      <w:r w:rsidRPr="00DE7219">
        <w:rPr>
          <w:rFonts w:ascii="Book Antiqua" w:hAnsi="Book Antiqua"/>
          <w:sz w:val="24"/>
          <w:szCs w:val="24"/>
        </w:rPr>
        <w:t>.</w:t>
      </w:r>
    </w:p>
    <w:p w14:paraId="73D04B83" w14:textId="5BA79CD3" w:rsidR="00FD094D" w:rsidRPr="00DE7219" w:rsidRDefault="00FD094D" w:rsidP="00DE7219">
      <w:pPr>
        <w:spacing w:line="360" w:lineRule="auto"/>
        <w:rPr>
          <w:rFonts w:ascii="Book Antiqua" w:hAnsi="Book Antiqua"/>
          <w:sz w:val="24"/>
          <w:szCs w:val="24"/>
        </w:rPr>
      </w:pPr>
    </w:p>
    <w:p w14:paraId="2E2A3872"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results</w:t>
      </w:r>
    </w:p>
    <w:p w14:paraId="0065D1A3" w14:textId="3FDDDB8F" w:rsidR="00FD094D" w:rsidRPr="00DE7219" w:rsidRDefault="00FD094D"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 xml:space="preserve">Overall, </w:t>
      </w:r>
      <w:r w:rsidR="006224D7" w:rsidRPr="00DE7219">
        <w:rPr>
          <w:rFonts w:ascii="Book Antiqua" w:hAnsi="Book Antiqua"/>
          <w:color w:val="000000"/>
          <w:sz w:val="24"/>
          <w:szCs w:val="24"/>
        </w:rPr>
        <w:t xml:space="preserve">a total of </w:t>
      </w:r>
      <w:r w:rsidRPr="00DE7219">
        <w:rPr>
          <w:rFonts w:ascii="Book Antiqua" w:hAnsi="Book Antiqua"/>
          <w:color w:val="000000"/>
          <w:sz w:val="24"/>
          <w:szCs w:val="24"/>
        </w:rPr>
        <w:t xml:space="preserve">35 studies </w:t>
      </w:r>
      <w:r w:rsidR="006224D7" w:rsidRPr="00DE7219">
        <w:rPr>
          <w:rFonts w:ascii="Book Antiqua" w:hAnsi="Book Antiqua"/>
          <w:color w:val="000000"/>
          <w:sz w:val="24"/>
          <w:szCs w:val="24"/>
        </w:rPr>
        <w:t>were included in</w:t>
      </w:r>
      <w:r w:rsidRPr="00DE7219">
        <w:rPr>
          <w:rFonts w:ascii="Book Antiqua" w:hAnsi="Book Antiqua"/>
          <w:color w:val="000000"/>
          <w:sz w:val="24"/>
          <w:szCs w:val="24"/>
        </w:rPr>
        <w:t xml:space="preserve"> a total of 2511 MSA patients. Post-operative proton-pump inhibitor (PPI) cessation rates reached 100%, with less bloating symptoms and a better ability to belch or vomit in comparison to LF. Special patient groups (</w:t>
      </w:r>
      <w:r w:rsidRPr="00DE7219">
        <w:rPr>
          <w:rFonts w:ascii="Book Antiqua" w:hAnsi="Book Antiqua"/>
          <w:i/>
          <w:iCs/>
          <w:color w:val="000000"/>
          <w:sz w:val="24"/>
          <w:szCs w:val="24"/>
        </w:rPr>
        <w:t>e.g.</w:t>
      </w:r>
      <w:r w:rsidRPr="00DE7219">
        <w:rPr>
          <w:rFonts w:ascii="Book Antiqua" w:hAnsi="Book Antiqua"/>
          <w:color w:val="000000"/>
          <w:sz w:val="24"/>
          <w:szCs w:val="24"/>
        </w:rPr>
        <w:t>, bariatric or large hiatal-hernias) had promising results too. The most common postoperative complication was dysphagia ranging between 6% and 83%. Dilation due to dysphagia occurred in 8% of patients with typical inclusion criteria. Esophageal erosion may occur in up to 0.03% of patients. Furthermore, a recent trial indicated MSA as an efficient alternative to double-dose PPIs in moderate-to-severe GERD</w:t>
      </w:r>
      <w:r w:rsidRPr="00DE7219">
        <w:rPr>
          <w:rFonts w:ascii="Book Antiqua" w:eastAsia="Times New Roman" w:hAnsi="Book Antiqua"/>
          <w:sz w:val="24"/>
          <w:szCs w:val="24"/>
        </w:rPr>
        <w:t>.</w:t>
      </w:r>
    </w:p>
    <w:p w14:paraId="48382D2F" w14:textId="0E1C96CE" w:rsidR="00FD094D" w:rsidRPr="00DE7219" w:rsidRDefault="00FD094D" w:rsidP="00DE7219">
      <w:pPr>
        <w:spacing w:line="360" w:lineRule="auto"/>
        <w:rPr>
          <w:rFonts w:ascii="Book Antiqua" w:hAnsi="Book Antiqua"/>
          <w:sz w:val="24"/>
          <w:szCs w:val="24"/>
        </w:rPr>
      </w:pPr>
    </w:p>
    <w:p w14:paraId="09E868D3"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conclusions</w:t>
      </w:r>
    </w:p>
    <w:p w14:paraId="4A5EA225" w14:textId="77777777" w:rsidR="00FD094D" w:rsidRPr="00DE7219" w:rsidRDefault="00FD094D" w:rsidP="00DE7219">
      <w:pPr>
        <w:adjustRightInd w:val="0"/>
        <w:snapToGrid w:val="0"/>
        <w:spacing w:line="360" w:lineRule="auto"/>
        <w:rPr>
          <w:rFonts w:ascii="Book Antiqua" w:hAnsi="Book Antiqua"/>
          <w:sz w:val="24"/>
          <w:szCs w:val="24"/>
        </w:rPr>
      </w:pPr>
      <w:r w:rsidRPr="00DE7219">
        <w:rPr>
          <w:rFonts w:ascii="Book Antiqua" w:hAnsi="Book Antiqua"/>
          <w:color w:val="000000"/>
          <w:sz w:val="24"/>
          <w:szCs w:val="24"/>
        </w:rPr>
        <w:t>The findings</w:t>
      </w:r>
      <w:r w:rsidRPr="00DE7219">
        <w:rPr>
          <w:rFonts w:ascii="Book Antiqua" w:hAnsi="Book Antiqua"/>
          <w:b/>
          <w:color w:val="000000"/>
          <w:sz w:val="24"/>
          <w:szCs w:val="24"/>
        </w:rPr>
        <w:t xml:space="preserve"> </w:t>
      </w:r>
      <w:r w:rsidRPr="00DE7219">
        <w:rPr>
          <w:rFonts w:ascii="Book Antiqua" w:hAnsi="Book Antiqua"/>
          <w:color w:val="000000"/>
          <w:sz w:val="24"/>
          <w:szCs w:val="24"/>
        </w:rPr>
        <w:t>of our review suggest that</w:t>
      </w:r>
      <w:r w:rsidRPr="00DE7219">
        <w:rPr>
          <w:rFonts w:ascii="Book Antiqua" w:hAnsi="Book Antiqua"/>
          <w:sz w:val="24"/>
          <w:szCs w:val="24"/>
        </w:rPr>
        <w:t xml:space="preserve"> </w:t>
      </w:r>
      <w:r w:rsidRPr="00DE7219">
        <w:rPr>
          <w:rFonts w:ascii="Book Antiqua" w:hAnsi="Book Antiqua"/>
          <w:color w:val="000000"/>
          <w:sz w:val="24"/>
          <w:szCs w:val="24"/>
        </w:rPr>
        <w:t>MSA has the potential to bridge the treatment gap between maxed-out medical treatment and LF. However, further studies with longer follow-up are needed for a better elucidation of these results</w:t>
      </w:r>
      <w:r w:rsidRPr="00DE7219">
        <w:rPr>
          <w:rFonts w:ascii="Book Antiqua" w:eastAsia="Times New Roman" w:hAnsi="Book Antiqua"/>
          <w:sz w:val="24"/>
          <w:szCs w:val="24"/>
        </w:rPr>
        <w:t>.</w:t>
      </w:r>
    </w:p>
    <w:p w14:paraId="79D20A77" w14:textId="40076C5D" w:rsidR="00FD094D" w:rsidRPr="00DE7219" w:rsidRDefault="00FD094D" w:rsidP="00DE7219">
      <w:pPr>
        <w:spacing w:line="360" w:lineRule="auto"/>
        <w:rPr>
          <w:rFonts w:ascii="Book Antiqua" w:hAnsi="Book Antiqua"/>
          <w:sz w:val="24"/>
          <w:szCs w:val="24"/>
        </w:rPr>
      </w:pPr>
    </w:p>
    <w:p w14:paraId="446D83F7" w14:textId="77777777" w:rsidR="00FD094D" w:rsidRPr="00DE7219" w:rsidRDefault="00FD094D" w:rsidP="00DE7219">
      <w:pPr>
        <w:adjustRightInd w:val="0"/>
        <w:snapToGrid w:val="0"/>
        <w:spacing w:line="360" w:lineRule="auto"/>
        <w:rPr>
          <w:rFonts w:ascii="Book Antiqua" w:hAnsi="Book Antiqua"/>
          <w:b/>
          <w:i/>
          <w:color w:val="000000"/>
          <w:sz w:val="24"/>
          <w:szCs w:val="24"/>
        </w:rPr>
      </w:pPr>
      <w:r w:rsidRPr="00DE7219">
        <w:rPr>
          <w:rFonts w:ascii="Book Antiqua" w:hAnsi="Book Antiqua"/>
          <w:b/>
          <w:i/>
          <w:color w:val="000000"/>
          <w:sz w:val="24"/>
          <w:szCs w:val="24"/>
        </w:rPr>
        <w:t>Research perspectives</w:t>
      </w:r>
    </w:p>
    <w:p w14:paraId="2D5C03E6" w14:textId="53779D4A" w:rsidR="00FD094D" w:rsidRPr="00DE7219" w:rsidRDefault="00FD094D" w:rsidP="00DE7219">
      <w:pPr>
        <w:spacing w:line="360" w:lineRule="auto"/>
        <w:rPr>
          <w:rFonts w:ascii="Book Antiqua" w:hAnsi="Book Antiqua"/>
          <w:sz w:val="24"/>
          <w:szCs w:val="24"/>
        </w:rPr>
      </w:pPr>
      <w:r w:rsidRPr="00DE7219">
        <w:rPr>
          <w:rFonts w:ascii="Book Antiqua" w:hAnsi="Book Antiqua"/>
          <w:sz w:val="24"/>
          <w:szCs w:val="24"/>
        </w:rPr>
        <w:t>MSA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device is considered a safe procedure with excellent results. When compared with the gold standard, LF, MSA seems to have similar efficacy and safety profiles. Nonetheless, it also has some distinct advantages. These include shorter operative time, less technical variability, less interventions on the normal anatomy, less bloating symptoms and a better ability to belch or vomit. Moreover, promising results comparing the MSA procedure with double-dose PPIs in moderate-to-severe GERD exist. Overall, the results of our review enforce the notion that the MSA procedure has the potential to bridge the treatment gap between maxed-out dose of medical treatment and LF.</w:t>
      </w:r>
    </w:p>
    <w:p w14:paraId="77D51402" w14:textId="77777777" w:rsidR="00FD094D" w:rsidRPr="00DE7219" w:rsidRDefault="00FD094D" w:rsidP="00DE7219">
      <w:pPr>
        <w:spacing w:line="360" w:lineRule="auto"/>
        <w:rPr>
          <w:rFonts w:ascii="Book Antiqua" w:hAnsi="Book Antiqua"/>
          <w:sz w:val="24"/>
          <w:szCs w:val="24"/>
        </w:rPr>
      </w:pPr>
    </w:p>
    <w:p w14:paraId="21345129" w14:textId="6D770BED" w:rsidR="009727DA" w:rsidRPr="00DE7219" w:rsidRDefault="009727DA" w:rsidP="00DE7219">
      <w:pPr>
        <w:spacing w:line="360" w:lineRule="auto"/>
        <w:rPr>
          <w:rFonts w:ascii="Book Antiqua" w:hAnsi="Book Antiqua"/>
          <w:b/>
          <w:bCs/>
          <w:sz w:val="24"/>
          <w:szCs w:val="24"/>
        </w:rPr>
      </w:pPr>
      <w:r w:rsidRPr="00DE7219">
        <w:rPr>
          <w:rFonts w:ascii="Book Antiqua" w:hAnsi="Book Antiqua"/>
          <w:b/>
          <w:bCs/>
          <w:sz w:val="24"/>
          <w:szCs w:val="24"/>
        </w:rPr>
        <w:t>REFERENCES</w:t>
      </w:r>
    </w:p>
    <w:p w14:paraId="7E73C7F2" w14:textId="55B1CDE3"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 </w:t>
      </w:r>
      <w:r w:rsidRPr="00DE7219">
        <w:rPr>
          <w:rFonts w:ascii="Book Antiqua" w:hAnsi="Book Antiqua"/>
          <w:b/>
          <w:sz w:val="24"/>
          <w:szCs w:val="24"/>
        </w:rPr>
        <w:t>El-</w:t>
      </w:r>
      <w:proofErr w:type="spellStart"/>
      <w:r w:rsidRPr="00DE7219">
        <w:rPr>
          <w:rFonts w:ascii="Book Antiqua" w:hAnsi="Book Antiqua"/>
          <w:b/>
          <w:sz w:val="24"/>
          <w:szCs w:val="24"/>
        </w:rPr>
        <w:t>Serag</w:t>
      </w:r>
      <w:proofErr w:type="spellEnd"/>
      <w:r w:rsidRPr="00DE7219">
        <w:rPr>
          <w:rFonts w:ascii="Book Antiqua" w:hAnsi="Book Antiqua"/>
          <w:b/>
          <w:sz w:val="24"/>
          <w:szCs w:val="24"/>
        </w:rPr>
        <w:t xml:space="preserve"> HB</w:t>
      </w:r>
      <w:r w:rsidRPr="00DE7219">
        <w:rPr>
          <w:rFonts w:ascii="Book Antiqua" w:hAnsi="Book Antiqua"/>
          <w:sz w:val="24"/>
          <w:szCs w:val="24"/>
        </w:rPr>
        <w:t>, Sweet S, Winchester CC, Dent J. Update on the epidemiology of gastro-</w:t>
      </w:r>
      <w:proofErr w:type="spellStart"/>
      <w:r w:rsidRPr="00DE7219">
        <w:rPr>
          <w:rFonts w:ascii="Book Antiqua" w:hAnsi="Book Antiqua"/>
          <w:sz w:val="24"/>
          <w:szCs w:val="24"/>
        </w:rPr>
        <w:t>oesophageal</w:t>
      </w:r>
      <w:proofErr w:type="spellEnd"/>
      <w:r w:rsidRPr="00DE7219">
        <w:rPr>
          <w:rFonts w:ascii="Book Antiqua" w:hAnsi="Book Antiqua"/>
          <w:sz w:val="24"/>
          <w:szCs w:val="24"/>
        </w:rPr>
        <w:t xml:space="preserve"> reflux disease: a systematic review. </w:t>
      </w:r>
      <w:r w:rsidRPr="00DE7219">
        <w:rPr>
          <w:rFonts w:ascii="Book Antiqua" w:hAnsi="Book Antiqua"/>
          <w:i/>
          <w:sz w:val="24"/>
          <w:szCs w:val="24"/>
        </w:rPr>
        <w:t>Gut</w:t>
      </w:r>
      <w:r w:rsidRPr="00DE7219">
        <w:rPr>
          <w:rFonts w:ascii="Book Antiqua" w:hAnsi="Book Antiqua"/>
          <w:sz w:val="24"/>
          <w:szCs w:val="24"/>
        </w:rPr>
        <w:t xml:space="preserve"> 2014; </w:t>
      </w:r>
      <w:r w:rsidRPr="00DE7219">
        <w:rPr>
          <w:rFonts w:ascii="Book Antiqua" w:hAnsi="Book Antiqua"/>
          <w:b/>
          <w:sz w:val="24"/>
          <w:szCs w:val="24"/>
        </w:rPr>
        <w:t>63</w:t>
      </w:r>
      <w:r w:rsidRPr="00DE7219">
        <w:rPr>
          <w:rFonts w:ascii="Book Antiqua" w:hAnsi="Book Antiqua"/>
          <w:sz w:val="24"/>
          <w:szCs w:val="24"/>
        </w:rPr>
        <w:t>: 871-880 [PMID: 23853213 DOI: 10.1136/gutjnl-2012-304269]</w:t>
      </w:r>
    </w:p>
    <w:p w14:paraId="3ACA8693"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2 </w:t>
      </w:r>
      <w:proofErr w:type="spellStart"/>
      <w:r w:rsidRPr="00DE7219">
        <w:rPr>
          <w:rFonts w:ascii="Book Antiqua" w:hAnsi="Book Antiqua"/>
          <w:b/>
          <w:sz w:val="24"/>
          <w:szCs w:val="24"/>
        </w:rPr>
        <w:t>Vakil</w:t>
      </w:r>
      <w:proofErr w:type="spellEnd"/>
      <w:r w:rsidRPr="00DE7219">
        <w:rPr>
          <w:rFonts w:ascii="Book Antiqua" w:hAnsi="Book Antiqua"/>
          <w:b/>
          <w:sz w:val="24"/>
          <w:szCs w:val="24"/>
        </w:rPr>
        <w:t xml:space="preserve"> N</w:t>
      </w:r>
      <w:r w:rsidRPr="00DE7219">
        <w:rPr>
          <w:rFonts w:ascii="Book Antiqua" w:hAnsi="Book Antiqua"/>
          <w:sz w:val="24"/>
          <w:szCs w:val="24"/>
        </w:rPr>
        <w:t xml:space="preserve">, van </w:t>
      </w:r>
      <w:proofErr w:type="spellStart"/>
      <w:r w:rsidRPr="00DE7219">
        <w:rPr>
          <w:rFonts w:ascii="Book Antiqua" w:hAnsi="Book Antiqua"/>
          <w:sz w:val="24"/>
          <w:szCs w:val="24"/>
        </w:rPr>
        <w:t>Zanten</w:t>
      </w:r>
      <w:proofErr w:type="spellEnd"/>
      <w:r w:rsidRPr="00DE7219">
        <w:rPr>
          <w:rFonts w:ascii="Book Antiqua" w:hAnsi="Book Antiqua"/>
          <w:sz w:val="24"/>
          <w:szCs w:val="24"/>
        </w:rPr>
        <w:t xml:space="preserve"> SV, </w:t>
      </w:r>
      <w:proofErr w:type="spellStart"/>
      <w:r w:rsidRPr="00DE7219">
        <w:rPr>
          <w:rFonts w:ascii="Book Antiqua" w:hAnsi="Book Antiqua"/>
          <w:sz w:val="24"/>
          <w:szCs w:val="24"/>
        </w:rPr>
        <w:t>Kahrilas</w:t>
      </w:r>
      <w:proofErr w:type="spellEnd"/>
      <w:r w:rsidRPr="00DE7219">
        <w:rPr>
          <w:rFonts w:ascii="Book Antiqua" w:hAnsi="Book Antiqua"/>
          <w:sz w:val="24"/>
          <w:szCs w:val="24"/>
        </w:rPr>
        <w:t xml:space="preserve"> P, Dent J, Jones R; Global Consensus Group. The Montreal definition and classification of gastroesophageal reflux disease: a global evidence-based consensus. </w:t>
      </w:r>
      <w:r w:rsidRPr="00DE7219">
        <w:rPr>
          <w:rFonts w:ascii="Book Antiqua" w:hAnsi="Book Antiqua"/>
          <w:i/>
          <w:sz w:val="24"/>
          <w:szCs w:val="24"/>
        </w:rPr>
        <w:t>Am J Gastroenterol</w:t>
      </w:r>
      <w:r w:rsidRPr="00DE7219">
        <w:rPr>
          <w:rFonts w:ascii="Book Antiqua" w:hAnsi="Book Antiqua"/>
          <w:sz w:val="24"/>
          <w:szCs w:val="24"/>
        </w:rPr>
        <w:t xml:space="preserve"> 2006; </w:t>
      </w:r>
      <w:r w:rsidRPr="00DE7219">
        <w:rPr>
          <w:rFonts w:ascii="Book Antiqua" w:hAnsi="Book Antiqua"/>
          <w:b/>
          <w:sz w:val="24"/>
          <w:szCs w:val="24"/>
        </w:rPr>
        <w:t>101</w:t>
      </w:r>
      <w:r w:rsidRPr="00DE7219">
        <w:rPr>
          <w:rFonts w:ascii="Book Antiqua" w:hAnsi="Book Antiqua"/>
          <w:sz w:val="24"/>
          <w:szCs w:val="24"/>
        </w:rPr>
        <w:t>: 1900-20; quiz 1943 [PMID: 16928254 DOI: 10.1111/j.1572-0241.2006.00630.x]</w:t>
      </w:r>
    </w:p>
    <w:p w14:paraId="06999264"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3 </w:t>
      </w:r>
      <w:r w:rsidRPr="00DE7219">
        <w:rPr>
          <w:rFonts w:ascii="Book Antiqua" w:hAnsi="Book Antiqua"/>
          <w:b/>
          <w:sz w:val="24"/>
          <w:szCs w:val="24"/>
        </w:rPr>
        <w:t>Menezes MA</w:t>
      </w:r>
      <w:r w:rsidRPr="00DE7219">
        <w:rPr>
          <w:rFonts w:ascii="Book Antiqua" w:hAnsi="Book Antiqua"/>
          <w:sz w:val="24"/>
          <w:szCs w:val="24"/>
        </w:rPr>
        <w:t xml:space="preserve">, </w:t>
      </w:r>
      <w:proofErr w:type="spellStart"/>
      <w:r w:rsidRPr="00DE7219">
        <w:rPr>
          <w:rFonts w:ascii="Book Antiqua" w:hAnsi="Book Antiqua"/>
          <w:sz w:val="24"/>
          <w:szCs w:val="24"/>
        </w:rPr>
        <w:t>Herbella</w:t>
      </w:r>
      <w:proofErr w:type="spellEnd"/>
      <w:r w:rsidRPr="00DE7219">
        <w:rPr>
          <w:rFonts w:ascii="Book Antiqua" w:hAnsi="Book Antiqua"/>
          <w:sz w:val="24"/>
          <w:szCs w:val="24"/>
        </w:rPr>
        <w:t xml:space="preserve"> FAM. Pathophysiology of Gastroesophageal Reflux Disease. </w:t>
      </w:r>
      <w:r w:rsidRPr="00DE7219">
        <w:rPr>
          <w:rFonts w:ascii="Book Antiqua" w:hAnsi="Book Antiqua"/>
          <w:i/>
          <w:sz w:val="24"/>
          <w:szCs w:val="24"/>
        </w:rPr>
        <w:t>World J Surg</w:t>
      </w:r>
      <w:r w:rsidRPr="00DE7219">
        <w:rPr>
          <w:rFonts w:ascii="Book Antiqua" w:hAnsi="Book Antiqua"/>
          <w:sz w:val="24"/>
          <w:szCs w:val="24"/>
        </w:rPr>
        <w:t xml:space="preserve"> 2017; </w:t>
      </w:r>
      <w:r w:rsidRPr="00DE7219">
        <w:rPr>
          <w:rFonts w:ascii="Book Antiqua" w:hAnsi="Book Antiqua"/>
          <w:b/>
          <w:sz w:val="24"/>
          <w:szCs w:val="24"/>
        </w:rPr>
        <w:t>41</w:t>
      </w:r>
      <w:r w:rsidRPr="00DE7219">
        <w:rPr>
          <w:rFonts w:ascii="Book Antiqua" w:hAnsi="Book Antiqua"/>
          <w:sz w:val="24"/>
          <w:szCs w:val="24"/>
        </w:rPr>
        <w:t>: 1666-1671 [PMID: 28258452 DOI: 10.1007/s00268-017-3952-4]</w:t>
      </w:r>
    </w:p>
    <w:p w14:paraId="4C91C9C3"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4 </w:t>
      </w:r>
      <w:r w:rsidRPr="00DE7219">
        <w:rPr>
          <w:rFonts w:ascii="Book Antiqua" w:hAnsi="Book Antiqua"/>
          <w:b/>
          <w:sz w:val="24"/>
          <w:szCs w:val="24"/>
        </w:rPr>
        <w:t>Badillo R</w:t>
      </w:r>
      <w:r w:rsidRPr="00DE7219">
        <w:rPr>
          <w:rFonts w:ascii="Book Antiqua" w:hAnsi="Book Antiqua"/>
          <w:sz w:val="24"/>
          <w:szCs w:val="24"/>
        </w:rPr>
        <w:t xml:space="preserve">, Francis D. Diagnosis and treatment of gastroesophageal reflux disease. </w:t>
      </w:r>
      <w:r w:rsidRPr="00DE7219">
        <w:rPr>
          <w:rFonts w:ascii="Book Antiqua" w:hAnsi="Book Antiqua"/>
          <w:i/>
          <w:sz w:val="24"/>
          <w:szCs w:val="24"/>
        </w:rPr>
        <w:t xml:space="preserve">World 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Pharmacol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Ther</w:t>
      </w:r>
      <w:proofErr w:type="spellEnd"/>
      <w:r w:rsidRPr="00DE7219">
        <w:rPr>
          <w:rFonts w:ascii="Book Antiqua" w:hAnsi="Book Antiqua"/>
          <w:sz w:val="24"/>
          <w:szCs w:val="24"/>
        </w:rPr>
        <w:t xml:space="preserve"> 2014; </w:t>
      </w:r>
      <w:r w:rsidRPr="00DE7219">
        <w:rPr>
          <w:rFonts w:ascii="Book Antiqua" w:hAnsi="Book Antiqua"/>
          <w:b/>
          <w:sz w:val="24"/>
          <w:szCs w:val="24"/>
        </w:rPr>
        <w:t>5</w:t>
      </w:r>
      <w:r w:rsidRPr="00DE7219">
        <w:rPr>
          <w:rFonts w:ascii="Book Antiqua" w:hAnsi="Book Antiqua"/>
          <w:sz w:val="24"/>
          <w:szCs w:val="24"/>
        </w:rPr>
        <w:t>: 105-112 [PMID: 25133039 DOI: 10.4292/wjgpt.v5.i3.105]</w:t>
      </w:r>
    </w:p>
    <w:p w14:paraId="0FF629F7"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5 </w:t>
      </w:r>
      <w:proofErr w:type="spellStart"/>
      <w:r w:rsidRPr="00DE7219">
        <w:rPr>
          <w:rFonts w:ascii="Book Antiqua" w:hAnsi="Book Antiqua"/>
          <w:b/>
          <w:sz w:val="24"/>
          <w:szCs w:val="24"/>
        </w:rPr>
        <w:t>Malfertheiner</w:t>
      </w:r>
      <w:proofErr w:type="spellEnd"/>
      <w:r w:rsidRPr="00DE7219">
        <w:rPr>
          <w:rFonts w:ascii="Book Antiqua" w:hAnsi="Book Antiqua"/>
          <w:b/>
          <w:sz w:val="24"/>
          <w:szCs w:val="24"/>
        </w:rPr>
        <w:t xml:space="preserve"> P</w:t>
      </w:r>
      <w:r w:rsidRPr="00DE7219">
        <w:rPr>
          <w:rFonts w:ascii="Book Antiqua" w:hAnsi="Book Antiqua"/>
          <w:sz w:val="24"/>
          <w:szCs w:val="24"/>
        </w:rPr>
        <w:t xml:space="preserve">, </w:t>
      </w:r>
      <w:proofErr w:type="spellStart"/>
      <w:r w:rsidRPr="00DE7219">
        <w:rPr>
          <w:rFonts w:ascii="Book Antiqua" w:hAnsi="Book Antiqua"/>
          <w:sz w:val="24"/>
          <w:szCs w:val="24"/>
        </w:rPr>
        <w:t>Hallerbäck</w:t>
      </w:r>
      <w:proofErr w:type="spellEnd"/>
      <w:r w:rsidRPr="00DE7219">
        <w:rPr>
          <w:rFonts w:ascii="Book Antiqua" w:hAnsi="Book Antiqua"/>
          <w:sz w:val="24"/>
          <w:szCs w:val="24"/>
        </w:rPr>
        <w:t xml:space="preserve"> B. Clinical manifestations and complications of gastroesophageal reflux disease (GERD). </w:t>
      </w:r>
      <w:proofErr w:type="spellStart"/>
      <w:r w:rsidRPr="00DE7219">
        <w:rPr>
          <w:rFonts w:ascii="Book Antiqua" w:hAnsi="Book Antiqua"/>
          <w:i/>
          <w:sz w:val="24"/>
          <w:szCs w:val="24"/>
        </w:rPr>
        <w:t>Int</w:t>
      </w:r>
      <w:proofErr w:type="spellEnd"/>
      <w:r w:rsidRPr="00DE7219">
        <w:rPr>
          <w:rFonts w:ascii="Book Antiqua" w:hAnsi="Book Antiqua"/>
          <w:i/>
          <w:sz w:val="24"/>
          <w:szCs w:val="24"/>
        </w:rPr>
        <w:t xml:space="preserve"> J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Pract</w:t>
      </w:r>
      <w:proofErr w:type="spellEnd"/>
      <w:r w:rsidRPr="00DE7219">
        <w:rPr>
          <w:rFonts w:ascii="Book Antiqua" w:hAnsi="Book Antiqua"/>
          <w:sz w:val="24"/>
          <w:szCs w:val="24"/>
        </w:rPr>
        <w:t xml:space="preserve"> 2005; </w:t>
      </w:r>
      <w:r w:rsidRPr="00DE7219">
        <w:rPr>
          <w:rFonts w:ascii="Book Antiqua" w:hAnsi="Book Antiqua"/>
          <w:b/>
          <w:sz w:val="24"/>
          <w:szCs w:val="24"/>
        </w:rPr>
        <w:t>59</w:t>
      </w:r>
      <w:r w:rsidRPr="00DE7219">
        <w:rPr>
          <w:rFonts w:ascii="Book Antiqua" w:hAnsi="Book Antiqua"/>
          <w:sz w:val="24"/>
          <w:szCs w:val="24"/>
        </w:rPr>
        <w:t>: 346-355 [PMID: 15857335 DOI: 10.1111/j.1742-1241.2005.00370.x]</w:t>
      </w:r>
    </w:p>
    <w:p w14:paraId="71B4A053"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6 </w:t>
      </w:r>
      <w:proofErr w:type="spellStart"/>
      <w:r w:rsidRPr="00DE7219">
        <w:rPr>
          <w:rFonts w:ascii="Book Antiqua" w:hAnsi="Book Antiqua"/>
          <w:b/>
          <w:sz w:val="24"/>
          <w:szCs w:val="24"/>
        </w:rPr>
        <w:t>Parasa</w:t>
      </w:r>
      <w:proofErr w:type="spellEnd"/>
      <w:r w:rsidRPr="00DE7219">
        <w:rPr>
          <w:rFonts w:ascii="Book Antiqua" w:hAnsi="Book Antiqua"/>
          <w:b/>
          <w:sz w:val="24"/>
          <w:szCs w:val="24"/>
        </w:rPr>
        <w:t xml:space="preserve"> S</w:t>
      </w:r>
      <w:r w:rsidRPr="00DE7219">
        <w:rPr>
          <w:rFonts w:ascii="Book Antiqua" w:hAnsi="Book Antiqua"/>
          <w:sz w:val="24"/>
          <w:szCs w:val="24"/>
        </w:rPr>
        <w:t>, Sharma P. Complications of gastro-</w:t>
      </w:r>
      <w:proofErr w:type="spellStart"/>
      <w:r w:rsidRPr="00DE7219">
        <w:rPr>
          <w:rFonts w:ascii="Book Antiqua" w:hAnsi="Book Antiqua"/>
          <w:sz w:val="24"/>
          <w:szCs w:val="24"/>
        </w:rPr>
        <w:t>oesophageal</w:t>
      </w:r>
      <w:proofErr w:type="spellEnd"/>
      <w:r w:rsidRPr="00DE7219">
        <w:rPr>
          <w:rFonts w:ascii="Book Antiqua" w:hAnsi="Book Antiqua"/>
          <w:sz w:val="24"/>
          <w:szCs w:val="24"/>
        </w:rPr>
        <w:t xml:space="preserve"> reflux disease. </w:t>
      </w:r>
      <w:r w:rsidRPr="00DE7219">
        <w:rPr>
          <w:rFonts w:ascii="Book Antiqua" w:hAnsi="Book Antiqua"/>
          <w:i/>
          <w:sz w:val="24"/>
          <w:szCs w:val="24"/>
        </w:rPr>
        <w:t xml:space="preserve">Best </w:t>
      </w:r>
      <w:proofErr w:type="spellStart"/>
      <w:r w:rsidRPr="00DE7219">
        <w:rPr>
          <w:rFonts w:ascii="Book Antiqua" w:hAnsi="Book Antiqua"/>
          <w:i/>
          <w:sz w:val="24"/>
          <w:szCs w:val="24"/>
        </w:rPr>
        <w:t>Pract</w:t>
      </w:r>
      <w:proofErr w:type="spellEnd"/>
      <w:r w:rsidRPr="00DE7219">
        <w:rPr>
          <w:rFonts w:ascii="Book Antiqua" w:hAnsi="Book Antiqua"/>
          <w:i/>
          <w:sz w:val="24"/>
          <w:szCs w:val="24"/>
        </w:rPr>
        <w:t xml:space="preserve"> Res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2013; </w:t>
      </w:r>
      <w:r w:rsidRPr="00DE7219">
        <w:rPr>
          <w:rFonts w:ascii="Book Antiqua" w:hAnsi="Book Antiqua"/>
          <w:b/>
          <w:sz w:val="24"/>
          <w:szCs w:val="24"/>
        </w:rPr>
        <w:t>27</w:t>
      </w:r>
      <w:r w:rsidRPr="00DE7219">
        <w:rPr>
          <w:rFonts w:ascii="Book Antiqua" w:hAnsi="Book Antiqua"/>
          <w:sz w:val="24"/>
          <w:szCs w:val="24"/>
        </w:rPr>
        <w:t>: 433-442 [PMID: 23998980 DOI: 10.1016/j.bpg.2013.07.002]</w:t>
      </w:r>
    </w:p>
    <w:p w14:paraId="397787D0"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7 </w:t>
      </w:r>
      <w:r w:rsidRPr="00DE7219">
        <w:rPr>
          <w:rFonts w:ascii="Book Antiqua" w:hAnsi="Book Antiqua"/>
          <w:b/>
          <w:sz w:val="24"/>
          <w:szCs w:val="24"/>
        </w:rPr>
        <w:t>Katz PO</w:t>
      </w:r>
      <w:r w:rsidRPr="00DE7219">
        <w:rPr>
          <w:rFonts w:ascii="Book Antiqua" w:hAnsi="Book Antiqua"/>
          <w:sz w:val="24"/>
          <w:szCs w:val="24"/>
        </w:rPr>
        <w:t xml:space="preserve">, Gerson LB, Vela MF. Guidelines for the diagnosis and management of gastroesophageal reflux disease. </w:t>
      </w:r>
      <w:r w:rsidRPr="00DE7219">
        <w:rPr>
          <w:rFonts w:ascii="Book Antiqua" w:hAnsi="Book Antiqua"/>
          <w:i/>
          <w:sz w:val="24"/>
          <w:szCs w:val="24"/>
        </w:rPr>
        <w:t>Am J Gastroenterol</w:t>
      </w:r>
      <w:r w:rsidRPr="00DE7219">
        <w:rPr>
          <w:rFonts w:ascii="Book Antiqua" w:hAnsi="Book Antiqua"/>
          <w:sz w:val="24"/>
          <w:szCs w:val="24"/>
        </w:rPr>
        <w:t xml:space="preserve"> 2013; </w:t>
      </w:r>
      <w:r w:rsidRPr="00DE7219">
        <w:rPr>
          <w:rFonts w:ascii="Book Antiqua" w:hAnsi="Book Antiqua"/>
          <w:b/>
          <w:sz w:val="24"/>
          <w:szCs w:val="24"/>
        </w:rPr>
        <w:t>108</w:t>
      </w:r>
      <w:r w:rsidRPr="00DE7219">
        <w:rPr>
          <w:rFonts w:ascii="Book Antiqua" w:hAnsi="Book Antiqua"/>
          <w:sz w:val="24"/>
          <w:szCs w:val="24"/>
        </w:rPr>
        <w:t>: 308-28; quiz 329 [PMID: 23419381 DOI: 10.1038/ajg.2012.444]</w:t>
      </w:r>
    </w:p>
    <w:p w14:paraId="39A2138D"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8 </w:t>
      </w:r>
      <w:proofErr w:type="spellStart"/>
      <w:r w:rsidRPr="00DE7219">
        <w:rPr>
          <w:rFonts w:ascii="Book Antiqua" w:hAnsi="Book Antiqua"/>
          <w:b/>
          <w:sz w:val="24"/>
          <w:szCs w:val="24"/>
        </w:rPr>
        <w:t>Kahrilas</w:t>
      </w:r>
      <w:proofErr w:type="spellEnd"/>
      <w:r w:rsidRPr="00DE7219">
        <w:rPr>
          <w:rFonts w:ascii="Book Antiqua" w:hAnsi="Book Antiqua"/>
          <w:b/>
          <w:sz w:val="24"/>
          <w:szCs w:val="24"/>
        </w:rPr>
        <w:t xml:space="preserve"> PJ</w:t>
      </w:r>
      <w:r w:rsidRPr="00DE7219">
        <w:rPr>
          <w:rFonts w:ascii="Book Antiqua" w:hAnsi="Book Antiqua"/>
          <w:sz w:val="24"/>
          <w:szCs w:val="24"/>
        </w:rPr>
        <w:t xml:space="preserve">, </w:t>
      </w:r>
      <w:proofErr w:type="spellStart"/>
      <w:r w:rsidRPr="00DE7219">
        <w:rPr>
          <w:rFonts w:ascii="Book Antiqua" w:hAnsi="Book Antiqua"/>
          <w:sz w:val="24"/>
          <w:szCs w:val="24"/>
        </w:rPr>
        <w:t>Boeckxstaens</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Smout</w:t>
      </w:r>
      <w:proofErr w:type="spellEnd"/>
      <w:r w:rsidRPr="00DE7219">
        <w:rPr>
          <w:rFonts w:ascii="Book Antiqua" w:hAnsi="Book Antiqua"/>
          <w:sz w:val="24"/>
          <w:szCs w:val="24"/>
        </w:rPr>
        <w:t xml:space="preserve"> AJ. Management of the patient with incomplete response to PPI therapy. </w:t>
      </w:r>
      <w:r w:rsidRPr="00DE7219">
        <w:rPr>
          <w:rFonts w:ascii="Book Antiqua" w:hAnsi="Book Antiqua"/>
          <w:i/>
          <w:sz w:val="24"/>
          <w:szCs w:val="24"/>
        </w:rPr>
        <w:t xml:space="preserve">Best </w:t>
      </w:r>
      <w:proofErr w:type="spellStart"/>
      <w:r w:rsidRPr="00DE7219">
        <w:rPr>
          <w:rFonts w:ascii="Book Antiqua" w:hAnsi="Book Antiqua"/>
          <w:i/>
          <w:sz w:val="24"/>
          <w:szCs w:val="24"/>
        </w:rPr>
        <w:t>Pract</w:t>
      </w:r>
      <w:proofErr w:type="spellEnd"/>
      <w:r w:rsidRPr="00DE7219">
        <w:rPr>
          <w:rFonts w:ascii="Book Antiqua" w:hAnsi="Book Antiqua"/>
          <w:i/>
          <w:sz w:val="24"/>
          <w:szCs w:val="24"/>
        </w:rPr>
        <w:t xml:space="preserve"> Res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2013; </w:t>
      </w:r>
      <w:r w:rsidRPr="00DE7219">
        <w:rPr>
          <w:rFonts w:ascii="Book Antiqua" w:hAnsi="Book Antiqua"/>
          <w:b/>
          <w:sz w:val="24"/>
          <w:szCs w:val="24"/>
        </w:rPr>
        <w:t>27</w:t>
      </w:r>
      <w:r w:rsidRPr="00DE7219">
        <w:rPr>
          <w:rFonts w:ascii="Book Antiqua" w:hAnsi="Book Antiqua"/>
          <w:sz w:val="24"/>
          <w:szCs w:val="24"/>
        </w:rPr>
        <w:t>: 401-414 [PMID: 23998978 DOI: 10.1016/j.bpg.2013.06.005]</w:t>
      </w:r>
    </w:p>
    <w:p w14:paraId="19D4CBA9"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9 </w:t>
      </w:r>
      <w:r w:rsidRPr="00DE7219">
        <w:rPr>
          <w:rFonts w:ascii="Book Antiqua" w:hAnsi="Book Antiqua"/>
          <w:b/>
          <w:sz w:val="24"/>
          <w:szCs w:val="24"/>
        </w:rPr>
        <w:t>Moore M</w:t>
      </w:r>
      <w:r w:rsidRPr="00DE7219">
        <w:rPr>
          <w:rFonts w:ascii="Book Antiqua" w:hAnsi="Book Antiqua"/>
          <w:sz w:val="24"/>
          <w:szCs w:val="24"/>
        </w:rPr>
        <w:t xml:space="preserve">, </w:t>
      </w:r>
      <w:proofErr w:type="spellStart"/>
      <w:r w:rsidRPr="00DE7219">
        <w:rPr>
          <w:rFonts w:ascii="Book Antiqua" w:hAnsi="Book Antiqua"/>
          <w:sz w:val="24"/>
          <w:szCs w:val="24"/>
        </w:rPr>
        <w:t>Afaneh</w:t>
      </w:r>
      <w:proofErr w:type="spellEnd"/>
      <w:r w:rsidRPr="00DE7219">
        <w:rPr>
          <w:rFonts w:ascii="Book Antiqua" w:hAnsi="Book Antiqua"/>
          <w:sz w:val="24"/>
          <w:szCs w:val="24"/>
        </w:rPr>
        <w:t xml:space="preserve"> C, </w:t>
      </w:r>
      <w:proofErr w:type="spellStart"/>
      <w:r w:rsidRPr="00DE7219">
        <w:rPr>
          <w:rFonts w:ascii="Book Antiqua" w:hAnsi="Book Antiqua"/>
          <w:sz w:val="24"/>
          <w:szCs w:val="24"/>
        </w:rPr>
        <w:t>Benhuri</w:t>
      </w:r>
      <w:proofErr w:type="spellEnd"/>
      <w:r w:rsidRPr="00DE7219">
        <w:rPr>
          <w:rFonts w:ascii="Book Antiqua" w:hAnsi="Book Antiqua"/>
          <w:sz w:val="24"/>
          <w:szCs w:val="24"/>
        </w:rPr>
        <w:t xml:space="preserve"> D, </w:t>
      </w:r>
      <w:proofErr w:type="spellStart"/>
      <w:r w:rsidRPr="00DE7219">
        <w:rPr>
          <w:rFonts w:ascii="Book Antiqua" w:hAnsi="Book Antiqua"/>
          <w:sz w:val="24"/>
          <w:szCs w:val="24"/>
        </w:rPr>
        <w:t>Antonacci</w:t>
      </w:r>
      <w:proofErr w:type="spellEnd"/>
      <w:r w:rsidRPr="00DE7219">
        <w:rPr>
          <w:rFonts w:ascii="Book Antiqua" w:hAnsi="Book Antiqua"/>
          <w:sz w:val="24"/>
          <w:szCs w:val="24"/>
        </w:rPr>
        <w:t xml:space="preserve"> C, Abelson J, </w:t>
      </w:r>
      <w:proofErr w:type="spellStart"/>
      <w:r w:rsidRPr="00DE7219">
        <w:rPr>
          <w:rFonts w:ascii="Book Antiqua" w:hAnsi="Book Antiqua"/>
          <w:sz w:val="24"/>
          <w:szCs w:val="24"/>
        </w:rPr>
        <w:t>Zarnegar</w:t>
      </w:r>
      <w:proofErr w:type="spellEnd"/>
      <w:r w:rsidRPr="00DE7219">
        <w:rPr>
          <w:rFonts w:ascii="Book Antiqua" w:hAnsi="Book Antiqua"/>
          <w:sz w:val="24"/>
          <w:szCs w:val="24"/>
        </w:rPr>
        <w:t xml:space="preserve"> R. Gastroesophageal reflux disease: A review of surgical decision making. </w:t>
      </w:r>
      <w:r w:rsidRPr="00DE7219">
        <w:rPr>
          <w:rFonts w:ascii="Book Antiqua" w:hAnsi="Book Antiqua"/>
          <w:i/>
          <w:sz w:val="24"/>
          <w:szCs w:val="24"/>
        </w:rPr>
        <w:t xml:space="preserve">World 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2016; </w:t>
      </w:r>
      <w:r w:rsidRPr="00DE7219">
        <w:rPr>
          <w:rFonts w:ascii="Book Antiqua" w:hAnsi="Book Antiqua"/>
          <w:b/>
          <w:sz w:val="24"/>
          <w:szCs w:val="24"/>
        </w:rPr>
        <w:t>8</w:t>
      </w:r>
      <w:r w:rsidRPr="00DE7219">
        <w:rPr>
          <w:rFonts w:ascii="Book Antiqua" w:hAnsi="Book Antiqua"/>
          <w:sz w:val="24"/>
          <w:szCs w:val="24"/>
        </w:rPr>
        <w:t>: 77-83 [PMID: 26843915 DOI: 10.4240/wjgs.v8.i1.77]</w:t>
      </w:r>
    </w:p>
    <w:p w14:paraId="1395D828"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10 </w:t>
      </w:r>
      <w:proofErr w:type="spellStart"/>
      <w:r w:rsidRPr="00DE7219">
        <w:rPr>
          <w:rFonts w:ascii="Book Antiqua" w:hAnsi="Book Antiqua"/>
          <w:b/>
          <w:sz w:val="24"/>
          <w:szCs w:val="24"/>
        </w:rPr>
        <w:t>Triadafilopoulos</w:t>
      </w:r>
      <w:proofErr w:type="spellEnd"/>
      <w:r w:rsidRPr="00DE7219">
        <w:rPr>
          <w:rFonts w:ascii="Book Antiqua" w:hAnsi="Book Antiqua"/>
          <w:b/>
          <w:sz w:val="24"/>
          <w:szCs w:val="24"/>
        </w:rPr>
        <w:t xml:space="preserve"> G</w:t>
      </w:r>
      <w:r w:rsidRPr="00DE7219">
        <w:rPr>
          <w:rFonts w:ascii="Book Antiqua" w:hAnsi="Book Antiqua"/>
          <w:sz w:val="24"/>
          <w:szCs w:val="24"/>
        </w:rPr>
        <w:t xml:space="preserve">, </w:t>
      </w:r>
      <w:proofErr w:type="spellStart"/>
      <w:r w:rsidRPr="00DE7219">
        <w:rPr>
          <w:rFonts w:ascii="Book Antiqua" w:hAnsi="Book Antiqua"/>
          <w:sz w:val="24"/>
          <w:szCs w:val="24"/>
        </w:rPr>
        <w:t>Azagury</w:t>
      </w:r>
      <w:proofErr w:type="spellEnd"/>
      <w:r w:rsidRPr="00DE7219">
        <w:rPr>
          <w:rFonts w:ascii="Book Antiqua" w:hAnsi="Book Antiqua"/>
          <w:sz w:val="24"/>
          <w:szCs w:val="24"/>
        </w:rPr>
        <w:t xml:space="preserve"> D. How can we deal with the GERD treatment gap? </w:t>
      </w:r>
      <w:r w:rsidRPr="00DE7219">
        <w:rPr>
          <w:rFonts w:ascii="Book Antiqua" w:hAnsi="Book Antiqua"/>
          <w:i/>
          <w:sz w:val="24"/>
          <w:szCs w:val="24"/>
        </w:rPr>
        <w:t xml:space="preserve">Ann N Y </w:t>
      </w:r>
      <w:proofErr w:type="spellStart"/>
      <w:r w:rsidRPr="00DE7219">
        <w:rPr>
          <w:rFonts w:ascii="Book Antiqua" w:hAnsi="Book Antiqua"/>
          <w:i/>
          <w:sz w:val="24"/>
          <w:szCs w:val="24"/>
        </w:rPr>
        <w:t>Acad</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Sci</w:t>
      </w:r>
      <w:proofErr w:type="spellEnd"/>
      <w:r w:rsidRPr="00DE7219">
        <w:rPr>
          <w:rFonts w:ascii="Book Antiqua" w:hAnsi="Book Antiqua"/>
          <w:sz w:val="24"/>
          <w:szCs w:val="24"/>
        </w:rPr>
        <w:t xml:space="preserve"> 2016; </w:t>
      </w:r>
      <w:r w:rsidRPr="00DE7219">
        <w:rPr>
          <w:rFonts w:ascii="Book Antiqua" w:hAnsi="Book Antiqua"/>
          <w:b/>
          <w:sz w:val="24"/>
          <w:szCs w:val="24"/>
        </w:rPr>
        <w:t>1381</w:t>
      </w:r>
      <w:r w:rsidRPr="00DE7219">
        <w:rPr>
          <w:rFonts w:ascii="Book Antiqua" w:hAnsi="Book Antiqua"/>
          <w:sz w:val="24"/>
          <w:szCs w:val="24"/>
        </w:rPr>
        <w:t>: 14-20 [PMID: 27384084 DOI: 10.1111/nyas.13104]</w:t>
      </w:r>
    </w:p>
    <w:p w14:paraId="76922E20"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11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GI, Bona D, Lipham J, Ganz RA, Dunn D,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 Magnetic augmentation of the lower esophageal sphincter: results of a feasibility clinical trial. </w:t>
      </w:r>
      <w:r w:rsidRPr="00DE7219">
        <w:rPr>
          <w:rFonts w:ascii="Book Antiqua" w:hAnsi="Book Antiqua"/>
          <w:i/>
          <w:sz w:val="24"/>
          <w:szCs w:val="24"/>
        </w:rPr>
        <w:t xml:space="preserve">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2008; </w:t>
      </w:r>
      <w:r w:rsidRPr="00DE7219">
        <w:rPr>
          <w:rFonts w:ascii="Book Antiqua" w:hAnsi="Book Antiqua"/>
          <w:b/>
          <w:sz w:val="24"/>
          <w:szCs w:val="24"/>
        </w:rPr>
        <w:t>12</w:t>
      </w:r>
      <w:r w:rsidRPr="00DE7219">
        <w:rPr>
          <w:rFonts w:ascii="Book Antiqua" w:hAnsi="Book Antiqua"/>
          <w:sz w:val="24"/>
          <w:szCs w:val="24"/>
        </w:rPr>
        <w:t>: 2133-2140 [PMID: 18846406 DOI: 10.1007/s11605-008-0698-1]</w:t>
      </w:r>
    </w:p>
    <w:p w14:paraId="61007949"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12 </w:t>
      </w:r>
      <w:proofErr w:type="spellStart"/>
      <w:r w:rsidRPr="00DE7219">
        <w:rPr>
          <w:rFonts w:ascii="Book Antiqua" w:hAnsi="Book Antiqua"/>
          <w:b/>
          <w:sz w:val="24"/>
          <w:szCs w:val="24"/>
        </w:rPr>
        <w:t>Zadeh</w:t>
      </w:r>
      <w:proofErr w:type="spellEnd"/>
      <w:r w:rsidRPr="00DE7219">
        <w:rPr>
          <w:rFonts w:ascii="Book Antiqua" w:hAnsi="Book Antiqua"/>
          <w:b/>
          <w:sz w:val="24"/>
          <w:szCs w:val="24"/>
        </w:rPr>
        <w:t xml:space="preserve"> J</w:t>
      </w:r>
      <w:r w:rsidRPr="00DE7219">
        <w:rPr>
          <w:rFonts w:ascii="Book Antiqua" w:hAnsi="Book Antiqua"/>
          <w:sz w:val="24"/>
          <w:szCs w:val="24"/>
        </w:rPr>
        <w:t xml:space="preserve">, </w:t>
      </w:r>
      <w:proofErr w:type="spellStart"/>
      <w:r w:rsidRPr="00DE7219">
        <w:rPr>
          <w:rFonts w:ascii="Book Antiqua" w:hAnsi="Book Antiqua"/>
          <w:sz w:val="24"/>
          <w:szCs w:val="24"/>
        </w:rPr>
        <w:t>Andreoni</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Treitl</w:t>
      </w:r>
      <w:proofErr w:type="spellEnd"/>
      <w:r w:rsidRPr="00DE7219">
        <w:rPr>
          <w:rFonts w:ascii="Book Antiqua" w:hAnsi="Book Antiqua"/>
          <w:sz w:val="24"/>
          <w:szCs w:val="24"/>
        </w:rPr>
        <w:t xml:space="preserve"> D, Ben-David K. Spotlight on the </w:t>
      </w:r>
      <w:proofErr w:type="spellStart"/>
      <w:r w:rsidRPr="00DE7219">
        <w:rPr>
          <w:rFonts w:ascii="Book Antiqua" w:hAnsi="Book Antiqua"/>
          <w:sz w:val="24"/>
          <w:szCs w:val="24"/>
        </w:rPr>
        <w:t>Linx</w:t>
      </w:r>
      <w:proofErr w:type="spellEnd"/>
      <w:r w:rsidRPr="00DE7219">
        <w:rPr>
          <w:rFonts w:ascii="Book Antiqua" w:hAnsi="Book Antiqua"/>
          <w:sz w:val="24"/>
          <w:szCs w:val="24"/>
        </w:rPr>
        <w:t xml:space="preserve">™ Reflux Management System for the treatment of gastroesophageal reflux disease: evidence and research. </w:t>
      </w:r>
      <w:r w:rsidRPr="00DE7219">
        <w:rPr>
          <w:rFonts w:ascii="Book Antiqua" w:hAnsi="Book Antiqua"/>
          <w:i/>
          <w:sz w:val="24"/>
          <w:szCs w:val="24"/>
        </w:rPr>
        <w:t>Med Devices (</w:t>
      </w:r>
      <w:proofErr w:type="spellStart"/>
      <w:r w:rsidRPr="00DE7219">
        <w:rPr>
          <w:rFonts w:ascii="Book Antiqua" w:hAnsi="Book Antiqua"/>
          <w:i/>
          <w:sz w:val="24"/>
          <w:szCs w:val="24"/>
        </w:rPr>
        <w:t>Auckl</w:t>
      </w:r>
      <w:proofErr w:type="spellEnd"/>
      <w:r w:rsidRPr="00DE7219">
        <w:rPr>
          <w:rFonts w:ascii="Book Antiqua" w:hAnsi="Book Antiqua"/>
          <w:i/>
          <w:sz w:val="24"/>
          <w:szCs w:val="24"/>
        </w:rPr>
        <w:t>)</w:t>
      </w:r>
      <w:r w:rsidRPr="00DE7219">
        <w:rPr>
          <w:rFonts w:ascii="Book Antiqua" w:hAnsi="Book Antiqua"/>
          <w:sz w:val="24"/>
          <w:szCs w:val="24"/>
        </w:rPr>
        <w:t xml:space="preserve"> 2018; </w:t>
      </w:r>
      <w:r w:rsidRPr="00DE7219">
        <w:rPr>
          <w:rFonts w:ascii="Book Antiqua" w:hAnsi="Book Antiqua"/>
          <w:b/>
          <w:sz w:val="24"/>
          <w:szCs w:val="24"/>
        </w:rPr>
        <w:t>11</w:t>
      </w:r>
      <w:r w:rsidRPr="00DE7219">
        <w:rPr>
          <w:rFonts w:ascii="Book Antiqua" w:hAnsi="Book Antiqua"/>
          <w:sz w:val="24"/>
          <w:szCs w:val="24"/>
        </w:rPr>
        <w:t>: 291-300 [PMID: 30214323 DOI: 10.2147/MDER.S113679]</w:t>
      </w:r>
    </w:p>
    <w:p w14:paraId="6A39C281" w14:textId="7C454BC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13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Lipham JC,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TR. </w:t>
      </w:r>
      <w:proofErr w:type="gramStart"/>
      <w:r w:rsidRPr="00DE7219">
        <w:rPr>
          <w:rFonts w:ascii="Book Antiqua" w:hAnsi="Book Antiqua"/>
          <w:sz w:val="24"/>
          <w:szCs w:val="24"/>
        </w:rPr>
        <w:t>LINX(</w:t>
      </w:r>
      <w:proofErr w:type="gramEnd"/>
      <w:r w:rsidR="00FA48DE" w:rsidRPr="00DE7219">
        <w:rPr>
          <w:rFonts w:ascii="Book Antiqua" w:hAnsi="Book Antiqua"/>
          <w:sz w:val="24"/>
          <w:szCs w:val="24"/>
          <w:vertAlign w:val="superscript"/>
        </w:rPr>
        <w:t>®</w:t>
      </w:r>
      <w:r w:rsidRPr="00DE7219">
        <w:rPr>
          <w:rFonts w:ascii="Book Antiqua" w:hAnsi="Book Antiqua"/>
          <w:sz w:val="24"/>
          <w:szCs w:val="24"/>
        </w:rPr>
        <w:t xml:space="preserve">) Reflux Management System in chronic gastroesophageal reflux: a novel effective technology for restoring the natural barrier to reflux. </w:t>
      </w:r>
      <w:proofErr w:type="spellStart"/>
      <w:r w:rsidRPr="00DE7219">
        <w:rPr>
          <w:rFonts w:ascii="Book Antiqua" w:hAnsi="Book Antiqua"/>
          <w:i/>
          <w:sz w:val="24"/>
          <w:szCs w:val="24"/>
        </w:rPr>
        <w:t>Therap</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Adv</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2013; </w:t>
      </w:r>
      <w:r w:rsidRPr="00DE7219">
        <w:rPr>
          <w:rFonts w:ascii="Book Antiqua" w:hAnsi="Book Antiqua"/>
          <w:b/>
          <w:sz w:val="24"/>
          <w:szCs w:val="24"/>
        </w:rPr>
        <w:t>6</w:t>
      </w:r>
      <w:r w:rsidRPr="00DE7219">
        <w:rPr>
          <w:rFonts w:ascii="Book Antiqua" w:hAnsi="Book Antiqua"/>
          <w:sz w:val="24"/>
          <w:szCs w:val="24"/>
        </w:rPr>
        <w:t>: 261-268 [PMID: 23814607 DOI: 10.1177/1756283X13486311]</w:t>
      </w:r>
    </w:p>
    <w:p w14:paraId="44E7B8A9" w14:textId="6516923C"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14 </w:t>
      </w:r>
      <w:proofErr w:type="spellStart"/>
      <w:r w:rsidRPr="00DE7219">
        <w:rPr>
          <w:rFonts w:ascii="Book Antiqua" w:hAnsi="Book Antiqua"/>
          <w:b/>
          <w:sz w:val="24"/>
          <w:szCs w:val="24"/>
        </w:rPr>
        <w:t>Telem</w:t>
      </w:r>
      <w:proofErr w:type="spellEnd"/>
      <w:r w:rsidRPr="00DE7219">
        <w:rPr>
          <w:rFonts w:ascii="Book Antiqua" w:hAnsi="Book Antiqua"/>
          <w:b/>
          <w:sz w:val="24"/>
          <w:szCs w:val="24"/>
        </w:rPr>
        <w:t xml:space="preserve"> DA</w:t>
      </w:r>
      <w:r w:rsidRPr="00DE7219">
        <w:rPr>
          <w:rFonts w:ascii="Book Antiqua" w:hAnsi="Book Antiqua"/>
          <w:sz w:val="24"/>
          <w:szCs w:val="24"/>
        </w:rPr>
        <w:t xml:space="preserve">, Wright AS, Shah PC, </w:t>
      </w:r>
      <w:proofErr w:type="spellStart"/>
      <w:r w:rsidRPr="00DE7219">
        <w:rPr>
          <w:rFonts w:ascii="Book Antiqua" w:hAnsi="Book Antiqua"/>
          <w:sz w:val="24"/>
          <w:szCs w:val="24"/>
        </w:rPr>
        <w:t>Hutter</w:t>
      </w:r>
      <w:proofErr w:type="spellEnd"/>
      <w:r w:rsidRPr="00DE7219">
        <w:rPr>
          <w:rFonts w:ascii="Book Antiqua" w:hAnsi="Book Antiqua"/>
          <w:sz w:val="24"/>
          <w:szCs w:val="24"/>
        </w:rPr>
        <w:t xml:space="preserve"> MM. SAGES technology and value assessment committee (TAVAC) safety and effectiveness analysis: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reflux management system.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2017; </w:t>
      </w:r>
      <w:r w:rsidRPr="00DE7219">
        <w:rPr>
          <w:rFonts w:ascii="Book Antiqua" w:hAnsi="Book Antiqua"/>
          <w:b/>
          <w:sz w:val="24"/>
          <w:szCs w:val="24"/>
        </w:rPr>
        <w:t>31</w:t>
      </w:r>
      <w:r w:rsidRPr="00DE7219">
        <w:rPr>
          <w:rFonts w:ascii="Book Antiqua" w:hAnsi="Book Antiqua"/>
          <w:sz w:val="24"/>
          <w:szCs w:val="24"/>
        </w:rPr>
        <w:t>: 3811-3826 [PMID: 28842765 DOI: 10.1007/s00464-017-5813-5]</w:t>
      </w:r>
    </w:p>
    <w:p w14:paraId="08A41785"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15 </w:t>
      </w:r>
      <w:proofErr w:type="spellStart"/>
      <w:r w:rsidRPr="00DE7219">
        <w:rPr>
          <w:rFonts w:ascii="Book Antiqua" w:hAnsi="Book Antiqua"/>
          <w:b/>
          <w:sz w:val="24"/>
          <w:szCs w:val="24"/>
        </w:rPr>
        <w:t>Sheu</w:t>
      </w:r>
      <w:proofErr w:type="spellEnd"/>
      <w:r w:rsidRPr="00DE7219">
        <w:rPr>
          <w:rFonts w:ascii="Book Antiqua" w:hAnsi="Book Antiqua"/>
          <w:b/>
          <w:sz w:val="24"/>
          <w:szCs w:val="24"/>
        </w:rPr>
        <w:t xml:space="preserve"> EG</w:t>
      </w:r>
      <w:r w:rsidRPr="00DE7219">
        <w:rPr>
          <w:rFonts w:ascii="Book Antiqua" w:hAnsi="Book Antiqua"/>
          <w:sz w:val="24"/>
          <w:szCs w:val="24"/>
        </w:rPr>
        <w:t xml:space="preserve">, </w:t>
      </w:r>
      <w:proofErr w:type="spellStart"/>
      <w:r w:rsidRPr="00DE7219">
        <w:rPr>
          <w:rFonts w:ascii="Book Antiqua" w:hAnsi="Book Antiqua"/>
          <w:sz w:val="24"/>
          <w:szCs w:val="24"/>
        </w:rPr>
        <w:t>Rattner</w:t>
      </w:r>
      <w:proofErr w:type="spellEnd"/>
      <w:r w:rsidRPr="00DE7219">
        <w:rPr>
          <w:rFonts w:ascii="Book Antiqua" w:hAnsi="Book Antiqua"/>
          <w:sz w:val="24"/>
          <w:szCs w:val="24"/>
        </w:rPr>
        <w:t xml:space="preserve"> DW. Evaluation of the LINX </w:t>
      </w:r>
      <w:proofErr w:type="spellStart"/>
      <w:r w:rsidRPr="00DE7219">
        <w:rPr>
          <w:rFonts w:ascii="Book Antiqua" w:hAnsi="Book Antiqua"/>
          <w:sz w:val="24"/>
          <w:szCs w:val="24"/>
        </w:rPr>
        <w:t>antireflux</w:t>
      </w:r>
      <w:proofErr w:type="spellEnd"/>
      <w:r w:rsidRPr="00DE7219">
        <w:rPr>
          <w:rFonts w:ascii="Book Antiqua" w:hAnsi="Book Antiqua"/>
          <w:sz w:val="24"/>
          <w:szCs w:val="24"/>
        </w:rPr>
        <w:t xml:space="preserve"> procedure. </w:t>
      </w:r>
      <w:proofErr w:type="spellStart"/>
      <w:r w:rsidRPr="00DE7219">
        <w:rPr>
          <w:rFonts w:ascii="Book Antiqua" w:hAnsi="Book Antiqua"/>
          <w:i/>
          <w:sz w:val="24"/>
          <w:szCs w:val="24"/>
        </w:rPr>
        <w:t>Curr</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Opin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sz w:val="24"/>
          <w:szCs w:val="24"/>
        </w:rPr>
        <w:t xml:space="preserve"> 2015; </w:t>
      </w:r>
      <w:r w:rsidRPr="00DE7219">
        <w:rPr>
          <w:rFonts w:ascii="Book Antiqua" w:hAnsi="Book Antiqua"/>
          <w:b/>
          <w:sz w:val="24"/>
          <w:szCs w:val="24"/>
        </w:rPr>
        <w:t>31</w:t>
      </w:r>
      <w:r w:rsidRPr="00DE7219">
        <w:rPr>
          <w:rFonts w:ascii="Book Antiqua" w:hAnsi="Book Antiqua"/>
          <w:sz w:val="24"/>
          <w:szCs w:val="24"/>
        </w:rPr>
        <w:t>: 334-338 [PMID: 26039726 DOI: 10.1097/MOG.0000000000000189]</w:t>
      </w:r>
    </w:p>
    <w:p w14:paraId="1A2700EA"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16 </w:t>
      </w:r>
      <w:proofErr w:type="spellStart"/>
      <w:r w:rsidRPr="00DE7219">
        <w:rPr>
          <w:rFonts w:ascii="Book Antiqua" w:hAnsi="Book Antiqua"/>
          <w:b/>
          <w:sz w:val="24"/>
          <w:szCs w:val="24"/>
        </w:rPr>
        <w:t>Riegler</w:t>
      </w:r>
      <w:proofErr w:type="spellEnd"/>
      <w:r w:rsidRPr="00DE7219">
        <w:rPr>
          <w:rFonts w:ascii="Book Antiqua" w:hAnsi="Book Antiqua"/>
          <w:b/>
          <w:sz w:val="24"/>
          <w:szCs w:val="24"/>
        </w:rPr>
        <w:t xml:space="preserve"> M</w:t>
      </w:r>
      <w:r w:rsidRPr="00DE7219">
        <w:rPr>
          <w:rFonts w:ascii="Book Antiqua" w:hAnsi="Book Antiqua"/>
          <w:sz w:val="24"/>
          <w:szCs w:val="24"/>
        </w:rPr>
        <w:t xml:space="preserve">, </w:t>
      </w:r>
      <w:proofErr w:type="spellStart"/>
      <w:r w:rsidRPr="00DE7219">
        <w:rPr>
          <w:rFonts w:ascii="Book Antiqua" w:hAnsi="Book Antiqua"/>
          <w:sz w:val="24"/>
          <w:szCs w:val="24"/>
        </w:rPr>
        <w:t>Schoppman</w:t>
      </w:r>
      <w:proofErr w:type="spellEnd"/>
      <w:r w:rsidRPr="00DE7219">
        <w:rPr>
          <w:rFonts w:ascii="Book Antiqua" w:hAnsi="Book Antiqua"/>
          <w:sz w:val="24"/>
          <w:szCs w:val="24"/>
        </w:rPr>
        <w:t xml:space="preserve"> SF,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Ashton D, </w:t>
      </w:r>
      <w:proofErr w:type="spellStart"/>
      <w:r w:rsidRPr="00DE7219">
        <w:rPr>
          <w:rFonts w:ascii="Book Antiqua" w:hAnsi="Book Antiqua"/>
          <w:sz w:val="24"/>
          <w:szCs w:val="24"/>
        </w:rPr>
        <w:t>Horbach</w:t>
      </w:r>
      <w:proofErr w:type="spellEnd"/>
      <w:r w:rsidRPr="00DE7219">
        <w:rPr>
          <w:rFonts w:ascii="Book Antiqua" w:hAnsi="Book Antiqua"/>
          <w:sz w:val="24"/>
          <w:szCs w:val="24"/>
        </w:rPr>
        <w:t xml:space="preserve"> T, </w:t>
      </w:r>
      <w:proofErr w:type="spellStart"/>
      <w:r w:rsidRPr="00DE7219">
        <w:rPr>
          <w:rFonts w:ascii="Book Antiqua" w:hAnsi="Book Antiqua"/>
          <w:sz w:val="24"/>
          <w:szCs w:val="24"/>
        </w:rPr>
        <w:t>Kemen</w:t>
      </w:r>
      <w:proofErr w:type="spellEnd"/>
      <w:r w:rsidRPr="00DE7219">
        <w:rPr>
          <w:rFonts w:ascii="Book Antiqua" w:hAnsi="Book Antiqua"/>
          <w:sz w:val="24"/>
          <w:szCs w:val="24"/>
        </w:rPr>
        <w:t xml:space="preserve"> M. Magnetic sphincter augmentation and fundoplication for GERD in clinical practice: one-year results of a multicenter, prospective observational study.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2015; </w:t>
      </w:r>
      <w:r w:rsidRPr="00DE7219">
        <w:rPr>
          <w:rFonts w:ascii="Book Antiqua" w:hAnsi="Book Antiqua"/>
          <w:b/>
          <w:sz w:val="24"/>
          <w:szCs w:val="24"/>
        </w:rPr>
        <w:t>29</w:t>
      </w:r>
      <w:r w:rsidRPr="00DE7219">
        <w:rPr>
          <w:rFonts w:ascii="Book Antiqua" w:hAnsi="Book Antiqua"/>
          <w:sz w:val="24"/>
          <w:szCs w:val="24"/>
        </w:rPr>
        <w:t>: 1123-1129 [PMID: 25171881 DOI: 10.1007/s00464-014-3772-7]</w:t>
      </w:r>
    </w:p>
    <w:p w14:paraId="655AE24E"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17 </w:t>
      </w:r>
      <w:r w:rsidRPr="00DE7219">
        <w:rPr>
          <w:rFonts w:ascii="Book Antiqua" w:hAnsi="Book Antiqua"/>
          <w:b/>
          <w:sz w:val="24"/>
          <w:szCs w:val="24"/>
        </w:rPr>
        <w:t>Warren HF</w:t>
      </w:r>
      <w:r w:rsidRPr="00DE7219">
        <w:rPr>
          <w:rFonts w:ascii="Book Antiqua" w:hAnsi="Book Antiqua"/>
          <w:sz w:val="24"/>
          <w:szCs w:val="24"/>
        </w:rPr>
        <w:t xml:space="preserve">, Brown LM, </w:t>
      </w:r>
      <w:proofErr w:type="spellStart"/>
      <w:r w:rsidRPr="00DE7219">
        <w:rPr>
          <w:rFonts w:ascii="Book Antiqua" w:hAnsi="Book Antiqua"/>
          <w:sz w:val="24"/>
          <w:szCs w:val="24"/>
        </w:rPr>
        <w:t>Mihura</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Farivar</w:t>
      </w:r>
      <w:proofErr w:type="spellEnd"/>
      <w:r w:rsidRPr="00DE7219">
        <w:rPr>
          <w:rFonts w:ascii="Book Antiqua" w:hAnsi="Book Antiqua"/>
          <w:sz w:val="24"/>
          <w:szCs w:val="24"/>
        </w:rPr>
        <w:t xml:space="preserve"> AS, Aye RW, Louie BE. Factors influencing the outcome of magnetic sphincter augmentation for chronic gastroesophageal reflux disease.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2018; </w:t>
      </w:r>
      <w:r w:rsidRPr="00DE7219">
        <w:rPr>
          <w:rFonts w:ascii="Book Antiqua" w:hAnsi="Book Antiqua"/>
          <w:b/>
          <w:sz w:val="24"/>
          <w:szCs w:val="24"/>
        </w:rPr>
        <w:t>32</w:t>
      </w:r>
      <w:r w:rsidRPr="00DE7219">
        <w:rPr>
          <w:rFonts w:ascii="Book Antiqua" w:hAnsi="Book Antiqua"/>
          <w:sz w:val="24"/>
          <w:szCs w:val="24"/>
        </w:rPr>
        <w:t>: 405-412 [PMID: 28664433 DOI: 10.1007/s00464-017-5696-5]</w:t>
      </w:r>
    </w:p>
    <w:p w14:paraId="6AA8A73F" w14:textId="7777777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 xml:space="preserve">18 </w:t>
      </w:r>
      <w:r w:rsidRPr="00DE7219">
        <w:rPr>
          <w:rFonts w:ascii="Book Antiqua" w:hAnsi="Book Antiqua"/>
          <w:b/>
          <w:sz w:val="24"/>
          <w:szCs w:val="24"/>
        </w:rPr>
        <w:t>Buckley FP 3rd</w:t>
      </w:r>
      <w:r w:rsidRPr="00DE7219">
        <w:rPr>
          <w:rFonts w:ascii="Book Antiqua" w:hAnsi="Book Antiqua"/>
          <w:sz w:val="24"/>
          <w:szCs w:val="24"/>
        </w:rPr>
        <w:t xml:space="preserve">, Bell RCW, Freeman K, Doggett S, Heidrick R. Favorable results from a prospective evaluation of 200 patients with large hiatal hernias undergoing LINX magnetic sphincter augmentation.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2018; </w:t>
      </w:r>
      <w:r w:rsidRPr="00DE7219">
        <w:rPr>
          <w:rFonts w:ascii="Book Antiqua" w:hAnsi="Book Antiqua"/>
          <w:b/>
          <w:sz w:val="24"/>
          <w:szCs w:val="24"/>
        </w:rPr>
        <w:t>32</w:t>
      </w:r>
      <w:r w:rsidRPr="00DE7219">
        <w:rPr>
          <w:rFonts w:ascii="Book Antiqua" w:hAnsi="Book Antiqua"/>
          <w:sz w:val="24"/>
          <w:szCs w:val="24"/>
        </w:rPr>
        <w:t>: 1762-1768 [PMID: 28936790 DOI: 10.1007/s00464-017-5859-4]</w:t>
      </w:r>
    </w:p>
    <w:p w14:paraId="1D4CA2BA" w14:textId="31999083" w:rsidR="00C64960" w:rsidRPr="00DE7219" w:rsidRDefault="00267722" w:rsidP="00DE7219">
      <w:pPr>
        <w:spacing w:line="360" w:lineRule="auto"/>
        <w:rPr>
          <w:rFonts w:ascii="Book Antiqua" w:hAnsi="Book Antiqua"/>
          <w:sz w:val="24"/>
          <w:szCs w:val="24"/>
        </w:rPr>
      </w:pPr>
      <w:r w:rsidRPr="00DE7219">
        <w:rPr>
          <w:rFonts w:ascii="Book Antiqua" w:hAnsi="Book Antiqua"/>
          <w:sz w:val="24"/>
          <w:szCs w:val="24"/>
        </w:rPr>
        <w:t>19</w:t>
      </w:r>
      <w:r w:rsidR="00257958" w:rsidRPr="00DE7219">
        <w:rPr>
          <w:rFonts w:ascii="Book Antiqua" w:hAnsi="Book Antiqua"/>
          <w:sz w:val="24"/>
          <w:szCs w:val="24"/>
        </w:rPr>
        <w:t xml:space="preserve"> </w:t>
      </w:r>
      <w:proofErr w:type="spellStart"/>
      <w:r w:rsidR="00257958" w:rsidRPr="00DE7219">
        <w:rPr>
          <w:rFonts w:ascii="Book Antiqua" w:hAnsi="Book Antiqua"/>
          <w:b/>
          <w:sz w:val="24"/>
          <w:szCs w:val="24"/>
        </w:rPr>
        <w:t>Liberati</w:t>
      </w:r>
      <w:proofErr w:type="spellEnd"/>
      <w:r w:rsidR="00257958" w:rsidRPr="00DE7219">
        <w:rPr>
          <w:rFonts w:ascii="Book Antiqua" w:hAnsi="Book Antiqua"/>
          <w:b/>
          <w:sz w:val="24"/>
          <w:szCs w:val="24"/>
        </w:rPr>
        <w:t xml:space="preserve"> A</w:t>
      </w:r>
      <w:r w:rsidR="00257958" w:rsidRPr="00DE7219">
        <w:rPr>
          <w:rFonts w:ascii="Book Antiqua" w:hAnsi="Book Antiqua"/>
          <w:sz w:val="24"/>
          <w:szCs w:val="24"/>
        </w:rPr>
        <w:t xml:space="preserve">, Altman DG, </w:t>
      </w:r>
      <w:proofErr w:type="spellStart"/>
      <w:r w:rsidR="00257958" w:rsidRPr="00DE7219">
        <w:rPr>
          <w:rFonts w:ascii="Book Antiqua" w:hAnsi="Book Antiqua"/>
          <w:sz w:val="24"/>
          <w:szCs w:val="24"/>
        </w:rPr>
        <w:t>Tetzlaff</w:t>
      </w:r>
      <w:proofErr w:type="spellEnd"/>
      <w:r w:rsidR="00257958" w:rsidRPr="00DE7219">
        <w:rPr>
          <w:rFonts w:ascii="Book Antiqua" w:hAnsi="Book Antiqua"/>
          <w:sz w:val="24"/>
          <w:szCs w:val="24"/>
        </w:rPr>
        <w:t xml:space="preserve"> J, Mulrow C, </w:t>
      </w:r>
      <w:proofErr w:type="spellStart"/>
      <w:r w:rsidR="00257958" w:rsidRPr="00DE7219">
        <w:rPr>
          <w:rFonts w:ascii="Book Antiqua" w:hAnsi="Book Antiqua"/>
          <w:sz w:val="24"/>
          <w:szCs w:val="24"/>
        </w:rPr>
        <w:t>Gøtzsche</w:t>
      </w:r>
      <w:proofErr w:type="spellEnd"/>
      <w:r w:rsidR="00257958" w:rsidRPr="00DE7219">
        <w:rPr>
          <w:rFonts w:ascii="Book Antiqua" w:hAnsi="Book Antiqua"/>
          <w:sz w:val="24"/>
          <w:szCs w:val="24"/>
        </w:rPr>
        <w:t xml:space="preserve"> PC, Ioannidis JP, Clarke M, </w:t>
      </w:r>
      <w:proofErr w:type="spellStart"/>
      <w:r w:rsidR="00257958" w:rsidRPr="00DE7219">
        <w:rPr>
          <w:rFonts w:ascii="Book Antiqua" w:hAnsi="Book Antiqua"/>
          <w:sz w:val="24"/>
          <w:szCs w:val="24"/>
        </w:rPr>
        <w:t>Devereaux</w:t>
      </w:r>
      <w:proofErr w:type="spellEnd"/>
      <w:r w:rsidR="00257958" w:rsidRPr="00DE7219">
        <w:rPr>
          <w:rFonts w:ascii="Book Antiqua" w:hAnsi="Book Antiqua"/>
          <w:sz w:val="24"/>
          <w:szCs w:val="24"/>
        </w:rPr>
        <w:t xml:space="preserve"> PJ, </w:t>
      </w:r>
      <w:proofErr w:type="spellStart"/>
      <w:r w:rsidR="00257958" w:rsidRPr="00DE7219">
        <w:rPr>
          <w:rFonts w:ascii="Book Antiqua" w:hAnsi="Book Antiqua"/>
          <w:sz w:val="24"/>
          <w:szCs w:val="24"/>
        </w:rPr>
        <w:t>Kleijnen</w:t>
      </w:r>
      <w:proofErr w:type="spellEnd"/>
      <w:r w:rsidR="00257958" w:rsidRPr="00DE7219">
        <w:rPr>
          <w:rFonts w:ascii="Book Antiqua" w:hAnsi="Book Antiqua"/>
          <w:sz w:val="24"/>
          <w:szCs w:val="24"/>
        </w:rPr>
        <w:t xml:space="preserve"> J, Moher D. The PRISMA statement for reporting systematic reviews and meta-analyses of studies that evaluate health care interventions: explanation and elaboration. </w:t>
      </w:r>
      <w:r w:rsidR="00257958" w:rsidRPr="00DE7219">
        <w:rPr>
          <w:rFonts w:ascii="Book Antiqua" w:hAnsi="Book Antiqua"/>
          <w:i/>
          <w:sz w:val="24"/>
          <w:szCs w:val="24"/>
        </w:rPr>
        <w:t>Ann Intern Med</w:t>
      </w:r>
      <w:r w:rsidR="00257958" w:rsidRPr="00DE7219">
        <w:rPr>
          <w:rFonts w:ascii="Book Antiqua" w:hAnsi="Book Antiqua"/>
          <w:sz w:val="24"/>
          <w:szCs w:val="24"/>
        </w:rPr>
        <w:t xml:space="preserve"> 2009; </w:t>
      </w:r>
      <w:r w:rsidR="00257958" w:rsidRPr="00DE7219">
        <w:rPr>
          <w:rFonts w:ascii="Book Antiqua" w:hAnsi="Book Antiqua"/>
          <w:b/>
          <w:sz w:val="24"/>
          <w:szCs w:val="24"/>
        </w:rPr>
        <w:t>151</w:t>
      </w:r>
      <w:r w:rsidR="00257958" w:rsidRPr="00DE7219">
        <w:rPr>
          <w:rFonts w:ascii="Book Antiqua" w:hAnsi="Book Antiqua"/>
          <w:sz w:val="24"/>
          <w:szCs w:val="24"/>
        </w:rPr>
        <w:t>: W65-W94 [PMID: 19622512 DOI: 10.7326/0003-4819-151-4-200908180-00136]</w:t>
      </w:r>
    </w:p>
    <w:p w14:paraId="200B70CB" w14:textId="05E650FA"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0</w:t>
      </w:r>
      <w:r w:rsidRPr="00DE7219">
        <w:rPr>
          <w:rFonts w:ascii="Book Antiqua" w:hAnsi="Book Antiqua"/>
          <w:sz w:val="24"/>
          <w:szCs w:val="24"/>
        </w:rPr>
        <w:t xml:space="preserve">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 </w:t>
      </w:r>
      <w:proofErr w:type="spellStart"/>
      <w:r w:rsidRPr="00DE7219">
        <w:rPr>
          <w:rFonts w:ascii="Book Antiqua" w:hAnsi="Book Antiqua"/>
          <w:sz w:val="24"/>
          <w:szCs w:val="24"/>
        </w:rPr>
        <w:t>Fockens</w:t>
      </w:r>
      <w:proofErr w:type="spellEnd"/>
      <w:r w:rsidRPr="00DE7219">
        <w:rPr>
          <w:rFonts w:ascii="Book Antiqua" w:hAnsi="Book Antiqua"/>
          <w:sz w:val="24"/>
          <w:szCs w:val="24"/>
        </w:rPr>
        <w:t xml:space="preserve"> P, Dunn D,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Bona D, Lipham J, </w:t>
      </w:r>
      <w:proofErr w:type="spellStart"/>
      <w:r w:rsidRPr="00DE7219">
        <w:rPr>
          <w:rFonts w:ascii="Book Antiqua" w:hAnsi="Book Antiqua"/>
          <w:sz w:val="24"/>
          <w:szCs w:val="24"/>
        </w:rPr>
        <w:t>Bemelman</w:t>
      </w:r>
      <w:proofErr w:type="spellEnd"/>
      <w:r w:rsidRPr="00DE7219">
        <w:rPr>
          <w:rFonts w:ascii="Book Antiqua" w:hAnsi="Book Antiqua"/>
          <w:sz w:val="24"/>
          <w:szCs w:val="24"/>
        </w:rPr>
        <w:t xml:space="preserve"> W, Ganz RA. Laparoscopic sphincter augmentation device eliminates reflux symptoms and normalizes esophageal acid exposure: one- and 2-year results of a feasibility trial. </w:t>
      </w:r>
      <w:r w:rsidRPr="00DE7219">
        <w:rPr>
          <w:rFonts w:ascii="Book Antiqua" w:hAnsi="Book Antiqua"/>
          <w:i/>
          <w:sz w:val="24"/>
          <w:szCs w:val="24"/>
        </w:rPr>
        <w:t>Ann Surg</w:t>
      </w:r>
      <w:r w:rsidRPr="00DE7219">
        <w:rPr>
          <w:rFonts w:ascii="Book Antiqua" w:hAnsi="Book Antiqua"/>
          <w:sz w:val="24"/>
          <w:szCs w:val="24"/>
        </w:rPr>
        <w:t xml:space="preserve"> 2010; </w:t>
      </w:r>
      <w:r w:rsidRPr="00DE7219">
        <w:rPr>
          <w:rFonts w:ascii="Book Antiqua" w:hAnsi="Book Antiqua"/>
          <w:b/>
          <w:sz w:val="24"/>
          <w:szCs w:val="24"/>
        </w:rPr>
        <w:t>252</w:t>
      </w:r>
      <w:r w:rsidRPr="00DE7219">
        <w:rPr>
          <w:rFonts w:ascii="Book Antiqua" w:hAnsi="Book Antiqua"/>
          <w:sz w:val="24"/>
          <w:szCs w:val="24"/>
        </w:rPr>
        <w:t>: 857-862 [PMID: 21037442 DOI: 10.1097/SLA.0b013e3181fd879b]</w:t>
      </w:r>
    </w:p>
    <w:p w14:paraId="71F2F090" w14:textId="2713954B"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1</w:t>
      </w:r>
      <w:r w:rsidRPr="00DE7219">
        <w:rPr>
          <w:rFonts w:ascii="Book Antiqua" w:hAnsi="Book Antiqua"/>
          <w:sz w:val="24"/>
          <w:szCs w:val="24"/>
        </w:rPr>
        <w:t xml:space="preserve"> </w:t>
      </w:r>
      <w:r w:rsidRPr="00DE7219">
        <w:rPr>
          <w:rFonts w:ascii="Book Antiqua" w:hAnsi="Book Antiqua"/>
          <w:b/>
          <w:sz w:val="24"/>
          <w:szCs w:val="24"/>
        </w:rPr>
        <w:t>Lipham JC</w:t>
      </w:r>
      <w:r w:rsidRPr="00DE7219">
        <w:rPr>
          <w:rFonts w:ascii="Book Antiqua" w:hAnsi="Book Antiqua"/>
          <w:sz w:val="24"/>
          <w:szCs w:val="24"/>
        </w:rPr>
        <w:t xml:space="preserve">,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TR, Ganz RA,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Dunn DH, </w:t>
      </w:r>
      <w:proofErr w:type="spellStart"/>
      <w:r w:rsidRPr="00DE7219">
        <w:rPr>
          <w:rFonts w:ascii="Book Antiqua" w:hAnsi="Book Antiqua"/>
          <w:sz w:val="24"/>
          <w:szCs w:val="24"/>
        </w:rPr>
        <w:t>Fockens</w:t>
      </w:r>
      <w:proofErr w:type="spellEnd"/>
      <w:r w:rsidRPr="00DE7219">
        <w:rPr>
          <w:rFonts w:ascii="Book Antiqua" w:hAnsi="Book Antiqua"/>
          <w:sz w:val="24"/>
          <w:szCs w:val="24"/>
        </w:rPr>
        <w:t xml:space="preserve"> P, </w:t>
      </w:r>
      <w:proofErr w:type="spellStart"/>
      <w:r w:rsidRPr="00DE7219">
        <w:rPr>
          <w:rFonts w:ascii="Book Antiqua" w:hAnsi="Book Antiqua"/>
          <w:sz w:val="24"/>
          <w:szCs w:val="24"/>
        </w:rPr>
        <w:t>Bemelman</w:t>
      </w:r>
      <w:proofErr w:type="spellEnd"/>
      <w:r w:rsidRPr="00DE7219">
        <w:rPr>
          <w:rFonts w:ascii="Book Antiqua" w:hAnsi="Book Antiqua"/>
          <w:sz w:val="24"/>
          <w:szCs w:val="24"/>
        </w:rPr>
        <w:t xml:space="preserve"> W.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reflux management system: confirmed safety and efficacy now at 4 years.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2012; </w:t>
      </w:r>
      <w:r w:rsidRPr="00DE7219">
        <w:rPr>
          <w:rFonts w:ascii="Book Antiqua" w:hAnsi="Book Antiqua"/>
          <w:b/>
          <w:sz w:val="24"/>
          <w:szCs w:val="24"/>
        </w:rPr>
        <w:t>26</w:t>
      </w:r>
      <w:r w:rsidRPr="00DE7219">
        <w:rPr>
          <w:rFonts w:ascii="Book Antiqua" w:hAnsi="Book Antiqua"/>
          <w:sz w:val="24"/>
          <w:szCs w:val="24"/>
        </w:rPr>
        <w:t>: 2944-2949 [PMID: 22538694 DOI: 10.1007/s00464-012-2289-1]</w:t>
      </w:r>
    </w:p>
    <w:p w14:paraId="1003B5D5" w14:textId="1FE2F156"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2</w:t>
      </w:r>
      <w:r w:rsidRPr="00DE7219">
        <w:rPr>
          <w:rFonts w:ascii="Book Antiqua" w:hAnsi="Book Antiqua"/>
          <w:sz w:val="24"/>
          <w:szCs w:val="24"/>
        </w:rPr>
        <w:t xml:space="preserve"> </w:t>
      </w:r>
      <w:proofErr w:type="spellStart"/>
      <w:r w:rsidRPr="00DE7219">
        <w:rPr>
          <w:rFonts w:ascii="Book Antiqua" w:hAnsi="Book Antiqua"/>
          <w:b/>
          <w:sz w:val="24"/>
          <w:szCs w:val="24"/>
        </w:rPr>
        <w:t>Saino</w:t>
      </w:r>
      <w:proofErr w:type="spellEnd"/>
      <w:r w:rsidRPr="00DE7219">
        <w:rPr>
          <w:rFonts w:ascii="Book Antiqua" w:hAnsi="Book Antiqua"/>
          <w:b/>
          <w:sz w:val="24"/>
          <w:szCs w:val="24"/>
        </w:rPr>
        <w:t xml:space="preserve"> G</w:t>
      </w:r>
      <w:r w:rsidRPr="00DE7219">
        <w:rPr>
          <w:rFonts w:ascii="Book Antiqua" w:hAnsi="Book Antiqua"/>
          <w:sz w:val="24"/>
          <w:szCs w:val="24"/>
        </w:rPr>
        <w:t xml:space="preserve">,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Lipham JC, Dunn D, Ganz RA. Magnetic Sphincter Augmentation for Gastroesophageal Reflux at 5 Years: Final Results of a Pilot Study Show Long-Term Acid Reduction and Symptom Improvement. </w:t>
      </w:r>
      <w:r w:rsidRPr="00DE7219">
        <w:rPr>
          <w:rFonts w:ascii="Book Antiqua" w:hAnsi="Book Antiqua"/>
          <w:i/>
          <w:sz w:val="24"/>
          <w:szCs w:val="24"/>
        </w:rPr>
        <w:t xml:space="preserve">J </w:t>
      </w:r>
      <w:proofErr w:type="spellStart"/>
      <w:r w:rsidRPr="00DE7219">
        <w:rPr>
          <w:rFonts w:ascii="Book Antiqua" w:hAnsi="Book Antiqua"/>
          <w:i/>
          <w:sz w:val="24"/>
          <w:szCs w:val="24"/>
        </w:rPr>
        <w:t>Laparoendosc</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Adv</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Tech A</w:t>
      </w:r>
      <w:r w:rsidRPr="00DE7219">
        <w:rPr>
          <w:rFonts w:ascii="Book Antiqua" w:hAnsi="Book Antiqua"/>
          <w:sz w:val="24"/>
          <w:szCs w:val="24"/>
        </w:rPr>
        <w:t xml:space="preserve"> 2015; </w:t>
      </w:r>
      <w:r w:rsidRPr="00DE7219">
        <w:rPr>
          <w:rFonts w:ascii="Book Antiqua" w:hAnsi="Book Antiqua"/>
          <w:b/>
          <w:sz w:val="24"/>
          <w:szCs w:val="24"/>
        </w:rPr>
        <w:t>25</w:t>
      </w:r>
      <w:r w:rsidRPr="00DE7219">
        <w:rPr>
          <w:rFonts w:ascii="Book Antiqua" w:hAnsi="Book Antiqua"/>
          <w:sz w:val="24"/>
          <w:szCs w:val="24"/>
        </w:rPr>
        <w:t>: 787-792 [PMID: 26437027 DOI: 10.1089/lap.2015.0394]</w:t>
      </w:r>
    </w:p>
    <w:p w14:paraId="7963670B" w14:textId="25F642F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3</w:t>
      </w:r>
      <w:r w:rsidRPr="00DE7219">
        <w:rPr>
          <w:rFonts w:ascii="Book Antiqua" w:hAnsi="Book Antiqua"/>
          <w:sz w:val="24"/>
          <w:szCs w:val="24"/>
        </w:rPr>
        <w:t xml:space="preserve"> </w:t>
      </w:r>
      <w:r w:rsidRPr="00DE7219">
        <w:rPr>
          <w:rFonts w:ascii="Book Antiqua" w:hAnsi="Book Antiqua"/>
          <w:b/>
          <w:sz w:val="24"/>
          <w:szCs w:val="24"/>
        </w:rPr>
        <w:t>Ganz RA</w:t>
      </w:r>
      <w:r w:rsidRPr="00DE7219">
        <w:rPr>
          <w:rFonts w:ascii="Book Antiqua" w:hAnsi="Book Antiqua"/>
          <w:sz w:val="24"/>
          <w:szCs w:val="24"/>
        </w:rPr>
        <w:t xml:space="preserve">, Peters JH, Horgan S. Esophageal sphincter device for gastroesophageal reflux disease. </w:t>
      </w:r>
      <w:r w:rsidRPr="00DE7219">
        <w:rPr>
          <w:rFonts w:ascii="Book Antiqua" w:hAnsi="Book Antiqua"/>
          <w:i/>
          <w:sz w:val="24"/>
          <w:szCs w:val="24"/>
        </w:rPr>
        <w:t xml:space="preserve">N </w:t>
      </w:r>
      <w:proofErr w:type="spellStart"/>
      <w:r w:rsidRPr="00DE7219">
        <w:rPr>
          <w:rFonts w:ascii="Book Antiqua" w:hAnsi="Book Antiqua"/>
          <w:i/>
          <w:sz w:val="24"/>
          <w:szCs w:val="24"/>
        </w:rPr>
        <w:t>Engl</w:t>
      </w:r>
      <w:proofErr w:type="spellEnd"/>
      <w:r w:rsidRPr="00DE7219">
        <w:rPr>
          <w:rFonts w:ascii="Book Antiqua" w:hAnsi="Book Antiqua"/>
          <w:i/>
          <w:sz w:val="24"/>
          <w:szCs w:val="24"/>
        </w:rPr>
        <w:t xml:space="preserve"> J Med</w:t>
      </w:r>
      <w:r w:rsidRPr="00DE7219">
        <w:rPr>
          <w:rFonts w:ascii="Book Antiqua" w:hAnsi="Book Antiqua"/>
          <w:sz w:val="24"/>
          <w:szCs w:val="24"/>
        </w:rPr>
        <w:t xml:space="preserve"> 2013; </w:t>
      </w:r>
      <w:r w:rsidRPr="00DE7219">
        <w:rPr>
          <w:rFonts w:ascii="Book Antiqua" w:hAnsi="Book Antiqua"/>
          <w:b/>
          <w:sz w:val="24"/>
          <w:szCs w:val="24"/>
        </w:rPr>
        <w:t>368</w:t>
      </w:r>
      <w:r w:rsidRPr="00DE7219">
        <w:rPr>
          <w:rFonts w:ascii="Book Antiqua" w:hAnsi="Book Antiqua"/>
          <w:sz w:val="24"/>
          <w:szCs w:val="24"/>
        </w:rPr>
        <w:t>: 2039-2040 [PMID: 23697523 DOI: 10.1056/NEJMc1303656]</w:t>
      </w:r>
    </w:p>
    <w:p w14:paraId="757519D0" w14:textId="1EF634B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4</w:t>
      </w:r>
      <w:r w:rsidRPr="00DE7219">
        <w:rPr>
          <w:rFonts w:ascii="Book Antiqua" w:hAnsi="Book Antiqua"/>
          <w:sz w:val="24"/>
          <w:szCs w:val="24"/>
        </w:rPr>
        <w:t xml:space="preserve">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Saino</w:t>
      </w:r>
      <w:proofErr w:type="spellEnd"/>
      <w:r w:rsidRPr="00DE7219">
        <w:rPr>
          <w:rFonts w:ascii="Book Antiqua" w:hAnsi="Book Antiqua"/>
          <w:sz w:val="24"/>
          <w:szCs w:val="24"/>
        </w:rPr>
        <w:t xml:space="preserve"> G, Bona D, </w:t>
      </w:r>
      <w:proofErr w:type="spellStart"/>
      <w:r w:rsidRPr="00DE7219">
        <w:rPr>
          <w:rFonts w:ascii="Book Antiqua" w:hAnsi="Book Antiqua"/>
          <w:sz w:val="24"/>
          <w:szCs w:val="24"/>
        </w:rPr>
        <w:t>Sironi</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Lazzari</w:t>
      </w:r>
      <w:proofErr w:type="spellEnd"/>
      <w:r w:rsidRPr="00DE7219">
        <w:rPr>
          <w:rFonts w:ascii="Book Antiqua" w:hAnsi="Book Antiqua"/>
          <w:sz w:val="24"/>
          <w:szCs w:val="24"/>
        </w:rPr>
        <w:t xml:space="preserve"> V. One hundred consecutive patients treated with magnetic sphincter augmentation for gastroesophageal reflux disease: 6 years of clinical experience from a single center. </w:t>
      </w:r>
      <w:r w:rsidRPr="00DE7219">
        <w:rPr>
          <w:rFonts w:ascii="Book Antiqua" w:hAnsi="Book Antiqua"/>
          <w:i/>
          <w:sz w:val="24"/>
          <w:szCs w:val="24"/>
        </w:rPr>
        <w:t>J Am Coll Surg</w:t>
      </w:r>
      <w:r w:rsidRPr="00DE7219">
        <w:rPr>
          <w:rFonts w:ascii="Book Antiqua" w:hAnsi="Book Antiqua"/>
          <w:sz w:val="24"/>
          <w:szCs w:val="24"/>
        </w:rPr>
        <w:t xml:space="preserve"> 2013; </w:t>
      </w:r>
      <w:r w:rsidRPr="00DE7219">
        <w:rPr>
          <w:rFonts w:ascii="Book Antiqua" w:hAnsi="Book Antiqua"/>
          <w:b/>
          <w:sz w:val="24"/>
          <w:szCs w:val="24"/>
        </w:rPr>
        <w:t>217</w:t>
      </w:r>
      <w:r w:rsidRPr="00DE7219">
        <w:rPr>
          <w:rFonts w:ascii="Book Antiqua" w:hAnsi="Book Antiqua"/>
          <w:sz w:val="24"/>
          <w:szCs w:val="24"/>
        </w:rPr>
        <w:t>: 577-585 [PMID: 23856355 DOI: 10.1016/j.jamcollsurg.2013.04.039]</w:t>
      </w:r>
    </w:p>
    <w:p w14:paraId="286C347A" w14:textId="59B08E50"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5</w:t>
      </w:r>
      <w:r w:rsidRPr="00DE7219">
        <w:rPr>
          <w:rFonts w:ascii="Book Antiqua" w:hAnsi="Book Antiqua"/>
          <w:sz w:val="24"/>
          <w:szCs w:val="24"/>
        </w:rPr>
        <w:t xml:space="preserve"> </w:t>
      </w:r>
      <w:r w:rsidRPr="00DE7219">
        <w:rPr>
          <w:rFonts w:ascii="Book Antiqua" w:hAnsi="Book Antiqua"/>
          <w:b/>
          <w:sz w:val="24"/>
          <w:szCs w:val="24"/>
        </w:rPr>
        <w:t>Smith CD</w:t>
      </w:r>
      <w:r w:rsidRPr="00DE7219">
        <w:rPr>
          <w:rFonts w:ascii="Book Antiqua" w:hAnsi="Book Antiqua"/>
          <w:sz w:val="24"/>
          <w:szCs w:val="24"/>
        </w:rPr>
        <w:t xml:space="preserve">, </w:t>
      </w:r>
      <w:proofErr w:type="spellStart"/>
      <w:r w:rsidRPr="00DE7219">
        <w:rPr>
          <w:rFonts w:ascii="Book Antiqua" w:hAnsi="Book Antiqua"/>
          <w:sz w:val="24"/>
          <w:szCs w:val="24"/>
        </w:rPr>
        <w:t>DeVault</w:t>
      </w:r>
      <w:proofErr w:type="spellEnd"/>
      <w:r w:rsidRPr="00DE7219">
        <w:rPr>
          <w:rFonts w:ascii="Book Antiqua" w:hAnsi="Book Antiqua"/>
          <w:sz w:val="24"/>
          <w:szCs w:val="24"/>
        </w:rPr>
        <w:t xml:space="preserve"> KR, Buchanan M. Introduction of mechanical sphincter augmentation for gastroesophageal reflux disease into practice: early clinical outcomes and keys to successful adoption. </w:t>
      </w:r>
      <w:r w:rsidRPr="00DE7219">
        <w:rPr>
          <w:rFonts w:ascii="Book Antiqua" w:hAnsi="Book Antiqua"/>
          <w:i/>
          <w:sz w:val="24"/>
          <w:szCs w:val="24"/>
        </w:rPr>
        <w:t>J Am Coll Surg</w:t>
      </w:r>
      <w:r w:rsidRPr="00DE7219">
        <w:rPr>
          <w:rFonts w:ascii="Book Antiqua" w:hAnsi="Book Antiqua"/>
          <w:sz w:val="24"/>
          <w:szCs w:val="24"/>
        </w:rPr>
        <w:t xml:space="preserve"> 2014; </w:t>
      </w:r>
      <w:r w:rsidRPr="00DE7219">
        <w:rPr>
          <w:rFonts w:ascii="Book Antiqua" w:hAnsi="Book Antiqua"/>
          <w:b/>
          <w:sz w:val="24"/>
          <w:szCs w:val="24"/>
        </w:rPr>
        <w:t>218</w:t>
      </w:r>
      <w:r w:rsidRPr="00DE7219">
        <w:rPr>
          <w:rFonts w:ascii="Book Antiqua" w:hAnsi="Book Antiqua"/>
          <w:sz w:val="24"/>
          <w:szCs w:val="24"/>
        </w:rPr>
        <w:t>: 776-781 [PMID: 24529809 DOI: 10.1016/j.jamcollsurg.2013.12.034]</w:t>
      </w:r>
    </w:p>
    <w:p w14:paraId="5A260628" w14:textId="5AD8DB4B"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6</w:t>
      </w:r>
      <w:r w:rsidRPr="00DE7219">
        <w:rPr>
          <w:rFonts w:ascii="Book Antiqua" w:hAnsi="Book Antiqua"/>
          <w:sz w:val="24"/>
          <w:szCs w:val="24"/>
        </w:rPr>
        <w:t xml:space="preserve"> </w:t>
      </w:r>
      <w:r w:rsidRPr="00DE7219">
        <w:rPr>
          <w:rFonts w:ascii="Book Antiqua" w:hAnsi="Book Antiqua"/>
          <w:b/>
          <w:sz w:val="24"/>
          <w:szCs w:val="24"/>
        </w:rPr>
        <w:t>Ganz RA</w:t>
      </w:r>
      <w:r w:rsidRPr="00DE7219">
        <w:rPr>
          <w:rFonts w:ascii="Book Antiqua" w:hAnsi="Book Antiqua"/>
          <w:sz w:val="24"/>
          <w:szCs w:val="24"/>
        </w:rPr>
        <w:t xml:space="preserve">, </w:t>
      </w:r>
      <w:proofErr w:type="spellStart"/>
      <w:r w:rsidRPr="00DE7219">
        <w:rPr>
          <w:rFonts w:ascii="Book Antiqua" w:hAnsi="Book Antiqua"/>
          <w:sz w:val="24"/>
          <w:szCs w:val="24"/>
        </w:rPr>
        <w:t>Edmundowicz</w:t>
      </w:r>
      <w:proofErr w:type="spellEnd"/>
      <w:r w:rsidRPr="00DE7219">
        <w:rPr>
          <w:rFonts w:ascii="Book Antiqua" w:hAnsi="Book Antiqua"/>
          <w:sz w:val="24"/>
          <w:szCs w:val="24"/>
        </w:rPr>
        <w:t xml:space="preserve"> SA, </w:t>
      </w:r>
      <w:proofErr w:type="spellStart"/>
      <w:r w:rsidRPr="00DE7219">
        <w:rPr>
          <w:rFonts w:ascii="Book Antiqua" w:hAnsi="Book Antiqua"/>
          <w:sz w:val="24"/>
          <w:szCs w:val="24"/>
        </w:rPr>
        <w:t>Taiganides</w:t>
      </w:r>
      <w:proofErr w:type="spellEnd"/>
      <w:r w:rsidRPr="00DE7219">
        <w:rPr>
          <w:rFonts w:ascii="Book Antiqua" w:hAnsi="Book Antiqua"/>
          <w:sz w:val="24"/>
          <w:szCs w:val="24"/>
        </w:rPr>
        <w:t xml:space="preserve"> PA, Lipham JC, Smith CD, </w:t>
      </w:r>
      <w:proofErr w:type="spellStart"/>
      <w:r w:rsidRPr="00DE7219">
        <w:rPr>
          <w:rFonts w:ascii="Book Antiqua" w:hAnsi="Book Antiqua"/>
          <w:sz w:val="24"/>
          <w:szCs w:val="24"/>
        </w:rPr>
        <w:t>DeVault</w:t>
      </w:r>
      <w:proofErr w:type="spellEnd"/>
      <w:r w:rsidRPr="00DE7219">
        <w:rPr>
          <w:rFonts w:ascii="Book Antiqua" w:hAnsi="Book Antiqua"/>
          <w:sz w:val="24"/>
          <w:szCs w:val="24"/>
        </w:rPr>
        <w:t xml:space="preserve"> KR, Horgan S, Jacobsen G, </w:t>
      </w:r>
      <w:proofErr w:type="spellStart"/>
      <w:r w:rsidRPr="00DE7219">
        <w:rPr>
          <w:rFonts w:ascii="Book Antiqua" w:hAnsi="Book Antiqua"/>
          <w:sz w:val="24"/>
          <w:szCs w:val="24"/>
        </w:rPr>
        <w:t>Luketich</w:t>
      </w:r>
      <w:proofErr w:type="spellEnd"/>
      <w:r w:rsidRPr="00DE7219">
        <w:rPr>
          <w:rFonts w:ascii="Book Antiqua" w:hAnsi="Book Antiqua"/>
          <w:sz w:val="24"/>
          <w:szCs w:val="24"/>
        </w:rPr>
        <w:t xml:space="preserve"> JD, Smith CC, Schlack-</w:t>
      </w:r>
      <w:proofErr w:type="spellStart"/>
      <w:r w:rsidRPr="00DE7219">
        <w:rPr>
          <w:rFonts w:ascii="Book Antiqua" w:hAnsi="Book Antiqua"/>
          <w:sz w:val="24"/>
          <w:szCs w:val="24"/>
        </w:rPr>
        <w:t>Haerer</w:t>
      </w:r>
      <w:proofErr w:type="spellEnd"/>
      <w:r w:rsidRPr="00DE7219">
        <w:rPr>
          <w:rFonts w:ascii="Book Antiqua" w:hAnsi="Book Antiqua"/>
          <w:sz w:val="24"/>
          <w:szCs w:val="24"/>
        </w:rPr>
        <w:t xml:space="preserve"> SC, Kothari SN, Dunst CM, Watson TJ, Peters J, </w:t>
      </w:r>
      <w:proofErr w:type="spellStart"/>
      <w:r w:rsidRPr="00DE7219">
        <w:rPr>
          <w:rFonts w:ascii="Book Antiqua" w:hAnsi="Book Antiqua"/>
          <w:sz w:val="24"/>
          <w:szCs w:val="24"/>
        </w:rPr>
        <w:t>Oelschlager</w:t>
      </w:r>
      <w:proofErr w:type="spellEnd"/>
      <w:r w:rsidRPr="00DE7219">
        <w:rPr>
          <w:rFonts w:ascii="Book Antiqua" w:hAnsi="Book Antiqua"/>
          <w:sz w:val="24"/>
          <w:szCs w:val="24"/>
        </w:rPr>
        <w:t xml:space="preserve"> BK, Perry KA, Melvin S, </w:t>
      </w:r>
      <w:proofErr w:type="spellStart"/>
      <w:r w:rsidRPr="00DE7219">
        <w:rPr>
          <w:rFonts w:ascii="Book Antiqua" w:hAnsi="Book Antiqua"/>
          <w:sz w:val="24"/>
          <w:szCs w:val="24"/>
        </w:rPr>
        <w:t>Bemelman</w:t>
      </w:r>
      <w:proofErr w:type="spellEnd"/>
      <w:r w:rsidRPr="00DE7219">
        <w:rPr>
          <w:rFonts w:ascii="Book Antiqua" w:hAnsi="Book Antiqua"/>
          <w:sz w:val="24"/>
          <w:szCs w:val="24"/>
        </w:rPr>
        <w:t xml:space="preserve"> WA, </w:t>
      </w:r>
      <w:proofErr w:type="spellStart"/>
      <w:r w:rsidRPr="00DE7219">
        <w:rPr>
          <w:rFonts w:ascii="Book Antiqua" w:hAnsi="Book Antiqua"/>
          <w:sz w:val="24"/>
          <w:szCs w:val="24"/>
        </w:rPr>
        <w:t>Smout</w:t>
      </w:r>
      <w:proofErr w:type="spellEnd"/>
      <w:r w:rsidRPr="00DE7219">
        <w:rPr>
          <w:rFonts w:ascii="Book Antiqua" w:hAnsi="Book Antiqua"/>
          <w:sz w:val="24"/>
          <w:szCs w:val="24"/>
        </w:rPr>
        <w:t xml:space="preserve"> AJ, Dunn D. Long-term Outcomes of Patients Receiving a Magnetic Sphincter Augmentation Device for Gastroesophageal Reflux. </w:t>
      </w:r>
      <w:proofErr w:type="spellStart"/>
      <w:r w:rsidRPr="00DE7219">
        <w:rPr>
          <w:rFonts w:ascii="Book Antiqua" w:hAnsi="Book Antiqua"/>
          <w:i/>
          <w:sz w:val="24"/>
          <w:szCs w:val="24"/>
        </w:rPr>
        <w:t>Clin</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Gastroenterol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Hepatol</w:t>
      </w:r>
      <w:proofErr w:type="spellEnd"/>
      <w:r w:rsidRPr="00DE7219">
        <w:rPr>
          <w:rFonts w:ascii="Book Antiqua" w:hAnsi="Book Antiqua"/>
          <w:sz w:val="24"/>
          <w:szCs w:val="24"/>
        </w:rPr>
        <w:t xml:space="preserve"> 2016; </w:t>
      </w:r>
      <w:r w:rsidRPr="00DE7219">
        <w:rPr>
          <w:rFonts w:ascii="Book Antiqua" w:hAnsi="Book Antiqua"/>
          <w:b/>
          <w:sz w:val="24"/>
          <w:szCs w:val="24"/>
        </w:rPr>
        <w:t>14</w:t>
      </w:r>
      <w:r w:rsidRPr="00DE7219">
        <w:rPr>
          <w:rFonts w:ascii="Book Antiqua" w:hAnsi="Book Antiqua"/>
          <w:sz w:val="24"/>
          <w:szCs w:val="24"/>
        </w:rPr>
        <w:t>: 671-677 [PMID: 26044316 DOI: 10.1016/j.cgh.2015.05.028]</w:t>
      </w:r>
    </w:p>
    <w:p w14:paraId="7FC72490" w14:textId="5BC84DA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7</w:t>
      </w:r>
      <w:r w:rsidRPr="00DE7219">
        <w:rPr>
          <w:rFonts w:ascii="Book Antiqua" w:hAnsi="Book Antiqua"/>
          <w:sz w:val="24"/>
          <w:szCs w:val="24"/>
        </w:rPr>
        <w:t xml:space="preserve"> </w:t>
      </w:r>
      <w:proofErr w:type="spellStart"/>
      <w:r w:rsidRPr="00DE7219">
        <w:rPr>
          <w:rFonts w:ascii="Book Antiqua" w:hAnsi="Book Antiqua"/>
          <w:b/>
          <w:sz w:val="24"/>
          <w:szCs w:val="24"/>
        </w:rPr>
        <w:t>Czosnyka</w:t>
      </w:r>
      <w:proofErr w:type="spellEnd"/>
      <w:r w:rsidRPr="00DE7219">
        <w:rPr>
          <w:rFonts w:ascii="Book Antiqua" w:hAnsi="Book Antiqua"/>
          <w:b/>
          <w:sz w:val="24"/>
          <w:szCs w:val="24"/>
        </w:rPr>
        <w:t xml:space="preserve"> NM</w:t>
      </w:r>
      <w:r w:rsidRPr="00DE7219">
        <w:rPr>
          <w:rFonts w:ascii="Book Antiqua" w:hAnsi="Book Antiqua"/>
          <w:sz w:val="24"/>
          <w:szCs w:val="24"/>
        </w:rPr>
        <w:t xml:space="preserve">, Buckley FP, Doggett SL, </w:t>
      </w:r>
      <w:proofErr w:type="spellStart"/>
      <w:r w:rsidRPr="00DE7219">
        <w:rPr>
          <w:rFonts w:ascii="Book Antiqua" w:hAnsi="Book Antiqua"/>
          <w:sz w:val="24"/>
          <w:szCs w:val="24"/>
        </w:rPr>
        <w:t>Vassaur</w:t>
      </w:r>
      <w:proofErr w:type="spellEnd"/>
      <w:r w:rsidRPr="00DE7219">
        <w:rPr>
          <w:rFonts w:ascii="Book Antiqua" w:hAnsi="Book Antiqua"/>
          <w:sz w:val="24"/>
          <w:szCs w:val="24"/>
        </w:rPr>
        <w:t xml:space="preserve"> H, Connolly EE, </w:t>
      </w:r>
      <w:proofErr w:type="spellStart"/>
      <w:r w:rsidRPr="00DE7219">
        <w:rPr>
          <w:rFonts w:ascii="Book Antiqua" w:hAnsi="Book Antiqua"/>
          <w:sz w:val="24"/>
          <w:szCs w:val="24"/>
        </w:rPr>
        <w:t>Borgert</w:t>
      </w:r>
      <w:proofErr w:type="spellEnd"/>
      <w:r w:rsidRPr="00DE7219">
        <w:rPr>
          <w:rFonts w:ascii="Book Antiqua" w:hAnsi="Book Antiqua"/>
          <w:sz w:val="24"/>
          <w:szCs w:val="24"/>
        </w:rPr>
        <w:t xml:space="preserve"> AJ, </w:t>
      </w:r>
      <w:proofErr w:type="spellStart"/>
      <w:r w:rsidRPr="00DE7219">
        <w:rPr>
          <w:rFonts w:ascii="Book Antiqua" w:hAnsi="Book Antiqua"/>
          <w:sz w:val="24"/>
          <w:szCs w:val="24"/>
        </w:rPr>
        <w:t>Kallies</w:t>
      </w:r>
      <w:proofErr w:type="spellEnd"/>
      <w:r w:rsidRPr="00DE7219">
        <w:rPr>
          <w:rFonts w:ascii="Book Antiqua" w:hAnsi="Book Antiqua"/>
          <w:sz w:val="24"/>
          <w:szCs w:val="24"/>
        </w:rPr>
        <w:t xml:space="preserve"> KJ, Kothari SN. Outcomes of magnetic sphincter augmentation - A community hospital perspective. </w:t>
      </w:r>
      <w:r w:rsidRPr="00DE7219">
        <w:rPr>
          <w:rFonts w:ascii="Book Antiqua" w:hAnsi="Book Antiqua"/>
          <w:i/>
          <w:sz w:val="24"/>
          <w:szCs w:val="24"/>
        </w:rPr>
        <w:t>Am J Surg</w:t>
      </w:r>
      <w:r w:rsidRPr="00DE7219">
        <w:rPr>
          <w:rFonts w:ascii="Book Antiqua" w:hAnsi="Book Antiqua"/>
          <w:sz w:val="24"/>
          <w:szCs w:val="24"/>
        </w:rPr>
        <w:t xml:space="preserve"> 2017; </w:t>
      </w:r>
      <w:r w:rsidRPr="00DE7219">
        <w:rPr>
          <w:rFonts w:ascii="Book Antiqua" w:hAnsi="Book Antiqua"/>
          <w:b/>
          <w:sz w:val="24"/>
          <w:szCs w:val="24"/>
        </w:rPr>
        <w:t>213</w:t>
      </w:r>
      <w:r w:rsidRPr="00DE7219">
        <w:rPr>
          <w:rFonts w:ascii="Book Antiqua" w:hAnsi="Book Antiqua"/>
          <w:sz w:val="24"/>
          <w:szCs w:val="24"/>
        </w:rPr>
        <w:t>: 1019-1023 [PMID: 27837903 DOI: 10.1016/j.amjsurg.2016.09.044]</w:t>
      </w:r>
    </w:p>
    <w:p w14:paraId="15D2A811" w14:textId="07215913"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2</w:t>
      </w:r>
      <w:r w:rsidR="00267722" w:rsidRPr="00DE7219">
        <w:rPr>
          <w:rFonts w:ascii="Book Antiqua" w:hAnsi="Book Antiqua"/>
          <w:sz w:val="24"/>
          <w:szCs w:val="24"/>
        </w:rPr>
        <w:t>8</w:t>
      </w:r>
      <w:r w:rsidRPr="00DE7219">
        <w:rPr>
          <w:rFonts w:ascii="Book Antiqua" w:hAnsi="Book Antiqua"/>
          <w:sz w:val="24"/>
          <w:szCs w:val="24"/>
        </w:rPr>
        <w:t xml:space="preserve"> </w:t>
      </w:r>
      <w:r w:rsidRPr="00DE7219">
        <w:rPr>
          <w:rFonts w:ascii="Book Antiqua" w:hAnsi="Book Antiqua"/>
          <w:b/>
          <w:sz w:val="24"/>
          <w:szCs w:val="24"/>
        </w:rPr>
        <w:t>Prakash D</w:t>
      </w:r>
      <w:r w:rsidRPr="00DE7219">
        <w:rPr>
          <w:rFonts w:ascii="Book Antiqua" w:hAnsi="Book Antiqua"/>
          <w:sz w:val="24"/>
          <w:szCs w:val="24"/>
        </w:rPr>
        <w:t xml:space="preserve">, Campbell B, </w:t>
      </w:r>
      <w:proofErr w:type="spellStart"/>
      <w:r w:rsidRPr="00DE7219">
        <w:rPr>
          <w:rFonts w:ascii="Book Antiqua" w:hAnsi="Book Antiqua"/>
          <w:sz w:val="24"/>
          <w:szCs w:val="24"/>
        </w:rPr>
        <w:t>Wajed</w:t>
      </w:r>
      <w:proofErr w:type="spellEnd"/>
      <w:r w:rsidRPr="00DE7219">
        <w:rPr>
          <w:rFonts w:ascii="Book Antiqua" w:hAnsi="Book Antiqua"/>
          <w:sz w:val="24"/>
          <w:szCs w:val="24"/>
        </w:rPr>
        <w:t xml:space="preserve"> S. Introduction into the NHS of magnetic sphincter augmentation: an innovative surgical therapy for reflux - results and challenges. </w:t>
      </w:r>
      <w:r w:rsidRPr="00DE7219">
        <w:rPr>
          <w:rFonts w:ascii="Book Antiqua" w:hAnsi="Book Antiqua"/>
          <w:i/>
          <w:sz w:val="24"/>
          <w:szCs w:val="24"/>
        </w:rPr>
        <w:t xml:space="preserve">Ann R </w:t>
      </w:r>
      <w:proofErr w:type="spellStart"/>
      <w:r w:rsidRPr="00DE7219">
        <w:rPr>
          <w:rFonts w:ascii="Book Antiqua" w:hAnsi="Book Antiqua"/>
          <w:i/>
          <w:sz w:val="24"/>
          <w:szCs w:val="24"/>
        </w:rPr>
        <w:t>Coll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Engl</w:t>
      </w:r>
      <w:proofErr w:type="spellEnd"/>
      <w:r w:rsidRPr="00DE7219">
        <w:rPr>
          <w:rFonts w:ascii="Book Antiqua" w:hAnsi="Book Antiqua"/>
          <w:sz w:val="24"/>
          <w:szCs w:val="24"/>
        </w:rPr>
        <w:t xml:space="preserve"> 2018; </w:t>
      </w:r>
      <w:r w:rsidRPr="00DE7219">
        <w:rPr>
          <w:rFonts w:ascii="Book Antiqua" w:hAnsi="Book Antiqua"/>
          <w:b/>
          <w:sz w:val="24"/>
          <w:szCs w:val="24"/>
        </w:rPr>
        <w:t>100</w:t>
      </w:r>
      <w:r w:rsidRPr="00DE7219">
        <w:rPr>
          <w:rFonts w:ascii="Book Antiqua" w:hAnsi="Book Antiqua"/>
          <w:sz w:val="24"/>
          <w:szCs w:val="24"/>
        </w:rPr>
        <w:t>: 251-256 [PMID: 29364013 DOI: 10.1308/rcsann.2017.0224]</w:t>
      </w:r>
    </w:p>
    <w:p w14:paraId="4D86627A" w14:textId="548A443A" w:rsidR="00C64960" w:rsidRPr="00DE7219" w:rsidRDefault="00267722" w:rsidP="00DE7219">
      <w:pPr>
        <w:spacing w:line="360" w:lineRule="auto"/>
        <w:rPr>
          <w:rFonts w:ascii="Book Antiqua" w:hAnsi="Book Antiqua"/>
          <w:sz w:val="24"/>
          <w:szCs w:val="24"/>
        </w:rPr>
      </w:pPr>
      <w:r w:rsidRPr="00DE7219">
        <w:rPr>
          <w:rFonts w:ascii="Book Antiqua" w:hAnsi="Book Antiqua"/>
          <w:sz w:val="24"/>
          <w:szCs w:val="24"/>
        </w:rPr>
        <w:t>29</w:t>
      </w:r>
      <w:r w:rsidR="00257958" w:rsidRPr="00DE7219">
        <w:rPr>
          <w:rFonts w:ascii="Book Antiqua" w:hAnsi="Book Antiqua"/>
          <w:sz w:val="24"/>
          <w:szCs w:val="24"/>
        </w:rPr>
        <w:t xml:space="preserve"> </w:t>
      </w:r>
      <w:proofErr w:type="spellStart"/>
      <w:r w:rsidR="00257958" w:rsidRPr="00DE7219">
        <w:rPr>
          <w:rFonts w:ascii="Book Antiqua" w:hAnsi="Book Antiqua"/>
          <w:b/>
          <w:sz w:val="24"/>
          <w:szCs w:val="24"/>
        </w:rPr>
        <w:t>Schwameis</w:t>
      </w:r>
      <w:proofErr w:type="spellEnd"/>
      <w:r w:rsidR="00257958" w:rsidRPr="00DE7219">
        <w:rPr>
          <w:rFonts w:ascii="Book Antiqua" w:hAnsi="Book Antiqua"/>
          <w:b/>
          <w:sz w:val="24"/>
          <w:szCs w:val="24"/>
        </w:rPr>
        <w:t xml:space="preserve"> K</w:t>
      </w:r>
      <w:r w:rsidR="00257958" w:rsidRPr="00DE7219">
        <w:rPr>
          <w:rFonts w:ascii="Book Antiqua" w:hAnsi="Book Antiqua"/>
          <w:sz w:val="24"/>
          <w:szCs w:val="24"/>
        </w:rPr>
        <w:t xml:space="preserve">, Nikolic M, Morales Castellano DG, </w:t>
      </w:r>
      <w:proofErr w:type="spellStart"/>
      <w:r w:rsidR="00257958" w:rsidRPr="00DE7219">
        <w:rPr>
          <w:rFonts w:ascii="Book Antiqua" w:hAnsi="Book Antiqua"/>
          <w:sz w:val="24"/>
          <w:szCs w:val="24"/>
        </w:rPr>
        <w:t>Steindl</w:t>
      </w:r>
      <w:proofErr w:type="spellEnd"/>
      <w:r w:rsidR="00257958" w:rsidRPr="00DE7219">
        <w:rPr>
          <w:rFonts w:ascii="Book Antiqua" w:hAnsi="Book Antiqua"/>
          <w:sz w:val="24"/>
          <w:szCs w:val="24"/>
        </w:rPr>
        <w:t xml:space="preserve"> A, </w:t>
      </w:r>
      <w:proofErr w:type="spellStart"/>
      <w:r w:rsidR="00257958" w:rsidRPr="00DE7219">
        <w:rPr>
          <w:rFonts w:ascii="Book Antiqua" w:hAnsi="Book Antiqua"/>
          <w:sz w:val="24"/>
          <w:szCs w:val="24"/>
        </w:rPr>
        <w:t>Macheck</w:t>
      </w:r>
      <w:proofErr w:type="spellEnd"/>
      <w:r w:rsidR="00257958" w:rsidRPr="00DE7219">
        <w:rPr>
          <w:rFonts w:ascii="Book Antiqua" w:hAnsi="Book Antiqua"/>
          <w:sz w:val="24"/>
          <w:szCs w:val="24"/>
        </w:rPr>
        <w:t xml:space="preserve"> S, </w:t>
      </w:r>
      <w:proofErr w:type="spellStart"/>
      <w:r w:rsidR="00257958" w:rsidRPr="00DE7219">
        <w:rPr>
          <w:rFonts w:ascii="Book Antiqua" w:hAnsi="Book Antiqua"/>
          <w:sz w:val="24"/>
          <w:szCs w:val="24"/>
        </w:rPr>
        <w:t>Kristo</w:t>
      </w:r>
      <w:proofErr w:type="spellEnd"/>
      <w:r w:rsidR="00257958" w:rsidRPr="00DE7219">
        <w:rPr>
          <w:rFonts w:ascii="Book Antiqua" w:hAnsi="Book Antiqua"/>
          <w:sz w:val="24"/>
          <w:szCs w:val="24"/>
        </w:rPr>
        <w:t xml:space="preserve"> I, </w:t>
      </w:r>
      <w:proofErr w:type="spellStart"/>
      <w:r w:rsidR="00257958" w:rsidRPr="00DE7219">
        <w:rPr>
          <w:rFonts w:ascii="Book Antiqua" w:hAnsi="Book Antiqua"/>
          <w:sz w:val="24"/>
          <w:szCs w:val="24"/>
        </w:rPr>
        <w:t>Zörner</w:t>
      </w:r>
      <w:proofErr w:type="spellEnd"/>
      <w:r w:rsidR="00257958" w:rsidRPr="00DE7219">
        <w:rPr>
          <w:rFonts w:ascii="Book Antiqua" w:hAnsi="Book Antiqua"/>
          <w:sz w:val="24"/>
          <w:szCs w:val="24"/>
        </w:rPr>
        <w:t xml:space="preserve"> B, </w:t>
      </w:r>
      <w:proofErr w:type="spellStart"/>
      <w:r w:rsidR="00257958" w:rsidRPr="00DE7219">
        <w:rPr>
          <w:rFonts w:ascii="Book Antiqua" w:hAnsi="Book Antiqua"/>
          <w:sz w:val="24"/>
          <w:szCs w:val="24"/>
        </w:rPr>
        <w:t>Schoppmann</w:t>
      </w:r>
      <w:proofErr w:type="spellEnd"/>
      <w:r w:rsidR="00257958" w:rsidRPr="00DE7219">
        <w:rPr>
          <w:rFonts w:ascii="Book Antiqua" w:hAnsi="Book Antiqua"/>
          <w:sz w:val="24"/>
          <w:szCs w:val="24"/>
        </w:rPr>
        <w:t xml:space="preserve"> SF. Results of Magnetic Sphincter Augmentation for Gastroesophageal Reflux Disease. </w:t>
      </w:r>
      <w:r w:rsidR="00257958" w:rsidRPr="00DE7219">
        <w:rPr>
          <w:rFonts w:ascii="Book Antiqua" w:hAnsi="Book Antiqua"/>
          <w:i/>
          <w:sz w:val="24"/>
          <w:szCs w:val="24"/>
        </w:rPr>
        <w:t>World J Surg</w:t>
      </w:r>
      <w:r w:rsidR="00257958" w:rsidRPr="00DE7219">
        <w:rPr>
          <w:rFonts w:ascii="Book Antiqua" w:hAnsi="Book Antiqua"/>
          <w:sz w:val="24"/>
          <w:szCs w:val="24"/>
        </w:rPr>
        <w:t xml:space="preserve"> 2018; </w:t>
      </w:r>
      <w:r w:rsidR="00257958" w:rsidRPr="00DE7219">
        <w:rPr>
          <w:rFonts w:ascii="Book Antiqua" w:hAnsi="Book Antiqua"/>
          <w:b/>
          <w:sz w:val="24"/>
          <w:szCs w:val="24"/>
        </w:rPr>
        <w:t>42</w:t>
      </w:r>
      <w:r w:rsidR="00257958" w:rsidRPr="00DE7219">
        <w:rPr>
          <w:rFonts w:ascii="Book Antiqua" w:hAnsi="Book Antiqua"/>
          <w:sz w:val="24"/>
          <w:szCs w:val="24"/>
        </w:rPr>
        <w:t>: 3263-3269 [PMID: 29619511 DOI: 10.1007/s00268-018-4608-8]</w:t>
      </w:r>
    </w:p>
    <w:p w14:paraId="377CB50B" w14:textId="576D095B"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0</w:t>
      </w:r>
      <w:r w:rsidRPr="00DE7219">
        <w:rPr>
          <w:rFonts w:ascii="Book Antiqua" w:hAnsi="Book Antiqua"/>
          <w:sz w:val="24"/>
          <w:szCs w:val="24"/>
        </w:rPr>
        <w:t xml:space="preserve"> </w:t>
      </w:r>
      <w:r w:rsidRPr="00DE7219">
        <w:rPr>
          <w:rFonts w:ascii="Book Antiqua" w:hAnsi="Book Antiqua"/>
          <w:b/>
          <w:sz w:val="24"/>
          <w:szCs w:val="24"/>
        </w:rPr>
        <w:t>Louie BE</w:t>
      </w:r>
      <w:r w:rsidRPr="00DE7219">
        <w:rPr>
          <w:rFonts w:ascii="Book Antiqua" w:hAnsi="Book Antiqua"/>
          <w:sz w:val="24"/>
          <w:szCs w:val="24"/>
        </w:rPr>
        <w:t xml:space="preserve">, Smith CD, Smith CC, Bell RCW, Gillian GK, Mandel JS, Perry KA, </w:t>
      </w:r>
      <w:proofErr w:type="spellStart"/>
      <w:r w:rsidRPr="00DE7219">
        <w:rPr>
          <w:rFonts w:ascii="Book Antiqua" w:hAnsi="Book Antiqua"/>
          <w:sz w:val="24"/>
          <w:szCs w:val="24"/>
        </w:rPr>
        <w:t>Birkenhagen</w:t>
      </w:r>
      <w:proofErr w:type="spellEnd"/>
      <w:r w:rsidRPr="00DE7219">
        <w:rPr>
          <w:rFonts w:ascii="Book Antiqua" w:hAnsi="Book Antiqua"/>
          <w:sz w:val="24"/>
          <w:szCs w:val="24"/>
        </w:rPr>
        <w:t xml:space="preserve"> WK, </w:t>
      </w:r>
      <w:proofErr w:type="spellStart"/>
      <w:r w:rsidRPr="00DE7219">
        <w:rPr>
          <w:rFonts w:ascii="Book Antiqua" w:hAnsi="Book Antiqua"/>
          <w:sz w:val="24"/>
          <w:szCs w:val="24"/>
        </w:rPr>
        <w:t>Taiganides</w:t>
      </w:r>
      <w:proofErr w:type="spellEnd"/>
      <w:r w:rsidRPr="00DE7219">
        <w:rPr>
          <w:rFonts w:ascii="Book Antiqua" w:hAnsi="Book Antiqua"/>
          <w:sz w:val="24"/>
          <w:szCs w:val="24"/>
        </w:rPr>
        <w:t xml:space="preserve"> PA, Dunst CM, McCollister HM, Lipham JC, </w:t>
      </w:r>
      <w:proofErr w:type="spellStart"/>
      <w:r w:rsidRPr="00DE7219">
        <w:rPr>
          <w:rFonts w:ascii="Book Antiqua" w:hAnsi="Book Antiqua"/>
          <w:sz w:val="24"/>
          <w:szCs w:val="24"/>
        </w:rPr>
        <w:t>Khaitan</w:t>
      </w:r>
      <w:proofErr w:type="spellEnd"/>
      <w:r w:rsidRPr="00DE7219">
        <w:rPr>
          <w:rFonts w:ascii="Book Antiqua" w:hAnsi="Book Antiqua"/>
          <w:sz w:val="24"/>
          <w:szCs w:val="24"/>
        </w:rPr>
        <w:t xml:space="preserve"> LK, </w:t>
      </w:r>
      <w:proofErr w:type="spellStart"/>
      <w:r w:rsidRPr="00DE7219">
        <w:rPr>
          <w:rFonts w:ascii="Book Antiqua" w:hAnsi="Book Antiqua"/>
          <w:sz w:val="24"/>
          <w:szCs w:val="24"/>
        </w:rPr>
        <w:t>Tsuda</w:t>
      </w:r>
      <w:proofErr w:type="spellEnd"/>
      <w:r w:rsidRPr="00DE7219">
        <w:rPr>
          <w:rFonts w:ascii="Book Antiqua" w:hAnsi="Book Antiqua"/>
          <w:sz w:val="24"/>
          <w:szCs w:val="24"/>
        </w:rPr>
        <w:t xml:space="preserve"> ST, </w:t>
      </w:r>
      <w:proofErr w:type="spellStart"/>
      <w:r w:rsidRPr="00DE7219">
        <w:rPr>
          <w:rFonts w:ascii="Book Antiqua" w:hAnsi="Book Antiqua"/>
          <w:sz w:val="24"/>
          <w:szCs w:val="24"/>
        </w:rPr>
        <w:t>Jobe</w:t>
      </w:r>
      <w:proofErr w:type="spellEnd"/>
      <w:r w:rsidRPr="00DE7219">
        <w:rPr>
          <w:rFonts w:ascii="Book Antiqua" w:hAnsi="Book Antiqua"/>
          <w:sz w:val="24"/>
          <w:szCs w:val="24"/>
        </w:rPr>
        <w:t xml:space="preserve"> BA, Kothari SN, Gould JC. Objective Evidence of Reflux Control After Magnetic Sphincter Augmentation: One Year Results From a Post Approval Study. </w:t>
      </w:r>
      <w:r w:rsidRPr="00DE7219">
        <w:rPr>
          <w:rFonts w:ascii="Book Antiqua" w:hAnsi="Book Antiqua"/>
          <w:i/>
          <w:sz w:val="24"/>
          <w:szCs w:val="24"/>
        </w:rPr>
        <w:t>Ann Surg</w:t>
      </w:r>
      <w:r w:rsidRPr="00DE7219">
        <w:rPr>
          <w:rFonts w:ascii="Book Antiqua" w:hAnsi="Book Antiqua"/>
          <w:sz w:val="24"/>
          <w:szCs w:val="24"/>
        </w:rPr>
        <w:t xml:space="preserve"> 2019; </w:t>
      </w:r>
      <w:r w:rsidRPr="00DE7219">
        <w:rPr>
          <w:rFonts w:ascii="Book Antiqua" w:hAnsi="Book Antiqua"/>
          <w:b/>
          <w:sz w:val="24"/>
          <w:szCs w:val="24"/>
        </w:rPr>
        <w:t>270</w:t>
      </w:r>
      <w:r w:rsidRPr="00DE7219">
        <w:rPr>
          <w:rFonts w:ascii="Book Antiqua" w:hAnsi="Book Antiqua"/>
          <w:sz w:val="24"/>
          <w:szCs w:val="24"/>
        </w:rPr>
        <w:t>: 302-308 [PMID: 29697454 DOI: 10.1097/SLA.0000000000002789]</w:t>
      </w:r>
    </w:p>
    <w:p w14:paraId="463A2EDA" w14:textId="3EEFF54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1</w:t>
      </w:r>
      <w:r w:rsidRPr="00DE7219">
        <w:rPr>
          <w:rFonts w:ascii="Book Antiqua" w:hAnsi="Book Antiqua"/>
          <w:sz w:val="24"/>
          <w:szCs w:val="24"/>
        </w:rPr>
        <w:t xml:space="preserve"> </w:t>
      </w:r>
      <w:r w:rsidRPr="00DE7219">
        <w:rPr>
          <w:rFonts w:ascii="Book Antiqua" w:hAnsi="Book Antiqua"/>
          <w:b/>
          <w:sz w:val="24"/>
          <w:szCs w:val="24"/>
        </w:rPr>
        <w:t>Louie BE</w:t>
      </w:r>
      <w:r w:rsidRPr="00DE7219">
        <w:rPr>
          <w:rFonts w:ascii="Book Antiqua" w:hAnsi="Book Antiqua"/>
          <w:sz w:val="24"/>
          <w:szCs w:val="24"/>
        </w:rPr>
        <w:t xml:space="preserve">, </w:t>
      </w:r>
      <w:proofErr w:type="spellStart"/>
      <w:r w:rsidRPr="00DE7219">
        <w:rPr>
          <w:rFonts w:ascii="Book Antiqua" w:hAnsi="Book Antiqua"/>
          <w:sz w:val="24"/>
          <w:szCs w:val="24"/>
        </w:rPr>
        <w:t>Farivar</w:t>
      </w:r>
      <w:proofErr w:type="spellEnd"/>
      <w:r w:rsidRPr="00DE7219">
        <w:rPr>
          <w:rFonts w:ascii="Book Antiqua" w:hAnsi="Book Antiqua"/>
          <w:sz w:val="24"/>
          <w:szCs w:val="24"/>
        </w:rPr>
        <w:t xml:space="preserve"> AS, Shultz D, Brennan C, </w:t>
      </w:r>
      <w:proofErr w:type="spellStart"/>
      <w:r w:rsidRPr="00DE7219">
        <w:rPr>
          <w:rFonts w:ascii="Book Antiqua" w:hAnsi="Book Antiqua"/>
          <w:sz w:val="24"/>
          <w:szCs w:val="24"/>
        </w:rPr>
        <w:t>Vallières</w:t>
      </w:r>
      <w:proofErr w:type="spellEnd"/>
      <w:r w:rsidRPr="00DE7219">
        <w:rPr>
          <w:rFonts w:ascii="Book Antiqua" w:hAnsi="Book Antiqua"/>
          <w:sz w:val="24"/>
          <w:szCs w:val="24"/>
        </w:rPr>
        <w:t xml:space="preserve"> E, Aye RW. Short-term outcomes using magnetic sphincter augmentation versus Nissen fundoplication for medically resistant gastroesophageal reflux disease. </w:t>
      </w:r>
      <w:r w:rsidRPr="00DE7219">
        <w:rPr>
          <w:rFonts w:ascii="Book Antiqua" w:hAnsi="Book Antiqua"/>
          <w:i/>
          <w:sz w:val="24"/>
          <w:szCs w:val="24"/>
        </w:rPr>
        <w:t xml:space="preserve">Ann </w:t>
      </w:r>
      <w:proofErr w:type="spellStart"/>
      <w:r w:rsidRPr="00DE7219">
        <w:rPr>
          <w:rFonts w:ascii="Book Antiqua" w:hAnsi="Book Antiqua"/>
          <w:i/>
          <w:sz w:val="24"/>
          <w:szCs w:val="24"/>
        </w:rPr>
        <w:t>Thorac</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2014; </w:t>
      </w:r>
      <w:r w:rsidRPr="00DE7219">
        <w:rPr>
          <w:rFonts w:ascii="Book Antiqua" w:hAnsi="Book Antiqua"/>
          <w:b/>
          <w:sz w:val="24"/>
          <w:szCs w:val="24"/>
        </w:rPr>
        <w:t>98</w:t>
      </w:r>
      <w:r w:rsidRPr="00DE7219">
        <w:rPr>
          <w:rFonts w:ascii="Book Antiqua" w:hAnsi="Book Antiqua"/>
          <w:sz w:val="24"/>
          <w:szCs w:val="24"/>
        </w:rPr>
        <w:t>: 498-504; discussion 504-5 [PMID: 24961840 DOI: 10.1016/j.athoracsur.2014.04.074]</w:t>
      </w:r>
    </w:p>
    <w:p w14:paraId="41244274" w14:textId="5787BFA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2</w:t>
      </w:r>
      <w:r w:rsidRPr="00DE7219">
        <w:rPr>
          <w:rFonts w:ascii="Book Antiqua" w:hAnsi="Book Antiqua"/>
          <w:sz w:val="24"/>
          <w:szCs w:val="24"/>
        </w:rPr>
        <w:t xml:space="preserve"> </w:t>
      </w:r>
      <w:proofErr w:type="spellStart"/>
      <w:r w:rsidRPr="00DE7219">
        <w:rPr>
          <w:rFonts w:ascii="Book Antiqua" w:hAnsi="Book Antiqua"/>
          <w:b/>
          <w:sz w:val="24"/>
          <w:szCs w:val="24"/>
        </w:rPr>
        <w:t>Sheu</w:t>
      </w:r>
      <w:proofErr w:type="spellEnd"/>
      <w:r w:rsidRPr="00DE7219">
        <w:rPr>
          <w:rFonts w:ascii="Book Antiqua" w:hAnsi="Book Antiqua"/>
          <w:b/>
          <w:sz w:val="24"/>
          <w:szCs w:val="24"/>
        </w:rPr>
        <w:t xml:space="preserve"> EG</w:t>
      </w:r>
      <w:r w:rsidRPr="00DE7219">
        <w:rPr>
          <w:rFonts w:ascii="Book Antiqua" w:hAnsi="Book Antiqua"/>
          <w:sz w:val="24"/>
          <w:szCs w:val="24"/>
        </w:rPr>
        <w:t xml:space="preserve">, </w:t>
      </w:r>
      <w:proofErr w:type="spellStart"/>
      <w:r w:rsidRPr="00DE7219">
        <w:rPr>
          <w:rFonts w:ascii="Book Antiqua" w:hAnsi="Book Antiqua"/>
          <w:sz w:val="24"/>
          <w:szCs w:val="24"/>
        </w:rPr>
        <w:t>Nau</w:t>
      </w:r>
      <w:proofErr w:type="spellEnd"/>
      <w:r w:rsidRPr="00DE7219">
        <w:rPr>
          <w:rFonts w:ascii="Book Antiqua" w:hAnsi="Book Antiqua"/>
          <w:sz w:val="24"/>
          <w:szCs w:val="24"/>
        </w:rPr>
        <w:t xml:space="preserve"> P, </w:t>
      </w:r>
      <w:proofErr w:type="spellStart"/>
      <w:r w:rsidRPr="00DE7219">
        <w:rPr>
          <w:rFonts w:ascii="Book Antiqua" w:hAnsi="Book Antiqua"/>
          <w:sz w:val="24"/>
          <w:szCs w:val="24"/>
        </w:rPr>
        <w:t>Nath</w:t>
      </w:r>
      <w:proofErr w:type="spellEnd"/>
      <w:r w:rsidRPr="00DE7219">
        <w:rPr>
          <w:rFonts w:ascii="Book Antiqua" w:hAnsi="Book Antiqua"/>
          <w:sz w:val="24"/>
          <w:szCs w:val="24"/>
        </w:rPr>
        <w:t xml:space="preserve"> B, </w:t>
      </w:r>
      <w:proofErr w:type="spellStart"/>
      <w:r w:rsidRPr="00DE7219">
        <w:rPr>
          <w:rFonts w:ascii="Book Antiqua" w:hAnsi="Book Antiqua"/>
          <w:sz w:val="24"/>
          <w:szCs w:val="24"/>
        </w:rPr>
        <w:t>Kuo</w:t>
      </w:r>
      <w:proofErr w:type="spellEnd"/>
      <w:r w:rsidRPr="00DE7219">
        <w:rPr>
          <w:rFonts w:ascii="Book Antiqua" w:hAnsi="Book Antiqua"/>
          <w:sz w:val="24"/>
          <w:szCs w:val="24"/>
        </w:rPr>
        <w:t xml:space="preserve"> B, </w:t>
      </w:r>
      <w:proofErr w:type="spellStart"/>
      <w:r w:rsidRPr="00DE7219">
        <w:rPr>
          <w:rFonts w:ascii="Book Antiqua" w:hAnsi="Book Antiqua"/>
          <w:sz w:val="24"/>
          <w:szCs w:val="24"/>
        </w:rPr>
        <w:t>Rattner</w:t>
      </w:r>
      <w:proofErr w:type="spellEnd"/>
      <w:r w:rsidRPr="00DE7219">
        <w:rPr>
          <w:rFonts w:ascii="Book Antiqua" w:hAnsi="Book Antiqua"/>
          <w:sz w:val="24"/>
          <w:szCs w:val="24"/>
        </w:rPr>
        <w:t xml:space="preserve"> DW. A comparative trial of laparoscopic magnetic sphincter augmentation and Nissen fundoplication.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2015; </w:t>
      </w:r>
      <w:r w:rsidRPr="00DE7219">
        <w:rPr>
          <w:rFonts w:ascii="Book Antiqua" w:hAnsi="Book Antiqua"/>
          <w:b/>
          <w:sz w:val="24"/>
          <w:szCs w:val="24"/>
        </w:rPr>
        <w:t>29</w:t>
      </w:r>
      <w:r w:rsidRPr="00DE7219">
        <w:rPr>
          <w:rFonts w:ascii="Book Antiqua" w:hAnsi="Book Antiqua"/>
          <w:sz w:val="24"/>
          <w:szCs w:val="24"/>
        </w:rPr>
        <w:t>: 505-509 [PMID: 25012804 DOI: 10.1007/s00464-014-3704-6]</w:t>
      </w:r>
    </w:p>
    <w:p w14:paraId="27162D24" w14:textId="0D389BAE"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3</w:t>
      </w:r>
      <w:r w:rsidRPr="00DE7219">
        <w:rPr>
          <w:rFonts w:ascii="Book Antiqua" w:hAnsi="Book Antiqua"/>
          <w:sz w:val="24"/>
          <w:szCs w:val="24"/>
        </w:rPr>
        <w:t xml:space="preserve"> </w:t>
      </w:r>
      <w:r w:rsidRPr="00DE7219">
        <w:rPr>
          <w:rFonts w:ascii="Book Antiqua" w:hAnsi="Book Antiqua"/>
          <w:b/>
          <w:sz w:val="24"/>
          <w:szCs w:val="24"/>
        </w:rPr>
        <w:t>Reynolds JL</w:t>
      </w:r>
      <w:r w:rsidRPr="00DE7219">
        <w:rPr>
          <w:rFonts w:ascii="Book Antiqua" w:hAnsi="Book Antiqua"/>
          <w:sz w:val="24"/>
          <w:szCs w:val="24"/>
        </w:rPr>
        <w:t xml:space="preserve">,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Wu P, Shah S,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Lipham JC. Laparoscopic Magnetic Sphincter Augmentation vs Laparoscopic Nissen Fundoplication: A Matched-Pair Analysis of 100 Patients. </w:t>
      </w:r>
      <w:r w:rsidRPr="00DE7219">
        <w:rPr>
          <w:rFonts w:ascii="Book Antiqua" w:hAnsi="Book Antiqua"/>
          <w:i/>
          <w:sz w:val="24"/>
          <w:szCs w:val="24"/>
        </w:rPr>
        <w:t>J Am Coll Surg</w:t>
      </w:r>
      <w:r w:rsidRPr="00DE7219">
        <w:rPr>
          <w:rFonts w:ascii="Book Antiqua" w:hAnsi="Book Antiqua"/>
          <w:sz w:val="24"/>
          <w:szCs w:val="24"/>
        </w:rPr>
        <w:t xml:space="preserve"> 2015; </w:t>
      </w:r>
      <w:r w:rsidRPr="00DE7219">
        <w:rPr>
          <w:rFonts w:ascii="Book Antiqua" w:hAnsi="Book Antiqua"/>
          <w:b/>
          <w:sz w:val="24"/>
          <w:szCs w:val="24"/>
        </w:rPr>
        <w:t>221</w:t>
      </w:r>
      <w:r w:rsidRPr="00DE7219">
        <w:rPr>
          <w:rFonts w:ascii="Book Antiqua" w:hAnsi="Book Antiqua"/>
          <w:sz w:val="24"/>
          <w:szCs w:val="24"/>
        </w:rPr>
        <w:t>: 123-128 [PMID: 26095560 DOI: 10.1016/j.jamcollsurg.2015.02.025]</w:t>
      </w:r>
    </w:p>
    <w:p w14:paraId="18CE7F1E" w14:textId="0DD78C34"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4</w:t>
      </w:r>
      <w:r w:rsidRPr="00DE7219">
        <w:rPr>
          <w:rFonts w:ascii="Book Antiqua" w:hAnsi="Book Antiqua"/>
          <w:sz w:val="24"/>
          <w:szCs w:val="24"/>
        </w:rPr>
        <w:t xml:space="preserve"> </w:t>
      </w:r>
      <w:r w:rsidRPr="00DE7219">
        <w:rPr>
          <w:rFonts w:ascii="Book Antiqua" w:hAnsi="Book Antiqua"/>
          <w:b/>
          <w:sz w:val="24"/>
          <w:szCs w:val="24"/>
        </w:rPr>
        <w:t>Warren HF</w:t>
      </w:r>
      <w:r w:rsidRPr="00DE7219">
        <w:rPr>
          <w:rFonts w:ascii="Book Antiqua" w:hAnsi="Book Antiqua"/>
          <w:sz w:val="24"/>
          <w:szCs w:val="24"/>
        </w:rPr>
        <w:t xml:space="preserve">, Reynolds JL, Lipham JC,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NA, </w:t>
      </w:r>
      <w:proofErr w:type="spellStart"/>
      <w:r w:rsidRPr="00DE7219">
        <w:rPr>
          <w:rFonts w:ascii="Book Antiqua" w:hAnsi="Book Antiqua"/>
          <w:sz w:val="24"/>
          <w:szCs w:val="24"/>
        </w:rPr>
        <w:t>Taiganides</w:t>
      </w:r>
      <w:proofErr w:type="spellEnd"/>
      <w:r w:rsidRPr="00DE7219">
        <w:rPr>
          <w:rFonts w:ascii="Book Antiqua" w:hAnsi="Book Antiqua"/>
          <w:sz w:val="24"/>
          <w:szCs w:val="24"/>
        </w:rPr>
        <w:t xml:space="preserve"> PA, </w:t>
      </w:r>
      <w:proofErr w:type="spellStart"/>
      <w:r w:rsidRPr="00DE7219">
        <w:rPr>
          <w:rFonts w:ascii="Book Antiqua" w:hAnsi="Book Antiqua"/>
          <w:sz w:val="24"/>
          <w:szCs w:val="24"/>
        </w:rPr>
        <w:t>Mickley</w:t>
      </w:r>
      <w:proofErr w:type="spellEnd"/>
      <w:r w:rsidRPr="00DE7219">
        <w:rPr>
          <w:rFonts w:ascii="Book Antiqua" w:hAnsi="Book Antiqua"/>
          <w:sz w:val="24"/>
          <w:szCs w:val="24"/>
        </w:rPr>
        <w:t xml:space="preserve"> J, Aye RW, </w:t>
      </w:r>
      <w:proofErr w:type="spellStart"/>
      <w:r w:rsidRPr="00DE7219">
        <w:rPr>
          <w:rFonts w:ascii="Book Antiqua" w:hAnsi="Book Antiqua"/>
          <w:sz w:val="24"/>
          <w:szCs w:val="24"/>
        </w:rPr>
        <w:t>Farivar</w:t>
      </w:r>
      <w:proofErr w:type="spellEnd"/>
      <w:r w:rsidRPr="00DE7219">
        <w:rPr>
          <w:rFonts w:ascii="Book Antiqua" w:hAnsi="Book Antiqua"/>
          <w:sz w:val="24"/>
          <w:szCs w:val="24"/>
        </w:rPr>
        <w:t xml:space="preserve"> AS, Louie BE. Multi-institutional outcomes using magnetic sphincter augmentation versus Nissen fundoplication for chronic gastroesophageal reflux disease.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2016; </w:t>
      </w:r>
      <w:r w:rsidRPr="00DE7219">
        <w:rPr>
          <w:rFonts w:ascii="Book Antiqua" w:hAnsi="Book Antiqua"/>
          <w:b/>
          <w:sz w:val="24"/>
          <w:szCs w:val="24"/>
        </w:rPr>
        <w:t>30</w:t>
      </w:r>
      <w:r w:rsidRPr="00DE7219">
        <w:rPr>
          <w:rFonts w:ascii="Book Antiqua" w:hAnsi="Book Antiqua"/>
          <w:sz w:val="24"/>
          <w:szCs w:val="24"/>
        </w:rPr>
        <w:t>: 3289-3296 [PMID: 26541740 DOI: 10.1007/s00464-015-4659-y]</w:t>
      </w:r>
    </w:p>
    <w:p w14:paraId="44EF6EDA" w14:textId="7155344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5</w:t>
      </w:r>
      <w:r w:rsidRPr="00DE7219">
        <w:rPr>
          <w:rFonts w:ascii="Book Antiqua" w:hAnsi="Book Antiqua"/>
          <w:sz w:val="24"/>
          <w:szCs w:val="24"/>
        </w:rPr>
        <w:t xml:space="preserve"> </w:t>
      </w:r>
      <w:r w:rsidRPr="00DE7219">
        <w:rPr>
          <w:rFonts w:ascii="Book Antiqua" w:hAnsi="Book Antiqua"/>
          <w:b/>
          <w:sz w:val="24"/>
          <w:szCs w:val="24"/>
        </w:rPr>
        <w:t>Reynolds JL</w:t>
      </w:r>
      <w:r w:rsidRPr="00DE7219">
        <w:rPr>
          <w:rFonts w:ascii="Book Antiqua" w:hAnsi="Book Antiqua"/>
          <w:sz w:val="24"/>
          <w:szCs w:val="24"/>
        </w:rPr>
        <w:t xml:space="preserve">,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Nieh</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Sandhu K, </w:t>
      </w:r>
      <w:proofErr w:type="spellStart"/>
      <w:r w:rsidRPr="00DE7219">
        <w:rPr>
          <w:rFonts w:ascii="Book Antiqua" w:hAnsi="Book Antiqua"/>
          <w:sz w:val="24"/>
          <w:szCs w:val="24"/>
        </w:rPr>
        <w:t>Katkhouda</w:t>
      </w:r>
      <w:proofErr w:type="spellEnd"/>
      <w:r w:rsidRPr="00DE7219">
        <w:rPr>
          <w:rFonts w:ascii="Book Antiqua" w:hAnsi="Book Antiqua"/>
          <w:sz w:val="24"/>
          <w:szCs w:val="24"/>
        </w:rPr>
        <w:t xml:space="preserve"> N, Lipham JC. Charges, outcomes, and complications: a comparison of magnetic sphincter augmentation versus laparoscopic Nissen fundoplication for the treatment of GERD.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2016; </w:t>
      </w:r>
      <w:r w:rsidRPr="00DE7219">
        <w:rPr>
          <w:rFonts w:ascii="Book Antiqua" w:hAnsi="Book Antiqua"/>
          <w:b/>
          <w:sz w:val="24"/>
          <w:szCs w:val="24"/>
        </w:rPr>
        <w:t>30</w:t>
      </w:r>
      <w:r w:rsidRPr="00DE7219">
        <w:rPr>
          <w:rFonts w:ascii="Book Antiqua" w:hAnsi="Book Antiqua"/>
          <w:sz w:val="24"/>
          <w:szCs w:val="24"/>
        </w:rPr>
        <w:t>: 3225-3230 [PMID: 26541730 DOI: 10.1007/s00464-015-4635-6]</w:t>
      </w:r>
    </w:p>
    <w:p w14:paraId="307C6994" w14:textId="03E5E82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6</w:t>
      </w:r>
      <w:r w:rsidRPr="00DE7219">
        <w:rPr>
          <w:rFonts w:ascii="Book Antiqua" w:hAnsi="Book Antiqua"/>
          <w:sz w:val="24"/>
          <w:szCs w:val="24"/>
        </w:rPr>
        <w:t xml:space="preserve"> </w:t>
      </w:r>
      <w:r w:rsidRPr="00DE7219">
        <w:rPr>
          <w:rFonts w:ascii="Book Antiqua" w:hAnsi="Book Antiqua"/>
          <w:b/>
          <w:sz w:val="24"/>
          <w:szCs w:val="24"/>
        </w:rPr>
        <w:t>Asti E</w:t>
      </w:r>
      <w:r w:rsidRPr="00DE7219">
        <w:rPr>
          <w:rFonts w:ascii="Book Antiqua" w:hAnsi="Book Antiqua"/>
          <w:sz w:val="24"/>
          <w:szCs w:val="24"/>
        </w:rPr>
        <w:t xml:space="preserve">, </w:t>
      </w:r>
      <w:proofErr w:type="spellStart"/>
      <w:r w:rsidRPr="00DE7219">
        <w:rPr>
          <w:rFonts w:ascii="Book Antiqua" w:hAnsi="Book Antiqua"/>
          <w:sz w:val="24"/>
          <w:szCs w:val="24"/>
        </w:rPr>
        <w:t>Bonitta</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Lovece</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Lazzari</w:t>
      </w:r>
      <w:proofErr w:type="spellEnd"/>
      <w:r w:rsidRPr="00DE7219">
        <w:rPr>
          <w:rFonts w:ascii="Book Antiqua" w:hAnsi="Book Antiqua"/>
          <w:sz w:val="24"/>
          <w:szCs w:val="24"/>
        </w:rPr>
        <w:t xml:space="preserve"> V,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Longitudinal comparison of quality of life in patients undergoing laparoscopic </w:t>
      </w:r>
      <w:proofErr w:type="spellStart"/>
      <w:r w:rsidRPr="00DE7219">
        <w:rPr>
          <w:rFonts w:ascii="Book Antiqua" w:hAnsi="Book Antiqua"/>
          <w:sz w:val="24"/>
          <w:szCs w:val="24"/>
        </w:rPr>
        <w:t>Toupet</w:t>
      </w:r>
      <w:proofErr w:type="spellEnd"/>
      <w:r w:rsidRPr="00DE7219">
        <w:rPr>
          <w:rFonts w:ascii="Book Antiqua" w:hAnsi="Book Antiqua"/>
          <w:sz w:val="24"/>
          <w:szCs w:val="24"/>
        </w:rPr>
        <w:t xml:space="preserve"> fundoplication versus magnetic sphincter augmentation: Observational cohort study with propensity score analysis. </w:t>
      </w:r>
      <w:r w:rsidRPr="00DE7219">
        <w:rPr>
          <w:rFonts w:ascii="Book Antiqua" w:hAnsi="Book Antiqua"/>
          <w:i/>
          <w:sz w:val="24"/>
          <w:szCs w:val="24"/>
        </w:rPr>
        <w:t>Medicine (Baltimore)</w:t>
      </w:r>
      <w:r w:rsidRPr="00DE7219">
        <w:rPr>
          <w:rFonts w:ascii="Book Antiqua" w:hAnsi="Book Antiqua"/>
          <w:sz w:val="24"/>
          <w:szCs w:val="24"/>
        </w:rPr>
        <w:t xml:space="preserve"> 2016; </w:t>
      </w:r>
      <w:r w:rsidRPr="00DE7219">
        <w:rPr>
          <w:rFonts w:ascii="Book Antiqua" w:hAnsi="Book Antiqua"/>
          <w:b/>
          <w:sz w:val="24"/>
          <w:szCs w:val="24"/>
        </w:rPr>
        <w:t>95</w:t>
      </w:r>
      <w:r w:rsidRPr="00DE7219">
        <w:rPr>
          <w:rFonts w:ascii="Book Antiqua" w:hAnsi="Book Antiqua"/>
          <w:sz w:val="24"/>
          <w:szCs w:val="24"/>
        </w:rPr>
        <w:t>: e4366 [PMID: 27472725 DOI: 10.1097/MD.0000000000004366]</w:t>
      </w:r>
    </w:p>
    <w:p w14:paraId="2FEB1813" w14:textId="1F02C2E1"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7</w:t>
      </w:r>
      <w:r w:rsidRPr="00DE7219">
        <w:rPr>
          <w:rFonts w:ascii="Book Antiqua" w:hAnsi="Book Antiqua"/>
          <w:sz w:val="24"/>
          <w:szCs w:val="24"/>
        </w:rPr>
        <w:t xml:space="preserve"> </w:t>
      </w:r>
      <w:proofErr w:type="spellStart"/>
      <w:r w:rsidRPr="00DE7219">
        <w:rPr>
          <w:rFonts w:ascii="Book Antiqua" w:hAnsi="Book Antiqua"/>
          <w:b/>
          <w:sz w:val="24"/>
          <w:szCs w:val="24"/>
        </w:rPr>
        <w:t>Aiolfi</w:t>
      </w:r>
      <w:proofErr w:type="spellEnd"/>
      <w:r w:rsidRPr="00DE7219">
        <w:rPr>
          <w:rFonts w:ascii="Book Antiqua" w:hAnsi="Book Antiqua"/>
          <w:b/>
          <w:sz w:val="24"/>
          <w:szCs w:val="24"/>
        </w:rPr>
        <w:t xml:space="preserve"> A</w:t>
      </w:r>
      <w:r w:rsidRPr="00DE7219">
        <w:rPr>
          <w:rFonts w:ascii="Book Antiqua" w:hAnsi="Book Antiqua"/>
          <w:sz w:val="24"/>
          <w:szCs w:val="24"/>
        </w:rPr>
        <w:t xml:space="preserve">, Asti E, </w:t>
      </w:r>
      <w:proofErr w:type="spellStart"/>
      <w:r w:rsidRPr="00DE7219">
        <w:rPr>
          <w:rFonts w:ascii="Book Antiqua" w:hAnsi="Book Antiqua"/>
          <w:sz w:val="24"/>
          <w:szCs w:val="24"/>
        </w:rPr>
        <w:t>Bernardi</w:t>
      </w:r>
      <w:proofErr w:type="spellEnd"/>
      <w:r w:rsidRPr="00DE7219">
        <w:rPr>
          <w:rFonts w:ascii="Book Antiqua" w:hAnsi="Book Antiqua"/>
          <w:sz w:val="24"/>
          <w:szCs w:val="24"/>
        </w:rPr>
        <w:t xml:space="preserve"> D, </w:t>
      </w:r>
      <w:proofErr w:type="spellStart"/>
      <w:r w:rsidRPr="00DE7219">
        <w:rPr>
          <w:rFonts w:ascii="Book Antiqua" w:hAnsi="Book Antiqua"/>
          <w:sz w:val="24"/>
          <w:szCs w:val="24"/>
        </w:rPr>
        <w:t>Bonitta</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Rausa</w:t>
      </w:r>
      <w:proofErr w:type="spellEnd"/>
      <w:r w:rsidRPr="00DE7219">
        <w:rPr>
          <w:rFonts w:ascii="Book Antiqua" w:hAnsi="Book Antiqua"/>
          <w:sz w:val="24"/>
          <w:szCs w:val="24"/>
        </w:rPr>
        <w:t xml:space="preserve"> E, </w:t>
      </w:r>
      <w:proofErr w:type="spellStart"/>
      <w:r w:rsidRPr="00DE7219">
        <w:rPr>
          <w:rFonts w:ascii="Book Antiqua" w:hAnsi="Book Antiqua"/>
          <w:sz w:val="24"/>
          <w:szCs w:val="24"/>
        </w:rPr>
        <w:t>Siboni</w:t>
      </w:r>
      <w:proofErr w:type="spellEnd"/>
      <w:r w:rsidRPr="00DE7219">
        <w:rPr>
          <w:rFonts w:ascii="Book Antiqua" w:hAnsi="Book Antiqua"/>
          <w:sz w:val="24"/>
          <w:szCs w:val="24"/>
        </w:rPr>
        <w:t xml:space="preserve"> S,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Early results of magnetic sphincter augmentation versus fundoplication for gastroesophageal reflux disease: Systematic review and meta-analysis. </w:t>
      </w:r>
      <w:r w:rsidRPr="00DE7219">
        <w:rPr>
          <w:rFonts w:ascii="Book Antiqua" w:hAnsi="Book Antiqua"/>
          <w:i/>
          <w:sz w:val="24"/>
          <w:szCs w:val="24"/>
        </w:rPr>
        <w:t>Int J Surg</w:t>
      </w:r>
      <w:r w:rsidRPr="00DE7219">
        <w:rPr>
          <w:rFonts w:ascii="Book Antiqua" w:hAnsi="Book Antiqua"/>
          <w:sz w:val="24"/>
          <w:szCs w:val="24"/>
        </w:rPr>
        <w:t xml:space="preserve"> 2018; </w:t>
      </w:r>
      <w:r w:rsidRPr="00DE7219">
        <w:rPr>
          <w:rFonts w:ascii="Book Antiqua" w:hAnsi="Book Antiqua"/>
          <w:b/>
          <w:sz w:val="24"/>
          <w:szCs w:val="24"/>
        </w:rPr>
        <w:t>52</w:t>
      </w:r>
      <w:r w:rsidRPr="00DE7219">
        <w:rPr>
          <w:rFonts w:ascii="Book Antiqua" w:hAnsi="Book Antiqua"/>
          <w:sz w:val="24"/>
          <w:szCs w:val="24"/>
        </w:rPr>
        <w:t>: 82-88 [PMID: 29471155 DOI: 10.1016/j.ijsu.2018.02.041]</w:t>
      </w:r>
    </w:p>
    <w:p w14:paraId="69076B6A" w14:textId="003AF504"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3</w:t>
      </w:r>
      <w:r w:rsidR="00267722" w:rsidRPr="00DE7219">
        <w:rPr>
          <w:rFonts w:ascii="Book Antiqua" w:hAnsi="Book Antiqua"/>
          <w:sz w:val="24"/>
          <w:szCs w:val="24"/>
        </w:rPr>
        <w:t>8</w:t>
      </w:r>
      <w:r w:rsidRPr="00DE7219">
        <w:rPr>
          <w:rFonts w:ascii="Book Antiqua" w:hAnsi="Book Antiqua"/>
          <w:sz w:val="24"/>
          <w:szCs w:val="24"/>
        </w:rPr>
        <w:t xml:space="preserve"> </w:t>
      </w:r>
      <w:proofErr w:type="spellStart"/>
      <w:r w:rsidRPr="00DE7219">
        <w:rPr>
          <w:rFonts w:ascii="Book Antiqua" w:hAnsi="Book Antiqua"/>
          <w:b/>
          <w:sz w:val="24"/>
          <w:szCs w:val="24"/>
        </w:rPr>
        <w:t>Guidozzi</w:t>
      </w:r>
      <w:proofErr w:type="spellEnd"/>
      <w:r w:rsidRPr="00DE7219">
        <w:rPr>
          <w:rFonts w:ascii="Book Antiqua" w:hAnsi="Book Antiqua"/>
          <w:b/>
          <w:sz w:val="24"/>
          <w:szCs w:val="24"/>
        </w:rPr>
        <w:t xml:space="preserve"> N</w:t>
      </w:r>
      <w:r w:rsidRPr="00DE7219">
        <w:rPr>
          <w:rFonts w:ascii="Book Antiqua" w:hAnsi="Book Antiqua"/>
          <w:sz w:val="24"/>
          <w:szCs w:val="24"/>
        </w:rPr>
        <w:t xml:space="preserve">, Wiggins T, Ahmed AR, Hanna GB, </w:t>
      </w:r>
      <w:proofErr w:type="spellStart"/>
      <w:r w:rsidRPr="00DE7219">
        <w:rPr>
          <w:rFonts w:ascii="Book Antiqua" w:hAnsi="Book Antiqua"/>
          <w:sz w:val="24"/>
          <w:szCs w:val="24"/>
        </w:rPr>
        <w:t>Markar</w:t>
      </w:r>
      <w:proofErr w:type="spellEnd"/>
      <w:r w:rsidRPr="00DE7219">
        <w:rPr>
          <w:rFonts w:ascii="Book Antiqua" w:hAnsi="Book Antiqua"/>
          <w:sz w:val="24"/>
          <w:szCs w:val="24"/>
        </w:rPr>
        <w:t xml:space="preserve"> SR. Laparoscopic magnetic sphincter augmentation versus fundoplication for gastroesophageal reflux disease: systematic review and pooled analysis. </w:t>
      </w:r>
      <w:r w:rsidRPr="00DE7219">
        <w:rPr>
          <w:rFonts w:ascii="Book Antiqua" w:hAnsi="Book Antiqua"/>
          <w:i/>
          <w:sz w:val="24"/>
          <w:szCs w:val="24"/>
        </w:rPr>
        <w:t>Dis Esophagus</w:t>
      </w:r>
      <w:r w:rsidRPr="00DE7219">
        <w:rPr>
          <w:rFonts w:ascii="Book Antiqua" w:hAnsi="Book Antiqua"/>
          <w:sz w:val="24"/>
          <w:szCs w:val="24"/>
        </w:rPr>
        <w:t xml:space="preserve"> 2019; </w:t>
      </w:r>
      <w:r w:rsidRPr="00DE7219">
        <w:rPr>
          <w:rFonts w:ascii="Book Antiqua" w:hAnsi="Book Antiqua"/>
          <w:b/>
          <w:sz w:val="24"/>
          <w:szCs w:val="24"/>
        </w:rPr>
        <w:t>32</w:t>
      </w:r>
      <w:r w:rsidRPr="00DE7219">
        <w:rPr>
          <w:rFonts w:ascii="Book Antiqua" w:hAnsi="Book Antiqua"/>
          <w:sz w:val="24"/>
          <w:szCs w:val="24"/>
        </w:rPr>
        <w:t xml:space="preserve"> [PMID: 31069388 DOI: 10.1093/dote/doz031]</w:t>
      </w:r>
    </w:p>
    <w:p w14:paraId="5CB0AB88" w14:textId="154E5733" w:rsidR="00C64960" w:rsidRPr="00DE7219" w:rsidRDefault="00267722" w:rsidP="00DE7219">
      <w:pPr>
        <w:spacing w:line="360" w:lineRule="auto"/>
        <w:rPr>
          <w:rFonts w:ascii="Book Antiqua" w:hAnsi="Book Antiqua"/>
          <w:sz w:val="24"/>
          <w:szCs w:val="24"/>
        </w:rPr>
      </w:pPr>
      <w:r w:rsidRPr="00DE7219">
        <w:rPr>
          <w:rFonts w:ascii="Book Antiqua" w:hAnsi="Book Antiqua"/>
          <w:sz w:val="24"/>
          <w:szCs w:val="24"/>
        </w:rPr>
        <w:t>39</w:t>
      </w:r>
      <w:r w:rsidR="00257958" w:rsidRPr="00DE7219">
        <w:rPr>
          <w:rFonts w:ascii="Book Antiqua" w:hAnsi="Book Antiqua"/>
          <w:sz w:val="24"/>
          <w:szCs w:val="24"/>
        </w:rPr>
        <w:t xml:space="preserve"> </w:t>
      </w:r>
      <w:r w:rsidR="00257958" w:rsidRPr="00DE7219">
        <w:rPr>
          <w:rFonts w:ascii="Book Antiqua" w:hAnsi="Book Antiqua"/>
          <w:b/>
          <w:sz w:val="24"/>
          <w:szCs w:val="24"/>
        </w:rPr>
        <w:t>Lipham JC</w:t>
      </w:r>
      <w:r w:rsidR="00257958" w:rsidRPr="00DE7219">
        <w:rPr>
          <w:rFonts w:ascii="Book Antiqua" w:hAnsi="Book Antiqua"/>
          <w:sz w:val="24"/>
          <w:szCs w:val="24"/>
        </w:rPr>
        <w:t xml:space="preserve">, </w:t>
      </w:r>
      <w:proofErr w:type="spellStart"/>
      <w:r w:rsidR="00257958" w:rsidRPr="00DE7219">
        <w:rPr>
          <w:rFonts w:ascii="Book Antiqua" w:hAnsi="Book Antiqua"/>
          <w:sz w:val="24"/>
          <w:szCs w:val="24"/>
        </w:rPr>
        <w:t>Taiganides</w:t>
      </w:r>
      <w:proofErr w:type="spellEnd"/>
      <w:r w:rsidR="00257958" w:rsidRPr="00DE7219">
        <w:rPr>
          <w:rFonts w:ascii="Book Antiqua" w:hAnsi="Book Antiqua"/>
          <w:sz w:val="24"/>
          <w:szCs w:val="24"/>
        </w:rPr>
        <w:t xml:space="preserve"> PA, Louie BE, Ganz RA, </w:t>
      </w:r>
      <w:proofErr w:type="spellStart"/>
      <w:r w:rsidR="00257958" w:rsidRPr="00DE7219">
        <w:rPr>
          <w:rFonts w:ascii="Book Antiqua" w:hAnsi="Book Antiqua"/>
          <w:sz w:val="24"/>
          <w:szCs w:val="24"/>
        </w:rPr>
        <w:t>DeMeester</w:t>
      </w:r>
      <w:proofErr w:type="spellEnd"/>
      <w:r w:rsidR="00257958" w:rsidRPr="00DE7219">
        <w:rPr>
          <w:rFonts w:ascii="Book Antiqua" w:hAnsi="Book Antiqua"/>
          <w:sz w:val="24"/>
          <w:szCs w:val="24"/>
        </w:rPr>
        <w:t xml:space="preserve"> TR. Safety analysis of first 1000 patients treated with magnetic sphincter augmentation for gastroesophageal reflux disease. </w:t>
      </w:r>
      <w:r w:rsidR="00257958" w:rsidRPr="00DE7219">
        <w:rPr>
          <w:rFonts w:ascii="Book Antiqua" w:hAnsi="Book Antiqua"/>
          <w:i/>
          <w:sz w:val="24"/>
          <w:szCs w:val="24"/>
        </w:rPr>
        <w:t>Dis Esophagus</w:t>
      </w:r>
      <w:r w:rsidR="00257958" w:rsidRPr="00DE7219">
        <w:rPr>
          <w:rFonts w:ascii="Book Antiqua" w:hAnsi="Book Antiqua"/>
          <w:sz w:val="24"/>
          <w:szCs w:val="24"/>
        </w:rPr>
        <w:t xml:space="preserve"> 2015; </w:t>
      </w:r>
      <w:r w:rsidR="00257958" w:rsidRPr="00DE7219">
        <w:rPr>
          <w:rFonts w:ascii="Book Antiqua" w:hAnsi="Book Antiqua"/>
          <w:b/>
          <w:sz w:val="24"/>
          <w:szCs w:val="24"/>
        </w:rPr>
        <w:t>28</w:t>
      </w:r>
      <w:r w:rsidR="00257958" w:rsidRPr="00DE7219">
        <w:rPr>
          <w:rFonts w:ascii="Book Antiqua" w:hAnsi="Book Antiqua"/>
          <w:sz w:val="24"/>
          <w:szCs w:val="24"/>
        </w:rPr>
        <w:t>: 305-311 [PMID: 24612509 DOI: 10.1111/dote.12199]</w:t>
      </w:r>
    </w:p>
    <w:p w14:paraId="00B15B13" w14:textId="713E1386"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0</w:t>
      </w:r>
      <w:r w:rsidRPr="00DE7219">
        <w:rPr>
          <w:rFonts w:ascii="Book Antiqua" w:hAnsi="Book Antiqua"/>
          <w:sz w:val="24"/>
          <w:szCs w:val="24"/>
        </w:rPr>
        <w:t xml:space="preserve"> </w:t>
      </w:r>
      <w:r w:rsidRPr="00DE7219">
        <w:rPr>
          <w:rFonts w:ascii="Book Antiqua" w:hAnsi="Book Antiqua"/>
          <w:b/>
          <w:sz w:val="24"/>
          <w:szCs w:val="24"/>
        </w:rPr>
        <w:t>Smith CD</w:t>
      </w:r>
      <w:r w:rsidRPr="00DE7219">
        <w:rPr>
          <w:rFonts w:ascii="Book Antiqua" w:hAnsi="Book Antiqua"/>
          <w:sz w:val="24"/>
          <w:szCs w:val="24"/>
        </w:rPr>
        <w:t xml:space="preserve">, Ganz RA, Lipham JC, Bell RC, Rattner DW. Lower Esophageal Sphincter Augmentation for Gastroesophageal Reflux Disease: The Safety of a Modern Implant. </w:t>
      </w:r>
      <w:r w:rsidRPr="00DE7219">
        <w:rPr>
          <w:rFonts w:ascii="Book Antiqua" w:hAnsi="Book Antiqua"/>
          <w:i/>
          <w:sz w:val="24"/>
          <w:szCs w:val="24"/>
        </w:rPr>
        <w:t xml:space="preserve">J </w:t>
      </w:r>
      <w:proofErr w:type="spellStart"/>
      <w:r w:rsidRPr="00DE7219">
        <w:rPr>
          <w:rFonts w:ascii="Book Antiqua" w:hAnsi="Book Antiqua"/>
          <w:i/>
          <w:sz w:val="24"/>
          <w:szCs w:val="24"/>
        </w:rPr>
        <w:t>Laparoendosc</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Adv</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Tech A</w:t>
      </w:r>
      <w:r w:rsidRPr="00DE7219">
        <w:rPr>
          <w:rFonts w:ascii="Book Antiqua" w:hAnsi="Book Antiqua"/>
          <w:sz w:val="24"/>
          <w:szCs w:val="24"/>
        </w:rPr>
        <w:t xml:space="preserve"> 2017; </w:t>
      </w:r>
      <w:r w:rsidRPr="00DE7219">
        <w:rPr>
          <w:rFonts w:ascii="Book Antiqua" w:hAnsi="Book Antiqua"/>
          <w:b/>
          <w:sz w:val="24"/>
          <w:szCs w:val="24"/>
        </w:rPr>
        <w:t>27</w:t>
      </w:r>
      <w:r w:rsidRPr="00DE7219">
        <w:rPr>
          <w:rFonts w:ascii="Book Antiqua" w:hAnsi="Book Antiqua"/>
          <w:sz w:val="24"/>
          <w:szCs w:val="24"/>
        </w:rPr>
        <w:t>: 586-591 [PMID: 28430558 DOI: 10.1089/lap.2017.0025]</w:t>
      </w:r>
    </w:p>
    <w:p w14:paraId="2EFF9323" w14:textId="7CF98590"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1</w:t>
      </w:r>
      <w:r w:rsidRPr="00DE7219">
        <w:rPr>
          <w:rFonts w:ascii="Book Antiqua" w:hAnsi="Book Antiqua"/>
          <w:sz w:val="24"/>
          <w:szCs w:val="24"/>
        </w:rPr>
        <w:t xml:space="preserve"> </w:t>
      </w:r>
      <w:r w:rsidRPr="00DE7219">
        <w:rPr>
          <w:rFonts w:ascii="Book Antiqua" w:hAnsi="Book Antiqua"/>
          <w:b/>
          <w:sz w:val="24"/>
          <w:szCs w:val="24"/>
        </w:rPr>
        <w:t>Asti E</w:t>
      </w:r>
      <w:r w:rsidRPr="00DE7219">
        <w:rPr>
          <w:rFonts w:ascii="Book Antiqua" w:hAnsi="Book Antiqua"/>
          <w:sz w:val="24"/>
          <w:szCs w:val="24"/>
        </w:rPr>
        <w:t xml:space="preserve">, </w:t>
      </w:r>
      <w:proofErr w:type="spellStart"/>
      <w:r w:rsidRPr="00DE7219">
        <w:rPr>
          <w:rFonts w:ascii="Book Antiqua" w:hAnsi="Book Antiqua"/>
          <w:sz w:val="24"/>
          <w:szCs w:val="24"/>
        </w:rPr>
        <w:t>Siboni</w:t>
      </w:r>
      <w:proofErr w:type="spellEnd"/>
      <w:r w:rsidRPr="00DE7219">
        <w:rPr>
          <w:rFonts w:ascii="Book Antiqua" w:hAnsi="Book Antiqua"/>
          <w:sz w:val="24"/>
          <w:szCs w:val="24"/>
        </w:rPr>
        <w:t xml:space="preserve"> S, </w:t>
      </w:r>
      <w:proofErr w:type="spellStart"/>
      <w:r w:rsidRPr="00DE7219">
        <w:rPr>
          <w:rFonts w:ascii="Book Antiqua" w:hAnsi="Book Antiqua"/>
          <w:sz w:val="24"/>
          <w:szCs w:val="24"/>
        </w:rPr>
        <w:t>Lazzari</w:t>
      </w:r>
      <w:proofErr w:type="spellEnd"/>
      <w:r w:rsidRPr="00DE7219">
        <w:rPr>
          <w:rFonts w:ascii="Book Antiqua" w:hAnsi="Book Antiqua"/>
          <w:sz w:val="24"/>
          <w:szCs w:val="24"/>
        </w:rPr>
        <w:t xml:space="preserve"> V, </w:t>
      </w:r>
      <w:proofErr w:type="spellStart"/>
      <w:r w:rsidRPr="00DE7219">
        <w:rPr>
          <w:rFonts w:ascii="Book Antiqua" w:hAnsi="Book Antiqua"/>
          <w:sz w:val="24"/>
          <w:szCs w:val="24"/>
        </w:rPr>
        <w:t>Bonitta</w:t>
      </w:r>
      <w:proofErr w:type="spellEnd"/>
      <w:r w:rsidRPr="00DE7219">
        <w:rPr>
          <w:rFonts w:ascii="Book Antiqua" w:hAnsi="Book Antiqua"/>
          <w:sz w:val="24"/>
          <w:szCs w:val="24"/>
        </w:rPr>
        <w:t xml:space="preserve"> G, </w:t>
      </w:r>
      <w:proofErr w:type="spellStart"/>
      <w:r w:rsidRPr="00DE7219">
        <w:rPr>
          <w:rFonts w:ascii="Book Antiqua" w:hAnsi="Book Antiqua"/>
          <w:sz w:val="24"/>
          <w:szCs w:val="24"/>
        </w:rPr>
        <w:t>Sironi</w:t>
      </w:r>
      <w:proofErr w:type="spellEnd"/>
      <w:r w:rsidRPr="00DE7219">
        <w:rPr>
          <w:rFonts w:ascii="Book Antiqua" w:hAnsi="Book Antiqua"/>
          <w:sz w:val="24"/>
          <w:szCs w:val="24"/>
        </w:rPr>
        <w:t xml:space="preserve"> A, </w:t>
      </w:r>
      <w:proofErr w:type="spellStart"/>
      <w:r w:rsidRPr="00DE7219">
        <w:rPr>
          <w:rFonts w:ascii="Book Antiqua" w:hAnsi="Book Antiqua"/>
          <w:sz w:val="24"/>
          <w:szCs w:val="24"/>
        </w:rPr>
        <w:t>Bonavina</w:t>
      </w:r>
      <w:proofErr w:type="spellEnd"/>
      <w:r w:rsidRPr="00DE7219">
        <w:rPr>
          <w:rFonts w:ascii="Book Antiqua" w:hAnsi="Book Antiqua"/>
          <w:sz w:val="24"/>
          <w:szCs w:val="24"/>
        </w:rPr>
        <w:t xml:space="preserve"> L. Removal of the Magnetic Sphincter Augmentation Device: Surgical Technique and Results of a Single-center Cohort Study. </w:t>
      </w:r>
      <w:r w:rsidRPr="00DE7219">
        <w:rPr>
          <w:rFonts w:ascii="Book Antiqua" w:hAnsi="Book Antiqua"/>
          <w:i/>
          <w:sz w:val="24"/>
          <w:szCs w:val="24"/>
        </w:rPr>
        <w:t>Ann Surg</w:t>
      </w:r>
      <w:r w:rsidRPr="00DE7219">
        <w:rPr>
          <w:rFonts w:ascii="Book Antiqua" w:hAnsi="Book Antiqua"/>
          <w:sz w:val="24"/>
          <w:szCs w:val="24"/>
        </w:rPr>
        <w:t xml:space="preserve"> 2017; </w:t>
      </w:r>
      <w:r w:rsidRPr="00DE7219">
        <w:rPr>
          <w:rFonts w:ascii="Book Antiqua" w:hAnsi="Book Antiqua"/>
          <w:b/>
          <w:sz w:val="24"/>
          <w:szCs w:val="24"/>
        </w:rPr>
        <w:t>265</w:t>
      </w:r>
      <w:r w:rsidRPr="00DE7219">
        <w:rPr>
          <w:rFonts w:ascii="Book Antiqua" w:hAnsi="Book Antiqua"/>
          <w:sz w:val="24"/>
          <w:szCs w:val="24"/>
        </w:rPr>
        <w:t>: 941-945 [PMID: 27163959 DOI: 10.1097/SLA.0000000000001785]</w:t>
      </w:r>
    </w:p>
    <w:p w14:paraId="1DBC7824" w14:textId="7A4AB32D"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2</w:t>
      </w:r>
      <w:r w:rsidRPr="00DE7219">
        <w:rPr>
          <w:rFonts w:ascii="Book Antiqua" w:hAnsi="Book Antiqua"/>
          <w:sz w:val="24"/>
          <w:szCs w:val="24"/>
        </w:rPr>
        <w:t xml:space="preserve"> </w:t>
      </w:r>
      <w:bookmarkStart w:id="29" w:name="_ENREF_1"/>
      <w:proofErr w:type="spellStart"/>
      <w:r w:rsidR="00DE7219" w:rsidRPr="00DE7219">
        <w:rPr>
          <w:rFonts w:ascii="Book Antiqua" w:hAnsi="Book Antiqua"/>
          <w:b/>
          <w:bCs/>
          <w:sz w:val="24"/>
          <w:szCs w:val="24"/>
        </w:rPr>
        <w:t>Alnasser</w:t>
      </w:r>
      <w:proofErr w:type="spellEnd"/>
      <w:r w:rsidR="00DE7219" w:rsidRPr="00DE7219">
        <w:rPr>
          <w:rFonts w:ascii="Book Antiqua" w:hAnsi="Book Antiqua"/>
          <w:b/>
          <w:bCs/>
          <w:sz w:val="24"/>
          <w:szCs w:val="24"/>
        </w:rPr>
        <w:t xml:space="preserve"> SA</w:t>
      </w:r>
      <w:r w:rsidR="00DE7219" w:rsidRPr="00DE7219">
        <w:rPr>
          <w:rFonts w:ascii="Book Antiqua" w:hAnsi="Book Antiqua"/>
          <w:sz w:val="24"/>
          <w:szCs w:val="24"/>
        </w:rPr>
        <w:t xml:space="preserve">, </w:t>
      </w:r>
      <w:proofErr w:type="spellStart"/>
      <w:r w:rsidR="00DE7219" w:rsidRPr="00DE7219">
        <w:rPr>
          <w:rFonts w:ascii="Book Antiqua" w:hAnsi="Book Antiqua"/>
          <w:sz w:val="24"/>
          <w:szCs w:val="24"/>
        </w:rPr>
        <w:t>Salfity</w:t>
      </w:r>
      <w:proofErr w:type="spellEnd"/>
      <w:r w:rsidR="00DE7219" w:rsidRPr="00DE7219">
        <w:rPr>
          <w:rFonts w:ascii="Book Antiqua" w:hAnsi="Book Antiqua"/>
          <w:sz w:val="24"/>
          <w:szCs w:val="24"/>
        </w:rPr>
        <w:t xml:space="preserve"> HV, </w:t>
      </w:r>
      <w:proofErr w:type="spellStart"/>
      <w:r w:rsidR="00DE7219" w:rsidRPr="00DE7219">
        <w:rPr>
          <w:rFonts w:ascii="Book Antiqua" w:hAnsi="Book Antiqua"/>
          <w:sz w:val="24"/>
          <w:szCs w:val="24"/>
        </w:rPr>
        <w:t>Klapper</w:t>
      </w:r>
      <w:proofErr w:type="spellEnd"/>
      <w:r w:rsidR="00DE7219" w:rsidRPr="00DE7219">
        <w:rPr>
          <w:rFonts w:ascii="Book Antiqua" w:hAnsi="Book Antiqua"/>
          <w:sz w:val="24"/>
          <w:szCs w:val="24"/>
        </w:rPr>
        <w:t xml:space="preserve"> JA, </w:t>
      </w:r>
      <w:proofErr w:type="spellStart"/>
      <w:r w:rsidR="00DE7219" w:rsidRPr="00DE7219">
        <w:rPr>
          <w:rFonts w:ascii="Book Antiqua" w:hAnsi="Book Antiqua"/>
          <w:sz w:val="24"/>
          <w:szCs w:val="24"/>
        </w:rPr>
        <w:t>Hartwig</w:t>
      </w:r>
      <w:proofErr w:type="spellEnd"/>
      <w:r w:rsidR="00DE7219" w:rsidRPr="00DE7219">
        <w:rPr>
          <w:rFonts w:ascii="Book Antiqua" w:hAnsi="Book Antiqua"/>
          <w:sz w:val="24"/>
          <w:szCs w:val="24"/>
        </w:rPr>
        <w:t xml:space="preserve"> MG. Left Transthoracic Approach for Magnetic Sphincter Augmentation Device LINX Implantation. </w:t>
      </w:r>
      <w:r w:rsidR="00DE7219" w:rsidRPr="00DE7219">
        <w:rPr>
          <w:rFonts w:ascii="Book Antiqua" w:hAnsi="Book Antiqua"/>
          <w:i/>
          <w:iCs/>
          <w:sz w:val="24"/>
          <w:szCs w:val="24"/>
        </w:rPr>
        <w:t xml:space="preserve">Ann </w:t>
      </w:r>
      <w:proofErr w:type="spellStart"/>
      <w:r w:rsidR="00DE7219" w:rsidRPr="00DE7219">
        <w:rPr>
          <w:rFonts w:ascii="Book Antiqua" w:hAnsi="Book Antiqua"/>
          <w:i/>
          <w:iCs/>
          <w:sz w:val="24"/>
          <w:szCs w:val="24"/>
        </w:rPr>
        <w:t>Thorac</w:t>
      </w:r>
      <w:proofErr w:type="spellEnd"/>
      <w:r w:rsidR="00DE7219" w:rsidRPr="00DE7219">
        <w:rPr>
          <w:rFonts w:ascii="Book Antiqua" w:hAnsi="Book Antiqua"/>
          <w:i/>
          <w:iCs/>
          <w:sz w:val="24"/>
          <w:szCs w:val="24"/>
        </w:rPr>
        <w:t xml:space="preserve"> </w:t>
      </w:r>
      <w:proofErr w:type="spellStart"/>
      <w:r w:rsidR="00DE7219" w:rsidRPr="00DE7219">
        <w:rPr>
          <w:rFonts w:ascii="Book Antiqua" w:hAnsi="Book Antiqua"/>
          <w:i/>
          <w:iCs/>
          <w:sz w:val="24"/>
          <w:szCs w:val="24"/>
        </w:rPr>
        <w:t>Surg</w:t>
      </w:r>
      <w:proofErr w:type="spellEnd"/>
      <w:r w:rsidR="00DE7219" w:rsidRPr="00DE7219">
        <w:rPr>
          <w:rFonts w:ascii="Book Antiqua" w:hAnsi="Book Antiqua"/>
          <w:sz w:val="24"/>
          <w:szCs w:val="24"/>
        </w:rPr>
        <w:t xml:space="preserve"> 2019; </w:t>
      </w:r>
      <w:r w:rsidR="00DE7219" w:rsidRPr="00DE7219">
        <w:rPr>
          <w:rFonts w:ascii="Book Antiqua" w:hAnsi="Book Antiqua"/>
          <w:b/>
          <w:bCs/>
          <w:sz w:val="24"/>
          <w:szCs w:val="24"/>
        </w:rPr>
        <w:t>108</w:t>
      </w:r>
      <w:r w:rsidR="00DE7219" w:rsidRPr="00DE7219">
        <w:rPr>
          <w:rFonts w:ascii="Book Antiqua" w:hAnsi="Book Antiqua"/>
          <w:sz w:val="24"/>
          <w:szCs w:val="24"/>
        </w:rPr>
        <w:t>: e225-e227 [PMID: 30885852 DOI: 10.1016/j.athoracsur.2019.02.014]</w:t>
      </w:r>
      <w:bookmarkEnd w:id="29"/>
    </w:p>
    <w:p w14:paraId="6259B490" w14:textId="330AC45A"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3</w:t>
      </w:r>
      <w:r w:rsidRPr="00DE7219">
        <w:rPr>
          <w:rFonts w:ascii="Book Antiqua" w:hAnsi="Book Antiqua"/>
          <w:sz w:val="24"/>
          <w:szCs w:val="24"/>
        </w:rPr>
        <w:t xml:space="preserve"> </w:t>
      </w:r>
      <w:r w:rsidRPr="00DE7219">
        <w:rPr>
          <w:rFonts w:ascii="Book Antiqua" w:hAnsi="Book Antiqua"/>
          <w:b/>
          <w:sz w:val="24"/>
          <w:szCs w:val="24"/>
        </w:rPr>
        <w:t>El-</w:t>
      </w:r>
      <w:proofErr w:type="spellStart"/>
      <w:r w:rsidRPr="00DE7219">
        <w:rPr>
          <w:rFonts w:ascii="Book Antiqua" w:hAnsi="Book Antiqua"/>
          <w:b/>
          <w:sz w:val="24"/>
          <w:szCs w:val="24"/>
        </w:rPr>
        <w:t>Hadi</w:t>
      </w:r>
      <w:proofErr w:type="spellEnd"/>
      <w:r w:rsidRPr="00DE7219">
        <w:rPr>
          <w:rFonts w:ascii="Book Antiqua" w:hAnsi="Book Antiqua"/>
          <w:b/>
          <w:sz w:val="24"/>
          <w:szCs w:val="24"/>
        </w:rPr>
        <w:t xml:space="preserve"> M</w:t>
      </w:r>
      <w:r w:rsidRPr="00DE7219">
        <w:rPr>
          <w:rFonts w:ascii="Book Antiqua" w:hAnsi="Book Antiqua"/>
          <w:sz w:val="24"/>
          <w:szCs w:val="24"/>
        </w:rPr>
        <w:t xml:space="preserve">, Birch DW, Gill RS, </w:t>
      </w:r>
      <w:proofErr w:type="spellStart"/>
      <w:r w:rsidRPr="00DE7219">
        <w:rPr>
          <w:rFonts w:ascii="Book Antiqua" w:hAnsi="Book Antiqua"/>
          <w:sz w:val="24"/>
          <w:szCs w:val="24"/>
        </w:rPr>
        <w:t>Karmali</w:t>
      </w:r>
      <w:proofErr w:type="spellEnd"/>
      <w:r w:rsidRPr="00DE7219">
        <w:rPr>
          <w:rFonts w:ascii="Book Antiqua" w:hAnsi="Book Antiqua"/>
          <w:sz w:val="24"/>
          <w:szCs w:val="24"/>
        </w:rPr>
        <w:t xml:space="preserve"> S. The effect of bariatric surgery on gastroesophageal reflux disease. </w:t>
      </w:r>
      <w:r w:rsidRPr="00DE7219">
        <w:rPr>
          <w:rFonts w:ascii="Book Antiqua" w:hAnsi="Book Antiqua"/>
          <w:i/>
          <w:sz w:val="24"/>
          <w:szCs w:val="24"/>
        </w:rPr>
        <w:t>Can J Surg</w:t>
      </w:r>
      <w:r w:rsidRPr="00DE7219">
        <w:rPr>
          <w:rFonts w:ascii="Book Antiqua" w:hAnsi="Book Antiqua"/>
          <w:sz w:val="24"/>
          <w:szCs w:val="24"/>
        </w:rPr>
        <w:t xml:space="preserve"> 2014; </w:t>
      </w:r>
      <w:r w:rsidRPr="00DE7219">
        <w:rPr>
          <w:rFonts w:ascii="Book Antiqua" w:hAnsi="Book Antiqua"/>
          <w:b/>
          <w:sz w:val="24"/>
          <w:szCs w:val="24"/>
        </w:rPr>
        <w:t>57</w:t>
      </w:r>
      <w:r w:rsidRPr="00DE7219">
        <w:rPr>
          <w:rFonts w:ascii="Book Antiqua" w:hAnsi="Book Antiqua"/>
          <w:sz w:val="24"/>
          <w:szCs w:val="24"/>
        </w:rPr>
        <w:t>: 139-144 [PMID: 24666452 DOI: 10.1503/cjs.030612]</w:t>
      </w:r>
    </w:p>
    <w:p w14:paraId="2670D257" w14:textId="51C9F620"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4</w:t>
      </w:r>
      <w:r w:rsidRPr="00DE7219">
        <w:rPr>
          <w:rFonts w:ascii="Book Antiqua" w:hAnsi="Book Antiqua"/>
          <w:sz w:val="24"/>
          <w:szCs w:val="24"/>
        </w:rPr>
        <w:t xml:space="preserve"> </w:t>
      </w:r>
      <w:proofErr w:type="spellStart"/>
      <w:r w:rsidRPr="00DE7219">
        <w:rPr>
          <w:rFonts w:ascii="Book Antiqua" w:hAnsi="Book Antiqua"/>
          <w:b/>
          <w:sz w:val="24"/>
          <w:szCs w:val="24"/>
        </w:rPr>
        <w:t>Desart</w:t>
      </w:r>
      <w:proofErr w:type="spellEnd"/>
      <w:r w:rsidRPr="00DE7219">
        <w:rPr>
          <w:rFonts w:ascii="Book Antiqua" w:hAnsi="Book Antiqua"/>
          <w:b/>
          <w:sz w:val="24"/>
          <w:szCs w:val="24"/>
        </w:rPr>
        <w:t xml:space="preserve"> K</w:t>
      </w:r>
      <w:r w:rsidRPr="00DE7219">
        <w:rPr>
          <w:rFonts w:ascii="Book Antiqua" w:hAnsi="Book Antiqua"/>
          <w:sz w:val="24"/>
          <w:szCs w:val="24"/>
        </w:rPr>
        <w:t xml:space="preserve">, </w:t>
      </w:r>
      <w:proofErr w:type="spellStart"/>
      <w:r w:rsidRPr="00DE7219">
        <w:rPr>
          <w:rFonts w:ascii="Book Antiqua" w:hAnsi="Book Antiqua"/>
          <w:sz w:val="24"/>
          <w:szCs w:val="24"/>
        </w:rPr>
        <w:t>Rossidis</w:t>
      </w:r>
      <w:proofErr w:type="spellEnd"/>
      <w:r w:rsidRPr="00DE7219">
        <w:rPr>
          <w:rFonts w:ascii="Book Antiqua" w:hAnsi="Book Antiqua"/>
          <w:sz w:val="24"/>
          <w:szCs w:val="24"/>
        </w:rPr>
        <w:t xml:space="preserve"> G, Michel M, Lux T, Ben-David K. Gastroesophageal Reflux Management with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System for Gastroesophageal Reflux Disease Following Laparoscopic Sleeve Gastrectomy. </w:t>
      </w:r>
      <w:r w:rsidRPr="00DE7219">
        <w:rPr>
          <w:rFonts w:ascii="Book Antiqua" w:hAnsi="Book Antiqua"/>
          <w:i/>
          <w:sz w:val="24"/>
          <w:szCs w:val="24"/>
        </w:rPr>
        <w:t xml:space="preserve">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2015; </w:t>
      </w:r>
      <w:r w:rsidRPr="00DE7219">
        <w:rPr>
          <w:rFonts w:ascii="Book Antiqua" w:hAnsi="Book Antiqua"/>
          <w:b/>
          <w:sz w:val="24"/>
          <w:szCs w:val="24"/>
        </w:rPr>
        <w:t>19</w:t>
      </w:r>
      <w:r w:rsidRPr="00DE7219">
        <w:rPr>
          <w:rFonts w:ascii="Book Antiqua" w:hAnsi="Book Antiqua"/>
          <w:sz w:val="24"/>
          <w:szCs w:val="24"/>
        </w:rPr>
        <w:t>: 1782-1786 [PMID: 26162926 DOI: 10.1007/s11605-015-2887-z]</w:t>
      </w:r>
    </w:p>
    <w:p w14:paraId="5142237A" w14:textId="6AEDE122"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5</w:t>
      </w:r>
      <w:r w:rsidRPr="00DE7219">
        <w:rPr>
          <w:rFonts w:ascii="Book Antiqua" w:hAnsi="Book Antiqua"/>
          <w:sz w:val="24"/>
          <w:szCs w:val="24"/>
        </w:rPr>
        <w:t xml:space="preserve"> </w:t>
      </w:r>
      <w:proofErr w:type="spellStart"/>
      <w:r w:rsidRPr="00DE7219">
        <w:rPr>
          <w:rFonts w:ascii="Book Antiqua" w:hAnsi="Book Antiqua"/>
          <w:b/>
          <w:sz w:val="24"/>
          <w:szCs w:val="24"/>
        </w:rPr>
        <w:t>Hawasli</w:t>
      </w:r>
      <w:proofErr w:type="spellEnd"/>
      <w:r w:rsidRPr="00DE7219">
        <w:rPr>
          <w:rFonts w:ascii="Book Antiqua" w:hAnsi="Book Antiqua"/>
          <w:b/>
          <w:sz w:val="24"/>
          <w:szCs w:val="24"/>
        </w:rPr>
        <w:t xml:space="preserve"> A</w:t>
      </w:r>
      <w:r w:rsidRPr="00DE7219">
        <w:rPr>
          <w:rFonts w:ascii="Book Antiqua" w:hAnsi="Book Antiqua"/>
          <w:sz w:val="24"/>
          <w:szCs w:val="24"/>
        </w:rPr>
        <w:t xml:space="preserve">, </w:t>
      </w:r>
      <w:proofErr w:type="spellStart"/>
      <w:r w:rsidRPr="00DE7219">
        <w:rPr>
          <w:rFonts w:ascii="Book Antiqua" w:hAnsi="Book Antiqua"/>
          <w:sz w:val="24"/>
          <w:szCs w:val="24"/>
        </w:rPr>
        <w:t>Sadoun</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Meguid</w:t>
      </w:r>
      <w:proofErr w:type="spellEnd"/>
      <w:r w:rsidRPr="00DE7219">
        <w:rPr>
          <w:rFonts w:ascii="Book Antiqua" w:hAnsi="Book Antiqua"/>
          <w:sz w:val="24"/>
          <w:szCs w:val="24"/>
        </w:rPr>
        <w:t xml:space="preserve"> A, Dean M, </w:t>
      </w:r>
      <w:proofErr w:type="spellStart"/>
      <w:r w:rsidRPr="00DE7219">
        <w:rPr>
          <w:rFonts w:ascii="Book Antiqua" w:hAnsi="Book Antiqua"/>
          <w:sz w:val="24"/>
          <w:szCs w:val="24"/>
        </w:rPr>
        <w:t>Sahly</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Hawasli</w:t>
      </w:r>
      <w:proofErr w:type="spellEnd"/>
      <w:r w:rsidRPr="00DE7219">
        <w:rPr>
          <w:rFonts w:ascii="Book Antiqua" w:hAnsi="Book Antiqua"/>
          <w:sz w:val="24"/>
          <w:szCs w:val="24"/>
        </w:rPr>
        <w:t xml:space="preserve"> B. Laparoscopic placement of the LINX</w:t>
      </w:r>
      <w:r w:rsidR="00FA48DE" w:rsidRPr="00DE7219">
        <w:rPr>
          <w:rFonts w:ascii="Book Antiqua" w:hAnsi="Book Antiqua"/>
          <w:sz w:val="24"/>
          <w:szCs w:val="24"/>
          <w:vertAlign w:val="superscript"/>
        </w:rPr>
        <w:t>®</w:t>
      </w:r>
      <w:r w:rsidRPr="00DE7219">
        <w:rPr>
          <w:rFonts w:ascii="Book Antiqua" w:hAnsi="Book Antiqua"/>
          <w:sz w:val="24"/>
          <w:szCs w:val="24"/>
        </w:rPr>
        <w:t xml:space="preserve"> system in management of severe reflux after sleeve gastrectomy. </w:t>
      </w:r>
      <w:r w:rsidRPr="00DE7219">
        <w:rPr>
          <w:rFonts w:ascii="Book Antiqua" w:hAnsi="Book Antiqua"/>
          <w:i/>
          <w:sz w:val="24"/>
          <w:szCs w:val="24"/>
        </w:rPr>
        <w:t>Am J Surg</w:t>
      </w:r>
      <w:r w:rsidRPr="00DE7219">
        <w:rPr>
          <w:rFonts w:ascii="Book Antiqua" w:hAnsi="Book Antiqua"/>
          <w:sz w:val="24"/>
          <w:szCs w:val="24"/>
        </w:rPr>
        <w:t xml:space="preserve"> 2019; </w:t>
      </w:r>
      <w:r w:rsidRPr="00DE7219">
        <w:rPr>
          <w:rFonts w:ascii="Book Antiqua" w:hAnsi="Book Antiqua"/>
          <w:b/>
          <w:sz w:val="24"/>
          <w:szCs w:val="24"/>
        </w:rPr>
        <w:t>217</w:t>
      </w:r>
      <w:r w:rsidRPr="00DE7219">
        <w:rPr>
          <w:rFonts w:ascii="Book Antiqua" w:hAnsi="Book Antiqua"/>
          <w:sz w:val="24"/>
          <w:szCs w:val="24"/>
        </w:rPr>
        <w:t>: 496-499 [PMID: 30390937 DOI: 10.1016/j.amjsurg.2018.10.040]</w:t>
      </w:r>
    </w:p>
    <w:p w14:paraId="7157F149" w14:textId="1D1BACAC"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6</w:t>
      </w:r>
      <w:r w:rsidRPr="00DE7219">
        <w:rPr>
          <w:rFonts w:ascii="Book Antiqua" w:hAnsi="Book Antiqua"/>
          <w:sz w:val="24"/>
          <w:szCs w:val="24"/>
        </w:rPr>
        <w:t xml:space="preserve"> </w:t>
      </w:r>
      <w:r w:rsidRPr="00DE7219">
        <w:rPr>
          <w:rFonts w:ascii="Book Antiqua" w:hAnsi="Book Antiqua"/>
          <w:b/>
          <w:sz w:val="24"/>
          <w:szCs w:val="24"/>
        </w:rPr>
        <w:t>Broderick RC</w:t>
      </w:r>
      <w:r w:rsidRPr="00DE7219">
        <w:rPr>
          <w:rFonts w:ascii="Book Antiqua" w:hAnsi="Book Antiqua"/>
          <w:sz w:val="24"/>
          <w:szCs w:val="24"/>
        </w:rPr>
        <w:t xml:space="preserve">, Smith CD, </w:t>
      </w:r>
      <w:proofErr w:type="spellStart"/>
      <w:r w:rsidRPr="00DE7219">
        <w:rPr>
          <w:rFonts w:ascii="Book Antiqua" w:hAnsi="Book Antiqua"/>
          <w:sz w:val="24"/>
          <w:szCs w:val="24"/>
        </w:rPr>
        <w:t>Cheverie</w:t>
      </w:r>
      <w:proofErr w:type="spellEnd"/>
      <w:r w:rsidRPr="00DE7219">
        <w:rPr>
          <w:rFonts w:ascii="Book Antiqua" w:hAnsi="Book Antiqua"/>
          <w:sz w:val="24"/>
          <w:szCs w:val="24"/>
        </w:rPr>
        <w:t xml:space="preserve"> JN, </w:t>
      </w:r>
      <w:proofErr w:type="spellStart"/>
      <w:r w:rsidRPr="00DE7219">
        <w:rPr>
          <w:rFonts w:ascii="Book Antiqua" w:hAnsi="Book Antiqua"/>
          <w:sz w:val="24"/>
          <w:szCs w:val="24"/>
        </w:rPr>
        <w:t>Omelanczuk</w:t>
      </w:r>
      <w:proofErr w:type="spellEnd"/>
      <w:r w:rsidRPr="00DE7219">
        <w:rPr>
          <w:rFonts w:ascii="Book Antiqua" w:hAnsi="Book Antiqua"/>
          <w:sz w:val="24"/>
          <w:szCs w:val="24"/>
        </w:rPr>
        <w:t xml:space="preserve"> P, Lee AM, Dominguez-</w:t>
      </w:r>
      <w:proofErr w:type="spellStart"/>
      <w:r w:rsidRPr="00DE7219">
        <w:rPr>
          <w:rFonts w:ascii="Book Antiqua" w:hAnsi="Book Antiqua"/>
          <w:sz w:val="24"/>
          <w:szCs w:val="24"/>
        </w:rPr>
        <w:t>Profeta</w:t>
      </w:r>
      <w:proofErr w:type="spellEnd"/>
      <w:r w:rsidRPr="00DE7219">
        <w:rPr>
          <w:rFonts w:ascii="Book Antiqua" w:hAnsi="Book Antiqua"/>
          <w:sz w:val="24"/>
          <w:szCs w:val="24"/>
        </w:rPr>
        <w:t xml:space="preserve"> R, </w:t>
      </w:r>
      <w:proofErr w:type="spellStart"/>
      <w:r w:rsidRPr="00DE7219">
        <w:rPr>
          <w:rFonts w:ascii="Book Antiqua" w:hAnsi="Book Antiqua"/>
          <w:sz w:val="24"/>
          <w:szCs w:val="24"/>
        </w:rPr>
        <w:t>Cubas</w:t>
      </w:r>
      <w:proofErr w:type="spellEnd"/>
      <w:r w:rsidRPr="00DE7219">
        <w:rPr>
          <w:rFonts w:ascii="Book Antiqua" w:hAnsi="Book Antiqua"/>
          <w:sz w:val="24"/>
          <w:szCs w:val="24"/>
        </w:rPr>
        <w:t xml:space="preserve"> R, Jacobsen GR, Sandler BJ, Fuchs KH, Horgan S. Magnetic sphincter augmentation: a viable rescue therapy for symptomatic reflux following bariatric surgery.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2019 [PMID: 31485930 DOI: 10.1007/s00464-019-07096-z]</w:t>
      </w:r>
    </w:p>
    <w:p w14:paraId="55D061EC" w14:textId="4F94B976"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7</w:t>
      </w:r>
      <w:r w:rsidRPr="00DE7219">
        <w:rPr>
          <w:rFonts w:ascii="Book Antiqua" w:hAnsi="Book Antiqua"/>
          <w:sz w:val="24"/>
          <w:szCs w:val="24"/>
        </w:rPr>
        <w:t xml:space="preserve"> </w:t>
      </w:r>
      <w:r w:rsidRPr="00DE7219">
        <w:rPr>
          <w:rFonts w:ascii="Book Antiqua" w:hAnsi="Book Antiqua"/>
          <w:b/>
          <w:sz w:val="24"/>
          <w:szCs w:val="24"/>
        </w:rPr>
        <w:t>Rona KA</w:t>
      </w:r>
      <w:r w:rsidRPr="00DE7219">
        <w:rPr>
          <w:rFonts w:ascii="Book Antiqua" w:hAnsi="Book Antiqua"/>
          <w:sz w:val="24"/>
          <w:szCs w:val="24"/>
        </w:rPr>
        <w:t xml:space="preserve">, Reynolds J, </w:t>
      </w:r>
      <w:proofErr w:type="spellStart"/>
      <w:r w:rsidRPr="00DE7219">
        <w:rPr>
          <w:rFonts w:ascii="Book Antiqua" w:hAnsi="Book Antiqua"/>
          <w:sz w:val="24"/>
          <w:szCs w:val="24"/>
        </w:rPr>
        <w:t>Schwameis</w:t>
      </w:r>
      <w:proofErr w:type="spellEnd"/>
      <w:r w:rsidRPr="00DE7219">
        <w:rPr>
          <w:rFonts w:ascii="Book Antiqua" w:hAnsi="Book Antiqua"/>
          <w:sz w:val="24"/>
          <w:szCs w:val="24"/>
        </w:rPr>
        <w:t xml:space="preserve"> K,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Samakar</w:t>
      </w:r>
      <w:proofErr w:type="spellEnd"/>
      <w:r w:rsidRPr="00DE7219">
        <w:rPr>
          <w:rFonts w:ascii="Book Antiqua" w:hAnsi="Book Antiqua"/>
          <w:sz w:val="24"/>
          <w:szCs w:val="24"/>
        </w:rPr>
        <w:t xml:space="preserve"> K, Oh P, </w:t>
      </w:r>
      <w:proofErr w:type="spellStart"/>
      <w:r w:rsidRPr="00DE7219">
        <w:rPr>
          <w:rFonts w:ascii="Book Antiqua" w:hAnsi="Book Antiqua"/>
          <w:sz w:val="24"/>
          <w:szCs w:val="24"/>
        </w:rPr>
        <w:t>Vong</w:t>
      </w:r>
      <w:proofErr w:type="spellEnd"/>
      <w:r w:rsidRPr="00DE7219">
        <w:rPr>
          <w:rFonts w:ascii="Book Antiqua" w:hAnsi="Book Antiqua"/>
          <w:sz w:val="24"/>
          <w:szCs w:val="24"/>
        </w:rPr>
        <w:t xml:space="preserve"> D, Sandhu K, </w:t>
      </w:r>
      <w:proofErr w:type="spellStart"/>
      <w:r w:rsidRPr="00DE7219">
        <w:rPr>
          <w:rFonts w:ascii="Book Antiqua" w:hAnsi="Book Antiqua"/>
          <w:sz w:val="24"/>
          <w:szCs w:val="24"/>
        </w:rPr>
        <w:t>Katkhouda</w:t>
      </w:r>
      <w:proofErr w:type="spellEnd"/>
      <w:r w:rsidRPr="00DE7219">
        <w:rPr>
          <w:rFonts w:ascii="Book Antiqua" w:hAnsi="Book Antiqua"/>
          <w:sz w:val="24"/>
          <w:szCs w:val="24"/>
        </w:rPr>
        <w:t xml:space="preserve"> N,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Lipham JC. Efficacy of magnetic sphincter augmentation in patients with large hiatal hernias.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2017; </w:t>
      </w:r>
      <w:r w:rsidRPr="00DE7219">
        <w:rPr>
          <w:rFonts w:ascii="Book Antiqua" w:hAnsi="Book Antiqua"/>
          <w:b/>
          <w:sz w:val="24"/>
          <w:szCs w:val="24"/>
        </w:rPr>
        <w:t>31</w:t>
      </w:r>
      <w:r w:rsidRPr="00DE7219">
        <w:rPr>
          <w:rFonts w:ascii="Book Antiqua" w:hAnsi="Book Antiqua"/>
          <w:sz w:val="24"/>
          <w:szCs w:val="24"/>
        </w:rPr>
        <w:t>: 2096-2102 [PMID: 27553803 DOI: 10.1007/s00464-016-5204-3]</w:t>
      </w:r>
    </w:p>
    <w:p w14:paraId="364983DC" w14:textId="508F6EF9"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4</w:t>
      </w:r>
      <w:r w:rsidR="00267722" w:rsidRPr="00DE7219">
        <w:rPr>
          <w:rFonts w:ascii="Book Antiqua" w:hAnsi="Book Antiqua"/>
          <w:sz w:val="24"/>
          <w:szCs w:val="24"/>
        </w:rPr>
        <w:t>8</w:t>
      </w:r>
      <w:r w:rsidRPr="00DE7219">
        <w:rPr>
          <w:rFonts w:ascii="Book Antiqua" w:hAnsi="Book Antiqua"/>
          <w:sz w:val="24"/>
          <w:szCs w:val="24"/>
        </w:rPr>
        <w:t xml:space="preserve"> </w:t>
      </w:r>
      <w:r w:rsidRPr="00DE7219">
        <w:rPr>
          <w:rFonts w:ascii="Book Antiqua" w:hAnsi="Book Antiqua"/>
          <w:b/>
          <w:sz w:val="24"/>
          <w:szCs w:val="24"/>
        </w:rPr>
        <w:t>Rona KA</w:t>
      </w:r>
      <w:r w:rsidRPr="00DE7219">
        <w:rPr>
          <w:rFonts w:ascii="Book Antiqua" w:hAnsi="Book Antiqua"/>
          <w:sz w:val="24"/>
          <w:szCs w:val="24"/>
        </w:rPr>
        <w:t xml:space="preserve">, Tatum JM, </w:t>
      </w:r>
      <w:proofErr w:type="spellStart"/>
      <w:r w:rsidRPr="00DE7219">
        <w:rPr>
          <w:rFonts w:ascii="Book Antiqua" w:hAnsi="Book Antiqua"/>
          <w:sz w:val="24"/>
          <w:szCs w:val="24"/>
        </w:rPr>
        <w:t>Zehetner</w:t>
      </w:r>
      <w:proofErr w:type="spellEnd"/>
      <w:r w:rsidRPr="00DE7219">
        <w:rPr>
          <w:rFonts w:ascii="Book Antiqua" w:hAnsi="Book Antiqua"/>
          <w:sz w:val="24"/>
          <w:szCs w:val="24"/>
        </w:rPr>
        <w:t xml:space="preserve"> J, </w:t>
      </w:r>
      <w:proofErr w:type="spellStart"/>
      <w:r w:rsidRPr="00DE7219">
        <w:rPr>
          <w:rFonts w:ascii="Book Antiqua" w:hAnsi="Book Antiqua"/>
          <w:sz w:val="24"/>
          <w:szCs w:val="24"/>
        </w:rPr>
        <w:t>Schwameis</w:t>
      </w:r>
      <w:proofErr w:type="spellEnd"/>
      <w:r w:rsidRPr="00DE7219">
        <w:rPr>
          <w:rFonts w:ascii="Book Antiqua" w:hAnsi="Book Antiqua"/>
          <w:sz w:val="24"/>
          <w:szCs w:val="24"/>
        </w:rPr>
        <w:t xml:space="preserve"> K, Chow C, </w:t>
      </w:r>
      <w:proofErr w:type="spellStart"/>
      <w:r w:rsidRPr="00DE7219">
        <w:rPr>
          <w:rFonts w:ascii="Book Antiqua" w:hAnsi="Book Antiqua"/>
          <w:sz w:val="24"/>
          <w:szCs w:val="24"/>
        </w:rPr>
        <w:t>Samakar</w:t>
      </w:r>
      <w:proofErr w:type="spellEnd"/>
      <w:r w:rsidRPr="00DE7219">
        <w:rPr>
          <w:rFonts w:ascii="Book Antiqua" w:hAnsi="Book Antiqua"/>
          <w:sz w:val="24"/>
          <w:szCs w:val="24"/>
        </w:rPr>
        <w:t xml:space="preserve"> K, </w:t>
      </w:r>
      <w:proofErr w:type="spellStart"/>
      <w:r w:rsidRPr="00DE7219">
        <w:rPr>
          <w:rFonts w:ascii="Book Antiqua" w:hAnsi="Book Antiqua"/>
          <w:sz w:val="24"/>
          <w:szCs w:val="24"/>
        </w:rPr>
        <w:t>Dobrowolsky</w:t>
      </w:r>
      <w:proofErr w:type="spellEnd"/>
      <w:r w:rsidRPr="00DE7219">
        <w:rPr>
          <w:rFonts w:ascii="Book Antiqua" w:hAnsi="Book Antiqua"/>
          <w:sz w:val="24"/>
          <w:szCs w:val="24"/>
        </w:rPr>
        <w:t xml:space="preserve"> A, Houghton CC, </w:t>
      </w:r>
      <w:proofErr w:type="spellStart"/>
      <w:r w:rsidRPr="00DE7219">
        <w:rPr>
          <w:rFonts w:ascii="Book Antiqua" w:hAnsi="Book Antiqua"/>
          <w:sz w:val="24"/>
          <w:szCs w:val="24"/>
        </w:rPr>
        <w:t>Bildzukewicz</w:t>
      </w:r>
      <w:proofErr w:type="spellEnd"/>
      <w:r w:rsidRPr="00DE7219">
        <w:rPr>
          <w:rFonts w:ascii="Book Antiqua" w:hAnsi="Book Antiqua"/>
          <w:sz w:val="24"/>
          <w:szCs w:val="24"/>
        </w:rPr>
        <w:t xml:space="preserve"> N, Lipham JC. Hiatal hernia recurrence following magnetic sphincter augmentation and posterior </w:t>
      </w:r>
      <w:proofErr w:type="spellStart"/>
      <w:r w:rsidRPr="00DE7219">
        <w:rPr>
          <w:rFonts w:ascii="Book Antiqua" w:hAnsi="Book Antiqua"/>
          <w:sz w:val="24"/>
          <w:szCs w:val="24"/>
        </w:rPr>
        <w:t>cruroplasty</w:t>
      </w:r>
      <w:proofErr w:type="spellEnd"/>
      <w:r w:rsidRPr="00DE7219">
        <w:rPr>
          <w:rFonts w:ascii="Book Antiqua" w:hAnsi="Book Antiqua"/>
          <w:sz w:val="24"/>
          <w:szCs w:val="24"/>
        </w:rPr>
        <w:t xml:space="preserve">: intermediate-term outcomes.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2018; </w:t>
      </w:r>
      <w:r w:rsidRPr="00DE7219">
        <w:rPr>
          <w:rFonts w:ascii="Book Antiqua" w:hAnsi="Book Antiqua"/>
          <w:b/>
          <w:sz w:val="24"/>
          <w:szCs w:val="24"/>
        </w:rPr>
        <w:t>32</w:t>
      </w:r>
      <w:r w:rsidRPr="00DE7219">
        <w:rPr>
          <w:rFonts w:ascii="Book Antiqua" w:hAnsi="Book Antiqua"/>
          <w:sz w:val="24"/>
          <w:szCs w:val="24"/>
        </w:rPr>
        <w:t>: 3374-3379 [PMID: 29340828 DOI: 10.1007/s00464-018-6059-6]</w:t>
      </w:r>
    </w:p>
    <w:p w14:paraId="3D5462B1" w14:textId="1DAFC78D" w:rsidR="00C64960" w:rsidRPr="00DE7219" w:rsidRDefault="00E879CF" w:rsidP="00DE7219">
      <w:pPr>
        <w:spacing w:line="360" w:lineRule="auto"/>
        <w:rPr>
          <w:rFonts w:ascii="Book Antiqua" w:hAnsi="Book Antiqua"/>
          <w:sz w:val="24"/>
          <w:szCs w:val="24"/>
        </w:rPr>
      </w:pPr>
      <w:r w:rsidRPr="00DE7219">
        <w:rPr>
          <w:rFonts w:ascii="Book Antiqua" w:hAnsi="Book Antiqua"/>
          <w:sz w:val="24"/>
          <w:szCs w:val="24"/>
        </w:rPr>
        <w:t>49</w:t>
      </w:r>
      <w:r w:rsidR="00257958" w:rsidRPr="00DE7219">
        <w:rPr>
          <w:rFonts w:ascii="Book Antiqua" w:hAnsi="Book Antiqua"/>
          <w:sz w:val="24"/>
          <w:szCs w:val="24"/>
        </w:rPr>
        <w:t xml:space="preserve"> </w:t>
      </w:r>
      <w:r w:rsidR="00257958" w:rsidRPr="00DE7219">
        <w:rPr>
          <w:rFonts w:ascii="Book Antiqua" w:hAnsi="Book Antiqua"/>
          <w:b/>
          <w:sz w:val="24"/>
          <w:szCs w:val="24"/>
        </w:rPr>
        <w:t>Bell R</w:t>
      </w:r>
      <w:r w:rsidR="00257958" w:rsidRPr="00DE7219">
        <w:rPr>
          <w:rFonts w:ascii="Book Antiqua" w:hAnsi="Book Antiqua"/>
          <w:sz w:val="24"/>
          <w:szCs w:val="24"/>
        </w:rPr>
        <w:t xml:space="preserve">, Lipham J, Louie B, Williams V, </w:t>
      </w:r>
      <w:proofErr w:type="spellStart"/>
      <w:r w:rsidR="00257958" w:rsidRPr="00DE7219">
        <w:rPr>
          <w:rFonts w:ascii="Book Antiqua" w:hAnsi="Book Antiqua"/>
          <w:sz w:val="24"/>
          <w:szCs w:val="24"/>
        </w:rPr>
        <w:t>Luketich</w:t>
      </w:r>
      <w:proofErr w:type="spellEnd"/>
      <w:r w:rsidR="00257958" w:rsidRPr="00DE7219">
        <w:rPr>
          <w:rFonts w:ascii="Book Antiqua" w:hAnsi="Book Antiqua"/>
          <w:sz w:val="24"/>
          <w:szCs w:val="24"/>
        </w:rPr>
        <w:t xml:space="preserve"> J, Hill M, Richards W, Dunst C, Lister D, McDowell-Jacobs L, Reardon P, Woods K, Gould J, Buckley FP 3rd, Kothari S, </w:t>
      </w:r>
      <w:proofErr w:type="spellStart"/>
      <w:r w:rsidR="00257958" w:rsidRPr="00DE7219">
        <w:rPr>
          <w:rFonts w:ascii="Book Antiqua" w:hAnsi="Book Antiqua"/>
          <w:sz w:val="24"/>
          <w:szCs w:val="24"/>
        </w:rPr>
        <w:t>Khaitan</w:t>
      </w:r>
      <w:proofErr w:type="spellEnd"/>
      <w:r w:rsidR="00257958" w:rsidRPr="00DE7219">
        <w:rPr>
          <w:rFonts w:ascii="Book Antiqua" w:hAnsi="Book Antiqua"/>
          <w:sz w:val="24"/>
          <w:szCs w:val="24"/>
        </w:rPr>
        <w:t xml:space="preserve"> L, Smith CD, Park A, Smith C, Jacobsen G, Abbas G, Katz P. Laparoscopic magnetic sphincter augmentation versus double-dose proton pump inhibitors for management of moderate-to-severe regurgitation in GERD: a randomized controlled trial. </w:t>
      </w:r>
      <w:proofErr w:type="spellStart"/>
      <w:r w:rsidR="00257958" w:rsidRPr="00DE7219">
        <w:rPr>
          <w:rFonts w:ascii="Book Antiqua" w:hAnsi="Book Antiqua"/>
          <w:i/>
          <w:sz w:val="24"/>
          <w:szCs w:val="24"/>
        </w:rPr>
        <w:t>Gastrointest</w:t>
      </w:r>
      <w:proofErr w:type="spellEnd"/>
      <w:r w:rsidR="00257958" w:rsidRPr="00DE7219">
        <w:rPr>
          <w:rFonts w:ascii="Book Antiqua" w:hAnsi="Book Antiqua"/>
          <w:i/>
          <w:sz w:val="24"/>
          <w:szCs w:val="24"/>
        </w:rPr>
        <w:t xml:space="preserve"> </w:t>
      </w:r>
      <w:proofErr w:type="spellStart"/>
      <w:r w:rsidR="00257958" w:rsidRPr="00DE7219">
        <w:rPr>
          <w:rFonts w:ascii="Book Antiqua" w:hAnsi="Book Antiqua"/>
          <w:i/>
          <w:sz w:val="24"/>
          <w:szCs w:val="24"/>
        </w:rPr>
        <w:t>Endosc</w:t>
      </w:r>
      <w:proofErr w:type="spellEnd"/>
      <w:r w:rsidR="00257958" w:rsidRPr="00DE7219">
        <w:rPr>
          <w:rFonts w:ascii="Book Antiqua" w:hAnsi="Book Antiqua"/>
          <w:sz w:val="24"/>
          <w:szCs w:val="24"/>
        </w:rPr>
        <w:t xml:space="preserve"> 2019; </w:t>
      </w:r>
      <w:r w:rsidR="00257958" w:rsidRPr="00DE7219">
        <w:rPr>
          <w:rFonts w:ascii="Book Antiqua" w:hAnsi="Book Antiqua"/>
          <w:b/>
          <w:sz w:val="24"/>
          <w:szCs w:val="24"/>
        </w:rPr>
        <w:t>89</w:t>
      </w:r>
      <w:r w:rsidR="00257958" w:rsidRPr="00DE7219">
        <w:rPr>
          <w:rFonts w:ascii="Book Antiqua" w:hAnsi="Book Antiqua"/>
          <w:sz w:val="24"/>
          <w:szCs w:val="24"/>
        </w:rPr>
        <w:t>: 14-22.e1 [PMID: 30031018 DOI: 10.1016/j.gie.2018.07.007]</w:t>
      </w:r>
    </w:p>
    <w:p w14:paraId="695AFCFC" w14:textId="15197A3F"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5</w:t>
      </w:r>
      <w:r w:rsidR="00E879CF" w:rsidRPr="00DE7219">
        <w:rPr>
          <w:rFonts w:ascii="Book Antiqua" w:hAnsi="Book Antiqua"/>
          <w:sz w:val="24"/>
          <w:szCs w:val="24"/>
        </w:rPr>
        <w:t>0</w:t>
      </w:r>
      <w:r w:rsidRPr="00DE7219">
        <w:rPr>
          <w:rFonts w:ascii="Book Antiqua" w:hAnsi="Book Antiqua"/>
          <w:sz w:val="24"/>
          <w:szCs w:val="24"/>
        </w:rPr>
        <w:t xml:space="preserve"> </w:t>
      </w:r>
      <w:proofErr w:type="spellStart"/>
      <w:r w:rsidRPr="00DE7219">
        <w:rPr>
          <w:rFonts w:ascii="Book Antiqua" w:hAnsi="Book Antiqua"/>
          <w:b/>
          <w:sz w:val="24"/>
          <w:szCs w:val="24"/>
        </w:rPr>
        <w:t>Alicuben</w:t>
      </w:r>
      <w:proofErr w:type="spellEnd"/>
      <w:r w:rsidRPr="00DE7219">
        <w:rPr>
          <w:rFonts w:ascii="Book Antiqua" w:hAnsi="Book Antiqua"/>
          <w:b/>
          <w:sz w:val="24"/>
          <w:szCs w:val="24"/>
        </w:rPr>
        <w:t xml:space="preserve"> ET</w:t>
      </w:r>
      <w:r w:rsidRPr="00DE7219">
        <w:rPr>
          <w:rFonts w:ascii="Book Antiqua" w:hAnsi="Book Antiqua"/>
          <w:sz w:val="24"/>
          <w:szCs w:val="24"/>
        </w:rPr>
        <w:t xml:space="preserve">, Bell RCW, </w:t>
      </w:r>
      <w:proofErr w:type="spellStart"/>
      <w:r w:rsidRPr="00DE7219">
        <w:rPr>
          <w:rFonts w:ascii="Book Antiqua" w:hAnsi="Book Antiqua"/>
          <w:sz w:val="24"/>
          <w:szCs w:val="24"/>
        </w:rPr>
        <w:t>Jobe</w:t>
      </w:r>
      <w:proofErr w:type="spellEnd"/>
      <w:r w:rsidRPr="00DE7219">
        <w:rPr>
          <w:rFonts w:ascii="Book Antiqua" w:hAnsi="Book Antiqua"/>
          <w:sz w:val="24"/>
          <w:szCs w:val="24"/>
        </w:rPr>
        <w:t xml:space="preserve"> BA, Buckley FP 3rd, Daniel Smith C, </w:t>
      </w:r>
      <w:proofErr w:type="spellStart"/>
      <w:r w:rsidRPr="00DE7219">
        <w:rPr>
          <w:rFonts w:ascii="Book Antiqua" w:hAnsi="Book Antiqua"/>
          <w:sz w:val="24"/>
          <w:szCs w:val="24"/>
        </w:rPr>
        <w:t>Graybeal</w:t>
      </w:r>
      <w:proofErr w:type="spellEnd"/>
      <w:r w:rsidRPr="00DE7219">
        <w:rPr>
          <w:rFonts w:ascii="Book Antiqua" w:hAnsi="Book Antiqua"/>
          <w:sz w:val="24"/>
          <w:szCs w:val="24"/>
        </w:rPr>
        <w:t xml:space="preserve"> CJ, Lipham JC. Worldwide Experience with Erosion of the Magnetic Sphincter Augmentation Device. </w:t>
      </w:r>
      <w:r w:rsidRPr="00DE7219">
        <w:rPr>
          <w:rFonts w:ascii="Book Antiqua" w:hAnsi="Book Antiqua"/>
          <w:i/>
          <w:sz w:val="24"/>
          <w:szCs w:val="24"/>
        </w:rPr>
        <w:t xml:space="preserve">J </w:t>
      </w:r>
      <w:proofErr w:type="spellStart"/>
      <w:r w:rsidRPr="00DE7219">
        <w:rPr>
          <w:rFonts w:ascii="Book Antiqua" w:hAnsi="Book Antiqua"/>
          <w:i/>
          <w:sz w:val="24"/>
          <w:szCs w:val="24"/>
        </w:rPr>
        <w:t>Gastrointest</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Surg</w:t>
      </w:r>
      <w:proofErr w:type="spellEnd"/>
      <w:r w:rsidRPr="00DE7219">
        <w:rPr>
          <w:rFonts w:ascii="Book Antiqua" w:hAnsi="Book Antiqua"/>
          <w:sz w:val="24"/>
          <w:szCs w:val="24"/>
        </w:rPr>
        <w:t xml:space="preserve"> 2018; </w:t>
      </w:r>
      <w:r w:rsidRPr="00DE7219">
        <w:rPr>
          <w:rFonts w:ascii="Book Antiqua" w:hAnsi="Book Antiqua"/>
          <w:b/>
          <w:sz w:val="24"/>
          <w:szCs w:val="24"/>
        </w:rPr>
        <w:t>22</w:t>
      </w:r>
      <w:r w:rsidRPr="00DE7219">
        <w:rPr>
          <w:rFonts w:ascii="Book Antiqua" w:hAnsi="Book Antiqua"/>
          <w:sz w:val="24"/>
          <w:szCs w:val="24"/>
        </w:rPr>
        <w:t>: 1442-1447 [PMID: 29667094 DOI: 10.1007/s11605-018-3775-0]</w:t>
      </w:r>
    </w:p>
    <w:p w14:paraId="62A843D5" w14:textId="22EF4FAE"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5</w:t>
      </w:r>
      <w:r w:rsidR="00E879CF" w:rsidRPr="00DE7219">
        <w:rPr>
          <w:rFonts w:ascii="Book Antiqua" w:hAnsi="Book Antiqua"/>
          <w:sz w:val="24"/>
          <w:szCs w:val="24"/>
        </w:rPr>
        <w:t>1</w:t>
      </w:r>
      <w:r w:rsidRPr="00DE7219">
        <w:rPr>
          <w:rFonts w:ascii="Book Antiqua" w:hAnsi="Book Antiqua"/>
          <w:sz w:val="24"/>
          <w:szCs w:val="24"/>
        </w:rPr>
        <w:t xml:space="preserve"> </w:t>
      </w:r>
      <w:proofErr w:type="spellStart"/>
      <w:r w:rsidRPr="00DE7219">
        <w:rPr>
          <w:rFonts w:ascii="Book Antiqua" w:hAnsi="Book Antiqua"/>
          <w:b/>
          <w:sz w:val="24"/>
          <w:szCs w:val="24"/>
        </w:rPr>
        <w:t>Ayazi</w:t>
      </w:r>
      <w:proofErr w:type="spellEnd"/>
      <w:r w:rsidRPr="00DE7219">
        <w:rPr>
          <w:rFonts w:ascii="Book Antiqua" w:hAnsi="Book Antiqua"/>
          <w:b/>
          <w:sz w:val="24"/>
          <w:szCs w:val="24"/>
        </w:rPr>
        <w:t xml:space="preserve"> S</w:t>
      </w:r>
      <w:r w:rsidRPr="00DE7219">
        <w:rPr>
          <w:rFonts w:ascii="Book Antiqua" w:hAnsi="Book Antiqua"/>
          <w:sz w:val="24"/>
          <w:szCs w:val="24"/>
        </w:rPr>
        <w:t xml:space="preserve">, Zaidi AH, Zheng P, </w:t>
      </w:r>
      <w:proofErr w:type="spellStart"/>
      <w:r w:rsidRPr="00DE7219">
        <w:rPr>
          <w:rFonts w:ascii="Book Antiqua" w:hAnsi="Book Antiqua"/>
          <w:sz w:val="24"/>
          <w:szCs w:val="24"/>
        </w:rPr>
        <w:t>Chovanec</w:t>
      </w:r>
      <w:proofErr w:type="spellEnd"/>
      <w:r w:rsidRPr="00DE7219">
        <w:rPr>
          <w:rFonts w:ascii="Book Antiqua" w:hAnsi="Book Antiqua"/>
          <w:sz w:val="24"/>
          <w:szCs w:val="24"/>
        </w:rPr>
        <w:t xml:space="preserve"> K, Chowdhury N, </w:t>
      </w:r>
      <w:proofErr w:type="spellStart"/>
      <w:r w:rsidRPr="00DE7219">
        <w:rPr>
          <w:rFonts w:ascii="Book Antiqua" w:hAnsi="Book Antiqua"/>
          <w:sz w:val="24"/>
          <w:szCs w:val="24"/>
        </w:rPr>
        <w:t>Salvitti</w:t>
      </w:r>
      <w:proofErr w:type="spellEnd"/>
      <w:r w:rsidRPr="00DE7219">
        <w:rPr>
          <w:rFonts w:ascii="Book Antiqua" w:hAnsi="Book Antiqua"/>
          <w:sz w:val="24"/>
          <w:szCs w:val="24"/>
        </w:rPr>
        <w:t xml:space="preserve"> M, </w:t>
      </w:r>
      <w:proofErr w:type="spellStart"/>
      <w:r w:rsidRPr="00DE7219">
        <w:rPr>
          <w:rFonts w:ascii="Book Antiqua" w:hAnsi="Book Antiqua"/>
          <w:sz w:val="24"/>
          <w:szCs w:val="24"/>
        </w:rPr>
        <w:t>Newhams</w:t>
      </w:r>
      <w:proofErr w:type="spellEnd"/>
      <w:r w:rsidRPr="00DE7219">
        <w:rPr>
          <w:rFonts w:ascii="Book Antiqua" w:hAnsi="Book Antiqua"/>
          <w:sz w:val="24"/>
          <w:szCs w:val="24"/>
        </w:rPr>
        <w:t xml:space="preserve"> K, Levy J, </w:t>
      </w:r>
      <w:proofErr w:type="spellStart"/>
      <w:r w:rsidRPr="00DE7219">
        <w:rPr>
          <w:rFonts w:ascii="Book Antiqua" w:hAnsi="Book Antiqua"/>
          <w:sz w:val="24"/>
          <w:szCs w:val="24"/>
        </w:rPr>
        <w:t>Hoppo</w:t>
      </w:r>
      <w:proofErr w:type="spellEnd"/>
      <w:r w:rsidRPr="00DE7219">
        <w:rPr>
          <w:rFonts w:ascii="Book Antiqua" w:hAnsi="Book Antiqua"/>
          <w:sz w:val="24"/>
          <w:szCs w:val="24"/>
        </w:rPr>
        <w:t xml:space="preserve"> T, </w:t>
      </w:r>
      <w:proofErr w:type="spellStart"/>
      <w:r w:rsidRPr="00DE7219">
        <w:rPr>
          <w:rFonts w:ascii="Book Antiqua" w:hAnsi="Book Antiqua"/>
          <w:sz w:val="24"/>
          <w:szCs w:val="24"/>
        </w:rPr>
        <w:t>Jobe</w:t>
      </w:r>
      <w:proofErr w:type="spellEnd"/>
      <w:r w:rsidRPr="00DE7219">
        <w:rPr>
          <w:rFonts w:ascii="Book Antiqua" w:hAnsi="Book Antiqua"/>
          <w:sz w:val="24"/>
          <w:szCs w:val="24"/>
        </w:rPr>
        <w:t xml:space="preserve"> BA. Comparison of surgical payer costs and implication on the healthcare expenses between laparoscopic magnetic sphincter augmentation (MSA) and laparoscopic Nissen fundoplication (LNF) in a large healthcare system. </w:t>
      </w:r>
      <w:proofErr w:type="spellStart"/>
      <w:r w:rsidRPr="00DE7219">
        <w:rPr>
          <w:rFonts w:ascii="Book Antiqua" w:hAnsi="Book Antiqua"/>
          <w:i/>
          <w:sz w:val="24"/>
          <w:szCs w:val="24"/>
        </w:rPr>
        <w:t>Surg</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Endosc</w:t>
      </w:r>
      <w:proofErr w:type="spellEnd"/>
      <w:r w:rsidRPr="00DE7219">
        <w:rPr>
          <w:rFonts w:ascii="Book Antiqua" w:hAnsi="Book Antiqua"/>
          <w:sz w:val="24"/>
          <w:szCs w:val="24"/>
        </w:rPr>
        <w:t xml:space="preserve"> 2019 [PMID: 31376004 DOI: 10.1007/s00464-019-07021-4]</w:t>
      </w:r>
    </w:p>
    <w:p w14:paraId="6C3F3EFB" w14:textId="4AEC6C27" w:rsidR="00C64960" w:rsidRPr="00DE7219" w:rsidRDefault="00257958" w:rsidP="00DE7219">
      <w:pPr>
        <w:spacing w:line="360" w:lineRule="auto"/>
        <w:rPr>
          <w:rFonts w:ascii="Book Antiqua" w:hAnsi="Book Antiqua"/>
          <w:sz w:val="24"/>
          <w:szCs w:val="24"/>
        </w:rPr>
      </w:pPr>
      <w:r w:rsidRPr="00DE7219">
        <w:rPr>
          <w:rFonts w:ascii="Book Antiqua" w:hAnsi="Book Antiqua"/>
          <w:sz w:val="24"/>
          <w:szCs w:val="24"/>
        </w:rPr>
        <w:t>5</w:t>
      </w:r>
      <w:r w:rsidR="00E879CF" w:rsidRPr="00DE7219">
        <w:rPr>
          <w:rFonts w:ascii="Book Antiqua" w:hAnsi="Book Antiqua"/>
          <w:sz w:val="24"/>
          <w:szCs w:val="24"/>
        </w:rPr>
        <w:t>2</w:t>
      </w:r>
      <w:r w:rsidRPr="00DE7219">
        <w:rPr>
          <w:rFonts w:ascii="Book Antiqua" w:hAnsi="Book Antiqua"/>
          <w:sz w:val="24"/>
          <w:szCs w:val="24"/>
        </w:rPr>
        <w:t xml:space="preserve"> </w:t>
      </w:r>
      <w:proofErr w:type="spellStart"/>
      <w:r w:rsidRPr="00DE7219">
        <w:rPr>
          <w:rFonts w:ascii="Book Antiqua" w:hAnsi="Book Antiqua"/>
          <w:b/>
          <w:sz w:val="24"/>
          <w:szCs w:val="24"/>
        </w:rPr>
        <w:t>Bonavina</w:t>
      </w:r>
      <w:proofErr w:type="spellEnd"/>
      <w:r w:rsidRPr="00DE7219">
        <w:rPr>
          <w:rFonts w:ascii="Book Antiqua" w:hAnsi="Book Antiqua"/>
          <w:b/>
          <w:sz w:val="24"/>
          <w:szCs w:val="24"/>
        </w:rPr>
        <w:t xml:space="preserve"> L</w:t>
      </w:r>
      <w:r w:rsidRPr="00DE7219">
        <w:rPr>
          <w:rFonts w:ascii="Book Antiqua" w:hAnsi="Book Antiqua"/>
          <w:sz w:val="24"/>
          <w:szCs w:val="24"/>
        </w:rPr>
        <w:t xml:space="preserve">, </w:t>
      </w:r>
      <w:proofErr w:type="spellStart"/>
      <w:r w:rsidRPr="00DE7219">
        <w:rPr>
          <w:rFonts w:ascii="Book Antiqua" w:hAnsi="Book Antiqua"/>
          <w:sz w:val="24"/>
          <w:szCs w:val="24"/>
        </w:rPr>
        <w:t>DeMeester</w:t>
      </w:r>
      <w:proofErr w:type="spellEnd"/>
      <w:r w:rsidRPr="00DE7219">
        <w:rPr>
          <w:rFonts w:ascii="Book Antiqua" w:hAnsi="Book Antiqua"/>
          <w:sz w:val="24"/>
          <w:szCs w:val="24"/>
        </w:rPr>
        <w:t xml:space="preserve"> TR, Ganz RA. </w:t>
      </w:r>
      <w:proofErr w:type="gramStart"/>
      <w:r w:rsidRPr="00DE7219">
        <w:rPr>
          <w:rFonts w:ascii="Book Antiqua" w:hAnsi="Book Antiqua"/>
          <w:sz w:val="24"/>
          <w:szCs w:val="24"/>
        </w:rPr>
        <w:t>LINX(</w:t>
      </w:r>
      <w:proofErr w:type="gramEnd"/>
      <w:r w:rsidRPr="00DE7219">
        <w:rPr>
          <w:rFonts w:ascii="Book Antiqua" w:hAnsi="Book Antiqua"/>
          <w:sz w:val="24"/>
          <w:szCs w:val="24"/>
        </w:rPr>
        <w:t xml:space="preserve">™) Reflux Management System: magnetic sphincter augmentation in the treatment of gastroesophageal reflux disease. </w:t>
      </w:r>
      <w:r w:rsidRPr="00DE7219">
        <w:rPr>
          <w:rFonts w:ascii="Book Antiqua" w:hAnsi="Book Antiqua"/>
          <w:i/>
          <w:sz w:val="24"/>
          <w:szCs w:val="24"/>
        </w:rPr>
        <w:t xml:space="preserve">Expert Rev </w:t>
      </w:r>
      <w:proofErr w:type="spellStart"/>
      <w:r w:rsidRPr="00DE7219">
        <w:rPr>
          <w:rFonts w:ascii="Book Antiqua" w:hAnsi="Book Antiqua"/>
          <w:i/>
          <w:sz w:val="24"/>
          <w:szCs w:val="24"/>
        </w:rPr>
        <w:t>Gastroenterol</w:t>
      </w:r>
      <w:proofErr w:type="spellEnd"/>
      <w:r w:rsidRPr="00DE7219">
        <w:rPr>
          <w:rFonts w:ascii="Book Antiqua" w:hAnsi="Book Antiqua"/>
          <w:i/>
          <w:sz w:val="24"/>
          <w:szCs w:val="24"/>
        </w:rPr>
        <w:t xml:space="preserve"> </w:t>
      </w:r>
      <w:proofErr w:type="spellStart"/>
      <w:r w:rsidRPr="00DE7219">
        <w:rPr>
          <w:rFonts w:ascii="Book Antiqua" w:hAnsi="Book Antiqua"/>
          <w:i/>
          <w:sz w:val="24"/>
          <w:szCs w:val="24"/>
        </w:rPr>
        <w:t>Hepatol</w:t>
      </w:r>
      <w:proofErr w:type="spellEnd"/>
      <w:r w:rsidRPr="00DE7219">
        <w:rPr>
          <w:rFonts w:ascii="Book Antiqua" w:hAnsi="Book Antiqua"/>
          <w:sz w:val="24"/>
          <w:szCs w:val="24"/>
        </w:rPr>
        <w:t xml:space="preserve"> 2012; </w:t>
      </w:r>
      <w:r w:rsidRPr="00DE7219">
        <w:rPr>
          <w:rFonts w:ascii="Book Antiqua" w:hAnsi="Book Antiqua"/>
          <w:b/>
          <w:sz w:val="24"/>
          <w:szCs w:val="24"/>
        </w:rPr>
        <w:t>6</w:t>
      </w:r>
      <w:r w:rsidRPr="00DE7219">
        <w:rPr>
          <w:rFonts w:ascii="Book Antiqua" w:hAnsi="Book Antiqua"/>
          <w:sz w:val="24"/>
          <w:szCs w:val="24"/>
        </w:rPr>
        <w:t>: 667-674 [PMID: 23237251 DOI: 10.1586/egh.12.47]</w:t>
      </w:r>
    </w:p>
    <w:p w14:paraId="6A321E4D" w14:textId="1FC1561A" w:rsidR="00257958" w:rsidRPr="00DE7219" w:rsidRDefault="00257958" w:rsidP="00DE7219">
      <w:pPr>
        <w:widowControl/>
        <w:spacing w:line="360" w:lineRule="auto"/>
        <w:rPr>
          <w:rFonts w:ascii="Book Antiqua" w:hAnsi="Book Antiqua"/>
          <w:sz w:val="24"/>
          <w:szCs w:val="24"/>
        </w:rPr>
      </w:pPr>
      <w:r w:rsidRPr="00DE7219">
        <w:rPr>
          <w:rFonts w:ascii="Book Antiqua" w:hAnsi="Book Antiqua"/>
          <w:sz w:val="24"/>
          <w:szCs w:val="24"/>
        </w:rPr>
        <w:br w:type="page"/>
      </w:r>
    </w:p>
    <w:p w14:paraId="29F18DEB" w14:textId="77777777"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Footnotes</w:t>
      </w:r>
    </w:p>
    <w:p w14:paraId="1031CD76" w14:textId="65145CCC" w:rsidR="00257958" w:rsidRPr="00DE7219" w:rsidRDefault="00257958" w:rsidP="00DE7219">
      <w:pPr>
        <w:suppressAutoHyphens/>
        <w:spacing w:line="360" w:lineRule="auto"/>
        <w:rPr>
          <w:rFonts w:ascii="Book Antiqua" w:eastAsia="Times New Roman" w:hAnsi="Book Antiqua"/>
          <w:sz w:val="24"/>
          <w:szCs w:val="24"/>
          <w:lang w:eastAsia="ar-SA"/>
        </w:rPr>
      </w:pPr>
      <w:r w:rsidRPr="00DE7219">
        <w:rPr>
          <w:rFonts w:ascii="Book Antiqua" w:hAnsi="Book Antiqua"/>
          <w:b/>
          <w:color w:val="000000" w:themeColor="text1"/>
          <w:sz w:val="24"/>
          <w:szCs w:val="24"/>
        </w:rPr>
        <w:t>Conflict-of-interest statement</w:t>
      </w:r>
      <w:r w:rsidRPr="00DE7219">
        <w:rPr>
          <w:rFonts w:ascii="Book Antiqua" w:hAnsi="Book Antiqua" w:cs="TimesNewRomanPS-BoldItalicMT"/>
          <w:b/>
          <w:bCs/>
          <w:iCs/>
          <w:sz w:val="24"/>
          <w:szCs w:val="24"/>
        </w:rPr>
        <w:t xml:space="preserve">: </w:t>
      </w:r>
      <w:r w:rsidRPr="00DE7219">
        <w:rPr>
          <w:rFonts w:ascii="Book Antiqua" w:eastAsia="Times New Roman" w:hAnsi="Book Antiqua"/>
          <w:sz w:val="24"/>
          <w:szCs w:val="24"/>
          <w:lang w:eastAsia="ar-SA"/>
        </w:rPr>
        <w:t>No potential conflicts of interest. No financial support.</w:t>
      </w:r>
    </w:p>
    <w:p w14:paraId="419D0425" w14:textId="61A3D44C" w:rsidR="00257958" w:rsidRPr="00DE7219" w:rsidRDefault="00257958" w:rsidP="00DE7219">
      <w:pPr>
        <w:adjustRightInd w:val="0"/>
        <w:snapToGrid w:val="0"/>
        <w:spacing w:line="360" w:lineRule="auto"/>
        <w:rPr>
          <w:rFonts w:ascii="Book Antiqua" w:hAnsi="Book Antiqua"/>
          <w:sz w:val="24"/>
          <w:szCs w:val="24"/>
        </w:rPr>
      </w:pPr>
    </w:p>
    <w:p w14:paraId="0EE4EDC7" w14:textId="77777777" w:rsidR="00257958" w:rsidRPr="00DE7219" w:rsidRDefault="00257958" w:rsidP="00DE7219">
      <w:pPr>
        <w:spacing w:line="360" w:lineRule="auto"/>
        <w:rPr>
          <w:rFonts w:ascii="Book Antiqua" w:hAnsi="Book Antiqua"/>
          <w:sz w:val="24"/>
          <w:szCs w:val="24"/>
        </w:rPr>
      </w:pPr>
      <w:bookmarkStart w:id="30" w:name="OLE_LINK195"/>
      <w:bookmarkStart w:id="31" w:name="OLE_LINK196"/>
      <w:bookmarkStart w:id="32" w:name="OLE_LINK272"/>
      <w:bookmarkStart w:id="33" w:name="OLE_LINK1847"/>
      <w:bookmarkStart w:id="34" w:name="OLE_LINK381"/>
      <w:bookmarkStart w:id="35" w:name="OLE_LINK416"/>
      <w:r w:rsidRPr="00DE7219">
        <w:rPr>
          <w:rFonts w:ascii="Book Antiqua" w:hAnsi="Book Antiqua"/>
          <w:b/>
          <w:sz w:val="24"/>
          <w:szCs w:val="24"/>
        </w:rPr>
        <w:t xml:space="preserve">Open-Access: </w:t>
      </w:r>
      <w:bookmarkStart w:id="36" w:name="OLE_LINK479"/>
      <w:bookmarkStart w:id="37" w:name="OLE_LINK496"/>
      <w:bookmarkStart w:id="38" w:name="OLE_LINK506"/>
      <w:bookmarkStart w:id="39" w:name="OLE_LINK507"/>
      <w:bookmarkStart w:id="40" w:name="OLE_LINK498"/>
      <w:r w:rsidRPr="00DE721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6"/>
      <w:bookmarkEnd w:id="37"/>
      <w:bookmarkEnd w:id="38"/>
      <w:bookmarkEnd w:id="39"/>
    </w:p>
    <w:p w14:paraId="7F8293FA" w14:textId="77777777" w:rsidR="00257958" w:rsidRPr="00DE7219" w:rsidRDefault="00257958" w:rsidP="00DE7219">
      <w:pPr>
        <w:spacing w:line="360" w:lineRule="auto"/>
        <w:rPr>
          <w:rFonts w:ascii="Book Antiqua" w:hAnsi="Book Antiqua" w:cs="宋体"/>
          <w:sz w:val="24"/>
          <w:szCs w:val="24"/>
        </w:rPr>
      </w:pPr>
    </w:p>
    <w:bookmarkEnd w:id="30"/>
    <w:bookmarkEnd w:id="31"/>
    <w:bookmarkEnd w:id="32"/>
    <w:bookmarkEnd w:id="33"/>
    <w:bookmarkEnd w:id="34"/>
    <w:bookmarkEnd w:id="35"/>
    <w:bookmarkEnd w:id="40"/>
    <w:p w14:paraId="4F73CFDC" w14:textId="0161A63C" w:rsidR="00257958" w:rsidRPr="00DE7219" w:rsidRDefault="00257958" w:rsidP="00DE7219">
      <w:pPr>
        <w:adjustRightInd w:val="0"/>
        <w:snapToGrid w:val="0"/>
        <w:spacing w:line="360" w:lineRule="auto"/>
        <w:rPr>
          <w:rFonts w:ascii="Book Antiqua" w:hAnsi="Book Antiqua"/>
          <w:bCs/>
          <w:color w:val="000000"/>
          <w:sz w:val="24"/>
          <w:szCs w:val="24"/>
        </w:rPr>
      </w:pPr>
      <w:r w:rsidRPr="00DE7219">
        <w:rPr>
          <w:rFonts w:ascii="Book Antiqua" w:hAnsi="Book Antiqua"/>
          <w:b/>
          <w:bCs/>
          <w:color w:val="000000"/>
          <w:sz w:val="24"/>
          <w:szCs w:val="24"/>
          <w:lang w:eastAsia="pl-PL"/>
        </w:rPr>
        <w:t>Manuscript source:</w:t>
      </w:r>
      <w:r w:rsidRPr="00DE7219">
        <w:rPr>
          <w:rFonts w:ascii="Book Antiqua" w:hAnsi="Book Antiqua"/>
          <w:b/>
          <w:bCs/>
          <w:color w:val="000000"/>
          <w:sz w:val="24"/>
          <w:szCs w:val="24"/>
        </w:rPr>
        <w:t xml:space="preserve"> </w:t>
      </w:r>
      <w:r w:rsidR="006424A1">
        <w:rPr>
          <w:rFonts w:ascii="Book Antiqua" w:hAnsi="Book Antiqua" w:hint="eastAsia"/>
          <w:bCs/>
          <w:color w:val="000000"/>
          <w:sz w:val="24"/>
          <w:szCs w:val="24"/>
        </w:rPr>
        <w:t>Invited</w:t>
      </w:r>
      <w:r w:rsidRPr="00DE7219">
        <w:rPr>
          <w:rFonts w:ascii="Book Antiqua" w:hAnsi="Book Antiqua"/>
          <w:bCs/>
          <w:color w:val="000000"/>
          <w:sz w:val="24"/>
          <w:szCs w:val="24"/>
          <w:lang w:eastAsia="pl-PL"/>
        </w:rPr>
        <w:t xml:space="preserve"> manuscript</w:t>
      </w:r>
    </w:p>
    <w:p w14:paraId="28FA1672" w14:textId="77777777" w:rsidR="00257958" w:rsidRPr="00DE7219" w:rsidRDefault="00257958" w:rsidP="00DE7219">
      <w:pPr>
        <w:adjustRightInd w:val="0"/>
        <w:snapToGrid w:val="0"/>
        <w:spacing w:line="360" w:lineRule="auto"/>
        <w:rPr>
          <w:rFonts w:ascii="Book Antiqua" w:hAnsi="Book Antiqua"/>
          <w:b/>
          <w:bCs/>
          <w:color w:val="000000"/>
          <w:sz w:val="24"/>
          <w:szCs w:val="24"/>
        </w:rPr>
      </w:pPr>
    </w:p>
    <w:p w14:paraId="11DA9B44" w14:textId="5E249524"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 xml:space="preserve">Peer-review started: </w:t>
      </w:r>
      <w:r w:rsidR="000210DF" w:rsidRPr="00DE7219">
        <w:rPr>
          <w:rFonts w:ascii="Book Antiqua" w:hAnsi="Book Antiqua"/>
          <w:sz w:val="24"/>
          <w:szCs w:val="24"/>
        </w:rPr>
        <w:t>November</w:t>
      </w:r>
      <w:r w:rsidRPr="00DE7219">
        <w:rPr>
          <w:rFonts w:ascii="Book Antiqua" w:hAnsi="Book Antiqua"/>
          <w:sz w:val="24"/>
          <w:szCs w:val="24"/>
        </w:rPr>
        <w:t xml:space="preserve"> </w:t>
      </w:r>
      <w:r w:rsidR="000210DF" w:rsidRPr="00DE7219">
        <w:rPr>
          <w:rFonts w:ascii="Book Antiqua" w:hAnsi="Book Antiqua"/>
          <w:sz w:val="24"/>
          <w:szCs w:val="24"/>
        </w:rPr>
        <w:t>12</w:t>
      </w:r>
      <w:r w:rsidRPr="00DE7219">
        <w:rPr>
          <w:rFonts w:ascii="Book Antiqua" w:hAnsi="Book Antiqua"/>
          <w:sz w:val="24"/>
          <w:szCs w:val="24"/>
        </w:rPr>
        <w:t>, 2015</w:t>
      </w:r>
    </w:p>
    <w:p w14:paraId="0A8331FC" w14:textId="6E1D124C"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 xml:space="preserve">First decision: </w:t>
      </w:r>
      <w:r w:rsidR="000210DF" w:rsidRPr="00DE7219">
        <w:rPr>
          <w:rFonts w:ascii="Book Antiqua" w:hAnsi="Book Antiqua"/>
          <w:sz w:val="24"/>
          <w:szCs w:val="24"/>
        </w:rPr>
        <w:t>November</w:t>
      </w:r>
      <w:r w:rsidRPr="00DE7219">
        <w:rPr>
          <w:rFonts w:ascii="Book Antiqua" w:hAnsi="Book Antiqua"/>
          <w:sz w:val="24"/>
          <w:szCs w:val="24"/>
        </w:rPr>
        <w:t xml:space="preserve"> 1</w:t>
      </w:r>
      <w:r w:rsidR="000210DF" w:rsidRPr="00DE7219">
        <w:rPr>
          <w:rFonts w:ascii="Book Antiqua" w:hAnsi="Book Antiqua"/>
          <w:sz w:val="24"/>
          <w:szCs w:val="24"/>
        </w:rPr>
        <w:t>9</w:t>
      </w:r>
      <w:r w:rsidRPr="00DE7219">
        <w:rPr>
          <w:rFonts w:ascii="Book Antiqua" w:hAnsi="Book Antiqua"/>
          <w:sz w:val="24"/>
          <w:szCs w:val="24"/>
        </w:rPr>
        <w:t>, 2015</w:t>
      </w:r>
    </w:p>
    <w:p w14:paraId="66213F73" w14:textId="2C407A86"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Article in press:</w:t>
      </w:r>
      <w:r w:rsidR="00323A1F" w:rsidRPr="00323A1F">
        <w:rPr>
          <w:rFonts w:ascii="Book Antiqua" w:hAnsi="Book Antiqua"/>
          <w:sz w:val="24"/>
          <w:szCs w:val="24"/>
          <w:lang w:val="en-GB"/>
        </w:rPr>
        <w:t xml:space="preserve"> </w:t>
      </w:r>
      <w:r w:rsidR="00323A1F" w:rsidRPr="00591067">
        <w:rPr>
          <w:rFonts w:ascii="Book Antiqua" w:hAnsi="Book Antiqua"/>
          <w:sz w:val="24"/>
          <w:szCs w:val="24"/>
          <w:lang w:val="en-GB"/>
        </w:rPr>
        <w:t>December 14, 2019</w:t>
      </w:r>
    </w:p>
    <w:p w14:paraId="248C13BE" w14:textId="77777777" w:rsidR="00257958" w:rsidRPr="00DE7219" w:rsidRDefault="00257958" w:rsidP="00DE7219">
      <w:pPr>
        <w:adjustRightInd w:val="0"/>
        <w:snapToGrid w:val="0"/>
        <w:spacing w:line="360" w:lineRule="auto"/>
        <w:rPr>
          <w:rFonts w:ascii="Book Antiqua" w:hAnsi="Book Antiqua"/>
          <w:b/>
          <w:sz w:val="24"/>
          <w:szCs w:val="24"/>
        </w:rPr>
      </w:pPr>
    </w:p>
    <w:p w14:paraId="2CDE2841" w14:textId="380C9506" w:rsidR="00257958" w:rsidRPr="00DE7219" w:rsidRDefault="00257958" w:rsidP="00DE7219">
      <w:pPr>
        <w:adjustRightInd w:val="0"/>
        <w:snapToGrid w:val="0"/>
        <w:spacing w:line="360" w:lineRule="auto"/>
        <w:rPr>
          <w:rFonts w:ascii="Book Antiqua" w:eastAsia="微软雅黑" w:hAnsi="Book Antiqua" w:cs="宋体"/>
          <w:sz w:val="24"/>
          <w:szCs w:val="24"/>
        </w:rPr>
      </w:pPr>
      <w:r w:rsidRPr="00DE7219">
        <w:rPr>
          <w:rFonts w:ascii="Book Antiqua" w:hAnsi="Book Antiqua" w:cs="宋体"/>
          <w:b/>
          <w:sz w:val="24"/>
          <w:szCs w:val="24"/>
        </w:rPr>
        <w:t xml:space="preserve">Specialty type: </w:t>
      </w:r>
      <w:r w:rsidR="004C1084" w:rsidRPr="00DE7219">
        <w:rPr>
          <w:rFonts w:ascii="Book Antiqua" w:eastAsia="微软雅黑" w:hAnsi="Book Antiqua" w:cs="宋体"/>
          <w:sz w:val="24"/>
          <w:szCs w:val="24"/>
        </w:rPr>
        <w:t>Medicine, Research and Experimental</w:t>
      </w:r>
    </w:p>
    <w:p w14:paraId="61BB2359" w14:textId="2E7BD28E"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b/>
          <w:sz w:val="24"/>
          <w:szCs w:val="24"/>
        </w:rPr>
        <w:t xml:space="preserve">Country of origin: </w:t>
      </w:r>
      <w:r w:rsidR="004C1084" w:rsidRPr="00DE7219">
        <w:rPr>
          <w:rFonts w:ascii="Book Antiqua" w:hAnsi="Book Antiqua" w:cs="宋体"/>
          <w:sz w:val="24"/>
          <w:szCs w:val="24"/>
        </w:rPr>
        <w:t>Greece</w:t>
      </w:r>
    </w:p>
    <w:p w14:paraId="6347F016" w14:textId="77777777" w:rsidR="00257958" w:rsidRPr="00DE7219" w:rsidRDefault="00257958" w:rsidP="00DE7219">
      <w:pPr>
        <w:adjustRightInd w:val="0"/>
        <w:snapToGrid w:val="0"/>
        <w:spacing w:line="360" w:lineRule="auto"/>
        <w:rPr>
          <w:rFonts w:ascii="Book Antiqua" w:hAnsi="Book Antiqua" w:cs="宋体"/>
          <w:b/>
          <w:sz w:val="24"/>
          <w:szCs w:val="24"/>
        </w:rPr>
      </w:pPr>
      <w:r w:rsidRPr="00DE7219">
        <w:rPr>
          <w:rFonts w:ascii="Book Antiqua" w:hAnsi="Book Antiqua" w:cs="宋体"/>
          <w:b/>
          <w:sz w:val="24"/>
          <w:szCs w:val="24"/>
        </w:rPr>
        <w:t>Peer-review report classification</w:t>
      </w:r>
    </w:p>
    <w:p w14:paraId="59D26544" w14:textId="6AA3FBBA"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 xml:space="preserve">Grade A (Excellent): </w:t>
      </w:r>
      <w:r w:rsidR="004C1084" w:rsidRPr="00DE7219">
        <w:rPr>
          <w:rFonts w:ascii="Book Antiqua" w:hAnsi="Book Antiqua" w:cs="宋体"/>
          <w:sz w:val="24"/>
          <w:szCs w:val="24"/>
        </w:rPr>
        <w:t>0</w:t>
      </w:r>
    </w:p>
    <w:p w14:paraId="7783C368" w14:textId="76189410"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 xml:space="preserve">Grade B (Very good): </w:t>
      </w:r>
      <w:r w:rsidR="004C1084" w:rsidRPr="00DE7219">
        <w:rPr>
          <w:rFonts w:ascii="Book Antiqua" w:hAnsi="Book Antiqua" w:cs="宋体"/>
          <w:sz w:val="24"/>
          <w:szCs w:val="24"/>
        </w:rPr>
        <w:t>B</w:t>
      </w:r>
    </w:p>
    <w:p w14:paraId="14EC6797" w14:textId="005FEF8D"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 xml:space="preserve">Grade C (Good): </w:t>
      </w:r>
      <w:r w:rsidR="004C1084" w:rsidRPr="00DE7219">
        <w:rPr>
          <w:rFonts w:ascii="Book Antiqua" w:hAnsi="Book Antiqua" w:cs="宋体"/>
          <w:sz w:val="24"/>
          <w:szCs w:val="24"/>
        </w:rPr>
        <w:t>0</w:t>
      </w:r>
    </w:p>
    <w:p w14:paraId="4C4EDA9B" w14:textId="77777777" w:rsidR="00257958" w:rsidRPr="00DE7219" w:rsidRDefault="00257958" w:rsidP="00DE7219">
      <w:pPr>
        <w:adjustRightInd w:val="0"/>
        <w:snapToGrid w:val="0"/>
        <w:spacing w:line="360" w:lineRule="auto"/>
        <w:rPr>
          <w:rFonts w:ascii="Book Antiqua" w:hAnsi="Book Antiqua" w:cs="宋体"/>
          <w:sz w:val="24"/>
          <w:szCs w:val="24"/>
        </w:rPr>
      </w:pPr>
      <w:r w:rsidRPr="00DE7219">
        <w:rPr>
          <w:rFonts w:ascii="Book Antiqua" w:hAnsi="Book Antiqua" w:cs="宋体"/>
          <w:sz w:val="24"/>
          <w:szCs w:val="24"/>
        </w:rPr>
        <w:t>Grade D (Fair): 0</w:t>
      </w:r>
    </w:p>
    <w:p w14:paraId="0825427B" w14:textId="77777777" w:rsidR="00257958" w:rsidRPr="00DE7219" w:rsidRDefault="00257958" w:rsidP="00DE7219">
      <w:pPr>
        <w:adjustRightInd w:val="0"/>
        <w:snapToGrid w:val="0"/>
        <w:spacing w:line="360" w:lineRule="auto"/>
        <w:rPr>
          <w:rFonts w:ascii="Book Antiqua" w:eastAsia="等线" w:hAnsi="Book Antiqua"/>
          <w:sz w:val="24"/>
          <w:szCs w:val="24"/>
          <w:lang w:val="hu-HU"/>
        </w:rPr>
      </w:pPr>
      <w:r w:rsidRPr="00DE7219">
        <w:rPr>
          <w:rFonts w:ascii="Book Antiqua" w:hAnsi="Book Antiqua" w:cs="宋体"/>
          <w:sz w:val="24"/>
          <w:szCs w:val="24"/>
        </w:rPr>
        <w:t>Grade E (Poor): 0</w:t>
      </w:r>
    </w:p>
    <w:p w14:paraId="187417D1" w14:textId="77777777" w:rsidR="00257958" w:rsidRPr="00DE7219" w:rsidRDefault="00257958" w:rsidP="00DE7219">
      <w:pPr>
        <w:spacing w:line="360" w:lineRule="auto"/>
        <w:rPr>
          <w:rFonts w:ascii="Book Antiqua" w:hAnsi="Book Antiqua"/>
          <w:sz w:val="24"/>
          <w:szCs w:val="24"/>
          <w:lang w:val="hu-HU"/>
        </w:rPr>
      </w:pPr>
    </w:p>
    <w:p w14:paraId="156BF069" w14:textId="74913189" w:rsidR="00257958" w:rsidRPr="00DE7219" w:rsidRDefault="00257958" w:rsidP="00DE7219">
      <w:pPr>
        <w:spacing w:line="360" w:lineRule="auto"/>
        <w:rPr>
          <w:rFonts w:ascii="Book Antiqua" w:hAnsi="Book Antiqua"/>
          <w:b/>
          <w:bCs/>
          <w:sz w:val="24"/>
          <w:szCs w:val="24"/>
        </w:rPr>
      </w:pPr>
      <w:r w:rsidRPr="00DE7219">
        <w:rPr>
          <w:rFonts w:ascii="Book Antiqua" w:hAnsi="Book Antiqua"/>
          <w:b/>
          <w:bCs/>
          <w:sz w:val="24"/>
          <w:szCs w:val="24"/>
        </w:rPr>
        <w:t xml:space="preserve">P-Reviewer: </w:t>
      </w:r>
      <w:r w:rsidR="004C1084" w:rsidRPr="00DE7219">
        <w:rPr>
          <w:rFonts w:ascii="Book Antiqua" w:hAnsi="Book Antiqua"/>
          <w:sz w:val="24"/>
          <w:szCs w:val="24"/>
        </w:rPr>
        <w:t>Ciccone MM</w:t>
      </w:r>
      <w:r w:rsidRPr="00DE7219">
        <w:rPr>
          <w:rFonts w:ascii="Book Antiqua" w:hAnsi="Book Antiqua"/>
          <w:b/>
          <w:bCs/>
          <w:sz w:val="24"/>
          <w:szCs w:val="24"/>
        </w:rPr>
        <w:t xml:space="preserve"> S-Editor:</w:t>
      </w:r>
      <w:r w:rsidRPr="00DE7219">
        <w:rPr>
          <w:rFonts w:ascii="Book Antiqua" w:hAnsi="Book Antiqua"/>
          <w:sz w:val="24"/>
          <w:szCs w:val="24"/>
        </w:rPr>
        <w:t xml:space="preserve"> </w:t>
      </w:r>
      <w:r w:rsidR="004C1084" w:rsidRPr="00DE7219">
        <w:rPr>
          <w:rFonts w:ascii="Book Antiqua" w:hAnsi="Book Antiqua"/>
          <w:sz w:val="24"/>
          <w:szCs w:val="24"/>
        </w:rPr>
        <w:t>Dou Y</w:t>
      </w:r>
      <w:r w:rsidRPr="00DE7219">
        <w:rPr>
          <w:rFonts w:ascii="Book Antiqua" w:hAnsi="Book Antiqua"/>
          <w:sz w:val="24"/>
          <w:szCs w:val="24"/>
        </w:rPr>
        <w:t xml:space="preserve"> </w:t>
      </w:r>
      <w:r w:rsidRPr="00DE7219">
        <w:rPr>
          <w:rFonts w:ascii="Book Antiqua" w:hAnsi="Book Antiqua"/>
          <w:b/>
          <w:bCs/>
          <w:sz w:val="24"/>
          <w:szCs w:val="24"/>
        </w:rPr>
        <w:t>L-Editor:</w:t>
      </w:r>
      <w:r w:rsidRPr="00DE7219">
        <w:rPr>
          <w:rFonts w:ascii="Book Antiqua" w:hAnsi="Book Antiqua"/>
          <w:sz w:val="24"/>
          <w:szCs w:val="24"/>
        </w:rPr>
        <w:t xml:space="preserve"> </w:t>
      </w:r>
      <w:r w:rsidR="00323A1F">
        <w:rPr>
          <w:rFonts w:ascii="Book Antiqua" w:hAnsi="Book Antiqua" w:hint="eastAsia"/>
          <w:sz w:val="24"/>
          <w:szCs w:val="24"/>
        </w:rPr>
        <w:t xml:space="preserve">A </w:t>
      </w:r>
      <w:r w:rsidRPr="00DE7219">
        <w:rPr>
          <w:rFonts w:ascii="Book Antiqua" w:hAnsi="Book Antiqua"/>
          <w:b/>
          <w:bCs/>
          <w:sz w:val="24"/>
          <w:szCs w:val="24"/>
        </w:rPr>
        <w:t>E-Editor:</w:t>
      </w:r>
      <w:r w:rsidR="00323A1F">
        <w:rPr>
          <w:rFonts w:ascii="Book Antiqua" w:hAnsi="Book Antiqua" w:hint="eastAsia"/>
          <w:b/>
          <w:bCs/>
          <w:sz w:val="24"/>
          <w:szCs w:val="24"/>
        </w:rPr>
        <w:t xml:space="preserve"> </w:t>
      </w:r>
      <w:r w:rsidR="00323A1F" w:rsidRPr="00323A1F">
        <w:rPr>
          <w:rFonts w:ascii="Book Antiqua" w:hAnsi="Book Antiqua" w:hint="eastAsia"/>
          <w:bCs/>
          <w:sz w:val="24"/>
          <w:szCs w:val="24"/>
        </w:rPr>
        <w:t>Qi LL</w:t>
      </w:r>
    </w:p>
    <w:p w14:paraId="68F2A4A3" w14:textId="77777777" w:rsidR="00257958" w:rsidRPr="00DE7219" w:rsidRDefault="00257958" w:rsidP="00DE7219">
      <w:pPr>
        <w:spacing w:line="360" w:lineRule="auto"/>
        <w:rPr>
          <w:rFonts w:ascii="Book Antiqua" w:hAnsi="Book Antiqua"/>
          <w:b/>
          <w:sz w:val="24"/>
          <w:szCs w:val="24"/>
        </w:rPr>
      </w:pPr>
      <w:r w:rsidRPr="00DE7219">
        <w:rPr>
          <w:rFonts w:ascii="Book Antiqua" w:hAnsi="Book Antiqua"/>
          <w:b/>
          <w:sz w:val="24"/>
          <w:szCs w:val="24"/>
        </w:rPr>
        <w:br w:type="page"/>
      </w:r>
    </w:p>
    <w:p w14:paraId="6B3AFA63" w14:textId="77777777" w:rsidR="00257958" w:rsidRPr="00DE7219" w:rsidRDefault="00257958" w:rsidP="00DE7219">
      <w:pPr>
        <w:adjustRightInd w:val="0"/>
        <w:snapToGrid w:val="0"/>
        <w:spacing w:line="360" w:lineRule="auto"/>
        <w:rPr>
          <w:rFonts w:ascii="Book Antiqua" w:hAnsi="Book Antiqua"/>
          <w:b/>
          <w:sz w:val="24"/>
          <w:szCs w:val="24"/>
        </w:rPr>
      </w:pPr>
      <w:r w:rsidRPr="00DE7219">
        <w:rPr>
          <w:rFonts w:ascii="Book Antiqua" w:hAnsi="Book Antiqua"/>
          <w:b/>
          <w:sz w:val="24"/>
          <w:szCs w:val="24"/>
        </w:rPr>
        <w:t>Figure Legends</w:t>
      </w:r>
    </w:p>
    <w:p w14:paraId="4B87623F" w14:textId="40420D63" w:rsidR="00257958" w:rsidRPr="00DE7219" w:rsidRDefault="00214165" w:rsidP="00DE7219">
      <w:pPr>
        <w:pBdr>
          <w:top w:val="nil"/>
          <w:left w:val="nil"/>
          <w:bottom w:val="nil"/>
          <w:right w:val="nil"/>
          <w:between w:val="nil"/>
        </w:pBdr>
        <w:spacing w:line="360" w:lineRule="auto"/>
        <w:rPr>
          <w:rFonts w:ascii="Book Antiqua" w:hAnsi="Book Antiqua"/>
          <w:b/>
          <w:color w:val="000000"/>
          <w:sz w:val="24"/>
          <w:szCs w:val="24"/>
        </w:rPr>
      </w:pPr>
      <w:r>
        <w:rPr>
          <w:noProof/>
        </w:rPr>
        <w:drawing>
          <wp:inline distT="0" distB="0" distL="0" distR="0" wp14:anchorId="4108686E" wp14:editId="5F20F52F">
            <wp:extent cx="5274310" cy="36828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682860"/>
                    </a:xfrm>
                    <a:prstGeom prst="rect">
                      <a:avLst/>
                    </a:prstGeom>
                  </pic:spPr>
                </pic:pic>
              </a:graphicData>
            </a:graphic>
          </wp:inline>
        </w:drawing>
      </w:r>
    </w:p>
    <w:p w14:paraId="23D0EC5F" w14:textId="77777777" w:rsidR="00257958" w:rsidRPr="00DE7219" w:rsidRDefault="00257958" w:rsidP="00DE7219">
      <w:pPr>
        <w:pBdr>
          <w:top w:val="nil"/>
          <w:left w:val="nil"/>
          <w:bottom w:val="nil"/>
          <w:right w:val="nil"/>
          <w:between w:val="nil"/>
        </w:pBdr>
        <w:spacing w:line="360" w:lineRule="auto"/>
        <w:rPr>
          <w:rFonts w:ascii="Book Antiqua" w:hAnsi="Book Antiqua"/>
          <w:b/>
          <w:color w:val="000000"/>
          <w:sz w:val="24"/>
          <w:szCs w:val="24"/>
        </w:rPr>
      </w:pPr>
    </w:p>
    <w:p w14:paraId="2108B80E" w14:textId="77777777" w:rsidR="00257958" w:rsidRPr="00DE7219" w:rsidRDefault="00257958" w:rsidP="00DE7219">
      <w:pPr>
        <w:pBdr>
          <w:top w:val="nil"/>
          <w:left w:val="nil"/>
          <w:bottom w:val="nil"/>
          <w:right w:val="nil"/>
          <w:between w:val="nil"/>
        </w:pBdr>
        <w:spacing w:line="360" w:lineRule="auto"/>
        <w:rPr>
          <w:rFonts w:ascii="Book Antiqua" w:hAnsi="Book Antiqua"/>
          <w:b/>
          <w:color w:val="000000"/>
          <w:sz w:val="24"/>
          <w:szCs w:val="24"/>
        </w:rPr>
      </w:pPr>
      <w:r w:rsidRPr="00DE7219">
        <w:rPr>
          <w:rFonts w:ascii="Book Antiqua" w:hAnsi="Book Antiqua"/>
          <w:b/>
          <w:color w:val="000000"/>
          <w:sz w:val="24"/>
          <w:szCs w:val="24"/>
        </w:rPr>
        <w:t>Figure 1 PRISMA flowchart.</w:t>
      </w:r>
    </w:p>
    <w:p w14:paraId="5710ED06" w14:textId="723BB02F" w:rsidR="00257958" w:rsidRPr="00DE7219" w:rsidRDefault="00257958" w:rsidP="00DE7219">
      <w:pPr>
        <w:widowControl/>
        <w:spacing w:line="360" w:lineRule="auto"/>
        <w:rPr>
          <w:rFonts w:ascii="Book Antiqua" w:hAnsi="Book Antiqua"/>
          <w:sz w:val="24"/>
          <w:szCs w:val="24"/>
        </w:rPr>
      </w:pPr>
      <w:r w:rsidRPr="00DE7219">
        <w:rPr>
          <w:rFonts w:ascii="Book Antiqua" w:hAnsi="Book Antiqua"/>
          <w:sz w:val="24"/>
          <w:szCs w:val="24"/>
        </w:rPr>
        <w:br w:type="page"/>
      </w:r>
    </w:p>
    <w:p w14:paraId="79BA59A9" w14:textId="41736993"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bookmarkStart w:id="41" w:name="OLE_LINK1"/>
      <w:r w:rsidRPr="00DE7219">
        <w:rPr>
          <w:rFonts w:ascii="Book Antiqua" w:hAnsi="Book Antiqua"/>
          <w:b/>
          <w:color w:val="000000"/>
          <w:sz w:val="24"/>
          <w:szCs w:val="24"/>
        </w:rPr>
        <w:t xml:space="preserve">Table </w:t>
      </w:r>
      <w:bookmarkEnd w:id="41"/>
      <w:r w:rsidRPr="00DE7219">
        <w:rPr>
          <w:rFonts w:ascii="Book Antiqua" w:hAnsi="Book Antiqua"/>
          <w:b/>
          <w:color w:val="000000"/>
          <w:sz w:val="24"/>
          <w:szCs w:val="24"/>
        </w:rPr>
        <w:t>1 Demographic and clinical characteristics of</w:t>
      </w:r>
      <w:r w:rsidRPr="00DE7219">
        <w:rPr>
          <w:rFonts w:ascii="Book Antiqua" w:hAnsi="Book Antiqua" w:cstheme="minorHAnsi"/>
          <w:sz w:val="24"/>
          <w:szCs w:val="24"/>
        </w:rPr>
        <w:t xml:space="preserve"> </w:t>
      </w:r>
      <w:r w:rsidRPr="00DE7219">
        <w:rPr>
          <w:rFonts w:ascii="Book Antiqua" w:hAnsi="Book Antiqua" w:cstheme="minorHAnsi"/>
          <w:b/>
          <w:bCs/>
          <w:sz w:val="24"/>
          <w:szCs w:val="24"/>
        </w:rPr>
        <w:t>magnetic sphincter augmentation</w:t>
      </w:r>
      <w:r w:rsidRPr="00DE7219">
        <w:rPr>
          <w:rFonts w:ascii="Book Antiqua" w:hAnsi="Book Antiqua"/>
          <w:b/>
          <w:color w:val="000000"/>
          <w:sz w:val="24"/>
          <w:szCs w:val="24"/>
        </w:rPr>
        <w:t xml:space="preserve"> studies with typical inclusion criteria</w:t>
      </w:r>
    </w:p>
    <w:p w14:paraId="7D0E9CE8" w14:textId="77777777"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p>
    <w:p w14:paraId="34A65B81" w14:textId="77777777" w:rsidR="004F24BB" w:rsidRPr="00DE7219" w:rsidRDefault="004F24BB" w:rsidP="00DE7219">
      <w:pPr>
        <w:spacing w:line="360" w:lineRule="auto"/>
        <w:rPr>
          <w:rFonts w:ascii="Book Antiqua" w:hAnsi="Book Antiqua" w:cstheme="minorHAnsi"/>
          <w:b/>
          <w:sz w:val="24"/>
          <w:szCs w:val="24"/>
        </w:rPr>
        <w:sectPr w:rsidR="004F24BB" w:rsidRPr="00DE7219" w:rsidSect="004F24BB">
          <w:headerReference w:type="default" r:id="rId9"/>
          <w:pgSz w:w="11906" w:h="16838"/>
          <w:pgMar w:top="1440" w:right="1800" w:bottom="1440" w:left="1800" w:header="708" w:footer="720" w:gutter="0"/>
          <w:pgNumType w:start="1"/>
          <w:cols w:space="720"/>
          <w:docGrid w:linePitch="326"/>
        </w:sectPr>
      </w:pPr>
    </w:p>
    <w:tbl>
      <w:tblPr>
        <w:tblpPr w:leftFromText="180" w:rightFromText="180" w:vertAnchor="page" w:horzAnchor="margin" w:tblpY="1621"/>
        <w:tblW w:w="14454" w:type="dxa"/>
        <w:tblBorders>
          <w:top w:val="single" w:sz="4" w:space="0" w:color="auto"/>
          <w:bottom w:val="single" w:sz="4" w:space="0" w:color="auto"/>
        </w:tblBorders>
        <w:tblLayout w:type="fixed"/>
        <w:tblLook w:val="04A0" w:firstRow="1" w:lastRow="0" w:firstColumn="1" w:lastColumn="0" w:noHBand="0" w:noVBand="1"/>
      </w:tblPr>
      <w:tblGrid>
        <w:gridCol w:w="1263"/>
        <w:gridCol w:w="715"/>
        <w:gridCol w:w="991"/>
        <w:gridCol w:w="848"/>
        <w:gridCol w:w="799"/>
        <w:gridCol w:w="1044"/>
        <w:gridCol w:w="813"/>
        <w:gridCol w:w="755"/>
        <w:gridCol w:w="700"/>
        <w:gridCol w:w="709"/>
        <w:gridCol w:w="567"/>
        <w:gridCol w:w="576"/>
        <w:gridCol w:w="842"/>
        <w:gridCol w:w="992"/>
        <w:gridCol w:w="850"/>
        <w:gridCol w:w="851"/>
        <w:gridCol w:w="1139"/>
      </w:tblGrid>
      <w:tr w:rsidR="004F24BB" w:rsidRPr="00DE7219" w14:paraId="6F9C8BC0" w14:textId="77777777" w:rsidTr="004F24BB">
        <w:trPr>
          <w:cantSplit/>
          <w:trHeight w:val="417"/>
        </w:trPr>
        <w:tc>
          <w:tcPr>
            <w:tcW w:w="1263" w:type="dxa"/>
            <w:vMerge w:val="restart"/>
            <w:tcBorders>
              <w:top w:val="single" w:sz="4" w:space="0" w:color="auto"/>
              <w:bottom w:val="nil"/>
            </w:tcBorders>
          </w:tcPr>
          <w:p w14:paraId="3E50FF4A" w14:textId="4E027361" w:rsidR="004F24BB" w:rsidRPr="00DE7219" w:rsidRDefault="004F24BB" w:rsidP="00DE7219">
            <w:pPr>
              <w:spacing w:line="360" w:lineRule="auto"/>
              <w:ind w:left="171" w:hanging="257"/>
              <w:rPr>
                <w:rFonts w:ascii="Book Antiqua" w:hAnsi="Book Antiqua" w:cstheme="minorHAnsi"/>
                <w:b/>
                <w:sz w:val="24"/>
                <w:szCs w:val="24"/>
              </w:rPr>
            </w:pPr>
            <w:r w:rsidRPr="00DE7219">
              <w:rPr>
                <w:rFonts w:ascii="Book Antiqua" w:hAnsi="Book Antiqua" w:cstheme="majorHAnsi"/>
                <w:b/>
                <w:sz w:val="24"/>
                <w:szCs w:val="24"/>
              </w:rPr>
              <w:t>Ref.</w:t>
            </w:r>
          </w:p>
        </w:tc>
        <w:tc>
          <w:tcPr>
            <w:tcW w:w="715" w:type="dxa"/>
            <w:vMerge w:val="restart"/>
            <w:tcBorders>
              <w:top w:val="single" w:sz="4" w:space="0" w:color="auto"/>
              <w:bottom w:val="nil"/>
            </w:tcBorders>
          </w:tcPr>
          <w:p w14:paraId="445E888F"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Study Period</w:t>
            </w:r>
          </w:p>
        </w:tc>
        <w:tc>
          <w:tcPr>
            <w:tcW w:w="991" w:type="dxa"/>
            <w:vMerge w:val="restart"/>
            <w:tcBorders>
              <w:top w:val="single" w:sz="4" w:space="0" w:color="auto"/>
              <w:bottom w:val="nil"/>
            </w:tcBorders>
          </w:tcPr>
          <w:p w14:paraId="79A9A525"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Procedure</w:t>
            </w:r>
          </w:p>
        </w:tc>
        <w:tc>
          <w:tcPr>
            <w:tcW w:w="848" w:type="dxa"/>
            <w:vMerge w:val="restart"/>
            <w:tcBorders>
              <w:top w:val="single" w:sz="4" w:space="0" w:color="auto"/>
              <w:bottom w:val="nil"/>
            </w:tcBorders>
          </w:tcPr>
          <w:p w14:paraId="7C317C6A" w14:textId="77777777" w:rsidR="004F24BB" w:rsidRPr="00DE7219" w:rsidRDefault="004F24BB" w:rsidP="00DE7219">
            <w:pPr>
              <w:spacing w:line="360" w:lineRule="auto"/>
              <w:ind w:left="-108" w:right="-110" w:hanging="1"/>
              <w:rPr>
                <w:rFonts w:ascii="Book Antiqua" w:hAnsi="Book Antiqua" w:cstheme="minorHAnsi"/>
                <w:b/>
                <w:sz w:val="24"/>
                <w:szCs w:val="24"/>
              </w:rPr>
            </w:pPr>
            <w:r w:rsidRPr="00DE7219">
              <w:rPr>
                <w:rFonts w:ascii="Book Antiqua" w:hAnsi="Book Antiqua" w:cstheme="minorHAnsi"/>
                <w:b/>
                <w:sz w:val="24"/>
                <w:szCs w:val="24"/>
              </w:rPr>
              <w:t>Follow-up (months)</w:t>
            </w:r>
          </w:p>
        </w:tc>
        <w:tc>
          <w:tcPr>
            <w:tcW w:w="799" w:type="dxa"/>
            <w:vMerge w:val="restart"/>
            <w:tcBorders>
              <w:top w:val="single" w:sz="4" w:space="0" w:color="auto"/>
              <w:bottom w:val="nil"/>
            </w:tcBorders>
          </w:tcPr>
          <w:p w14:paraId="117EF801"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Study type</w:t>
            </w:r>
          </w:p>
        </w:tc>
        <w:tc>
          <w:tcPr>
            <w:tcW w:w="1044" w:type="dxa"/>
            <w:vMerge w:val="restart"/>
            <w:tcBorders>
              <w:top w:val="single" w:sz="4" w:space="0" w:color="auto"/>
              <w:bottom w:val="nil"/>
            </w:tcBorders>
          </w:tcPr>
          <w:p w14:paraId="4EFCFDD4" w14:textId="77777777" w:rsidR="004F24BB" w:rsidRPr="00DE7219" w:rsidRDefault="004F24BB" w:rsidP="00DE7219">
            <w:pPr>
              <w:spacing w:line="360" w:lineRule="auto"/>
              <w:ind w:left="-56" w:right="-108" w:hanging="1"/>
              <w:rPr>
                <w:rFonts w:ascii="Book Antiqua" w:hAnsi="Book Antiqua" w:cstheme="minorHAnsi"/>
                <w:b/>
                <w:sz w:val="24"/>
                <w:szCs w:val="24"/>
              </w:rPr>
            </w:pPr>
            <w:r w:rsidRPr="00DE7219">
              <w:rPr>
                <w:rFonts w:ascii="Book Antiqua" w:hAnsi="Book Antiqua" w:cstheme="minorHAnsi"/>
                <w:b/>
                <w:sz w:val="24"/>
                <w:szCs w:val="24"/>
              </w:rPr>
              <w:t xml:space="preserve">No. of </w:t>
            </w:r>
            <w:r w:rsidRPr="00DE7219">
              <w:rPr>
                <w:rFonts w:ascii="Book Antiqua" w:hAnsi="Book Antiqua" w:cstheme="minorHAnsi"/>
                <w:b/>
                <w:sz w:val="24"/>
                <w:szCs w:val="24"/>
              </w:rPr>
              <w:br/>
              <w:t>patients (follow-up)</w:t>
            </w:r>
          </w:p>
        </w:tc>
        <w:tc>
          <w:tcPr>
            <w:tcW w:w="813" w:type="dxa"/>
            <w:vMerge w:val="restart"/>
            <w:tcBorders>
              <w:top w:val="single" w:sz="4" w:space="0" w:color="auto"/>
              <w:bottom w:val="nil"/>
            </w:tcBorders>
          </w:tcPr>
          <w:p w14:paraId="5AA28215"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Mean age (years)</w:t>
            </w:r>
          </w:p>
        </w:tc>
        <w:tc>
          <w:tcPr>
            <w:tcW w:w="755" w:type="dxa"/>
            <w:vMerge w:val="restart"/>
            <w:tcBorders>
              <w:top w:val="single" w:sz="4" w:space="0" w:color="auto"/>
              <w:bottom w:val="nil"/>
            </w:tcBorders>
          </w:tcPr>
          <w:p w14:paraId="27655831" w14:textId="77777777" w:rsidR="004F24BB" w:rsidRPr="00DE7219" w:rsidRDefault="004F24BB" w:rsidP="00DE7219">
            <w:pPr>
              <w:spacing w:line="360" w:lineRule="auto"/>
              <w:ind w:left="-70" w:right="-22" w:hanging="1"/>
              <w:rPr>
                <w:rFonts w:ascii="Book Antiqua" w:hAnsi="Book Antiqua" w:cstheme="minorHAnsi"/>
                <w:b/>
                <w:sz w:val="24"/>
                <w:szCs w:val="24"/>
              </w:rPr>
            </w:pPr>
            <w:r w:rsidRPr="00DE7219">
              <w:rPr>
                <w:rFonts w:ascii="Book Antiqua" w:hAnsi="Book Antiqua" w:cstheme="minorHAnsi"/>
                <w:b/>
                <w:sz w:val="24"/>
                <w:szCs w:val="24"/>
              </w:rPr>
              <w:t>Mean BMI (Kg/m</w:t>
            </w:r>
            <w:r w:rsidRPr="00DE7219">
              <w:rPr>
                <w:rFonts w:ascii="Book Antiqua" w:hAnsi="Book Antiqua" w:cstheme="minorHAnsi"/>
                <w:b/>
                <w:sz w:val="24"/>
                <w:szCs w:val="24"/>
                <w:vertAlign w:val="superscript"/>
              </w:rPr>
              <w:t>2</w:t>
            </w:r>
            <w:r w:rsidRPr="00DE7219">
              <w:rPr>
                <w:rFonts w:ascii="Book Antiqua" w:hAnsi="Book Antiqua" w:cstheme="minorHAnsi"/>
                <w:b/>
                <w:sz w:val="24"/>
                <w:szCs w:val="24"/>
              </w:rPr>
              <w:t>)</w:t>
            </w:r>
          </w:p>
        </w:tc>
        <w:tc>
          <w:tcPr>
            <w:tcW w:w="700" w:type="dxa"/>
            <w:vMerge w:val="restart"/>
            <w:tcBorders>
              <w:top w:val="single" w:sz="4" w:space="0" w:color="auto"/>
              <w:bottom w:val="nil"/>
            </w:tcBorders>
          </w:tcPr>
          <w:p w14:paraId="75F50D3D" w14:textId="130C0BCA"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Mean OR time (min)</w:t>
            </w:r>
          </w:p>
        </w:tc>
        <w:tc>
          <w:tcPr>
            <w:tcW w:w="1276" w:type="dxa"/>
            <w:gridSpan w:val="2"/>
            <w:tcBorders>
              <w:top w:val="single" w:sz="4" w:space="0" w:color="auto"/>
              <w:bottom w:val="nil"/>
            </w:tcBorders>
          </w:tcPr>
          <w:p w14:paraId="5509DB43" w14:textId="77777777" w:rsidR="004F24BB" w:rsidRPr="00DE7219" w:rsidRDefault="004F24BB" w:rsidP="00DE7219">
            <w:pPr>
              <w:spacing w:line="360" w:lineRule="auto"/>
              <w:ind w:left="-1" w:hanging="1"/>
              <w:rPr>
                <w:rFonts w:ascii="Book Antiqua" w:hAnsi="Book Antiqua" w:cstheme="minorHAnsi"/>
                <w:b/>
                <w:sz w:val="24"/>
                <w:szCs w:val="24"/>
              </w:rPr>
            </w:pPr>
            <w:proofErr w:type="spellStart"/>
            <w:r w:rsidRPr="00DE7219">
              <w:rPr>
                <w:rFonts w:ascii="Book Antiqua" w:hAnsi="Book Antiqua" w:cstheme="minorHAnsi"/>
                <w:b/>
                <w:sz w:val="24"/>
                <w:szCs w:val="24"/>
              </w:rPr>
              <w:t>DeMeester</w:t>
            </w:r>
            <w:proofErr w:type="spellEnd"/>
            <w:r w:rsidRPr="00DE7219">
              <w:rPr>
                <w:rFonts w:ascii="Book Antiqua" w:hAnsi="Book Antiqua" w:cstheme="minorHAnsi"/>
                <w:b/>
                <w:sz w:val="24"/>
                <w:szCs w:val="24"/>
              </w:rPr>
              <w:t xml:space="preserve"> score</w:t>
            </w:r>
          </w:p>
        </w:tc>
        <w:tc>
          <w:tcPr>
            <w:tcW w:w="576" w:type="dxa"/>
            <w:vMerge w:val="restart"/>
            <w:tcBorders>
              <w:top w:val="single" w:sz="4" w:space="0" w:color="auto"/>
              <w:bottom w:val="nil"/>
            </w:tcBorders>
          </w:tcPr>
          <w:p w14:paraId="762D8E26"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PPI-free</w:t>
            </w:r>
          </w:p>
        </w:tc>
        <w:tc>
          <w:tcPr>
            <w:tcW w:w="842" w:type="dxa"/>
            <w:vMerge w:val="restart"/>
            <w:tcBorders>
              <w:top w:val="single" w:sz="4" w:space="0" w:color="auto"/>
              <w:bottom w:val="nil"/>
            </w:tcBorders>
          </w:tcPr>
          <w:p w14:paraId="4CB34ED3"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Dilation</w:t>
            </w:r>
          </w:p>
          <w:p w14:paraId="15E3DAC8"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due to</w:t>
            </w:r>
          </w:p>
          <w:p w14:paraId="614CF43C"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dysphagia</w:t>
            </w:r>
          </w:p>
        </w:tc>
        <w:tc>
          <w:tcPr>
            <w:tcW w:w="992" w:type="dxa"/>
            <w:vMerge w:val="restart"/>
            <w:tcBorders>
              <w:top w:val="single" w:sz="4" w:space="0" w:color="auto"/>
              <w:bottom w:val="nil"/>
            </w:tcBorders>
          </w:tcPr>
          <w:p w14:paraId="604289DF"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Dysphagia</w:t>
            </w:r>
          </w:p>
          <w:p w14:paraId="73B01550" w14:textId="77777777" w:rsidR="004F24BB" w:rsidRPr="00DE7219" w:rsidRDefault="004F24BB" w:rsidP="00DE7219">
            <w:pPr>
              <w:spacing w:line="360" w:lineRule="auto"/>
              <w:ind w:left="-108" w:right="-108" w:hanging="1"/>
              <w:rPr>
                <w:rFonts w:ascii="Book Antiqua" w:hAnsi="Book Antiqua" w:cstheme="minorHAnsi"/>
                <w:b/>
                <w:sz w:val="24"/>
                <w:szCs w:val="24"/>
              </w:rPr>
            </w:pPr>
            <w:r w:rsidRPr="00DE7219">
              <w:rPr>
                <w:rFonts w:ascii="Book Antiqua" w:hAnsi="Book Antiqua" w:cstheme="minorHAnsi"/>
                <w:b/>
                <w:sz w:val="24"/>
                <w:szCs w:val="24"/>
              </w:rPr>
              <w:t>(%, post-op)</w:t>
            </w:r>
          </w:p>
        </w:tc>
        <w:tc>
          <w:tcPr>
            <w:tcW w:w="1701" w:type="dxa"/>
            <w:gridSpan w:val="2"/>
            <w:tcBorders>
              <w:top w:val="single" w:sz="4" w:space="0" w:color="auto"/>
              <w:bottom w:val="nil"/>
            </w:tcBorders>
          </w:tcPr>
          <w:p w14:paraId="452E8E15" w14:textId="6725107D"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GERD-HRQL score (mean)</w:t>
            </w:r>
          </w:p>
        </w:tc>
        <w:tc>
          <w:tcPr>
            <w:tcW w:w="1139" w:type="dxa"/>
            <w:vMerge w:val="restart"/>
            <w:tcBorders>
              <w:top w:val="single" w:sz="4" w:space="0" w:color="auto"/>
              <w:bottom w:val="single" w:sz="4" w:space="0" w:color="auto"/>
            </w:tcBorders>
          </w:tcPr>
          <w:p w14:paraId="260D8463"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Removal in MSA or re-operation in LF</w:t>
            </w:r>
          </w:p>
        </w:tc>
      </w:tr>
      <w:tr w:rsidR="004F24BB" w:rsidRPr="00DE7219" w14:paraId="61F29181" w14:textId="77777777" w:rsidTr="004F24BB">
        <w:trPr>
          <w:cantSplit/>
          <w:trHeight w:val="230"/>
        </w:trPr>
        <w:tc>
          <w:tcPr>
            <w:tcW w:w="1263" w:type="dxa"/>
            <w:vMerge/>
            <w:tcBorders>
              <w:top w:val="nil"/>
              <w:bottom w:val="single" w:sz="4" w:space="0" w:color="auto"/>
            </w:tcBorders>
          </w:tcPr>
          <w:p w14:paraId="63AA3105" w14:textId="77777777" w:rsidR="004F24BB" w:rsidRPr="00DE7219" w:rsidRDefault="004F24BB" w:rsidP="00DE7219">
            <w:pPr>
              <w:spacing w:line="360" w:lineRule="auto"/>
              <w:ind w:left="171" w:hanging="257"/>
              <w:rPr>
                <w:rFonts w:ascii="Book Antiqua" w:hAnsi="Book Antiqua" w:cstheme="minorHAnsi"/>
                <w:b/>
                <w:sz w:val="24"/>
                <w:szCs w:val="24"/>
              </w:rPr>
            </w:pPr>
          </w:p>
        </w:tc>
        <w:tc>
          <w:tcPr>
            <w:tcW w:w="715" w:type="dxa"/>
            <w:vMerge/>
            <w:tcBorders>
              <w:top w:val="nil"/>
              <w:bottom w:val="single" w:sz="4" w:space="0" w:color="auto"/>
            </w:tcBorders>
          </w:tcPr>
          <w:p w14:paraId="132778CB" w14:textId="77777777" w:rsidR="004F24BB" w:rsidRPr="00DE7219" w:rsidRDefault="004F24BB" w:rsidP="00DE7219">
            <w:pPr>
              <w:spacing w:line="360" w:lineRule="auto"/>
              <w:ind w:left="-1" w:hanging="1"/>
              <w:rPr>
                <w:rFonts w:ascii="Book Antiqua" w:hAnsi="Book Antiqua" w:cstheme="minorHAnsi"/>
                <w:b/>
                <w:sz w:val="24"/>
                <w:szCs w:val="24"/>
              </w:rPr>
            </w:pPr>
          </w:p>
        </w:tc>
        <w:tc>
          <w:tcPr>
            <w:tcW w:w="991" w:type="dxa"/>
            <w:vMerge/>
            <w:tcBorders>
              <w:top w:val="nil"/>
              <w:bottom w:val="single" w:sz="4" w:space="0" w:color="auto"/>
            </w:tcBorders>
          </w:tcPr>
          <w:p w14:paraId="6C51AD67" w14:textId="77777777" w:rsidR="004F24BB" w:rsidRPr="00DE7219" w:rsidRDefault="004F24BB" w:rsidP="00DE7219">
            <w:pPr>
              <w:spacing w:line="360" w:lineRule="auto"/>
              <w:ind w:left="-1" w:hanging="1"/>
              <w:rPr>
                <w:rFonts w:ascii="Book Antiqua" w:hAnsi="Book Antiqua" w:cstheme="minorHAnsi"/>
                <w:b/>
                <w:sz w:val="24"/>
                <w:szCs w:val="24"/>
              </w:rPr>
            </w:pPr>
          </w:p>
        </w:tc>
        <w:tc>
          <w:tcPr>
            <w:tcW w:w="848" w:type="dxa"/>
            <w:vMerge/>
            <w:tcBorders>
              <w:top w:val="nil"/>
              <w:bottom w:val="single" w:sz="4" w:space="0" w:color="auto"/>
            </w:tcBorders>
          </w:tcPr>
          <w:p w14:paraId="14764853" w14:textId="77777777" w:rsidR="004F24BB" w:rsidRPr="00DE7219" w:rsidRDefault="004F24BB" w:rsidP="00DE7219">
            <w:pPr>
              <w:spacing w:line="360" w:lineRule="auto"/>
              <w:ind w:left="-1" w:hanging="1"/>
              <w:rPr>
                <w:rFonts w:ascii="Book Antiqua" w:hAnsi="Book Antiqua" w:cstheme="minorHAnsi"/>
                <w:b/>
                <w:sz w:val="24"/>
                <w:szCs w:val="24"/>
              </w:rPr>
            </w:pPr>
          </w:p>
        </w:tc>
        <w:tc>
          <w:tcPr>
            <w:tcW w:w="799" w:type="dxa"/>
            <w:vMerge/>
            <w:tcBorders>
              <w:top w:val="nil"/>
              <w:bottom w:val="single" w:sz="4" w:space="0" w:color="auto"/>
            </w:tcBorders>
          </w:tcPr>
          <w:p w14:paraId="18C14E07" w14:textId="77777777" w:rsidR="004F24BB" w:rsidRPr="00DE7219" w:rsidRDefault="004F24BB" w:rsidP="00DE7219">
            <w:pPr>
              <w:spacing w:line="360" w:lineRule="auto"/>
              <w:ind w:left="-1" w:hanging="1"/>
              <w:rPr>
                <w:rFonts w:ascii="Book Antiqua" w:hAnsi="Book Antiqua" w:cstheme="minorHAnsi"/>
                <w:b/>
                <w:sz w:val="24"/>
                <w:szCs w:val="24"/>
              </w:rPr>
            </w:pPr>
          </w:p>
        </w:tc>
        <w:tc>
          <w:tcPr>
            <w:tcW w:w="1044" w:type="dxa"/>
            <w:vMerge/>
            <w:tcBorders>
              <w:top w:val="nil"/>
              <w:bottom w:val="single" w:sz="4" w:space="0" w:color="auto"/>
            </w:tcBorders>
          </w:tcPr>
          <w:p w14:paraId="4ADB2D05" w14:textId="77777777" w:rsidR="004F24BB" w:rsidRPr="00DE7219" w:rsidRDefault="004F24BB" w:rsidP="00DE7219">
            <w:pPr>
              <w:spacing w:line="360" w:lineRule="auto"/>
              <w:ind w:left="-1" w:hanging="1"/>
              <w:rPr>
                <w:rFonts w:ascii="Book Antiqua" w:hAnsi="Book Antiqua" w:cstheme="minorHAnsi"/>
                <w:b/>
                <w:sz w:val="24"/>
                <w:szCs w:val="24"/>
              </w:rPr>
            </w:pPr>
          </w:p>
        </w:tc>
        <w:tc>
          <w:tcPr>
            <w:tcW w:w="813" w:type="dxa"/>
            <w:vMerge/>
            <w:tcBorders>
              <w:top w:val="nil"/>
              <w:bottom w:val="single" w:sz="4" w:space="0" w:color="auto"/>
            </w:tcBorders>
          </w:tcPr>
          <w:p w14:paraId="555B07C9" w14:textId="77777777" w:rsidR="004F24BB" w:rsidRPr="00DE7219" w:rsidRDefault="004F24BB" w:rsidP="00DE7219">
            <w:pPr>
              <w:spacing w:line="360" w:lineRule="auto"/>
              <w:ind w:left="-1" w:hanging="1"/>
              <w:rPr>
                <w:rFonts w:ascii="Book Antiqua" w:hAnsi="Book Antiqua" w:cstheme="minorHAnsi"/>
                <w:b/>
                <w:sz w:val="24"/>
                <w:szCs w:val="24"/>
              </w:rPr>
            </w:pPr>
          </w:p>
        </w:tc>
        <w:tc>
          <w:tcPr>
            <w:tcW w:w="755" w:type="dxa"/>
            <w:vMerge/>
            <w:tcBorders>
              <w:top w:val="nil"/>
              <w:bottom w:val="single" w:sz="4" w:space="0" w:color="auto"/>
            </w:tcBorders>
          </w:tcPr>
          <w:p w14:paraId="2046843C" w14:textId="77777777" w:rsidR="004F24BB" w:rsidRPr="00DE7219" w:rsidRDefault="004F24BB" w:rsidP="00DE7219">
            <w:pPr>
              <w:spacing w:line="360" w:lineRule="auto"/>
              <w:ind w:left="-1" w:hanging="1"/>
              <w:rPr>
                <w:rFonts w:ascii="Book Antiqua" w:hAnsi="Book Antiqua" w:cstheme="minorHAnsi"/>
                <w:b/>
                <w:sz w:val="24"/>
                <w:szCs w:val="24"/>
              </w:rPr>
            </w:pPr>
          </w:p>
        </w:tc>
        <w:tc>
          <w:tcPr>
            <w:tcW w:w="700" w:type="dxa"/>
            <w:vMerge/>
            <w:tcBorders>
              <w:top w:val="nil"/>
              <w:bottom w:val="single" w:sz="4" w:space="0" w:color="auto"/>
            </w:tcBorders>
          </w:tcPr>
          <w:p w14:paraId="4C4BBFF2" w14:textId="77777777" w:rsidR="004F24BB" w:rsidRPr="00DE7219" w:rsidRDefault="004F24BB" w:rsidP="00DE7219">
            <w:pPr>
              <w:spacing w:line="360" w:lineRule="auto"/>
              <w:ind w:left="-1" w:hanging="1"/>
              <w:rPr>
                <w:rFonts w:ascii="Book Antiqua" w:hAnsi="Book Antiqua" w:cstheme="minorHAnsi"/>
                <w:b/>
                <w:sz w:val="24"/>
                <w:szCs w:val="24"/>
              </w:rPr>
            </w:pPr>
          </w:p>
        </w:tc>
        <w:tc>
          <w:tcPr>
            <w:tcW w:w="709" w:type="dxa"/>
            <w:tcBorders>
              <w:top w:val="nil"/>
              <w:bottom w:val="single" w:sz="4" w:space="0" w:color="auto"/>
            </w:tcBorders>
          </w:tcPr>
          <w:p w14:paraId="110F9211" w14:textId="77777777" w:rsidR="004F24BB" w:rsidRPr="00DE7219" w:rsidRDefault="004F24BB" w:rsidP="00DE7219">
            <w:pPr>
              <w:spacing w:line="360" w:lineRule="auto"/>
              <w:ind w:left="-117" w:right="-108" w:hanging="1"/>
              <w:rPr>
                <w:rFonts w:ascii="Book Antiqua" w:hAnsi="Book Antiqua" w:cstheme="minorHAnsi"/>
                <w:b/>
                <w:sz w:val="24"/>
                <w:szCs w:val="24"/>
              </w:rPr>
            </w:pPr>
            <w:r w:rsidRPr="00DE7219">
              <w:rPr>
                <w:rFonts w:ascii="Book Antiqua" w:hAnsi="Book Antiqua" w:cstheme="minorHAnsi"/>
                <w:b/>
                <w:sz w:val="24"/>
                <w:szCs w:val="24"/>
              </w:rPr>
              <w:t>Baseline</w:t>
            </w:r>
          </w:p>
        </w:tc>
        <w:tc>
          <w:tcPr>
            <w:tcW w:w="567" w:type="dxa"/>
            <w:tcBorders>
              <w:top w:val="nil"/>
              <w:bottom w:val="single" w:sz="4" w:space="0" w:color="auto"/>
            </w:tcBorders>
          </w:tcPr>
          <w:p w14:paraId="1D633FEA"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Post-op</w:t>
            </w:r>
          </w:p>
        </w:tc>
        <w:tc>
          <w:tcPr>
            <w:tcW w:w="576" w:type="dxa"/>
            <w:vMerge/>
            <w:tcBorders>
              <w:top w:val="nil"/>
              <w:bottom w:val="single" w:sz="4" w:space="0" w:color="auto"/>
            </w:tcBorders>
          </w:tcPr>
          <w:p w14:paraId="0397AE28" w14:textId="77777777" w:rsidR="004F24BB" w:rsidRPr="00DE7219" w:rsidRDefault="004F24BB" w:rsidP="00DE7219">
            <w:pPr>
              <w:spacing w:line="360" w:lineRule="auto"/>
              <w:ind w:left="-1" w:hanging="1"/>
              <w:rPr>
                <w:rFonts w:ascii="Book Antiqua" w:hAnsi="Book Antiqua" w:cstheme="minorHAnsi"/>
                <w:b/>
                <w:sz w:val="24"/>
                <w:szCs w:val="24"/>
              </w:rPr>
            </w:pPr>
          </w:p>
        </w:tc>
        <w:tc>
          <w:tcPr>
            <w:tcW w:w="842" w:type="dxa"/>
            <w:vMerge/>
            <w:tcBorders>
              <w:top w:val="nil"/>
              <w:bottom w:val="single" w:sz="4" w:space="0" w:color="auto"/>
            </w:tcBorders>
          </w:tcPr>
          <w:p w14:paraId="6D00E635" w14:textId="77777777" w:rsidR="004F24BB" w:rsidRPr="00DE7219" w:rsidRDefault="004F24BB" w:rsidP="00DE7219">
            <w:pPr>
              <w:spacing w:line="360" w:lineRule="auto"/>
              <w:ind w:left="-1" w:hanging="1"/>
              <w:rPr>
                <w:rFonts w:ascii="Book Antiqua" w:hAnsi="Book Antiqua" w:cstheme="minorHAnsi"/>
                <w:b/>
                <w:sz w:val="24"/>
                <w:szCs w:val="24"/>
              </w:rPr>
            </w:pPr>
          </w:p>
        </w:tc>
        <w:tc>
          <w:tcPr>
            <w:tcW w:w="992" w:type="dxa"/>
            <w:vMerge/>
            <w:tcBorders>
              <w:top w:val="nil"/>
              <w:bottom w:val="single" w:sz="4" w:space="0" w:color="auto"/>
            </w:tcBorders>
          </w:tcPr>
          <w:p w14:paraId="568C6980" w14:textId="77777777" w:rsidR="004F24BB" w:rsidRPr="00DE7219" w:rsidRDefault="004F24BB" w:rsidP="00DE7219">
            <w:pPr>
              <w:spacing w:line="360" w:lineRule="auto"/>
              <w:ind w:left="-1" w:hanging="1"/>
              <w:rPr>
                <w:rFonts w:ascii="Book Antiqua" w:hAnsi="Book Antiqua" w:cstheme="minorHAnsi"/>
                <w:b/>
                <w:sz w:val="24"/>
                <w:szCs w:val="24"/>
              </w:rPr>
            </w:pPr>
          </w:p>
        </w:tc>
        <w:tc>
          <w:tcPr>
            <w:tcW w:w="850" w:type="dxa"/>
            <w:tcBorders>
              <w:top w:val="nil"/>
              <w:bottom w:val="single" w:sz="4" w:space="0" w:color="auto"/>
            </w:tcBorders>
          </w:tcPr>
          <w:p w14:paraId="63B84337"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Baseline</w:t>
            </w:r>
          </w:p>
        </w:tc>
        <w:tc>
          <w:tcPr>
            <w:tcW w:w="851" w:type="dxa"/>
            <w:tcBorders>
              <w:top w:val="nil"/>
              <w:bottom w:val="single" w:sz="4" w:space="0" w:color="auto"/>
            </w:tcBorders>
          </w:tcPr>
          <w:p w14:paraId="2EF78E84" w14:textId="77777777" w:rsidR="004F24BB" w:rsidRPr="00DE7219" w:rsidRDefault="004F24BB" w:rsidP="00DE7219">
            <w:pPr>
              <w:spacing w:line="360" w:lineRule="auto"/>
              <w:ind w:left="-1" w:hanging="1"/>
              <w:rPr>
                <w:rFonts w:ascii="Book Antiqua" w:hAnsi="Book Antiqua" w:cstheme="minorHAnsi"/>
                <w:b/>
                <w:sz w:val="24"/>
                <w:szCs w:val="24"/>
              </w:rPr>
            </w:pPr>
            <w:r w:rsidRPr="00DE7219">
              <w:rPr>
                <w:rFonts w:ascii="Book Antiqua" w:hAnsi="Book Antiqua" w:cstheme="minorHAnsi"/>
                <w:b/>
                <w:sz w:val="24"/>
                <w:szCs w:val="24"/>
              </w:rPr>
              <w:t>Post-op</w:t>
            </w:r>
          </w:p>
        </w:tc>
        <w:tc>
          <w:tcPr>
            <w:tcW w:w="1139" w:type="dxa"/>
            <w:vMerge/>
            <w:tcBorders>
              <w:top w:val="nil"/>
              <w:bottom w:val="single" w:sz="4" w:space="0" w:color="auto"/>
            </w:tcBorders>
          </w:tcPr>
          <w:p w14:paraId="6A232941" w14:textId="77777777" w:rsidR="004F24BB" w:rsidRPr="00DE7219" w:rsidRDefault="004F24BB" w:rsidP="00DE7219">
            <w:pPr>
              <w:spacing w:line="360" w:lineRule="auto"/>
              <w:ind w:left="-1" w:hanging="1"/>
              <w:rPr>
                <w:rFonts w:ascii="Book Antiqua" w:hAnsi="Book Antiqua" w:cstheme="minorHAnsi"/>
                <w:sz w:val="24"/>
                <w:szCs w:val="24"/>
              </w:rPr>
            </w:pPr>
          </w:p>
        </w:tc>
      </w:tr>
      <w:tr w:rsidR="004F24BB" w:rsidRPr="00DE7219" w14:paraId="6CF0233A" w14:textId="137F1D46" w:rsidTr="004F24BB">
        <w:trPr>
          <w:cantSplit/>
          <w:trHeight w:val="239"/>
        </w:trPr>
        <w:tc>
          <w:tcPr>
            <w:tcW w:w="9780" w:type="dxa"/>
            <w:gridSpan w:val="12"/>
          </w:tcPr>
          <w:p w14:paraId="31C4FB79" w14:textId="7544CA28" w:rsidR="004F24BB" w:rsidRPr="00DE7219" w:rsidRDefault="004F24BB" w:rsidP="00DE7219">
            <w:pPr>
              <w:spacing w:line="360" w:lineRule="auto"/>
              <w:ind w:leftChars="50" w:left="105" w:firstLineChars="50" w:firstLine="120"/>
              <w:rPr>
                <w:rFonts w:ascii="Book Antiqua" w:hAnsi="Book Antiqua" w:cstheme="minorHAnsi"/>
                <w:sz w:val="24"/>
                <w:szCs w:val="24"/>
              </w:rPr>
            </w:pPr>
            <w:proofErr w:type="spellStart"/>
            <w:r w:rsidRPr="00DE7219">
              <w:rPr>
                <w:rFonts w:ascii="Book Antiqua" w:hAnsi="Book Antiqua" w:cstheme="minorHAnsi"/>
                <w:sz w:val="24"/>
                <w:szCs w:val="24"/>
              </w:rPr>
              <w:t>Bonavina</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{"citationItems":[{"id":"ITEM-1","itemData":{"DOI":"10.1007/s11605-008-0698-1","ISSN":"1091-255X","PMID":"18846406","abstract":"BACKGROUND The high prevalence of gastroesophageal reflux disease continues to encourage the development of treatment modalities to fill the gap between acid-suppression therapy and the laparoscopic Nissen fundoplication. The Magnetic Sphincter Augmentation device has been designed to augment the lower esophageal sphincter barrier using magnetic force. A multi-center feasibility trial was done to evaluate safety and efficacy. METHODS Patients with typical heartburn (at least partially responding to proton-pump inhibitors), abnormal esophageal acid exposure, and normal esophageal peristalsis were enrolled. Patients with hiatal hernia &gt;3 cm were excluded from the study. The device was implanted laparoscopically around the distal esophagus. RESULTS Over a 1-year period, 38 out of 41 enrolled patients underwent this procedure in 3 hospitals. No operative complications were recorded. A free diet was allowed since post-operative day one, and 97% of patients were discharged within 48 h. The mean follow-up was 209 days (range 12-434 days). The GERD-HRQL score decreased from 26.0 to 1.0 (p &lt; 0.005). At 3 months post-operatively, 89% of patients were off anti-reflux medications, and 79% of patients had a normal 24-h pH test. All patients preserved the ability to belch. Mild dysphagia occurred in 45% of patients. No migrations or erosions of the device occurred. CONCLUSIONS Laparoscopic implant of the MSA device is safe and well tolerated. It requires minimal surgical dissection and a short learning curve compared to the conventional Nissen fundoplication.","author":[{"dropping-particle":"","family":"Bonavina","given":"Luigi","non-dropping-particle":"","parse-names":false,"suffix":""},{"dropping-particle":"","family":"Saino","given":"Greta I.","non-dropping-particle":"","parse-names":false,"suffix":""},{"dropping-particle":"","family":"Bona","given":"Davide","non-dropping-particle":"","parse-names":false,"suffix":""},{"dropping-particle":"","family":"Lipham","given":"John","non-dropping-particle":"","parse-names":false,"suffix":""},{"dropping-particle":"","family":"Ganz","given":"Robert A.","non-dropping-particle":"","parse-names":false,"suffix":""},{"dropping-particle":"","family":"Dunn","given":"Daniel","non-dropping-particle":"","parse-names":false,"suffix":""},{"dropping-particle":"","family":"DeMeester","given":"Tom","non-dropping-particle":"","parse-names":false,"suffix":""}],"container-title":"Journal of Gastrointestinal Surgery","id":"ITEM-1","issue":"12","issued":{"date-parts":[["2008","12","10"]]},"page":"2133-2140","title":"Magnetic Augmentation of the Lower Esophageal Sphincter: Results of a Feasibility Clinical Trial","type":"article-journal","volume":"12"},"uris":["http://www.mendeley.com/documents/?uuid=5a38909f-6938-3a5f-a068-617563c7fce6"]}],"mendeley":{"formattedCitation":"[11]","plainTextFormattedCitation":"[11]","previouslyFormattedCitation":"[11]"},"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[11]</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xml:space="preserve">, 2008; </w:t>
            </w:r>
            <w:proofErr w:type="spellStart"/>
            <w:r w:rsidRPr="00DE7219">
              <w:rPr>
                <w:rFonts w:ascii="Book Antiqua" w:hAnsi="Book Antiqua" w:cstheme="minorHAnsi"/>
                <w:sz w:val="24"/>
                <w:szCs w:val="24"/>
              </w:rPr>
              <w:t>Bonavina</w:t>
            </w:r>
            <w:proofErr w:type="spellEnd"/>
            <w:r w:rsidRPr="00DE7219">
              <w:rPr>
                <w:rFonts w:ascii="Book Antiqua" w:hAnsi="Book Antiqua" w:cstheme="minorHAnsi"/>
                <w:sz w:val="24"/>
                <w:szCs w:val="24"/>
              </w:rPr>
              <w:t xml:space="preserve">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{"citationItems":[{"id":"ITEM-1","itemData":{"DOI":"10.1097/SLA.0b013e3181fd879b","ISSN":"0003-4932","PMID":"21037442","abstract":"OBJECTIVES One- and 2-year evaluation of a feasibility trial (clinicaltrials.gov registration numbers NCT01057992, NCT01058070, and 01058564) to assess the safety and efficacy of a laparoscopically implanted sphincter augmentation device for the treatment of gastroesophageal reflux disease (GERD). METHODS A sphincter augmentation device (LINX Reflux Management System; Torax Medical, Shoreview, MN), designed to prevent reflux due to abnormal opening of the lower esophageal sphincter (LES), was laparoscopically implanted at the gastroesophageal junction in 44 patients. At baseline, all patients had abnormal esophageal acid exposure on 24-hour pH monitoring and improved, but persistent, typical GERD symptoms while on acid suppression therapy with proton pump inhibitors (PPIs). The device comprises a miniature string of interlinked titanium beads, with magnetic cores, placed around the gastroesophageal junction. The magnetic bond between adjacent beads augments sphincter competence. The beads temporarily separate to accommodate a swallowed bolus, allow belching or vomiting, and reapproximate to augment the LES in the closed position. Patients were evaluated after surgery by GERD Health-Related Quality of Life symptom score, PPI usage, endoscopy, esophageal manometry, and 24-hour esophageal pH monitoring. RESULTS The total mean GERD Health-Related Quality of Life symptom scores improved from a mean baseline value of 25.7 to 3.8 and 2.4 at 1- and 2-year follow-up, representing an 85% and 90% reduction, respectively (P &lt; 0.0001). Complete cessation of PPI use was reported by 90% of patients at 1 year and by 86% of patients at 2 years. Early dysphagia occurred in 43% of the patients and self-resolved by 90 days. One device was laparoscopically explanted for persistent dysphagia without disruption of the anatomy or function of the cardia. There were no device migrations, erosions, or induced mucosal injuries. At 1 and 2 years, 77% and 90% of patients had a normal esophageal acid exposure. The mean percentage time pH was less than 4 decreased from a baseline of 11.9% to 3.1% (P &lt; 0.0001) at 1 year and to 2.4% (P &lt; 0.0001) at 2 years. Patient satisfaction was 87% at 1 year and 86% at 2 years. CONCLUSIONS The new laparoscopically implanted sphincter augmentation device eliminates GERD symptoms without creating undue side effects and is effective at 1 and 2 years of follow-up.","author":[{"dropping-particle":"","family":"Bonavina","given":"Luigi","non-dropping-particle":"","parse-names":false,"suffix":""},{"dropping-particle":"","family":"DeMeester","given":"Tom","non-dropping-particle":"","parse-names":false,"suffix":""},{"dropping-particle":"","family":"Fockens","given":"Paul","non-dropping-particle":"","parse-names":false,"suffix":""},{"dropping-particle":"","family":"Dunn","given":"Daniel","non-dropping-particle":"","parse-names":false,"suffix":""},{"dropping-particle":"","family":"Saino","given":"Greta","non-dropping-particle":"","parse-names":false,"suffix":""},{"dropping-particle":"","family":"Bona","given":"Davide","non-dropping-particle":"","parse-names":false,"suffix":""},{"dropping-particle":"","family":"Lipham","given":"John","non-dropping-particle":"","parse-names":false,"suffix":""},{"dropping-particle":"","family":"Bemelman","given":"Willem","non-dropping-particle":"","parse-names":false,"suffix":""},{"dropping-particle":"","family":"Ganz","given":"Robert A.","non-dropping-particle":"","parse-names":false,"suffix":""}],"container-title":"Annals of Surgery","id":"ITEM-1","issue":"5","issued":{"date-parts":[["2010","11"]]},"page":"857-862","title":"Laparoscopic Sphincter Augmentation Device Eliminates Reflux Symptoms and Normalizes Esophageal Acid Exposure","type":"article-journal","volume":"252"},"uris":["http://www.mendeley.com/documents/?uuid=c757ddd4-37fe-3f75-921a-688cd49c3706"]}],"mendeley":{"formattedCitation":"[21]","plainTextFormattedCitation":"[21]","previouslyFormattedCitation":"[21]"},"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0</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xml:space="preserve">, 2010; Lipham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{"citationItems":[{"id":"ITEM-1","itemData":{"DOI":"10.1007/s00464-012-2289-1","ISSN":"0930-2794","PMID":"22538694","abstract":"BACKGROUND Sphincter augmentation with the LINX® Reflux Management System is a surgical option for patients with chronic gastroesophageal disease (GERD) and an inadequate response to proton pump inhibitors (PPIs). Clinical experience with sphincter augmentation is now available out to 4 years. METHODS In a multicenter, prospective, single-arm study, 44 patients underwent a laparoscopic surgical procedure for placement of the LINX System around the gastroesophageal junction (GEJ). Each patient's baseline GERD status served as the control for evaluations post implant. Long-term efficacy measures included esophageal acid exposure, GERD quality-of-life measures, and use of PPIs. Adverse events and long-term complications were closely monitored. RESULTS For esophageal acid exposure, the mean total % time pH &lt; 4 was reduced from 11.9 % at baseline to 3.8 % at 3 years (p &lt; 0.001), with 80 % (18/20) of patients achieving pH normalization (≤ 5.3 %). At ≥ 4 years, 100 % (23/23) of the patients had improved quality-of-life measures for GERD, and 80 % (20/25) had complete cessation of the use of PPIs. There have been no reports of death or long-term device-related complications such as migration or erosion. CONCLUSIONS Sphincter augmentation with the LINX Reflux Management System provided long-term clinical benefits with no safety issues, as demonstrated by reduced esophageal acid exposure, improved GERD-related quality of life, and cessation of dependence on PPIs, with minimal side effects and no safety issues. Patients with inadequate symptom control with acid suppression therapy may benefit from treatment with sphincter augmentation.","author":[{"dropping-particle":"","family":"Lipham","given":"John C.","non-dropping-particle":"","parse-names":false,"suffix":""},{"dropping-particle":"","family":"DeMeester","given":"Tom R.","non-dropping-particle":"","parse-names":false,"suffix":""},{"dropping-particle":"","family":"Ganz","given":"Robert A.","non-dropping-particle":"","parse-names":false,"suffix":""},{"dropping-particle":"","family":"Bonavina","given":"Luigi","non-dropping-particle":"","parse-names":false,"suffix":""},{"dropping-particle":"","family":"Saino","given":"Greta","non-dropping-particle":"","parse-names":false,"suffix":""},{"dropping-particle":"","family":"Dunn","given":"Daniel H.","non-dropping-particle":"","parse-names":false,"suffix":""},{"dropping-particle":"","family":"Fockens","given":"Paul","non-dropping-particle":"","parse-names":false,"suffix":""},{"dropping-particle":"","family":"Bemelman","given":"Willem","non-dropping-particle":"","parse-names":false,"suffix":""}],"container-title":"Surgical Endoscopy","id":"ITEM-1","issue":"10","issued":{"date-parts":[["2012","10","27"]]},"page":"2944-2949","title":"The LINX® reflux management system: confirmed safety and efficacy now at 4 years","type":"article-journal","volume":"26"},"uris":["http://www.mendeley.com/documents/?uuid=ee3bbdce-d771-3219-9977-a070865ab80a"]}],"mendeley":{"formattedCitation":"[22]","plainTextFormattedCitation":"[22]","previouslyFormattedCitation":"[22]"},"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1</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xml:space="preserve">, 2012; </w:t>
            </w:r>
            <w:proofErr w:type="spellStart"/>
            <w:r w:rsidRPr="00DE7219">
              <w:rPr>
                <w:rFonts w:ascii="Book Antiqua" w:hAnsi="Book Antiqua" w:cstheme="minorHAnsi"/>
                <w:sz w:val="24"/>
                <w:szCs w:val="24"/>
              </w:rPr>
              <w:t>Saino</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{"citationItems":[{"id":"ITEM-1","itemData":{"DOI":"10.1089/lap.2015.0394","ISSN":"1557-9034","PMID":"26437027","abstract":"BACKGROUND As previously reported, the magnetic sphincter augmentation device (MSAD) preserves gastric anatomy and results in less severe side effects than traditional antireflux surgery. The final 5-year results of a pilot study are reported here. PATIENTS AND METHODS A prospective, multicenter study evaluated safety and efficacy of the MSAD for 5 years. Prior to MSAD placement, patients had abnormal esophageal acid and symptoms poorly controlled by proton pump inhibitors (PPIs). Patients served as their own control, which allowed comparison between baseline and postoperative measurements to determine individual treatment effect. At 5 years, gastroesophageal reflux disease (GERD)-Health Related Quality of Life (HRQL) questionnaire score, esophageal pH, PPI use, and complications were evaluated. RESULTS Between February 2007 and October 2008, 44 patients (26 males) had an MSAD implanted by laparoscopy, and 33 patients were followed up at 5 years. Mean total percentage of time with pH &lt;4 was 11.9% at baseline and 4.6% at 5 years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.001), with 85% of patients achieving pH normalization or at least a 50% reduction. Mean total GERD-HRQL score improved significantly from 25.7 to 2.9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.001) when comparing baseline and 5 years, and 93.9% of patients had at least a 50% reduction in total score compared with baseline. Complete discontinuation of PPIs was achieved by 87.8% of patients. No complications occurred in the long term, including no device erosions or migrations at any point. CONCLUSIONS Based on long-term reduction in esophageal acid, symptom improvement, and no late complications, this study shows the relative safety and efficacy of magnetic sphincter augmentation for GERD.","author":[{"dropping-particle":"","family":"Saino","given":"Greta","non-dropping-particle":"","parse-names":false,"suffix":""},{"dropping-particle":"","family":"Bonavina","given":"Luigi","non-dropping-particle":"","parse-names":false,"suffix":""},{"dropping-particle":"","family":"Lipham","given":"John C","non-dropping-particle":"","parse-names":false,"suffix":""},{"dropping-particle":"","family":"Dunn","given":"Daniel","non-dropping-particle":"","parse-names":false,"suffix":""},{"dropping-particle":"","family":"Ganz","given":"Robert A","non-dropping-particle":"","parse-names":false,"suffix":""}],"container-title":"Journal of laparoendoscopic &amp; advanced surgical techniques. Part A","id":"ITEM-1","issue":"10","issued":{"date-parts":[["2015","10"]]},"page":"787-92","publisher":"Mary Ann Liebert, Inc.","title":"Magnetic Sphincter Augmentation for Gastroesophageal Reflux at 5 Years: Final Results of a Pilot Study Show Long-Term Acid Reduction and Symptom Improvement.","type":"article-journal","volume":"25"},"uris":["http://www.mendeley.com/documents/?uuid=02572a7e-7f8a-3785-9915-b0c98cb58356"]}],"mendeley":{"formattedCitation":"[23]","plainTextFormattedCitation":"[23]","previouslyFormattedCitation":"[23]"},"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2</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4674" w:type="dxa"/>
            <w:gridSpan w:val="5"/>
          </w:tcPr>
          <w:p w14:paraId="0E92D4A8" w14:textId="012E7FE4"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iCs/>
                <w:sz w:val="24"/>
                <w:szCs w:val="24"/>
              </w:rPr>
              <w:t xml:space="preserve">Patient groups part of </w:t>
            </w:r>
            <w:proofErr w:type="spellStart"/>
            <w:r w:rsidRPr="00DE7219">
              <w:rPr>
                <w:rFonts w:ascii="Book Antiqua" w:hAnsi="Book Antiqua" w:cstheme="minorHAnsi"/>
                <w:iCs/>
                <w:sz w:val="24"/>
                <w:szCs w:val="24"/>
              </w:rPr>
              <w:t>Bonavina</w:t>
            </w:r>
            <w:proofErr w:type="spellEnd"/>
            <w:r w:rsidRPr="00DE7219">
              <w:rPr>
                <w:rFonts w:ascii="Book Antiqua" w:hAnsi="Book Antiqua" w:cstheme="minorHAnsi"/>
                <w:i/>
                <w:sz w:val="24"/>
                <w:szCs w:val="24"/>
              </w:rPr>
              <w:t xml:space="preserve"> et al</w:t>
            </w:r>
            <w:r w:rsidRPr="00DE7219">
              <w:rPr>
                <w:rFonts w:ascii="Book Antiqua" w:hAnsi="Book Antiqua" w:cstheme="minorHAnsi"/>
                <w:iCs/>
                <w:sz w:val="24"/>
                <w:szCs w:val="24"/>
                <w:vertAlign w:val="superscript"/>
              </w:rPr>
              <w:t>[13]</w:t>
            </w:r>
            <w:r w:rsidRPr="00DE7219">
              <w:rPr>
                <w:rFonts w:ascii="Book Antiqua" w:hAnsi="Book Antiqua" w:cstheme="minorHAnsi"/>
                <w:i/>
                <w:sz w:val="24"/>
                <w:szCs w:val="24"/>
              </w:rPr>
              <w:t>, 2013</w:t>
            </w:r>
          </w:p>
        </w:tc>
      </w:tr>
      <w:tr w:rsidR="004F24BB" w:rsidRPr="00DE7219" w14:paraId="166AFC2B" w14:textId="5603BE62" w:rsidTr="004F24BB">
        <w:trPr>
          <w:cantSplit/>
          <w:trHeight w:val="175"/>
        </w:trPr>
        <w:tc>
          <w:tcPr>
            <w:tcW w:w="9780" w:type="dxa"/>
            <w:gridSpan w:val="12"/>
          </w:tcPr>
          <w:p w14:paraId="538452D8" w14:textId="5615B063" w:rsidR="004F24BB" w:rsidRPr="00DE7219" w:rsidRDefault="004F24BB" w:rsidP="00DE7219">
            <w:pPr>
              <w:spacing w:line="360" w:lineRule="auto"/>
              <w:ind w:firstLineChars="100" w:firstLine="240"/>
              <w:rPr>
                <w:rFonts w:ascii="Book Antiqua" w:hAnsi="Book Antiqua" w:cstheme="minorHAnsi"/>
                <w:sz w:val="24"/>
                <w:szCs w:val="24"/>
              </w:rPr>
            </w:pPr>
            <w:r w:rsidRPr="00DE7219">
              <w:rPr>
                <w:rFonts w:ascii="Book Antiqua" w:hAnsi="Book Antiqua" w:cstheme="minorHAnsi"/>
                <w:sz w:val="24"/>
                <w:szCs w:val="24"/>
              </w:rPr>
              <w:t xml:space="preserve">Ganz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{"citationItems":[{"id":"ITEM-1","itemData":{"DOI":"10.1056/NEJMoa1205544","ISSN":"0028-4793","abstract":"Background Patients with gastroesophageal reflux disease who have a partial response to proton-pump inhibitors often seek alternative therapy. We evaluated the safety and effectiveness of a new mag...","author":[{"dropping-particle":"","family":"Ganz","given":"Robert A.","non-dropping-particle":"","parse-names":false,"suffix":""},{"dropping-particle":"","family":"Peters","given":"Jeffrey H.","non-dropping-particle":"","parse-names":false,"suffix":""},{"dropping-particle":"","family":"Horgan","given":"Santiago","non-dropping-particle":"","parse-names":false,"suffix":""},{"dropping-particle":"","family":"Bemelman","given":"Willem A.","non-dropping-particle":"","parse-names":false,"suffix":""},{"dropping-particle":"","family":"Dunst","given":"Christy M.","non-dropping-particle":"","parse-names":false,"suffix":""},{"dropping-particle":"","family":"Edmundowicz","given":"Steven A.","non-dropping-particle":"","parse-names":false,"suffix":""},{"dropping-particle":"","family":"Lipham","given":"John C.","non-dropping-particle":"","parse-names":false,"suffix":""},{"dropping-particle":"","family":"Luketich","given":"James D.","non-dropping-particle":"","parse-names":false,"suffix":""},{"dropping-particle":"","family":"Melvin","given":"W. Scott","non-dropping-particle":"","parse-names":false,"suffix":""},{"dropping-particle":"","family":"Oelschlager","given":"Brant K.","non-dropping-particle":"","parse-names":false,"suffix":""},{"dropping-particle":"","family":"Schlack-Haerer","given":"Steven C.","non-dropping-particle":"","parse-names":false,"suffix":""},{"dropping-particle":"","family":"Smith","given":"C. Daniel","non-dropping-particle":"","parse-names":false,"suffix":""},{"dropping-particle":"","family":"Smith","given":"Christopher C.","non-dropping-particle":"","parse-names":false,"suffix":""},{"dropping-particle":"","family":"Dunn","given":"Dan","non-dropping-particle":"","parse-names":false,"suffix":""},{"dropping-particle":"","family":"Taiganides","given":"Paul A.","non-dropping-particle":"","parse-names":false,"suffix":""}],"container-title":"New England Journal of Medicine","id":"ITEM-1","issue":"8","issued":{"date-parts":[["2013","2","21"]]},"page":"719-727","publisher":" Massachusetts Medical Society ","title":"Esophageal Sphincter Device for Gastroesophageal Reflux Disease","type":"article-journal","volume":"368"},"uris":["http://www.mendeley.com/documents/?uuid=37854de8-426b-3b52-bcab-3fa593d3b4ed"]}],"mendeley":{"formattedCitation":"[24]","plainTextFormattedCitation":"[24]","previouslyFormattedCitation":"[24]"},"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3</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2013</w:t>
            </w:r>
          </w:p>
        </w:tc>
        <w:tc>
          <w:tcPr>
            <w:tcW w:w="4674" w:type="dxa"/>
            <w:gridSpan w:val="5"/>
          </w:tcPr>
          <w:p w14:paraId="68ABA70A" w14:textId="4273C210"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 xml:space="preserve">Same patient group with Ganz </w:t>
            </w:r>
            <w:r w:rsidRPr="00DE7219">
              <w:rPr>
                <w:rFonts w:ascii="Book Antiqua" w:hAnsi="Book Antiqua" w:cstheme="minorHAnsi"/>
                <w:i/>
                <w:iCs/>
                <w:sz w:val="24"/>
                <w:szCs w:val="24"/>
              </w:rPr>
              <w:t>et al</w:t>
            </w:r>
            <w:r w:rsidR="00E879CF" w:rsidRPr="00DE7219">
              <w:rPr>
                <w:rFonts w:ascii="Book Antiqua" w:hAnsi="Book Antiqua" w:cstheme="minorHAnsi"/>
                <w:sz w:val="24"/>
                <w:szCs w:val="24"/>
                <w:vertAlign w:val="superscript"/>
              </w:rPr>
              <w:fldChar w:fldCharType="begin" w:fldLock="1"/>
            </w:r>
            <w:r w:rsidR="00E879CF" w:rsidRPr="00DE7219">
              <w:rPr>
                <w:rFonts w:ascii="Book Antiqua" w:hAnsi="Book Antiqua" w:cstheme="minorHAnsi"/>
                <w:sz w:val="24"/>
                <w:szCs w:val="24"/>
                <w:vertAlign w:val="superscript"/>
              </w:rPr>
              <w:instrText>ADDIN CSL_CITATION {"citationItems":[{"id":"ITEM-1","itemData":{"DOI":"10.1056/NEJMoa1205544","ISSN":"0028-4793","abstract":"Background Patients with gastroesophageal reflux disease who have a partial response to proton-pump inhibitors often seek alternative therapy. We evaluated the safety and effectiveness of a new mag...","author":[{"dropping-particle":"","family":"Ganz","given":"Robert A.","non-dropping-particle":"","parse-names":false,"suffix":""},{"dropping-particle":"","family":"Peters","given":"Jeffrey H.","non-dropping-particle":"","parse-names":false,"suffix":""},{"dropping-particle":"","family":"Horgan","given":"Santiago","non-dropping-particle":"","parse-names":false,"suffix":""},{"dropping-particle":"","family":"Bemelman","given":"Willem A.","non-dropping-particle":"","parse-names":false,"suffix":""},{"dropping-particle":"","family":"Dunst","given":"Christy M.","non-dropping-particle":"","parse-names":false,"suffix":""},{"dropping-particle":"","family":"Edmundowicz","given":"Steven A.","non-dropping-particle":"","parse-names":false,"suffix":""},{"dropping-particle":"","family":"Lipham","given":"John C.","non-dropping-particle":"","parse-names":false,"suffix":""},{"dropping-particle":"","family":"Luketich","given":"James D.","non-dropping-particle":"","parse-names":false,"suffix":""},{"dropping-particle":"","family":"Melvin","given":"W. Scott","non-dropping-particle":"","parse-names":false,"suffix":""},{"dropping-particle":"","family":"Oelschlager","given":"Brant K.","non-dropping-particle":"","parse-names":false,"suffix":""},{"dropping-particle":"","family":"Schlack-Haerer","given":"Steven C.","non-dropping-particle":"","parse-names":false,"suffix":""},{"dropping-particle":"","family":"Smith","given":"C. Daniel","non-dropping-particle":"","parse-names":false,"suffix":""},{"dropping-particle":"","family":"Smith","given":"Christopher C.","non-dropping-particle":"","parse-names":false,"suffix":""},{"dropping-particle":"","family":"Dunn","given":"Dan","non-dropping-particle":"","parse-names":false,"suffix":""},{"dropping-particle":"","family":"Taiganides","given":"Paul A.","non-dropping-particle":"","parse-names":false,"suffix":""}],"container-title":"New England Journal of Medicine","id":"ITEM-1","issue":"8","issued":{"date-parts":[["2013","2","21"]]},"page":"719-727","publisher":" Massachusetts Medical Society ","title":"Esophageal Sphincter Device for Gastroesophageal Reflux Disease","type":"article-journal","volume":"368"},"uris":["http://www.mendeley.com/documents/?uuid=37854de8-426b-3b52-bcab-3fa593d3b4ed"]}],"mendeley":{"formattedCitation":"[24]","plainTextFormattedCitation":"[24]","previouslyFormattedCitation":"[24]"},"properties":{"noteIndex":0},"schema":"https://github.com/citation-style-language/schema/raw/master/csl-citation.json"}</w:instrText>
            </w:r>
            <w:r w:rsidR="00E879CF" w:rsidRPr="00DE7219">
              <w:rPr>
                <w:rFonts w:ascii="Book Antiqua" w:hAnsi="Book Antiqua" w:cstheme="minorHAnsi"/>
                <w:sz w:val="24"/>
                <w:szCs w:val="24"/>
                <w:vertAlign w:val="superscript"/>
              </w:rPr>
              <w:fldChar w:fldCharType="separate"/>
            </w:r>
            <w:r w:rsidR="00E879CF" w:rsidRPr="00DE7219">
              <w:rPr>
                <w:rFonts w:ascii="Book Antiqua" w:hAnsi="Book Antiqua" w:cstheme="minorHAnsi"/>
                <w:noProof/>
                <w:sz w:val="24"/>
                <w:szCs w:val="24"/>
                <w:vertAlign w:val="superscript"/>
              </w:rPr>
              <w:t>[23]</w:t>
            </w:r>
            <w:r w:rsidR="00E879CF"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2013</w:t>
            </w:r>
          </w:p>
        </w:tc>
      </w:tr>
      <w:tr w:rsidR="004F24BB" w:rsidRPr="00DE7219" w14:paraId="3E4B6FB7" w14:textId="77777777" w:rsidTr="004F24BB">
        <w:trPr>
          <w:cantSplit/>
          <w:trHeight w:val="359"/>
        </w:trPr>
        <w:tc>
          <w:tcPr>
            <w:tcW w:w="1263" w:type="dxa"/>
          </w:tcPr>
          <w:p w14:paraId="2158ACFA" w14:textId="14498BCA"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Bonavina</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jamcollsurg.2013.04.039","ISSN":"10727515","author":[{"dropping-particle":"","family":"Bonavina","given":"Luigi","non-dropping-particle":"","parse-names":false,"suffix":""},{"dropping-particle":"","family":"Saino","given":"Greta","non-dropping-particle":"","parse-names":false,"suffix":""},{"dropping-particle":"","family":"Bona","given":"Davide","non-dropping-particle":"","parse-names":false,"suffix":""},{"dropping-particle":"","family":"Sironi","given":"Andrea","non-dropping-particle":"","parse-names":false,"suffix":""},{"dropping-particle":"","family":"Lazzari","given":"Veronica","non-dropping-particle":"","parse-names":false,"suffix":""}],"container-title":"Journal of the American College of Surgeons","id":"ITEM-1","issue":"4","issued":{"date-parts":[["2013","10"]]},"page":"577-585","title":"One Hundred Consecutive Patients Treated with Magnetic Sphincter Augmentation for Gastroesophageal Reflux Disease: 6 Years of Clinical Experience from a Single Center","type":"article-journal","volume":"217"},"uris":["http://www.mendeley.com/documents/?uuid=52137896-aec5-3f2e-b954-1bc45c5be368"]}],"mendeley":{"formattedCitation":"[25]","plainTextFormattedCitation":"[25]","previouslyFormattedCitation":"[25]"},"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4</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2013</w:t>
            </w:r>
          </w:p>
        </w:tc>
        <w:tc>
          <w:tcPr>
            <w:tcW w:w="715" w:type="dxa"/>
          </w:tcPr>
          <w:p w14:paraId="61F0C4D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2007-2012</w:t>
            </w:r>
          </w:p>
        </w:tc>
        <w:tc>
          <w:tcPr>
            <w:tcW w:w="991" w:type="dxa"/>
          </w:tcPr>
          <w:p w14:paraId="6CBD4E8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579FDF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12-72</w:t>
            </w:r>
          </w:p>
        </w:tc>
        <w:tc>
          <w:tcPr>
            <w:tcW w:w="799" w:type="dxa"/>
          </w:tcPr>
          <w:p w14:paraId="240FADE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088EC5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100 (95)</w:t>
            </w:r>
          </w:p>
        </w:tc>
        <w:tc>
          <w:tcPr>
            <w:tcW w:w="813" w:type="dxa"/>
          </w:tcPr>
          <w:p w14:paraId="682EC51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44.5</w:t>
            </w:r>
          </w:p>
        </w:tc>
        <w:tc>
          <w:tcPr>
            <w:tcW w:w="755" w:type="dxa"/>
          </w:tcPr>
          <w:p w14:paraId="654B94E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24</w:t>
            </w:r>
          </w:p>
        </w:tc>
        <w:tc>
          <w:tcPr>
            <w:tcW w:w="700" w:type="dxa"/>
          </w:tcPr>
          <w:p w14:paraId="1F9BB5A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47</w:t>
            </w:r>
          </w:p>
        </w:tc>
        <w:tc>
          <w:tcPr>
            <w:tcW w:w="709" w:type="dxa"/>
          </w:tcPr>
          <w:p w14:paraId="3393FAA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42.3</w:t>
            </w:r>
          </w:p>
        </w:tc>
        <w:tc>
          <w:tcPr>
            <w:tcW w:w="567" w:type="dxa"/>
          </w:tcPr>
          <w:p w14:paraId="4F0349E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11.2</w:t>
            </w:r>
          </w:p>
        </w:tc>
        <w:tc>
          <w:tcPr>
            <w:tcW w:w="576" w:type="dxa"/>
          </w:tcPr>
          <w:p w14:paraId="4C372B7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85%</w:t>
            </w:r>
          </w:p>
        </w:tc>
        <w:tc>
          <w:tcPr>
            <w:tcW w:w="842" w:type="dxa"/>
          </w:tcPr>
          <w:p w14:paraId="7B8A3F9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992" w:type="dxa"/>
          </w:tcPr>
          <w:p w14:paraId="01B5ED1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3B54E9B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16-24</w:t>
            </w:r>
          </w:p>
        </w:tc>
        <w:tc>
          <w:tcPr>
            <w:tcW w:w="851" w:type="dxa"/>
          </w:tcPr>
          <w:p w14:paraId="4396D5F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1139" w:type="dxa"/>
          </w:tcPr>
          <w:p w14:paraId="0C9B565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r>
      <w:tr w:rsidR="004F24BB" w:rsidRPr="00DE7219" w14:paraId="39BA5F77" w14:textId="77777777" w:rsidTr="004F24BB">
        <w:trPr>
          <w:cantSplit/>
          <w:trHeight w:val="351"/>
        </w:trPr>
        <w:tc>
          <w:tcPr>
            <w:tcW w:w="1263" w:type="dxa"/>
          </w:tcPr>
          <w:p w14:paraId="6F0996D8" w14:textId="4D01D609"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Smith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{"citationItems":[{"id":"ITEM-1","itemData":{"DOI":"10.1016/j.jamcollsurg.2013.12.034","ISSN":"10727515","author":[{"dropping-particle":"","family":"Smith","given":"C. Daniel","non-dropping-particle":"","parse-names":false,"suffix":""},{"dropping-particle":"","family":"DeVault","given":"Kenneth R.","non-dropping-particle":"","parse-names":false,"suffix":""},{"dropping-particle":"","family":"Buchanan","given":"Mauricia","non-dropping-particle":"","parse-names":false,"suffix":""}],"container-title":"Journal of the American College of Surgeons","id":"ITEM-1","issue":"4","issued":{"date-parts":[["2014","4"]]},"page":"776-781","title":"Introduction of Mechanical Sphincter Augmentation for Gastroesophageal Reflux Disease into Practice: Early Clinical Outcomes and Keys to Successful Adoption","type":"article-journal","volume":"218"},"uris":["http://www.mendeley.com/documents/?uuid=7cd563a6-1b89-31e7-b9e9-5a69aeee5086"]}],"mendeley":{"formattedCitation":"[26]","plainTextFormattedCitation":"[26]","previouslyFormattedCitation":"[26]"},"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5</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2014</w:t>
            </w:r>
          </w:p>
        </w:tc>
        <w:tc>
          <w:tcPr>
            <w:tcW w:w="715" w:type="dxa"/>
          </w:tcPr>
          <w:p w14:paraId="5DECD4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2011-2013</w:t>
            </w:r>
          </w:p>
        </w:tc>
        <w:tc>
          <w:tcPr>
            <w:tcW w:w="991" w:type="dxa"/>
          </w:tcPr>
          <w:p w14:paraId="61A9D1F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4AE7D36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1-18.6</w:t>
            </w:r>
          </w:p>
        </w:tc>
        <w:tc>
          <w:tcPr>
            <w:tcW w:w="799" w:type="dxa"/>
          </w:tcPr>
          <w:p w14:paraId="3AA51F5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6BB0CE3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66 (66)</w:t>
            </w:r>
          </w:p>
        </w:tc>
        <w:tc>
          <w:tcPr>
            <w:tcW w:w="813" w:type="dxa"/>
          </w:tcPr>
          <w:p w14:paraId="78E3B38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53.7</w:t>
            </w:r>
          </w:p>
        </w:tc>
        <w:tc>
          <w:tcPr>
            <w:tcW w:w="755" w:type="dxa"/>
          </w:tcPr>
          <w:p w14:paraId="526B07A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700" w:type="dxa"/>
          </w:tcPr>
          <w:p w14:paraId="6F1161C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tcPr>
          <w:p w14:paraId="08E07CB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271D2A2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w:t>
            </w:r>
          </w:p>
        </w:tc>
        <w:tc>
          <w:tcPr>
            <w:tcW w:w="842" w:type="dxa"/>
          </w:tcPr>
          <w:p w14:paraId="24E72AC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992" w:type="dxa"/>
          </w:tcPr>
          <w:p w14:paraId="536103D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4BDDFA8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851" w:type="dxa"/>
          </w:tcPr>
          <w:p w14:paraId="1DE093D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w:t>
            </w:r>
          </w:p>
        </w:tc>
        <w:tc>
          <w:tcPr>
            <w:tcW w:w="1139" w:type="dxa"/>
          </w:tcPr>
          <w:p w14:paraId="4B954D1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4C2EEF55" w14:textId="77777777" w:rsidTr="004F24BB">
        <w:trPr>
          <w:cantSplit/>
          <w:trHeight w:val="359"/>
        </w:trPr>
        <w:tc>
          <w:tcPr>
            <w:tcW w:w="1263" w:type="dxa"/>
          </w:tcPr>
          <w:p w14:paraId="3DED2D59" w14:textId="080C3BE6"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Ganz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{"citationItems":[{"id":"ITEM-1","itemData":{"DOI":"10.1016/j.cgh.2015.05.028","ISSN":"15423565","PMID":"26044316","abstract":"BACKGROUND &amp; AIMS Based on results from year 2 of a 5-year trial, in 2012 the US Food and Drug Administration approved the use of a magnetic device to augment lower esophageal sphincter function in patients with gastroesophageal reflux disease (GERD). We report the final results of 5 years of follow-up evaluation of patients who received this device. METHODS We performed a prospective study of the safety and efficacy of a magnetic device in 100 adults with GERD for 6 months or more, who were partially responsive to daily proton pump inhibitors (PPIs) and had evidence of pathologic esophageal acid exposure, at 14 centers in the United States and The Netherlands. The magnetic device was placed using standard laparoscopic tools and techniques. Eighty-five subjects were followed up for 5 years to evaluate quality of life, reflux control, use of PPIs, and side effects. The GERD-health-related quality of life (GERD-HRQL) questionnaire was administered at baseline to patients on and off PPIs, and after placement of the device; patients served as their own controls. A partial response to PPIs was defined as a GERD-HRQL score of 10 or less on PPIs and a score of 15 or higher off PPIs, or a 6-point or more improvement when scores on vs off PPI were compared. RESULTS Over the follow-up period, no device erosions, migrations, or malfunctions occurred. At baseline, the median GERD-HRQL scores were 27 in patients not taking PPIs and 11 in patients on PPIs; 5 years after device placement this score decreased to 4. All patients used PPIs at baseline; this value decreased to 15.3% at 5 years. Moderate or severe regurgitation occurred in 57% of subjects at baseline, but only 1.2% at 5 years. All patients reported the ability to belch and vomit if needed. Bothersome dysphagia was present in 5% at baseline and in 6% at 5 years. Bothersome gas-bloat was present in 52% at baseline and decreased to 8.3% at 5 years. CONCLUSIONS Augmentation of the lower esophageal sphincter with a magnetic device provides significant and sustained control of reflux, with minimal side effects or complications. No new safety risks emerged over a 5-year follow-up period. These findings validate the long-term safety and efficacy of the magnetic sphincter augmentation device for patients with GERD. ClinicalTrials.gov no: NCT00776997.","author":[{"dropping-particle":"","family":"Ganz","given":"Robert A.","non-dropping-particle":"","parse-names":false,"suffix":""},{"dropping-particle":"","family":"Edmundowicz","given":"Steven A.","non-dropping-particle":"","parse-names":false,"suffix":""},{"dropping-particle":"","family":"Taiganides","given":"Paul A.","non-dropping-particle":"","parse-names":false,"suffix":""},{"dropping-particle":"","family":"Lipham","given":"John C.","non-dropping-particle":"","parse-names":false,"suffix":""},{"dropping-particle":"","family":"Smith","given":"C. Daniel","non-dropping-particle":"","parse-names":false,"suffix":""},{"dropping-particle":"","family":"DeVault","given":"Kenneth R.","non-dropping-particle":"","parse-names":false,"suffix":""},{"dropping-particle":"","family":"Horgan","given":"Santiago","non-dropping-particle":"","parse-names":false,"suffix":""},{"dropping-particle":"","family":"Jacobsen","given":"Garth","non-dropping-particle":"","parse-names":false,"suffix":""},{"dropping-particle":"","family":"Luketich","given":"James D.","non-dropping-particle":"","parse-names":false,"suffix":""},{"dropping-particle":"","family":"Smith","given":"Christopher C.","non-dropping-particle":"","parse-names":false,"suffix":""},{"dropping-particle":"","family":"Schlack-Haerer","given":"Steven C.","non-dropping-particle":"","parse-names":false,"suffix":""},{"dropping-particle":"","family":"Kothari","given":"Shanu N.","non-dropping-particle":"","parse-names":false,"suffix":""},{"dropping-particle":"","family":"Dunst","given":"Christy M.","non-dropping-particle":"","parse-names":false,"suffix":""},{"dropping-particle":"","family":"Watson","given":"Thomas J.","non-dropping-particle":"","parse-names":false,"suffix":""},{"dropping-particle":"","family":"Peters","given":"Jeffrey","non-dropping-particle":"","parse-names":false,"suffix":""},{"dropping-particle":"","family":"Oelschlager","given":"Brant K.","non-dropping-particle":"","parse-names":false,"suffix":""},{"dropping-particle":"","family":"Perry","given":"Kyle A.","non-dropping-particle":"","parse-names":false,"suffix":""},{"dropping-particle":"","family":"Melvin","given":"Scott","non-dropping-particle":"","parse-names":false,"suffix":""},{"dropping-particle":"","family":"Bemelman","given":"Willem A.","non-dropping-particle":"","parse-names":false,"suffix":""},{"dropping-particle":"","family":"Smout","given":"André J.P.M.","non-dropping-particle":"","parse-names":false,"suffix":""},{"dropping-particle":"","family":"Dunn","given":"Dan","non-dropping-particle":"","parse-names":false,"suffix":""}],"container-title":"Clinical Gastroenterology and Hepatology","id":"ITEM-1","issue":"5","issued":{"date-parts":[["2016","5"]]},"page":"671-677","title":"Long-term Outcomes of Patients Receiving a Magnetic Sphincter Augmentation Device for Gastroesophageal Reflux","type":"article-journal","volume":"14"},"uris":["http://www.mendeley.com/documents/?uuid=a0650ff7-e48a-3370-aa39-db91291bd8cd"]}],"mendeley":{"formattedCitation":"[27]","plainTextFormattedCitation":"[27]","previouslyFormattedCitation":"[27]"},"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6</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tcPr>
          <w:p w14:paraId="4EF1965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2009-2014</w:t>
            </w:r>
          </w:p>
        </w:tc>
        <w:tc>
          <w:tcPr>
            <w:tcW w:w="991" w:type="dxa"/>
          </w:tcPr>
          <w:p w14:paraId="252217E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27FB892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60</w:t>
            </w:r>
          </w:p>
        </w:tc>
        <w:tc>
          <w:tcPr>
            <w:tcW w:w="799" w:type="dxa"/>
          </w:tcPr>
          <w:p w14:paraId="77CA6D2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2BCA109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100 (85)</w:t>
            </w:r>
          </w:p>
        </w:tc>
        <w:tc>
          <w:tcPr>
            <w:tcW w:w="813" w:type="dxa"/>
          </w:tcPr>
          <w:p w14:paraId="01EA425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1300289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28</w:t>
            </w:r>
          </w:p>
        </w:tc>
        <w:tc>
          <w:tcPr>
            <w:tcW w:w="700" w:type="dxa"/>
          </w:tcPr>
          <w:p w14:paraId="08224E6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tcPr>
          <w:p w14:paraId="27258CB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6694527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75%</w:t>
            </w:r>
          </w:p>
        </w:tc>
        <w:tc>
          <w:tcPr>
            <w:tcW w:w="842" w:type="dxa"/>
          </w:tcPr>
          <w:p w14:paraId="632DC24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tcPr>
          <w:p w14:paraId="6D8400F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w:t>
            </w:r>
          </w:p>
        </w:tc>
        <w:tc>
          <w:tcPr>
            <w:tcW w:w="850" w:type="dxa"/>
          </w:tcPr>
          <w:p w14:paraId="7C25699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11-27</w:t>
            </w:r>
          </w:p>
        </w:tc>
        <w:tc>
          <w:tcPr>
            <w:tcW w:w="851" w:type="dxa"/>
          </w:tcPr>
          <w:p w14:paraId="425043F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Pr>
          <w:p w14:paraId="1C4CDFB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w:t>
            </w:r>
          </w:p>
        </w:tc>
      </w:tr>
      <w:tr w:rsidR="004F24BB" w:rsidRPr="00DE7219" w14:paraId="34366C0B" w14:textId="77777777" w:rsidTr="004F24BB">
        <w:trPr>
          <w:cantSplit/>
          <w:trHeight w:val="351"/>
        </w:trPr>
        <w:tc>
          <w:tcPr>
            <w:tcW w:w="1263" w:type="dxa"/>
          </w:tcPr>
          <w:p w14:paraId="3FA05BC8" w14:textId="338C0D06"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Warren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{"citationItems":[{"id":"ITEM-1","itemData":{"DOI":"10.1007/s00464-017-5696-5","ISSN":"0930-2794","author":[{"dropping-particle":"","family":"Warren","given":"Heather F.","non-dropping-particle":"","parse-names":false,"suffix":""},{"dropping-particle":"","family":"Brown","given":"Lisa M.","non-dropping-particle":"","parse-names":false,"suffix":""},{"dropping-particle":"","family":"Mihura","given":"Matias","non-dropping-particle":"","parse-names":false,"suffix":""},{"dropping-particle":"","family":"Farivar","given":"Alexander S.","non-dropping-particle":"","parse-names":false,"suffix":""},{"dropping-particle":"","family":"Aye","given":"Ralph W.","non-dropping-particle":"","parse-names":false,"suffix":""},{"dropping-particle":"","family":"Louie","given":"Brian E.","non-dropping-particle":"","parse-names":false,"suffix":""}],"container-title":"Surgical Endoscopy","id":"ITEM-1","issue":"1","issued":{"date-parts":[["2018","1","29"]]},"page":"405-412","title":"Factors influencing the outcome of magnetic sphincter augmentation for chronic gastroesophageal reflux disease","type":"article-journal","volume":"32"},"uris":["http://www.mendeley.com/documents/?uuid=192a1d11-7c0f-3b1f-96d3-009ba2bbb10c"]}],"mendeley":{"formattedCitation":"[17]","plainTextFormattedCitation":"[17]","previouslyFormattedCitation":"[17]"},"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[17]</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tcPr>
          <w:p w14:paraId="05EDE19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2009- 2015</w:t>
            </w:r>
          </w:p>
        </w:tc>
        <w:tc>
          <w:tcPr>
            <w:tcW w:w="991" w:type="dxa"/>
          </w:tcPr>
          <w:p w14:paraId="11F376A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441CC67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19-60</w:t>
            </w:r>
          </w:p>
        </w:tc>
        <w:tc>
          <w:tcPr>
            <w:tcW w:w="799" w:type="dxa"/>
          </w:tcPr>
          <w:p w14:paraId="1EF72B4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0B4457C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170(170)</w:t>
            </w:r>
          </w:p>
        </w:tc>
        <w:tc>
          <w:tcPr>
            <w:tcW w:w="813" w:type="dxa"/>
          </w:tcPr>
          <w:p w14:paraId="57E73E7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5D54FDC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700" w:type="dxa"/>
          </w:tcPr>
          <w:p w14:paraId="20998AC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51</w:t>
            </w:r>
          </w:p>
        </w:tc>
        <w:tc>
          <w:tcPr>
            <w:tcW w:w="709" w:type="dxa"/>
          </w:tcPr>
          <w:p w14:paraId="3D6CA31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37.9</w:t>
            </w:r>
          </w:p>
        </w:tc>
        <w:tc>
          <w:tcPr>
            <w:tcW w:w="567" w:type="dxa"/>
          </w:tcPr>
          <w:p w14:paraId="0BB9A4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15.6</w:t>
            </w:r>
          </w:p>
        </w:tc>
        <w:tc>
          <w:tcPr>
            <w:tcW w:w="576" w:type="dxa"/>
          </w:tcPr>
          <w:p w14:paraId="6BDBADE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79%</w:t>
            </w:r>
          </w:p>
        </w:tc>
        <w:tc>
          <w:tcPr>
            <w:tcW w:w="842" w:type="dxa"/>
          </w:tcPr>
          <w:p w14:paraId="65AC790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tcPr>
          <w:p w14:paraId="24ABB4D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6A4692B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851" w:type="dxa"/>
          </w:tcPr>
          <w:p w14:paraId="30788B0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1139" w:type="dxa"/>
          </w:tcPr>
          <w:p w14:paraId="1B7A0C4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w:t>
            </w:r>
          </w:p>
        </w:tc>
      </w:tr>
      <w:tr w:rsidR="004F24BB" w:rsidRPr="00DE7219" w14:paraId="2CF6854A" w14:textId="77777777" w:rsidTr="004F24BB">
        <w:trPr>
          <w:cantSplit/>
          <w:trHeight w:val="351"/>
        </w:trPr>
        <w:tc>
          <w:tcPr>
            <w:tcW w:w="1263" w:type="dxa"/>
          </w:tcPr>
          <w:p w14:paraId="26DBB0D3" w14:textId="575A91FE"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Czosnyka</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{"citationItems":[{"id":"ITEM-1","itemData":{"DOI":"10.1016/j.amjsurg.2016.09.044","ISSN":"00029610","PMID":"27837903","abstract":"BACKGROUND Magnetic sphincter augmentation (MSA) is FDA approved for the surgical treatment of GERD. While multiple reports from academic settings exist, we report the early experience from two community-based health systems. METHODS The first 102 post-trial cases of MSA were reviewed. Outcomes were compared to those in the initial clinical trial. RESULTS Mean follow-up duration was 7.6 months. GERD medication use decreased from 98% preoperative to 8% postoperative (P&lt;0.001). Median GERD health-related quality of life (HRQL) improved from 27 preoperative to 5 postoperative (P&lt;0.001). Patient satisfaction increased from 8% preoperative to 84% postoperative (P&lt;0.001). Results were similar to the trial data. CONCLUSIONS MSA is a safe and effective treatment for GERD, with significant improvement in quality of life. GERD-HRQL, medication reduction, operative times, and dysphagia rates were similar to other reports, demonstrating the reproducibility of MSA. Lower dilation rates may be due to refinements in technique and postoperative dietary management.","author":[{"dropping-particle":"","family":"Czosnyka","given":"Nicholas M.","non-dropping-particle":"","parse-names":false,"suffix":""},{"dropping-particle":"","family":"Buckley","given":"F. Paul","non-dropping-particle":"","parse-names":false,"suffix":""},{"dropping-particle":"","family":"Doggett","given":"Stephanie L.","non-dropping-particle":"","parse-names":false,"suffix":""},{"dropping-particle":"","family":"Vassaur","given":"Hannah","non-dropping-particle":"","parse-names":false,"suffix":""},{"dropping-particle":"","family":"Connolly","given":"Erin E.","non-dropping-particle":"","parse-names":false,"suffix":""},{"dropping-particle":"","family":"Borgert","given":"Andrew J.","non-dropping-particle":"","parse-names":false,"suffix":""},{"dropping-particle":"","family":"Kallies","given":"Kara J.","non-dropping-particle":"","parse-names":false,"suffix":""},{"dropping-particle":"","family":"Kothari","given":"Shanu N.","non-dropping-particle":"","parse-names":false,"suffix":""}],"container-title":"The American Journal of Surgery","id":"ITEM-1","issue":"6","issued":{"date-parts":[["2017","6"]]},"page":"1019-1023","title":"Outcomes of magnetic sphincter augmentation - A community hospital perspective","type":"article-journal","volume":"213"},"uris":["http://www.mendeley.com/documents/?uuid=033c1157-1989-3415-a531-d3540800bd8f"]}],"mendeley":{"formattedCitation":"[28]","plainTextFormattedCitation":"[28]","previouslyFormattedCitation":"[28]"},"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7</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tcPr>
          <w:p w14:paraId="551B456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1" w:type="dxa"/>
          </w:tcPr>
          <w:p w14:paraId="124337F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7C708F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7.6</w:t>
            </w:r>
          </w:p>
        </w:tc>
        <w:tc>
          <w:tcPr>
            <w:tcW w:w="799" w:type="dxa"/>
          </w:tcPr>
          <w:p w14:paraId="69B0172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237596E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102 (102)</w:t>
            </w:r>
          </w:p>
        </w:tc>
        <w:tc>
          <w:tcPr>
            <w:tcW w:w="813" w:type="dxa"/>
          </w:tcPr>
          <w:p w14:paraId="7129E97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tcPr>
          <w:p w14:paraId="6FED544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28</w:t>
            </w:r>
          </w:p>
        </w:tc>
        <w:tc>
          <w:tcPr>
            <w:tcW w:w="700" w:type="dxa"/>
          </w:tcPr>
          <w:p w14:paraId="7EC681C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tcPr>
          <w:p w14:paraId="206E923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4CECA58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92%</w:t>
            </w:r>
          </w:p>
        </w:tc>
        <w:tc>
          <w:tcPr>
            <w:tcW w:w="842" w:type="dxa"/>
          </w:tcPr>
          <w:p w14:paraId="2D97A39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w:t>
            </w:r>
          </w:p>
        </w:tc>
        <w:tc>
          <w:tcPr>
            <w:tcW w:w="992" w:type="dxa"/>
          </w:tcPr>
          <w:p w14:paraId="2D6C508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w:t>
            </w:r>
          </w:p>
        </w:tc>
        <w:tc>
          <w:tcPr>
            <w:tcW w:w="850" w:type="dxa"/>
          </w:tcPr>
          <w:p w14:paraId="2F5AB9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851" w:type="dxa"/>
          </w:tcPr>
          <w:p w14:paraId="467E63D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1139" w:type="dxa"/>
          </w:tcPr>
          <w:p w14:paraId="79C8F1F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w:t>
            </w:r>
          </w:p>
        </w:tc>
      </w:tr>
      <w:tr w:rsidR="004F24BB" w:rsidRPr="00DE7219" w14:paraId="3E7B611E" w14:textId="77777777" w:rsidTr="004F24BB">
        <w:trPr>
          <w:cantSplit/>
          <w:trHeight w:val="351"/>
        </w:trPr>
        <w:tc>
          <w:tcPr>
            <w:tcW w:w="1263" w:type="dxa"/>
          </w:tcPr>
          <w:p w14:paraId="08644087" w14:textId="31D612C5"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Prakash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{"citationItems":[{"id":"ITEM-1","itemData":{"DOI":"10.1308/rcsann.2017.0224","ISSN":"1478-7083","PMID":"29364013","abstract":"Introduction Gastro-oesophageal reflux disease (GORD) is a common, chronic debilitating condition. Surgical management traditionally involves fundoplication. Magnetic sphincter augmentation (MSA) is a new definitive treatment. We describe our experience of introducing this innovative therapy into NHS practice and report the early clinical outcomes. Methods MSA was introduced into NHS practice following successful acceptance of a cost-effective business plan and close observation of National Institute for Health and Care Excellence (NICE) recommendations for new procedures, including a carefully planned prospective data collection over a two-year follow-up period. Results Forty-seven patients underwent MSA over the 40-month period. Reflux health-related quality of life (GERD-HRQL) was significantly improved after the procedure and maintained at one- and two-year (P &lt; 0.0001) follow-up. Drug dependency went from 100% at baseline to 2.6% and 8.7% after one and two years. High levels of patient satisfaction were reported. There were no adverse events. Conclusions MSA is highly effective in the treatment of uncomplicated GORD, with durable results and an excellent safety profile. This laparoscopic, minimally invasive procedure provides a good alternative for patients where surgical anatomy is unaltered. Our experience demonstrates that innovative technology can be incorporated into NHS practice with an acceptable business plan and compliance with NICE recommendations.","author":[{"dropping-particle":"","family":"Prakash","given":"D","non-dropping-particle":"","parse-names":false,"suffix":""},{"dropping-particle":"","family":"Campbell","given":"B","non-dropping-particle":"","parse-names":false,"suffix":""},{"dropping-particle":"","family":"Wajed","given":"S","non-dropping-particle":"","parse-names":false,"suffix":""}],"container-title":"Annals of the Royal College of Surgeons of England","id":"ITEM-1","issue":"4","issued":{"date-parts":[["2018","4"]]},"page":"251-256","publisher":"Royal College of Surgeons of England","title":"Introduction into the NHS of magnetic sphincter augmentation: an innovative surgical therapy for reflux - results and challenges.","type":"article-journal","volume":"100"},"uris":["http://www.mendeley.com/documents/?uuid=49c6ad98-2247-391b-bd6e-4d304d0559fd"]}],"mendeley":{"formattedCitation":"[29]","plainTextFormattedCitation":"[29]","previouslyFormattedCitation":"[29]"},"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[2</w:t>
            </w:r>
            <w:r w:rsidR="00E879CF" w:rsidRPr="00DE7219">
              <w:rPr>
                <w:rFonts w:ascii="Book Antiqua" w:hAnsi="Book Antiqua" w:cstheme="minorHAnsi"/>
                <w:noProof/>
                <w:sz w:val="24"/>
                <w:szCs w:val="24"/>
                <w:vertAlign w:val="superscript"/>
              </w:rPr>
              <w:t>8</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2017;</w:t>
            </w:r>
          </w:p>
        </w:tc>
        <w:tc>
          <w:tcPr>
            <w:tcW w:w="715" w:type="dxa"/>
          </w:tcPr>
          <w:p w14:paraId="090C29F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2012-2015</w:t>
            </w:r>
          </w:p>
        </w:tc>
        <w:tc>
          <w:tcPr>
            <w:tcW w:w="991" w:type="dxa"/>
          </w:tcPr>
          <w:p w14:paraId="32B21DE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763108F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12-36</w:t>
            </w:r>
          </w:p>
        </w:tc>
        <w:tc>
          <w:tcPr>
            <w:tcW w:w="799" w:type="dxa"/>
          </w:tcPr>
          <w:p w14:paraId="5231EFD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60CA7AD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47 (47)</w:t>
            </w:r>
          </w:p>
        </w:tc>
        <w:tc>
          <w:tcPr>
            <w:tcW w:w="813" w:type="dxa"/>
          </w:tcPr>
          <w:p w14:paraId="52D7A0B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53.6</w:t>
            </w:r>
          </w:p>
        </w:tc>
        <w:tc>
          <w:tcPr>
            <w:tcW w:w="755" w:type="dxa"/>
          </w:tcPr>
          <w:p w14:paraId="353D43B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700" w:type="dxa"/>
          </w:tcPr>
          <w:p w14:paraId="0A5B253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73</w:t>
            </w:r>
          </w:p>
        </w:tc>
        <w:tc>
          <w:tcPr>
            <w:tcW w:w="1276" w:type="dxa"/>
            <w:gridSpan w:val="2"/>
          </w:tcPr>
          <w:p w14:paraId="65AF53C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122D8D8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83.3%</w:t>
            </w:r>
          </w:p>
        </w:tc>
        <w:tc>
          <w:tcPr>
            <w:tcW w:w="842" w:type="dxa"/>
          </w:tcPr>
          <w:p w14:paraId="789B292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992" w:type="dxa"/>
          </w:tcPr>
          <w:p w14:paraId="7387282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231BDEE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25.8</w:t>
            </w:r>
          </w:p>
        </w:tc>
        <w:tc>
          <w:tcPr>
            <w:tcW w:w="851" w:type="dxa"/>
          </w:tcPr>
          <w:p w14:paraId="7F42CDB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w:t>
            </w:r>
          </w:p>
        </w:tc>
        <w:tc>
          <w:tcPr>
            <w:tcW w:w="1139" w:type="dxa"/>
          </w:tcPr>
          <w:p w14:paraId="40DB774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27FBA0ED" w14:textId="77777777" w:rsidTr="004F24BB">
        <w:trPr>
          <w:cantSplit/>
          <w:trHeight w:val="351"/>
        </w:trPr>
        <w:tc>
          <w:tcPr>
            <w:tcW w:w="1263" w:type="dxa"/>
          </w:tcPr>
          <w:p w14:paraId="1E498794" w14:textId="6393726E"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Schwameis</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{"citationItems":[{"id":"ITEM-1","itemData":{"DOI":"10.1007/s00268-018-4608-8","ISSN":"0364-2313","PMID":"29619511","abstract":"BACKGROUND Magnetic sphincter augmentation (MSA) is a modern treatment option for gastroesophageal reflux disease (GERD); however, laparoscopic fundoplication remains the gold standard. The aim of the study was to evaluate outcomes of MSA patients at a reflux center. METHODS A retrospective review was performed of all patients that underwent MSA between March 2012 and November 2017. Out of 110 patients, 68 with a follow-up &gt;3 months were included. Postoperative gastrointestinal symptoms, proton pump inhibitor (PPI) intake, GERD-Health-related Quality of Life (GERD-HRQL) and alimentary satisfaction (AS) were assessed. Postoperative esophageal functioning tests were performed in 50% of patients. RESULTS Sixty-eight patients underwent MSA; hiatal repair was performed in 31 cases. The median OR time was 27 min, and no intraoperative complications occurred. The median follow-up was 13 months (IQR 4.2-45). Endoscopic dilatation was performed in 2 patients (3%) and device removal in another 2 cases. The postoperative GERD-HRQL score was significantly reduced (3 vs. 24; p</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0.001) and the median AS was 8/10. Preoperative experienced heartburn, regurgitations and dysphagia were eliminated in 92, 96 and 100%. Postoperative new-onset difficulties swallowing with solids only were reported to occur occasionally by 16% and rarely by 21% of patients. Satisfaction with heartburn relief was 95%, and the overall outcome was rated excellent/good in 89%. PPI dependency was eliminated in 87%. The median total percentage pH</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&lt;</w:instrText>
            </w:r>
            <w:r w:rsidRPr="00DE7219">
              <w:rPr>
                <w:rFonts w:ascii="MS Mincho" w:eastAsia="MS Mincho" w:hAnsi="MS Mincho" w:cs="MS Mincho" w:hint="eastAsia"/>
                <w:sz w:val="24"/>
                <w:szCs w:val="24"/>
                <w:vertAlign w:val="superscript"/>
              </w:rPr>
              <w:instrText> </w:instrText>
            </w:r>
            <w:r w:rsidRPr="00DE7219">
              <w:rPr>
                <w:rFonts w:ascii="Book Antiqua" w:hAnsi="Book Antiqua" w:cstheme="minorHAnsi"/>
                <w:sz w:val="24"/>
                <w:szCs w:val="24"/>
                <w:vertAlign w:val="superscript"/>
              </w:rPr>
              <w:instrText>4 and number of reflux episodes were significantly reduced. Postoperative pH results were negative or slightly above the norm in 79% and 12%, respectively. CONCLUSION Sphincter augmentation results in significantly reduced reflux symptoms, increased GERD-specific Quality of Life and excellent alimentary satisfaction with low perioperative morbidity. This procedure should be considered an excellent alternative to fundoplication in the treatment of GERD.","author":[{"dropping-particle":"","family":"Schwameis","given":"Katrin","non-dropping-particle":"","parse-names":false,"suffix":""},{"dropping-particle":"","family":"Nikolic","given":"Milena","non-dropping-particle":"","parse-names":false,"suffix":""},{"dropping-particle":"","family":"Morales Castellano","given":"Deivis G.","non-dropping-particle":"","parse-names":false,"suffix":""},{"dropping-particle":"","family":"Steindl","given":"Ariane","non-dropping-particle":"","parse-names":false,"suffix":""},{"dropping-particle":"","family":"Macheck","given":"Sarah","non-dropping-particle":"","parse-names":false,"suffix":""},{"dropping-particle":"","family":"Kristo","given":"Ivan","non-dropping-particle":"","parse-names":false,"suffix":""},{"dropping-particle":"","family":"Zörner","given":"Barbara","non-dropping-particle":"","parse-names":false,"suffix":""},{"dropping-particle":"","family":"Schoppmann","given":"Sebastian F.","non-dropping-particle":"","parse-names":false,"suffix":""}],"container-title":"World Journal of Surgery","id":"ITEM-1","issue":"10","issued":{"date-parts":[["2018","10","4"]]},"page":"3263-3269","title":"Results of Magnetic Sphincter Augmentation for Gastroesophageal Reflux Disease","type":"article-journal","volume":"42"},"uris":["http://www.mendeley.com/documents/?uuid=12b78135-a79b-3c37-bc67-829c32448574"]}],"mendeley":{"formattedCitation":"[30]","plainTextFormattedCitation":"[30]","previouslyFormattedCitation":"[30]"},"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w:t>
            </w:r>
            <w:r w:rsidR="00E879CF" w:rsidRPr="00DE7219">
              <w:rPr>
                <w:rFonts w:ascii="Book Antiqua" w:hAnsi="Book Antiqua" w:cstheme="minorHAnsi"/>
                <w:noProof/>
                <w:sz w:val="24"/>
                <w:szCs w:val="24"/>
                <w:vertAlign w:val="superscript"/>
              </w:rPr>
              <w:t>29</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2018</w:t>
            </w:r>
          </w:p>
        </w:tc>
        <w:tc>
          <w:tcPr>
            <w:tcW w:w="715" w:type="dxa"/>
          </w:tcPr>
          <w:p w14:paraId="05E2FDC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2012-2017</w:t>
            </w:r>
          </w:p>
        </w:tc>
        <w:tc>
          <w:tcPr>
            <w:tcW w:w="991" w:type="dxa"/>
          </w:tcPr>
          <w:p w14:paraId="702E79E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420899F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13</w:t>
            </w:r>
          </w:p>
        </w:tc>
        <w:tc>
          <w:tcPr>
            <w:tcW w:w="799" w:type="dxa"/>
          </w:tcPr>
          <w:p w14:paraId="5F07985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416BDB8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68 (68)</w:t>
            </w:r>
          </w:p>
        </w:tc>
        <w:tc>
          <w:tcPr>
            <w:tcW w:w="813" w:type="dxa"/>
          </w:tcPr>
          <w:p w14:paraId="61D1C46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45</w:t>
            </w:r>
          </w:p>
        </w:tc>
        <w:tc>
          <w:tcPr>
            <w:tcW w:w="755" w:type="dxa"/>
          </w:tcPr>
          <w:p w14:paraId="47686EA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w:t>
            </w:r>
          </w:p>
        </w:tc>
        <w:tc>
          <w:tcPr>
            <w:tcW w:w="700" w:type="dxa"/>
          </w:tcPr>
          <w:p w14:paraId="0C6997D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1276" w:type="dxa"/>
            <w:gridSpan w:val="2"/>
          </w:tcPr>
          <w:p w14:paraId="49F3F70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2F58265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87%</w:t>
            </w:r>
          </w:p>
        </w:tc>
        <w:tc>
          <w:tcPr>
            <w:tcW w:w="842" w:type="dxa"/>
          </w:tcPr>
          <w:p w14:paraId="63C412A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c>
          <w:tcPr>
            <w:tcW w:w="992" w:type="dxa"/>
          </w:tcPr>
          <w:p w14:paraId="740B6C5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16-21%</w:t>
            </w:r>
          </w:p>
        </w:tc>
        <w:tc>
          <w:tcPr>
            <w:tcW w:w="850" w:type="dxa"/>
          </w:tcPr>
          <w:p w14:paraId="75488592"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24</w:t>
            </w:r>
          </w:p>
        </w:tc>
        <w:tc>
          <w:tcPr>
            <w:tcW w:w="851" w:type="dxa"/>
          </w:tcPr>
          <w:p w14:paraId="7A3919F6"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Pr>
          <w:p w14:paraId="7BA5F02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1DEB5B88" w14:textId="77777777" w:rsidTr="004F24BB">
        <w:trPr>
          <w:cantSplit/>
          <w:trHeight w:val="351"/>
        </w:trPr>
        <w:tc>
          <w:tcPr>
            <w:tcW w:w="1263" w:type="dxa"/>
          </w:tcPr>
          <w:p w14:paraId="7B596EF3" w14:textId="6A6AEA18"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Louie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{"citationItems":[{"id":"ITEM-1","itemData":{"DOI":"10.1097/SLA.0000000000002789","ISSN":"0003-4932","PMID":"29697454","abstract":"OBJECTIVE To report 1-year results from a 5-year mandated study. SUMMARY BACKGROUND DATA In 2012, the United States Food and Drug Administration approved magnetic sphincter augmentation (MSA) with the LINX Reflux Management System (Torax Medical, Shoreview, MN), a novel device for the surgical treatment of gastroesophageal reflux disease (GERD). Continued assessment of safety and effectiveness has been monitored in a Post Approval Study. METHODS Multicenter, prospective study of patients with pathologic acid reflux confirmed by esophageal pH testing undergoing MSA. Predefined clinical outcomes were assessed at the annual visit including a validated, disease-specific questionnaire, esophagogastricduodenoscopy and esophageal pH monitoring, and use of proton pump inhibitors. RESULTS A total of 200 patients (102 males, 98 females) with a mean age of 48.5 years (range 19.7-71.6) were treated with MSA between March 2013 and August 2015. At 1 year, the mean total acid exposure time decreased from 10.0% at baseline to 3.6%, and 74.4% of patients had normal esophageal acid exposure time (% time pH&lt;4 ≤5.3%). GERD Health-Related Quality of Life scores improved from a median score of 26.0 at baseline to 4.0 at 1 year, with 84% of patients meeting the predefined success criteria of at least a 50% reduction in total GERD Health-Related Quality of Life score compared with baseline. The device removal rate at 1 year was 2.5%. One erosion and no serious adverse events were reported. CONCLUSIONS Safety and effectiveness of magnetic sphincter augmentation has been demonstrated outside of an investigational setting to further confirm MSA as treatment for GERD.","author":[{"dropping-particle":"","family":"Louie","given":"Brian E.","non-dropping-particle":"","parse-names":false,"suffix":""},{"dropping-particle":"","family":"Smith","given":"C. Daniel","non-dropping-particle":"","parse-names":false,"suffix":""},{"dropping-particle":"","family":"Smith","given":"Christopher C.","non-dropping-particle":"","parse-names":false,"suffix":""},{"dropping-particle":"","family":"Bell","given":"Reginald C. W.","non-dropping-particle":"","parse-names":false,"suffix":""},{"dropping-particle":"","family":"Gillian","given":"George Kevin","non-dropping-particle":"","parse-names":false,"suffix":""},{"dropping-particle":"","family":"Mandel","given":"Jeffrey S.","non-dropping-particle":"","parse-names":false,"suffix":""},{"dropping-particle":"","family":"Perry","given":"Kyle A.","non-dropping-particle":"","parse-names":false,"suffix":""},{"dropping-particle":"","family":"Birkenhagen","given":"Walter Kurt","non-dropping-particle":"","parse-names":false,"suffix":""},{"dropping-particle":"","family":"Taiganides","given":"Paul A.","non-dropping-particle":"","parse-names":false,"suffix":""},{"dropping-particle":"","family":"Dunst","given":"Christy M.","non-dropping-particle":"","parse-names":false,"suffix":""},{"dropping-particle":"","family":"McCollister","given":"Howard M.","non-dropping-particle":"","parse-names":false,"suffix":""},{"dropping-particle":"","family":"Lipham","given":"John C.","non-dropping-particle":"","parse-names":false,"suffix":""},{"dropping-particle":"","family":"Khaitan","given":"Leena K.","non-dropping-particle":"","parse-names":false,"suffix":""},{"dropping-particle":"","family":"Tsuda","given":"Shawn T.","non-dropping-particle":"","parse-names":false,"suffix":""},{"dropping-particle":"","family":"Jobe","given":"Blair A.","non-dropping-particle":"","parse-names":false,"suffix":""},{"dropping-particle":"","family":"Kothari","given":"Shanu N.","non-dropping-particle":"","parse-names":false,"suffix":""},{"dropping-particle":"","family":"Gould","given":"Jon C.","non-dropping-particle":"","parse-names":false,"suffix":""}],"container-title":"Annals of Surgery","id":"ITEM-1","issue":"2","issued":{"date-parts":[["2019","8"]]},"page":"302-308","title":"Objective Evidence of Reflux Control After Magnetic Sphincter Augmentation","type":"article-journal","volume":"270"},"uris":["http://www.mendeley.com/documents/?uuid=454f653c-488b-3989-8798-65c43bed355b"]}],"mendeley":{"formattedCitation":"[31]","plainTextFormattedCitation":"[31]","previouslyFormattedCitation":"[31]"},"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0</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2019;</w:t>
            </w:r>
          </w:p>
        </w:tc>
        <w:tc>
          <w:tcPr>
            <w:tcW w:w="715" w:type="dxa"/>
          </w:tcPr>
          <w:p w14:paraId="31024B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2013-2015</w:t>
            </w:r>
          </w:p>
        </w:tc>
        <w:tc>
          <w:tcPr>
            <w:tcW w:w="991" w:type="dxa"/>
          </w:tcPr>
          <w:p w14:paraId="401FE45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2287487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tcPr>
          <w:p w14:paraId="3AF4419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SA</w:t>
            </w:r>
          </w:p>
        </w:tc>
        <w:tc>
          <w:tcPr>
            <w:tcW w:w="1044" w:type="dxa"/>
          </w:tcPr>
          <w:p w14:paraId="4786274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200(182)</w:t>
            </w:r>
          </w:p>
        </w:tc>
        <w:tc>
          <w:tcPr>
            <w:tcW w:w="813" w:type="dxa"/>
          </w:tcPr>
          <w:p w14:paraId="009EE48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48.5</w:t>
            </w:r>
          </w:p>
        </w:tc>
        <w:tc>
          <w:tcPr>
            <w:tcW w:w="755" w:type="dxa"/>
          </w:tcPr>
          <w:p w14:paraId="6AB1FF4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27.4</w:t>
            </w:r>
          </w:p>
        </w:tc>
        <w:tc>
          <w:tcPr>
            <w:tcW w:w="700" w:type="dxa"/>
          </w:tcPr>
          <w:p w14:paraId="499B711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709" w:type="dxa"/>
          </w:tcPr>
          <w:p w14:paraId="6B4EF91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33.4</w:t>
            </w:r>
          </w:p>
        </w:tc>
        <w:tc>
          <w:tcPr>
            <w:tcW w:w="567" w:type="dxa"/>
          </w:tcPr>
          <w:p w14:paraId="4FB6D0D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12.0</w:t>
            </w:r>
          </w:p>
        </w:tc>
        <w:tc>
          <w:tcPr>
            <w:tcW w:w="576" w:type="dxa"/>
          </w:tcPr>
          <w:p w14:paraId="337731C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87.4%</w:t>
            </w:r>
          </w:p>
        </w:tc>
        <w:tc>
          <w:tcPr>
            <w:tcW w:w="842" w:type="dxa"/>
          </w:tcPr>
          <w:p w14:paraId="7EBE9A4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13</w:t>
            </w:r>
          </w:p>
        </w:tc>
        <w:tc>
          <w:tcPr>
            <w:tcW w:w="992" w:type="dxa"/>
          </w:tcPr>
          <w:p w14:paraId="71318BF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36.6%</w:t>
            </w:r>
          </w:p>
        </w:tc>
        <w:tc>
          <w:tcPr>
            <w:tcW w:w="850" w:type="dxa"/>
          </w:tcPr>
          <w:p w14:paraId="14D2FAB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851" w:type="dxa"/>
          </w:tcPr>
          <w:p w14:paraId="7CE907AF"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Pr>
          <w:p w14:paraId="12D8B02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r>
      <w:tr w:rsidR="004F24BB" w:rsidRPr="00DE7219" w14:paraId="36EB4448" w14:textId="77777777" w:rsidTr="004F24BB">
        <w:trPr>
          <w:cantSplit/>
          <w:trHeight w:val="546"/>
        </w:trPr>
        <w:tc>
          <w:tcPr>
            <w:tcW w:w="1263" w:type="dxa"/>
            <w:vMerge w:val="restart"/>
          </w:tcPr>
          <w:p w14:paraId="6923382F" w14:textId="78C6098D"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Louie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{"citationItems":[{"id":"ITEM-1","itemData":{"DOI":"10.1016/j.athoracsur.2014.04.074","ISSN":"00034975","PMID":"24961840","abstract":"BACKGROUND In 2012 the United States Food and Drug Administration approved implantation of a magnetic sphincter to augment the native reflux barrier based on single-series data. We sought to compare our initial experience with magnetic sphincter augmentation (MSA) with laparoscopic Nissen fundoplication (LNF). METHODS A retrospective case-control study was performed of consecutive patients undergoing either procedure who had chronic gastrointestinal esophageal disease (GERD) and a hiatal hernia of less than 3 cm. RESULTS Sixty-six patients underwent operations (34 MSA and 32 LNF). The groups were similar in reflux characteristics and hernia size. Operative time was longer for LNF (118 vs 73 min) and resulted in 1 return to the operating room and 1 readmission. Preoperative symptoms were abolished in both groups. At 6 months or longer postoperatively, scores on the Gastroesophageal Reflux Disease Health Related Quality of Life scale improved from 20.6 to 5.0 for MSA vs 22.8 to 5.1 for LNF. Postoperative DeMeester scores (14.2 vs 5.1, p=0.0001) and the percentage of time pH was less than 4 (4.6 vs 1.1; p=0.0001) were normalized in both groups but statistically different. MSA resulted in improved gassy and bloated feelings (1.32 vs 2.36; p=0.59) and enabled belching in 67% compared with none of the LNFs. CONCLUSIONS MSA results in similar objective control of GERD, symptom resolution, and improved quality of life compared with LNF. MSA seems to restore a more physiologic sphincter that allows physiologic reflux, facilitates belching, and creates less bloating and flatulence. This device has the potential to allow individualized treatment of patients with GERD and increase the surgical treatment of GERD.","author":[{"dropping-particle":"","family":"Louie","given":"Brian E.","non-dropping-particle":"","parse-names":false,"suffix":""},{"dropping-particle":"","family":"Farivar","given":"Alexander S.","non-dropping-particle":"","parse-names":false,"suffix":""},{"dropping-particle":"","family":"Shultz","given":"Dale","non-dropping-particle":"","parse-names":false,"suffix":""},{"dropping-particle":"","family":"Brennan","given":"Christina","non-dropping-particle":"","parse-names":false,"suffix":""},{"dropping-particle":"","family":"Vallières","given":"Eric","non-dropping-particle":"","parse-names":false,"suffix":""},{"dropping-particle":"","family":"Aye","given":"Ralph W.","non-dropping-particle":"","parse-names":false,"suffix":""}],"container-title":"The Annals of Thoracic Surgery","id":"ITEM-1","issue":"2","issued":{"date-parts":[["2014","8"]]},"page":"498-505","title":"Short-Term Outcomes Using Magnetic Sphincter Augmentation Versus Nissen Fundoplication for Medically Resistant Gastroesophageal Reflux Disease","type":"article-journal","volume":"98"},"uris":["http://www.mendeley.com/documents/?uuid=d8ce3071-b14f-358b-9fa6-74eccabb3bde"]}],"mendeley":{"formattedCitation":"[32]","plainTextFormattedCitation":"[32]","previouslyFormattedCitation":"[32]"},"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1</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2014;</w:t>
            </w:r>
          </w:p>
        </w:tc>
        <w:tc>
          <w:tcPr>
            <w:tcW w:w="715" w:type="dxa"/>
            <w:vMerge w:val="restart"/>
          </w:tcPr>
          <w:p w14:paraId="072F63B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2012-2013</w:t>
            </w:r>
          </w:p>
        </w:tc>
        <w:tc>
          <w:tcPr>
            <w:tcW w:w="991" w:type="dxa"/>
          </w:tcPr>
          <w:p w14:paraId="3AF88534" w14:textId="7DC2D69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6C34B764" w14:textId="36AE829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w:t>
            </w:r>
          </w:p>
        </w:tc>
        <w:tc>
          <w:tcPr>
            <w:tcW w:w="799" w:type="dxa"/>
            <w:vMerge w:val="restart"/>
          </w:tcPr>
          <w:p w14:paraId="3D6C71E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2C14C8DB" w14:textId="5FD5D0A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34(24)</w:t>
            </w:r>
          </w:p>
        </w:tc>
        <w:tc>
          <w:tcPr>
            <w:tcW w:w="813" w:type="dxa"/>
          </w:tcPr>
          <w:p w14:paraId="7308E3ED" w14:textId="28B3383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tcPr>
          <w:p w14:paraId="6576A7E1" w14:textId="7E7F843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700" w:type="dxa"/>
          </w:tcPr>
          <w:p w14:paraId="68C90D44" w14:textId="7D01338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73</w:t>
            </w:r>
          </w:p>
        </w:tc>
        <w:tc>
          <w:tcPr>
            <w:tcW w:w="709" w:type="dxa"/>
          </w:tcPr>
          <w:p w14:paraId="5F63F3EA" w14:textId="3223EAA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49.5</w:t>
            </w:r>
          </w:p>
        </w:tc>
        <w:tc>
          <w:tcPr>
            <w:tcW w:w="567" w:type="dxa"/>
          </w:tcPr>
          <w:p w14:paraId="0BE5AFAC" w14:textId="40D63F3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14.2</w:t>
            </w:r>
          </w:p>
        </w:tc>
        <w:tc>
          <w:tcPr>
            <w:tcW w:w="576" w:type="dxa"/>
          </w:tcPr>
          <w:p w14:paraId="64599F01" w14:textId="1D25FFA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100%</w:t>
            </w:r>
          </w:p>
        </w:tc>
        <w:tc>
          <w:tcPr>
            <w:tcW w:w="842" w:type="dxa"/>
          </w:tcPr>
          <w:p w14:paraId="43C54297" w14:textId="26EE3D0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w:t>
            </w:r>
          </w:p>
        </w:tc>
        <w:tc>
          <w:tcPr>
            <w:tcW w:w="992" w:type="dxa"/>
            <w:vMerge w:val="restart"/>
          </w:tcPr>
          <w:p w14:paraId="01986AF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5347E42E" w14:textId="1CA7CAA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20.6</w:t>
            </w:r>
          </w:p>
        </w:tc>
        <w:tc>
          <w:tcPr>
            <w:tcW w:w="851" w:type="dxa"/>
          </w:tcPr>
          <w:p w14:paraId="23136893" w14:textId="6C170AD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w:t>
            </w:r>
          </w:p>
        </w:tc>
        <w:tc>
          <w:tcPr>
            <w:tcW w:w="1139" w:type="dxa"/>
          </w:tcPr>
          <w:p w14:paraId="7FC8016A" w14:textId="4B08AD1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35FFF43C" w14:textId="77777777" w:rsidTr="004F24BB">
        <w:trPr>
          <w:cantSplit/>
          <w:trHeight w:val="930"/>
        </w:trPr>
        <w:tc>
          <w:tcPr>
            <w:tcW w:w="1263" w:type="dxa"/>
            <w:vMerge/>
          </w:tcPr>
          <w:p w14:paraId="5E4C4809"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2F745CAF"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1E147021" w14:textId="21633AA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111E7191" w14:textId="7B75BE4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10</w:t>
            </w:r>
          </w:p>
        </w:tc>
        <w:tc>
          <w:tcPr>
            <w:tcW w:w="799" w:type="dxa"/>
            <w:vMerge/>
          </w:tcPr>
          <w:p w14:paraId="57F77767"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4BAC9F4E" w14:textId="2FE7524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32(32)</w:t>
            </w:r>
          </w:p>
        </w:tc>
        <w:tc>
          <w:tcPr>
            <w:tcW w:w="813" w:type="dxa"/>
          </w:tcPr>
          <w:p w14:paraId="38685AF6" w14:textId="08CBED3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47</w:t>
            </w:r>
          </w:p>
        </w:tc>
        <w:tc>
          <w:tcPr>
            <w:tcW w:w="755" w:type="dxa"/>
          </w:tcPr>
          <w:p w14:paraId="1676713A" w14:textId="50FCB9B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30</w:t>
            </w:r>
          </w:p>
        </w:tc>
        <w:tc>
          <w:tcPr>
            <w:tcW w:w="700" w:type="dxa"/>
          </w:tcPr>
          <w:p w14:paraId="58E27A16" w14:textId="2A4D0AB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118</w:t>
            </w:r>
          </w:p>
        </w:tc>
        <w:tc>
          <w:tcPr>
            <w:tcW w:w="709" w:type="dxa"/>
          </w:tcPr>
          <w:p w14:paraId="03728ACB" w14:textId="7382E3E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49</w:t>
            </w:r>
          </w:p>
        </w:tc>
        <w:tc>
          <w:tcPr>
            <w:tcW w:w="567" w:type="dxa"/>
          </w:tcPr>
          <w:p w14:paraId="5C433754" w14:textId="4E196F78"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5.1</w:t>
            </w:r>
          </w:p>
        </w:tc>
        <w:tc>
          <w:tcPr>
            <w:tcW w:w="576" w:type="dxa"/>
          </w:tcPr>
          <w:p w14:paraId="19AE8A74" w14:textId="69B9EF80"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97%</w:t>
            </w:r>
          </w:p>
        </w:tc>
        <w:tc>
          <w:tcPr>
            <w:tcW w:w="842" w:type="dxa"/>
          </w:tcPr>
          <w:p w14:paraId="58023E0F" w14:textId="7C5D8A0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c>
          <w:tcPr>
            <w:tcW w:w="992" w:type="dxa"/>
            <w:vMerge/>
          </w:tcPr>
          <w:p w14:paraId="6913AEF2" w14:textId="77777777" w:rsidR="004F24BB" w:rsidRPr="00DE7219" w:rsidRDefault="004F24BB" w:rsidP="00DE7219">
            <w:pPr>
              <w:spacing w:line="360" w:lineRule="auto"/>
              <w:ind w:left="-1" w:hanging="1"/>
              <w:rPr>
                <w:rFonts w:ascii="Book Antiqua" w:hAnsi="Book Antiqua" w:cstheme="minorHAnsi"/>
                <w:sz w:val="24"/>
                <w:szCs w:val="24"/>
              </w:rPr>
            </w:pPr>
          </w:p>
        </w:tc>
        <w:tc>
          <w:tcPr>
            <w:tcW w:w="850" w:type="dxa"/>
          </w:tcPr>
          <w:p w14:paraId="332B7087" w14:textId="15785F1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22.8</w:t>
            </w:r>
          </w:p>
        </w:tc>
        <w:tc>
          <w:tcPr>
            <w:tcW w:w="851" w:type="dxa"/>
          </w:tcPr>
          <w:p w14:paraId="2488B320" w14:textId="080A5BB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5.1</w:t>
            </w:r>
          </w:p>
        </w:tc>
        <w:tc>
          <w:tcPr>
            <w:tcW w:w="1139" w:type="dxa"/>
          </w:tcPr>
          <w:p w14:paraId="2B4CA26D" w14:textId="2437D1D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4E6B8964" w14:textId="77777777" w:rsidTr="004F24BB">
        <w:trPr>
          <w:cantSplit/>
          <w:trHeight w:val="540"/>
        </w:trPr>
        <w:tc>
          <w:tcPr>
            <w:tcW w:w="1263" w:type="dxa"/>
            <w:vMerge w:val="restart"/>
          </w:tcPr>
          <w:p w14:paraId="7AA752E6" w14:textId="4523E596"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Sheu</w:t>
            </w:r>
            <w:proofErr w:type="spellEnd"/>
            <w:r w:rsidRPr="00DE7219">
              <w:rPr>
                <w:rFonts w:ascii="Book Antiqua" w:hAnsi="Book Antiqua" w:cstheme="minorHAnsi"/>
                <w:sz w:val="24"/>
                <w:szCs w:val="24"/>
              </w:rPr>
              <w:t xml:space="preserve">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{"citationItems":[{"id":"ITEM-1","itemData":{"DOI":"10.1007/s00464-014-3704-6","ISSN":"0930-2794","PMID":"25012804","abstract":"BACKGROUND Laparoscopic magnetic sphincter augmentation (MSA) with the LINX device is a promising new therapy for the treatment of gastroesophageal reflux disease (GERD). Initial studies have demonstrated MSA to be safe and effective. However, no direct comparison between MSA and laparoscopic Nissen fundoplication (LNF), the gold standard surgical therapy for GERD, has been performed. METHODS A single institution, case-control study was conducted of MSA performed from 2012 to 2013 and a cohort of LNF matched for age, gender, and hiatal hernia size. RESULTS MSA and LNF were both effective treatments for reflux with 75 and 83 % of patients, respectively, reporting resolution of GERD at short-term follow-up. Dysphagia was common following both MSA and LNF, but severe dysphagia requiring endoscopic dilation was more frequent after MSA (50 vs. 0 %, p = 0.01). Need for dilation did not correlate with size of the LINX device or any other examined patient factors. A trend toward decreased adverse GI symptoms of bloating, flatulence, and diarrhea was seen after MSA compared to LNF (0 vs. 33 %). MSA had a shorter operative time (64 vs. 90 min, p &lt; 0.01) but other peri-operative outcomes, including pain, morbidity, and re-admissions were equivalent to LNF. MSA patients were more likely to be self-referred (58 vs. 0 %, p &lt; 0.001). CONCLUSIONS MSA and LNF are both effective and safe treatments for GERD; however, severe dysphagia requiring endoscopic intervention is more common with MSA. Other adverse GI side effects may be less frequent after MSA. Consideration should be paid to these distinct post-operative symptom profiles when selecting a surgical therapy for reflux disease.","author":[{"dropping-particle":"","family":"Sheu","given":"Eric G.","non-dropping-particle":"","parse-names":false,"suffix":""},{"dropping-particle":"","family":"Nau","given":"Peter","non-dropping-particle":"","parse-names":false,"suffix":""},{"dropping-particle":"","family":"Nath","given":"Barbara","non-dropping-particle":"","parse-names":false,"suffix":""},{"dropping-particle":"","family":"Kuo","given":"Braden","non-dropping-particle":"","parse-names":false,"suffix":""},{"dropping-particle":"","family":"Rattner","given":"David W.","non-dropping-particle":"","parse-names":false,"suffix":""}],"container-title":"Surgical Endoscopy","id":"ITEM-1","issue":"3","issued":{"date-parts":[["2015","3","11"]]},"page":"505-509","title":"A comparative trial of laparoscopic magnetic sphincter augmentation and Nissen fundoplication","type":"article-journal","volume":"29"},"uris":["http://www.mendeley.com/documents/?uuid=adc815d9-0b60-338a-801f-6ad265f84d77"]}],"mendeley":{"formattedCitation":"[33]","plainTextFormattedCitation":"[33]","previouslyFormattedCitation":"[33]"},"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2</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2014</w:t>
            </w:r>
          </w:p>
        </w:tc>
        <w:tc>
          <w:tcPr>
            <w:tcW w:w="715" w:type="dxa"/>
            <w:vMerge w:val="restart"/>
          </w:tcPr>
          <w:p w14:paraId="00242C1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2012-2013</w:t>
            </w:r>
          </w:p>
        </w:tc>
        <w:tc>
          <w:tcPr>
            <w:tcW w:w="991" w:type="dxa"/>
          </w:tcPr>
          <w:p w14:paraId="188E6BF3" w14:textId="3D901AE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B901782" w14:textId="5C640DB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w:t>
            </w:r>
          </w:p>
        </w:tc>
        <w:tc>
          <w:tcPr>
            <w:tcW w:w="799" w:type="dxa"/>
            <w:vMerge w:val="restart"/>
          </w:tcPr>
          <w:p w14:paraId="21E2AFC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007CA648" w14:textId="091C1D4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12(12)</w:t>
            </w:r>
          </w:p>
        </w:tc>
        <w:tc>
          <w:tcPr>
            <w:tcW w:w="813" w:type="dxa"/>
          </w:tcPr>
          <w:p w14:paraId="386A2728" w14:textId="169B607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39.3</w:t>
            </w:r>
          </w:p>
        </w:tc>
        <w:tc>
          <w:tcPr>
            <w:tcW w:w="755" w:type="dxa"/>
          </w:tcPr>
          <w:p w14:paraId="788C1B3F" w14:textId="61CFA55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26.8</w:t>
            </w:r>
          </w:p>
        </w:tc>
        <w:tc>
          <w:tcPr>
            <w:tcW w:w="700" w:type="dxa"/>
          </w:tcPr>
          <w:p w14:paraId="3EFC7DE0" w14:textId="7607EA9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63.7</w:t>
            </w:r>
          </w:p>
        </w:tc>
        <w:tc>
          <w:tcPr>
            <w:tcW w:w="1276" w:type="dxa"/>
            <w:gridSpan w:val="2"/>
            <w:vMerge w:val="restart"/>
          </w:tcPr>
          <w:p w14:paraId="7E49EB6E" w14:textId="28BF0B0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vMerge w:val="restart"/>
          </w:tcPr>
          <w:p w14:paraId="74D9C41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42" w:type="dxa"/>
          </w:tcPr>
          <w:p w14:paraId="63BE1EBA" w14:textId="7C0D05F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992" w:type="dxa"/>
          </w:tcPr>
          <w:p w14:paraId="260D7A0D" w14:textId="1AAB907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w:t>
            </w:r>
          </w:p>
        </w:tc>
        <w:tc>
          <w:tcPr>
            <w:tcW w:w="850" w:type="dxa"/>
            <w:vMerge w:val="restart"/>
          </w:tcPr>
          <w:p w14:paraId="6E101498"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1" w:type="dxa"/>
            <w:vMerge w:val="restart"/>
          </w:tcPr>
          <w:p w14:paraId="79F2FD2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139" w:type="dxa"/>
            <w:vMerge w:val="restart"/>
          </w:tcPr>
          <w:p w14:paraId="79E7D88D"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r>
      <w:tr w:rsidR="004F24BB" w:rsidRPr="00DE7219" w14:paraId="347C9FF4" w14:textId="77777777" w:rsidTr="004F24BB">
        <w:trPr>
          <w:cantSplit/>
          <w:trHeight w:val="340"/>
        </w:trPr>
        <w:tc>
          <w:tcPr>
            <w:tcW w:w="1263" w:type="dxa"/>
            <w:vMerge/>
          </w:tcPr>
          <w:p w14:paraId="66E00C0B"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3C3AE0C8"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39CE29E1" w14:textId="6D07E01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352972AF" w14:textId="6A93889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w:t>
            </w:r>
          </w:p>
        </w:tc>
        <w:tc>
          <w:tcPr>
            <w:tcW w:w="799" w:type="dxa"/>
            <w:vMerge/>
          </w:tcPr>
          <w:p w14:paraId="1221642A"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260C68C4" w14:textId="151C503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12(12)</w:t>
            </w:r>
          </w:p>
        </w:tc>
        <w:tc>
          <w:tcPr>
            <w:tcW w:w="813" w:type="dxa"/>
          </w:tcPr>
          <w:p w14:paraId="451BE1F2" w14:textId="6A17DD3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43.8</w:t>
            </w:r>
          </w:p>
        </w:tc>
        <w:tc>
          <w:tcPr>
            <w:tcW w:w="755" w:type="dxa"/>
          </w:tcPr>
          <w:p w14:paraId="59B7EA56" w14:textId="626FD66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26.8</w:t>
            </w:r>
          </w:p>
        </w:tc>
        <w:tc>
          <w:tcPr>
            <w:tcW w:w="700" w:type="dxa"/>
          </w:tcPr>
          <w:p w14:paraId="7FA5D4E2" w14:textId="005071D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90.3</w:t>
            </w:r>
          </w:p>
        </w:tc>
        <w:tc>
          <w:tcPr>
            <w:tcW w:w="1276" w:type="dxa"/>
            <w:gridSpan w:val="2"/>
            <w:vMerge/>
          </w:tcPr>
          <w:p w14:paraId="17E4D4AB"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vMerge/>
          </w:tcPr>
          <w:p w14:paraId="40BF739F" w14:textId="77777777" w:rsidR="004F24BB" w:rsidRPr="00DE7219" w:rsidRDefault="004F24BB" w:rsidP="00DE7219">
            <w:pPr>
              <w:spacing w:line="360" w:lineRule="auto"/>
              <w:ind w:left="-1" w:hanging="1"/>
              <w:rPr>
                <w:rFonts w:ascii="Book Antiqua" w:hAnsi="Book Antiqua" w:cstheme="minorHAnsi"/>
                <w:sz w:val="24"/>
                <w:szCs w:val="24"/>
              </w:rPr>
            </w:pPr>
          </w:p>
        </w:tc>
        <w:tc>
          <w:tcPr>
            <w:tcW w:w="842" w:type="dxa"/>
          </w:tcPr>
          <w:p w14:paraId="0BC369E4" w14:textId="63C4A9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c>
          <w:tcPr>
            <w:tcW w:w="992" w:type="dxa"/>
          </w:tcPr>
          <w:p w14:paraId="62C1FC1C" w14:textId="1599A58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58%</w:t>
            </w:r>
          </w:p>
        </w:tc>
        <w:tc>
          <w:tcPr>
            <w:tcW w:w="850" w:type="dxa"/>
            <w:vMerge/>
          </w:tcPr>
          <w:p w14:paraId="46F1A56C" w14:textId="77777777" w:rsidR="004F24BB" w:rsidRPr="00DE7219" w:rsidRDefault="004F24BB" w:rsidP="00DE7219">
            <w:pPr>
              <w:spacing w:line="360" w:lineRule="auto"/>
              <w:ind w:left="-1" w:hanging="1"/>
              <w:rPr>
                <w:rFonts w:ascii="Book Antiqua" w:hAnsi="Book Antiqua" w:cstheme="minorHAnsi"/>
                <w:sz w:val="24"/>
                <w:szCs w:val="24"/>
              </w:rPr>
            </w:pPr>
          </w:p>
        </w:tc>
        <w:tc>
          <w:tcPr>
            <w:tcW w:w="851" w:type="dxa"/>
            <w:vMerge/>
          </w:tcPr>
          <w:p w14:paraId="3F64059D" w14:textId="77777777" w:rsidR="004F24BB" w:rsidRPr="00DE7219" w:rsidRDefault="004F24BB" w:rsidP="00DE7219">
            <w:pPr>
              <w:spacing w:line="360" w:lineRule="auto"/>
              <w:ind w:left="-1" w:hanging="1"/>
              <w:rPr>
                <w:rFonts w:ascii="Book Antiqua" w:hAnsi="Book Antiqua" w:cstheme="minorHAnsi"/>
                <w:sz w:val="24"/>
                <w:szCs w:val="24"/>
              </w:rPr>
            </w:pPr>
          </w:p>
        </w:tc>
        <w:tc>
          <w:tcPr>
            <w:tcW w:w="1139" w:type="dxa"/>
            <w:vMerge/>
          </w:tcPr>
          <w:p w14:paraId="7B3828A8" w14:textId="77777777" w:rsidR="004F24BB" w:rsidRPr="00DE7219" w:rsidRDefault="004F24BB" w:rsidP="00DE7219">
            <w:pPr>
              <w:spacing w:line="360" w:lineRule="auto"/>
              <w:ind w:left="-1" w:hanging="1"/>
              <w:rPr>
                <w:rFonts w:ascii="Book Antiqua" w:hAnsi="Book Antiqua" w:cstheme="minorHAnsi"/>
                <w:sz w:val="24"/>
                <w:szCs w:val="24"/>
              </w:rPr>
            </w:pPr>
          </w:p>
        </w:tc>
      </w:tr>
      <w:tr w:rsidR="004F24BB" w:rsidRPr="00DE7219" w14:paraId="767C175B" w14:textId="77777777" w:rsidTr="004F24BB">
        <w:trPr>
          <w:cantSplit/>
          <w:trHeight w:val="531"/>
        </w:trPr>
        <w:tc>
          <w:tcPr>
            <w:tcW w:w="1263" w:type="dxa"/>
            <w:vMerge w:val="restart"/>
          </w:tcPr>
          <w:p w14:paraId="0E829806" w14:textId="58620E2A"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Reynolds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{"citationItems":[{"id":"ITEM-1","itemData":{"DOI":"10.1016/j.jamcollsurg.2015.02.025","ISSN":"10727515","PMID":"26095560","abstract":"BACKGROUND The efficacy and safety of magnetic sphincter augmentation (MSA) with the LINX device (Torax Medical) has been reported in several short-and long-term studies, rivaling historic results of laparoscopic Nissen fundoplication (LNF), but with fewer side effects. However, there have been no studies comparing patients with similar disease to validate these results. STUDY DESIGN We conducted a retrospective analysis of 1-year outcomes of patients undergoing MSA and LNF from June 2010 to June 2013. Patients were matched using propensity scores incorporating multiple preoperative variables. Outcomes were measured by GERD Health Related Quality of Life scores, proton-pump inhibitor use, satisfaction, and complications. RESULTS One hundred and seventy-nine patients met inclusion criteria, 62 MSA and 117 LNF. Propensity score matching identified 50 patients in both groups using the \"best-fit\" model with a caliper of 0.5 SD. At 1 year after surgery, both groups had similar GERD Health Related Quality of Life scores (4.2 MSA and 4.3 LNF; p = 0.897) and proton-pump inhibitor use (17% of MSA and 8.5% of LNF; p = 0.355). Although there was no difference in the number of patients reporting mild gas and bloating (27.6% MSA and 27.6% LNF; p = 1.000), there were no patients with severe gas and bloating in the MSA group compared with 10.6% in the LNF group (p = 0.022). More LNF patients were unable to belch (8.5% of MSA and 25.5% of LNF; p = 0.028) or vomit (4.3% of MSA and 21.3% of LNF; p = 0.004). The incidence of postoperative dysphagia was similar between the groups (46.8% MSA and 44.7% LNF; p = 0.766). CONCLUSIONS Analogous GERD patients had similar control of reflux symptoms after both MSA and LNF. The inabilities to belch and vomit were significantly fewer with MSA, along with a significantly lower incidence of severe gas-bloat symptoms. These results support the use of MSA as first-line therapy in patients with mild to moderate GERD.","author":[{"dropping-particle":"","family":"Reynolds","given":"Jessica L.","non-dropping-particle":"","parse-names":false,"suffix":""},{"dropping-particle":"","family":"Zehetner","given":"Joerg","non-dropping-particle":"","parse-names":false,"suffix":""},{"dropping-particle":"","family":"Wu","given":"Phil","non-dropping-particle":"","parse-names":false,"suffix":""},{"dropping-particle":"","family":"Shah","given":"Shawn","non-dropping-particle":"","parse-names":false,"suffix":""},{"dropping-particle":"","family":"Bildzukewicz","given":"Nikolai","non-dropping-particle":"","parse-names":false,"suffix":""},{"dropping-particle":"","family":"Lipham","given":"John C.","non-dropping-particle":"","parse-names":false,"suffix":""}],"container-title":"Journal of the American College of Surgeons","id":"ITEM-1","issue":"1","issued":{"date-parts":[["2015","7"]]},"page":"123-128","title":"Laparoscopic Magnetic Sphincter Augmentation vs Laparoscopic Nissen Fundoplication: A Matched-Pair Analysis of 100 Patients","type":"article-journal","volume":"221"},"uris":["http://www.mendeley.com/documents/?uuid=3b4178a9-39f5-3a4e-b9b2-59a4f2ef61ca"]}],"mendeley":{"formattedCitation":"[34]","plainTextFormattedCitation":"[34]","previouslyFormattedCitation":"[34]"},"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3</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715" w:type="dxa"/>
            <w:vMerge w:val="restart"/>
          </w:tcPr>
          <w:p w14:paraId="430ED7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2010-2013</w:t>
            </w:r>
          </w:p>
        </w:tc>
        <w:tc>
          <w:tcPr>
            <w:tcW w:w="991" w:type="dxa"/>
          </w:tcPr>
          <w:p w14:paraId="71DFF44E" w14:textId="4B90319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0076CE2B" w14:textId="75CC8CB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val="restart"/>
          </w:tcPr>
          <w:p w14:paraId="68CFEEF5"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6B70B673" w14:textId="7509CCE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 (47)</w:t>
            </w:r>
          </w:p>
        </w:tc>
        <w:tc>
          <w:tcPr>
            <w:tcW w:w="813" w:type="dxa"/>
          </w:tcPr>
          <w:p w14:paraId="5728BBDD" w14:textId="1407C6A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3F1E6AD7" w14:textId="095D398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26.4</w:t>
            </w:r>
          </w:p>
        </w:tc>
        <w:tc>
          <w:tcPr>
            <w:tcW w:w="700" w:type="dxa"/>
            <w:vMerge w:val="restart"/>
          </w:tcPr>
          <w:p w14:paraId="0CF58CF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vMerge w:val="restart"/>
          </w:tcPr>
          <w:p w14:paraId="5CD8E80C" w14:textId="1432F1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68B155BE" w14:textId="117F3DE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83%</w:t>
            </w:r>
          </w:p>
        </w:tc>
        <w:tc>
          <w:tcPr>
            <w:tcW w:w="842" w:type="dxa"/>
          </w:tcPr>
          <w:p w14:paraId="2CB3847F" w14:textId="0155E0E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w:t>
            </w:r>
          </w:p>
        </w:tc>
        <w:tc>
          <w:tcPr>
            <w:tcW w:w="992" w:type="dxa"/>
          </w:tcPr>
          <w:p w14:paraId="50C79119" w14:textId="56A2CB3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36.2%</w:t>
            </w:r>
          </w:p>
        </w:tc>
        <w:tc>
          <w:tcPr>
            <w:tcW w:w="850" w:type="dxa"/>
          </w:tcPr>
          <w:p w14:paraId="109A3E42" w14:textId="3E5A3AF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19.7</w:t>
            </w:r>
          </w:p>
        </w:tc>
        <w:tc>
          <w:tcPr>
            <w:tcW w:w="851" w:type="dxa"/>
          </w:tcPr>
          <w:p w14:paraId="43D7374E" w14:textId="2695206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4.2</w:t>
            </w:r>
          </w:p>
        </w:tc>
        <w:tc>
          <w:tcPr>
            <w:tcW w:w="1139" w:type="dxa"/>
          </w:tcPr>
          <w:p w14:paraId="022592C4" w14:textId="4209B16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62581ADD" w14:textId="77777777" w:rsidTr="004F24BB">
        <w:trPr>
          <w:cantSplit/>
          <w:trHeight w:val="945"/>
        </w:trPr>
        <w:tc>
          <w:tcPr>
            <w:tcW w:w="1263" w:type="dxa"/>
            <w:vMerge/>
          </w:tcPr>
          <w:p w14:paraId="13B07DB2"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74D2CE28"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563BD316" w14:textId="26CA671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501DC4E3" w14:textId="0D7796E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tcPr>
          <w:p w14:paraId="211726C3"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1036C8B4" w14:textId="65DE26E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 (47)</w:t>
            </w:r>
          </w:p>
        </w:tc>
        <w:tc>
          <w:tcPr>
            <w:tcW w:w="813" w:type="dxa"/>
          </w:tcPr>
          <w:p w14:paraId="20BE6E45" w14:textId="6A5DBB4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tcPr>
          <w:p w14:paraId="44990E7B" w14:textId="738C7BF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26.7</w:t>
            </w:r>
          </w:p>
        </w:tc>
        <w:tc>
          <w:tcPr>
            <w:tcW w:w="700" w:type="dxa"/>
            <w:vMerge/>
          </w:tcPr>
          <w:p w14:paraId="3ECD4E1D" w14:textId="77777777" w:rsidR="004F24BB" w:rsidRPr="00DE7219" w:rsidRDefault="004F24BB" w:rsidP="00DE7219">
            <w:pPr>
              <w:spacing w:line="360" w:lineRule="auto"/>
              <w:ind w:left="-1" w:hanging="1"/>
              <w:rPr>
                <w:rFonts w:ascii="Book Antiqua" w:hAnsi="Book Antiqua" w:cstheme="minorHAnsi"/>
                <w:sz w:val="24"/>
                <w:szCs w:val="24"/>
              </w:rPr>
            </w:pPr>
          </w:p>
        </w:tc>
        <w:tc>
          <w:tcPr>
            <w:tcW w:w="1276" w:type="dxa"/>
            <w:gridSpan w:val="2"/>
            <w:vMerge/>
          </w:tcPr>
          <w:p w14:paraId="653A88AC"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Pr>
          <w:p w14:paraId="119A1C08" w14:textId="5A79E627"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91.5%</w:t>
            </w:r>
          </w:p>
        </w:tc>
        <w:tc>
          <w:tcPr>
            <w:tcW w:w="842" w:type="dxa"/>
          </w:tcPr>
          <w:p w14:paraId="603227CF" w14:textId="1B585D7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992" w:type="dxa"/>
          </w:tcPr>
          <w:p w14:paraId="7F2E2648" w14:textId="29C734C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31.9%</w:t>
            </w:r>
          </w:p>
        </w:tc>
        <w:tc>
          <w:tcPr>
            <w:tcW w:w="850" w:type="dxa"/>
          </w:tcPr>
          <w:p w14:paraId="287FA28D" w14:textId="1C62EF7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18.8</w:t>
            </w:r>
          </w:p>
        </w:tc>
        <w:tc>
          <w:tcPr>
            <w:tcW w:w="851" w:type="dxa"/>
          </w:tcPr>
          <w:p w14:paraId="438BC195" w14:textId="74768FC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4.3</w:t>
            </w:r>
          </w:p>
        </w:tc>
        <w:tc>
          <w:tcPr>
            <w:tcW w:w="1139" w:type="dxa"/>
          </w:tcPr>
          <w:p w14:paraId="638E3A1B" w14:textId="0DDB124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69D2B027" w14:textId="77777777" w:rsidTr="004F24BB">
        <w:trPr>
          <w:cantSplit/>
          <w:trHeight w:val="561"/>
        </w:trPr>
        <w:tc>
          <w:tcPr>
            <w:tcW w:w="1263" w:type="dxa"/>
            <w:vMerge w:val="restart"/>
            <w:shd w:val="clear" w:color="auto" w:fill="auto"/>
          </w:tcPr>
          <w:p w14:paraId="1198FA12" w14:textId="52E19244" w:rsidR="004F24BB" w:rsidRPr="00DE7219" w:rsidRDefault="004F24BB" w:rsidP="00DE7219">
            <w:pPr>
              <w:spacing w:line="360" w:lineRule="auto"/>
              <w:ind w:left="171" w:hanging="257"/>
              <w:rPr>
                <w:rFonts w:ascii="Book Antiqua" w:hAnsi="Book Antiqua" w:cstheme="minorHAnsi"/>
                <w:sz w:val="24"/>
                <w:szCs w:val="24"/>
              </w:rPr>
            </w:pPr>
            <w:proofErr w:type="spellStart"/>
            <w:r w:rsidRPr="00DE7219">
              <w:rPr>
                <w:rFonts w:ascii="Book Antiqua" w:hAnsi="Book Antiqua" w:cstheme="minorHAnsi"/>
                <w:sz w:val="24"/>
                <w:szCs w:val="24"/>
              </w:rPr>
              <w:t>Riegler</w:t>
            </w:r>
            <w:proofErr w:type="spellEnd"/>
            <w:r w:rsidRPr="00DE7219">
              <w:rPr>
                <w:rFonts w:ascii="Book Antiqua" w:hAnsi="Book Antiqua" w:cstheme="minorHAnsi"/>
                <w:sz w:val="24"/>
                <w:szCs w:val="24"/>
              </w:rPr>
              <w:t xml:space="preserve">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-014-3772-7","ISSN":"0930-2794","author":[{"dropping-particle":"","family":"Riegler","given":"Martin","non-dropping-particle":"","parse-names":false,"suffix":""},{"dropping-particle":"","family":"Schoppman","given":"Sebastian F.","non-dropping-particle":"","parse-names":false,"suffix":""},{"dropping-particle":"","family":"Bonavina","given":"Luigi","non-dropping-particle":"","parse-names":false,"suffix":""},{"dropping-particle":"","family":"Ashton","given":"David","non-dropping-particle":"","parse-names":false,"suffix":""},{"dropping-particle":"","family":"Horbach","given":"Thomas","non-dropping-particle":"","parse-names":false,"suffix":""},{"dropping-particle":"","family":"Kemen","given":"Matthias","non-dropping-particle":"","parse-names":false,"suffix":""}],"container-title":"Surgical Endoscopy","id":"ITEM-1","issue":"5","issued":{"date-parts":[["2015","5","30"]]},"page":"1123-1129","title":"Magnetic sphincter augmentation and fundoplication for GERD in clinical practice: one-year results of a multicenter, prospective observational study","type":"article-journal","volume":"29"},"uris":["http://www.mendeley.com/documents/?uuid=dc5e544e-42af-3642-bc3e-1f455e628cca"]}],"mendeley":{"formattedCitation":"[16]","plainTextFormattedCitation":"[16]","previouslyFormattedCitation":"[16]"},"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[16]</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715" w:type="dxa"/>
            <w:vMerge w:val="restart"/>
          </w:tcPr>
          <w:p w14:paraId="34BE4042"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2010- 2013</w:t>
            </w:r>
          </w:p>
        </w:tc>
        <w:tc>
          <w:tcPr>
            <w:tcW w:w="991" w:type="dxa"/>
          </w:tcPr>
          <w:p w14:paraId="3FBDE9FC" w14:textId="7B193B3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399FB7F4" w14:textId="120254F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val="restart"/>
          </w:tcPr>
          <w:p w14:paraId="3F60CDBA"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193B7EBA" w14:textId="716E6C9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202(202)</w:t>
            </w:r>
          </w:p>
        </w:tc>
        <w:tc>
          <w:tcPr>
            <w:tcW w:w="813" w:type="dxa"/>
          </w:tcPr>
          <w:p w14:paraId="6AF2704B" w14:textId="093B7B8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46.6</w:t>
            </w:r>
          </w:p>
        </w:tc>
        <w:tc>
          <w:tcPr>
            <w:tcW w:w="755" w:type="dxa"/>
          </w:tcPr>
          <w:p w14:paraId="1D0F16FA" w14:textId="49FFE1E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25.7</w:t>
            </w:r>
          </w:p>
        </w:tc>
        <w:tc>
          <w:tcPr>
            <w:tcW w:w="700" w:type="dxa"/>
            <w:vMerge w:val="restart"/>
          </w:tcPr>
          <w:p w14:paraId="66F13E19"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1276" w:type="dxa"/>
            <w:gridSpan w:val="2"/>
            <w:vMerge w:val="restart"/>
          </w:tcPr>
          <w:p w14:paraId="1AABAABB" w14:textId="5BB9BD2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401C2123" w14:textId="2396391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81.8%</w:t>
            </w:r>
          </w:p>
        </w:tc>
        <w:tc>
          <w:tcPr>
            <w:tcW w:w="842" w:type="dxa"/>
            <w:vMerge w:val="restart"/>
          </w:tcPr>
          <w:p w14:paraId="1230249E"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vMerge w:val="restart"/>
          </w:tcPr>
          <w:p w14:paraId="5BF9804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4F4B22CC" w14:textId="4E83B5C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w:t>
            </w:r>
          </w:p>
        </w:tc>
        <w:tc>
          <w:tcPr>
            <w:tcW w:w="851" w:type="dxa"/>
          </w:tcPr>
          <w:p w14:paraId="22D7899A" w14:textId="2DE1982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Pr>
          <w:p w14:paraId="0FE5469D" w14:textId="429678C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w:t>
            </w:r>
          </w:p>
        </w:tc>
      </w:tr>
      <w:tr w:rsidR="004F24BB" w:rsidRPr="00DE7219" w14:paraId="62AF977B" w14:textId="77777777" w:rsidTr="004F24BB">
        <w:trPr>
          <w:cantSplit/>
          <w:trHeight w:val="915"/>
        </w:trPr>
        <w:tc>
          <w:tcPr>
            <w:tcW w:w="1263" w:type="dxa"/>
            <w:vMerge/>
            <w:shd w:val="clear" w:color="auto" w:fill="auto"/>
          </w:tcPr>
          <w:p w14:paraId="202E6B23"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2FD0CFB1"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Borders>
              <w:bottom w:val="nil"/>
            </w:tcBorders>
          </w:tcPr>
          <w:p w14:paraId="78BC990E" w14:textId="0638445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Borders>
              <w:bottom w:val="nil"/>
            </w:tcBorders>
          </w:tcPr>
          <w:p w14:paraId="7648B388" w14:textId="78610E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tcBorders>
              <w:bottom w:val="nil"/>
            </w:tcBorders>
          </w:tcPr>
          <w:p w14:paraId="5E1C5593"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Borders>
              <w:bottom w:val="nil"/>
            </w:tcBorders>
          </w:tcPr>
          <w:p w14:paraId="000BDB46" w14:textId="7A1ACE6F"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47(47)</w:t>
            </w:r>
          </w:p>
        </w:tc>
        <w:tc>
          <w:tcPr>
            <w:tcW w:w="813" w:type="dxa"/>
            <w:tcBorders>
              <w:bottom w:val="nil"/>
            </w:tcBorders>
          </w:tcPr>
          <w:p w14:paraId="61E7AB00" w14:textId="3FAF702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52.8</w:t>
            </w:r>
          </w:p>
        </w:tc>
        <w:tc>
          <w:tcPr>
            <w:tcW w:w="755" w:type="dxa"/>
            <w:tcBorders>
              <w:bottom w:val="nil"/>
            </w:tcBorders>
          </w:tcPr>
          <w:p w14:paraId="0F97FD0A" w14:textId="017361F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26.1</w:t>
            </w:r>
          </w:p>
        </w:tc>
        <w:tc>
          <w:tcPr>
            <w:tcW w:w="700" w:type="dxa"/>
            <w:vMerge/>
            <w:tcBorders>
              <w:bottom w:val="nil"/>
            </w:tcBorders>
          </w:tcPr>
          <w:p w14:paraId="54D3282C" w14:textId="77777777" w:rsidR="004F24BB" w:rsidRPr="00DE7219" w:rsidRDefault="004F24BB" w:rsidP="00DE7219">
            <w:pPr>
              <w:spacing w:line="360" w:lineRule="auto"/>
              <w:ind w:left="-1" w:hanging="1"/>
              <w:rPr>
                <w:rFonts w:ascii="Book Antiqua" w:hAnsi="Book Antiqua" w:cstheme="minorHAnsi"/>
                <w:sz w:val="24"/>
                <w:szCs w:val="24"/>
              </w:rPr>
            </w:pPr>
          </w:p>
        </w:tc>
        <w:tc>
          <w:tcPr>
            <w:tcW w:w="1276" w:type="dxa"/>
            <w:gridSpan w:val="2"/>
            <w:vMerge/>
            <w:tcBorders>
              <w:bottom w:val="nil"/>
            </w:tcBorders>
          </w:tcPr>
          <w:p w14:paraId="43B8FB06"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Borders>
              <w:bottom w:val="nil"/>
            </w:tcBorders>
          </w:tcPr>
          <w:p w14:paraId="2A82E342" w14:textId="76A7EF5A"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63%</w:t>
            </w:r>
          </w:p>
        </w:tc>
        <w:tc>
          <w:tcPr>
            <w:tcW w:w="842" w:type="dxa"/>
            <w:vMerge/>
            <w:tcBorders>
              <w:bottom w:val="nil"/>
            </w:tcBorders>
          </w:tcPr>
          <w:p w14:paraId="7A5518CA" w14:textId="77777777" w:rsidR="004F24BB" w:rsidRPr="00DE7219" w:rsidRDefault="004F24BB" w:rsidP="00DE7219">
            <w:pPr>
              <w:spacing w:line="360" w:lineRule="auto"/>
              <w:ind w:left="-1" w:hanging="1"/>
              <w:rPr>
                <w:rFonts w:ascii="Book Antiqua" w:hAnsi="Book Antiqua" w:cstheme="minorHAnsi"/>
                <w:sz w:val="24"/>
                <w:szCs w:val="24"/>
              </w:rPr>
            </w:pPr>
          </w:p>
        </w:tc>
        <w:tc>
          <w:tcPr>
            <w:tcW w:w="992" w:type="dxa"/>
            <w:vMerge/>
            <w:tcBorders>
              <w:bottom w:val="nil"/>
            </w:tcBorders>
          </w:tcPr>
          <w:p w14:paraId="2DA4F7F8" w14:textId="77777777" w:rsidR="004F24BB" w:rsidRPr="00DE7219" w:rsidRDefault="004F24BB" w:rsidP="00DE7219">
            <w:pPr>
              <w:spacing w:line="360" w:lineRule="auto"/>
              <w:ind w:left="-1" w:hanging="1"/>
              <w:rPr>
                <w:rFonts w:ascii="Book Antiqua" w:hAnsi="Book Antiqua" w:cstheme="minorHAnsi"/>
                <w:sz w:val="24"/>
                <w:szCs w:val="24"/>
              </w:rPr>
            </w:pPr>
          </w:p>
        </w:tc>
        <w:tc>
          <w:tcPr>
            <w:tcW w:w="850" w:type="dxa"/>
            <w:tcBorders>
              <w:bottom w:val="nil"/>
            </w:tcBorders>
          </w:tcPr>
          <w:p w14:paraId="2CC99EDD" w14:textId="73B638B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23</w:t>
            </w:r>
          </w:p>
        </w:tc>
        <w:tc>
          <w:tcPr>
            <w:tcW w:w="851" w:type="dxa"/>
            <w:tcBorders>
              <w:bottom w:val="nil"/>
            </w:tcBorders>
          </w:tcPr>
          <w:p w14:paraId="4DE05FD9" w14:textId="066888E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Borders>
              <w:bottom w:val="nil"/>
            </w:tcBorders>
          </w:tcPr>
          <w:p w14:paraId="33C9E053" w14:textId="50606BE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r>
      <w:tr w:rsidR="004F24BB" w:rsidRPr="00DE7219" w14:paraId="45B5633F" w14:textId="77777777" w:rsidTr="004F24BB">
        <w:trPr>
          <w:cantSplit/>
          <w:trHeight w:val="576"/>
        </w:trPr>
        <w:tc>
          <w:tcPr>
            <w:tcW w:w="1263" w:type="dxa"/>
            <w:vMerge w:val="restart"/>
          </w:tcPr>
          <w:p w14:paraId="52BCAE12" w14:textId="0490D75A"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Warren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{"citationItems":[{"id":"ITEM-1","itemData":{"DOI":"10.1007/s00464-015-4659-y","ISSN":"0930-2794","PMID":"26541740","abstract":"BACKGROUND Magnetic sphincter augmentation (MSA) has emerged as an alternative surgical treatment of gastroesophageal reflux disease (GERD). The safety and efficacy of MSA has been previously demonstrated, although adequate comparison to Nissen fundoplication (NF) is lacking, and required to validate the role of MSA in GERD management. METHODS A multi-institutional retrospective cohort study of patients with GERD undergoing either MSA or NF. Comparisons were made at 1 year for the overall group and for a propensity-matched group. RESULTS A total of 415 patients (201 MSA and 214 NF) underwent surgery. The groups were similar in age, gender, and GERD-HRQL scores but significantly different in preoperative obesity (32 vs. 40 %), dysphagia (27 vs. 39 %), DeMeester scores (34 vs. 39), presence of microscopic Barrett's (18 vs. 31 %) and hiatal hernia (55 vs. 69 %). At a minimum of 1-year follow-up, 354 patients (169 MSA and 185 NF) had significant improvement in GERD-HRQL scores (pre to post: 21-3 and 19-4). MSA patients had greater ability to belch (96 vs. 69 %) and vomit (95 vs. 43 %) with less gas bloat (47 vs. 59 %). Propensity-matched cases showed similar GERD-HRQL scores and the differences in ability to belch or vomit, and gas bloat persisted in favor of MSA. Mild dysphagia was higher for MSA (44 vs. 32 %). Resumption of daily PPIs was higher for MSA (24 vs. 12, p = 0.02) with similar patient-reported satisfaction rates. CONCLUSIONS MSA for uncomplicated GERD achieves similar improvements in quality of life and symptomatic relief, with fewer side effects, but lower PPI elimination rates when compared to propensity-matched NF cases. In appropriate candidates, MSA is a valid alternative surgical treatment for GERD management.","author":[{"dropping-particle":"","family":"Warren","given":"Heather F.","non-dropping-particle":"","parse-names":false,"suffix":""},{"dropping-particle":"","family":"Reynolds","given":"Jessica L.","non-dropping-particle":"","parse-names":false,"suffix":""},{"dropping-particle":"","family":"Lipham","given":"John C.","non-dropping-particle":"","parse-names":false,"suffix":""},{"dropping-particle":"","family":"Zehetner","given":"Joerg","non-dropping-particle":"","parse-names":false,"suffix":""},{"dropping-particle":"","family":"Bildzukewicz","given":"Nikolai A.","non-dropping-particle":"","parse-names":false,"suffix":""},{"dropping-particle":"","family":"Taiganides","given":"Paul A.","non-dropping-particle":"","parse-names":false,"suffix":""},{"dropping-particle":"","family":"Mickley","given":"Jody","non-dropping-particle":"","parse-names":false,"suffix":""},{"dropping-particle":"","family":"Aye","given":"Ralph W.","non-dropping-particle":"","parse-names":false,"suffix":""},{"dropping-particle":"","family":"Farivar","given":"Alexander S.","non-dropping-particle":"","parse-names":false,"suffix":""},{"dropping-particle":"","family":"Louie","given":"Brian E.","non-dropping-particle":"","parse-names":false,"suffix":""}],"container-title":"Surgical Endoscopy","id":"ITEM-1","issue":"8","issued":{"date-parts":[["2016","8","5"]]},"page":"3289-3296","title":"Multi-institutional outcomes using magnetic sphincter augmentation versus Nissen fundoplication for chronic gastroesophageal reflux disease","type":"article-journal","volume":"30"},"uris":["http://www.mendeley.com/documents/?uuid=69eb1f2a-fa77-3e8b-b18a-f0dc922f0668"]}],"mendeley":{"formattedCitation":"[35]","plainTextFormattedCitation":"[35]","previouslyFormattedCitation":"[35]"},"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4</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2015</w:t>
            </w:r>
          </w:p>
        </w:tc>
        <w:tc>
          <w:tcPr>
            <w:tcW w:w="715" w:type="dxa"/>
            <w:vMerge w:val="restart"/>
          </w:tcPr>
          <w:p w14:paraId="2B6EC39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2007-2014</w:t>
            </w:r>
          </w:p>
        </w:tc>
        <w:tc>
          <w:tcPr>
            <w:tcW w:w="991" w:type="dxa"/>
            <w:tcBorders>
              <w:top w:val="nil"/>
              <w:bottom w:val="nil"/>
            </w:tcBorders>
          </w:tcPr>
          <w:p w14:paraId="2DEAD2BE" w14:textId="73B550F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Borders>
              <w:top w:val="nil"/>
              <w:bottom w:val="nil"/>
            </w:tcBorders>
          </w:tcPr>
          <w:p w14:paraId="6143D630" w14:textId="0DEF555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&gt; 12</w:t>
            </w:r>
          </w:p>
        </w:tc>
        <w:tc>
          <w:tcPr>
            <w:tcW w:w="799" w:type="dxa"/>
            <w:vMerge w:val="restart"/>
            <w:tcBorders>
              <w:top w:val="nil"/>
            </w:tcBorders>
          </w:tcPr>
          <w:p w14:paraId="027CDD23"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Borders>
              <w:top w:val="nil"/>
              <w:bottom w:val="nil"/>
            </w:tcBorders>
          </w:tcPr>
          <w:p w14:paraId="0360BEB8" w14:textId="6576B2D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 (169)</w:t>
            </w:r>
          </w:p>
        </w:tc>
        <w:tc>
          <w:tcPr>
            <w:tcW w:w="813" w:type="dxa"/>
            <w:tcBorders>
              <w:top w:val="nil"/>
              <w:bottom w:val="nil"/>
            </w:tcBorders>
          </w:tcPr>
          <w:p w14:paraId="0DCDBA93" w14:textId="5D1BE2A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54</w:t>
            </w:r>
          </w:p>
        </w:tc>
        <w:tc>
          <w:tcPr>
            <w:tcW w:w="755" w:type="dxa"/>
            <w:vMerge w:val="restart"/>
            <w:tcBorders>
              <w:top w:val="nil"/>
            </w:tcBorders>
          </w:tcPr>
          <w:p w14:paraId="287B4F3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700" w:type="dxa"/>
            <w:tcBorders>
              <w:top w:val="nil"/>
              <w:bottom w:val="nil"/>
            </w:tcBorders>
          </w:tcPr>
          <w:p w14:paraId="44563A48" w14:textId="3B86A1B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60</w:t>
            </w:r>
          </w:p>
        </w:tc>
        <w:tc>
          <w:tcPr>
            <w:tcW w:w="1276" w:type="dxa"/>
            <w:gridSpan w:val="2"/>
            <w:vMerge w:val="restart"/>
            <w:tcBorders>
              <w:top w:val="nil"/>
            </w:tcBorders>
          </w:tcPr>
          <w:p w14:paraId="3B06ADD4"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Borders>
              <w:top w:val="nil"/>
              <w:bottom w:val="nil"/>
            </w:tcBorders>
          </w:tcPr>
          <w:p w14:paraId="492CDB7B" w14:textId="1636CE8D"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76%</w:t>
            </w:r>
          </w:p>
        </w:tc>
        <w:tc>
          <w:tcPr>
            <w:tcW w:w="842" w:type="dxa"/>
            <w:vMerge w:val="restart"/>
            <w:tcBorders>
              <w:top w:val="nil"/>
            </w:tcBorders>
          </w:tcPr>
          <w:p w14:paraId="58ECC9BC"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992" w:type="dxa"/>
            <w:tcBorders>
              <w:top w:val="nil"/>
              <w:bottom w:val="nil"/>
            </w:tcBorders>
          </w:tcPr>
          <w:p w14:paraId="27C67BE9" w14:textId="1BB82DC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44%</w:t>
            </w:r>
          </w:p>
        </w:tc>
        <w:tc>
          <w:tcPr>
            <w:tcW w:w="850" w:type="dxa"/>
            <w:tcBorders>
              <w:top w:val="nil"/>
              <w:bottom w:val="nil"/>
            </w:tcBorders>
          </w:tcPr>
          <w:p w14:paraId="13C4D7EA" w14:textId="03C12E9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21</w:t>
            </w:r>
          </w:p>
        </w:tc>
        <w:tc>
          <w:tcPr>
            <w:tcW w:w="851" w:type="dxa"/>
            <w:tcBorders>
              <w:top w:val="nil"/>
              <w:bottom w:val="nil"/>
            </w:tcBorders>
          </w:tcPr>
          <w:p w14:paraId="310229A2" w14:textId="2524538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w:t>
            </w:r>
          </w:p>
        </w:tc>
        <w:tc>
          <w:tcPr>
            <w:tcW w:w="1139" w:type="dxa"/>
            <w:tcBorders>
              <w:top w:val="nil"/>
              <w:bottom w:val="nil"/>
            </w:tcBorders>
          </w:tcPr>
          <w:p w14:paraId="25764803" w14:textId="7DA46C1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05E5A738" w14:textId="77777777" w:rsidTr="004F24BB">
        <w:trPr>
          <w:cantSplit/>
          <w:trHeight w:val="900"/>
        </w:trPr>
        <w:tc>
          <w:tcPr>
            <w:tcW w:w="1263" w:type="dxa"/>
            <w:vMerge/>
          </w:tcPr>
          <w:p w14:paraId="1D7D0BE0"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613D5169"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Borders>
              <w:top w:val="nil"/>
            </w:tcBorders>
          </w:tcPr>
          <w:p w14:paraId="08691C76" w14:textId="72092BD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Borders>
              <w:top w:val="nil"/>
            </w:tcBorders>
          </w:tcPr>
          <w:p w14:paraId="4375A33F" w14:textId="61AA1C8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&gt; 12</w:t>
            </w:r>
          </w:p>
        </w:tc>
        <w:tc>
          <w:tcPr>
            <w:tcW w:w="799" w:type="dxa"/>
            <w:vMerge/>
          </w:tcPr>
          <w:p w14:paraId="13049390"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Borders>
              <w:top w:val="nil"/>
            </w:tcBorders>
          </w:tcPr>
          <w:p w14:paraId="319DAF77" w14:textId="58418ACD"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214 (185)</w:t>
            </w:r>
          </w:p>
        </w:tc>
        <w:tc>
          <w:tcPr>
            <w:tcW w:w="813" w:type="dxa"/>
            <w:tcBorders>
              <w:top w:val="nil"/>
            </w:tcBorders>
          </w:tcPr>
          <w:p w14:paraId="09612BE5" w14:textId="2F0E68F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w:t>
            </w:r>
          </w:p>
        </w:tc>
        <w:tc>
          <w:tcPr>
            <w:tcW w:w="755" w:type="dxa"/>
            <w:vMerge/>
          </w:tcPr>
          <w:p w14:paraId="6FDDA47D" w14:textId="77777777" w:rsidR="004F24BB" w:rsidRPr="00DE7219" w:rsidRDefault="004F24BB" w:rsidP="00DE7219">
            <w:pPr>
              <w:spacing w:line="360" w:lineRule="auto"/>
              <w:ind w:left="-1" w:hanging="1"/>
              <w:rPr>
                <w:rFonts w:ascii="Book Antiqua" w:hAnsi="Book Antiqua" w:cstheme="minorHAnsi"/>
                <w:sz w:val="24"/>
                <w:szCs w:val="24"/>
              </w:rPr>
            </w:pPr>
          </w:p>
        </w:tc>
        <w:tc>
          <w:tcPr>
            <w:tcW w:w="700" w:type="dxa"/>
            <w:tcBorders>
              <w:top w:val="nil"/>
            </w:tcBorders>
          </w:tcPr>
          <w:p w14:paraId="24FC475F" w14:textId="0C10789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76</w:t>
            </w:r>
          </w:p>
        </w:tc>
        <w:tc>
          <w:tcPr>
            <w:tcW w:w="1276" w:type="dxa"/>
            <w:gridSpan w:val="2"/>
            <w:vMerge/>
          </w:tcPr>
          <w:p w14:paraId="7D4ADA01"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Borders>
              <w:top w:val="nil"/>
            </w:tcBorders>
          </w:tcPr>
          <w:p w14:paraId="3B9A580B" w14:textId="5D475FE5"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88%</w:t>
            </w:r>
          </w:p>
        </w:tc>
        <w:tc>
          <w:tcPr>
            <w:tcW w:w="842" w:type="dxa"/>
            <w:vMerge/>
          </w:tcPr>
          <w:p w14:paraId="2B306541" w14:textId="77777777" w:rsidR="004F24BB" w:rsidRPr="00DE7219" w:rsidRDefault="004F24BB" w:rsidP="00DE7219">
            <w:pPr>
              <w:spacing w:line="360" w:lineRule="auto"/>
              <w:ind w:left="-1" w:hanging="1"/>
              <w:rPr>
                <w:rFonts w:ascii="Book Antiqua" w:hAnsi="Book Antiqua" w:cstheme="minorHAnsi"/>
                <w:sz w:val="24"/>
                <w:szCs w:val="24"/>
              </w:rPr>
            </w:pPr>
          </w:p>
        </w:tc>
        <w:tc>
          <w:tcPr>
            <w:tcW w:w="992" w:type="dxa"/>
            <w:tcBorders>
              <w:top w:val="nil"/>
            </w:tcBorders>
          </w:tcPr>
          <w:p w14:paraId="7AA93E7C" w14:textId="24965FC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32%</w:t>
            </w:r>
          </w:p>
        </w:tc>
        <w:tc>
          <w:tcPr>
            <w:tcW w:w="850" w:type="dxa"/>
            <w:tcBorders>
              <w:top w:val="nil"/>
            </w:tcBorders>
          </w:tcPr>
          <w:p w14:paraId="49CF0D03" w14:textId="7A9C6E3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w:t>
            </w:r>
          </w:p>
        </w:tc>
        <w:tc>
          <w:tcPr>
            <w:tcW w:w="851" w:type="dxa"/>
            <w:tcBorders>
              <w:top w:val="nil"/>
            </w:tcBorders>
          </w:tcPr>
          <w:p w14:paraId="27331092" w14:textId="5F8C4EA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Borders>
              <w:top w:val="nil"/>
            </w:tcBorders>
          </w:tcPr>
          <w:p w14:paraId="6D0F7AC4" w14:textId="17AC70A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60013D24" w14:textId="77777777" w:rsidTr="004F24BB">
        <w:trPr>
          <w:cantSplit/>
          <w:trHeight w:val="546"/>
        </w:trPr>
        <w:tc>
          <w:tcPr>
            <w:tcW w:w="1263" w:type="dxa"/>
            <w:vMerge w:val="restart"/>
          </w:tcPr>
          <w:p w14:paraId="5AAD3EA7" w14:textId="44334845"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Reynolds </w:t>
            </w:r>
            <w:r w:rsidRPr="00DE7219">
              <w:rPr>
                <w:rFonts w:ascii="Book Antiqua" w:hAnsi="Book Antiqua" w:cstheme="minorHAnsi"/>
                <w:i/>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{"citationItems":[{"id":"ITEM-1","itemData":{"DOI":"10.1007/s00464-015-4635-6","ISSN":"0930-2794","author":[{"dropping-particle":"","family":"Reynolds","given":"Jessica L.","non-dropping-particle":"","parse-names":false,"suffix":""},{"dropping-particle":"","family":"Zehetner","given":"Joerg","non-dropping-particle":"","parse-names":false,"suffix":""},{"dropping-particle":"","family":"Nieh","given":"Angela","non-dropping-particle":"","parse-names":false,"suffix":""},{"dropping-particle":"","family":"Bildzukewicz","given":"Nikolai","non-dropping-particle":"","parse-names":false,"suffix":""},{"dropping-particle":"","family":"Sandhu","given":"Kulmeet","non-dropping-particle":"","parse-names":false,"suffix":""},{"dropping-particle":"","family":"Katkhouda","given":"Namir","non-dropping-particle":"","parse-names":false,"suffix":""},{"dropping-particle":"","family":"Lipham","given":"John C.","non-dropping-particle":"","parse-names":false,"suffix":""}],"container-title":"Surgical Endoscopy","id":"ITEM-1","issue":"8","issued":{"date-parts":[["2016","8","5"]]},"page":"3225-3230","title":"Charges, outcomes, and complications: a comparison of magnetic sphincter augmentation versus laparoscopic Nissen fundoplication for the treatment of GERD","type":"article-journal","volume":"30"},"uris":["http://www.mendeley.com/documents/?uuid=5ee03b63-9b92-3c42-866d-7057d067efc0"]}],"mendeley":{"formattedCitation":"[36]","plainTextFormattedCitation":"[36]","previouslyFormattedCitation":"[36]"},"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5</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vMerge w:val="restart"/>
          </w:tcPr>
          <w:p w14:paraId="4349738B"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2010-2013</w:t>
            </w:r>
          </w:p>
        </w:tc>
        <w:tc>
          <w:tcPr>
            <w:tcW w:w="991" w:type="dxa"/>
          </w:tcPr>
          <w:p w14:paraId="51B64F7F" w14:textId="604BF03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66389604" w14:textId="5C4AADEA"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val="restart"/>
          </w:tcPr>
          <w:p w14:paraId="23E01410"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5D31E826" w14:textId="560AD89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52 (48)</w:t>
            </w:r>
          </w:p>
        </w:tc>
        <w:tc>
          <w:tcPr>
            <w:tcW w:w="813" w:type="dxa"/>
          </w:tcPr>
          <w:p w14:paraId="5651D03D" w14:textId="7923EE7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31974AE3" w14:textId="72816F93"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26</w:t>
            </w:r>
          </w:p>
        </w:tc>
        <w:tc>
          <w:tcPr>
            <w:tcW w:w="700" w:type="dxa"/>
          </w:tcPr>
          <w:p w14:paraId="24450B27" w14:textId="6AA25AE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66</w:t>
            </w:r>
          </w:p>
        </w:tc>
        <w:tc>
          <w:tcPr>
            <w:tcW w:w="1276" w:type="dxa"/>
            <w:gridSpan w:val="2"/>
            <w:vMerge w:val="restart"/>
          </w:tcPr>
          <w:p w14:paraId="07C99DC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tcPr>
          <w:p w14:paraId="3C70BC87" w14:textId="1C07670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85%</w:t>
            </w:r>
          </w:p>
        </w:tc>
        <w:tc>
          <w:tcPr>
            <w:tcW w:w="842" w:type="dxa"/>
          </w:tcPr>
          <w:p w14:paraId="4C8C09BF" w14:textId="4554614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9</w:t>
            </w:r>
          </w:p>
        </w:tc>
        <w:tc>
          <w:tcPr>
            <w:tcW w:w="992" w:type="dxa"/>
          </w:tcPr>
          <w:p w14:paraId="0BA0AC7A" w14:textId="5124B55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46%</w:t>
            </w:r>
          </w:p>
        </w:tc>
        <w:tc>
          <w:tcPr>
            <w:tcW w:w="850" w:type="dxa"/>
          </w:tcPr>
          <w:p w14:paraId="00709D50" w14:textId="084C93B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17</w:t>
            </w:r>
          </w:p>
        </w:tc>
        <w:tc>
          <w:tcPr>
            <w:tcW w:w="851" w:type="dxa"/>
          </w:tcPr>
          <w:p w14:paraId="13E8CD0B" w14:textId="7CCB51D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w:t>
            </w:r>
          </w:p>
        </w:tc>
        <w:tc>
          <w:tcPr>
            <w:tcW w:w="1139" w:type="dxa"/>
          </w:tcPr>
          <w:p w14:paraId="050305C6" w14:textId="1F0F325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w:t>
            </w:r>
          </w:p>
        </w:tc>
      </w:tr>
      <w:tr w:rsidR="004F24BB" w:rsidRPr="00DE7219" w14:paraId="5C7AF76C" w14:textId="77777777" w:rsidTr="004F24BB">
        <w:trPr>
          <w:cantSplit/>
          <w:trHeight w:val="930"/>
        </w:trPr>
        <w:tc>
          <w:tcPr>
            <w:tcW w:w="1263" w:type="dxa"/>
            <w:vMerge/>
          </w:tcPr>
          <w:p w14:paraId="24CA8675"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0894E9D5"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53DB541D" w14:textId="0990268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2036BE2B" w14:textId="7A0AF53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w:t>
            </w:r>
          </w:p>
        </w:tc>
        <w:tc>
          <w:tcPr>
            <w:tcW w:w="799" w:type="dxa"/>
            <w:vMerge/>
          </w:tcPr>
          <w:p w14:paraId="6F2A4518"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43A9A2E1" w14:textId="5582A41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67 (59)</w:t>
            </w:r>
          </w:p>
        </w:tc>
        <w:tc>
          <w:tcPr>
            <w:tcW w:w="813" w:type="dxa"/>
          </w:tcPr>
          <w:p w14:paraId="5DDA60A3" w14:textId="7E021E3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53</w:t>
            </w:r>
          </w:p>
        </w:tc>
        <w:tc>
          <w:tcPr>
            <w:tcW w:w="755" w:type="dxa"/>
          </w:tcPr>
          <w:p w14:paraId="1DBA3152" w14:textId="62BDEF6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27</w:t>
            </w:r>
          </w:p>
        </w:tc>
        <w:tc>
          <w:tcPr>
            <w:tcW w:w="700" w:type="dxa"/>
          </w:tcPr>
          <w:p w14:paraId="0B02E40B" w14:textId="2023D7A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82</w:t>
            </w:r>
          </w:p>
        </w:tc>
        <w:tc>
          <w:tcPr>
            <w:tcW w:w="1276" w:type="dxa"/>
            <w:gridSpan w:val="2"/>
            <w:vMerge/>
          </w:tcPr>
          <w:p w14:paraId="08F337E4"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tcPr>
          <w:p w14:paraId="75B3DAA6" w14:textId="696D2A94"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92%</w:t>
            </w:r>
          </w:p>
        </w:tc>
        <w:tc>
          <w:tcPr>
            <w:tcW w:w="842" w:type="dxa"/>
          </w:tcPr>
          <w:p w14:paraId="0FD814AF" w14:textId="3182839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w:t>
            </w:r>
          </w:p>
        </w:tc>
        <w:tc>
          <w:tcPr>
            <w:tcW w:w="992" w:type="dxa"/>
          </w:tcPr>
          <w:p w14:paraId="6F9E3325" w14:textId="73FD6A8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56%</w:t>
            </w:r>
          </w:p>
        </w:tc>
        <w:tc>
          <w:tcPr>
            <w:tcW w:w="850" w:type="dxa"/>
          </w:tcPr>
          <w:p w14:paraId="231D0DC7" w14:textId="54E65CB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19</w:t>
            </w:r>
          </w:p>
        </w:tc>
        <w:tc>
          <w:tcPr>
            <w:tcW w:w="851" w:type="dxa"/>
          </w:tcPr>
          <w:p w14:paraId="2CA63E2C" w14:textId="17C933F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w:t>
            </w:r>
          </w:p>
        </w:tc>
        <w:tc>
          <w:tcPr>
            <w:tcW w:w="1139" w:type="dxa"/>
          </w:tcPr>
          <w:p w14:paraId="00ABDE47" w14:textId="7B00237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w:t>
            </w:r>
          </w:p>
        </w:tc>
      </w:tr>
      <w:tr w:rsidR="004F24BB" w:rsidRPr="00DE7219" w14:paraId="7DCC8EB2" w14:textId="77777777" w:rsidTr="004F24BB">
        <w:trPr>
          <w:cantSplit/>
          <w:trHeight w:val="546"/>
        </w:trPr>
        <w:tc>
          <w:tcPr>
            <w:tcW w:w="1263" w:type="dxa"/>
            <w:vMerge w:val="restart"/>
            <w:shd w:val="clear" w:color="auto" w:fill="auto"/>
          </w:tcPr>
          <w:p w14:paraId="2A938178" w14:textId="023C0412" w:rsidR="004F24BB" w:rsidRPr="00DE7219" w:rsidRDefault="004F24BB" w:rsidP="00DE7219">
            <w:pPr>
              <w:spacing w:line="360" w:lineRule="auto"/>
              <w:ind w:left="171" w:hanging="257"/>
              <w:rPr>
                <w:rFonts w:ascii="Book Antiqua" w:hAnsi="Book Antiqua" w:cstheme="minorHAnsi"/>
                <w:sz w:val="24"/>
                <w:szCs w:val="24"/>
              </w:rPr>
            </w:pPr>
            <w:r w:rsidRPr="00DE7219">
              <w:rPr>
                <w:rFonts w:ascii="Book Antiqua" w:hAnsi="Book Antiqua" w:cstheme="minorHAnsi"/>
                <w:sz w:val="24"/>
                <w:szCs w:val="24"/>
              </w:rPr>
              <w:t xml:space="preserve">Asti </w:t>
            </w:r>
            <w:r w:rsidRPr="00DE7219">
              <w:rPr>
                <w:rFonts w:ascii="Book Antiqua" w:hAnsi="Book Antiqua" w:cstheme="minorHAnsi"/>
                <w:i/>
                <w:iCs/>
                <w:sz w:val="24"/>
                <w:szCs w:val="24"/>
              </w:rPr>
              <w:t>et al</w:t>
            </w:r>
            <w:r w:rsidRPr="00DE7219">
              <w:rPr>
                <w:rFonts w:ascii="Book Antiqua" w:hAnsi="Book Antiqua" w:cstheme="minorHAnsi"/>
                <w:sz w:val="24"/>
                <w:szCs w:val="24"/>
                <w:vertAlign w:val="superscript"/>
              </w:rPr>
              <w:fldChar w:fldCharType="begin" w:fldLock="1"/>
            </w:r>
            <w:r w:rsidRPr="00DE7219">
              <w:rPr>
                <w:rFonts w:ascii="Book Antiqua" w:hAnsi="Book Antiqua" w:cstheme="minorHAnsi"/>
                <w:sz w:val="24"/>
                <w:szCs w:val="24"/>
                <w:vertAlign w:val="superscript"/>
              </w:rPr>
              <w:instrText>ADDIN CSL_CITATION {"citationItems":[{"id":"ITEM-1","itemData":{"DOI":"10.1097/MD.0000000000004366","ISSN":"0025-7974","PMID":"27472725","abstract":"Only a minority of patients with gastro-esophageal reflux disease (GERD) are offered a surgical option. This is mostly due to the fear of potential side effects, the variable success rate, and the extreme alteration of gastric anatomy with the current gold standard, the laparoscopic Nissen fundoplication. It has been reported that laparoscopic Toupet fundoplication (LTF) and laparoscopic sphincter augmentation using a magnetic device (LINX) can treat reflux more physiologically and with a lower incidence of side-effects and reoperation rate. We present the first comparing quality of life in patients undergoing LTF versus LINX.Observational cohort study. Consecutive patients undergoing LTF or LINX over the same time period were compared by using the propensity score full matching method and generalized estimating equation. Criteria of exclusion were &gt;3</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cm hiatal hernia, grade C-D esophagitis, ineffective esophageal motility, body mass index &gt;35, and previous upper abdominal surgery. The primary study outcome was quality of life measured with the Gastro-Esophageal Reflux Disease-Health Related Quality of Life (GERD-HRQL) questionnaire. Secondary outcomes were proton pump inhibitors (PPI) use, presence of gas-related symptoms or dysphagia, and reoperation-free probability.Between March 2007 and July 2014, 238 patients with GERD met the criteria of inclusion in the study. Of these, 103 underwent an LTF and 135 a LINX procedure. All patients had a minimum 1-year follow-up. Over time, patients in both groups had similar GERD-HRQL scores (odds ratio [OR] 1.04, confidence interval [CI] 0.89-1.27;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0.578), PPI use (OR 1.18, CI 0.81-1.70;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0.388), gas-related symptoms (OR 0.69, CI 0.21-2.28;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0.542), dysphagia (OR 0.62, CI 0.26-1.30; P</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0.241), and reoperation-free probability (stratified log-rank test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w:instrText>
            </w:r>
            <w:r w:rsidRPr="00DE7219">
              <w:rPr>
                <w:rFonts w:ascii="微软雅黑" w:eastAsia="微软雅黑" w:hAnsi="微软雅黑" w:cs="微软雅黑" w:hint="eastAsia"/>
                <w:sz w:val="24"/>
                <w:szCs w:val="24"/>
                <w:vertAlign w:val="superscript"/>
              </w:rPr>
              <w:instrText> </w:instrText>
            </w:r>
            <w:r w:rsidRPr="00DE7219">
              <w:rPr>
                <w:rFonts w:ascii="Book Antiqua" w:hAnsi="Book Antiqua" w:cstheme="minorHAnsi"/>
                <w:sz w:val="24"/>
                <w:szCs w:val="24"/>
                <w:vertAlign w:val="superscript"/>
              </w:rPr>
              <w:instrText>0.556).In 2 concurrent cohorts of patients with early stage GERD undergoing LTF or LINX and matched by propensity score analysis, health-related quality of life significantly improved and GERD-HRQL scores had a similar decreasing trend over time up to 7 years of follow-up. We conclude that LTF and LINX provide similar disease-specific quality of life over time in patients with early stage GERD.","author":[{"dropping-particle":"","family":"Asti","given":"Emanuele","non-dropping-particle":"","parse-names":false,"suffix":""},{"dropping-particle":"","family":"Bonitta","given":"Gianluca","non-dropping-particle":"","parse-names":false,"suffix":""},{"dropping-particle":"","family":"Lovece","given":"Andrea","non-dropping-particle":"","parse-names":false,"suffix":""},{"dropping-particle":"","family":"Lazzari","given":"Veronica","non-dropping-particle":"","parse-names":false,"suffix":""},{"dropping-particle":"","family":"Bonavina","given":"Luigi","non-dropping-particle":"","parse-names":false,"suffix":""}],"container-title":"Medicine","id":"ITEM-1","issue":"30","issued":{"date-parts":[["2016","7"]]},"page":"e4366","title":"Longitudinal comparison of quality of life in patients undergoing laparoscopic Toupet fundoplication versus magnetic sphincter augmentation","type":"article-journal","volume":"95"},"uris":["http://www.mendeley.com/documents/?uuid=4a983e0c-e542-3a65-b8f4-674ee5cf12b1"]}],"mendeley":{"formattedCitation":"[37]","plainTextFormattedCitation":"[37]","previouslyFormattedCitation":"[37]"},"properties":{"noteIndex":0},"schema":"https://github.com/citation-style-language/schema/raw/master/csl-citation.json"}</w:instrText>
            </w:r>
            <w:r w:rsidRPr="00DE7219">
              <w:rPr>
                <w:rFonts w:ascii="Book Antiqua" w:hAnsi="Book Antiqua" w:cstheme="minorHAnsi"/>
                <w:sz w:val="24"/>
                <w:szCs w:val="24"/>
                <w:vertAlign w:val="superscript"/>
              </w:rPr>
              <w:fldChar w:fldCharType="separate"/>
            </w:r>
            <w:r w:rsidRPr="00DE7219">
              <w:rPr>
                <w:rFonts w:ascii="Book Antiqua" w:hAnsi="Book Antiqua" w:cstheme="minorHAnsi"/>
                <w:noProof/>
                <w:sz w:val="24"/>
                <w:szCs w:val="24"/>
                <w:vertAlign w:val="superscript"/>
              </w:rPr>
              <w:t>[3</w:t>
            </w:r>
            <w:r w:rsidR="00E879CF" w:rsidRPr="00DE7219">
              <w:rPr>
                <w:rFonts w:ascii="Book Antiqua" w:hAnsi="Book Antiqua" w:cstheme="minorHAnsi"/>
                <w:noProof/>
                <w:sz w:val="24"/>
                <w:szCs w:val="24"/>
                <w:vertAlign w:val="superscript"/>
              </w:rPr>
              <w:t>6</w:t>
            </w:r>
            <w:r w:rsidRPr="00DE7219">
              <w:rPr>
                <w:rFonts w:ascii="Book Antiqua" w:hAnsi="Book Antiqua" w:cstheme="minorHAnsi"/>
                <w:noProof/>
                <w:sz w:val="24"/>
                <w:szCs w:val="24"/>
                <w:vertAlign w:val="superscript"/>
              </w:rPr>
              <w:t>]</w:t>
            </w:r>
            <w:r w:rsidRPr="00DE7219">
              <w:rPr>
                <w:rFonts w:ascii="Book Antiqua" w:hAnsi="Book Antiqua" w:cstheme="minorHAnsi"/>
                <w:sz w:val="24"/>
                <w:szCs w:val="24"/>
                <w:vertAlign w:val="superscript"/>
              </w:rPr>
              <w:fldChar w:fldCharType="end"/>
            </w:r>
            <w:r w:rsidRPr="00DE7219">
              <w:rPr>
                <w:rFonts w:ascii="Book Antiqua" w:hAnsi="Book Antiqua" w:cstheme="minorHAnsi"/>
                <w:sz w:val="24"/>
                <w:szCs w:val="24"/>
              </w:rPr>
              <w:t>, 2016</w:t>
            </w:r>
          </w:p>
        </w:tc>
        <w:tc>
          <w:tcPr>
            <w:tcW w:w="715" w:type="dxa"/>
            <w:vMerge w:val="restart"/>
          </w:tcPr>
          <w:p w14:paraId="77DAA7F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2007-2014</w:t>
            </w:r>
          </w:p>
        </w:tc>
        <w:tc>
          <w:tcPr>
            <w:tcW w:w="991" w:type="dxa"/>
          </w:tcPr>
          <w:p w14:paraId="00A05320" w14:textId="4240CAB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MSA</w:t>
            </w:r>
          </w:p>
        </w:tc>
        <w:tc>
          <w:tcPr>
            <w:tcW w:w="848" w:type="dxa"/>
          </w:tcPr>
          <w:p w14:paraId="76BC49B3" w14:textId="4AADAE50"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12-80</w:t>
            </w:r>
          </w:p>
        </w:tc>
        <w:tc>
          <w:tcPr>
            <w:tcW w:w="799" w:type="dxa"/>
            <w:vMerge w:val="restart"/>
          </w:tcPr>
          <w:p w14:paraId="3064424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Comp.</w:t>
            </w:r>
          </w:p>
        </w:tc>
        <w:tc>
          <w:tcPr>
            <w:tcW w:w="1044" w:type="dxa"/>
          </w:tcPr>
          <w:p w14:paraId="3FE71520" w14:textId="2DCC2D34"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135(135)</w:t>
            </w:r>
          </w:p>
        </w:tc>
        <w:tc>
          <w:tcPr>
            <w:tcW w:w="813" w:type="dxa"/>
          </w:tcPr>
          <w:p w14:paraId="7A032E90" w14:textId="616DE96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44</w:t>
            </w:r>
          </w:p>
        </w:tc>
        <w:tc>
          <w:tcPr>
            <w:tcW w:w="755" w:type="dxa"/>
          </w:tcPr>
          <w:p w14:paraId="0001E971" w14:textId="50A124C2"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23.94</w:t>
            </w:r>
          </w:p>
        </w:tc>
        <w:tc>
          <w:tcPr>
            <w:tcW w:w="700" w:type="dxa"/>
          </w:tcPr>
          <w:p w14:paraId="72068D02" w14:textId="510C13B9"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42</w:t>
            </w:r>
          </w:p>
        </w:tc>
        <w:tc>
          <w:tcPr>
            <w:tcW w:w="1276" w:type="dxa"/>
            <w:gridSpan w:val="2"/>
            <w:vMerge w:val="restart"/>
          </w:tcPr>
          <w:p w14:paraId="005C6E41"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576" w:type="dxa"/>
            <w:vMerge w:val="restart"/>
          </w:tcPr>
          <w:p w14:paraId="74FE7612"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42" w:type="dxa"/>
            <w:vMerge w:val="restart"/>
          </w:tcPr>
          <w:p w14:paraId="07DB4174" w14:textId="77777777"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N.A.</w:t>
            </w:r>
          </w:p>
        </w:tc>
        <w:tc>
          <w:tcPr>
            <w:tcW w:w="992" w:type="dxa"/>
            <w:vMerge w:val="restart"/>
          </w:tcPr>
          <w:p w14:paraId="016AC6C7" w14:textId="77777777"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c>
          <w:tcPr>
            <w:tcW w:w="850" w:type="dxa"/>
          </w:tcPr>
          <w:p w14:paraId="50387AC5" w14:textId="1C45D9E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21</w:t>
            </w:r>
          </w:p>
        </w:tc>
        <w:tc>
          <w:tcPr>
            <w:tcW w:w="851" w:type="dxa"/>
          </w:tcPr>
          <w:p w14:paraId="73716C57" w14:textId="3EC515FC"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0-3</w:t>
            </w:r>
          </w:p>
        </w:tc>
        <w:tc>
          <w:tcPr>
            <w:tcW w:w="1139" w:type="dxa"/>
            <w:vMerge w:val="restart"/>
          </w:tcPr>
          <w:p w14:paraId="79B05C29" w14:textId="10404FDF"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N.A.</w:t>
            </w:r>
          </w:p>
        </w:tc>
      </w:tr>
      <w:tr w:rsidR="004F24BB" w:rsidRPr="00DE7219" w14:paraId="70A283C5" w14:textId="77777777" w:rsidTr="004F24BB">
        <w:trPr>
          <w:cantSplit/>
          <w:trHeight w:val="930"/>
        </w:trPr>
        <w:tc>
          <w:tcPr>
            <w:tcW w:w="1263" w:type="dxa"/>
            <w:vMerge/>
            <w:shd w:val="clear" w:color="auto" w:fill="auto"/>
          </w:tcPr>
          <w:p w14:paraId="5D1169C8" w14:textId="77777777" w:rsidR="004F24BB" w:rsidRPr="00DE7219" w:rsidRDefault="004F24BB" w:rsidP="00DE7219">
            <w:pPr>
              <w:spacing w:line="360" w:lineRule="auto"/>
              <w:ind w:left="171" w:hanging="257"/>
              <w:rPr>
                <w:rFonts w:ascii="Book Antiqua" w:hAnsi="Book Antiqua" w:cstheme="minorHAnsi"/>
                <w:sz w:val="24"/>
                <w:szCs w:val="24"/>
              </w:rPr>
            </w:pPr>
          </w:p>
        </w:tc>
        <w:tc>
          <w:tcPr>
            <w:tcW w:w="715" w:type="dxa"/>
            <w:vMerge/>
          </w:tcPr>
          <w:p w14:paraId="0014152C" w14:textId="77777777" w:rsidR="004F24BB" w:rsidRPr="00DE7219" w:rsidRDefault="004F24BB" w:rsidP="00DE7219">
            <w:pPr>
              <w:spacing w:line="360" w:lineRule="auto"/>
              <w:ind w:left="-1" w:hanging="1"/>
              <w:rPr>
                <w:rFonts w:ascii="Book Antiqua" w:hAnsi="Book Antiqua" w:cstheme="minorHAnsi"/>
                <w:sz w:val="24"/>
                <w:szCs w:val="24"/>
              </w:rPr>
            </w:pPr>
          </w:p>
        </w:tc>
        <w:tc>
          <w:tcPr>
            <w:tcW w:w="991" w:type="dxa"/>
          </w:tcPr>
          <w:p w14:paraId="1D7CE199" w14:textId="69A7BF6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LF</w:t>
            </w:r>
          </w:p>
        </w:tc>
        <w:tc>
          <w:tcPr>
            <w:tcW w:w="848" w:type="dxa"/>
          </w:tcPr>
          <w:p w14:paraId="5AE76F4B" w14:textId="22D79AD5"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12-80</w:t>
            </w:r>
          </w:p>
        </w:tc>
        <w:tc>
          <w:tcPr>
            <w:tcW w:w="799" w:type="dxa"/>
            <w:vMerge/>
          </w:tcPr>
          <w:p w14:paraId="7BA56702" w14:textId="77777777" w:rsidR="004F24BB" w:rsidRPr="00DE7219" w:rsidRDefault="004F24BB" w:rsidP="00DE7219">
            <w:pPr>
              <w:spacing w:line="360" w:lineRule="auto"/>
              <w:ind w:left="-1" w:hanging="1"/>
              <w:rPr>
                <w:rFonts w:ascii="Book Antiqua" w:hAnsi="Book Antiqua" w:cstheme="minorHAnsi"/>
                <w:sz w:val="24"/>
                <w:szCs w:val="24"/>
              </w:rPr>
            </w:pPr>
          </w:p>
        </w:tc>
        <w:tc>
          <w:tcPr>
            <w:tcW w:w="1044" w:type="dxa"/>
          </w:tcPr>
          <w:p w14:paraId="136DC4F8" w14:textId="3BF7D5A7" w:rsidR="004F24BB" w:rsidRPr="00DE7219" w:rsidRDefault="004F24BB" w:rsidP="00DE7219">
            <w:pPr>
              <w:spacing w:line="360" w:lineRule="auto"/>
              <w:rPr>
                <w:rFonts w:ascii="Book Antiqua" w:hAnsi="Book Antiqua" w:cstheme="minorHAnsi"/>
                <w:sz w:val="24"/>
                <w:szCs w:val="24"/>
              </w:rPr>
            </w:pPr>
            <w:r w:rsidRPr="00DE7219">
              <w:rPr>
                <w:rFonts w:ascii="Book Antiqua" w:hAnsi="Book Antiqua" w:cstheme="minorHAnsi"/>
                <w:sz w:val="24"/>
                <w:szCs w:val="24"/>
              </w:rPr>
              <w:t>103(103)</w:t>
            </w:r>
          </w:p>
        </w:tc>
        <w:tc>
          <w:tcPr>
            <w:tcW w:w="813" w:type="dxa"/>
          </w:tcPr>
          <w:p w14:paraId="752A20B4" w14:textId="27AB3EB6"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50</w:t>
            </w:r>
          </w:p>
        </w:tc>
        <w:tc>
          <w:tcPr>
            <w:tcW w:w="755" w:type="dxa"/>
          </w:tcPr>
          <w:p w14:paraId="6C358596" w14:textId="0FE84C5E"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25.1</w:t>
            </w:r>
          </w:p>
        </w:tc>
        <w:tc>
          <w:tcPr>
            <w:tcW w:w="700" w:type="dxa"/>
          </w:tcPr>
          <w:p w14:paraId="5C52B06B" w14:textId="69120A0B"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87</w:t>
            </w:r>
          </w:p>
        </w:tc>
        <w:tc>
          <w:tcPr>
            <w:tcW w:w="1276" w:type="dxa"/>
            <w:gridSpan w:val="2"/>
            <w:vMerge/>
          </w:tcPr>
          <w:p w14:paraId="6B46EC7C" w14:textId="77777777" w:rsidR="004F24BB" w:rsidRPr="00DE7219" w:rsidRDefault="004F24BB" w:rsidP="00DE7219">
            <w:pPr>
              <w:spacing w:line="360" w:lineRule="auto"/>
              <w:ind w:left="-1" w:hanging="1"/>
              <w:rPr>
                <w:rFonts w:ascii="Book Antiqua" w:hAnsi="Book Antiqua" w:cstheme="minorHAnsi"/>
                <w:sz w:val="24"/>
                <w:szCs w:val="24"/>
              </w:rPr>
            </w:pPr>
          </w:p>
        </w:tc>
        <w:tc>
          <w:tcPr>
            <w:tcW w:w="576" w:type="dxa"/>
            <w:vMerge/>
          </w:tcPr>
          <w:p w14:paraId="1AEB354E" w14:textId="77777777" w:rsidR="004F24BB" w:rsidRPr="00DE7219" w:rsidRDefault="004F24BB" w:rsidP="00DE7219">
            <w:pPr>
              <w:spacing w:line="360" w:lineRule="auto"/>
              <w:ind w:left="-1" w:hanging="1"/>
              <w:rPr>
                <w:rFonts w:ascii="Book Antiqua" w:hAnsi="Book Antiqua" w:cstheme="minorHAnsi"/>
                <w:sz w:val="24"/>
                <w:szCs w:val="24"/>
              </w:rPr>
            </w:pPr>
          </w:p>
        </w:tc>
        <w:tc>
          <w:tcPr>
            <w:tcW w:w="842" w:type="dxa"/>
            <w:vMerge/>
          </w:tcPr>
          <w:p w14:paraId="4C68A64F" w14:textId="77777777" w:rsidR="004F24BB" w:rsidRPr="00DE7219" w:rsidRDefault="004F24BB" w:rsidP="00DE7219">
            <w:pPr>
              <w:spacing w:line="360" w:lineRule="auto"/>
              <w:ind w:left="-1" w:hanging="1"/>
              <w:rPr>
                <w:rFonts w:ascii="Book Antiqua" w:hAnsi="Book Antiqua" w:cstheme="minorHAnsi"/>
                <w:sz w:val="24"/>
                <w:szCs w:val="24"/>
              </w:rPr>
            </w:pPr>
          </w:p>
        </w:tc>
        <w:tc>
          <w:tcPr>
            <w:tcW w:w="992" w:type="dxa"/>
            <w:vMerge/>
          </w:tcPr>
          <w:p w14:paraId="65C10EA5" w14:textId="77777777" w:rsidR="004F24BB" w:rsidRPr="00DE7219" w:rsidRDefault="004F24BB" w:rsidP="00DE7219">
            <w:pPr>
              <w:spacing w:line="360" w:lineRule="auto"/>
              <w:ind w:left="-1" w:hanging="1"/>
              <w:rPr>
                <w:rFonts w:ascii="Book Antiqua" w:hAnsi="Book Antiqua" w:cstheme="minorHAnsi"/>
                <w:sz w:val="24"/>
                <w:szCs w:val="24"/>
              </w:rPr>
            </w:pPr>
          </w:p>
        </w:tc>
        <w:tc>
          <w:tcPr>
            <w:tcW w:w="850" w:type="dxa"/>
          </w:tcPr>
          <w:p w14:paraId="3A5BCA00" w14:textId="6E984661"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15</w:t>
            </w:r>
          </w:p>
        </w:tc>
        <w:tc>
          <w:tcPr>
            <w:tcW w:w="851" w:type="dxa"/>
          </w:tcPr>
          <w:p w14:paraId="6E6137B7" w14:textId="7368E7D8" w:rsidR="004F24BB" w:rsidRPr="00DE7219" w:rsidRDefault="004F24BB" w:rsidP="00DE7219">
            <w:pPr>
              <w:spacing w:line="360" w:lineRule="auto"/>
              <w:ind w:left="-1" w:hanging="1"/>
              <w:rPr>
                <w:rFonts w:ascii="Book Antiqua" w:hAnsi="Book Antiqua" w:cstheme="minorHAnsi"/>
                <w:sz w:val="24"/>
                <w:szCs w:val="24"/>
              </w:rPr>
            </w:pPr>
            <w:r w:rsidRPr="00DE7219">
              <w:rPr>
                <w:rFonts w:ascii="Book Antiqua" w:hAnsi="Book Antiqua" w:cstheme="minorHAnsi"/>
                <w:sz w:val="24"/>
                <w:szCs w:val="24"/>
              </w:rPr>
              <w:t>2-4</w:t>
            </w:r>
          </w:p>
        </w:tc>
        <w:tc>
          <w:tcPr>
            <w:tcW w:w="1139" w:type="dxa"/>
            <w:vMerge/>
          </w:tcPr>
          <w:p w14:paraId="22A35FE4" w14:textId="77777777" w:rsidR="004F24BB" w:rsidRPr="00DE7219" w:rsidRDefault="004F24BB" w:rsidP="00DE7219">
            <w:pPr>
              <w:spacing w:line="360" w:lineRule="auto"/>
              <w:ind w:left="-1" w:hanging="1"/>
              <w:rPr>
                <w:rFonts w:ascii="Book Antiqua" w:hAnsi="Book Antiqua" w:cstheme="minorHAnsi"/>
                <w:sz w:val="24"/>
                <w:szCs w:val="24"/>
              </w:rPr>
            </w:pPr>
          </w:p>
        </w:tc>
      </w:tr>
      <w:tr w:rsidR="004F24BB" w:rsidRPr="00DE7219" w14:paraId="0E861DBF" w14:textId="77777777" w:rsidTr="004F24BB">
        <w:trPr>
          <w:cantSplit/>
          <w:trHeight w:val="175"/>
        </w:trPr>
        <w:tc>
          <w:tcPr>
            <w:tcW w:w="1263" w:type="dxa"/>
          </w:tcPr>
          <w:p w14:paraId="2B8B41F8" w14:textId="77777777" w:rsidR="004F24BB" w:rsidRPr="00DE7219" w:rsidRDefault="004F24BB" w:rsidP="00DE7219">
            <w:pPr>
              <w:spacing w:line="360" w:lineRule="auto"/>
              <w:ind w:left="171" w:hanging="257"/>
              <w:rPr>
                <w:rFonts w:ascii="Book Antiqua" w:hAnsi="Book Antiqua" w:cstheme="minorHAnsi"/>
                <w:bCs/>
                <w:sz w:val="24"/>
                <w:szCs w:val="24"/>
              </w:rPr>
            </w:pPr>
            <w:r w:rsidRPr="00DE7219">
              <w:rPr>
                <w:rFonts w:ascii="Book Antiqua" w:hAnsi="Book Antiqua" w:cstheme="minorHAnsi"/>
                <w:bCs/>
                <w:sz w:val="24"/>
                <w:szCs w:val="24"/>
              </w:rPr>
              <w:t>MSA TOTAL</w:t>
            </w:r>
          </w:p>
        </w:tc>
        <w:tc>
          <w:tcPr>
            <w:tcW w:w="715" w:type="dxa"/>
          </w:tcPr>
          <w:p w14:paraId="186E91F3" w14:textId="77777777" w:rsidR="004F24BB" w:rsidRPr="00DE7219" w:rsidRDefault="004F24BB" w:rsidP="00DE7219">
            <w:pPr>
              <w:spacing w:line="360" w:lineRule="auto"/>
              <w:ind w:left="-1" w:hanging="1"/>
              <w:rPr>
                <w:rFonts w:ascii="Book Antiqua" w:hAnsi="Book Antiqua" w:cstheme="minorHAnsi"/>
                <w:bCs/>
                <w:sz w:val="24"/>
                <w:szCs w:val="24"/>
              </w:rPr>
            </w:pPr>
          </w:p>
        </w:tc>
        <w:tc>
          <w:tcPr>
            <w:tcW w:w="991" w:type="dxa"/>
          </w:tcPr>
          <w:p w14:paraId="64E1DC5C"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20 MSA</w:t>
            </w:r>
          </w:p>
        </w:tc>
        <w:tc>
          <w:tcPr>
            <w:tcW w:w="848" w:type="dxa"/>
          </w:tcPr>
          <w:p w14:paraId="47CFA165"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6-80</w:t>
            </w:r>
          </w:p>
        </w:tc>
        <w:tc>
          <w:tcPr>
            <w:tcW w:w="799" w:type="dxa"/>
          </w:tcPr>
          <w:p w14:paraId="036F6FB8"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13 SA</w:t>
            </w:r>
          </w:p>
        </w:tc>
        <w:tc>
          <w:tcPr>
            <w:tcW w:w="1044" w:type="dxa"/>
          </w:tcPr>
          <w:p w14:paraId="3B8430FB" w14:textId="0358E0BD"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1539 (1452)</w:t>
            </w:r>
          </w:p>
        </w:tc>
        <w:tc>
          <w:tcPr>
            <w:tcW w:w="813" w:type="dxa"/>
          </w:tcPr>
          <w:p w14:paraId="5957D0B1" w14:textId="1A64B1F5"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39.3-54</w:t>
            </w:r>
          </w:p>
        </w:tc>
        <w:tc>
          <w:tcPr>
            <w:tcW w:w="755" w:type="dxa"/>
          </w:tcPr>
          <w:p w14:paraId="18EE0965" w14:textId="730BBE83"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23.94-28</w:t>
            </w:r>
          </w:p>
        </w:tc>
        <w:tc>
          <w:tcPr>
            <w:tcW w:w="700" w:type="dxa"/>
          </w:tcPr>
          <w:p w14:paraId="7EEB1B2A"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27-73</w:t>
            </w:r>
          </w:p>
        </w:tc>
        <w:tc>
          <w:tcPr>
            <w:tcW w:w="709" w:type="dxa"/>
          </w:tcPr>
          <w:p w14:paraId="1C7E124C"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33.4-49.5</w:t>
            </w:r>
          </w:p>
        </w:tc>
        <w:tc>
          <w:tcPr>
            <w:tcW w:w="567" w:type="dxa"/>
          </w:tcPr>
          <w:p w14:paraId="2B90A0C9" w14:textId="7A2CE619"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11.2-15.6</w:t>
            </w:r>
          </w:p>
        </w:tc>
        <w:tc>
          <w:tcPr>
            <w:tcW w:w="576" w:type="dxa"/>
          </w:tcPr>
          <w:p w14:paraId="66751B2E" w14:textId="28980B99"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75%-100%</w:t>
            </w:r>
          </w:p>
        </w:tc>
        <w:tc>
          <w:tcPr>
            <w:tcW w:w="842" w:type="dxa"/>
          </w:tcPr>
          <w:p w14:paraId="35A09D96"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8%</w:t>
            </w:r>
          </w:p>
          <w:p w14:paraId="6DCA5037"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(54/713)</w:t>
            </w:r>
          </w:p>
        </w:tc>
        <w:tc>
          <w:tcPr>
            <w:tcW w:w="992" w:type="dxa"/>
          </w:tcPr>
          <w:p w14:paraId="05744E30" w14:textId="6C01BE7A"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6%-83%</w:t>
            </w:r>
          </w:p>
        </w:tc>
        <w:tc>
          <w:tcPr>
            <w:tcW w:w="850" w:type="dxa"/>
          </w:tcPr>
          <w:p w14:paraId="59E832D2"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11-27</w:t>
            </w:r>
          </w:p>
          <w:p w14:paraId="3BF282A6"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p>
        </w:tc>
        <w:tc>
          <w:tcPr>
            <w:tcW w:w="851" w:type="dxa"/>
          </w:tcPr>
          <w:p w14:paraId="618AE468"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0-6</w:t>
            </w:r>
          </w:p>
        </w:tc>
        <w:tc>
          <w:tcPr>
            <w:tcW w:w="1139" w:type="dxa"/>
          </w:tcPr>
          <w:p w14:paraId="28695C46"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2%</w:t>
            </w:r>
          </w:p>
          <w:p w14:paraId="6D05B1E2"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(29/1305)</w:t>
            </w:r>
          </w:p>
        </w:tc>
      </w:tr>
      <w:tr w:rsidR="004F24BB" w:rsidRPr="00DE7219" w14:paraId="6C466166" w14:textId="77777777" w:rsidTr="004F24BB">
        <w:trPr>
          <w:cantSplit/>
          <w:trHeight w:val="175"/>
        </w:trPr>
        <w:tc>
          <w:tcPr>
            <w:tcW w:w="1263" w:type="dxa"/>
          </w:tcPr>
          <w:p w14:paraId="4A2FD891" w14:textId="77777777" w:rsidR="004F24BB" w:rsidRPr="00DE7219" w:rsidRDefault="004F24BB" w:rsidP="00DE7219">
            <w:pPr>
              <w:spacing w:line="360" w:lineRule="auto"/>
              <w:ind w:left="171" w:hanging="257"/>
              <w:rPr>
                <w:rFonts w:ascii="Book Antiqua" w:hAnsi="Book Antiqua" w:cstheme="minorHAnsi"/>
                <w:bCs/>
                <w:sz w:val="24"/>
                <w:szCs w:val="24"/>
              </w:rPr>
            </w:pPr>
            <w:r w:rsidRPr="00DE7219">
              <w:rPr>
                <w:rFonts w:ascii="Book Antiqua" w:hAnsi="Book Antiqua" w:cstheme="minorHAnsi"/>
                <w:bCs/>
                <w:sz w:val="24"/>
                <w:szCs w:val="24"/>
              </w:rPr>
              <w:t>NISSEN TOTAL</w:t>
            </w:r>
          </w:p>
        </w:tc>
        <w:tc>
          <w:tcPr>
            <w:tcW w:w="715" w:type="dxa"/>
          </w:tcPr>
          <w:p w14:paraId="289404A6" w14:textId="77777777" w:rsidR="004F24BB" w:rsidRPr="00DE7219" w:rsidRDefault="004F24BB" w:rsidP="00DE7219">
            <w:pPr>
              <w:spacing w:line="360" w:lineRule="auto"/>
              <w:ind w:left="-1" w:hanging="1"/>
              <w:rPr>
                <w:rFonts w:ascii="Book Antiqua" w:hAnsi="Book Antiqua" w:cstheme="minorHAnsi"/>
                <w:bCs/>
                <w:sz w:val="24"/>
                <w:szCs w:val="24"/>
              </w:rPr>
            </w:pPr>
          </w:p>
        </w:tc>
        <w:tc>
          <w:tcPr>
            <w:tcW w:w="991" w:type="dxa"/>
          </w:tcPr>
          <w:p w14:paraId="51832334"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7 LF</w:t>
            </w:r>
          </w:p>
        </w:tc>
        <w:tc>
          <w:tcPr>
            <w:tcW w:w="848" w:type="dxa"/>
          </w:tcPr>
          <w:p w14:paraId="2EEA65FF"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7-80</w:t>
            </w:r>
          </w:p>
        </w:tc>
        <w:tc>
          <w:tcPr>
            <w:tcW w:w="799" w:type="dxa"/>
          </w:tcPr>
          <w:p w14:paraId="7157B4E3"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7 Comp.</w:t>
            </w:r>
          </w:p>
        </w:tc>
        <w:tc>
          <w:tcPr>
            <w:tcW w:w="1044" w:type="dxa"/>
          </w:tcPr>
          <w:p w14:paraId="4CC34CB8"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525</w:t>
            </w:r>
          </w:p>
          <w:p w14:paraId="7B630A2E"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(485)</w:t>
            </w:r>
          </w:p>
        </w:tc>
        <w:tc>
          <w:tcPr>
            <w:tcW w:w="813" w:type="dxa"/>
          </w:tcPr>
          <w:p w14:paraId="218A70A9" w14:textId="36604F65"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43.8-54</w:t>
            </w:r>
          </w:p>
        </w:tc>
        <w:tc>
          <w:tcPr>
            <w:tcW w:w="755" w:type="dxa"/>
          </w:tcPr>
          <w:p w14:paraId="5710D73D" w14:textId="58EF82B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25.1-30</w:t>
            </w:r>
          </w:p>
        </w:tc>
        <w:tc>
          <w:tcPr>
            <w:tcW w:w="700" w:type="dxa"/>
          </w:tcPr>
          <w:p w14:paraId="3C1E22D1"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76-118</w:t>
            </w:r>
          </w:p>
        </w:tc>
        <w:tc>
          <w:tcPr>
            <w:tcW w:w="709" w:type="dxa"/>
          </w:tcPr>
          <w:p w14:paraId="6B2A75BA"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49</w:t>
            </w:r>
          </w:p>
        </w:tc>
        <w:tc>
          <w:tcPr>
            <w:tcW w:w="567" w:type="dxa"/>
          </w:tcPr>
          <w:p w14:paraId="56F35D8D" w14:textId="19450E88"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5.1</w:t>
            </w:r>
          </w:p>
        </w:tc>
        <w:tc>
          <w:tcPr>
            <w:tcW w:w="576" w:type="dxa"/>
          </w:tcPr>
          <w:p w14:paraId="5158C329" w14:textId="698393E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63%-97%</w:t>
            </w:r>
          </w:p>
        </w:tc>
        <w:tc>
          <w:tcPr>
            <w:tcW w:w="842" w:type="dxa"/>
          </w:tcPr>
          <w:p w14:paraId="5543ED09" w14:textId="77777777"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9% (13/150)</w:t>
            </w:r>
          </w:p>
        </w:tc>
        <w:tc>
          <w:tcPr>
            <w:tcW w:w="992" w:type="dxa"/>
          </w:tcPr>
          <w:p w14:paraId="29E956C0" w14:textId="5493BBF8"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31.9%-58%</w:t>
            </w:r>
          </w:p>
        </w:tc>
        <w:tc>
          <w:tcPr>
            <w:tcW w:w="850" w:type="dxa"/>
          </w:tcPr>
          <w:p w14:paraId="77B1CD7A" w14:textId="70233B42"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15-23</w:t>
            </w:r>
          </w:p>
        </w:tc>
        <w:tc>
          <w:tcPr>
            <w:tcW w:w="851" w:type="dxa"/>
          </w:tcPr>
          <w:p w14:paraId="7B24B754" w14:textId="2528E139" w:rsidR="004F24BB" w:rsidRPr="00DE7219" w:rsidRDefault="004F24BB" w:rsidP="00DE7219">
            <w:pPr>
              <w:spacing w:line="360" w:lineRule="auto"/>
              <w:ind w:left="-1" w:hanging="1"/>
              <w:rPr>
                <w:rFonts w:ascii="Book Antiqua" w:hAnsi="Book Antiqua" w:cstheme="minorHAnsi"/>
                <w:bCs/>
                <w:color w:val="000000" w:themeColor="text1"/>
                <w:sz w:val="24"/>
                <w:szCs w:val="24"/>
              </w:rPr>
            </w:pPr>
            <w:r w:rsidRPr="00DE7219">
              <w:rPr>
                <w:rFonts w:ascii="Book Antiqua" w:hAnsi="Book Antiqua" w:cstheme="minorHAnsi"/>
                <w:bCs/>
                <w:color w:val="000000" w:themeColor="text1"/>
                <w:sz w:val="24"/>
                <w:szCs w:val="24"/>
              </w:rPr>
              <w:t>2-5.1</w:t>
            </w:r>
          </w:p>
        </w:tc>
        <w:tc>
          <w:tcPr>
            <w:tcW w:w="1139" w:type="dxa"/>
          </w:tcPr>
          <w:p w14:paraId="4A9A1504"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3%</w:t>
            </w:r>
          </w:p>
          <w:p w14:paraId="14250BE7" w14:textId="77777777" w:rsidR="004F24BB" w:rsidRPr="00DE7219" w:rsidRDefault="004F24BB" w:rsidP="00DE7219">
            <w:pPr>
              <w:spacing w:line="360" w:lineRule="auto"/>
              <w:ind w:left="-1" w:hanging="1"/>
              <w:rPr>
                <w:rFonts w:ascii="Book Antiqua" w:hAnsi="Book Antiqua" w:cstheme="minorHAnsi"/>
                <w:bCs/>
                <w:sz w:val="24"/>
                <w:szCs w:val="24"/>
              </w:rPr>
            </w:pPr>
            <w:r w:rsidRPr="00DE7219">
              <w:rPr>
                <w:rFonts w:ascii="Book Antiqua" w:hAnsi="Book Antiqua" w:cstheme="minorHAnsi"/>
                <w:bCs/>
                <w:sz w:val="24"/>
                <w:szCs w:val="24"/>
              </w:rPr>
              <w:t>(11/370)</w:t>
            </w:r>
          </w:p>
        </w:tc>
      </w:tr>
    </w:tbl>
    <w:p w14:paraId="25508925" w14:textId="421EBDFD"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r w:rsidRPr="00DE7219">
        <w:rPr>
          <w:rFonts w:ascii="Book Antiqua" w:hAnsi="Book Antiqua" w:cstheme="minorHAnsi"/>
          <w:sz w:val="24"/>
          <w:szCs w:val="24"/>
        </w:rPr>
        <w:t>N.A.: Not available; LF: Laparoscopic fundoplication (</w:t>
      </w:r>
      <w:proofErr w:type="spellStart"/>
      <w:r w:rsidRPr="00DE7219">
        <w:rPr>
          <w:rFonts w:ascii="Book Antiqua" w:hAnsi="Book Antiqua" w:cstheme="minorHAnsi"/>
          <w:sz w:val="24"/>
          <w:szCs w:val="24"/>
        </w:rPr>
        <w:t>Nissen</w:t>
      </w:r>
      <w:proofErr w:type="spellEnd"/>
      <w:r w:rsidRPr="00DE7219">
        <w:rPr>
          <w:rFonts w:ascii="Book Antiqua" w:hAnsi="Book Antiqua" w:cstheme="minorHAnsi"/>
          <w:sz w:val="24"/>
          <w:szCs w:val="24"/>
        </w:rPr>
        <w:t xml:space="preserve"> or </w:t>
      </w:r>
      <w:proofErr w:type="spellStart"/>
      <w:r w:rsidRPr="00DE7219">
        <w:rPr>
          <w:rFonts w:ascii="Book Antiqua" w:hAnsi="Book Antiqua" w:cstheme="minorHAnsi"/>
          <w:sz w:val="24"/>
          <w:szCs w:val="24"/>
        </w:rPr>
        <w:t>Toupet</w:t>
      </w:r>
      <w:proofErr w:type="spellEnd"/>
      <w:r w:rsidRPr="00DE7219">
        <w:rPr>
          <w:rFonts w:ascii="Book Antiqua" w:hAnsi="Book Antiqua" w:cstheme="minorHAnsi"/>
          <w:sz w:val="24"/>
          <w:szCs w:val="24"/>
        </w:rPr>
        <w:t>); MSA: Magnetic sphincter augmentation; SA: Single-armed; Comp.: Comparative.</w:t>
      </w:r>
    </w:p>
    <w:p w14:paraId="1DAA1035" w14:textId="77777777"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p>
    <w:p w14:paraId="203C8AD6" w14:textId="77777777"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sectPr w:rsidR="004F24BB" w:rsidRPr="00DE7219" w:rsidSect="004F24BB">
          <w:pgSz w:w="16838" w:h="11906" w:orient="landscape"/>
          <w:pgMar w:top="1800" w:right="1440" w:bottom="1800" w:left="1440" w:header="708" w:footer="720" w:gutter="0"/>
          <w:pgNumType w:start="1"/>
          <w:cols w:space="720"/>
          <w:docGrid w:linePitch="326"/>
        </w:sectPr>
      </w:pPr>
    </w:p>
    <w:p w14:paraId="4DA6F574" w14:textId="37572FFC" w:rsidR="004F24BB" w:rsidRPr="00DE7219" w:rsidRDefault="004F24BB" w:rsidP="00DE7219">
      <w:pPr>
        <w:pBdr>
          <w:top w:val="nil"/>
          <w:left w:val="nil"/>
          <w:bottom w:val="nil"/>
          <w:right w:val="nil"/>
          <w:between w:val="nil"/>
        </w:pBdr>
        <w:spacing w:line="360" w:lineRule="auto"/>
        <w:rPr>
          <w:rFonts w:ascii="Book Antiqua" w:hAnsi="Book Antiqua"/>
          <w:b/>
          <w:color w:val="000000"/>
          <w:sz w:val="24"/>
          <w:szCs w:val="24"/>
        </w:rPr>
      </w:pPr>
      <w:r w:rsidRPr="00DE7219">
        <w:rPr>
          <w:rFonts w:ascii="Book Antiqua" w:hAnsi="Book Antiqua"/>
          <w:b/>
          <w:sz w:val="24"/>
          <w:szCs w:val="24"/>
        </w:rPr>
        <w:t xml:space="preserve">Table 2 Demographic and clinical characteristics of bariatric patients with </w:t>
      </w:r>
      <w:r w:rsidRPr="00DE7219">
        <w:rPr>
          <w:rFonts w:ascii="Book Antiqua" w:hAnsi="Book Antiqua" w:cstheme="minorHAnsi"/>
          <w:b/>
          <w:bCs/>
          <w:sz w:val="24"/>
          <w:szCs w:val="24"/>
        </w:rPr>
        <w:t>magnetic sphincter augmentation</w:t>
      </w:r>
      <w:r w:rsidRPr="00DE7219">
        <w:rPr>
          <w:rFonts w:ascii="Book Antiqua" w:hAnsi="Book Antiqua"/>
          <w:b/>
          <w:sz w:val="24"/>
          <w:szCs w:val="24"/>
        </w:rPr>
        <w:t xml:space="preserve"> devices</w:t>
      </w:r>
    </w:p>
    <w:tbl>
      <w:tblPr>
        <w:tblpPr w:leftFromText="180" w:rightFromText="180" w:vertAnchor="text" w:horzAnchor="margin" w:tblpXSpec="center" w:tblpY="350"/>
        <w:tblW w:w="10115" w:type="dxa"/>
        <w:tblBorders>
          <w:top w:val="single" w:sz="4" w:space="0" w:color="auto"/>
          <w:bottom w:val="single" w:sz="4" w:space="0" w:color="auto"/>
        </w:tblBorders>
        <w:tblLayout w:type="fixed"/>
        <w:tblLook w:val="04A0" w:firstRow="1" w:lastRow="0" w:firstColumn="1" w:lastColumn="0" w:noHBand="0" w:noVBand="1"/>
      </w:tblPr>
      <w:tblGrid>
        <w:gridCol w:w="988"/>
        <w:gridCol w:w="736"/>
        <w:gridCol w:w="806"/>
        <w:gridCol w:w="769"/>
        <w:gridCol w:w="822"/>
        <w:gridCol w:w="856"/>
        <w:gridCol w:w="1141"/>
        <w:gridCol w:w="877"/>
        <w:gridCol w:w="907"/>
        <w:gridCol w:w="907"/>
        <w:gridCol w:w="1306"/>
      </w:tblGrid>
      <w:tr w:rsidR="004F24BB" w:rsidRPr="00DE7219" w14:paraId="4012027F" w14:textId="77777777" w:rsidTr="004F24BB">
        <w:tc>
          <w:tcPr>
            <w:tcW w:w="988" w:type="dxa"/>
            <w:tcBorders>
              <w:top w:val="single" w:sz="4" w:space="0" w:color="auto"/>
              <w:bottom w:val="single" w:sz="4" w:space="0" w:color="auto"/>
            </w:tcBorders>
            <w:vAlign w:val="center"/>
          </w:tcPr>
          <w:p w14:paraId="64DF0638" w14:textId="53CFF380" w:rsidR="004F24BB" w:rsidRPr="00DE7219" w:rsidRDefault="004F24BB" w:rsidP="00DE7219">
            <w:pPr>
              <w:spacing w:line="360" w:lineRule="auto"/>
              <w:ind w:left="-1" w:right="-125" w:hanging="1"/>
              <w:rPr>
                <w:rFonts w:ascii="Book Antiqua" w:hAnsi="Book Antiqua" w:cstheme="majorHAnsi"/>
                <w:b/>
                <w:sz w:val="24"/>
                <w:szCs w:val="24"/>
              </w:rPr>
            </w:pPr>
            <w:r w:rsidRPr="00DE7219">
              <w:rPr>
                <w:rFonts w:ascii="Book Antiqua" w:hAnsi="Book Antiqua" w:cstheme="majorHAnsi"/>
                <w:b/>
                <w:sz w:val="24"/>
                <w:szCs w:val="24"/>
              </w:rPr>
              <w:t>Ref.</w:t>
            </w:r>
          </w:p>
        </w:tc>
        <w:tc>
          <w:tcPr>
            <w:tcW w:w="736" w:type="dxa"/>
            <w:tcBorders>
              <w:top w:val="single" w:sz="4" w:space="0" w:color="auto"/>
              <w:bottom w:val="single" w:sz="4" w:space="0" w:color="auto"/>
            </w:tcBorders>
            <w:vAlign w:val="center"/>
          </w:tcPr>
          <w:p w14:paraId="5AFE73AD"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Study period</w:t>
            </w:r>
          </w:p>
        </w:tc>
        <w:tc>
          <w:tcPr>
            <w:tcW w:w="806" w:type="dxa"/>
            <w:tcBorders>
              <w:top w:val="single" w:sz="4" w:space="0" w:color="auto"/>
              <w:bottom w:val="single" w:sz="4" w:space="0" w:color="auto"/>
            </w:tcBorders>
            <w:vAlign w:val="center"/>
          </w:tcPr>
          <w:p w14:paraId="6EA88BD0"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No. of patients (follow-up)</w:t>
            </w:r>
          </w:p>
        </w:tc>
        <w:tc>
          <w:tcPr>
            <w:tcW w:w="769" w:type="dxa"/>
            <w:tcBorders>
              <w:top w:val="single" w:sz="4" w:space="0" w:color="auto"/>
              <w:bottom w:val="single" w:sz="4" w:space="0" w:color="auto"/>
            </w:tcBorders>
            <w:vAlign w:val="center"/>
          </w:tcPr>
          <w:p w14:paraId="53088DD7" w14:textId="77777777" w:rsidR="004F24BB" w:rsidRPr="00DE7219" w:rsidRDefault="004F24BB" w:rsidP="00DE7219">
            <w:pPr>
              <w:tabs>
                <w:tab w:val="left" w:pos="1210"/>
              </w:tabs>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Type of Surgery</w:t>
            </w:r>
          </w:p>
        </w:tc>
        <w:tc>
          <w:tcPr>
            <w:tcW w:w="822" w:type="dxa"/>
            <w:tcBorders>
              <w:top w:val="single" w:sz="4" w:space="0" w:color="auto"/>
              <w:bottom w:val="single" w:sz="4" w:space="0" w:color="auto"/>
            </w:tcBorders>
            <w:vAlign w:val="center"/>
          </w:tcPr>
          <w:p w14:paraId="0A3664E0"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BMI on Bariatric Surgery</w:t>
            </w:r>
          </w:p>
          <w:p w14:paraId="63C88AD6"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(kg/m</w:t>
            </w:r>
            <w:r w:rsidRPr="00DE7219">
              <w:rPr>
                <w:rFonts w:ascii="Book Antiqua" w:hAnsi="Book Antiqua" w:cstheme="majorHAnsi"/>
                <w:b/>
                <w:sz w:val="24"/>
                <w:szCs w:val="24"/>
                <w:vertAlign w:val="superscript"/>
              </w:rPr>
              <w:t>2</w:t>
            </w:r>
            <w:r w:rsidRPr="00DE7219">
              <w:rPr>
                <w:rFonts w:ascii="Book Antiqua" w:hAnsi="Book Antiqua" w:cstheme="majorHAnsi"/>
                <w:b/>
                <w:sz w:val="24"/>
                <w:szCs w:val="24"/>
              </w:rPr>
              <w:t>, mean)</w:t>
            </w:r>
          </w:p>
        </w:tc>
        <w:tc>
          <w:tcPr>
            <w:tcW w:w="856" w:type="dxa"/>
            <w:tcBorders>
              <w:top w:val="single" w:sz="4" w:space="0" w:color="auto"/>
              <w:bottom w:val="single" w:sz="4" w:space="0" w:color="auto"/>
            </w:tcBorders>
            <w:vAlign w:val="center"/>
          </w:tcPr>
          <w:p w14:paraId="1F832D0E" w14:textId="47BA2525"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BMI loss between Bariatric Surgery and MSA (kg/m</w:t>
            </w:r>
            <w:r w:rsidRPr="00DE7219">
              <w:rPr>
                <w:rFonts w:ascii="Book Antiqua" w:hAnsi="Book Antiqua" w:cstheme="majorHAnsi"/>
                <w:b/>
                <w:sz w:val="24"/>
                <w:szCs w:val="24"/>
                <w:vertAlign w:val="superscript"/>
              </w:rPr>
              <w:t>2</w:t>
            </w:r>
            <w:r w:rsidRPr="00DE7219">
              <w:rPr>
                <w:rFonts w:ascii="Book Antiqua" w:hAnsi="Book Antiqua" w:cstheme="majorHAnsi"/>
                <w:b/>
                <w:sz w:val="24"/>
                <w:szCs w:val="24"/>
              </w:rPr>
              <w:t>, range)</w:t>
            </w:r>
          </w:p>
        </w:tc>
        <w:tc>
          <w:tcPr>
            <w:tcW w:w="1141" w:type="dxa"/>
            <w:tcBorders>
              <w:top w:val="single" w:sz="4" w:space="0" w:color="auto"/>
              <w:bottom w:val="single" w:sz="4" w:space="0" w:color="auto"/>
            </w:tcBorders>
            <w:vAlign w:val="center"/>
          </w:tcPr>
          <w:p w14:paraId="0664287D" w14:textId="6BBD5F85"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BMI on MSA implantation (kg/m</w:t>
            </w:r>
            <w:r w:rsidRPr="00DE7219">
              <w:rPr>
                <w:rFonts w:ascii="Book Antiqua" w:hAnsi="Book Antiqua" w:cstheme="majorHAnsi"/>
                <w:b/>
                <w:sz w:val="24"/>
                <w:szCs w:val="24"/>
                <w:vertAlign w:val="superscript"/>
              </w:rPr>
              <w:t>2</w:t>
            </w:r>
            <w:r w:rsidRPr="00DE7219">
              <w:rPr>
                <w:rFonts w:ascii="Book Antiqua" w:hAnsi="Book Antiqua" w:cstheme="majorHAnsi"/>
                <w:b/>
                <w:sz w:val="24"/>
                <w:szCs w:val="24"/>
              </w:rPr>
              <w:t>, mean)</w:t>
            </w:r>
          </w:p>
        </w:tc>
        <w:tc>
          <w:tcPr>
            <w:tcW w:w="877" w:type="dxa"/>
            <w:tcBorders>
              <w:top w:val="single" w:sz="4" w:space="0" w:color="auto"/>
              <w:bottom w:val="single" w:sz="4" w:space="0" w:color="auto"/>
            </w:tcBorders>
            <w:vAlign w:val="center"/>
          </w:tcPr>
          <w:p w14:paraId="4B71F1F1"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Mean period between Surgery and MSA</w:t>
            </w:r>
          </w:p>
          <w:p w14:paraId="6D5B7CAB" w14:textId="13F686AC"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w:t>
            </w:r>
            <w:proofErr w:type="spellStart"/>
            <w:r w:rsidRPr="00DE7219">
              <w:rPr>
                <w:rFonts w:ascii="Book Antiqua" w:hAnsi="Book Antiqua" w:cstheme="majorHAnsi"/>
                <w:b/>
                <w:sz w:val="24"/>
                <w:szCs w:val="24"/>
              </w:rPr>
              <w:t>mo</w:t>
            </w:r>
            <w:proofErr w:type="spellEnd"/>
            <w:r w:rsidRPr="00DE7219">
              <w:rPr>
                <w:rFonts w:ascii="Book Antiqua" w:hAnsi="Book Antiqua" w:cstheme="majorHAnsi"/>
                <w:b/>
                <w:sz w:val="24"/>
                <w:szCs w:val="24"/>
              </w:rPr>
              <w:t>)</w:t>
            </w:r>
          </w:p>
        </w:tc>
        <w:tc>
          <w:tcPr>
            <w:tcW w:w="907" w:type="dxa"/>
            <w:tcBorders>
              <w:top w:val="single" w:sz="4" w:space="0" w:color="auto"/>
              <w:bottom w:val="single" w:sz="4" w:space="0" w:color="auto"/>
            </w:tcBorders>
            <w:vAlign w:val="center"/>
          </w:tcPr>
          <w:p w14:paraId="69CAAF51"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Pre-operative</w:t>
            </w:r>
          </w:p>
          <w:p w14:paraId="1FB4B8BA"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GERD-HRQL SCORE</w:t>
            </w:r>
          </w:p>
        </w:tc>
        <w:tc>
          <w:tcPr>
            <w:tcW w:w="907" w:type="dxa"/>
            <w:tcBorders>
              <w:top w:val="single" w:sz="4" w:space="0" w:color="auto"/>
              <w:bottom w:val="single" w:sz="4" w:space="0" w:color="auto"/>
            </w:tcBorders>
            <w:vAlign w:val="center"/>
          </w:tcPr>
          <w:p w14:paraId="731F8C89"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Post-operative</w:t>
            </w:r>
          </w:p>
          <w:p w14:paraId="1C5F633A"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GERD-HRQL SCORE</w:t>
            </w:r>
          </w:p>
          <w:p w14:paraId="126E5A80" w14:textId="77777777" w:rsidR="004F24BB" w:rsidRPr="00DE7219" w:rsidRDefault="004F24BB" w:rsidP="00DE7219">
            <w:pPr>
              <w:spacing w:line="360" w:lineRule="auto"/>
              <w:ind w:left="-1" w:hanging="1"/>
              <w:rPr>
                <w:rFonts w:ascii="Book Antiqua" w:hAnsi="Book Antiqua" w:cstheme="majorHAnsi"/>
                <w:b/>
                <w:sz w:val="24"/>
                <w:szCs w:val="24"/>
              </w:rPr>
            </w:pPr>
          </w:p>
        </w:tc>
        <w:tc>
          <w:tcPr>
            <w:tcW w:w="1306" w:type="dxa"/>
            <w:tcBorders>
              <w:top w:val="single" w:sz="4" w:space="0" w:color="auto"/>
              <w:bottom w:val="single" w:sz="4" w:space="0" w:color="auto"/>
            </w:tcBorders>
            <w:vAlign w:val="center"/>
          </w:tcPr>
          <w:p w14:paraId="2E929D58"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Complications/</w:t>
            </w:r>
          </w:p>
          <w:p w14:paraId="49AAFF53" w14:textId="77777777" w:rsidR="004F24BB" w:rsidRPr="00DE7219" w:rsidRDefault="004F24BB" w:rsidP="00DE7219">
            <w:pPr>
              <w:spacing w:line="360" w:lineRule="auto"/>
              <w:ind w:left="-1" w:hanging="1"/>
              <w:rPr>
                <w:rFonts w:ascii="Book Antiqua" w:hAnsi="Book Antiqua" w:cstheme="majorHAnsi"/>
                <w:b/>
                <w:sz w:val="24"/>
                <w:szCs w:val="24"/>
              </w:rPr>
            </w:pPr>
            <w:r w:rsidRPr="00DE7219">
              <w:rPr>
                <w:rFonts w:ascii="Book Antiqua" w:hAnsi="Book Antiqua" w:cstheme="majorHAnsi"/>
                <w:b/>
                <w:sz w:val="24"/>
                <w:szCs w:val="24"/>
              </w:rPr>
              <w:t>satisfaction</w:t>
            </w:r>
          </w:p>
        </w:tc>
      </w:tr>
      <w:tr w:rsidR="004F24BB" w:rsidRPr="00DE7219" w14:paraId="59A99D7D" w14:textId="77777777" w:rsidTr="004F24BB">
        <w:tc>
          <w:tcPr>
            <w:tcW w:w="988" w:type="dxa"/>
            <w:tcBorders>
              <w:top w:val="single" w:sz="4" w:space="0" w:color="auto"/>
            </w:tcBorders>
            <w:vAlign w:val="center"/>
          </w:tcPr>
          <w:p w14:paraId="0DF698D5" w14:textId="46ED8555" w:rsidR="004F24BB" w:rsidRPr="00DE7219" w:rsidRDefault="004F24BB" w:rsidP="00DE7219">
            <w:pPr>
              <w:spacing w:line="360" w:lineRule="auto"/>
              <w:ind w:left="29" w:hanging="1"/>
              <w:rPr>
                <w:rFonts w:ascii="Book Antiqua" w:hAnsi="Book Antiqua" w:cstheme="majorHAnsi"/>
                <w:sz w:val="24"/>
                <w:szCs w:val="24"/>
              </w:rPr>
            </w:pPr>
            <w:proofErr w:type="spellStart"/>
            <w:r w:rsidRPr="00DE7219">
              <w:rPr>
                <w:rFonts w:ascii="Book Antiqua" w:hAnsi="Book Antiqua" w:cstheme="majorHAnsi"/>
                <w:sz w:val="24"/>
                <w:szCs w:val="24"/>
              </w:rPr>
              <w:t>Desart</w:t>
            </w:r>
            <w:proofErr w:type="spellEnd"/>
            <w:r w:rsidRPr="00DE7219">
              <w:rPr>
                <w:rFonts w:ascii="Book Antiqua" w:hAnsi="Book Antiqua" w:cstheme="majorHAnsi"/>
                <w:sz w:val="24"/>
                <w:szCs w:val="24"/>
              </w:rPr>
              <w:t xml:space="preserve"> </w:t>
            </w:r>
            <w:r w:rsidRPr="00DE7219">
              <w:rPr>
                <w:rFonts w:ascii="Book Antiqua" w:hAnsi="Book Antiqua" w:cstheme="majorHAnsi"/>
                <w:i/>
                <w:sz w:val="24"/>
                <w:szCs w:val="24"/>
              </w:rPr>
              <w:t>et al</w:t>
            </w:r>
            <w:r w:rsidRPr="00DE7219">
              <w:rPr>
                <w:rFonts w:ascii="Book Antiqua" w:hAnsi="Book Antiqua" w:cstheme="majorHAnsi"/>
                <w:sz w:val="24"/>
                <w:szCs w:val="24"/>
                <w:vertAlign w:val="superscript"/>
              </w:rPr>
              <w:t>[4</w:t>
            </w:r>
            <w:r w:rsidR="00E879CF" w:rsidRPr="00DE7219">
              <w:rPr>
                <w:rFonts w:ascii="Book Antiqua" w:hAnsi="Book Antiqua" w:cstheme="majorHAnsi"/>
                <w:sz w:val="24"/>
                <w:szCs w:val="24"/>
                <w:vertAlign w:val="superscript"/>
              </w:rPr>
              <w:t>4</w:t>
            </w:r>
            <w:r w:rsidRPr="00DE7219">
              <w:rPr>
                <w:rFonts w:ascii="Book Antiqua" w:hAnsi="Book Antiqua" w:cstheme="majorHAnsi"/>
                <w:sz w:val="24"/>
                <w:szCs w:val="24"/>
                <w:vertAlign w:val="superscript"/>
              </w:rPr>
              <w:t>]</w:t>
            </w:r>
            <w:r w:rsidRPr="00DE7219">
              <w:rPr>
                <w:rFonts w:ascii="Book Antiqua" w:hAnsi="Book Antiqua" w:cstheme="majorHAnsi"/>
                <w:sz w:val="24"/>
                <w:szCs w:val="24"/>
              </w:rPr>
              <w:t>, 2015</w:t>
            </w:r>
          </w:p>
        </w:tc>
        <w:tc>
          <w:tcPr>
            <w:tcW w:w="736" w:type="dxa"/>
            <w:tcBorders>
              <w:top w:val="single" w:sz="4" w:space="0" w:color="auto"/>
            </w:tcBorders>
            <w:vAlign w:val="center"/>
          </w:tcPr>
          <w:p w14:paraId="4851DCEC"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2014-2015</w:t>
            </w:r>
          </w:p>
        </w:tc>
        <w:tc>
          <w:tcPr>
            <w:tcW w:w="806" w:type="dxa"/>
            <w:tcBorders>
              <w:top w:val="single" w:sz="4" w:space="0" w:color="auto"/>
            </w:tcBorders>
            <w:vAlign w:val="center"/>
          </w:tcPr>
          <w:p w14:paraId="079536C2"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7(7)</w:t>
            </w:r>
          </w:p>
        </w:tc>
        <w:tc>
          <w:tcPr>
            <w:tcW w:w="769" w:type="dxa"/>
            <w:tcBorders>
              <w:top w:val="single" w:sz="4" w:space="0" w:color="auto"/>
            </w:tcBorders>
            <w:vAlign w:val="center"/>
          </w:tcPr>
          <w:p w14:paraId="02626EF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7 LSG</w:t>
            </w:r>
          </w:p>
        </w:tc>
        <w:tc>
          <w:tcPr>
            <w:tcW w:w="822" w:type="dxa"/>
            <w:tcBorders>
              <w:top w:val="single" w:sz="4" w:space="0" w:color="auto"/>
            </w:tcBorders>
            <w:vAlign w:val="center"/>
          </w:tcPr>
          <w:p w14:paraId="1547E64E" w14:textId="158B6E90"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50.7</w:t>
            </w:r>
          </w:p>
        </w:tc>
        <w:tc>
          <w:tcPr>
            <w:tcW w:w="856" w:type="dxa"/>
            <w:tcBorders>
              <w:top w:val="single" w:sz="4" w:space="0" w:color="auto"/>
            </w:tcBorders>
            <w:vAlign w:val="center"/>
          </w:tcPr>
          <w:p w14:paraId="025AF963" w14:textId="5CDFC053"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9.4-25.5</w:t>
            </w:r>
          </w:p>
        </w:tc>
        <w:tc>
          <w:tcPr>
            <w:tcW w:w="1141" w:type="dxa"/>
            <w:tcBorders>
              <w:top w:val="single" w:sz="4" w:space="0" w:color="auto"/>
            </w:tcBorders>
            <w:vAlign w:val="center"/>
          </w:tcPr>
          <w:p w14:paraId="771DF42C"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877" w:type="dxa"/>
            <w:tcBorders>
              <w:top w:val="single" w:sz="4" w:space="0" w:color="auto"/>
            </w:tcBorders>
            <w:vAlign w:val="center"/>
          </w:tcPr>
          <w:p w14:paraId="532D3871" w14:textId="5476C75C"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18.1</w:t>
            </w:r>
          </w:p>
        </w:tc>
        <w:tc>
          <w:tcPr>
            <w:tcW w:w="907" w:type="dxa"/>
            <w:tcBorders>
              <w:top w:val="single" w:sz="4" w:space="0" w:color="auto"/>
            </w:tcBorders>
            <w:vAlign w:val="center"/>
          </w:tcPr>
          <w:p w14:paraId="5B4A0853" w14:textId="0DD576EF"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17-18</w:t>
            </w:r>
          </w:p>
        </w:tc>
        <w:tc>
          <w:tcPr>
            <w:tcW w:w="907" w:type="dxa"/>
            <w:tcBorders>
              <w:top w:val="single" w:sz="4" w:space="0" w:color="auto"/>
            </w:tcBorders>
            <w:vAlign w:val="center"/>
          </w:tcPr>
          <w:p w14:paraId="422E3AD5"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5-6</w:t>
            </w:r>
          </w:p>
        </w:tc>
        <w:tc>
          <w:tcPr>
            <w:tcW w:w="1306" w:type="dxa"/>
            <w:tcBorders>
              <w:top w:val="single" w:sz="4" w:space="0" w:color="auto"/>
            </w:tcBorders>
            <w:vAlign w:val="center"/>
          </w:tcPr>
          <w:p w14:paraId="0293DFB0"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p w14:paraId="7DF92266"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All patients satisfied</w:t>
            </w:r>
          </w:p>
        </w:tc>
      </w:tr>
      <w:tr w:rsidR="004F24BB" w:rsidRPr="00DE7219" w14:paraId="23EDBBCE" w14:textId="77777777" w:rsidTr="004F24BB">
        <w:tc>
          <w:tcPr>
            <w:tcW w:w="988" w:type="dxa"/>
            <w:vAlign w:val="center"/>
          </w:tcPr>
          <w:p w14:paraId="5B0BADAF" w14:textId="0560BB4A" w:rsidR="004F24BB" w:rsidRPr="00DE7219" w:rsidRDefault="004F24BB" w:rsidP="00DE7219">
            <w:pPr>
              <w:spacing w:line="360" w:lineRule="auto"/>
              <w:ind w:left="29" w:hanging="1"/>
              <w:rPr>
                <w:rFonts w:ascii="Book Antiqua" w:hAnsi="Book Antiqua" w:cstheme="majorHAnsi"/>
                <w:sz w:val="24"/>
                <w:szCs w:val="24"/>
              </w:rPr>
            </w:pPr>
            <w:proofErr w:type="spellStart"/>
            <w:r w:rsidRPr="00DE7219">
              <w:rPr>
                <w:rFonts w:ascii="Book Antiqua" w:hAnsi="Book Antiqua" w:cstheme="majorHAnsi"/>
                <w:sz w:val="24"/>
                <w:szCs w:val="24"/>
              </w:rPr>
              <w:t>Hawasli</w:t>
            </w:r>
            <w:proofErr w:type="spellEnd"/>
            <w:r w:rsidRPr="00DE7219">
              <w:rPr>
                <w:rFonts w:ascii="Book Antiqua" w:hAnsi="Book Antiqua" w:cstheme="majorHAnsi"/>
                <w:sz w:val="24"/>
                <w:szCs w:val="24"/>
              </w:rPr>
              <w:t xml:space="preserve"> </w:t>
            </w:r>
            <w:r w:rsidRPr="00DE7219">
              <w:rPr>
                <w:rFonts w:ascii="Book Antiqua" w:hAnsi="Book Antiqua" w:cstheme="majorHAnsi"/>
                <w:i/>
                <w:sz w:val="24"/>
                <w:szCs w:val="24"/>
              </w:rPr>
              <w:t>et al</w:t>
            </w:r>
            <w:r w:rsidRPr="00DE7219">
              <w:rPr>
                <w:rFonts w:ascii="Book Antiqua" w:hAnsi="Book Antiqua" w:cstheme="majorHAnsi"/>
                <w:sz w:val="24"/>
                <w:szCs w:val="24"/>
                <w:vertAlign w:val="superscript"/>
              </w:rPr>
              <w:t>[4</w:t>
            </w:r>
            <w:r w:rsidR="00E879CF" w:rsidRPr="00DE7219">
              <w:rPr>
                <w:rFonts w:ascii="Book Antiqua" w:hAnsi="Book Antiqua" w:cstheme="majorHAnsi"/>
                <w:sz w:val="24"/>
                <w:szCs w:val="24"/>
                <w:vertAlign w:val="superscript"/>
              </w:rPr>
              <w:t>5</w:t>
            </w:r>
            <w:r w:rsidRPr="00DE7219">
              <w:rPr>
                <w:rFonts w:ascii="Book Antiqua" w:hAnsi="Book Antiqua" w:cstheme="majorHAnsi"/>
                <w:sz w:val="24"/>
                <w:szCs w:val="24"/>
                <w:vertAlign w:val="superscript"/>
              </w:rPr>
              <w:t>]</w:t>
            </w:r>
            <w:r w:rsidRPr="00DE7219">
              <w:rPr>
                <w:rFonts w:ascii="Book Antiqua" w:hAnsi="Book Antiqua" w:cstheme="majorHAnsi"/>
                <w:sz w:val="24"/>
                <w:szCs w:val="24"/>
              </w:rPr>
              <w:t>, 2018</w:t>
            </w:r>
          </w:p>
        </w:tc>
        <w:tc>
          <w:tcPr>
            <w:tcW w:w="736" w:type="dxa"/>
            <w:vAlign w:val="center"/>
          </w:tcPr>
          <w:p w14:paraId="6A12F447"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2015-2017</w:t>
            </w:r>
          </w:p>
        </w:tc>
        <w:tc>
          <w:tcPr>
            <w:tcW w:w="806" w:type="dxa"/>
            <w:vAlign w:val="center"/>
          </w:tcPr>
          <w:p w14:paraId="7432429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13(13)</w:t>
            </w:r>
          </w:p>
        </w:tc>
        <w:tc>
          <w:tcPr>
            <w:tcW w:w="769" w:type="dxa"/>
            <w:vAlign w:val="center"/>
          </w:tcPr>
          <w:p w14:paraId="4731DC9F"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13 LSG</w:t>
            </w:r>
          </w:p>
        </w:tc>
        <w:tc>
          <w:tcPr>
            <w:tcW w:w="822" w:type="dxa"/>
            <w:vAlign w:val="center"/>
          </w:tcPr>
          <w:p w14:paraId="5EE98F1C"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46</w:t>
            </w:r>
          </w:p>
        </w:tc>
        <w:tc>
          <w:tcPr>
            <w:tcW w:w="856" w:type="dxa"/>
            <w:vAlign w:val="center"/>
          </w:tcPr>
          <w:p w14:paraId="41240CB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1141" w:type="dxa"/>
            <w:vAlign w:val="center"/>
          </w:tcPr>
          <w:p w14:paraId="1F08F01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33 (21-44 range)</w:t>
            </w:r>
          </w:p>
        </w:tc>
        <w:tc>
          <w:tcPr>
            <w:tcW w:w="877" w:type="dxa"/>
            <w:vAlign w:val="center"/>
          </w:tcPr>
          <w:p w14:paraId="34EFAF3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43</w:t>
            </w:r>
          </w:p>
        </w:tc>
        <w:tc>
          <w:tcPr>
            <w:tcW w:w="907" w:type="dxa"/>
            <w:vAlign w:val="center"/>
          </w:tcPr>
          <w:p w14:paraId="6A21E3C3"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47 (mean)</w:t>
            </w:r>
          </w:p>
        </w:tc>
        <w:tc>
          <w:tcPr>
            <w:tcW w:w="907" w:type="dxa"/>
            <w:vAlign w:val="center"/>
          </w:tcPr>
          <w:p w14:paraId="312BA9AD"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12 (mean)</w:t>
            </w:r>
          </w:p>
        </w:tc>
        <w:tc>
          <w:tcPr>
            <w:tcW w:w="1306" w:type="dxa"/>
            <w:vAlign w:val="center"/>
          </w:tcPr>
          <w:p w14:paraId="731912A8"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 Severe dysphagia -Device removal/ N.A.</w:t>
            </w:r>
          </w:p>
        </w:tc>
      </w:tr>
      <w:tr w:rsidR="004F24BB" w:rsidRPr="00DE7219" w14:paraId="6F6BAE6C" w14:textId="77777777" w:rsidTr="004F24BB">
        <w:tc>
          <w:tcPr>
            <w:tcW w:w="988" w:type="dxa"/>
            <w:vAlign w:val="center"/>
          </w:tcPr>
          <w:p w14:paraId="724AA294" w14:textId="2160FFBF"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 xml:space="preserve">Broderick </w:t>
            </w:r>
            <w:r w:rsidRPr="00DE7219">
              <w:rPr>
                <w:rFonts w:ascii="Book Antiqua" w:hAnsi="Book Antiqua" w:cstheme="majorHAnsi"/>
                <w:i/>
                <w:sz w:val="24"/>
                <w:szCs w:val="24"/>
              </w:rPr>
              <w:t>et al</w:t>
            </w:r>
            <w:r w:rsidRPr="00DE7219">
              <w:rPr>
                <w:rFonts w:ascii="Book Antiqua" w:hAnsi="Book Antiqua" w:cstheme="majorHAnsi"/>
                <w:sz w:val="24"/>
                <w:szCs w:val="24"/>
                <w:vertAlign w:val="superscript"/>
              </w:rPr>
              <w:t>[4</w:t>
            </w:r>
            <w:r w:rsidR="00E879CF" w:rsidRPr="00DE7219">
              <w:rPr>
                <w:rFonts w:ascii="Book Antiqua" w:hAnsi="Book Antiqua" w:cstheme="majorHAnsi"/>
                <w:sz w:val="24"/>
                <w:szCs w:val="24"/>
                <w:vertAlign w:val="superscript"/>
              </w:rPr>
              <w:t>6</w:t>
            </w:r>
            <w:r w:rsidRPr="00DE7219">
              <w:rPr>
                <w:rFonts w:ascii="Book Antiqua" w:hAnsi="Book Antiqua" w:cstheme="majorHAnsi"/>
                <w:sz w:val="24"/>
                <w:szCs w:val="24"/>
                <w:vertAlign w:val="superscript"/>
              </w:rPr>
              <w:t>]</w:t>
            </w:r>
            <w:r w:rsidRPr="00DE7219">
              <w:rPr>
                <w:rFonts w:ascii="Book Antiqua" w:hAnsi="Book Antiqua" w:cstheme="majorHAnsi"/>
                <w:sz w:val="24"/>
                <w:szCs w:val="24"/>
              </w:rPr>
              <w:t>, 2019</w:t>
            </w:r>
          </w:p>
        </w:tc>
        <w:tc>
          <w:tcPr>
            <w:tcW w:w="736" w:type="dxa"/>
            <w:vAlign w:val="center"/>
          </w:tcPr>
          <w:p w14:paraId="344BF251"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2014-2018</w:t>
            </w:r>
          </w:p>
        </w:tc>
        <w:tc>
          <w:tcPr>
            <w:tcW w:w="806" w:type="dxa"/>
            <w:vAlign w:val="center"/>
          </w:tcPr>
          <w:p w14:paraId="53F91BEE" w14:textId="706B211E"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13 (6 with</w:t>
            </w:r>
          </w:p>
          <w:p w14:paraId="16B16CA1"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GERD-HRQL score)</w:t>
            </w:r>
          </w:p>
        </w:tc>
        <w:tc>
          <w:tcPr>
            <w:tcW w:w="769" w:type="dxa"/>
            <w:vAlign w:val="center"/>
          </w:tcPr>
          <w:p w14:paraId="6FF0E8A3" w14:textId="1DAD7565"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8 LSG 4 LRYGB 1 DS</w:t>
            </w:r>
          </w:p>
        </w:tc>
        <w:tc>
          <w:tcPr>
            <w:tcW w:w="822" w:type="dxa"/>
            <w:vAlign w:val="center"/>
          </w:tcPr>
          <w:p w14:paraId="0819A649"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856" w:type="dxa"/>
            <w:vAlign w:val="center"/>
          </w:tcPr>
          <w:p w14:paraId="5B0CF5BE"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1141" w:type="dxa"/>
            <w:vAlign w:val="center"/>
          </w:tcPr>
          <w:p w14:paraId="1B3C4ED8"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30,1</w:t>
            </w:r>
          </w:p>
        </w:tc>
        <w:tc>
          <w:tcPr>
            <w:tcW w:w="877" w:type="dxa"/>
            <w:vAlign w:val="center"/>
          </w:tcPr>
          <w:p w14:paraId="73A97F9E"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N.A.</w:t>
            </w:r>
          </w:p>
        </w:tc>
        <w:tc>
          <w:tcPr>
            <w:tcW w:w="907" w:type="dxa"/>
            <w:vAlign w:val="center"/>
          </w:tcPr>
          <w:p w14:paraId="1E0D897C" w14:textId="227D5C74"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15-45</w:t>
            </w:r>
          </w:p>
        </w:tc>
        <w:tc>
          <w:tcPr>
            <w:tcW w:w="907" w:type="dxa"/>
            <w:vAlign w:val="center"/>
          </w:tcPr>
          <w:p w14:paraId="08601325" w14:textId="77777777"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5-13</w:t>
            </w:r>
          </w:p>
        </w:tc>
        <w:tc>
          <w:tcPr>
            <w:tcW w:w="1306" w:type="dxa"/>
            <w:vAlign w:val="center"/>
          </w:tcPr>
          <w:p w14:paraId="56D61EE2" w14:textId="3E50852D" w:rsidR="004F24BB" w:rsidRPr="00DE7219" w:rsidRDefault="004F24BB" w:rsidP="00DE7219">
            <w:pPr>
              <w:spacing w:line="360" w:lineRule="auto"/>
              <w:ind w:left="-1" w:hanging="1"/>
              <w:rPr>
                <w:rFonts w:ascii="Book Antiqua" w:hAnsi="Book Antiqua" w:cstheme="majorHAnsi"/>
                <w:sz w:val="24"/>
                <w:szCs w:val="24"/>
              </w:rPr>
            </w:pPr>
            <w:r w:rsidRPr="00DE7219">
              <w:rPr>
                <w:rFonts w:ascii="Book Antiqua" w:hAnsi="Book Antiqua" w:cstheme="majorHAnsi"/>
                <w:sz w:val="24"/>
                <w:szCs w:val="24"/>
              </w:rPr>
              <w:t>2 endoscopic dilations/All patients satisfied</w:t>
            </w:r>
          </w:p>
        </w:tc>
      </w:tr>
      <w:tr w:rsidR="004F24BB" w:rsidRPr="00DE7219" w14:paraId="49955D87" w14:textId="77777777" w:rsidTr="004F24BB">
        <w:tc>
          <w:tcPr>
            <w:tcW w:w="988" w:type="dxa"/>
            <w:vAlign w:val="center"/>
          </w:tcPr>
          <w:p w14:paraId="15407C32" w14:textId="73AE9DB2"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Cumulative Data</w:t>
            </w:r>
          </w:p>
        </w:tc>
        <w:tc>
          <w:tcPr>
            <w:tcW w:w="736" w:type="dxa"/>
            <w:vAlign w:val="center"/>
          </w:tcPr>
          <w:p w14:paraId="65E945A8" w14:textId="77777777"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2014-2018</w:t>
            </w:r>
          </w:p>
        </w:tc>
        <w:tc>
          <w:tcPr>
            <w:tcW w:w="806" w:type="dxa"/>
            <w:vAlign w:val="center"/>
          </w:tcPr>
          <w:p w14:paraId="4122206A" w14:textId="77777777"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33(26)</w:t>
            </w:r>
          </w:p>
        </w:tc>
        <w:tc>
          <w:tcPr>
            <w:tcW w:w="769" w:type="dxa"/>
            <w:vAlign w:val="center"/>
          </w:tcPr>
          <w:p w14:paraId="5746A212" w14:textId="28D44BEE"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34 LSG 4 LRYGB 1 DS</w:t>
            </w:r>
          </w:p>
        </w:tc>
        <w:tc>
          <w:tcPr>
            <w:tcW w:w="6816" w:type="dxa"/>
            <w:gridSpan w:val="7"/>
            <w:vAlign w:val="center"/>
          </w:tcPr>
          <w:p w14:paraId="4BC46CF9" w14:textId="73719F8E" w:rsidR="004F24BB" w:rsidRPr="00DE7219" w:rsidRDefault="004F24BB" w:rsidP="00DE7219">
            <w:pPr>
              <w:spacing w:line="360" w:lineRule="auto"/>
              <w:ind w:left="-1" w:hanging="1"/>
              <w:rPr>
                <w:rFonts w:ascii="Book Antiqua" w:hAnsi="Book Antiqua" w:cstheme="majorHAnsi"/>
                <w:bCs/>
                <w:sz w:val="24"/>
                <w:szCs w:val="24"/>
              </w:rPr>
            </w:pPr>
            <w:r w:rsidRPr="00DE7219">
              <w:rPr>
                <w:rFonts w:ascii="Book Antiqua" w:hAnsi="Book Antiqua" w:cstheme="majorHAnsi"/>
                <w:bCs/>
                <w:sz w:val="24"/>
                <w:szCs w:val="24"/>
              </w:rPr>
              <w:t>Not enough information to compile cumulative data</w:t>
            </w:r>
          </w:p>
        </w:tc>
      </w:tr>
    </w:tbl>
    <w:p w14:paraId="76E2F5A7" w14:textId="00E9A77D" w:rsidR="00257958" w:rsidRPr="00DE7219" w:rsidRDefault="004F24BB" w:rsidP="00DE7219">
      <w:pPr>
        <w:pBdr>
          <w:top w:val="nil"/>
          <w:left w:val="nil"/>
          <w:bottom w:val="nil"/>
          <w:right w:val="nil"/>
          <w:between w:val="nil"/>
        </w:pBdr>
        <w:spacing w:line="360" w:lineRule="auto"/>
        <w:rPr>
          <w:rFonts w:ascii="Book Antiqua" w:hAnsi="Book Antiqua"/>
          <w:b/>
          <w:iCs/>
          <w:color w:val="000000"/>
          <w:sz w:val="24"/>
          <w:szCs w:val="24"/>
        </w:rPr>
      </w:pPr>
      <w:r w:rsidRPr="00DE7219">
        <w:rPr>
          <w:rFonts w:ascii="Book Antiqua" w:hAnsi="Book Antiqua" w:cstheme="majorHAnsi"/>
          <w:iCs/>
          <w:sz w:val="24"/>
          <w:szCs w:val="24"/>
        </w:rPr>
        <w:t xml:space="preserve">LSG: Laparoscopic sleeve gastrectomy; LRYGB: Laparoscopic Roux-en-Y gastric bypass; DS: Duodenal switch; </w:t>
      </w:r>
      <w:r w:rsidRPr="00DE7219">
        <w:rPr>
          <w:rFonts w:ascii="Book Antiqua" w:hAnsi="Book Antiqua" w:cstheme="minorHAnsi"/>
          <w:sz w:val="24"/>
          <w:szCs w:val="24"/>
        </w:rPr>
        <w:t xml:space="preserve">MSA: Magnetic sphincter augmentation; </w:t>
      </w:r>
      <w:r w:rsidRPr="00DE7219">
        <w:rPr>
          <w:rFonts w:ascii="Book Antiqua" w:hAnsi="Book Antiqua" w:cstheme="majorHAnsi"/>
          <w:iCs/>
          <w:sz w:val="24"/>
          <w:szCs w:val="24"/>
        </w:rPr>
        <w:t>N.A.: Not available.</w:t>
      </w:r>
    </w:p>
    <w:sectPr w:rsidR="00257958" w:rsidRPr="00DE7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109A" w14:textId="77777777" w:rsidR="00BE3A2F" w:rsidRDefault="00BE3A2F">
      <w:r>
        <w:separator/>
      </w:r>
    </w:p>
  </w:endnote>
  <w:endnote w:type="continuationSeparator" w:id="0">
    <w:p w14:paraId="5D010CC2" w14:textId="77777777" w:rsidR="00BE3A2F" w:rsidRDefault="00B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SimSun">
    <w:altName w:val="Times New Roman"/>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Gungsuh">
    <w:panose1 w:val="02030600000101010101"/>
    <w:charset w:val="81"/>
    <w:family w:val="roman"/>
    <w:pitch w:val="variable"/>
    <w:sig w:usb0="B00002AF" w:usb1="69D77CFB" w:usb2="00000030" w:usb3="00000000" w:csb0="0008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60B40" w14:textId="77777777" w:rsidR="00BE3A2F" w:rsidRDefault="00BE3A2F">
      <w:r>
        <w:separator/>
      </w:r>
    </w:p>
  </w:footnote>
  <w:footnote w:type="continuationSeparator" w:id="0">
    <w:p w14:paraId="461A163A" w14:textId="77777777" w:rsidR="00BE3A2F" w:rsidRDefault="00BE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5A1A" w14:textId="77777777" w:rsidR="00FD094D" w:rsidRDefault="00FD094D">
    <w:pPr>
      <w:pBdr>
        <w:top w:val="nil"/>
        <w:left w:val="nil"/>
        <w:bottom w:val="nil"/>
        <w:right w:val="nil"/>
        <w:between w:val="nil"/>
      </w:pBdr>
      <w:tabs>
        <w:tab w:val="center" w:pos="4153"/>
        <w:tab w:val="right" w:pos="8306"/>
      </w:tabs>
      <w:ind w:right="360" w:hanging="2"/>
      <w:rPr>
        <w:color w:val="000000"/>
      </w:rPr>
    </w:pPr>
    <w:r>
      <w:rPr>
        <w:noProof/>
      </w:rPr>
      <w:drawing>
        <wp:anchor distT="0" distB="0" distL="0" distR="0" simplePos="0" relativeHeight="251659264" behindDoc="0" locked="0" layoutInCell="1" allowOverlap="1" wp14:anchorId="0D24BFAD" wp14:editId="55DA0712">
          <wp:simplePos x="0" y="0"/>
          <wp:positionH relativeFrom="column">
            <wp:posOffset>6248400</wp:posOffset>
          </wp:positionH>
          <wp:positionV relativeFrom="paragraph">
            <wp:posOffset>0</wp:posOffset>
          </wp:positionV>
          <wp:extent cx="161925" cy="18415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61925" cy="184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012B"/>
    <w:multiLevelType w:val="multilevel"/>
    <w:tmpl w:val="1F5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60"/>
    <w:rsid w:val="000210DF"/>
    <w:rsid w:val="000B6882"/>
    <w:rsid w:val="001047DA"/>
    <w:rsid w:val="00113491"/>
    <w:rsid w:val="00214165"/>
    <w:rsid w:val="00257958"/>
    <w:rsid w:val="00267722"/>
    <w:rsid w:val="002F458F"/>
    <w:rsid w:val="00323A1F"/>
    <w:rsid w:val="00350F93"/>
    <w:rsid w:val="003C4EBC"/>
    <w:rsid w:val="004C1084"/>
    <w:rsid w:val="004E2CF8"/>
    <w:rsid w:val="004F24BB"/>
    <w:rsid w:val="00591067"/>
    <w:rsid w:val="005C7477"/>
    <w:rsid w:val="005D0168"/>
    <w:rsid w:val="006224D7"/>
    <w:rsid w:val="006424A1"/>
    <w:rsid w:val="00772D80"/>
    <w:rsid w:val="009727DA"/>
    <w:rsid w:val="00B12C9C"/>
    <w:rsid w:val="00B35CA1"/>
    <w:rsid w:val="00B36DD8"/>
    <w:rsid w:val="00BE3A2F"/>
    <w:rsid w:val="00C64960"/>
    <w:rsid w:val="00C82E79"/>
    <w:rsid w:val="00CC137C"/>
    <w:rsid w:val="00D366CE"/>
    <w:rsid w:val="00D75D84"/>
    <w:rsid w:val="00DE7219"/>
    <w:rsid w:val="00E021D4"/>
    <w:rsid w:val="00E879CF"/>
    <w:rsid w:val="00FA48DE"/>
    <w:rsid w:val="00FB735D"/>
    <w:rsid w:val="00FD0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DA"/>
    <w:pPr>
      <w:ind w:left="720"/>
      <w:contextualSpacing/>
    </w:pPr>
  </w:style>
  <w:style w:type="character" w:styleId="a4">
    <w:name w:val="Hyperlink"/>
    <w:uiPriority w:val="99"/>
    <w:unhideWhenUsed/>
    <w:rsid w:val="009727DA"/>
    <w:rPr>
      <w:color w:val="0000FF"/>
      <w:u w:val="single"/>
    </w:rPr>
  </w:style>
  <w:style w:type="character" w:styleId="a5">
    <w:name w:val="Strong"/>
    <w:uiPriority w:val="22"/>
    <w:qFormat/>
    <w:rsid w:val="00257958"/>
    <w:rPr>
      <w:b/>
      <w:bCs/>
    </w:rPr>
  </w:style>
  <w:style w:type="paragraph" w:styleId="a6">
    <w:name w:val="header"/>
    <w:basedOn w:val="a"/>
    <w:link w:val="Char"/>
    <w:uiPriority w:val="99"/>
    <w:unhideWhenUsed/>
    <w:rsid w:val="00FD0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D094D"/>
    <w:rPr>
      <w:sz w:val="18"/>
      <w:szCs w:val="18"/>
    </w:rPr>
  </w:style>
  <w:style w:type="paragraph" w:styleId="a7">
    <w:name w:val="footer"/>
    <w:basedOn w:val="a"/>
    <w:link w:val="Char0"/>
    <w:uiPriority w:val="99"/>
    <w:unhideWhenUsed/>
    <w:rsid w:val="00FD094D"/>
    <w:pPr>
      <w:tabs>
        <w:tab w:val="center" w:pos="4153"/>
        <w:tab w:val="right" w:pos="8306"/>
      </w:tabs>
      <w:snapToGrid w:val="0"/>
      <w:jc w:val="left"/>
    </w:pPr>
    <w:rPr>
      <w:sz w:val="18"/>
      <w:szCs w:val="18"/>
    </w:rPr>
  </w:style>
  <w:style w:type="character" w:customStyle="1" w:styleId="Char0">
    <w:name w:val="页脚 Char"/>
    <w:basedOn w:val="a0"/>
    <w:link w:val="a7"/>
    <w:uiPriority w:val="99"/>
    <w:rsid w:val="00FD094D"/>
    <w:rPr>
      <w:sz w:val="18"/>
      <w:szCs w:val="18"/>
    </w:rPr>
  </w:style>
  <w:style w:type="character" w:styleId="a8">
    <w:name w:val="annotation reference"/>
    <w:basedOn w:val="a0"/>
    <w:uiPriority w:val="99"/>
    <w:semiHidden/>
    <w:unhideWhenUsed/>
    <w:rsid w:val="003C4EBC"/>
    <w:rPr>
      <w:sz w:val="21"/>
      <w:szCs w:val="21"/>
    </w:rPr>
  </w:style>
  <w:style w:type="paragraph" w:styleId="a9">
    <w:name w:val="annotation text"/>
    <w:basedOn w:val="a"/>
    <w:link w:val="Char1"/>
    <w:uiPriority w:val="99"/>
    <w:semiHidden/>
    <w:unhideWhenUsed/>
    <w:rsid w:val="003C4EBC"/>
    <w:pPr>
      <w:jc w:val="left"/>
    </w:pPr>
  </w:style>
  <w:style w:type="character" w:customStyle="1" w:styleId="Char1">
    <w:name w:val="批注文字 Char"/>
    <w:basedOn w:val="a0"/>
    <w:link w:val="a9"/>
    <w:uiPriority w:val="99"/>
    <w:semiHidden/>
    <w:rsid w:val="003C4EBC"/>
  </w:style>
  <w:style w:type="paragraph" w:styleId="aa">
    <w:name w:val="annotation subject"/>
    <w:basedOn w:val="a9"/>
    <w:next w:val="a9"/>
    <w:link w:val="Char2"/>
    <w:uiPriority w:val="99"/>
    <w:semiHidden/>
    <w:unhideWhenUsed/>
    <w:rsid w:val="003C4EBC"/>
    <w:rPr>
      <w:b/>
      <w:bCs/>
    </w:rPr>
  </w:style>
  <w:style w:type="character" w:customStyle="1" w:styleId="Char2">
    <w:name w:val="批注主题 Char"/>
    <w:basedOn w:val="Char1"/>
    <w:link w:val="aa"/>
    <w:uiPriority w:val="99"/>
    <w:semiHidden/>
    <w:rsid w:val="003C4EBC"/>
    <w:rPr>
      <w:b/>
      <w:bCs/>
    </w:rPr>
  </w:style>
  <w:style w:type="paragraph" w:styleId="ab">
    <w:name w:val="Balloon Text"/>
    <w:basedOn w:val="a"/>
    <w:link w:val="Char3"/>
    <w:uiPriority w:val="99"/>
    <w:semiHidden/>
    <w:unhideWhenUsed/>
    <w:rsid w:val="003C4EBC"/>
    <w:rPr>
      <w:sz w:val="18"/>
      <w:szCs w:val="18"/>
    </w:rPr>
  </w:style>
  <w:style w:type="character" w:customStyle="1" w:styleId="Char3">
    <w:name w:val="批注框文本 Char"/>
    <w:basedOn w:val="a0"/>
    <w:link w:val="ab"/>
    <w:uiPriority w:val="99"/>
    <w:semiHidden/>
    <w:rsid w:val="003C4EBC"/>
    <w:rPr>
      <w:sz w:val="18"/>
      <w:szCs w:val="18"/>
    </w:rPr>
  </w:style>
  <w:style w:type="paragraph" w:customStyle="1" w:styleId="src">
    <w:name w:val="src"/>
    <w:basedOn w:val="a"/>
    <w:rsid w:val="004C108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DA"/>
    <w:pPr>
      <w:ind w:left="720"/>
      <w:contextualSpacing/>
    </w:pPr>
  </w:style>
  <w:style w:type="character" w:styleId="a4">
    <w:name w:val="Hyperlink"/>
    <w:uiPriority w:val="99"/>
    <w:unhideWhenUsed/>
    <w:rsid w:val="009727DA"/>
    <w:rPr>
      <w:color w:val="0000FF"/>
      <w:u w:val="single"/>
    </w:rPr>
  </w:style>
  <w:style w:type="character" w:styleId="a5">
    <w:name w:val="Strong"/>
    <w:uiPriority w:val="22"/>
    <w:qFormat/>
    <w:rsid w:val="00257958"/>
    <w:rPr>
      <w:b/>
      <w:bCs/>
    </w:rPr>
  </w:style>
  <w:style w:type="paragraph" w:styleId="a6">
    <w:name w:val="header"/>
    <w:basedOn w:val="a"/>
    <w:link w:val="Char"/>
    <w:uiPriority w:val="99"/>
    <w:unhideWhenUsed/>
    <w:rsid w:val="00FD0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D094D"/>
    <w:rPr>
      <w:sz w:val="18"/>
      <w:szCs w:val="18"/>
    </w:rPr>
  </w:style>
  <w:style w:type="paragraph" w:styleId="a7">
    <w:name w:val="footer"/>
    <w:basedOn w:val="a"/>
    <w:link w:val="Char0"/>
    <w:uiPriority w:val="99"/>
    <w:unhideWhenUsed/>
    <w:rsid w:val="00FD094D"/>
    <w:pPr>
      <w:tabs>
        <w:tab w:val="center" w:pos="4153"/>
        <w:tab w:val="right" w:pos="8306"/>
      </w:tabs>
      <w:snapToGrid w:val="0"/>
      <w:jc w:val="left"/>
    </w:pPr>
    <w:rPr>
      <w:sz w:val="18"/>
      <w:szCs w:val="18"/>
    </w:rPr>
  </w:style>
  <w:style w:type="character" w:customStyle="1" w:styleId="Char0">
    <w:name w:val="页脚 Char"/>
    <w:basedOn w:val="a0"/>
    <w:link w:val="a7"/>
    <w:uiPriority w:val="99"/>
    <w:rsid w:val="00FD094D"/>
    <w:rPr>
      <w:sz w:val="18"/>
      <w:szCs w:val="18"/>
    </w:rPr>
  </w:style>
  <w:style w:type="character" w:styleId="a8">
    <w:name w:val="annotation reference"/>
    <w:basedOn w:val="a0"/>
    <w:uiPriority w:val="99"/>
    <w:semiHidden/>
    <w:unhideWhenUsed/>
    <w:rsid w:val="003C4EBC"/>
    <w:rPr>
      <w:sz w:val="21"/>
      <w:szCs w:val="21"/>
    </w:rPr>
  </w:style>
  <w:style w:type="paragraph" w:styleId="a9">
    <w:name w:val="annotation text"/>
    <w:basedOn w:val="a"/>
    <w:link w:val="Char1"/>
    <w:uiPriority w:val="99"/>
    <w:semiHidden/>
    <w:unhideWhenUsed/>
    <w:rsid w:val="003C4EBC"/>
    <w:pPr>
      <w:jc w:val="left"/>
    </w:pPr>
  </w:style>
  <w:style w:type="character" w:customStyle="1" w:styleId="Char1">
    <w:name w:val="批注文字 Char"/>
    <w:basedOn w:val="a0"/>
    <w:link w:val="a9"/>
    <w:uiPriority w:val="99"/>
    <w:semiHidden/>
    <w:rsid w:val="003C4EBC"/>
  </w:style>
  <w:style w:type="paragraph" w:styleId="aa">
    <w:name w:val="annotation subject"/>
    <w:basedOn w:val="a9"/>
    <w:next w:val="a9"/>
    <w:link w:val="Char2"/>
    <w:uiPriority w:val="99"/>
    <w:semiHidden/>
    <w:unhideWhenUsed/>
    <w:rsid w:val="003C4EBC"/>
    <w:rPr>
      <w:b/>
      <w:bCs/>
    </w:rPr>
  </w:style>
  <w:style w:type="character" w:customStyle="1" w:styleId="Char2">
    <w:name w:val="批注主题 Char"/>
    <w:basedOn w:val="Char1"/>
    <w:link w:val="aa"/>
    <w:uiPriority w:val="99"/>
    <w:semiHidden/>
    <w:rsid w:val="003C4EBC"/>
    <w:rPr>
      <w:b/>
      <w:bCs/>
    </w:rPr>
  </w:style>
  <w:style w:type="paragraph" w:styleId="ab">
    <w:name w:val="Balloon Text"/>
    <w:basedOn w:val="a"/>
    <w:link w:val="Char3"/>
    <w:uiPriority w:val="99"/>
    <w:semiHidden/>
    <w:unhideWhenUsed/>
    <w:rsid w:val="003C4EBC"/>
    <w:rPr>
      <w:sz w:val="18"/>
      <w:szCs w:val="18"/>
    </w:rPr>
  </w:style>
  <w:style w:type="character" w:customStyle="1" w:styleId="Char3">
    <w:name w:val="批注框文本 Char"/>
    <w:basedOn w:val="a0"/>
    <w:link w:val="ab"/>
    <w:uiPriority w:val="99"/>
    <w:semiHidden/>
    <w:rsid w:val="003C4EBC"/>
    <w:rPr>
      <w:sz w:val="18"/>
      <w:szCs w:val="18"/>
    </w:rPr>
  </w:style>
  <w:style w:type="paragraph" w:customStyle="1" w:styleId="src">
    <w:name w:val="src"/>
    <w:basedOn w:val="a"/>
    <w:rsid w:val="004C10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3870">
      <w:bodyDiv w:val="1"/>
      <w:marLeft w:val="0"/>
      <w:marRight w:val="0"/>
      <w:marTop w:val="0"/>
      <w:marBottom w:val="0"/>
      <w:divBdr>
        <w:top w:val="none" w:sz="0" w:space="0" w:color="auto"/>
        <w:left w:val="none" w:sz="0" w:space="0" w:color="auto"/>
        <w:bottom w:val="none" w:sz="0" w:space="0" w:color="auto"/>
        <w:right w:val="none" w:sz="0" w:space="0" w:color="auto"/>
      </w:divBdr>
    </w:div>
    <w:div w:id="187723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40500</Words>
  <Characters>230851</Characters>
  <Application>Microsoft Office Word</Application>
  <DocSecurity>0</DocSecurity>
  <Lines>1923</Lines>
  <Paragraphs>541</Paragraphs>
  <ScaleCrop>false</ScaleCrop>
  <Company/>
  <LinksUpToDate>false</LinksUpToDate>
  <CharactersWithSpaces>270810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窦颖</dc:creator>
  <cp:lastModifiedBy>liujihong2008@qq.con</cp:lastModifiedBy>
  <cp:revision>7</cp:revision>
  <dcterms:created xsi:type="dcterms:W3CDTF">2019-12-14T01:57:00Z</dcterms:created>
  <dcterms:modified xsi:type="dcterms:W3CDTF">2020-01-15T05:04:00Z</dcterms:modified>
</cp:coreProperties>
</file>