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08E1" w14:textId="77777777" w:rsidR="0011433B" w:rsidRPr="00932A95" w:rsidRDefault="002F52BB" w:rsidP="00374FC0">
      <w:pPr>
        <w:adjustRightInd w:val="0"/>
        <w:snapToGrid w:val="0"/>
        <w:spacing w:line="360" w:lineRule="auto"/>
        <w:jc w:val="both"/>
        <w:rPr>
          <w:rFonts w:ascii="Book Antiqua" w:eastAsia="宋体" w:hAnsi="Book Antiqua" w:cs="Book Antiqua"/>
          <w:b/>
          <w:bCs/>
          <w:i/>
          <w:color w:val="auto"/>
          <w:sz w:val="24"/>
          <w:szCs w:val="24"/>
          <w:lang w:val="en-US"/>
        </w:rPr>
      </w:pPr>
      <w:r w:rsidRPr="00932A95">
        <w:rPr>
          <w:rFonts w:ascii="Book Antiqua" w:eastAsia="宋体" w:hAnsi="Book Antiqua" w:cs="Book Antiqua"/>
          <w:b/>
          <w:color w:val="auto"/>
          <w:sz w:val="24"/>
          <w:szCs w:val="24"/>
          <w:lang w:val="en-US"/>
        </w:rPr>
        <w:t xml:space="preserve">Name of Journal: </w:t>
      </w:r>
      <w:r w:rsidRPr="00932A95">
        <w:rPr>
          <w:rFonts w:ascii="Book Antiqua" w:eastAsia="宋体" w:hAnsi="Book Antiqua" w:cs="Book Antiqua"/>
          <w:i/>
          <w:color w:val="auto"/>
          <w:sz w:val="24"/>
          <w:szCs w:val="24"/>
        </w:rPr>
        <w:t>World Journal of Hepatology</w:t>
      </w:r>
    </w:p>
    <w:p w14:paraId="3BFA8E42" w14:textId="77777777" w:rsidR="0011433B" w:rsidRPr="00932A95" w:rsidRDefault="002F52BB" w:rsidP="00374FC0">
      <w:pPr>
        <w:adjustRightInd w:val="0"/>
        <w:snapToGrid w:val="0"/>
        <w:spacing w:line="360" w:lineRule="auto"/>
        <w:jc w:val="both"/>
        <w:rPr>
          <w:rFonts w:ascii="Book Antiqua" w:eastAsia="宋体" w:hAnsi="Book Antiqua" w:cs="Book Antiqua"/>
          <w:b/>
          <w:color w:val="auto"/>
          <w:sz w:val="24"/>
          <w:szCs w:val="24"/>
          <w:lang w:val="en-US"/>
        </w:rPr>
      </w:pPr>
      <w:r w:rsidRPr="00932A95">
        <w:rPr>
          <w:rFonts w:ascii="Book Antiqua" w:eastAsia="宋体" w:hAnsi="Book Antiqua" w:cs="Book Antiqua"/>
          <w:b/>
          <w:color w:val="auto"/>
          <w:sz w:val="24"/>
          <w:szCs w:val="24"/>
          <w:lang w:val="en-US"/>
        </w:rPr>
        <w:t xml:space="preserve">Manuscript NO: </w:t>
      </w:r>
      <w:r w:rsidRPr="00932A95">
        <w:rPr>
          <w:rFonts w:ascii="Book Antiqua" w:hAnsi="Book Antiqua" w:cs="Book Antiqua"/>
          <w:color w:val="auto"/>
          <w:sz w:val="24"/>
          <w:szCs w:val="24"/>
        </w:rPr>
        <w:t>52666</w:t>
      </w:r>
    </w:p>
    <w:p w14:paraId="163050BF" w14:textId="77777777" w:rsidR="0011433B" w:rsidRPr="00932A95" w:rsidRDefault="002F52BB" w:rsidP="00374FC0">
      <w:pPr>
        <w:adjustRightInd w:val="0"/>
        <w:snapToGrid w:val="0"/>
        <w:spacing w:line="360" w:lineRule="auto"/>
        <w:jc w:val="both"/>
        <w:rPr>
          <w:rFonts w:ascii="Book Antiqua" w:eastAsia="宋体" w:hAnsi="Book Antiqua" w:cs="Book Antiqua"/>
          <w:b/>
          <w:bCs/>
          <w:i/>
          <w:color w:val="auto"/>
          <w:sz w:val="24"/>
          <w:szCs w:val="24"/>
          <w:lang w:val="en-US"/>
        </w:rPr>
      </w:pPr>
      <w:r w:rsidRPr="00932A95">
        <w:rPr>
          <w:rFonts w:ascii="Book Antiqua" w:eastAsia="宋体" w:hAnsi="Book Antiqua" w:cs="Book Antiqua"/>
          <w:b/>
          <w:color w:val="auto"/>
          <w:sz w:val="24"/>
          <w:szCs w:val="24"/>
          <w:shd w:val="clear" w:color="auto" w:fill="FFFFFF"/>
          <w:lang w:val="fr-FR"/>
        </w:rPr>
        <w:t>Manuscript Type</w:t>
      </w:r>
      <w:r w:rsidRPr="00932A95">
        <w:rPr>
          <w:rFonts w:ascii="Book Antiqua" w:eastAsia="宋体" w:hAnsi="Book Antiqua" w:cs="Book Antiqua"/>
          <w:b/>
          <w:color w:val="auto"/>
          <w:sz w:val="24"/>
          <w:szCs w:val="24"/>
          <w:lang w:val="fr-FR"/>
        </w:rPr>
        <w:t>:</w:t>
      </w:r>
      <w:r w:rsidRPr="00932A95">
        <w:rPr>
          <w:rFonts w:ascii="Book Antiqua" w:eastAsia="宋体" w:hAnsi="Book Antiqua" w:cs="Book Antiqua"/>
          <w:b/>
          <w:bCs/>
          <w:i/>
          <w:color w:val="auto"/>
          <w:sz w:val="24"/>
          <w:szCs w:val="24"/>
          <w:lang w:val="en-US"/>
        </w:rPr>
        <w:t xml:space="preserve"> </w:t>
      </w:r>
      <w:r w:rsidRPr="00932A95">
        <w:rPr>
          <w:rFonts w:ascii="Book Antiqua" w:eastAsia="宋体" w:hAnsi="Book Antiqua" w:cs="Book Antiqua"/>
          <w:color w:val="auto"/>
          <w:sz w:val="24"/>
          <w:szCs w:val="24"/>
          <w:lang w:val="fr-FR"/>
        </w:rPr>
        <w:t>ORIGINAL ARTICLE</w:t>
      </w:r>
    </w:p>
    <w:p w14:paraId="56966FE6" w14:textId="77777777" w:rsidR="0011433B" w:rsidRPr="00932A95" w:rsidRDefault="0011433B" w:rsidP="00374FC0">
      <w:pPr>
        <w:snapToGrid w:val="0"/>
        <w:spacing w:line="360" w:lineRule="auto"/>
        <w:jc w:val="both"/>
        <w:rPr>
          <w:rFonts w:ascii="Book Antiqua" w:hAnsi="Book Antiqua" w:cs="Book Antiqua"/>
          <w:b/>
          <w:color w:val="auto"/>
          <w:sz w:val="24"/>
          <w:szCs w:val="24"/>
          <w:lang w:val="en-US"/>
        </w:rPr>
      </w:pPr>
    </w:p>
    <w:p w14:paraId="644FB374"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Book Antiqua"/>
          <w:b/>
          <w:i/>
          <w:color w:val="auto"/>
          <w:sz w:val="24"/>
          <w:szCs w:val="24"/>
        </w:rPr>
        <w:t>Retrospective Cohort Study</w:t>
      </w:r>
    </w:p>
    <w:p w14:paraId="60A44E5E" w14:textId="77777777" w:rsidR="0011433B" w:rsidRPr="00932A95" w:rsidRDefault="002F52BB" w:rsidP="00374FC0">
      <w:pPr>
        <w:pStyle w:val="a4"/>
        <w:spacing w:line="360" w:lineRule="auto"/>
        <w:jc w:val="both"/>
        <w:outlineLvl w:val="0"/>
        <w:rPr>
          <w:rFonts w:ascii="Book Antiqua" w:hAnsi="Book Antiqua" w:cs="Book Antiqua"/>
          <w:b/>
          <w:sz w:val="24"/>
          <w:szCs w:val="24"/>
        </w:rPr>
      </w:pPr>
      <w:r w:rsidRPr="00932A95">
        <w:rPr>
          <w:rFonts w:ascii="Book Antiqua" w:hAnsi="Book Antiqua" w:cs="Book Antiqua"/>
          <w:b/>
          <w:sz w:val="24"/>
          <w:szCs w:val="24"/>
        </w:rPr>
        <w:t xml:space="preserve">Hospital teaching status on the outcomes of patients with esophageal variceal bleeding in the </w:t>
      </w:r>
      <w:r w:rsidR="00E23359" w:rsidRPr="00932A95">
        <w:rPr>
          <w:rFonts w:ascii="Book Antiqua" w:hAnsi="Book Antiqua" w:cs="Book Antiqua"/>
          <w:b/>
          <w:sz w:val="24"/>
          <w:szCs w:val="24"/>
          <w:lang w:val="en"/>
        </w:rPr>
        <w:t>United States</w:t>
      </w:r>
    </w:p>
    <w:p w14:paraId="1A5F5533" w14:textId="77777777" w:rsidR="0011433B" w:rsidRPr="00932A95" w:rsidRDefault="0011433B" w:rsidP="00374FC0">
      <w:pPr>
        <w:pStyle w:val="a4"/>
        <w:spacing w:line="360" w:lineRule="auto"/>
        <w:jc w:val="both"/>
        <w:outlineLvl w:val="0"/>
        <w:rPr>
          <w:rFonts w:ascii="Book Antiqua" w:hAnsi="Book Antiqua" w:cs="Book Antiqua"/>
          <w:b/>
          <w:sz w:val="24"/>
          <w:szCs w:val="24"/>
        </w:rPr>
      </w:pPr>
    </w:p>
    <w:p w14:paraId="56545254"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color w:val="auto"/>
          <w:sz w:val="24"/>
          <w:szCs w:val="24"/>
        </w:rPr>
        <w:t>Patel</w:t>
      </w:r>
      <w:r w:rsidRPr="00932A95">
        <w:rPr>
          <w:rFonts w:ascii="Book Antiqua" w:eastAsia="宋体" w:hAnsi="Book Antiqua" w:cs="Book Antiqua"/>
          <w:color w:val="auto"/>
          <w:sz w:val="24"/>
          <w:szCs w:val="24"/>
          <w:lang w:val="en-US" w:eastAsia="zh-CN"/>
        </w:rPr>
        <w:t xml:space="preserve"> </w:t>
      </w:r>
      <w:r w:rsidRPr="00932A95">
        <w:rPr>
          <w:rFonts w:ascii="Book Antiqua" w:hAnsi="Book Antiqua" w:cs="Book Antiqua"/>
          <w:color w:val="auto"/>
          <w:sz w:val="24"/>
          <w:szCs w:val="24"/>
        </w:rPr>
        <w:t xml:space="preserve">P </w:t>
      </w:r>
      <w:r w:rsidRPr="00932A95">
        <w:rPr>
          <w:rFonts w:ascii="Book Antiqua" w:hAnsi="Book Antiqua" w:cs="Book Antiqua"/>
          <w:i/>
          <w:color w:val="auto"/>
          <w:sz w:val="24"/>
          <w:szCs w:val="24"/>
        </w:rPr>
        <w:t>et al.</w:t>
      </w:r>
      <w:r w:rsidRPr="00932A95">
        <w:rPr>
          <w:rFonts w:ascii="Book Antiqua" w:hAnsi="Book Antiqua" w:cs="Book Antiqua"/>
          <w:color w:val="auto"/>
          <w:sz w:val="24"/>
          <w:szCs w:val="24"/>
        </w:rPr>
        <w:t xml:space="preserve"> Outcomes of variceal bleeding</w:t>
      </w:r>
    </w:p>
    <w:p w14:paraId="7BE74152" w14:textId="77777777" w:rsidR="0011433B" w:rsidRPr="00932A95" w:rsidRDefault="0011433B" w:rsidP="00374FC0">
      <w:pPr>
        <w:spacing w:line="360" w:lineRule="auto"/>
        <w:jc w:val="both"/>
        <w:outlineLvl w:val="0"/>
        <w:rPr>
          <w:rFonts w:ascii="Book Antiqua" w:hAnsi="Book Antiqua" w:cs="Book Antiqua"/>
          <w:color w:val="auto"/>
          <w:sz w:val="24"/>
          <w:szCs w:val="24"/>
        </w:rPr>
      </w:pPr>
    </w:p>
    <w:p w14:paraId="71C1DAB3"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color w:val="auto"/>
          <w:sz w:val="24"/>
          <w:szCs w:val="24"/>
        </w:rPr>
        <w:t>Pavan Patel, Laura Rotundo, Faiz Afridi, Evan Orosz, Nikolaos Pyrsopoulos</w:t>
      </w:r>
    </w:p>
    <w:p w14:paraId="34F0053B" w14:textId="77777777" w:rsidR="0011433B" w:rsidRPr="00932A95" w:rsidRDefault="0011433B" w:rsidP="00374FC0">
      <w:pPr>
        <w:spacing w:line="360" w:lineRule="auto"/>
        <w:jc w:val="both"/>
        <w:outlineLvl w:val="0"/>
        <w:rPr>
          <w:rFonts w:ascii="Book Antiqua" w:hAnsi="Book Antiqua" w:cs="Book Antiqua"/>
          <w:b/>
          <w:color w:val="auto"/>
          <w:sz w:val="24"/>
          <w:szCs w:val="24"/>
        </w:rPr>
      </w:pPr>
    </w:p>
    <w:p w14:paraId="77057A2D" w14:textId="77777777" w:rsidR="0011433B" w:rsidRPr="00932A95"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b/>
          <w:color w:val="auto"/>
          <w:sz w:val="24"/>
          <w:szCs w:val="24"/>
        </w:rPr>
        <w:t>Pavan Patel</w:t>
      </w:r>
      <w:r w:rsidRPr="00932A95">
        <w:rPr>
          <w:rFonts w:ascii="Book Antiqua" w:hAnsi="Book Antiqua" w:cs="Book Antiqua"/>
          <w:color w:val="auto"/>
          <w:sz w:val="24"/>
          <w:szCs w:val="24"/>
        </w:rPr>
        <w:t xml:space="preserve">, </w:t>
      </w:r>
      <w:r w:rsidRPr="00932A95">
        <w:rPr>
          <w:rFonts w:ascii="Book Antiqua" w:hAnsi="Book Antiqua" w:cs="Book Antiqua"/>
          <w:b/>
          <w:color w:val="auto"/>
          <w:sz w:val="24"/>
          <w:szCs w:val="24"/>
        </w:rPr>
        <w:t>Faiz Afridi,</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Nikolaos Pyrsopoulos</w:t>
      </w:r>
      <w:r w:rsidRPr="00932A95">
        <w:rPr>
          <w:rFonts w:ascii="Book Antiqua" w:hAnsi="Book Antiqua" w:cs="Book Antiqua"/>
          <w:color w:val="auto"/>
          <w:sz w:val="24"/>
          <w:szCs w:val="24"/>
        </w:rPr>
        <w:t>, Division of Gastroenterology and Hepatology, Rutgers</w:t>
      </w:r>
      <w:r w:rsidRPr="00932A95">
        <w:rPr>
          <w:rFonts w:ascii="Book Antiqua" w:eastAsia="宋体" w:hAnsi="Book Antiqua" w:cs="Book Antiqua" w:hint="eastAsia"/>
          <w:color w:val="auto"/>
          <w:sz w:val="24"/>
          <w:szCs w:val="24"/>
          <w:lang w:val="en-US" w:eastAsia="zh-CN"/>
        </w:rPr>
        <w:t xml:space="preserve"> </w:t>
      </w:r>
      <w:r w:rsidRPr="00932A95">
        <w:rPr>
          <w:rFonts w:ascii="Book Antiqua" w:hAnsi="Book Antiqua" w:cs="Book Antiqua"/>
          <w:color w:val="auto"/>
          <w:sz w:val="24"/>
          <w:szCs w:val="24"/>
        </w:rPr>
        <w:t xml:space="preserve">- New Jersey Medical School, Newark, NJ 07101-1709, </w:t>
      </w:r>
      <w:r w:rsidRPr="00932A95">
        <w:rPr>
          <w:rFonts w:ascii="Book Antiqua" w:hAnsi="Book Antiqua" w:cs="Book Antiqua"/>
          <w:color w:val="auto"/>
          <w:sz w:val="24"/>
          <w:szCs w:val="24"/>
          <w:lang w:val="en-US"/>
        </w:rPr>
        <w:t>United States</w:t>
      </w:r>
    </w:p>
    <w:p w14:paraId="282D1712" w14:textId="77777777" w:rsidR="0011433B" w:rsidRPr="00932A95" w:rsidRDefault="0011433B" w:rsidP="00374FC0">
      <w:pPr>
        <w:spacing w:line="360" w:lineRule="auto"/>
        <w:jc w:val="both"/>
        <w:outlineLvl w:val="0"/>
        <w:rPr>
          <w:rFonts w:ascii="Book Antiqua" w:hAnsi="Book Antiqua" w:cs="Book Antiqua"/>
          <w:b/>
          <w:color w:val="auto"/>
          <w:sz w:val="24"/>
          <w:szCs w:val="24"/>
        </w:rPr>
      </w:pPr>
    </w:p>
    <w:p w14:paraId="64DAD7CB" w14:textId="77777777" w:rsidR="0011433B" w:rsidRPr="00932A95" w:rsidRDefault="002F52BB" w:rsidP="00374FC0">
      <w:pPr>
        <w:spacing w:line="360" w:lineRule="auto"/>
        <w:jc w:val="both"/>
        <w:outlineLvl w:val="0"/>
        <w:rPr>
          <w:rFonts w:ascii="Book Antiqua" w:hAnsi="Book Antiqua" w:cs="Book Antiqua"/>
          <w:color w:val="auto"/>
          <w:sz w:val="24"/>
          <w:szCs w:val="24"/>
          <w:lang w:val="en-US"/>
        </w:rPr>
      </w:pPr>
      <w:r w:rsidRPr="00932A95">
        <w:rPr>
          <w:rFonts w:ascii="Book Antiqua" w:hAnsi="Book Antiqua" w:cs="Book Antiqua"/>
          <w:b/>
          <w:color w:val="auto"/>
          <w:sz w:val="24"/>
          <w:szCs w:val="24"/>
        </w:rPr>
        <w:t>Laura Rotundo</w:t>
      </w:r>
      <w:r w:rsidRPr="00932A95">
        <w:rPr>
          <w:rFonts w:ascii="Book Antiqua" w:hAnsi="Book Antiqua" w:cs="Book Antiqua"/>
          <w:b/>
          <w:color w:val="auto"/>
          <w:sz w:val="24"/>
          <w:szCs w:val="24"/>
          <w:lang w:val="en-US"/>
        </w:rPr>
        <w:t>,</w:t>
      </w:r>
      <w:r w:rsidRPr="00932A95">
        <w:rPr>
          <w:rFonts w:ascii="Book Antiqua" w:hAnsi="Book Antiqua" w:cs="Book Antiqua"/>
          <w:b/>
          <w:color w:val="auto"/>
          <w:sz w:val="24"/>
          <w:szCs w:val="24"/>
        </w:rPr>
        <w:t xml:space="preserve"> Evan Orosz</w:t>
      </w:r>
      <w:r w:rsidRPr="00932A95">
        <w:rPr>
          <w:rFonts w:ascii="Book Antiqua" w:hAnsi="Book Antiqua" w:cs="Book Antiqua"/>
          <w:color w:val="auto"/>
          <w:sz w:val="24"/>
          <w:szCs w:val="24"/>
        </w:rPr>
        <w:t>, Department of Medicine, Rutgers</w:t>
      </w:r>
      <w:r w:rsidRPr="00932A95">
        <w:rPr>
          <w:rFonts w:ascii="Book Antiqua" w:eastAsia="宋体" w:hAnsi="Book Antiqua" w:cs="Book Antiqua" w:hint="eastAsia"/>
          <w:color w:val="auto"/>
          <w:sz w:val="24"/>
          <w:szCs w:val="24"/>
          <w:lang w:val="en-US" w:eastAsia="zh-CN"/>
        </w:rPr>
        <w:t xml:space="preserve"> </w:t>
      </w:r>
      <w:r w:rsidRPr="00932A95">
        <w:rPr>
          <w:rFonts w:ascii="Book Antiqua" w:hAnsi="Book Antiqua" w:cs="Book Antiqua"/>
          <w:color w:val="auto"/>
          <w:sz w:val="24"/>
          <w:szCs w:val="24"/>
        </w:rPr>
        <w:t xml:space="preserve">- New Jersey Medical School, Newark, NJ 07101-1709, </w:t>
      </w:r>
      <w:r w:rsidRPr="00932A95">
        <w:rPr>
          <w:rFonts w:ascii="Book Antiqua" w:hAnsi="Book Antiqua" w:cs="Book Antiqua"/>
          <w:color w:val="auto"/>
          <w:sz w:val="24"/>
          <w:szCs w:val="24"/>
          <w:lang w:val="en-US"/>
        </w:rPr>
        <w:t>United States</w:t>
      </w:r>
    </w:p>
    <w:p w14:paraId="3A9560D0" w14:textId="77777777" w:rsidR="0011433B" w:rsidRPr="00932A95" w:rsidRDefault="0011433B" w:rsidP="00374FC0">
      <w:pPr>
        <w:spacing w:line="360" w:lineRule="auto"/>
        <w:jc w:val="both"/>
        <w:rPr>
          <w:rFonts w:ascii="Book Antiqua" w:hAnsi="Book Antiqua" w:cs="Book Antiqua"/>
          <w:color w:val="auto"/>
          <w:sz w:val="24"/>
          <w:szCs w:val="24"/>
        </w:rPr>
      </w:pPr>
    </w:p>
    <w:p w14:paraId="0FAFCBC8" w14:textId="77777777" w:rsidR="0011433B" w:rsidRPr="00932A95" w:rsidRDefault="002F52BB" w:rsidP="00374FC0">
      <w:pPr>
        <w:spacing w:line="360" w:lineRule="auto"/>
        <w:jc w:val="both"/>
        <w:rPr>
          <w:rFonts w:ascii="Book Antiqua" w:hAnsi="Book Antiqua" w:cs="Book Antiqua"/>
          <w:bCs/>
          <w:color w:val="auto"/>
          <w:sz w:val="24"/>
          <w:szCs w:val="24"/>
          <w:lang w:val="en-US"/>
        </w:rPr>
      </w:pPr>
      <w:r w:rsidRPr="00932A95">
        <w:rPr>
          <w:rFonts w:ascii="Book Antiqua" w:hAnsi="Book Antiqua" w:cs="Times New Roman"/>
          <w:b/>
          <w:color w:val="auto"/>
          <w:sz w:val="24"/>
          <w:szCs w:val="24"/>
        </w:rPr>
        <w:t>Author contributions:</w:t>
      </w:r>
      <w:r w:rsidRPr="00932A95">
        <w:rPr>
          <w:rFonts w:ascii="Book Antiqua" w:hAnsi="Book Antiqua" w:cs="Book Antiqua"/>
          <w:color w:val="auto"/>
          <w:sz w:val="24"/>
          <w:szCs w:val="24"/>
          <w:lang w:val="en-US"/>
        </w:rPr>
        <w:t xml:space="preserve"> </w:t>
      </w:r>
      <w:r w:rsidRPr="00932A95">
        <w:rPr>
          <w:rFonts w:ascii="Book Antiqua" w:hAnsi="Book Antiqua" w:cs="Book Antiqua"/>
          <w:bCs/>
          <w:color w:val="auto"/>
          <w:sz w:val="24"/>
          <w:szCs w:val="24"/>
        </w:rPr>
        <w:t>Patel P</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provided conception and design of the study, acquisition and analysis of data, and drafting of the manuscript;</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Rotundo</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L,</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Afridi</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F and</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Orosz E</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drafted the manuscript;</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Pyrsopoulos N</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contributed to the manuscript by providing revision and oversight of its writing</w:t>
      </w:r>
      <w:r w:rsidRPr="00932A95">
        <w:rPr>
          <w:rFonts w:ascii="Book Antiqua" w:hAnsi="Book Antiqua" w:cs="Book Antiqua"/>
          <w:bCs/>
          <w:color w:val="auto"/>
          <w:sz w:val="24"/>
          <w:szCs w:val="24"/>
          <w:lang w:val="en-US"/>
        </w:rPr>
        <w:t>.</w:t>
      </w:r>
    </w:p>
    <w:p w14:paraId="66295E51" w14:textId="77777777" w:rsidR="0011433B" w:rsidRPr="00932A95" w:rsidRDefault="0011433B" w:rsidP="00374FC0">
      <w:pPr>
        <w:spacing w:line="360" w:lineRule="auto"/>
        <w:jc w:val="both"/>
        <w:rPr>
          <w:rFonts w:ascii="Book Antiqua" w:hAnsi="Book Antiqua" w:cs="Book Antiqua"/>
          <w:color w:val="auto"/>
          <w:sz w:val="24"/>
          <w:szCs w:val="24"/>
        </w:rPr>
      </w:pPr>
    </w:p>
    <w:p w14:paraId="5C143F23" w14:textId="67DC62D9"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olor w:val="auto"/>
          <w:sz w:val="24"/>
          <w:szCs w:val="24"/>
        </w:rPr>
        <w:t>Corresponding author:</w:t>
      </w:r>
      <w:r w:rsidRPr="00932A95">
        <w:rPr>
          <w:rFonts w:ascii="Book Antiqua" w:hAnsi="Book Antiqua" w:cs="Book Antiqua"/>
          <w:color w:val="auto"/>
          <w:sz w:val="24"/>
          <w:szCs w:val="24"/>
          <w:lang w:val="en-US"/>
        </w:rPr>
        <w:t xml:space="preserve"> </w:t>
      </w:r>
      <w:r w:rsidRPr="00654EE3">
        <w:rPr>
          <w:rFonts w:ascii="Book Antiqua" w:hAnsi="Book Antiqua" w:cs="Book Antiqua"/>
          <w:b/>
          <w:color w:val="auto"/>
          <w:sz w:val="24"/>
          <w:szCs w:val="24"/>
        </w:rPr>
        <w:t xml:space="preserve">Nikolaos Pyrsopoulos, </w:t>
      </w:r>
      <w:r w:rsidR="00654EE3" w:rsidRPr="00654EE3">
        <w:rPr>
          <w:rFonts w:ascii="Book Antiqua" w:hAnsi="Book Antiqua" w:cs="Book Antiqua"/>
          <w:b/>
          <w:color w:val="auto"/>
          <w:sz w:val="24"/>
          <w:szCs w:val="24"/>
        </w:rPr>
        <w:t xml:space="preserve">FACP, MD, PhD, </w:t>
      </w:r>
      <w:r w:rsidRPr="00654EE3">
        <w:rPr>
          <w:rFonts w:ascii="Book Antiqua" w:hAnsi="Book Antiqua" w:cs="Book Antiqua"/>
          <w:b/>
          <w:color w:val="auto"/>
          <w:sz w:val="24"/>
          <w:szCs w:val="24"/>
        </w:rPr>
        <w:t>Chief</w:t>
      </w:r>
      <w:r w:rsidR="00654EE3" w:rsidRPr="00654EE3">
        <w:rPr>
          <w:rFonts w:ascii="Book Antiqua" w:hAnsi="Book Antiqua" w:cs="Book Antiqua"/>
          <w:b/>
          <w:color w:val="auto"/>
          <w:sz w:val="24"/>
          <w:szCs w:val="24"/>
        </w:rPr>
        <w:t xml:space="preserve"> Doctor, Professor</w:t>
      </w:r>
      <w:r w:rsidRPr="00654EE3">
        <w:rPr>
          <w:rFonts w:ascii="Book Antiqua" w:hAnsi="Book Antiqua" w:cs="Book Antiqua"/>
          <w:b/>
          <w:color w:val="auto"/>
          <w:sz w:val="24"/>
          <w:szCs w:val="24"/>
        </w:rPr>
        <w:t xml:space="preserve">, </w:t>
      </w:r>
      <w:r w:rsidRPr="00752434">
        <w:rPr>
          <w:rFonts w:ascii="Book Antiqua" w:hAnsi="Book Antiqua" w:cs="Book Antiqua"/>
          <w:color w:val="auto"/>
          <w:sz w:val="24"/>
          <w:szCs w:val="24"/>
        </w:rPr>
        <w:t>Division of Gastroenterology and Hepatology</w:t>
      </w:r>
      <w:r w:rsidRPr="00932A95">
        <w:rPr>
          <w:rFonts w:ascii="Book Antiqua" w:hAnsi="Book Antiqua" w:cs="Book Antiqua"/>
          <w:color w:val="auto"/>
          <w:sz w:val="24"/>
          <w:szCs w:val="24"/>
        </w:rPr>
        <w:t xml:space="preserve">, Rutgers – New Jersey Medical School, </w:t>
      </w:r>
      <w:r w:rsidR="00752434" w:rsidRPr="00752434">
        <w:rPr>
          <w:rFonts w:ascii="Book Antiqua" w:hAnsi="Book Antiqua" w:cs="Book Antiqua"/>
          <w:color w:val="auto"/>
          <w:sz w:val="24"/>
          <w:szCs w:val="24"/>
        </w:rPr>
        <w:t>185 S. Orange Avenue, MSB H-535</w:t>
      </w:r>
      <w:r w:rsidR="00752434">
        <w:rPr>
          <w:rFonts w:ascii="Book Antiqua" w:hAnsi="Book Antiqua" w:cs="Book Antiqua"/>
          <w:color w:val="auto"/>
          <w:sz w:val="24"/>
          <w:szCs w:val="24"/>
        </w:rPr>
        <w:t xml:space="preserve">, </w:t>
      </w:r>
      <w:r w:rsidRPr="00932A95">
        <w:rPr>
          <w:rFonts w:ascii="Book Antiqua" w:hAnsi="Book Antiqua" w:cs="Book Antiqua"/>
          <w:color w:val="auto"/>
          <w:sz w:val="24"/>
          <w:szCs w:val="24"/>
        </w:rPr>
        <w:t>Newark</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 xml:space="preserve"> NJ 07101-1709, </w:t>
      </w:r>
      <w:r w:rsidRPr="00932A95">
        <w:rPr>
          <w:rFonts w:ascii="Book Antiqua" w:hAnsi="Book Antiqua" w:cs="Book Antiqua"/>
          <w:color w:val="auto"/>
          <w:sz w:val="24"/>
          <w:szCs w:val="24"/>
          <w:lang w:val="en-US"/>
        </w:rPr>
        <w:t xml:space="preserve">United States. </w:t>
      </w:r>
      <w:r w:rsidRPr="00673A0B">
        <w:rPr>
          <w:rFonts w:ascii="Book Antiqua" w:hAnsi="Book Antiqua" w:cs="Book Antiqua"/>
          <w:sz w:val="24"/>
          <w:szCs w:val="24"/>
        </w:rPr>
        <w:t>pyrsopni@njms.rutgers.edu</w:t>
      </w:r>
    </w:p>
    <w:p w14:paraId="0FC70945" w14:textId="77777777" w:rsidR="0011433B" w:rsidRPr="00932A95" w:rsidRDefault="0011433B" w:rsidP="00374FC0">
      <w:pPr>
        <w:spacing w:line="360" w:lineRule="auto"/>
        <w:jc w:val="both"/>
        <w:rPr>
          <w:rFonts w:ascii="Book Antiqua" w:hAnsi="Book Antiqua" w:cs="Book Antiqua"/>
          <w:b/>
          <w:color w:val="auto"/>
          <w:sz w:val="24"/>
          <w:szCs w:val="24"/>
        </w:rPr>
      </w:pPr>
    </w:p>
    <w:p w14:paraId="61BB5097" w14:textId="77777777" w:rsidR="0011433B" w:rsidRPr="00932A95" w:rsidRDefault="002F52BB" w:rsidP="00374FC0">
      <w:pPr>
        <w:adjustRightInd w:val="0"/>
        <w:snapToGrid w:val="0"/>
        <w:spacing w:line="360" w:lineRule="auto"/>
        <w:jc w:val="both"/>
        <w:rPr>
          <w:rFonts w:ascii="Book Antiqua" w:eastAsia="宋体" w:hAnsi="Book Antiqua" w:cs="Times New Roman"/>
          <w:b/>
          <w:color w:val="auto"/>
          <w:sz w:val="24"/>
          <w:szCs w:val="24"/>
          <w:lang w:val="en-US" w:eastAsia="zh-CN"/>
        </w:rPr>
      </w:pPr>
      <w:r w:rsidRPr="00932A95">
        <w:rPr>
          <w:rFonts w:ascii="Book Antiqua" w:eastAsia="宋体" w:hAnsi="Book Antiqua" w:cs="Times New Roman"/>
          <w:b/>
          <w:color w:val="auto"/>
          <w:sz w:val="24"/>
          <w:szCs w:val="24"/>
          <w:lang w:val="en-US"/>
        </w:rPr>
        <w:lastRenderedPageBreak/>
        <w:t xml:space="preserve">Received: </w:t>
      </w:r>
      <w:r w:rsidRPr="00932A95">
        <w:rPr>
          <w:rFonts w:ascii="Book Antiqua" w:eastAsia="宋体" w:hAnsi="Book Antiqua" w:cs="Times New Roman"/>
          <w:color w:val="auto"/>
          <w:sz w:val="24"/>
          <w:szCs w:val="24"/>
          <w:lang w:val="en-US"/>
        </w:rPr>
        <w:t>January</w:t>
      </w:r>
      <w:r w:rsidRPr="00932A95">
        <w:rPr>
          <w:rFonts w:ascii="Book Antiqua" w:eastAsia="宋体" w:hAnsi="Book Antiqua" w:cs="Times New Roman" w:hint="eastAsia"/>
          <w:color w:val="auto"/>
          <w:sz w:val="24"/>
          <w:szCs w:val="24"/>
          <w:lang w:val="en-US" w:eastAsia="zh-CN"/>
        </w:rPr>
        <w:t xml:space="preserve"> 6</w:t>
      </w:r>
      <w:r w:rsidRPr="00932A95">
        <w:rPr>
          <w:rFonts w:ascii="Book Antiqua" w:eastAsia="宋体" w:hAnsi="Book Antiqua" w:cs="Times New Roman"/>
          <w:color w:val="auto"/>
          <w:sz w:val="24"/>
          <w:szCs w:val="24"/>
          <w:lang w:val="en-US"/>
        </w:rPr>
        <w:t>, 20</w:t>
      </w:r>
      <w:r w:rsidRPr="00932A95">
        <w:rPr>
          <w:rFonts w:ascii="Book Antiqua" w:eastAsia="宋体" w:hAnsi="Book Antiqua" w:cs="Times New Roman" w:hint="eastAsia"/>
          <w:color w:val="auto"/>
          <w:sz w:val="24"/>
          <w:szCs w:val="24"/>
          <w:lang w:val="en-US" w:eastAsia="zh-CN"/>
        </w:rPr>
        <w:t>20</w:t>
      </w:r>
    </w:p>
    <w:p w14:paraId="6A0F975B" w14:textId="77777777" w:rsidR="0011433B" w:rsidRPr="00932A95" w:rsidRDefault="002F52BB" w:rsidP="00374FC0">
      <w:pPr>
        <w:adjustRightInd w:val="0"/>
        <w:snapToGrid w:val="0"/>
        <w:spacing w:line="360" w:lineRule="auto"/>
        <w:jc w:val="both"/>
        <w:rPr>
          <w:rFonts w:ascii="Book Antiqua" w:eastAsia="宋体" w:hAnsi="Book Antiqua" w:cs="Times New Roman"/>
          <w:b/>
          <w:color w:val="auto"/>
          <w:sz w:val="24"/>
          <w:szCs w:val="24"/>
          <w:lang w:val="en-US"/>
        </w:rPr>
      </w:pPr>
      <w:r w:rsidRPr="00932A95">
        <w:rPr>
          <w:rFonts w:ascii="Book Antiqua" w:eastAsia="宋体" w:hAnsi="Book Antiqua" w:cs="Times New Roman"/>
          <w:b/>
          <w:color w:val="auto"/>
          <w:sz w:val="24"/>
          <w:szCs w:val="24"/>
          <w:lang w:val="en-US"/>
        </w:rPr>
        <w:t>Revised:</w:t>
      </w:r>
      <w:r w:rsidRPr="00932A95">
        <w:rPr>
          <w:rFonts w:ascii="Book Antiqua" w:eastAsia="宋体" w:hAnsi="Book Antiqua" w:cs="Times New Roman"/>
          <w:color w:val="auto"/>
          <w:sz w:val="24"/>
          <w:szCs w:val="24"/>
          <w:lang w:val="en-US"/>
        </w:rPr>
        <w:t xml:space="preserve"> </w:t>
      </w:r>
      <w:r w:rsidRPr="00932A95">
        <w:rPr>
          <w:rFonts w:ascii="Book Antiqua" w:eastAsia="宋体" w:hAnsi="Book Antiqua" w:cs="Times New Roman"/>
          <w:bCs/>
          <w:color w:val="auto"/>
          <w:kern w:val="2"/>
          <w:sz w:val="24"/>
          <w:szCs w:val="24"/>
          <w:lang w:val="en-US"/>
        </w:rPr>
        <w:t>April 1</w:t>
      </w:r>
      <w:r w:rsidRPr="00932A95">
        <w:rPr>
          <w:rFonts w:ascii="Book Antiqua" w:eastAsia="宋体" w:hAnsi="Book Antiqua" w:cs="Times New Roman" w:hint="eastAsia"/>
          <w:bCs/>
          <w:color w:val="auto"/>
          <w:kern w:val="2"/>
          <w:sz w:val="24"/>
          <w:szCs w:val="24"/>
          <w:lang w:val="en-US" w:eastAsia="zh-CN"/>
        </w:rPr>
        <w:t>0</w:t>
      </w:r>
      <w:r w:rsidRPr="00932A95">
        <w:rPr>
          <w:rFonts w:ascii="Book Antiqua" w:eastAsia="宋体" w:hAnsi="Book Antiqua" w:cs="Times New Roman"/>
          <w:bCs/>
          <w:color w:val="auto"/>
          <w:kern w:val="2"/>
          <w:sz w:val="24"/>
          <w:szCs w:val="24"/>
          <w:lang w:val="en-US"/>
        </w:rPr>
        <w:t>, 2020</w:t>
      </w:r>
    </w:p>
    <w:p w14:paraId="732E6A7A" w14:textId="521F61D1" w:rsidR="0011433B" w:rsidRPr="00932A95" w:rsidRDefault="002F52BB" w:rsidP="00374FC0">
      <w:pPr>
        <w:adjustRightInd w:val="0"/>
        <w:snapToGrid w:val="0"/>
        <w:spacing w:line="360" w:lineRule="auto"/>
        <w:jc w:val="both"/>
        <w:rPr>
          <w:rFonts w:ascii="Book Antiqua" w:eastAsia="宋体" w:hAnsi="Book Antiqua" w:cs="Times New Roman"/>
          <w:color w:val="auto"/>
          <w:sz w:val="24"/>
          <w:szCs w:val="24"/>
          <w:lang w:val="fr-FR"/>
        </w:rPr>
      </w:pPr>
      <w:r w:rsidRPr="00932A95">
        <w:rPr>
          <w:rFonts w:ascii="Book Antiqua" w:eastAsia="宋体" w:hAnsi="Book Antiqua" w:cs="Times New Roman"/>
          <w:b/>
          <w:color w:val="auto"/>
          <w:sz w:val="24"/>
          <w:szCs w:val="24"/>
          <w:lang w:val="en-US"/>
        </w:rPr>
        <w:t>Accepted:</w:t>
      </w:r>
      <w:bookmarkStart w:id="0" w:name="OLE_LINK52"/>
      <w:bookmarkStart w:id="1" w:name="OLE_LINK53"/>
      <w:r w:rsidRPr="00932A95">
        <w:rPr>
          <w:rFonts w:ascii="Book Antiqua" w:eastAsia="宋体" w:hAnsi="Book Antiqua" w:cs="Times New Roman"/>
          <w:b/>
          <w:color w:val="auto"/>
          <w:kern w:val="2"/>
          <w:sz w:val="24"/>
          <w:szCs w:val="24"/>
          <w:lang w:val="en-US"/>
        </w:rPr>
        <w:t xml:space="preserve"> </w:t>
      </w:r>
      <w:bookmarkEnd w:id="0"/>
      <w:bookmarkEnd w:id="1"/>
      <w:r w:rsidR="001E366C" w:rsidRPr="001E366C">
        <w:rPr>
          <w:rFonts w:ascii="Book Antiqua" w:eastAsia="宋体" w:hAnsi="Book Antiqua" w:cs="Times New Roman"/>
          <w:color w:val="auto"/>
          <w:kern w:val="2"/>
          <w:sz w:val="24"/>
          <w:szCs w:val="24"/>
          <w:lang w:val="en-US"/>
        </w:rPr>
        <w:t>May 14, 2020</w:t>
      </w:r>
    </w:p>
    <w:p w14:paraId="56B7C427" w14:textId="7B1D4634" w:rsidR="0011433B" w:rsidRPr="00932A95" w:rsidRDefault="002F52BB" w:rsidP="00374FC0">
      <w:pPr>
        <w:adjustRightInd w:val="0"/>
        <w:snapToGrid w:val="0"/>
        <w:spacing w:line="360" w:lineRule="auto"/>
        <w:jc w:val="both"/>
        <w:rPr>
          <w:rFonts w:ascii="Book Antiqua" w:eastAsia="宋体" w:hAnsi="Book Antiqua" w:cs="Times New Roman"/>
          <w:b/>
          <w:color w:val="auto"/>
          <w:sz w:val="24"/>
          <w:szCs w:val="24"/>
          <w:lang w:val="en-US"/>
        </w:rPr>
      </w:pPr>
      <w:r w:rsidRPr="00932A95">
        <w:rPr>
          <w:rFonts w:ascii="Book Antiqua" w:eastAsia="宋体" w:hAnsi="Book Antiqua" w:cs="Times New Roman"/>
          <w:b/>
          <w:color w:val="auto"/>
          <w:sz w:val="24"/>
          <w:szCs w:val="24"/>
          <w:lang w:val="en-US"/>
        </w:rPr>
        <w:t>Published online:</w:t>
      </w:r>
      <w:r w:rsidR="00A87FD5" w:rsidRPr="00A87FD5">
        <w:rPr>
          <w:rFonts w:ascii="Book Antiqua" w:eastAsia="宋体" w:hAnsi="Book Antiqua" w:cs="Times New Roman"/>
          <w:color w:val="auto"/>
          <w:sz w:val="24"/>
          <w:szCs w:val="24"/>
          <w:lang w:val="en-US" w:eastAsia="zh-CN"/>
        </w:rPr>
        <w:t xml:space="preserve"> June</w:t>
      </w:r>
      <w:r w:rsidR="00A87FD5" w:rsidRPr="00A87FD5">
        <w:rPr>
          <w:rFonts w:ascii="Book Antiqua" w:eastAsia="宋体" w:hAnsi="Book Antiqua" w:cs="Times New Roman" w:hint="eastAsia"/>
          <w:color w:val="auto"/>
          <w:sz w:val="24"/>
          <w:szCs w:val="24"/>
          <w:lang w:val="en-US" w:eastAsia="zh-CN"/>
        </w:rPr>
        <w:t xml:space="preserve"> 27, 2020</w:t>
      </w:r>
    </w:p>
    <w:p w14:paraId="62ECF37E" w14:textId="77777777" w:rsidR="0011433B" w:rsidRPr="00932A95" w:rsidRDefault="0011433B" w:rsidP="00374FC0">
      <w:pPr>
        <w:autoSpaceDE w:val="0"/>
        <w:autoSpaceDN w:val="0"/>
        <w:adjustRightInd w:val="0"/>
        <w:spacing w:line="360" w:lineRule="auto"/>
        <w:jc w:val="both"/>
        <w:rPr>
          <w:rFonts w:ascii="Book Antiqua" w:hAnsi="Book Antiqua" w:cs="Book Antiqua"/>
          <w:color w:val="auto"/>
          <w:sz w:val="24"/>
          <w:szCs w:val="24"/>
          <w:lang w:val="en-US"/>
        </w:rPr>
      </w:pPr>
    </w:p>
    <w:p w14:paraId="3746151F" w14:textId="77777777" w:rsidR="0011433B" w:rsidRPr="00932A95" w:rsidRDefault="002F52BB" w:rsidP="00374FC0">
      <w:pPr>
        <w:jc w:val="both"/>
        <w:rPr>
          <w:rFonts w:ascii="Book Antiqua" w:hAnsi="Book Antiqua" w:cs="Book Antiqua"/>
          <w:b/>
          <w:color w:val="auto"/>
          <w:sz w:val="24"/>
          <w:szCs w:val="24"/>
        </w:rPr>
      </w:pPr>
      <w:r w:rsidRPr="00932A95">
        <w:rPr>
          <w:rFonts w:ascii="Book Antiqua" w:hAnsi="Book Antiqua" w:cs="Book Antiqua"/>
          <w:b/>
          <w:color w:val="auto"/>
          <w:sz w:val="24"/>
          <w:szCs w:val="24"/>
        </w:rPr>
        <w:br w:type="page"/>
      </w:r>
    </w:p>
    <w:p w14:paraId="16A512C4"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lastRenderedPageBreak/>
        <w:t>Abstract</w:t>
      </w:r>
    </w:p>
    <w:p w14:paraId="55CDAE23"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lang w:val="en-US"/>
        </w:rPr>
        <w:t>BACKGROUND</w:t>
      </w:r>
    </w:p>
    <w:p w14:paraId="4E9E52C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Acute variceal bleeding is a major complication of portal hypertension and is a leading cause of death in patients with cirrhosis.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There is limited data on the outcomes of patients with esophageal variceal bleeding in teaching versus nonteaching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Because esophageal variceal bleeding requires complex management, it may be hypothesized that teaching hospitals have lower mortality.</w:t>
      </w:r>
    </w:p>
    <w:p w14:paraId="2AD96804" w14:textId="77777777" w:rsidR="0011433B" w:rsidRPr="00932A95" w:rsidRDefault="0011433B" w:rsidP="00374FC0">
      <w:pPr>
        <w:spacing w:line="360" w:lineRule="auto"/>
        <w:jc w:val="both"/>
        <w:rPr>
          <w:rFonts w:ascii="Book Antiqua" w:hAnsi="Book Antiqua" w:cs="Book Antiqua"/>
          <w:color w:val="auto"/>
          <w:sz w:val="24"/>
          <w:szCs w:val="24"/>
        </w:rPr>
      </w:pPr>
    </w:p>
    <w:p w14:paraId="71783A3E"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AIM</w:t>
      </w:r>
    </w:p>
    <w:p w14:paraId="2C5F3FB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To assess the differences in mortality, hospital length of stay (LOS) and cost of admission for patients admitted for variceal bleed in teaching versus nonteaching hospitals across the US.</w:t>
      </w:r>
    </w:p>
    <w:p w14:paraId="5D1CAF4A" w14:textId="77777777" w:rsidR="0011433B" w:rsidRPr="00932A95" w:rsidRDefault="0011433B" w:rsidP="00374FC0">
      <w:pPr>
        <w:spacing w:line="360" w:lineRule="auto"/>
        <w:jc w:val="both"/>
        <w:rPr>
          <w:rFonts w:ascii="Book Antiqua" w:hAnsi="Book Antiqua" w:cs="Book Antiqua"/>
          <w:color w:val="auto"/>
          <w:sz w:val="24"/>
          <w:szCs w:val="24"/>
        </w:rPr>
      </w:pPr>
    </w:p>
    <w:p w14:paraId="307D993A"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METHODS</w:t>
      </w:r>
    </w:p>
    <w:p w14:paraId="5D6C1CC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The National Inpatient Sample</w:t>
      </w:r>
      <w:r w:rsidR="003E45BB" w:rsidRPr="00932A95">
        <w:rPr>
          <w:rFonts w:ascii="Book Antiqua" w:hAnsi="Book Antiqua" w:cs="Book Antiqua"/>
          <w:color w:val="auto"/>
          <w:sz w:val="24"/>
          <w:szCs w:val="24"/>
        </w:rPr>
        <w:t xml:space="preserve"> </w:t>
      </w:r>
      <w:r w:rsidRPr="00932A95">
        <w:rPr>
          <w:rFonts w:ascii="Book Antiqua" w:hAnsi="Book Antiqua" w:cs="Book Antiqua"/>
          <w:color w:val="auto"/>
          <w:sz w:val="24"/>
          <w:szCs w:val="24"/>
        </w:rPr>
        <w:t>is the largest all-payer inpatient database consisting of approximately 20% of all inpatient admissions to nonfederal hospitals in the United States. We collected data from the years 2008 to 2014. Cases of variceal bleeding were identified using the International Classification of Diseases, Ninth Edition, Clinical Modification codes. Differences in mortality, LOS and cost were evaluated for patients with esophageal variceal bleed between teaching and nonteaching hospitals and adjusted for patient characteristics and comorbidities.</w:t>
      </w:r>
    </w:p>
    <w:p w14:paraId="179844C0" w14:textId="77777777" w:rsidR="0011433B" w:rsidRPr="00932A95" w:rsidRDefault="0011433B" w:rsidP="00374FC0">
      <w:pPr>
        <w:spacing w:line="360" w:lineRule="auto"/>
        <w:jc w:val="both"/>
        <w:rPr>
          <w:rFonts w:ascii="Book Antiqua" w:hAnsi="Book Antiqua" w:cs="Book Antiqua"/>
          <w:color w:val="auto"/>
          <w:sz w:val="24"/>
          <w:szCs w:val="24"/>
        </w:rPr>
      </w:pPr>
    </w:p>
    <w:p w14:paraId="47924068"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RESULTS</w:t>
      </w:r>
    </w:p>
    <w:p w14:paraId="50BDBAA2"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color w:val="auto"/>
          <w:sz w:val="24"/>
          <w:szCs w:val="24"/>
        </w:rPr>
        <w:t>Betwe</w:t>
      </w:r>
      <w:r w:rsidR="00D05A4C" w:rsidRPr="00932A95">
        <w:rPr>
          <w:rFonts w:ascii="Book Antiqua" w:hAnsi="Book Antiqua" w:cs="Book Antiqua"/>
          <w:color w:val="auto"/>
          <w:sz w:val="24"/>
          <w:szCs w:val="24"/>
        </w:rPr>
        <w:t>en 2008 and 2014, there were 58</w:t>
      </w:r>
      <w:r w:rsidRPr="00932A95">
        <w:rPr>
          <w:rFonts w:ascii="Book Antiqua" w:hAnsi="Book Antiqua" w:cs="Book Antiqua"/>
          <w:color w:val="auto"/>
          <w:sz w:val="24"/>
          <w:szCs w:val="24"/>
        </w:rPr>
        <w:t xml:space="preserve">362 cases of esophageal variceal bleeding identified. Compared with teaching hospitals, mortality was lower in non-teaching hospitals (8.0%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5.3%,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Median LOS was shorter in nonteaching hospitals as compared to teaching hospitals (4 </w:t>
      </w:r>
      <w:r w:rsidR="00D05A4C" w:rsidRPr="00932A95">
        <w:rPr>
          <w:rFonts w:ascii="Book Antiqua" w:hAnsi="Book Antiqua" w:cs="Book Antiqua"/>
          <w:color w:val="auto"/>
          <w:sz w:val="24"/>
          <w:szCs w:val="24"/>
          <w:lang w:val="en-US"/>
        </w:rPr>
        <w:t>d</w:t>
      </w:r>
      <w:r w:rsidR="00D05A4C" w:rsidRPr="00932A95">
        <w:rPr>
          <w:rFonts w:ascii="Book Antiqua" w:hAnsi="Book Antiqua" w:cs="Book Antiqua"/>
          <w:i/>
          <w:iCs/>
          <w:color w:val="auto"/>
          <w:sz w:val="24"/>
          <w:szCs w:val="24"/>
          <w:lang w:val="en-US"/>
        </w:rPr>
        <w:t xml:space="preserve">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A </w:t>
      </w:r>
      <w:r w:rsidRPr="00932A95">
        <w:rPr>
          <w:rFonts w:ascii="Book Antiqua" w:hAnsi="Book Antiqua" w:cs="Book Antiqua"/>
          <w:color w:val="auto"/>
          <w:sz w:val="24"/>
          <w:szCs w:val="24"/>
        </w:rPr>
        <w:lastRenderedPageBreak/>
        <w:t xml:space="preserve">higher proportion of non-white patients were managed in teaching hospitals. As far as procedures in nonteaching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teaching hospitals, portosystemic shunt insertion (3.1%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6.9%,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and balloon tamponade (0.6%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1.2%) were done more often in teaching hospitals while blood transfusions (64.2%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59.9%,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0.001) were given more in nonteaching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Using binary logistic regression models and adjusting for baseline patient demographics and comorbid conditions the mortality, LOS and cost in teaching hospitals remained higher.</w:t>
      </w:r>
    </w:p>
    <w:p w14:paraId="19ADC56D" w14:textId="77777777" w:rsidR="0011433B" w:rsidRPr="00932A95" w:rsidRDefault="0011433B" w:rsidP="00374FC0">
      <w:pPr>
        <w:spacing w:line="360" w:lineRule="auto"/>
        <w:jc w:val="both"/>
        <w:outlineLvl w:val="0"/>
        <w:rPr>
          <w:rFonts w:ascii="Book Antiqua" w:hAnsi="Book Antiqua" w:cs="Times New Roman"/>
          <w:color w:val="auto"/>
          <w:sz w:val="24"/>
          <w:szCs w:val="24"/>
        </w:rPr>
      </w:pPr>
    </w:p>
    <w:p w14:paraId="3A7BA1A4"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CONCLUSION</w:t>
      </w:r>
    </w:p>
    <w:p w14:paraId="33F4EF83" w14:textId="77777777" w:rsidR="0011433B" w:rsidRPr="00932A95"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color w:val="auto"/>
          <w:sz w:val="24"/>
          <w:szCs w:val="24"/>
        </w:rPr>
        <w:t>In patients admitted for esophageal variceal bleeding, mortality, length of stay and cost were higher in teaching hospitals versus nonteaching hospitals when controlling for other confounding factors.</w:t>
      </w:r>
      <w:r w:rsidRPr="00932A95">
        <w:rPr>
          <w:rFonts w:ascii="Book Antiqua" w:hAnsi="Book Antiqua" w:cs="Book Antiqua"/>
          <w:color w:val="auto"/>
          <w:sz w:val="24"/>
          <w:szCs w:val="24"/>
          <w:lang w:val="en-US"/>
        </w:rPr>
        <w:t xml:space="preserve"> </w:t>
      </w:r>
    </w:p>
    <w:p w14:paraId="569553B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 </w:t>
      </w:r>
    </w:p>
    <w:p w14:paraId="39BABA7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olor w:val="auto"/>
          <w:sz w:val="24"/>
          <w:szCs w:val="24"/>
        </w:rPr>
        <w:t>Key words</w:t>
      </w:r>
      <w:r w:rsidRPr="00932A95">
        <w:rPr>
          <w:rFonts w:ascii="Book Antiqua" w:hAnsi="Book Antiqua" w:cs="Times New Roman"/>
          <w:b/>
          <w:bCs/>
          <w:color w:val="auto"/>
          <w:sz w:val="24"/>
          <w:szCs w:val="24"/>
        </w:rPr>
        <w:t>:</w:t>
      </w:r>
      <w:r w:rsidRPr="00932A95">
        <w:rPr>
          <w:rFonts w:ascii="Book Antiqua" w:hAnsi="Book Antiqua" w:cs="Book Antiqua"/>
          <w:color w:val="auto"/>
          <w:sz w:val="24"/>
          <w:szCs w:val="24"/>
        </w:rPr>
        <w:t xml:space="preserve"> Variceal bleeding; Teaching hospital; Mortality; </w:t>
      </w:r>
      <w:r w:rsidR="008602EB" w:rsidRPr="00932A95">
        <w:rPr>
          <w:rFonts w:ascii="Book Antiqua" w:hAnsi="Book Antiqua" w:cs="Book Antiqua"/>
          <w:color w:val="auto"/>
          <w:sz w:val="24"/>
          <w:szCs w:val="24"/>
        </w:rPr>
        <w:t>National Inpatient Sample</w:t>
      </w:r>
      <w:r w:rsidRPr="00932A95">
        <w:rPr>
          <w:rFonts w:ascii="Book Antiqua" w:hAnsi="Book Antiqua" w:cs="Book Antiqua"/>
          <w:color w:val="auto"/>
          <w:sz w:val="24"/>
          <w:szCs w:val="24"/>
        </w:rPr>
        <w:t>; Length of stay; Bleeding; Cirrhosis</w:t>
      </w:r>
    </w:p>
    <w:p w14:paraId="4B8FB57A" w14:textId="77777777" w:rsidR="0011433B" w:rsidRPr="00932A95" w:rsidRDefault="0011433B" w:rsidP="00374FC0">
      <w:pPr>
        <w:spacing w:line="360" w:lineRule="auto"/>
        <w:jc w:val="both"/>
        <w:rPr>
          <w:rFonts w:ascii="Book Antiqua" w:hAnsi="Book Antiqua" w:cs="Book Antiqua"/>
          <w:color w:val="auto"/>
          <w:sz w:val="24"/>
          <w:szCs w:val="24"/>
        </w:rPr>
      </w:pPr>
    </w:p>
    <w:p w14:paraId="34C2AA51" w14:textId="42F6925B" w:rsidR="00673A0B" w:rsidRDefault="002F52BB" w:rsidP="00374FC0">
      <w:pPr>
        <w:pStyle w:val="a4"/>
        <w:spacing w:line="360" w:lineRule="auto"/>
        <w:jc w:val="both"/>
        <w:outlineLvl w:val="0"/>
        <w:rPr>
          <w:rFonts w:ascii="Book Antiqua" w:eastAsia="宋体" w:hAnsi="Book Antiqua" w:hint="eastAsia"/>
          <w:iCs/>
          <w:sz w:val="24"/>
          <w:szCs w:val="24"/>
          <w:lang w:val="el-GR" w:eastAsia="zh-CN"/>
        </w:rPr>
      </w:pPr>
      <w:r w:rsidRPr="00932A95">
        <w:rPr>
          <w:rFonts w:ascii="Book Antiqua" w:hAnsi="Book Antiqua" w:cs="Book Antiqua"/>
          <w:bCs/>
          <w:sz w:val="24"/>
          <w:szCs w:val="24"/>
        </w:rPr>
        <w:t xml:space="preserve">Patel P, Rotundo L, Afridi F, Orosz E, Pyrosopoulos N. </w:t>
      </w:r>
      <w:r w:rsidRPr="00932A95">
        <w:rPr>
          <w:rFonts w:ascii="Book Antiqua" w:eastAsia="Arial" w:hAnsi="Book Antiqua" w:cs="Book Antiqua"/>
          <w:bCs/>
          <w:sz w:val="24"/>
          <w:szCs w:val="24"/>
          <w:lang w:val="en"/>
        </w:rPr>
        <w:t>Hospital teaching status on the outcomes of patients with esophageal variceal bleeding in the U</w:t>
      </w:r>
      <w:r w:rsidR="009B5C77" w:rsidRPr="00932A95">
        <w:rPr>
          <w:rFonts w:ascii="Book Antiqua" w:eastAsia="Arial" w:hAnsi="Book Antiqua" w:cs="Book Antiqua"/>
          <w:bCs/>
          <w:sz w:val="24"/>
          <w:szCs w:val="24"/>
          <w:lang w:val="en"/>
        </w:rPr>
        <w:t xml:space="preserve">nited </w:t>
      </w:r>
      <w:r w:rsidRPr="00932A95">
        <w:rPr>
          <w:rFonts w:ascii="Book Antiqua" w:eastAsia="Arial" w:hAnsi="Book Antiqua" w:cs="Book Antiqua"/>
          <w:bCs/>
          <w:sz w:val="24"/>
          <w:szCs w:val="24"/>
          <w:lang w:val="en"/>
        </w:rPr>
        <w:t>S</w:t>
      </w:r>
      <w:r w:rsidR="009B5C77" w:rsidRPr="00932A95">
        <w:rPr>
          <w:rFonts w:ascii="Book Antiqua" w:eastAsia="Arial" w:hAnsi="Book Antiqua" w:cs="Book Antiqua"/>
          <w:bCs/>
          <w:sz w:val="24"/>
          <w:szCs w:val="24"/>
          <w:lang w:val="en"/>
        </w:rPr>
        <w:t>tates</w:t>
      </w:r>
      <w:r w:rsidRPr="00932A95">
        <w:rPr>
          <w:rFonts w:ascii="Book Antiqua" w:eastAsia="Arial" w:hAnsi="Book Antiqua" w:cs="Book Antiqua"/>
          <w:bCs/>
          <w:sz w:val="24"/>
          <w:szCs w:val="24"/>
          <w:lang w:val="en"/>
        </w:rPr>
        <w:t>.</w:t>
      </w:r>
      <w:r w:rsidRPr="00932A95">
        <w:rPr>
          <w:rFonts w:ascii="Book Antiqua" w:eastAsia="Arial" w:hAnsi="Book Antiqua" w:cs="Book Antiqua"/>
          <w:bCs/>
          <w:sz w:val="24"/>
          <w:szCs w:val="24"/>
        </w:rPr>
        <w:t xml:space="preserve"> </w:t>
      </w:r>
      <w:r w:rsidRPr="00932A95">
        <w:rPr>
          <w:rFonts w:ascii="Book Antiqua" w:eastAsia="Arial" w:hAnsi="Book Antiqua" w:cs="Book Antiqua"/>
          <w:bCs/>
          <w:i/>
          <w:iCs/>
          <w:sz w:val="24"/>
          <w:szCs w:val="24"/>
        </w:rPr>
        <w:t>World J Hepatol</w:t>
      </w:r>
      <w:r w:rsidRPr="00932A95">
        <w:rPr>
          <w:rFonts w:ascii="Book Antiqua" w:eastAsia="Arial" w:hAnsi="Book Antiqua" w:cs="Book Antiqua"/>
          <w:bCs/>
          <w:sz w:val="24"/>
          <w:szCs w:val="24"/>
        </w:rPr>
        <w:t xml:space="preserve"> </w:t>
      </w:r>
      <w:r w:rsidRPr="00932A95">
        <w:rPr>
          <w:rFonts w:ascii="Book Antiqua" w:eastAsia="宋体" w:hAnsi="Book Antiqua"/>
          <w:bCs/>
          <w:sz w:val="24"/>
          <w:szCs w:val="24"/>
        </w:rPr>
        <w:t xml:space="preserve">2020; </w:t>
      </w:r>
      <w:r w:rsidR="00BB0A70" w:rsidRPr="00BB0A70">
        <w:rPr>
          <w:rFonts w:ascii="Book Antiqua" w:eastAsia="宋体" w:hAnsi="Book Antiqua" w:hint="eastAsia"/>
          <w:iCs/>
          <w:sz w:val="24"/>
          <w:szCs w:val="24"/>
          <w:lang w:val="el-GR" w:eastAsia="zh-CN"/>
        </w:rPr>
        <w:t>12</w:t>
      </w:r>
      <w:r w:rsidR="00BB0A70" w:rsidRPr="00BB0A70">
        <w:rPr>
          <w:rFonts w:ascii="Book Antiqua" w:eastAsia="宋体" w:hAnsi="Book Antiqua"/>
          <w:iCs/>
          <w:sz w:val="24"/>
          <w:szCs w:val="24"/>
          <w:lang w:val="el-GR" w:eastAsia="zh-CN"/>
        </w:rPr>
        <w:t>(</w:t>
      </w:r>
      <w:r w:rsidR="00BB0A70" w:rsidRPr="00BB0A70">
        <w:rPr>
          <w:rFonts w:ascii="Book Antiqua" w:eastAsia="宋体" w:hAnsi="Book Antiqua" w:hint="eastAsia"/>
          <w:iCs/>
          <w:sz w:val="24"/>
          <w:szCs w:val="24"/>
          <w:lang w:val="el-GR" w:eastAsia="zh-CN"/>
        </w:rPr>
        <w:t>6</w:t>
      </w:r>
      <w:r w:rsidR="00BB0A70" w:rsidRPr="00BB0A70">
        <w:rPr>
          <w:rFonts w:ascii="Book Antiqua" w:eastAsia="宋体" w:hAnsi="Book Antiqua"/>
          <w:iCs/>
          <w:sz w:val="24"/>
          <w:szCs w:val="24"/>
          <w:lang w:val="el-GR" w:eastAsia="zh-CN"/>
        </w:rPr>
        <w:t xml:space="preserve">): </w:t>
      </w:r>
      <w:r w:rsidR="00A80185">
        <w:rPr>
          <w:rFonts w:ascii="Book Antiqua" w:eastAsia="宋体" w:hAnsi="Book Antiqua" w:hint="eastAsia"/>
          <w:iCs/>
          <w:sz w:val="24"/>
          <w:szCs w:val="24"/>
          <w:lang w:val="el-GR" w:eastAsia="zh-CN"/>
        </w:rPr>
        <w:t>288</w:t>
      </w:r>
      <w:r w:rsidR="00BB0A70" w:rsidRPr="00BB0A70">
        <w:rPr>
          <w:rFonts w:ascii="Book Antiqua" w:eastAsia="宋体" w:hAnsi="Book Antiqua"/>
          <w:iCs/>
          <w:sz w:val="24"/>
          <w:szCs w:val="24"/>
          <w:lang w:val="el-GR" w:eastAsia="zh-CN"/>
        </w:rPr>
        <w:t>-</w:t>
      </w:r>
      <w:r w:rsidR="00A80185">
        <w:rPr>
          <w:rFonts w:ascii="Book Antiqua" w:eastAsia="宋体" w:hAnsi="Book Antiqua" w:hint="eastAsia"/>
          <w:iCs/>
          <w:sz w:val="24"/>
          <w:szCs w:val="24"/>
          <w:lang w:val="el-GR" w:eastAsia="zh-CN"/>
        </w:rPr>
        <w:t>297</w:t>
      </w:r>
    </w:p>
    <w:p w14:paraId="28E9CBBA" w14:textId="13EDD965" w:rsidR="00673A0B" w:rsidRDefault="00BB0A70" w:rsidP="00374FC0">
      <w:pPr>
        <w:pStyle w:val="a4"/>
        <w:spacing w:line="360" w:lineRule="auto"/>
        <w:jc w:val="both"/>
        <w:outlineLvl w:val="0"/>
        <w:rPr>
          <w:rFonts w:ascii="Book Antiqua" w:eastAsia="宋体" w:hAnsi="Book Antiqua" w:hint="eastAsia"/>
          <w:iCs/>
          <w:sz w:val="24"/>
          <w:szCs w:val="24"/>
          <w:lang w:val="el-GR" w:eastAsia="zh-CN"/>
        </w:rPr>
      </w:pPr>
      <w:r w:rsidRPr="00BB0A70">
        <w:rPr>
          <w:rFonts w:ascii="Book Antiqua" w:eastAsia="宋体" w:hAnsi="Book Antiqua"/>
          <w:iCs/>
          <w:sz w:val="24"/>
          <w:szCs w:val="24"/>
          <w:lang w:val="el-GR" w:eastAsia="zh-CN"/>
        </w:rPr>
        <w:t xml:space="preserve">URL: </w:t>
      </w:r>
      <w:r w:rsidR="00673A0B" w:rsidRPr="00673A0B">
        <w:rPr>
          <w:rFonts w:ascii="Book Antiqua" w:eastAsia="宋体" w:hAnsi="Book Antiqua"/>
          <w:iCs/>
          <w:sz w:val="24"/>
          <w:szCs w:val="24"/>
          <w:lang w:val="el-GR" w:eastAsia="zh-CN"/>
        </w:rPr>
        <w:t>https://www.wjgnet.com/</w:t>
      </w:r>
      <w:r w:rsidR="00673A0B" w:rsidRPr="00673A0B">
        <w:rPr>
          <w:rFonts w:ascii="Book Antiqua" w:eastAsia="宋体" w:hAnsi="Book Antiqua" w:hint="eastAsia"/>
          <w:iCs/>
          <w:sz w:val="24"/>
          <w:szCs w:val="24"/>
          <w:lang w:val="el-GR" w:eastAsia="zh-CN"/>
        </w:rPr>
        <w:t>1948</w:t>
      </w:r>
      <w:r w:rsidR="00673A0B" w:rsidRPr="00673A0B">
        <w:rPr>
          <w:rFonts w:ascii="Book Antiqua" w:eastAsia="宋体" w:hAnsi="Book Antiqua"/>
          <w:iCs/>
          <w:sz w:val="24"/>
          <w:szCs w:val="24"/>
          <w:lang w:val="el-GR" w:eastAsia="zh-CN"/>
        </w:rPr>
        <w:t>-</w:t>
      </w:r>
      <w:r w:rsidR="00673A0B" w:rsidRPr="00673A0B">
        <w:rPr>
          <w:rFonts w:ascii="Book Antiqua" w:eastAsia="宋体" w:hAnsi="Book Antiqua" w:hint="eastAsia"/>
          <w:iCs/>
          <w:sz w:val="24"/>
          <w:szCs w:val="24"/>
          <w:lang w:val="el-GR" w:eastAsia="zh-CN"/>
        </w:rPr>
        <w:t>5182</w:t>
      </w:r>
      <w:r w:rsidR="00673A0B" w:rsidRPr="00673A0B">
        <w:rPr>
          <w:rFonts w:ascii="Book Antiqua" w:eastAsia="宋体" w:hAnsi="Book Antiqua"/>
          <w:iCs/>
          <w:sz w:val="24"/>
          <w:szCs w:val="24"/>
          <w:lang w:val="el-GR" w:eastAsia="zh-CN"/>
        </w:rPr>
        <w:t>/full/v</w:t>
      </w:r>
      <w:r w:rsidR="00673A0B" w:rsidRPr="00673A0B">
        <w:rPr>
          <w:rFonts w:ascii="Book Antiqua" w:eastAsia="宋体" w:hAnsi="Book Antiqua" w:hint="eastAsia"/>
          <w:iCs/>
          <w:sz w:val="24"/>
          <w:szCs w:val="24"/>
          <w:lang w:val="el-GR" w:eastAsia="zh-CN"/>
        </w:rPr>
        <w:t>12</w:t>
      </w:r>
      <w:r w:rsidR="00673A0B" w:rsidRPr="00673A0B">
        <w:rPr>
          <w:rFonts w:ascii="Book Antiqua" w:eastAsia="宋体" w:hAnsi="Book Antiqua"/>
          <w:iCs/>
          <w:sz w:val="24"/>
          <w:szCs w:val="24"/>
          <w:lang w:val="el-GR" w:eastAsia="zh-CN"/>
        </w:rPr>
        <w:t>/i</w:t>
      </w:r>
      <w:r w:rsidR="00673A0B" w:rsidRPr="00673A0B">
        <w:rPr>
          <w:rFonts w:ascii="Book Antiqua" w:eastAsia="宋体" w:hAnsi="Book Antiqua" w:hint="eastAsia"/>
          <w:iCs/>
          <w:sz w:val="24"/>
          <w:szCs w:val="24"/>
          <w:lang w:val="el-GR" w:eastAsia="zh-CN"/>
        </w:rPr>
        <w:t>6</w:t>
      </w:r>
      <w:r w:rsidR="00673A0B" w:rsidRPr="00673A0B">
        <w:rPr>
          <w:rFonts w:ascii="Book Antiqua" w:eastAsia="宋体" w:hAnsi="Book Antiqua"/>
          <w:iCs/>
          <w:sz w:val="24"/>
          <w:szCs w:val="24"/>
          <w:lang w:val="el-GR" w:eastAsia="zh-CN"/>
        </w:rPr>
        <w:t>/</w:t>
      </w:r>
      <w:r w:rsidR="00A80185">
        <w:rPr>
          <w:rFonts w:ascii="Book Antiqua" w:eastAsia="宋体" w:hAnsi="Book Antiqua" w:hint="eastAsia"/>
          <w:iCs/>
          <w:sz w:val="24"/>
          <w:szCs w:val="24"/>
          <w:lang w:val="el-GR" w:eastAsia="zh-CN"/>
        </w:rPr>
        <w:t>288</w:t>
      </w:r>
      <w:r w:rsidR="00673A0B" w:rsidRPr="00673A0B">
        <w:rPr>
          <w:rFonts w:ascii="Book Antiqua" w:eastAsia="宋体" w:hAnsi="Book Antiqua"/>
          <w:iCs/>
          <w:sz w:val="24"/>
          <w:szCs w:val="24"/>
          <w:lang w:val="el-GR" w:eastAsia="zh-CN"/>
        </w:rPr>
        <w:t>.htm</w:t>
      </w:r>
    </w:p>
    <w:p w14:paraId="6331F225" w14:textId="60D3F531" w:rsidR="0011433B" w:rsidRPr="00932A95" w:rsidRDefault="00BB0A70" w:rsidP="00374FC0">
      <w:pPr>
        <w:pStyle w:val="a4"/>
        <w:spacing w:line="360" w:lineRule="auto"/>
        <w:jc w:val="both"/>
        <w:outlineLvl w:val="0"/>
        <w:rPr>
          <w:rFonts w:ascii="Book Antiqua" w:eastAsia="Arial" w:hAnsi="Book Antiqua" w:cs="Book Antiqua"/>
          <w:bCs/>
          <w:sz w:val="24"/>
          <w:szCs w:val="24"/>
        </w:rPr>
      </w:pPr>
      <w:r w:rsidRPr="00BB0A70">
        <w:rPr>
          <w:rFonts w:ascii="Book Antiqua" w:eastAsia="宋体" w:hAnsi="Book Antiqua"/>
          <w:iCs/>
          <w:sz w:val="24"/>
          <w:szCs w:val="24"/>
          <w:lang w:val="el-GR" w:eastAsia="zh-CN"/>
        </w:rPr>
        <w:t>DOI: https://dx.doi.org/10.</w:t>
      </w:r>
      <w:r w:rsidRPr="00BB0A70">
        <w:rPr>
          <w:rFonts w:ascii="Book Antiqua" w:eastAsia="宋体" w:hAnsi="Book Antiqua" w:hint="eastAsia"/>
          <w:iCs/>
          <w:sz w:val="24"/>
          <w:szCs w:val="24"/>
          <w:lang w:val="el-GR" w:eastAsia="zh-CN"/>
        </w:rPr>
        <w:t>4254</w:t>
      </w:r>
      <w:r w:rsidRPr="00BB0A70">
        <w:rPr>
          <w:rFonts w:ascii="Book Antiqua" w:eastAsia="宋体" w:hAnsi="Book Antiqua"/>
          <w:iCs/>
          <w:sz w:val="24"/>
          <w:szCs w:val="24"/>
          <w:lang w:val="el-GR" w:eastAsia="zh-CN"/>
        </w:rPr>
        <w:t>/wj</w:t>
      </w:r>
      <w:r w:rsidRPr="00BB0A70">
        <w:rPr>
          <w:rFonts w:ascii="Book Antiqua" w:eastAsia="宋体" w:hAnsi="Book Antiqua" w:hint="eastAsia"/>
          <w:iCs/>
          <w:sz w:val="24"/>
          <w:szCs w:val="24"/>
          <w:lang w:val="el-GR" w:eastAsia="zh-CN"/>
        </w:rPr>
        <w:t>h</w:t>
      </w:r>
      <w:r w:rsidRPr="00BB0A70">
        <w:rPr>
          <w:rFonts w:ascii="Book Antiqua" w:eastAsia="宋体" w:hAnsi="Book Antiqua"/>
          <w:iCs/>
          <w:sz w:val="24"/>
          <w:szCs w:val="24"/>
          <w:lang w:val="el-GR" w:eastAsia="zh-CN"/>
        </w:rPr>
        <w:t>.v</w:t>
      </w:r>
      <w:r w:rsidRPr="00BB0A70">
        <w:rPr>
          <w:rFonts w:ascii="Book Antiqua" w:eastAsia="宋体" w:hAnsi="Book Antiqua" w:hint="eastAsia"/>
          <w:iCs/>
          <w:sz w:val="24"/>
          <w:szCs w:val="24"/>
          <w:lang w:val="el-GR" w:eastAsia="zh-CN"/>
        </w:rPr>
        <w:t>12</w:t>
      </w:r>
      <w:r w:rsidRPr="00BB0A70">
        <w:rPr>
          <w:rFonts w:ascii="Book Antiqua" w:eastAsia="宋体" w:hAnsi="Book Antiqua"/>
          <w:iCs/>
          <w:sz w:val="24"/>
          <w:szCs w:val="24"/>
          <w:lang w:val="el-GR" w:eastAsia="zh-CN"/>
        </w:rPr>
        <w:t>.i</w:t>
      </w:r>
      <w:r w:rsidRPr="00BB0A70">
        <w:rPr>
          <w:rFonts w:ascii="Book Antiqua" w:eastAsia="宋体" w:hAnsi="Book Antiqua" w:hint="eastAsia"/>
          <w:iCs/>
          <w:sz w:val="24"/>
          <w:szCs w:val="24"/>
          <w:lang w:val="el-GR" w:eastAsia="zh-CN"/>
        </w:rPr>
        <w:t>6</w:t>
      </w:r>
      <w:r w:rsidRPr="00BB0A70">
        <w:rPr>
          <w:rFonts w:ascii="Book Antiqua" w:eastAsia="宋体" w:hAnsi="Book Antiqua"/>
          <w:iCs/>
          <w:sz w:val="24"/>
          <w:szCs w:val="24"/>
          <w:lang w:val="el-GR" w:eastAsia="zh-CN"/>
        </w:rPr>
        <w:t>.</w:t>
      </w:r>
      <w:r w:rsidR="00A80185">
        <w:rPr>
          <w:rFonts w:ascii="Book Antiqua" w:eastAsia="宋体" w:hAnsi="Book Antiqua" w:hint="eastAsia"/>
          <w:iCs/>
          <w:sz w:val="24"/>
          <w:szCs w:val="24"/>
          <w:lang w:val="el-GR" w:eastAsia="zh-CN"/>
        </w:rPr>
        <w:t>288</w:t>
      </w:r>
      <w:bookmarkStart w:id="2" w:name="_GoBack"/>
      <w:bookmarkEnd w:id="2"/>
    </w:p>
    <w:p w14:paraId="0E2353B4" w14:textId="77777777" w:rsidR="0011433B" w:rsidRPr="00932A95" w:rsidRDefault="0011433B" w:rsidP="00374FC0">
      <w:pPr>
        <w:spacing w:line="360" w:lineRule="auto"/>
        <w:jc w:val="both"/>
        <w:rPr>
          <w:rFonts w:ascii="Book Antiqua" w:eastAsia="宋体" w:hAnsi="Book Antiqua" w:cs="Book Antiqua"/>
          <w:color w:val="auto"/>
          <w:sz w:val="24"/>
          <w:szCs w:val="24"/>
          <w:lang w:eastAsia="zh-CN"/>
        </w:rPr>
      </w:pPr>
    </w:p>
    <w:p w14:paraId="7C4EE73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olor w:val="auto"/>
          <w:sz w:val="24"/>
          <w:szCs w:val="24"/>
        </w:rPr>
        <w:t>Core tip</w:t>
      </w:r>
      <w:r w:rsidRPr="00932A95">
        <w:rPr>
          <w:rFonts w:ascii="Book Antiqua" w:hAnsi="Book Antiqua" w:cs="Book Antiqua"/>
          <w:b/>
          <w:color w:val="auto"/>
          <w:sz w:val="24"/>
          <w:szCs w:val="24"/>
        </w:rPr>
        <w:t>:</w:t>
      </w:r>
      <w:r w:rsidRPr="00932A95">
        <w:rPr>
          <w:rFonts w:ascii="Book Antiqua" w:hAnsi="Book Antiqua" w:cs="Book Antiqua"/>
          <w:color w:val="auto"/>
          <w:sz w:val="24"/>
          <w:szCs w:val="24"/>
        </w:rPr>
        <w:t xml:space="preserve"> This study assesses the outcomes of patients that present to the hospital with variceal bleeding amongst teaching and non-teaching hospitals. Patients that were managed at teaching facilities had higher mortality, length of stay and cost of hospitalization when compared to those at non-teaching facilities.</w:t>
      </w:r>
    </w:p>
    <w:p w14:paraId="7A085BF3" w14:textId="77777777" w:rsidR="0011433B" w:rsidRPr="00932A95" w:rsidRDefault="0011433B" w:rsidP="00374FC0">
      <w:pPr>
        <w:spacing w:line="360" w:lineRule="auto"/>
        <w:jc w:val="both"/>
        <w:rPr>
          <w:rFonts w:ascii="Book Antiqua" w:hAnsi="Book Antiqua" w:cs="Book Antiqua"/>
          <w:color w:val="auto"/>
          <w:sz w:val="24"/>
          <w:szCs w:val="24"/>
        </w:rPr>
      </w:pPr>
    </w:p>
    <w:p w14:paraId="2DBC83F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341FA353"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b/>
          <w:caps/>
          <w:color w:val="auto"/>
          <w:sz w:val="24"/>
          <w:szCs w:val="24"/>
          <w:u w:val="single"/>
        </w:rPr>
        <w:lastRenderedPageBreak/>
        <w:t>Introduction</w:t>
      </w:r>
    </w:p>
    <w:p w14:paraId="3CC98603" w14:textId="575C2353" w:rsidR="0011433B" w:rsidRPr="00932A95" w:rsidRDefault="002F52BB" w:rsidP="00374FC0">
      <w:pPr>
        <w:spacing w:line="360" w:lineRule="auto"/>
        <w:jc w:val="both"/>
        <w:rPr>
          <w:rFonts w:ascii="Book Antiqua" w:hAnsi="Book Antiqua" w:cs="Book Antiqua"/>
          <w:color w:val="auto"/>
          <w:sz w:val="24"/>
          <w:szCs w:val="24"/>
          <w:highlight w:val="white"/>
        </w:rPr>
      </w:pPr>
      <w:r w:rsidRPr="00932A95">
        <w:rPr>
          <w:rFonts w:ascii="Book Antiqua" w:hAnsi="Book Antiqua" w:cs="Book Antiqua"/>
          <w:color w:val="auto"/>
          <w:sz w:val="24"/>
          <w:szCs w:val="24"/>
        </w:rPr>
        <w:t>Acute variceal bleeding (AVB) as a direct consequence of portal hypertension remains the most lethal complication amongst cirrhotic patients. Over the past three decades, mortality due to variceal bleeding has steadily decreased in concurrence with improved endoscopic and pharmacological therapies, including endoscopic sclerotherapy, banding ligation, vasoactive agents, and antibiotic prophylaxis</w:t>
      </w:r>
      <w:r w:rsidRPr="00932A95">
        <w:rPr>
          <w:rFonts w:ascii="Book Antiqua" w:hAnsi="Book Antiqua" w:cs="Book Antiqua"/>
          <w:color w:val="auto"/>
          <w:sz w:val="24"/>
          <w:szCs w:val="24"/>
          <w:vertAlign w:val="superscript"/>
        </w:rPr>
        <w:t>[1–3]</w:t>
      </w:r>
      <w:r w:rsidRPr="00932A95">
        <w:rPr>
          <w:rFonts w:ascii="Book Antiqua" w:hAnsi="Book Antiqua" w:cs="Book Antiqua"/>
          <w:color w:val="auto"/>
          <w:sz w:val="24"/>
          <w:szCs w:val="24"/>
        </w:rPr>
        <w:t>. In addition, a more efficient approach to improve hemodynamic stability, reduce portal pressure, and endoscopically treat variceal bleeding has now become the cornerstone of treatment in AVB</w:t>
      </w:r>
      <w:r w:rsidRPr="00932A95">
        <w:rPr>
          <w:rFonts w:ascii="Book Antiqua" w:hAnsi="Book Antiqua" w:cs="Book Antiqua"/>
          <w:color w:val="auto"/>
          <w:sz w:val="24"/>
          <w:szCs w:val="24"/>
          <w:vertAlign w:val="superscript"/>
        </w:rPr>
        <w:t>[3]</w:t>
      </w:r>
      <w:r w:rsidRPr="00932A95">
        <w:rPr>
          <w:rFonts w:ascii="Book Antiqua" w:hAnsi="Book Antiqua" w:cs="Book Antiqua"/>
          <w:color w:val="auto"/>
          <w:sz w:val="24"/>
          <w:szCs w:val="24"/>
        </w:rPr>
        <w:t xml:space="preserve">. Prompt </w:t>
      </w:r>
      <w:r w:rsidRPr="00932A95">
        <w:rPr>
          <w:rFonts w:ascii="Book Antiqua" w:eastAsia="Arial Unicode MS" w:hAnsi="Book Antiqua" w:cs="Book Antiqua"/>
          <w:color w:val="auto"/>
          <w:sz w:val="24"/>
          <w:szCs w:val="24"/>
        </w:rPr>
        <w:t xml:space="preserve">endoscopic therapy (≤ 12 </w:t>
      </w:r>
      <w:r w:rsidRPr="00932A95">
        <w:rPr>
          <w:rFonts w:ascii="Book Antiqua" w:eastAsia="Arial Unicode MS" w:hAnsi="Book Antiqua" w:cs="Book Antiqua"/>
          <w:color w:val="auto"/>
          <w:sz w:val="24"/>
          <w:szCs w:val="24"/>
          <w:lang w:val="en-US"/>
        </w:rPr>
        <w:t>h</w:t>
      </w:r>
      <w:r w:rsidRPr="00932A95">
        <w:rPr>
          <w:rFonts w:ascii="Book Antiqua" w:eastAsia="Arial Unicode MS" w:hAnsi="Book Antiqua" w:cs="Book Antiqua"/>
          <w:color w:val="auto"/>
          <w:sz w:val="24"/>
          <w:szCs w:val="24"/>
        </w:rPr>
        <w:t>) for AVB has also been associated with better outcomes in cirrhotic patients</w:t>
      </w:r>
      <w:r w:rsidRPr="00932A95">
        <w:rPr>
          <w:rFonts w:ascii="Book Antiqua" w:hAnsi="Book Antiqua" w:cs="Book Antiqua"/>
          <w:color w:val="auto"/>
          <w:sz w:val="24"/>
          <w:szCs w:val="24"/>
          <w:vertAlign w:val="superscript"/>
        </w:rPr>
        <w:t>[4]</w:t>
      </w:r>
      <w:r w:rsidRPr="00932A95">
        <w:rPr>
          <w:rFonts w:ascii="Book Antiqua" w:hAnsi="Book Antiqua" w:cs="Book Antiqua"/>
          <w:color w:val="auto"/>
          <w:sz w:val="24"/>
          <w:szCs w:val="24"/>
        </w:rPr>
        <w:t xml:space="preserve">. Early re-bleeding within 3-5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of endoscopic therapy remains at approximately 20% for which aggressive treatment and early transjugular intrahepatic portosystemic shunt (TIPS) placement has shown increasing survival rates</w:t>
      </w:r>
      <w:r w:rsidRPr="00932A95">
        <w:rPr>
          <w:rFonts w:ascii="Book Antiqua" w:hAnsi="Book Antiqua" w:cs="Book Antiqua"/>
          <w:color w:val="auto"/>
          <w:sz w:val="24"/>
          <w:szCs w:val="24"/>
          <w:vertAlign w:val="superscript"/>
        </w:rPr>
        <w:t>[5]</w:t>
      </w:r>
      <w:r w:rsidRPr="00932A95">
        <w:rPr>
          <w:rFonts w:ascii="Book Antiqua" w:hAnsi="Book Antiqua" w:cs="Book Antiqua"/>
          <w:color w:val="auto"/>
          <w:sz w:val="24"/>
          <w:szCs w:val="24"/>
        </w:rPr>
        <w:t>. Despite this progression in treatment modalities, bleeding from gastroesophageal varices maintains a 6-</w:t>
      </w:r>
      <w:r w:rsidRPr="00932A95">
        <w:rPr>
          <w:rFonts w:ascii="Book Antiqua" w:hAnsi="Book Antiqua" w:cs="Book Antiqua"/>
          <w:color w:val="auto"/>
          <w:sz w:val="24"/>
          <w:szCs w:val="24"/>
          <w:lang w:val="en-US"/>
        </w:rPr>
        <w:t>wk</w:t>
      </w:r>
      <w:r w:rsidRPr="00932A95">
        <w:rPr>
          <w:rFonts w:ascii="Book Antiqua" w:hAnsi="Book Antiqua" w:cs="Book Antiqua"/>
          <w:color w:val="auto"/>
          <w:sz w:val="24"/>
          <w:szCs w:val="24"/>
        </w:rPr>
        <w:t xml:space="preserve"> mortality in approximately 15%-20% of patients with underlying cirrhosis</w:t>
      </w:r>
      <w:r w:rsidRPr="00932A95">
        <w:rPr>
          <w:rFonts w:ascii="Book Antiqua" w:hAnsi="Book Antiqua" w:cs="Book Antiqua"/>
          <w:color w:val="auto"/>
          <w:sz w:val="24"/>
          <w:szCs w:val="24"/>
          <w:vertAlign w:val="superscript"/>
        </w:rPr>
        <w:t>[5]</w:t>
      </w:r>
      <w:r w:rsidRPr="00932A95">
        <w:rPr>
          <w:rFonts w:ascii="Book Antiqua" w:hAnsi="Book Antiqua" w:cs="Book Antiqua"/>
          <w:color w:val="auto"/>
          <w:sz w:val="24"/>
          <w:szCs w:val="24"/>
        </w:rPr>
        <w:t>. Therefore, facilities to manage these cases require the necessary equipment and health-care personnel to initiate un-delayed treatment, prevent early re-bleeding, and decrease overall mortality.</w:t>
      </w:r>
    </w:p>
    <w:p w14:paraId="1A26F948" w14:textId="2AA9BF41"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It has been widely debated that certain disparities exist in delivery of medical care and patient safety outcomes when comparing teaching to nonteaching hospital</w:t>
      </w:r>
      <w:r w:rsidRPr="00932A95">
        <w:rPr>
          <w:rFonts w:ascii="Book Antiqua" w:hAnsi="Book Antiqua" w:cs="Book Antiqua"/>
          <w:color w:val="auto"/>
          <w:sz w:val="24"/>
          <w:szCs w:val="24"/>
          <w:vertAlign w:val="superscript"/>
        </w:rPr>
        <w:t>[6]</w:t>
      </w:r>
      <w:r w:rsidRPr="00932A95">
        <w:rPr>
          <w:rFonts w:ascii="Book Antiqua" w:hAnsi="Book Antiqua" w:cs="Book Antiqua"/>
          <w:color w:val="auto"/>
          <w:sz w:val="24"/>
          <w:szCs w:val="24"/>
        </w:rPr>
        <w:t>. While earlier studies have reported higher quality care and better patient outcomes in teaching hospitals, others have considered this evidence unsubstantial</w:t>
      </w:r>
      <w:r w:rsidRPr="00932A95">
        <w:rPr>
          <w:rFonts w:ascii="Book Antiqua" w:hAnsi="Book Antiqua" w:cs="Book Antiqua"/>
          <w:color w:val="auto"/>
          <w:sz w:val="24"/>
          <w:szCs w:val="24"/>
          <w:vertAlign w:val="superscript"/>
        </w:rPr>
        <w:t>[6</w:t>
      </w:r>
      <w:r w:rsidR="004C4042" w:rsidRPr="00932A95">
        <w:rPr>
          <w:rFonts w:ascii="Book Antiqua" w:hAnsi="Book Antiqua" w:cs="Book Antiqua"/>
          <w:color w:val="auto"/>
          <w:sz w:val="24"/>
          <w:szCs w:val="24"/>
          <w:vertAlign w:val="superscript"/>
        </w:rPr>
        <w:t>-</w:t>
      </w:r>
      <w:r w:rsidRPr="00932A95">
        <w:rPr>
          <w:rFonts w:ascii="Book Antiqua" w:hAnsi="Book Antiqua" w:cs="Book Antiqua"/>
          <w:color w:val="auto"/>
          <w:sz w:val="24"/>
          <w:szCs w:val="24"/>
          <w:vertAlign w:val="superscript"/>
        </w:rPr>
        <w:t>10]</w:t>
      </w:r>
      <w:r w:rsidRPr="00932A95">
        <w:rPr>
          <w:rFonts w:ascii="Book Antiqua" w:hAnsi="Book Antiqua" w:cs="Book Antiqua"/>
          <w:color w:val="auto"/>
          <w:sz w:val="24"/>
          <w:szCs w:val="24"/>
        </w:rPr>
        <w:t>. It has been further proposed that differences in patient outcomes within teaching versus nonteaching hospitals vary amongst multiple patient settings and specific diseases</w:t>
      </w:r>
      <w:r w:rsidRPr="00932A95">
        <w:rPr>
          <w:rFonts w:ascii="Book Antiqua" w:hAnsi="Book Antiqua" w:cs="Book Antiqua"/>
          <w:color w:val="auto"/>
          <w:sz w:val="24"/>
          <w:szCs w:val="24"/>
          <w:vertAlign w:val="superscript"/>
        </w:rPr>
        <w:t>[10]</w:t>
      </w:r>
      <w:r w:rsidRPr="00932A95">
        <w:rPr>
          <w:rFonts w:ascii="Book Antiqua" w:hAnsi="Book Antiqua" w:cs="Book Antiqua"/>
          <w:color w:val="auto"/>
          <w:sz w:val="24"/>
          <w:szCs w:val="24"/>
        </w:rPr>
        <w:t>. For instance, one study has demonstrated that among common medical conditions, such as acute myocardial infarction and congestive heart failure, teaching hospitals have lower mortality rates when compared to non-teaching hospitals</w:t>
      </w:r>
      <w:r w:rsidRPr="00932A95">
        <w:rPr>
          <w:rFonts w:ascii="Book Antiqua" w:hAnsi="Book Antiqua" w:cs="Book Antiqua"/>
          <w:color w:val="auto"/>
          <w:sz w:val="24"/>
          <w:szCs w:val="24"/>
          <w:vertAlign w:val="superscript"/>
        </w:rPr>
        <w:t>[11]</w:t>
      </w:r>
      <w:r w:rsidRPr="00932A95">
        <w:rPr>
          <w:rFonts w:ascii="Book Antiqua" w:hAnsi="Book Antiqua" w:cs="Book Antiqua"/>
          <w:color w:val="auto"/>
          <w:sz w:val="24"/>
          <w:szCs w:val="24"/>
        </w:rPr>
        <w:t xml:space="preserve">. Certain studies have shown </w:t>
      </w:r>
      <w:r w:rsidRPr="00932A95">
        <w:rPr>
          <w:rFonts w:ascii="Book Antiqua" w:hAnsi="Book Antiqua" w:cs="Book Antiqua"/>
          <w:color w:val="auto"/>
          <w:sz w:val="24"/>
          <w:szCs w:val="24"/>
        </w:rPr>
        <w:lastRenderedPageBreak/>
        <w:t>that teaching hospitals may have higher rates of iatrogenic injury, though the underlying reasoning for this discrepancy has not been determined</w:t>
      </w:r>
      <w:r w:rsidRPr="00932A95">
        <w:rPr>
          <w:rFonts w:ascii="Book Antiqua" w:hAnsi="Book Antiqua" w:cs="Book Antiqua"/>
          <w:color w:val="auto"/>
          <w:sz w:val="24"/>
          <w:szCs w:val="24"/>
          <w:vertAlign w:val="superscript"/>
        </w:rPr>
        <w:t>[12]</w:t>
      </w:r>
      <w:r w:rsidRPr="00932A95">
        <w:rPr>
          <w:rFonts w:ascii="Book Antiqua" w:hAnsi="Book Antiqua" w:cs="Book Antiqua"/>
          <w:color w:val="auto"/>
          <w:sz w:val="24"/>
          <w:szCs w:val="24"/>
        </w:rPr>
        <w:t>. Furthermore, with the enactment of resident work hour regulations for teaching hospitals, trends in patient safety outcomes and mortality have been highly scrutinized</w:t>
      </w:r>
      <w:r w:rsidRPr="00932A95">
        <w:rPr>
          <w:rFonts w:ascii="Book Antiqua" w:hAnsi="Book Antiqua" w:cs="Book Antiqua"/>
          <w:color w:val="auto"/>
          <w:sz w:val="24"/>
          <w:szCs w:val="24"/>
          <w:vertAlign w:val="superscript"/>
        </w:rPr>
        <w:t>[7,11]</w:t>
      </w:r>
      <w:r w:rsidRPr="00932A95">
        <w:rPr>
          <w:rFonts w:ascii="Book Antiqua" w:hAnsi="Book Antiqua" w:cs="Book Antiqua"/>
          <w:color w:val="auto"/>
          <w:sz w:val="24"/>
          <w:szCs w:val="24"/>
        </w:rPr>
        <w:t>. Although duty hour limitations have been associated with a decrease in overall mortality, data for patients admitted for gastrointestinal bleeding remained equivocal between hospital settings</w:t>
      </w:r>
      <w:r w:rsidRPr="00932A95">
        <w:rPr>
          <w:rFonts w:ascii="Book Antiqua" w:hAnsi="Book Antiqua" w:cs="Book Antiqua"/>
          <w:color w:val="auto"/>
          <w:sz w:val="24"/>
          <w:szCs w:val="24"/>
          <w:vertAlign w:val="superscript"/>
        </w:rPr>
        <w:t>[7]</w:t>
      </w:r>
      <w:r w:rsidRPr="00932A95">
        <w:rPr>
          <w:rFonts w:ascii="Book Antiqua" w:hAnsi="Book Antiqua" w:cs="Book Antiqua"/>
          <w:color w:val="auto"/>
          <w:sz w:val="24"/>
          <w:szCs w:val="24"/>
        </w:rPr>
        <w:t xml:space="preserve">. </w:t>
      </w:r>
    </w:p>
    <w:p w14:paraId="643610FA" w14:textId="14D3516D" w:rsidR="0011433B" w:rsidRPr="00932A95" w:rsidRDefault="002F52BB" w:rsidP="00374FC0">
      <w:pPr>
        <w:spacing w:line="360" w:lineRule="auto"/>
        <w:ind w:firstLineChars="100" w:firstLine="240"/>
        <w:jc w:val="both"/>
        <w:rPr>
          <w:rFonts w:ascii="Book Antiqua" w:hAnsi="Book Antiqua" w:cs="Book Antiqua"/>
          <w:color w:val="auto"/>
          <w:sz w:val="24"/>
          <w:szCs w:val="24"/>
          <w:highlight w:val="white"/>
        </w:rPr>
      </w:pPr>
      <w:r w:rsidRPr="00932A95">
        <w:rPr>
          <w:rFonts w:ascii="Book Antiqua" w:hAnsi="Book Antiqua" w:cs="Book Antiqua"/>
          <w:color w:val="auto"/>
          <w:sz w:val="24"/>
          <w:szCs w:val="24"/>
          <w:highlight w:val="white"/>
        </w:rPr>
        <w:t xml:space="preserve">An increasing amount of studies have focused on evaluating the most cost-effective manner in which to practice medicine. </w:t>
      </w:r>
      <w:r w:rsidRPr="00932A95">
        <w:rPr>
          <w:rFonts w:ascii="Book Antiqua" w:hAnsi="Book Antiqua" w:cs="Book Antiqua"/>
          <w:color w:val="auto"/>
          <w:sz w:val="24"/>
          <w:szCs w:val="24"/>
        </w:rPr>
        <w:t>There has been an association between teaching hospitals and high-quality care because of their ability to provide specialized health care, perform advanced procedures, act as leaders in medical education and research, and offer care for the underserved populations</w:t>
      </w:r>
      <w:r w:rsidRPr="00932A95">
        <w:rPr>
          <w:rFonts w:ascii="Book Antiqua" w:hAnsi="Book Antiqua" w:cs="Book Antiqua"/>
          <w:color w:val="auto"/>
          <w:sz w:val="24"/>
          <w:szCs w:val="24"/>
          <w:vertAlign w:val="superscript"/>
        </w:rPr>
        <w:t>[7,8]</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Within the current era of healthcare reform, most studies have shown higher costs in teaching hospitals compared with community facilities. This could be attributed to the utilization of more advanced, expensive diagnostic testing without any demonstrable improvement in outcomes</w:t>
      </w:r>
      <w:r w:rsidRPr="00932A95">
        <w:rPr>
          <w:rFonts w:ascii="Book Antiqua" w:hAnsi="Book Antiqua" w:cs="Book Antiqua"/>
          <w:color w:val="auto"/>
          <w:sz w:val="24"/>
          <w:szCs w:val="24"/>
          <w:highlight w:val="white"/>
          <w:vertAlign w:val="superscript"/>
        </w:rPr>
        <w:t>[13</w:t>
      </w:r>
      <w:r w:rsidR="004C4042" w:rsidRPr="00932A95">
        <w:rPr>
          <w:rFonts w:ascii="Book Antiqua" w:hAnsi="Book Antiqua" w:cs="Book Antiqua"/>
          <w:color w:val="auto"/>
          <w:sz w:val="24"/>
          <w:szCs w:val="24"/>
          <w:highlight w:val="white"/>
          <w:vertAlign w:val="superscript"/>
        </w:rPr>
        <w:t>-</w:t>
      </w:r>
      <w:r w:rsidRPr="00932A95">
        <w:rPr>
          <w:rFonts w:ascii="Book Antiqua" w:hAnsi="Book Antiqua" w:cs="Book Antiqua"/>
          <w:color w:val="auto"/>
          <w:sz w:val="24"/>
          <w:szCs w:val="24"/>
          <w:highlight w:val="white"/>
          <w:vertAlign w:val="superscript"/>
        </w:rPr>
        <w:t>15]</w:t>
      </w:r>
      <w:r w:rsidRPr="00932A95">
        <w:rPr>
          <w:rFonts w:ascii="Book Antiqua" w:hAnsi="Book Antiqua" w:cs="Book Antiqua"/>
          <w:color w:val="auto"/>
          <w:sz w:val="24"/>
          <w:szCs w:val="24"/>
          <w:highlight w:val="white"/>
        </w:rPr>
        <w:t>. In regards to AVB, recent studies have suggested the average cost of</w:t>
      </w:r>
      <w:r w:rsidR="004C4042" w:rsidRPr="00932A95">
        <w:rPr>
          <w:rFonts w:ascii="Book Antiqua" w:hAnsi="Book Antiqua" w:cs="Book Antiqua"/>
          <w:color w:val="auto"/>
          <w:sz w:val="24"/>
          <w:szCs w:val="24"/>
          <w:highlight w:val="white"/>
        </w:rPr>
        <w:t xml:space="preserve"> in-hospital treatment to be $6</w:t>
      </w:r>
      <w:r w:rsidRPr="00932A95">
        <w:rPr>
          <w:rFonts w:ascii="Book Antiqua" w:hAnsi="Book Antiqua" w:cs="Book Antiqua"/>
          <w:color w:val="auto"/>
          <w:sz w:val="24"/>
          <w:szCs w:val="24"/>
          <w:highlight w:val="white"/>
        </w:rPr>
        <w:t>612 for those wit</w:t>
      </w:r>
      <w:r w:rsidR="00F1382E">
        <w:rPr>
          <w:rFonts w:ascii="Book Antiqua" w:hAnsi="Book Antiqua" w:cs="Book Antiqua"/>
          <w:color w:val="auto"/>
          <w:sz w:val="24"/>
          <w:szCs w:val="24"/>
          <w:highlight w:val="white"/>
        </w:rPr>
        <w:t>hout any complications, and $23</w:t>
      </w:r>
      <w:r w:rsidRPr="00932A95">
        <w:rPr>
          <w:rFonts w:ascii="Book Antiqua" w:hAnsi="Book Antiqua" w:cs="Book Antiqua"/>
          <w:color w:val="auto"/>
          <w:sz w:val="24"/>
          <w:szCs w:val="24"/>
          <w:highlight w:val="white"/>
        </w:rPr>
        <w:t>207 for those with complications</w:t>
      </w:r>
      <w:r w:rsidRPr="00932A95">
        <w:rPr>
          <w:rFonts w:ascii="Book Antiqua" w:hAnsi="Book Antiqua" w:cs="Book Antiqua"/>
          <w:color w:val="auto"/>
          <w:sz w:val="24"/>
          <w:szCs w:val="24"/>
          <w:highlight w:val="white"/>
          <w:vertAlign w:val="superscript"/>
        </w:rPr>
        <w:t>[16]</w:t>
      </w:r>
      <w:r w:rsidRPr="00932A95">
        <w:rPr>
          <w:rFonts w:ascii="Book Antiqua" w:hAnsi="Book Antiqua" w:cs="Book Antiqua"/>
          <w:color w:val="auto"/>
          <w:sz w:val="24"/>
          <w:szCs w:val="24"/>
          <w:highlight w:val="white"/>
        </w:rPr>
        <w:t>. After adjusting for geographic cost of living and patient factors, cost per case were similar across hospital type</w:t>
      </w:r>
      <w:r w:rsidRPr="00932A95">
        <w:rPr>
          <w:rFonts w:ascii="Book Antiqua" w:hAnsi="Book Antiqua" w:cs="Book Antiqua"/>
          <w:color w:val="auto"/>
          <w:sz w:val="24"/>
          <w:szCs w:val="24"/>
          <w:highlight w:val="white"/>
          <w:vertAlign w:val="superscript"/>
        </w:rPr>
        <w:t>[17]</w:t>
      </w:r>
      <w:r w:rsidRPr="00932A95">
        <w:rPr>
          <w:rFonts w:ascii="Book Antiqua" w:hAnsi="Book Antiqua" w:cs="Book Antiqua"/>
          <w:color w:val="auto"/>
          <w:sz w:val="24"/>
          <w:szCs w:val="24"/>
          <w:highlight w:val="white"/>
        </w:rPr>
        <w:t>.</w:t>
      </w:r>
    </w:p>
    <w:p w14:paraId="09362E26"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Due to the complexity in management of esophageal variceal bleeding, one can hypothesize that teaching hospitals have lower mortality. Given the limited data on outcomes of patients with variceal bleeding in teaching versus nonteaching hospitals, our study aims to assess the differences in mortality, length of stay (LOS), and hospital costs for patients admitted for AVB among different hospital settings within the United States. </w:t>
      </w:r>
    </w:p>
    <w:p w14:paraId="7E952DC9" w14:textId="77777777" w:rsidR="0011433B" w:rsidRPr="00932A95" w:rsidRDefault="0011433B" w:rsidP="00374FC0">
      <w:pPr>
        <w:spacing w:line="360" w:lineRule="auto"/>
        <w:jc w:val="both"/>
        <w:rPr>
          <w:rFonts w:ascii="Book Antiqua" w:hAnsi="Book Antiqua" w:cs="Book Antiqua"/>
          <w:color w:val="auto"/>
          <w:sz w:val="24"/>
          <w:szCs w:val="24"/>
        </w:rPr>
      </w:pPr>
    </w:p>
    <w:p w14:paraId="3C0A6AE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bCs/>
          <w:color w:val="auto"/>
          <w:sz w:val="24"/>
          <w:szCs w:val="24"/>
          <w:u w:val="single"/>
          <w:lang w:val="en-US"/>
        </w:rPr>
        <w:t>MATERIALS AND METHODS</w:t>
      </w:r>
    </w:p>
    <w:p w14:paraId="76B34B79"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Data</w:t>
      </w:r>
      <w:r w:rsidR="004C4042" w:rsidRPr="00932A95">
        <w:rPr>
          <w:rFonts w:ascii="Book Antiqua" w:hAnsi="Book Antiqua" w:cs="Book Antiqua"/>
          <w:b/>
          <w:i/>
          <w:color w:val="auto"/>
          <w:sz w:val="24"/>
          <w:szCs w:val="24"/>
        </w:rPr>
        <w:t xml:space="preserve"> s</w:t>
      </w:r>
      <w:r w:rsidRPr="00932A95">
        <w:rPr>
          <w:rFonts w:ascii="Book Antiqua" w:hAnsi="Book Antiqua" w:cs="Book Antiqua"/>
          <w:b/>
          <w:i/>
          <w:color w:val="auto"/>
          <w:sz w:val="24"/>
          <w:szCs w:val="24"/>
        </w:rPr>
        <w:t>ource</w:t>
      </w:r>
    </w:p>
    <w:p w14:paraId="576345F6" w14:textId="7CD23916"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The National Inpatient Sample (NIS), maintained by the Healthcare Cost and Utilization Project (HCUP) of the Agency for Healthcare Research and Quality, is the largest database of inpatient hospital stays in the United States</w:t>
      </w:r>
      <w:r w:rsidRPr="00932A95">
        <w:rPr>
          <w:rFonts w:ascii="Book Antiqua" w:hAnsi="Book Antiqua" w:cs="Book Antiqua"/>
          <w:color w:val="auto"/>
          <w:sz w:val="24"/>
          <w:szCs w:val="24"/>
          <w:vertAlign w:val="superscript"/>
        </w:rPr>
        <w:t>[18]</w:t>
      </w:r>
      <w:r w:rsidRPr="00932A95">
        <w:rPr>
          <w:rFonts w:ascii="Book Antiqua" w:hAnsi="Book Antiqua" w:cs="Book Antiqua"/>
          <w:color w:val="auto"/>
          <w:sz w:val="24"/>
          <w:szCs w:val="24"/>
        </w:rPr>
        <w:t xml:space="preserve">. The NIS collects data from a 20% stratified sample of </w:t>
      </w:r>
      <w:r w:rsidR="004C4042" w:rsidRPr="00932A95">
        <w:rPr>
          <w:rFonts w:ascii="Book Antiqua" w:hAnsi="Book Antiqua" w:cs="Book Antiqua"/>
          <w:color w:val="auto"/>
          <w:sz w:val="24"/>
          <w:szCs w:val="24"/>
        </w:rPr>
        <w:t xml:space="preserve">United States </w:t>
      </w:r>
      <w:r w:rsidRPr="00932A95">
        <w:rPr>
          <w:rFonts w:ascii="Book Antiqua" w:hAnsi="Book Antiqua" w:cs="Book Antiqua"/>
          <w:color w:val="auto"/>
          <w:sz w:val="24"/>
          <w:szCs w:val="24"/>
        </w:rPr>
        <w:t>hospitals from 37 states and has been reliably used to estimate disease burden and outcomes. Each individual hospitalization is de-identified and maintained in the NIS as a unique entry with 1 primary discharge diagnosis and up to 29 secondary diagnoses during that hospitalization depending on the year of data collection. Each entry also carried information on patient demographics including age, sex, race, insurance status, primary and secondary procedures (up to 14), hospitalization outcome, total charges, and length of stay (LOS).</w:t>
      </w:r>
    </w:p>
    <w:p w14:paraId="167FC284"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t xml:space="preserve"> </w:t>
      </w:r>
    </w:p>
    <w:p w14:paraId="3E55F4C1" w14:textId="1C0831B1"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Study </w:t>
      </w:r>
      <w:r w:rsidR="00F1382E" w:rsidRPr="00932A95">
        <w:rPr>
          <w:rFonts w:ascii="Book Antiqua" w:hAnsi="Book Antiqua" w:cs="Book Antiqua"/>
          <w:b/>
          <w:i/>
          <w:color w:val="auto"/>
          <w:sz w:val="24"/>
          <w:szCs w:val="24"/>
        </w:rPr>
        <w:t>s</w:t>
      </w:r>
      <w:r w:rsidRPr="00932A95">
        <w:rPr>
          <w:rFonts w:ascii="Book Antiqua" w:hAnsi="Book Antiqua" w:cs="Book Antiqua"/>
          <w:b/>
          <w:i/>
          <w:color w:val="auto"/>
          <w:sz w:val="24"/>
          <w:szCs w:val="24"/>
        </w:rPr>
        <w:t>ample</w:t>
      </w:r>
    </w:p>
    <w:p w14:paraId="029B6FC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eastAsia="Arial Unicode MS" w:hAnsi="Book Antiqua" w:cs="Book Antiqua"/>
          <w:color w:val="auto"/>
          <w:sz w:val="24"/>
          <w:szCs w:val="24"/>
        </w:rPr>
        <w:t xml:space="preserve">The International Classification of Diseases </w:t>
      </w:r>
      <w:r w:rsidRPr="00816A18">
        <w:rPr>
          <w:rFonts w:ascii="Book Antiqua" w:eastAsia="Arial Unicode MS" w:hAnsi="Book Antiqua" w:cs="Book Antiqua"/>
          <w:color w:val="auto"/>
          <w:sz w:val="24"/>
          <w:szCs w:val="24"/>
        </w:rPr>
        <w:t>9</w:t>
      </w:r>
      <w:r w:rsidRPr="00816A18">
        <w:rPr>
          <w:rFonts w:ascii="Book Antiqua" w:eastAsia="Arial Unicode MS" w:hAnsi="Book Antiqua" w:cs="Book Antiqua"/>
          <w:color w:val="auto"/>
          <w:sz w:val="24"/>
          <w:szCs w:val="24"/>
          <w:vertAlign w:val="superscript"/>
        </w:rPr>
        <w:t>th</w:t>
      </w:r>
      <w:r w:rsidRPr="00816A18">
        <w:rPr>
          <w:rFonts w:ascii="Book Antiqua" w:eastAsia="Arial Unicode MS" w:hAnsi="Book Antiqua" w:cs="Book Antiqua"/>
          <w:color w:val="auto"/>
          <w:sz w:val="24"/>
          <w:szCs w:val="24"/>
        </w:rPr>
        <w:t xml:space="preserve"> </w:t>
      </w:r>
      <w:r w:rsidRPr="00932A95">
        <w:rPr>
          <w:rFonts w:ascii="Book Antiqua" w:eastAsia="Arial Unicode MS" w:hAnsi="Book Antiqua" w:cs="Book Antiqua"/>
          <w:color w:val="auto"/>
          <w:sz w:val="24"/>
          <w:szCs w:val="24"/>
        </w:rPr>
        <w:t>Version, Clinical Modification (ICD-9 CM) diagnosis codes (456.0 and 456.2) were used to identify patients (≥</w:t>
      </w:r>
      <w:r w:rsidRPr="00932A95">
        <w:rPr>
          <w:rFonts w:ascii="Book Antiqua" w:eastAsia="Arial Unicode MS" w:hAnsi="Book Antiqua" w:cs="Book Antiqua"/>
          <w:color w:val="auto"/>
          <w:sz w:val="24"/>
          <w:szCs w:val="24"/>
          <w:lang w:val="en-US"/>
        </w:rPr>
        <w:t xml:space="preserve"> </w:t>
      </w:r>
      <w:r w:rsidRPr="00932A95">
        <w:rPr>
          <w:rFonts w:ascii="Book Antiqua" w:eastAsia="Arial Unicode MS" w:hAnsi="Book Antiqua" w:cs="Book Antiqua"/>
          <w:color w:val="auto"/>
          <w:sz w:val="24"/>
          <w:szCs w:val="24"/>
        </w:rPr>
        <w:t xml:space="preserve">18 years) hospitalized with a primary diagnosis of esophageal variceal bleeding admitted between 2008 and 2014. If a patient had any other liver related diagnosis code </w:t>
      </w:r>
      <w:r w:rsidRPr="00816A18">
        <w:rPr>
          <w:rFonts w:ascii="Book Antiqua" w:eastAsia="Arial Unicode MS" w:hAnsi="Book Antiqua" w:cs="Book Antiqua"/>
          <w:color w:val="auto"/>
          <w:sz w:val="24"/>
          <w:szCs w:val="24"/>
        </w:rPr>
        <w:t>(</w:t>
      </w:r>
      <w:r w:rsidR="00816A18" w:rsidRPr="00816A18">
        <w:rPr>
          <w:rFonts w:ascii="Book Antiqua" w:eastAsia="Arial Unicode MS" w:hAnsi="Book Antiqua" w:cs="Book Antiqua"/>
          <w:color w:val="auto"/>
          <w:sz w:val="24"/>
          <w:szCs w:val="24"/>
        </w:rPr>
        <w:t>Supplementary Table 1</w:t>
      </w:r>
      <w:r w:rsidRPr="00816A18">
        <w:rPr>
          <w:rFonts w:ascii="Book Antiqua" w:eastAsia="Arial Unicode MS" w:hAnsi="Book Antiqua" w:cs="Book Antiqua"/>
          <w:color w:val="auto"/>
          <w:sz w:val="24"/>
          <w:szCs w:val="24"/>
        </w:rPr>
        <w:t>)</w:t>
      </w:r>
      <w:r w:rsidRPr="00932A95">
        <w:rPr>
          <w:rFonts w:ascii="Book Antiqua" w:eastAsia="Arial Unicode MS" w:hAnsi="Book Antiqua" w:cs="Book Antiqua"/>
          <w:color w:val="auto"/>
          <w:sz w:val="24"/>
          <w:szCs w:val="24"/>
        </w:rPr>
        <w:t xml:space="preserve"> as their primary diagnosis they were also included. All patients that were admitted electively were excluded due to the inconsistency of elective admission and emergent nature of acute variceal bleeding. Only patients that had an EGD performed were included since endoscopy is necessary to diagnose a variceal bleed and also to exclude causes of nonvariceal upper GI bleeding. Cases that did not have mortality data or hospital teaching status were excluded.</w:t>
      </w:r>
      <w:r w:rsidRPr="00932A95">
        <w:rPr>
          <w:rFonts w:ascii="Book Antiqua" w:eastAsia="Arial Unicode MS" w:hAnsi="Book Antiqua" w:cs="Book Antiqua"/>
          <w:color w:val="auto"/>
          <w:sz w:val="24"/>
          <w:szCs w:val="24"/>
          <w:lang w:val="en-US"/>
        </w:rPr>
        <w:t xml:space="preserve"> </w:t>
      </w:r>
      <w:r w:rsidR="004C4042" w:rsidRPr="00932A95">
        <w:rPr>
          <w:rFonts w:ascii="Book Antiqua" w:eastAsia="Arial Unicode MS" w:hAnsi="Book Antiqua" w:cs="Book Antiqua"/>
          <w:color w:val="auto"/>
          <w:sz w:val="24"/>
          <w:szCs w:val="24"/>
        </w:rPr>
        <w:t>In total, 58</w:t>
      </w:r>
      <w:r w:rsidRPr="00932A95">
        <w:rPr>
          <w:rFonts w:ascii="Book Antiqua" w:eastAsia="Arial Unicode MS" w:hAnsi="Book Antiqua" w:cs="Book Antiqua"/>
          <w:color w:val="auto"/>
          <w:sz w:val="24"/>
          <w:szCs w:val="24"/>
        </w:rPr>
        <w:t>362 cases were found using the above inclusion criteria. Secondary outcome variables were LOS and cost of hospitalization.</w:t>
      </w:r>
    </w:p>
    <w:p w14:paraId="201CBD3A"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t xml:space="preserve"> </w:t>
      </w:r>
    </w:p>
    <w:p w14:paraId="099424EE"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Hospital </w:t>
      </w:r>
      <w:r w:rsidR="004C4042" w:rsidRPr="00932A95">
        <w:rPr>
          <w:rFonts w:ascii="Book Antiqua" w:hAnsi="Book Antiqua" w:cs="Book Antiqua"/>
          <w:b/>
          <w:i/>
          <w:color w:val="auto"/>
          <w:sz w:val="24"/>
          <w:szCs w:val="24"/>
        </w:rPr>
        <w:t>teaching status</w:t>
      </w:r>
    </w:p>
    <w:p w14:paraId="13597430" w14:textId="6BC4B399"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 xml:space="preserve">Our primary exposure variable was the teaching status of the hospital each patient was treated at. In the NIS database, this data is divided into three separate categories: </w:t>
      </w:r>
      <w:r w:rsidR="003A7798">
        <w:rPr>
          <w:rFonts w:ascii="Book Antiqua" w:eastAsiaTheme="minorEastAsia" w:hAnsi="Book Antiqua" w:cs="Book Antiqua" w:hint="eastAsia"/>
          <w:color w:val="auto"/>
          <w:sz w:val="24"/>
          <w:szCs w:val="24"/>
          <w:lang w:eastAsia="zh-CN"/>
        </w:rPr>
        <w:t>R</w:t>
      </w:r>
      <w:r w:rsidRPr="00932A95">
        <w:rPr>
          <w:rFonts w:ascii="Book Antiqua" w:hAnsi="Book Antiqua" w:cs="Book Antiqua"/>
          <w:color w:val="auto"/>
          <w:sz w:val="24"/>
          <w:szCs w:val="24"/>
        </w:rPr>
        <w:t>ural, urban-nonteaching and urban teaching. For our study, the rural and urban-nonteaching categories were combined into one category termed non-teaching while the urban teaching category was used to delineate all teaching hospitals.</w:t>
      </w:r>
    </w:p>
    <w:p w14:paraId="69CB11FA"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t xml:space="preserve"> </w:t>
      </w:r>
    </w:p>
    <w:p w14:paraId="2E7D9B08"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Predictive </w:t>
      </w:r>
      <w:r w:rsidR="005733BD" w:rsidRPr="00932A95">
        <w:rPr>
          <w:rFonts w:ascii="Book Antiqua" w:hAnsi="Book Antiqua" w:cs="Book Antiqua"/>
          <w:b/>
          <w:i/>
          <w:color w:val="auto"/>
          <w:sz w:val="24"/>
          <w:szCs w:val="24"/>
        </w:rPr>
        <w:t>v</w:t>
      </w:r>
      <w:r w:rsidRPr="00932A95">
        <w:rPr>
          <w:rFonts w:ascii="Book Antiqua" w:hAnsi="Book Antiqua" w:cs="Book Antiqua"/>
          <w:b/>
          <w:i/>
          <w:color w:val="auto"/>
          <w:sz w:val="24"/>
          <w:szCs w:val="24"/>
        </w:rPr>
        <w:t>ariables</w:t>
      </w:r>
    </w:p>
    <w:p w14:paraId="23B15B5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Other variables that were studied included age (divided into three groups;</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40 years, 40-59 years and &gt; 60 years), gender, race, primary payer, hospital location, hospital bed size, and transfer status (in from another acute care hospital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not a transfer).</w:t>
      </w:r>
    </w:p>
    <w:p w14:paraId="660B20B4" w14:textId="18E9FFF9"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In order to assess for comorbidities, the data was extracted to include the Elixhauser comorbidity Index</w:t>
      </w:r>
      <w:r w:rsidRPr="00932A95">
        <w:rPr>
          <w:rFonts w:ascii="Book Antiqua" w:hAnsi="Book Antiqua" w:cs="Book Antiqua"/>
          <w:color w:val="auto"/>
          <w:sz w:val="24"/>
          <w:szCs w:val="24"/>
          <w:vertAlign w:val="superscript"/>
        </w:rPr>
        <w:t>[19]</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This is a well-validated index based on ICD-9-CM codes that is meant to be used in large administrative data to predict mortality and hospital resource use</w:t>
      </w:r>
      <w:r w:rsidRPr="00932A95">
        <w:rPr>
          <w:rFonts w:ascii="Book Antiqua" w:hAnsi="Book Antiqua" w:cs="Book Antiqua"/>
          <w:color w:val="auto"/>
          <w:sz w:val="24"/>
          <w:szCs w:val="24"/>
          <w:vertAlign w:val="superscript"/>
        </w:rPr>
        <w:t>[20]</w:t>
      </w:r>
      <w:r w:rsidRPr="00932A95">
        <w:rPr>
          <w:rFonts w:ascii="Book Antiqua" w:hAnsi="Book Antiqua" w:cs="Book Antiqua"/>
          <w:color w:val="auto"/>
          <w:sz w:val="24"/>
          <w:szCs w:val="24"/>
        </w:rPr>
        <w:t xml:space="preserve">. The index has 30 comorbid categories that include both liver disease and coagulopathy. Due to the nature of our primary diagnosis, we excluded both of these variables from our index and therefore studied only 28 comorbidities. Since the NIS does not allow us to determine the severity of liver disease using either the Child-Pugh classification or Model for End Stage Liver Disease (MELD) score we assessed for separate conditions associated with liver decompensation. These included ascites (ICD-9-CM 789.5 and 789.59), hepatic encephalopathy (ICD-9-CM 572.2), spontaneous bacterial peritonitis (ICD-9-CM 567.23), hepatorenal syndrome (ICD-9-CM 572.4) and hepatocellular carcinoma (ICD-9-CM 155.0). Furthermore, we also separately analyzed data for patients with alcoholic cirrhosis (ICD-9-CM 571.2) as their underlying liver disease as this is one of the most common liver etiologies of variceal bleeding. Finally, common management options for esophageal variceal bleeding were also identified. These included blood transfusions (ICD-9-CM </w:t>
      </w:r>
      <w:r w:rsidRPr="00932A95">
        <w:rPr>
          <w:rFonts w:ascii="Book Antiqua" w:hAnsi="Book Antiqua" w:cs="Book Antiqua"/>
          <w:color w:val="auto"/>
          <w:sz w:val="24"/>
          <w:szCs w:val="24"/>
        </w:rPr>
        <w:lastRenderedPageBreak/>
        <w:t>99.00, 99.04, 99.05, 99.06, 99.07), balloon tamponade (ICD-9-CM 44.93 and 96.06), and portosystemic shunt (ICD-9-CM 39.1).</w:t>
      </w:r>
    </w:p>
    <w:p w14:paraId="53F28762"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t xml:space="preserve"> </w:t>
      </w:r>
    </w:p>
    <w:p w14:paraId="1A40AD52"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Statistical </w:t>
      </w:r>
      <w:r w:rsidR="005733BD" w:rsidRPr="00932A95">
        <w:rPr>
          <w:rFonts w:ascii="Book Antiqua" w:hAnsi="Book Antiqua" w:cs="Book Antiqua"/>
          <w:b/>
          <w:i/>
          <w:color w:val="auto"/>
          <w:sz w:val="24"/>
          <w:szCs w:val="24"/>
        </w:rPr>
        <w:t>a</w:t>
      </w:r>
      <w:r w:rsidRPr="00932A95">
        <w:rPr>
          <w:rFonts w:ascii="Book Antiqua" w:hAnsi="Book Antiqua" w:cs="Book Antiqua"/>
          <w:b/>
          <w:i/>
          <w:color w:val="auto"/>
          <w:sz w:val="24"/>
          <w:szCs w:val="24"/>
        </w:rPr>
        <w:t>nalysis</w:t>
      </w:r>
    </w:p>
    <w:p w14:paraId="3E45D9C9" w14:textId="1E1CCEF9"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Hospital-level discharge weights provided by NIS were used to generate national estimates. Categorical variables were compared using the chi-square, whereas indepen</w:t>
      </w:r>
      <w:r w:rsidR="001E366C">
        <w:rPr>
          <w:rFonts w:ascii="Book Antiqua" w:hAnsi="Book Antiqua" w:cs="Book Antiqua"/>
          <w:color w:val="auto"/>
          <w:sz w:val="24"/>
          <w:szCs w:val="24"/>
        </w:rPr>
        <w:t>den</w:t>
      </w:r>
      <w:r w:rsidRPr="00932A95">
        <w:rPr>
          <w:rFonts w:ascii="Book Antiqua" w:hAnsi="Book Antiqua" w:cs="Book Antiqua"/>
          <w:color w:val="auto"/>
          <w:sz w:val="24"/>
          <w:szCs w:val="24"/>
        </w:rPr>
        <w:t xml:space="preserve">t sample T test was used for continuous variables. Using binary logistic regression models mortality, LOS, and cost were examined after adjusting for baseline patient demographics, hospital details, procedures, and comorbid conditions. A </w:t>
      </w:r>
      <w:r w:rsidRPr="00932A95">
        <w:rPr>
          <w:rFonts w:ascii="Book Antiqua" w:hAnsi="Book Antiqua" w:cs="Book Antiqua"/>
          <w:i/>
          <w:caps/>
          <w:color w:val="auto"/>
          <w:sz w:val="24"/>
          <w:szCs w:val="24"/>
        </w:rPr>
        <w:t>p</w:t>
      </w:r>
      <w:r w:rsidR="005733BD" w:rsidRPr="00932A95">
        <w:rPr>
          <w:rFonts w:ascii="Book Antiqua" w:hAnsi="Book Antiqua" w:cs="Book Antiqua"/>
          <w:color w:val="auto"/>
          <w:sz w:val="24"/>
          <w:szCs w:val="24"/>
        </w:rPr>
        <w:t>-</w:t>
      </w:r>
      <w:r w:rsidRPr="00932A95">
        <w:rPr>
          <w:rFonts w:ascii="Book Antiqua" w:hAnsi="Book Antiqua" w:cs="Book Antiqua"/>
          <w:color w:val="auto"/>
          <w:sz w:val="24"/>
          <w:szCs w:val="24"/>
        </w:rPr>
        <w:t>value of</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0.05 was considered significant.</w:t>
      </w:r>
    </w:p>
    <w:p w14:paraId="18C0DA4D"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Inpatient cost of hospitalization was calculated by merging data from the NIS database with cost-to-charge ratios available from the Healthcare Cost and Utilization Project of the Agency for Healthcare Research and Quality. Given total charges for each inpatient stay available in the database, costs were then calculated by multiplying the total hospital charge with cost-to-charge ratios which were used to account for the inherent variability among hospitals and regions. All costs were adjusted for inflation according to the latest consumer price index data released by the </w:t>
      </w:r>
      <w:r w:rsidR="005E2163" w:rsidRPr="00932A95">
        <w:rPr>
          <w:rFonts w:ascii="Book Antiqua" w:hAnsi="Book Antiqua" w:cs="Book Antiqua"/>
          <w:color w:val="auto"/>
          <w:sz w:val="24"/>
          <w:szCs w:val="24"/>
        </w:rPr>
        <w:t xml:space="preserve">United States </w:t>
      </w:r>
      <w:r w:rsidRPr="00932A95">
        <w:rPr>
          <w:rFonts w:ascii="Book Antiqua" w:hAnsi="Book Antiqua" w:cs="Book Antiqua"/>
          <w:color w:val="auto"/>
          <w:sz w:val="24"/>
          <w:szCs w:val="24"/>
        </w:rPr>
        <w:t>government in December of 2017.</w:t>
      </w:r>
    </w:p>
    <w:p w14:paraId="39836D20"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All analyses were performed using SPSS Statistics 23 (IBM Corp, Armonk, NY</w:t>
      </w:r>
      <w:r w:rsidR="008045CD" w:rsidRPr="00932A95">
        <w:rPr>
          <w:rFonts w:ascii="Book Antiqua" w:hAnsi="Book Antiqua" w:cs="Book Antiqua"/>
          <w:color w:val="auto"/>
          <w:sz w:val="24"/>
          <w:szCs w:val="24"/>
        </w:rPr>
        <w:t>, United States</w:t>
      </w:r>
      <w:r w:rsidRPr="00932A95">
        <w:rPr>
          <w:rFonts w:ascii="Book Antiqua" w:hAnsi="Book Antiqua" w:cs="Book Antiqua"/>
          <w:color w:val="auto"/>
          <w:sz w:val="24"/>
          <w:szCs w:val="24"/>
        </w:rPr>
        <w:t>).</w:t>
      </w:r>
    </w:p>
    <w:p w14:paraId="01FE4476" w14:textId="77777777" w:rsidR="0011433B" w:rsidRPr="00932A95" w:rsidRDefault="0011433B" w:rsidP="00374FC0">
      <w:pPr>
        <w:spacing w:after="240" w:line="360" w:lineRule="auto"/>
        <w:jc w:val="both"/>
        <w:rPr>
          <w:rFonts w:ascii="Book Antiqua" w:hAnsi="Book Antiqua" w:cs="Book Antiqua"/>
          <w:color w:val="auto"/>
          <w:sz w:val="24"/>
          <w:szCs w:val="24"/>
        </w:rPr>
      </w:pPr>
    </w:p>
    <w:p w14:paraId="1295228F"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b/>
          <w:caps/>
          <w:color w:val="auto"/>
          <w:sz w:val="24"/>
          <w:szCs w:val="24"/>
          <w:u w:val="single"/>
        </w:rPr>
        <w:t>Results</w:t>
      </w:r>
    </w:p>
    <w:p w14:paraId="7E5B8A8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Betw</w:t>
      </w:r>
      <w:r w:rsidR="00115E54" w:rsidRPr="00932A95">
        <w:rPr>
          <w:rFonts w:ascii="Book Antiqua" w:hAnsi="Book Antiqua" w:cs="Book Antiqua"/>
          <w:color w:val="auto"/>
          <w:sz w:val="24"/>
          <w:szCs w:val="24"/>
        </w:rPr>
        <w:t>een 2008 and 2014 there were 58</w:t>
      </w:r>
      <w:r w:rsidRPr="00932A95">
        <w:rPr>
          <w:rFonts w:ascii="Book Antiqua" w:hAnsi="Book Antiqua" w:cs="Book Antiqua"/>
          <w:color w:val="auto"/>
          <w:sz w:val="24"/>
          <w:szCs w:val="24"/>
        </w:rPr>
        <w:t>362 admissions for esophageal variceal bleeding tha</w:t>
      </w:r>
      <w:r w:rsidR="00115E54" w:rsidRPr="00932A95">
        <w:rPr>
          <w:rFonts w:ascii="Book Antiqua" w:hAnsi="Book Antiqua" w:cs="Book Antiqua"/>
          <w:color w:val="auto"/>
          <w:sz w:val="24"/>
          <w:szCs w:val="24"/>
        </w:rPr>
        <w:t>t fit our inclusion criteria (7</w:t>
      </w:r>
      <w:r w:rsidRPr="00932A95">
        <w:rPr>
          <w:rFonts w:ascii="Book Antiqua" w:hAnsi="Book Antiqua" w:cs="Book Antiqua"/>
          <w:color w:val="auto"/>
          <w:sz w:val="24"/>
          <w:szCs w:val="24"/>
        </w:rPr>
        <w:t>295 annually based on study period).</w:t>
      </w:r>
    </w:p>
    <w:p w14:paraId="18DF9327" w14:textId="77777777" w:rsidR="0011433B" w:rsidRPr="00932A95" w:rsidRDefault="0011433B" w:rsidP="00374FC0">
      <w:pPr>
        <w:spacing w:line="360" w:lineRule="auto"/>
        <w:jc w:val="both"/>
        <w:rPr>
          <w:rFonts w:ascii="Book Antiqua" w:hAnsi="Book Antiqua" w:cs="Book Antiqua"/>
          <w:color w:val="auto"/>
          <w:sz w:val="24"/>
          <w:szCs w:val="24"/>
        </w:rPr>
      </w:pPr>
    </w:p>
    <w:p w14:paraId="541CF4BE"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Teaching</w:t>
      </w:r>
      <w:r w:rsidR="00115E54" w:rsidRPr="00932A95">
        <w:rPr>
          <w:rFonts w:ascii="Book Antiqua" w:hAnsi="Book Antiqua" w:cs="Book Antiqua"/>
          <w:b/>
          <w:i/>
          <w:color w:val="auto"/>
          <w:sz w:val="24"/>
          <w:szCs w:val="24"/>
        </w:rPr>
        <w:t xml:space="preserve"> status of hospital</w:t>
      </w:r>
    </w:p>
    <w:p w14:paraId="75E5F1F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Amongst hospital admissions for esophageal v</w:t>
      </w:r>
      <w:r w:rsidR="00115E54" w:rsidRPr="00932A95">
        <w:rPr>
          <w:rFonts w:ascii="Book Antiqua" w:hAnsi="Book Antiqua" w:cs="Book Antiqua"/>
          <w:color w:val="auto"/>
          <w:sz w:val="24"/>
          <w:szCs w:val="24"/>
        </w:rPr>
        <w:t>ariceal bleeding, a total of 30</w:t>
      </w:r>
      <w:r w:rsidRPr="00932A95">
        <w:rPr>
          <w:rFonts w:ascii="Book Antiqua" w:hAnsi="Book Antiqua" w:cs="Book Antiqua"/>
          <w:color w:val="auto"/>
          <w:sz w:val="24"/>
          <w:szCs w:val="24"/>
        </w:rPr>
        <w:t>382 took place</w:t>
      </w:r>
      <w:r w:rsidR="00115E54" w:rsidRPr="00932A95">
        <w:rPr>
          <w:rFonts w:ascii="Book Antiqua" w:hAnsi="Book Antiqua" w:cs="Book Antiqua"/>
          <w:color w:val="auto"/>
          <w:sz w:val="24"/>
          <w:szCs w:val="24"/>
        </w:rPr>
        <w:t xml:space="preserve"> in teaching hospitals while 27</w:t>
      </w:r>
      <w:r w:rsidRPr="00932A95">
        <w:rPr>
          <w:rFonts w:ascii="Book Antiqua" w:hAnsi="Book Antiqua" w:cs="Book Antiqua"/>
          <w:color w:val="auto"/>
          <w:sz w:val="24"/>
          <w:szCs w:val="24"/>
        </w:rPr>
        <w:t xml:space="preserve">979 took place in non-teaching hospitals. </w:t>
      </w:r>
      <w:r w:rsidRPr="00932A95">
        <w:rPr>
          <w:rFonts w:ascii="Book Antiqua" w:hAnsi="Book Antiqua" w:cs="Book Antiqua"/>
          <w:color w:val="auto"/>
          <w:sz w:val="24"/>
          <w:szCs w:val="24"/>
        </w:rPr>
        <w:lastRenderedPageBreak/>
        <w:t xml:space="preserve">Demographics and hospital characteristics are provided in Table 1. The average overall age of patients presenting with variceal bleeding was 55 (SD of 12) with a male predominance. More than half of the patients were Caucasian. The primary insurance payer was Medicare for a majority of the patients. A large portion of patients were treated in large hospitals (based on hospital region) and in the southern US. Though most patients were treated as initial admissions directly to the hospital under investigation, a small portion (7.4%) were transferred in from another acute care hospital. </w:t>
      </w:r>
    </w:p>
    <w:p w14:paraId="1181765E"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In comparing teaching hospitals to non-teaching hospitals, the above characteristics remained true. Teaching hospitals had a higher percentage of minority patients compared to non-teaching hospitals. Teaching hospitals also had more Medicaid patients while non-teaching hospitals had more Medicare patients. A higher percentage of teaching hospitals with variceal bleeding was located in the Northeast and Midwest while a higher percentage of non-teaching hospitals was located in the South and the West. Furthermore, teaching hospitals had a greater percentage of transfers from outside acute care hospitals compared to non-teaching hospitals (11.5%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3.0% respectively).</w:t>
      </w:r>
    </w:p>
    <w:p w14:paraId="2EA6A694"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Comorbid conditions as well as management for these patients can be seen in Table 2.</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Amongst all patients, more than half had greater than or equal to three comorbid conditions other than their underlying liver disease as determined by the Elixhauser comorbidity index. Between group differences were not statistically significant however.</w:t>
      </w:r>
    </w:p>
    <w:p w14:paraId="4A51389B"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More importantly, teaching hospitals were more likely to admit patients with alcoholic cirrhosis (53.0%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50.6%), features of hepatic decompensation (ascites, hepatic encephalopathy), hepatorenal syndrome (4.2%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2.2%), and hepatocellular carcinoma (4.6%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2.5%) when compared to non-teaching hospitals.</w:t>
      </w:r>
    </w:p>
    <w:p w14:paraId="28F57F08"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In terms of management, non-teaching hospitals had a higher rate of transfusion (64.2%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59.9%) as compared to teaching hospitals and a lower rate </w:t>
      </w:r>
      <w:r w:rsidRPr="00932A95">
        <w:rPr>
          <w:rFonts w:ascii="Book Antiqua" w:hAnsi="Book Antiqua" w:cs="Book Antiqua"/>
          <w:color w:val="auto"/>
          <w:sz w:val="24"/>
          <w:szCs w:val="24"/>
        </w:rPr>
        <w:lastRenderedPageBreak/>
        <w:t xml:space="preserve">of balloon tamponade (0.6%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1.2%) and portosystemic shunt (3.1%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7.9%). The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w:t>
      </w:r>
      <w:r w:rsidR="00115E54" w:rsidRPr="00932A95">
        <w:rPr>
          <w:rFonts w:ascii="Book Antiqua" w:hAnsi="Book Antiqua" w:cs="Book Antiqua"/>
          <w:color w:val="auto"/>
          <w:sz w:val="24"/>
          <w:szCs w:val="24"/>
        </w:rPr>
        <w:t xml:space="preserve">value </w:t>
      </w:r>
      <w:r w:rsidRPr="00932A95">
        <w:rPr>
          <w:rFonts w:ascii="Book Antiqua" w:hAnsi="Book Antiqua" w:cs="Book Antiqua"/>
          <w:color w:val="auto"/>
          <w:sz w:val="24"/>
          <w:szCs w:val="24"/>
        </w:rPr>
        <w:t xml:space="preserve">was &lt; 0.001 for all comparisons. </w:t>
      </w:r>
    </w:p>
    <w:p w14:paraId="6D171EE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 </w:t>
      </w:r>
    </w:p>
    <w:p w14:paraId="2B08C129"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Mortality</w:t>
      </w:r>
    </w:p>
    <w:p w14:paraId="09E6FB8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The overall mortality for all patients presenting with esophageal variceal bleeding was 6.7% in our study population. The unadjusted mortality was higher in teaching hospitals when compared to non-teaching hospitals (8.0%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5.3% respectively,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Mortality was higher amongst patients that were black males, older than 60 years, admitted to a large hospital, and transferred from another acute care hospital. These findings are outlined in Table 3. </w:t>
      </w:r>
    </w:p>
    <w:p w14:paraId="7D4BC493"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Furthermore, there was also a significant difference amongst hospital teaching status and mortality when comparing comorbid conditions and management decisions (Table 4). There was a higher mortality in teaching hospitals in those patients with underlying alcoholic cirrhosis when compared to non-teaching hospitals (9.2%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6.3%) though this was not statistically different. The presence of liver decompensation (ascites and hepatic encephalopathy) was also associated with higher mortality in teaching hospitals compared to non-teaching hospitals. Hepatorenal syndrome and/or hepatocellular carcinoma also portended a higher risk for mortality in teaching hospitals. As far as management, mortality was higher in teaching hospitals when blood transfusions (8.7%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6.2%) or portosystemic shunts were performed (17.1%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9.9%) compared to non-teaching hospitals.</w:t>
      </w:r>
    </w:p>
    <w:p w14:paraId="5EC1427F"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After adjustment for baseline patient characteristics including demographics, comorbid conditions, evidence of liver decompensation, management and transfer status the only significant factors that were associated with higher mortality were gender, race, transfer in from outside hospital and teaching status of hospital. Males had a higher rate of mortality when compared to females with adjusted OR 1.271 (95%CI</w:t>
      </w:r>
      <w:r w:rsidR="00374FC0" w:rsidRPr="00932A95">
        <w:rPr>
          <w:rFonts w:ascii="Book Antiqua" w:hAnsi="Book Antiqua" w:cs="Book Antiqua"/>
          <w:color w:val="auto"/>
          <w:sz w:val="24"/>
          <w:szCs w:val="24"/>
        </w:rPr>
        <w:t>:</w:t>
      </w:r>
      <w:r w:rsidRPr="00932A95">
        <w:rPr>
          <w:rFonts w:ascii="Book Antiqua" w:hAnsi="Book Antiqua" w:cs="Book Antiqua"/>
          <w:color w:val="auto"/>
          <w:sz w:val="24"/>
          <w:szCs w:val="24"/>
        </w:rPr>
        <w:t xml:space="preserve"> 1.075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1.503) as did Blacks when compared to Whites with adjusted OR 1.607 (95%CI</w:t>
      </w:r>
      <w:r w:rsidR="00374FC0" w:rsidRPr="00932A95">
        <w:rPr>
          <w:rFonts w:ascii="Book Antiqua" w:hAnsi="Book Antiqua" w:cs="Book Antiqua"/>
          <w:color w:val="auto"/>
          <w:sz w:val="24"/>
          <w:szCs w:val="24"/>
        </w:rPr>
        <w:t>:</w:t>
      </w:r>
      <w:r w:rsidRPr="00932A95">
        <w:rPr>
          <w:rFonts w:ascii="Book Antiqua" w:hAnsi="Book Antiqua" w:cs="Book Antiqua"/>
          <w:color w:val="auto"/>
          <w:sz w:val="24"/>
          <w:szCs w:val="24"/>
        </w:rPr>
        <w:t xml:space="preserve"> 1.246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 xml:space="preserve">2.074). Patients that were transferred in </w:t>
      </w:r>
      <w:r w:rsidRPr="00932A95">
        <w:rPr>
          <w:rFonts w:ascii="Book Antiqua" w:hAnsi="Book Antiqua" w:cs="Book Antiqua"/>
          <w:color w:val="auto"/>
          <w:sz w:val="24"/>
          <w:szCs w:val="24"/>
        </w:rPr>
        <w:lastRenderedPageBreak/>
        <w:t>from an acute care hospital had a higher mortality than those that did not with an adjusted OR 1.490 (95%CI</w:t>
      </w:r>
      <w:r w:rsidR="00374FC0" w:rsidRPr="00932A95">
        <w:rPr>
          <w:rFonts w:ascii="Book Antiqua" w:hAnsi="Book Antiqua" w:cs="Book Antiqua"/>
          <w:color w:val="auto"/>
          <w:sz w:val="24"/>
          <w:szCs w:val="24"/>
        </w:rPr>
        <w:t xml:space="preserve">: </w:t>
      </w:r>
      <w:r w:rsidRPr="00932A95">
        <w:rPr>
          <w:rFonts w:ascii="Book Antiqua" w:hAnsi="Book Antiqua" w:cs="Book Antiqua"/>
          <w:color w:val="auto"/>
          <w:sz w:val="24"/>
          <w:szCs w:val="24"/>
        </w:rPr>
        <w:t>1.172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1.894). Overall, the adjusted OR of mortality in teaching hospitals compared to non-teaching hospitals was 1.249 (95%CI</w:t>
      </w:r>
      <w:r w:rsidR="00374FC0" w:rsidRPr="00932A95">
        <w:rPr>
          <w:rFonts w:ascii="Book Antiqua" w:hAnsi="Book Antiqua" w:cs="Book Antiqua"/>
          <w:color w:val="auto"/>
          <w:sz w:val="24"/>
          <w:szCs w:val="24"/>
        </w:rPr>
        <w:t>:</w:t>
      </w:r>
      <w:r w:rsidRPr="00932A95">
        <w:rPr>
          <w:rFonts w:ascii="Book Antiqua" w:hAnsi="Book Antiqua" w:cs="Book Antiqua"/>
          <w:color w:val="auto"/>
          <w:sz w:val="24"/>
          <w:szCs w:val="24"/>
        </w:rPr>
        <w:t xml:space="preserve"> 1.066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 xml:space="preserve">1.463) (Table 3). </w:t>
      </w:r>
    </w:p>
    <w:p w14:paraId="3720EF29" w14:textId="77777777" w:rsidR="0011433B" w:rsidRPr="00932A95" w:rsidRDefault="002F52BB" w:rsidP="00374FC0">
      <w:pPr>
        <w:spacing w:line="360" w:lineRule="auto"/>
        <w:jc w:val="both"/>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 </w:t>
      </w:r>
    </w:p>
    <w:p w14:paraId="0583B663"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Length of stay and cost of hospitalization</w:t>
      </w:r>
    </w:p>
    <w:p w14:paraId="28F8BA2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The median length of stay for all centers was 4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with an interquartile range (IQR) of 3-7. Teaching hospitals had a median LOS of 5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while non-teaching hospitals had a LOS of 4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The cost of </w:t>
      </w:r>
      <w:r w:rsidR="00374FC0" w:rsidRPr="00932A95">
        <w:rPr>
          <w:rFonts w:ascii="Book Antiqua" w:hAnsi="Book Antiqua" w:cs="Book Antiqua"/>
          <w:color w:val="auto"/>
          <w:sz w:val="24"/>
          <w:szCs w:val="24"/>
        </w:rPr>
        <w:t>hospitalization overall was $19</w:t>
      </w:r>
      <w:r w:rsidRPr="00932A95">
        <w:rPr>
          <w:rFonts w:ascii="Book Antiqua" w:hAnsi="Book Antiqua" w:cs="Book Antiqua"/>
          <w:color w:val="auto"/>
          <w:sz w:val="24"/>
          <w:szCs w:val="24"/>
        </w:rPr>
        <w:t>049 in all centers. Teaching hospitals had a significantly higher</w:t>
      </w:r>
      <w:r w:rsidR="00374FC0" w:rsidRPr="00932A95">
        <w:rPr>
          <w:rFonts w:ascii="Book Antiqua" w:hAnsi="Book Antiqua" w:cs="Book Antiqua"/>
          <w:color w:val="auto"/>
          <w:sz w:val="24"/>
          <w:szCs w:val="24"/>
        </w:rPr>
        <w:t xml:space="preserve"> cost of hospitalization of $22</w:t>
      </w:r>
      <w:r w:rsidRPr="00932A95">
        <w:rPr>
          <w:rFonts w:ascii="Book Antiqua" w:hAnsi="Book Antiqua" w:cs="Book Antiqua"/>
          <w:color w:val="auto"/>
          <w:sz w:val="24"/>
          <w:szCs w:val="24"/>
        </w:rPr>
        <w:t>355 compared t</w:t>
      </w:r>
      <w:r w:rsidR="00374FC0" w:rsidRPr="00932A95">
        <w:rPr>
          <w:rFonts w:ascii="Book Antiqua" w:hAnsi="Book Antiqua" w:cs="Book Antiqua"/>
          <w:color w:val="auto"/>
          <w:sz w:val="24"/>
          <w:szCs w:val="24"/>
        </w:rPr>
        <w:t>o non-teaching hospitals at $15</w:t>
      </w:r>
      <w:r w:rsidRPr="00932A95">
        <w:rPr>
          <w:rFonts w:ascii="Book Antiqua" w:hAnsi="Book Antiqua" w:cs="Book Antiqua"/>
          <w:color w:val="auto"/>
          <w:sz w:val="24"/>
          <w:szCs w:val="24"/>
        </w:rPr>
        <w:t>535 (Table 5). Using linear regression analysis and controlling for baseline patient demographics, hospital characteristics, liver decompensation, associated conditions and management, the LOS and cost remained higher in teaching hospitals compared to non-teaching hospitals (Table 6).</w:t>
      </w:r>
    </w:p>
    <w:p w14:paraId="690B0B64" w14:textId="77777777" w:rsidR="0011433B" w:rsidRPr="00932A95" w:rsidRDefault="0011433B" w:rsidP="00374FC0">
      <w:pPr>
        <w:spacing w:line="360" w:lineRule="auto"/>
        <w:jc w:val="both"/>
        <w:rPr>
          <w:rFonts w:ascii="Book Antiqua" w:hAnsi="Book Antiqua" w:cs="Book Antiqua"/>
          <w:color w:val="auto"/>
          <w:sz w:val="24"/>
          <w:szCs w:val="24"/>
        </w:rPr>
      </w:pPr>
    </w:p>
    <w:p w14:paraId="67C0DA4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aps/>
          <w:color w:val="auto"/>
          <w:sz w:val="24"/>
          <w:szCs w:val="24"/>
          <w:u w:val="single"/>
        </w:rPr>
        <w:t>Discussion</w:t>
      </w:r>
    </w:p>
    <w:p w14:paraId="6C821B7F" w14:textId="6A46223E"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Given the advancements in pharmacologic and endoscopic interventions, mortality rates have improved</w:t>
      </w:r>
      <w:r w:rsidRPr="00932A95">
        <w:rPr>
          <w:rFonts w:ascii="Book Antiqua" w:hAnsi="Book Antiqua" w:cs="Book Antiqua"/>
          <w:color w:val="auto"/>
          <w:sz w:val="24"/>
          <w:szCs w:val="24"/>
          <w:vertAlign w:val="superscript"/>
        </w:rPr>
        <w:t>[21]</w:t>
      </w:r>
      <w:r w:rsidRPr="00932A95">
        <w:rPr>
          <w:rFonts w:ascii="Book Antiqua" w:hAnsi="Book Antiqua" w:cs="Book Antiqua"/>
          <w:color w:val="auto"/>
          <w:sz w:val="24"/>
          <w:szCs w:val="24"/>
        </w:rPr>
        <w:t>. Esophageal band ligation (EBL) has largely become standard of care due to its lower rate of complications, mortality and rebleeding</w:t>
      </w:r>
      <w:r w:rsidRPr="00932A95">
        <w:rPr>
          <w:rFonts w:ascii="Book Antiqua" w:hAnsi="Book Antiqua" w:cs="Book Antiqua"/>
          <w:color w:val="auto"/>
          <w:sz w:val="24"/>
          <w:szCs w:val="24"/>
          <w:vertAlign w:val="superscript"/>
        </w:rPr>
        <w:t>[22]</w:t>
      </w:r>
      <w:r w:rsidRPr="00932A95">
        <w:rPr>
          <w:rFonts w:ascii="Book Antiqua" w:hAnsi="Book Antiqua" w:cs="Book Antiqua"/>
          <w:color w:val="auto"/>
          <w:sz w:val="24"/>
          <w:szCs w:val="24"/>
        </w:rPr>
        <w:t>. Though the rates of mortality due to acute variceal bleeding are steadily declining, this complication of portal hypertension still remains one of the leading causes of death in cirrhotic patients</w:t>
      </w:r>
      <w:r w:rsidRPr="00932A95">
        <w:rPr>
          <w:rFonts w:ascii="Book Antiqua" w:hAnsi="Book Antiqua" w:cs="Book Antiqua"/>
          <w:color w:val="auto"/>
          <w:sz w:val="24"/>
          <w:szCs w:val="24"/>
          <w:vertAlign w:val="superscript"/>
        </w:rPr>
        <w:t>[1]</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00374FC0" w:rsidRPr="00932A95">
        <w:rPr>
          <w:rFonts w:ascii="Book Antiqua" w:hAnsi="Book Antiqua" w:cs="Book Antiqua"/>
          <w:color w:val="auto"/>
          <w:sz w:val="24"/>
          <w:szCs w:val="24"/>
        </w:rPr>
        <w:t>Our study looked at 58</w:t>
      </w:r>
      <w:r w:rsidRPr="00932A95">
        <w:rPr>
          <w:rFonts w:ascii="Book Antiqua" w:hAnsi="Book Antiqua" w:cs="Book Antiqua"/>
          <w:color w:val="auto"/>
          <w:sz w:val="24"/>
          <w:szCs w:val="24"/>
        </w:rPr>
        <w:t>362 cases of esophageal variceal bleeding in teaching and nonteaching hospitals between 2008 and 2014 and found that both mortality and length of stay was lower in non-teaching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 xml:space="preserve">In our hospitalized patient population, we found that a higher proportion of patients in teaching hospitals were of non-white race and underwent more rescue procedures (portosystemic shunt </w:t>
      </w:r>
      <w:r w:rsidRPr="00932A95">
        <w:rPr>
          <w:rFonts w:ascii="Book Antiqua" w:hAnsi="Book Antiqua" w:cs="Book Antiqua"/>
          <w:color w:val="auto"/>
          <w:sz w:val="24"/>
          <w:szCs w:val="24"/>
        </w:rPr>
        <w:lastRenderedPageBreak/>
        <w:t>insertion). However, blood transfusions were more commonly given in nonteaching hospitals.</w:t>
      </w:r>
    </w:p>
    <w:p w14:paraId="5665CB33" w14:textId="53A448ED"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While upper gastrointestinal bleeding has previously been associated with a high mortality (up to 10%)</w:t>
      </w:r>
      <w:r w:rsidRPr="00932A95">
        <w:rPr>
          <w:rFonts w:ascii="Book Antiqua" w:hAnsi="Book Antiqua" w:cs="Book Antiqua"/>
          <w:color w:val="auto"/>
          <w:sz w:val="24"/>
          <w:szCs w:val="24"/>
          <w:vertAlign w:val="superscript"/>
        </w:rPr>
        <w:t>[23,24]</w:t>
      </w:r>
      <w:r w:rsidRPr="00932A95">
        <w:rPr>
          <w:rFonts w:ascii="Book Antiqua" w:hAnsi="Book Antiqua" w:cs="Book Antiqua"/>
          <w:color w:val="auto"/>
          <w:sz w:val="24"/>
          <w:szCs w:val="24"/>
        </w:rPr>
        <w:t>, recent studies have shown that the mortality rate has decreased over the past 20 years to as low as 2.1%</w:t>
      </w:r>
      <w:r w:rsidRPr="00932A95">
        <w:rPr>
          <w:rFonts w:ascii="Book Antiqua" w:hAnsi="Book Antiqua" w:cs="Book Antiqua"/>
          <w:color w:val="auto"/>
          <w:sz w:val="24"/>
          <w:szCs w:val="24"/>
          <w:vertAlign w:val="superscript"/>
        </w:rPr>
        <w:t>[21]</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Additionally, rates of EGD performed early in the hospital stay have been steadily increasing over the same time period</w:t>
      </w:r>
      <w:r w:rsidRPr="00932A95">
        <w:rPr>
          <w:rFonts w:ascii="Book Antiqua" w:hAnsi="Book Antiqua" w:cs="Book Antiqua"/>
          <w:color w:val="auto"/>
          <w:sz w:val="24"/>
          <w:szCs w:val="24"/>
          <w:vertAlign w:val="superscript"/>
        </w:rPr>
        <w:t>[21]</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Interventions that are performed during EGD to limit bleeding, likely explain the reductions in mortality, transfusions and need for further supportive therapies such as vasopressors or ICU stays. Delays in EGD in nonteaching hospitals, may therefore, explain the higher rates of transfusions in those institutions but not the decreased mortality.</w:t>
      </w:r>
    </w:p>
    <w:p w14:paraId="1A314B4E" w14:textId="1DB3FBE3"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Our study revealed that hospital costs were higher in 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Prior studies have found that the overall cost during the hospitalization, including the cost of any procedures, were higher in patients who did not undergo early EGD</w:t>
      </w:r>
      <w:r w:rsidRPr="00932A95">
        <w:rPr>
          <w:rFonts w:ascii="Book Antiqua" w:hAnsi="Book Antiqua" w:cs="Book Antiqua"/>
          <w:color w:val="auto"/>
          <w:sz w:val="24"/>
          <w:szCs w:val="24"/>
          <w:vertAlign w:val="superscript"/>
        </w:rPr>
        <w:t>[25]</w:t>
      </w:r>
      <w:r w:rsidRPr="00932A95">
        <w:rPr>
          <w:rFonts w:ascii="Book Antiqua" w:hAnsi="Book Antiqua" w:cs="Book Antiqua"/>
          <w:color w:val="auto"/>
          <w:sz w:val="24"/>
          <w:szCs w:val="24"/>
        </w:rPr>
        <w:t>.</w:t>
      </w:r>
    </w:p>
    <w:p w14:paraId="7022B8C3"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lang w:val="en-US"/>
        </w:rPr>
      </w:pPr>
      <w:r w:rsidRPr="00932A95">
        <w:rPr>
          <w:rFonts w:ascii="Book Antiqua" w:hAnsi="Book Antiqua" w:cs="Book Antiqua"/>
          <w:color w:val="auto"/>
          <w:sz w:val="24"/>
          <w:szCs w:val="24"/>
        </w:rPr>
        <w:t>A main strength of our study is that our sample size is representative of the inpatient population throughout the United States. It is unique in that it looks at the differences among teaching versus nonteaching hospitals in a study population that is nationally representative. Our study period was recent, from 2008 to 2014, and thus reflective of recent endoscopic management for esophageal variceal bleeds.</w:t>
      </w:r>
      <w:r w:rsidRPr="00932A95">
        <w:rPr>
          <w:rFonts w:ascii="Book Antiqua" w:hAnsi="Book Antiqua" w:cs="Book Antiqua"/>
          <w:color w:val="auto"/>
          <w:sz w:val="24"/>
          <w:szCs w:val="24"/>
          <w:lang w:val="en-US"/>
        </w:rPr>
        <w:t xml:space="preserve"> </w:t>
      </w:r>
    </w:p>
    <w:p w14:paraId="7F171157" w14:textId="44C05EA2"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The current study has several limitations. First, the NIS is a database reliant on the delineation and coding of medical diagnoses, which if performed incorrectly can predispose to classification errors and inaccuracies. Second, a patient’s clinical acuity, preoperative and intraoperative performance status, and endoscopic procedure findings cannot be accessed within the NIS</w:t>
      </w:r>
      <w:r w:rsidRPr="00932A95">
        <w:rPr>
          <w:rFonts w:ascii="Book Antiqua" w:hAnsi="Book Antiqua" w:cs="Book Antiqua"/>
          <w:color w:val="auto"/>
          <w:sz w:val="24"/>
          <w:szCs w:val="24"/>
          <w:vertAlign w:val="superscript"/>
        </w:rPr>
        <w:t>[26]</w:t>
      </w:r>
      <w:r w:rsidRPr="00932A95">
        <w:rPr>
          <w:rFonts w:ascii="Book Antiqua" w:hAnsi="Book Antiqua" w:cs="Book Antiqua"/>
          <w:color w:val="auto"/>
          <w:sz w:val="24"/>
          <w:szCs w:val="24"/>
        </w:rPr>
        <w:t xml:space="preserve">. Third, the inherent features of the database do not allow us to fully assess a patient’s hospital course. This further limits our ability to distinguish temporal relationships between medical diagnoses and their causality with patient </w:t>
      </w:r>
      <w:r w:rsidRPr="00932A95">
        <w:rPr>
          <w:rFonts w:ascii="Book Antiqua" w:hAnsi="Book Antiqua" w:cs="Book Antiqua"/>
          <w:color w:val="auto"/>
          <w:sz w:val="24"/>
          <w:szCs w:val="24"/>
        </w:rPr>
        <w:lastRenderedPageBreak/>
        <w:t>outcomes. Fourth, we did not include patients diagnosed with an AVB after admission to the hospital, which could have underestimated rates of mortality. Fifth, we were also unable to discern rates of re-bleeding post endoscopic intervention or if these AVB events were primary or recurrent, which if recurrent would place a patient at a higher risk of mortality</w:t>
      </w:r>
      <w:r w:rsidRPr="00932A95">
        <w:rPr>
          <w:rFonts w:ascii="Book Antiqua" w:hAnsi="Book Antiqua" w:cs="Book Antiqua"/>
          <w:color w:val="auto"/>
          <w:sz w:val="24"/>
          <w:szCs w:val="24"/>
          <w:vertAlign w:val="superscript"/>
        </w:rPr>
        <w:t>[27,28]</w:t>
      </w:r>
      <w:r w:rsidRPr="00932A95">
        <w:rPr>
          <w:rFonts w:ascii="Book Antiqua" w:hAnsi="Book Antiqua" w:cs="Book Antiqua"/>
          <w:color w:val="auto"/>
          <w:sz w:val="24"/>
          <w:szCs w:val="24"/>
        </w:rPr>
        <w:t xml:space="preserve">. Moreover, pertinent variables including lab values, endoscopic findings and therapies, vital signs were missing as these are not available using the NIS database. Lastly, pharmacological therapy such as octreotide as well as prophylaxis measures with nonselective beta-blockers is not included in the NIS, which are important confounders that may have affected patient outcome between hospital settings. </w:t>
      </w:r>
    </w:p>
    <w:p w14:paraId="3301243A"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Despite this, the findings are intriguing.</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Further prospective studies may need to be completed in order to determine causality and delineate whether teaching status affects patient outcomes.</w:t>
      </w:r>
    </w:p>
    <w:p w14:paraId="4DD79505" w14:textId="77777777" w:rsidR="0011433B" w:rsidRPr="00932A95" w:rsidRDefault="0011433B" w:rsidP="00374FC0">
      <w:pPr>
        <w:spacing w:line="360" w:lineRule="auto"/>
        <w:jc w:val="both"/>
        <w:rPr>
          <w:rFonts w:ascii="Book Antiqua" w:hAnsi="Book Antiqua" w:cs="Book Antiqua"/>
          <w:color w:val="auto"/>
          <w:sz w:val="24"/>
          <w:szCs w:val="24"/>
        </w:rPr>
      </w:pPr>
    </w:p>
    <w:p w14:paraId="627CB363"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color w:val="auto"/>
          <w:sz w:val="24"/>
          <w:szCs w:val="24"/>
          <w:u w:val="single"/>
        </w:rPr>
        <w:t>ARTICLE HIGHLIGHTS</w:t>
      </w:r>
    </w:p>
    <w:p w14:paraId="64FABD3F"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background</w:t>
      </w:r>
    </w:p>
    <w:p w14:paraId="023B036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Acute variceal bleeding is a major complication of portal hypertension and is a leading cause of death in patients with cirrhosis.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There is limited data on the outcomes of patients with esophageal variceal bleeding in teaching versus nonteaching hospitals.</w:t>
      </w:r>
    </w:p>
    <w:p w14:paraId="2CFDBD37" w14:textId="77777777" w:rsidR="0011433B" w:rsidRPr="00932A95" w:rsidRDefault="0011433B" w:rsidP="00374FC0">
      <w:pPr>
        <w:spacing w:line="360" w:lineRule="auto"/>
        <w:jc w:val="both"/>
        <w:rPr>
          <w:rFonts w:ascii="Book Antiqua" w:hAnsi="Book Antiqua" w:cs="Book Antiqua"/>
          <w:color w:val="auto"/>
          <w:sz w:val="24"/>
          <w:szCs w:val="24"/>
        </w:rPr>
      </w:pPr>
    </w:p>
    <w:p w14:paraId="1D50AF1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motivation</w:t>
      </w:r>
    </w:p>
    <w:p w14:paraId="3B58DF9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To understand if the teaching status of a hospital has better or poorer outcomes in management of patients with variceal bleeding. </w:t>
      </w:r>
    </w:p>
    <w:p w14:paraId="5B876BF7" w14:textId="77777777" w:rsidR="0011433B" w:rsidRPr="00932A95" w:rsidRDefault="0011433B" w:rsidP="00374FC0">
      <w:pPr>
        <w:spacing w:line="360" w:lineRule="auto"/>
        <w:jc w:val="both"/>
        <w:rPr>
          <w:rFonts w:ascii="Book Antiqua" w:hAnsi="Book Antiqua" w:cs="Book Antiqua"/>
          <w:color w:val="auto"/>
          <w:sz w:val="24"/>
          <w:szCs w:val="24"/>
        </w:rPr>
      </w:pPr>
    </w:p>
    <w:p w14:paraId="7545CC14"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objectives</w:t>
      </w:r>
    </w:p>
    <w:p w14:paraId="11B303F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Compare outcomes of mortality, length of stay and cost of hospitalization amongst patients presenting with acute variceal bleeding in cohorts of teaching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nonteaching hospitals.</w:t>
      </w:r>
    </w:p>
    <w:p w14:paraId="1BAB04F4" w14:textId="77777777" w:rsidR="0011433B" w:rsidRPr="00932A95" w:rsidRDefault="0011433B" w:rsidP="00374FC0">
      <w:pPr>
        <w:spacing w:line="360" w:lineRule="auto"/>
        <w:jc w:val="both"/>
        <w:rPr>
          <w:rFonts w:ascii="Book Antiqua" w:hAnsi="Book Antiqua" w:cs="Book Antiqua"/>
          <w:color w:val="auto"/>
          <w:sz w:val="24"/>
          <w:szCs w:val="24"/>
        </w:rPr>
      </w:pPr>
    </w:p>
    <w:p w14:paraId="0AE9B44C"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methods</w:t>
      </w:r>
    </w:p>
    <w:p w14:paraId="42B68F2B" w14:textId="28A10F56" w:rsidR="0011433B" w:rsidRPr="002447C7" w:rsidRDefault="002F52BB" w:rsidP="00374FC0">
      <w:pPr>
        <w:spacing w:line="360" w:lineRule="auto"/>
        <w:jc w:val="both"/>
        <w:rPr>
          <w:rFonts w:ascii="Book Antiqua" w:eastAsiaTheme="minorEastAsia" w:hAnsi="Book Antiqua" w:cs="Book Antiqua"/>
          <w:color w:val="auto"/>
          <w:sz w:val="24"/>
          <w:szCs w:val="24"/>
          <w:lang w:eastAsia="zh-CN"/>
        </w:rPr>
      </w:pPr>
      <w:r w:rsidRPr="00932A95">
        <w:rPr>
          <w:rFonts w:ascii="Book Antiqua" w:hAnsi="Book Antiqua" w:cs="Book Antiqua"/>
          <w:color w:val="auto"/>
          <w:sz w:val="24"/>
          <w:szCs w:val="24"/>
        </w:rPr>
        <w:t>We looked at retrospective data from a large national database of patients that presented with acute variceal bleeding</w:t>
      </w:r>
      <w:r w:rsidR="002447C7">
        <w:rPr>
          <w:rFonts w:ascii="Book Antiqua" w:eastAsiaTheme="minorEastAsia" w:hAnsi="Book Antiqua" w:cs="Book Antiqua" w:hint="eastAsia"/>
          <w:color w:val="auto"/>
          <w:sz w:val="24"/>
          <w:szCs w:val="24"/>
          <w:lang w:eastAsia="zh-CN"/>
        </w:rPr>
        <w:t>.</w:t>
      </w:r>
    </w:p>
    <w:p w14:paraId="709F2A01" w14:textId="77777777" w:rsidR="0011433B" w:rsidRPr="00932A95" w:rsidRDefault="0011433B" w:rsidP="00374FC0">
      <w:pPr>
        <w:spacing w:line="360" w:lineRule="auto"/>
        <w:jc w:val="both"/>
        <w:rPr>
          <w:rFonts w:ascii="Book Antiqua" w:hAnsi="Book Antiqua" w:cs="Book Antiqua"/>
          <w:color w:val="auto"/>
          <w:sz w:val="24"/>
          <w:szCs w:val="24"/>
        </w:rPr>
      </w:pPr>
    </w:p>
    <w:p w14:paraId="251B49D9"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results</w:t>
      </w:r>
    </w:p>
    <w:p w14:paraId="22ECC97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The mortality, length of stay and cost of hospitalization was higher amongst patients with acute variceal bleeding that presented to a teaching hospital.</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When controlling for comorbidities and hospital characteristics this remained statistically significant.</w:t>
      </w:r>
    </w:p>
    <w:p w14:paraId="70F8FC6B" w14:textId="77777777" w:rsidR="0011433B" w:rsidRPr="00932A95" w:rsidRDefault="0011433B" w:rsidP="00374FC0">
      <w:pPr>
        <w:spacing w:line="360" w:lineRule="auto"/>
        <w:jc w:val="both"/>
        <w:rPr>
          <w:rFonts w:ascii="Book Antiqua" w:hAnsi="Book Antiqua" w:cs="Book Antiqua"/>
          <w:color w:val="auto"/>
          <w:sz w:val="24"/>
          <w:szCs w:val="24"/>
        </w:rPr>
      </w:pPr>
    </w:p>
    <w:p w14:paraId="1AF8853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conclusions</w:t>
      </w:r>
    </w:p>
    <w:p w14:paraId="4B1A671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Teaching hospitals did worse in outcomes for patients with variceal bleeding when compared to non-teaching hospitals. Further details may need to be deciphered as to what could contribute to these findings.</w:t>
      </w:r>
    </w:p>
    <w:p w14:paraId="4EF0CED7" w14:textId="77777777" w:rsidR="0011433B" w:rsidRPr="00932A95" w:rsidRDefault="0011433B" w:rsidP="00374FC0">
      <w:pPr>
        <w:spacing w:line="360" w:lineRule="auto"/>
        <w:jc w:val="both"/>
        <w:rPr>
          <w:rFonts w:ascii="Book Antiqua" w:hAnsi="Book Antiqua" w:cs="Book Antiqua"/>
          <w:color w:val="auto"/>
          <w:sz w:val="24"/>
          <w:szCs w:val="24"/>
        </w:rPr>
      </w:pPr>
    </w:p>
    <w:p w14:paraId="073BFBE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perspectives</w:t>
      </w:r>
    </w:p>
    <w:p w14:paraId="233A9E3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Prospective studies at teaching and non-teaching institutions when controlling for severity of illness can shed light on whether teaching hospitals need to improve their delivery of care for patients with variceal bleeding.</w:t>
      </w:r>
    </w:p>
    <w:p w14:paraId="1AD35ACD" w14:textId="77777777" w:rsidR="0011433B" w:rsidRPr="00932A95" w:rsidRDefault="0011433B" w:rsidP="00374FC0">
      <w:pPr>
        <w:spacing w:line="360" w:lineRule="auto"/>
        <w:jc w:val="both"/>
        <w:rPr>
          <w:rFonts w:ascii="Book Antiqua" w:hAnsi="Book Antiqua" w:cs="Book Antiqua"/>
          <w:color w:val="auto"/>
          <w:sz w:val="24"/>
          <w:szCs w:val="24"/>
        </w:rPr>
      </w:pPr>
    </w:p>
    <w:p w14:paraId="394F2943"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REFERENCES</w:t>
      </w:r>
    </w:p>
    <w:p w14:paraId="2CEED16C"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 </w:t>
      </w:r>
      <w:r w:rsidRPr="00BD4EE8">
        <w:rPr>
          <w:rFonts w:ascii="Book Antiqua" w:eastAsia="宋体" w:hAnsi="Book Antiqua" w:cs="Times New Roman"/>
          <w:b/>
          <w:color w:val="auto"/>
          <w:kern w:val="2"/>
          <w:sz w:val="24"/>
          <w:szCs w:val="24"/>
          <w:lang w:val="en-US" w:eastAsia="zh-CN"/>
        </w:rPr>
        <w:t>Carbonell N</w:t>
      </w:r>
      <w:r w:rsidRPr="00BD4EE8">
        <w:rPr>
          <w:rFonts w:ascii="Book Antiqua" w:eastAsia="宋体" w:hAnsi="Book Antiqua" w:cs="Times New Roman"/>
          <w:color w:val="auto"/>
          <w:kern w:val="2"/>
          <w:sz w:val="24"/>
          <w:szCs w:val="24"/>
          <w:lang w:val="en-US" w:eastAsia="zh-CN"/>
        </w:rPr>
        <w:t xml:space="preserve">, Pauwels A, Serfaty L, Fourdan O, Lévy VG, Poupon R. Improved survival after variceal bleeding in patients with cirrhosis over the past two decades. </w:t>
      </w:r>
      <w:r w:rsidRPr="00BD4EE8">
        <w:rPr>
          <w:rFonts w:ascii="Book Antiqua" w:eastAsia="宋体" w:hAnsi="Book Antiqua" w:cs="Times New Roman"/>
          <w:i/>
          <w:color w:val="auto"/>
          <w:kern w:val="2"/>
          <w:sz w:val="24"/>
          <w:szCs w:val="24"/>
          <w:lang w:val="en-US" w:eastAsia="zh-CN"/>
        </w:rPr>
        <w:t>Hepatology</w:t>
      </w:r>
      <w:r w:rsidRPr="00BD4EE8">
        <w:rPr>
          <w:rFonts w:ascii="Book Antiqua" w:eastAsia="宋体" w:hAnsi="Book Antiqua" w:cs="Times New Roman"/>
          <w:color w:val="auto"/>
          <w:kern w:val="2"/>
          <w:sz w:val="24"/>
          <w:szCs w:val="24"/>
          <w:lang w:val="en-US" w:eastAsia="zh-CN"/>
        </w:rPr>
        <w:t xml:space="preserve"> 2004; </w:t>
      </w:r>
      <w:r w:rsidRPr="00BD4EE8">
        <w:rPr>
          <w:rFonts w:ascii="Book Antiqua" w:eastAsia="宋体" w:hAnsi="Book Antiqua" w:cs="Times New Roman"/>
          <w:b/>
          <w:color w:val="auto"/>
          <w:kern w:val="2"/>
          <w:sz w:val="24"/>
          <w:szCs w:val="24"/>
          <w:lang w:val="en-US" w:eastAsia="zh-CN"/>
        </w:rPr>
        <w:t>40</w:t>
      </w:r>
      <w:r w:rsidRPr="00BD4EE8">
        <w:rPr>
          <w:rFonts w:ascii="Book Antiqua" w:eastAsia="宋体" w:hAnsi="Book Antiqua" w:cs="Times New Roman"/>
          <w:color w:val="auto"/>
          <w:kern w:val="2"/>
          <w:sz w:val="24"/>
          <w:szCs w:val="24"/>
          <w:lang w:val="en-US" w:eastAsia="zh-CN"/>
        </w:rPr>
        <w:t>: 652-659 [PMID: 15349904 DOI: 10.1002/hep.20339]</w:t>
      </w:r>
    </w:p>
    <w:p w14:paraId="60E4ED28"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 </w:t>
      </w:r>
      <w:r w:rsidRPr="00BD4EE8">
        <w:rPr>
          <w:rFonts w:ascii="Book Antiqua" w:eastAsia="宋体" w:hAnsi="Book Antiqua" w:cs="Times New Roman"/>
          <w:b/>
          <w:color w:val="auto"/>
          <w:kern w:val="2"/>
          <w:sz w:val="24"/>
          <w:szCs w:val="24"/>
          <w:lang w:val="en-US" w:eastAsia="zh-CN"/>
        </w:rPr>
        <w:t>El-Serag HB</w:t>
      </w:r>
      <w:r w:rsidRPr="00BD4EE8">
        <w:rPr>
          <w:rFonts w:ascii="Book Antiqua" w:eastAsia="宋体" w:hAnsi="Book Antiqua" w:cs="Times New Roman"/>
          <w:color w:val="auto"/>
          <w:kern w:val="2"/>
          <w:sz w:val="24"/>
          <w:szCs w:val="24"/>
          <w:lang w:val="en-US" w:eastAsia="zh-CN"/>
        </w:rPr>
        <w:t xml:space="preserve">, Everhart JE. Improved survival after variceal hemorrhage over an 11-year period in the Department of Veterans Affairs. </w:t>
      </w:r>
      <w:r w:rsidRPr="00BD4EE8">
        <w:rPr>
          <w:rFonts w:ascii="Book Antiqua" w:eastAsia="宋体" w:hAnsi="Book Antiqua" w:cs="Times New Roman"/>
          <w:i/>
          <w:color w:val="auto"/>
          <w:kern w:val="2"/>
          <w:sz w:val="24"/>
          <w:szCs w:val="24"/>
          <w:lang w:val="en-US" w:eastAsia="zh-CN"/>
        </w:rPr>
        <w:t>Am J Gastroenterol</w:t>
      </w:r>
      <w:r w:rsidRPr="00BD4EE8">
        <w:rPr>
          <w:rFonts w:ascii="Book Antiqua" w:eastAsia="宋体" w:hAnsi="Book Antiqua" w:cs="Times New Roman"/>
          <w:color w:val="auto"/>
          <w:kern w:val="2"/>
          <w:sz w:val="24"/>
          <w:szCs w:val="24"/>
          <w:lang w:val="en-US" w:eastAsia="zh-CN"/>
        </w:rPr>
        <w:t xml:space="preserve"> 2000; </w:t>
      </w:r>
      <w:r w:rsidRPr="00BD4EE8">
        <w:rPr>
          <w:rFonts w:ascii="Book Antiqua" w:eastAsia="宋体" w:hAnsi="Book Antiqua" w:cs="Times New Roman"/>
          <w:b/>
          <w:color w:val="auto"/>
          <w:kern w:val="2"/>
          <w:sz w:val="24"/>
          <w:szCs w:val="24"/>
          <w:lang w:val="en-US" w:eastAsia="zh-CN"/>
        </w:rPr>
        <w:t>95</w:t>
      </w:r>
      <w:r w:rsidRPr="00BD4EE8">
        <w:rPr>
          <w:rFonts w:ascii="Book Antiqua" w:eastAsia="宋体" w:hAnsi="Book Antiqua" w:cs="Times New Roman"/>
          <w:color w:val="auto"/>
          <w:kern w:val="2"/>
          <w:sz w:val="24"/>
          <w:szCs w:val="24"/>
          <w:lang w:val="en-US" w:eastAsia="zh-CN"/>
        </w:rPr>
        <w:t>: 3566-3573 [PMID: 11151893 DOI: 10.1016/S0002-9270(00)02169-9]</w:t>
      </w:r>
    </w:p>
    <w:p w14:paraId="496AF7F7"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3 </w:t>
      </w:r>
      <w:r w:rsidRPr="00BD4EE8">
        <w:rPr>
          <w:rFonts w:ascii="Book Antiqua" w:eastAsia="宋体" w:hAnsi="Book Antiqua" w:cs="Times New Roman"/>
          <w:b/>
          <w:color w:val="auto"/>
          <w:kern w:val="2"/>
          <w:sz w:val="24"/>
          <w:szCs w:val="24"/>
          <w:lang w:val="en-US" w:eastAsia="zh-CN"/>
        </w:rPr>
        <w:t>D'Amico G</w:t>
      </w:r>
      <w:r w:rsidRPr="00BD4EE8">
        <w:rPr>
          <w:rFonts w:ascii="Book Antiqua" w:eastAsia="宋体" w:hAnsi="Book Antiqua" w:cs="Times New Roman"/>
          <w:color w:val="auto"/>
          <w:kern w:val="2"/>
          <w:sz w:val="24"/>
          <w:szCs w:val="24"/>
          <w:lang w:val="en-US" w:eastAsia="zh-CN"/>
        </w:rPr>
        <w:t xml:space="preserve">, De Franchis R; Cooperative Study Group. Upper digestive </w:t>
      </w:r>
      <w:r w:rsidRPr="00BD4EE8">
        <w:rPr>
          <w:rFonts w:ascii="Book Antiqua" w:eastAsia="宋体" w:hAnsi="Book Antiqua" w:cs="Times New Roman"/>
          <w:color w:val="auto"/>
          <w:kern w:val="2"/>
          <w:sz w:val="24"/>
          <w:szCs w:val="24"/>
          <w:lang w:val="en-US" w:eastAsia="zh-CN"/>
        </w:rPr>
        <w:lastRenderedPageBreak/>
        <w:t xml:space="preserve">bleeding in cirrhosis. Post-therapeutic outcome and prognostic indicators. </w:t>
      </w:r>
      <w:r w:rsidRPr="00BD4EE8">
        <w:rPr>
          <w:rFonts w:ascii="Book Antiqua" w:eastAsia="宋体" w:hAnsi="Book Antiqua" w:cs="Times New Roman"/>
          <w:i/>
          <w:color w:val="auto"/>
          <w:kern w:val="2"/>
          <w:sz w:val="24"/>
          <w:szCs w:val="24"/>
          <w:lang w:val="en-US" w:eastAsia="zh-CN"/>
        </w:rPr>
        <w:t>Hepatology</w:t>
      </w:r>
      <w:r w:rsidRPr="00BD4EE8">
        <w:rPr>
          <w:rFonts w:ascii="Book Antiqua" w:eastAsia="宋体" w:hAnsi="Book Antiqua" w:cs="Times New Roman"/>
          <w:color w:val="auto"/>
          <w:kern w:val="2"/>
          <w:sz w:val="24"/>
          <w:szCs w:val="24"/>
          <w:lang w:val="en-US" w:eastAsia="zh-CN"/>
        </w:rPr>
        <w:t xml:space="preserve"> 2003; </w:t>
      </w:r>
      <w:r w:rsidRPr="00BD4EE8">
        <w:rPr>
          <w:rFonts w:ascii="Book Antiqua" w:eastAsia="宋体" w:hAnsi="Book Antiqua" w:cs="Times New Roman"/>
          <w:b/>
          <w:color w:val="auto"/>
          <w:kern w:val="2"/>
          <w:sz w:val="24"/>
          <w:szCs w:val="24"/>
          <w:lang w:val="en-US" w:eastAsia="zh-CN"/>
        </w:rPr>
        <w:t>38</w:t>
      </w:r>
      <w:r w:rsidRPr="00BD4EE8">
        <w:rPr>
          <w:rFonts w:ascii="Book Antiqua" w:eastAsia="宋体" w:hAnsi="Book Antiqua" w:cs="Times New Roman"/>
          <w:color w:val="auto"/>
          <w:kern w:val="2"/>
          <w:sz w:val="24"/>
          <w:szCs w:val="24"/>
          <w:lang w:val="en-US" w:eastAsia="zh-CN"/>
        </w:rPr>
        <w:t>: 599-612 [PMID: 12939586 DOI: 10.1053/jhep.2003.50385]</w:t>
      </w:r>
    </w:p>
    <w:p w14:paraId="27B78FCE"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4 </w:t>
      </w:r>
      <w:r w:rsidRPr="00BD4EE8">
        <w:rPr>
          <w:rFonts w:ascii="Book Antiqua" w:eastAsia="宋体" w:hAnsi="Book Antiqua" w:cs="Times New Roman"/>
          <w:b/>
          <w:color w:val="auto"/>
          <w:kern w:val="2"/>
          <w:sz w:val="24"/>
          <w:szCs w:val="24"/>
          <w:lang w:val="en-US" w:eastAsia="zh-CN"/>
        </w:rPr>
        <w:t>Chen PH</w:t>
      </w:r>
      <w:r w:rsidRPr="00BD4EE8">
        <w:rPr>
          <w:rFonts w:ascii="Book Antiqua" w:eastAsia="宋体" w:hAnsi="Book Antiqua" w:cs="Times New Roman"/>
          <w:color w:val="auto"/>
          <w:kern w:val="2"/>
          <w:sz w:val="24"/>
          <w:szCs w:val="24"/>
          <w:lang w:val="en-US" w:eastAsia="zh-CN"/>
        </w:rPr>
        <w:t xml:space="preserve">, Chen WC, Hou MC, Liu TT, Chang CJ, Liao WC, Su CW, Wang HM, Lin HC, Lee FY, Lee SD. Delayed endoscopy increases re-bleeding and mortality in patients with hematemesis and active esophageal variceal bleeding: a cohort study. </w:t>
      </w:r>
      <w:r w:rsidRPr="00BD4EE8">
        <w:rPr>
          <w:rFonts w:ascii="Book Antiqua" w:eastAsia="宋体" w:hAnsi="Book Antiqua" w:cs="Times New Roman"/>
          <w:i/>
          <w:color w:val="auto"/>
          <w:kern w:val="2"/>
          <w:sz w:val="24"/>
          <w:szCs w:val="24"/>
          <w:lang w:val="en-US" w:eastAsia="zh-CN"/>
        </w:rPr>
        <w:t>J Hepatol</w:t>
      </w:r>
      <w:r w:rsidRPr="00BD4EE8">
        <w:rPr>
          <w:rFonts w:ascii="Book Antiqua" w:eastAsia="宋体" w:hAnsi="Book Antiqua" w:cs="Times New Roman"/>
          <w:color w:val="auto"/>
          <w:kern w:val="2"/>
          <w:sz w:val="24"/>
          <w:szCs w:val="24"/>
          <w:lang w:val="en-US" w:eastAsia="zh-CN"/>
        </w:rPr>
        <w:t xml:space="preserve"> 2012; </w:t>
      </w:r>
      <w:r w:rsidRPr="00BD4EE8">
        <w:rPr>
          <w:rFonts w:ascii="Book Antiqua" w:eastAsia="宋体" w:hAnsi="Book Antiqua" w:cs="Times New Roman"/>
          <w:b/>
          <w:color w:val="auto"/>
          <w:kern w:val="2"/>
          <w:sz w:val="24"/>
          <w:szCs w:val="24"/>
          <w:lang w:val="en-US" w:eastAsia="zh-CN"/>
        </w:rPr>
        <w:t>57</w:t>
      </w:r>
      <w:r w:rsidRPr="00BD4EE8">
        <w:rPr>
          <w:rFonts w:ascii="Book Antiqua" w:eastAsia="宋体" w:hAnsi="Book Antiqua" w:cs="Times New Roman"/>
          <w:color w:val="auto"/>
          <w:kern w:val="2"/>
          <w:sz w:val="24"/>
          <w:szCs w:val="24"/>
          <w:lang w:val="en-US" w:eastAsia="zh-CN"/>
        </w:rPr>
        <w:t>: 1207-1213 [PMID: 22885718 DOI: 10.1016/j.jhep.2012.07.038]</w:t>
      </w:r>
    </w:p>
    <w:p w14:paraId="481499D8"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5 </w:t>
      </w:r>
      <w:r w:rsidRPr="00BD4EE8">
        <w:rPr>
          <w:rFonts w:ascii="Book Antiqua" w:eastAsia="宋体" w:hAnsi="Book Antiqua" w:cs="Times New Roman"/>
          <w:b/>
          <w:color w:val="auto"/>
          <w:kern w:val="2"/>
          <w:sz w:val="24"/>
          <w:szCs w:val="24"/>
          <w:lang w:val="en-US" w:eastAsia="zh-CN"/>
        </w:rPr>
        <w:t>Garcia-Tsao G</w:t>
      </w:r>
      <w:r w:rsidRPr="00BD4EE8">
        <w:rPr>
          <w:rFonts w:ascii="Book Antiqua" w:eastAsia="宋体" w:hAnsi="Book Antiqua" w:cs="Times New Roman"/>
          <w:color w:val="auto"/>
          <w:kern w:val="2"/>
          <w:sz w:val="24"/>
          <w:szCs w:val="24"/>
          <w:lang w:val="en-US" w:eastAsia="zh-CN"/>
        </w:rPr>
        <w:t xml:space="preserve">, Bosch J. Management of varices and variceal hemorrhage in cirrhosis. </w:t>
      </w:r>
      <w:r w:rsidRPr="00BD4EE8">
        <w:rPr>
          <w:rFonts w:ascii="Book Antiqua" w:eastAsia="宋体" w:hAnsi="Book Antiqua" w:cs="Times New Roman"/>
          <w:i/>
          <w:color w:val="auto"/>
          <w:kern w:val="2"/>
          <w:sz w:val="24"/>
          <w:szCs w:val="24"/>
          <w:lang w:val="en-US" w:eastAsia="zh-CN"/>
        </w:rPr>
        <w:t>N Engl J Med</w:t>
      </w:r>
      <w:r w:rsidRPr="00BD4EE8">
        <w:rPr>
          <w:rFonts w:ascii="Book Antiqua" w:eastAsia="宋体" w:hAnsi="Book Antiqua" w:cs="Times New Roman"/>
          <w:color w:val="auto"/>
          <w:kern w:val="2"/>
          <w:sz w:val="24"/>
          <w:szCs w:val="24"/>
          <w:lang w:val="en-US" w:eastAsia="zh-CN"/>
        </w:rPr>
        <w:t xml:space="preserve"> 2010; </w:t>
      </w:r>
      <w:r w:rsidRPr="00BD4EE8">
        <w:rPr>
          <w:rFonts w:ascii="Book Antiqua" w:eastAsia="宋体" w:hAnsi="Book Antiqua" w:cs="Times New Roman"/>
          <w:b/>
          <w:color w:val="auto"/>
          <w:kern w:val="2"/>
          <w:sz w:val="24"/>
          <w:szCs w:val="24"/>
          <w:lang w:val="en-US" w:eastAsia="zh-CN"/>
        </w:rPr>
        <w:t>362</w:t>
      </w:r>
      <w:r w:rsidRPr="00BD4EE8">
        <w:rPr>
          <w:rFonts w:ascii="Book Antiqua" w:eastAsia="宋体" w:hAnsi="Book Antiqua" w:cs="Times New Roman"/>
          <w:color w:val="auto"/>
          <w:kern w:val="2"/>
          <w:sz w:val="24"/>
          <w:szCs w:val="24"/>
          <w:lang w:val="en-US" w:eastAsia="zh-CN"/>
        </w:rPr>
        <w:t>: 823-832 [PMID: 20200386 DOI: 10.1056/NEJMra0901512]</w:t>
      </w:r>
    </w:p>
    <w:p w14:paraId="595EBC4C"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6 </w:t>
      </w:r>
      <w:r w:rsidRPr="00BD4EE8">
        <w:rPr>
          <w:rFonts w:ascii="Book Antiqua" w:eastAsia="宋体" w:hAnsi="Book Antiqua" w:cs="Times New Roman"/>
          <w:b/>
          <w:color w:val="auto"/>
          <w:kern w:val="2"/>
          <w:sz w:val="24"/>
          <w:szCs w:val="24"/>
          <w:lang w:val="en-US" w:eastAsia="zh-CN"/>
        </w:rPr>
        <w:t>International Working Party to Promote and Revitalise Academic Medicine</w:t>
      </w:r>
      <w:r w:rsidRPr="00BD4EE8">
        <w:rPr>
          <w:rFonts w:ascii="Book Antiqua" w:eastAsia="宋体" w:hAnsi="Book Antiqua" w:cs="Times New Roman"/>
          <w:color w:val="auto"/>
          <w:kern w:val="2"/>
          <w:sz w:val="24"/>
          <w:szCs w:val="24"/>
          <w:lang w:val="en-US" w:eastAsia="zh-CN"/>
        </w:rPr>
        <w:t xml:space="preserve">. Academic medicine: the evidence base. </w:t>
      </w:r>
      <w:r w:rsidRPr="00BD4EE8">
        <w:rPr>
          <w:rFonts w:ascii="Book Antiqua" w:eastAsia="宋体" w:hAnsi="Book Antiqua" w:cs="Times New Roman"/>
          <w:i/>
          <w:color w:val="auto"/>
          <w:kern w:val="2"/>
          <w:sz w:val="24"/>
          <w:szCs w:val="24"/>
          <w:lang w:val="en-US" w:eastAsia="zh-CN"/>
        </w:rPr>
        <w:t>BMJ</w:t>
      </w:r>
      <w:r w:rsidRPr="00BD4EE8">
        <w:rPr>
          <w:rFonts w:ascii="Book Antiqua" w:eastAsia="宋体" w:hAnsi="Book Antiqua" w:cs="Times New Roman"/>
          <w:color w:val="auto"/>
          <w:kern w:val="2"/>
          <w:sz w:val="24"/>
          <w:szCs w:val="24"/>
          <w:lang w:val="en-US" w:eastAsia="zh-CN"/>
        </w:rPr>
        <w:t xml:space="preserve"> 2004; </w:t>
      </w:r>
      <w:r w:rsidRPr="00BD4EE8">
        <w:rPr>
          <w:rFonts w:ascii="Book Antiqua" w:eastAsia="宋体" w:hAnsi="Book Antiqua" w:cs="Times New Roman"/>
          <w:b/>
          <w:color w:val="auto"/>
          <w:kern w:val="2"/>
          <w:sz w:val="24"/>
          <w:szCs w:val="24"/>
          <w:lang w:val="en-US" w:eastAsia="zh-CN"/>
        </w:rPr>
        <w:t>329</w:t>
      </w:r>
      <w:r w:rsidRPr="00BD4EE8">
        <w:rPr>
          <w:rFonts w:ascii="Book Antiqua" w:eastAsia="宋体" w:hAnsi="Book Antiqua" w:cs="Times New Roman"/>
          <w:color w:val="auto"/>
          <w:kern w:val="2"/>
          <w:sz w:val="24"/>
          <w:szCs w:val="24"/>
          <w:lang w:val="en-US" w:eastAsia="zh-CN"/>
        </w:rPr>
        <w:t>: 789-792 [PMID: 15459055 DOI: 10.1136/bmj.329.7469.789]</w:t>
      </w:r>
    </w:p>
    <w:p w14:paraId="226A9EBB"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7 </w:t>
      </w:r>
      <w:r w:rsidRPr="00BD4EE8">
        <w:rPr>
          <w:rFonts w:ascii="Book Antiqua" w:eastAsia="宋体" w:hAnsi="Book Antiqua" w:cs="Times New Roman"/>
          <w:b/>
          <w:color w:val="auto"/>
          <w:kern w:val="2"/>
          <w:sz w:val="24"/>
          <w:szCs w:val="24"/>
          <w:lang w:val="en-US" w:eastAsia="zh-CN"/>
        </w:rPr>
        <w:t>Shetty KD</w:t>
      </w:r>
      <w:r w:rsidRPr="00BD4EE8">
        <w:rPr>
          <w:rFonts w:ascii="Book Antiqua" w:eastAsia="宋体" w:hAnsi="Book Antiqua" w:cs="Times New Roman"/>
          <w:color w:val="auto"/>
          <w:kern w:val="2"/>
          <w:sz w:val="24"/>
          <w:szCs w:val="24"/>
          <w:lang w:val="en-US" w:eastAsia="zh-CN"/>
        </w:rPr>
        <w:t xml:space="preserve">, Bhattacharya J. Changes in hospital mortality associated with residency work-hour regulations. </w:t>
      </w:r>
      <w:r w:rsidRPr="00BD4EE8">
        <w:rPr>
          <w:rFonts w:ascii="Book Antiqua" w:eastAsia="宋体" w:hAnsi="Book Antiqua" w:cs="Times New Roman"/>
          <w:i/>
          <w:color w:val="auto"/>
          <w:kern w:val="2"/>
          <w:sz w:val="24"/>
          <w:szCs w:val="24"/>
          <w:lang w:val="en-US" w:eastAsia="zh-CN"/>
        </w:rPr>
        <w:t>Ann Intern Med</w:t>
      </w:r>
      <w:r w:rsidRPr="00BD4EE8">
        <w:rPr>
          <w:rFonts w:ascii="Book Antiqua" w:eastAsia="宋体" w:hAnsi="Book Antiqua" w:cs="Times New Roman"/>
          <w:color w:val="auto"/>
          <w:kern w:val="2"/>
          <w:sz w:val="24"/>
          <w:szCs w:val="24"/>
          <w:lang w:val="en-US" w:eastAsia="zh-CN"/>
        </w:rPr>
        <w:t xml:space="preserve"> 2007; </w:t>
      </w:r>
      <w:r w:rsidRPr="00BD4EE8">
        <w:rPr>
          <w:rFonts w:ascii="Book Antiqua" w:eastAsia="宋体" w:hAnsi="Book Antiqua" w:cs="Times New Roman"/>
          <w:b/>
          <w:color w:val="auto"/>
          <w:kern w:val="2"/>
          <w:sz w:val="24"/>
          <w:szCs w:val="24"/>
          <w:lang w:val="en-US" w:eastAsia="zh-CN"/>
        </w:rPr>
        <w:t>147</w:t>
      </w:r>
      <w:r w:rsidRPr="00BD4EE8">
        <w:rPr>
          <w:rFonts w:ascii="Book Antiqua" w:eastAsia="宋体" w:hAnsi="Book Antiqua" w:cs="Times New Roman"/>
          <w:color w:val="auto"/>
          <w:kern w:val="2"/>
          <w:sz w:val="24"/>
          <w:szCs w:val="24"/>
          <w:lang w:val="en-US" w:eastAsia="zh-CN"/>
        </w:rPr>
        <w:t>: 73-80 [PMID: 17548403 DOI: 10.7326/0003-4819-147-2-200707170-00161]</w:t>
      </w:r>
    </w:p>
    <w:p w14:paraId="6F582DB8"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8 </w:t>
      </w:r>
      <w:r w:rsidRPr="00BD4EE8">
        <w:rPr>
          <w:rFonts w:ascii="Book Antiqua" w:eastAsia="宋体" w:hAnsi="Book Antiqua" w:cs="Times New Roman"/>
          <w:b/>
          <w:color w:val="auto"/>
          <w:kern w:val="2"/>
          <w:sz w:val="24"/>
          <w:szCs w:val="24"/>
          <w:lang w:val="en-US" w:eastAsia="zh-CN"/>
        </w:rPr>
        <w:t>Shelton J</w:t>
      </w:r>
      <w:r w:rsidRPr="00BD4EE8">
        <w:rPr>
          <w:rFonts w:ascii="Book Antiqua" w:eastAsia="宋体" w:hAnsi="Book Antiqua" w:cs="Times New Roman"/>
          <w:color w:val="auto"/>
          <w:kern w:val="2"/>
          <w:sz w:val="24"/>
          <w:szCs w:val="24"/>
          <w:lang w:val="en-US" w:eastAsia="zh-CN"/>
        </w:rPr>
        <w:t xml:space="preserve">, Kummerow K, Phillips S, Arbogast PG, Griffin M, Holzman MD, Nealon W, Poulose BK. Patient safety in the era of the 80-hour workweek. </w:t>
      </w:r>
      <w:r w:rsidRPr="00BD4EE8">
        <w:rPr>
          <w:rFonts w:ascii="Book Antiqua" w:eastAsia="宋体" w:hAnsi="Book Antiqua" w:cs="Times New Roman"/>
          <w:i/>
          <w:color w:val="auto"/>
          <w:kern w:val="2"/>
          <w:sz w:val="24"/>
          <w:szCs w:val="24"/>
          <w:lang w:val="en-US" w:eastAsia="zh-CN"/>
        </w:rPr>
        <w:t>J Surg Educ</w:t>
      </w:r>
      <w:r w:rsidRPr="00BD4EE8">
        <w:rPr>
          <w:rFonts w:ascii="Book Antiqua" w:eastAsia="宋体" w:hAnsi="Book Antiqua" w:cs="Times New Roman"/>
          <w:color w:val="auto"/>
          <w:kern w:val="2"/>
          <w:sz w:val="24"/>
          <w:szCs w:val="24"/>
          <w:lang w:val="en-US" w:eastAsia="zh-CN"/>
        </w:rPr>
        <w:t xml:space="preserve"> 2014; </w:t>
      </w:r>
      <w:r w:rsidRPr="00BD4EE8">
        <w:rPr>
          <w:rFonts w:ascii="Book Antiqua" w:eastAsia="宋体" w:hAnsi="Book Antiqua" w:cs="Times New Roman"/>
          <w:b/>
          <w:color w:val="auto"/>
          <w:kern w:val="2"/>
          <w:sz w:val="24"/>
          <w:szCs w:val="24"/>
          <w:lang w:val="en-US" w:eastAsia="zh-CN"/>
        </w:rPr>
        <w:t>71</w:t>
      </w:r>
      <w:r w:rsidRPr="00BD4EE8">
        <w:rPr>
          <w:rFonts w:ascii="Book Antiqua" w:eastAsia="宋体" w:hAnsi="Book Antiqua" w:cs="Times New Roman"/>
          <w:color w:val="auto"/>
          <w:kern w:val="2"/>
          <w:sz w:val="24"/>
          <w:szCs w:val="24"/>
          <w:lang w:val="en-US" w:eastAsia="zh-CN"/>
        </w:rPr>
        <w:t>: 551-559 [PMID: 24776874 DOI: 10.1016/j.jsurg.2013.12.011]</w:t>
      </w:r>
    </w:p>
    <w:p w14:paraId="24DED81E"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9 </w:t>
      </w:r>
      <w:r w:rsidRPr="00BD4EE8">
        <w:rPr>
          <w:rFonts w:ascii="Book Antiqua" w:eastAsia="宋体" w:hAnsi="Book Antiqua" w:cs="Times New Roman"/>
          <w:b/>
          <w:color w:val="auto"/>
          <w:kern w:val="2"/>
          <w:sz w:val="24"/>
          <w:szCs w:val="24"/>
          <w:lang w:val="en-US" w:eastAsia="zh-CN"/>
        </w:rPr>
        <w:t>Au AG</w:t>
      </w:r>
      <w:r w:rsidRPr="00BD4EE8">
        <w:rPr>
          <w:rFonts w:ascii="Book Antiqua" w:eastAsia="宋体" w:hAnsi="Book Antiqua" w:cs="Times New Roman"/>
          <w:color w:val="auto"/>
          <w:kern w:val="2"/>
          <w:sz w:val="24"/>
          <w:szCs w:val="24"/>
          <w:lang w:val="en-US" w:eastAsia="zh-CN"/>
        </w:rPr>
        <w:t xml:space="preserve">, Padwal RS, Majumdar SR, McAlister FA. Patient outcomes in teaching versus nonteaching general internal medicine services: a systematic review and meta-analysis. </w:t>
      </w:r>
      <w:r w:rsidRPr="00BD4EE8">
        <w:rPr>
          <w:rFonts w:ascii="Book Antiqua" w:eastAsia="宋体" w:hAnsi="Book Antiqua" w:cs="Times New Roman"/>
          <w:i/>
          <w:color w:val="auto"/>
          <w:kern w:val="2"/>
          <w:sz w:val="24"/>
          <w:szCs w:val="24"/>
          <w:lang w:val="en-US" w:eastAsia="zh-CN"/>
        </w:rPr>
        <w:t>Acad Med</w:t>
      </w:r>
      <w:r w:rsidRPr="00BD4EE8">
        <w:rPr>
          <w:rFonts w:ascii="Book Antiqua" w:eastAsia="宋体" w:hAnsi="Book Antiqua" w:cs="Times New Roman"/>
          <w:color w:val="auto"/>
          <w:kern w:val="2"/>
          <w:sz w:val="24"/>
          <w:szCs w:val="24"/>
          <w:lang w:val="en-US" w:eastAsia="zh-CN"/>
        </w:rPr>
        <w:t xml:space="preserve"> 2014; </w:t>
      </w:r>
      <w:r w:rsidRPr="00BD4EE8">
        <w:rPr>
          <w:rFonts w:ascii="Book Antiqua" w:eastAsia="宋体" w:hAnsi="Book Antiqua" w:cs="Times New Roman"/>
          <w:b/>
          <w:color w:val="auto"/>
          <w:kern w:val="2"/>
          <w:sz w:val="24"/>
          <w:szCs w:val="24"/>
          <w:lang w:val="en-US" w:eastAsia="zh-CN"/>
        </w:rPr>
        <w:t>89</w:t>
      </w:r>
      <w:r w:rsidRPr="00BD4EE8">
        <w:rPr>
          <w:rFonts w:ascii="Book Antiqua" w:eastAsia="宋体" w:hAnsi="Book Antiqua" w:cs="Times New Roman"/>
          <w:color w:val="auto"/>
          <w:kern w:val="2"/>
          <w:sz w:val="24"/>
          <w:szCs w:val="24"/>
          <w:lang w:val="en-US" w:eastAsia="zh-CN"/>
        </w:rPr>
        <w:t>: 517-523 [PMID: 24448044 DOI: 10.1097/ACM.0000000000000154]</w:t>
      </w:r>
    </w:p>
    <w:p w14:paraId="1415BC83"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10 </w:t>
      </w:r>
      <w:r w:rsidRPr="00BD4EE8">
        <w:rPr>
          <w:rFonts w:ascii="Book Antiqua" w:eastAsia="宋体" w:hAnsi="Book Antiqua" w:cs="Times New Roman"/>
          <w:b/>
          <w:color w:val="auto"/>
          <w:kern w:val="2"/>
          <w:sz w:val="24"/>
          <w:szCs w:val="24"/>
          <w:lang w:val="en-US" w:eastAsia="zh-CN"/>
        </w:rPr>
        <w:t>Papanikolaou PN</w:t>
      </w:r>
      <w:r w:rsidRPr="00BD4EE8">
        <w:rPr>
          <w:rFonts w:ascii="Book Antiqua" w:eastAsia="宋体" w:hAnsi="Book Antiqua" w:cs="Times New Roman"/>
          <w:color w:val="auto"/>
          <w:kern w:val="2"/>
          <w:sz w:val="24"/>
          <w:szCs w:val="24"/>
          <w:lang w:val="en-US" w:eastAsia="zh-CN"/>
        </w:rPr>
        <w:t xml:space="preserve">, Christidi GD, Ioannidis JP. Patient outcomes with teaching versus nonteaching healthcare: a systematic review. </w:t>
      </w:r>
      <w:r w:rsidRPr="00BD4EE8">
        <w:rPr>
          <w:rFonts w:ascii="Book Antiqua" w:eastAsia="宋体" w:hAnsi="Book Antiqua" w:cs="Times New Roman"/>
          <w:i/>
          <w:color w:val="auto"/>
          <w:kern w:val="2"/>
          <w:sz w:val="24"/>
          <w:szCs w:val="24"/>
          <w:lang w:val="en-US" w:eastAsia="zh-CN"/>
        </w:rPr>
        <w:t>PLoS Med</w:t>
      </w:r>
      <w:r w:rsidRPr="00BD4EE8">
        <w:rPr>
          <w:rFonts w:ascii="Book Antiqua" w:eastAsia="宋体" w:hAnsi="Book Antiqua" w:cs="Times New Roman"/>
          <w:color w:val="auto"/>
          <w:kern w:val="2"/>
          <w:sz w:val="24"/>
          <w:szCs w:val="24"/>
          <w:lang w:val="en-US" w:eastAsia="zh-CN"/>
        </w:rPr>
        <w:t xml:space="preserve"> 2006; </w:t>
      </w:r>
      <w:r w:rsidRPr="00BD4EE8">
        <w:rPr>
          <w:rFonts w:ascii="Book Antiqua" w:eastAsia="宋体" w:hAnsi="Book Antiqua" w:cs="Times New Roman"/>
          <w:b/>
          <w:color w:val="auto"/>
          <w:kern w:val="2"/>
          <w:sz w:val="24"/>
          <w:szCs w:val="24"/>
          <w:lang w:val="en-US" w:eastAsia="zh-CN"/>
        </w:rPr>
        <w:t>3</w:t>
      </w:r>
      <w:r w:rsidRPr="00BD4EE8">
        <w:rPr>
          <w:rFonts w:ascii="Book Antiqua" w:eastAsia="宋体" w:hAnsi="Book Antiqua" w:cs="Times New Roman"/>
          <w:color w:val="auto"/>
          <w:kern w:val="2"/>
          <w:sz w:val="24"/>
          <w:szCs w:val="24"/>
          <w:lang w:val="en-US" w:eastAsia="zh-CN"/>
        </w:rPr>
        <w:t>: e341 [PMID: 16968119 DOI: 10.1371/journal.pmed.0030341]</w:t>
      </w:r>
    </w:p>
    <w:p w14:paraId="20ED9741"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11 </w:t>
      </w:r>
      <w:r w:rsidRPr="00BD4EE8">
        <w:rPr>
          <w:rFonts w:ascii="Book Antiqua" w:eastAsia="宋体" w:hAnsi="Book Antiqua" w:cs="Times New Roman"/>
          <w:b/>
          <w:color w:val="auto"/>
          <w:kern w:val="2"/>
          <w:sz w:val="24"/>
          <w:szCs w:val="24"/>
          <w:lang w:val="en-US" w:eastAsia="zh-CN"/>
        </w:rPr>
        <w:t>Mueller SK</w:t>
      </w:r>
      <w:r w:rsidRPr="00BD4EE8">
        <w:rPr>
          <w:rFonts w:ascii="Book Antiqua" w:eastAsia="宋体" w:hAnsi="Book Antiqua" w:cs="Times New Roman"/>
          <w:color w:val="auto"/>
          <w:kern w:val="2"/>
          <w:sz w:val="24"/>
          <w:szCs w:val="24"/>
          <w:lang w:val="en-US" w:eastAsia="zh-CN"/>
        </w:rPr>
        <w:t xml:space="preserve">, Lipsitz S, Hicks LS. Impact of hospital teaching intensity on quality of care and patient outcomes. </w:t>
      </w:r>
      <w:r w:rsidRPr="00BD4EE8">
        <w:rPr>
          <w:rFonts w:ascii="Book Antiqua" w:eastAsia="宋体" w:hAnsi="Book Antiqua" w:cs="Times New Roman"/>
          <w:i/>
          <w:color w:val="auto"/>
          <w:kern w:val="2"/>
          <w:sz w:val="24"/>
          <w:szCs w:val="24"/>
          <w:lang w:val="en-US" w:eastAsia="zh-CN"/>
        </w:rPr>
        <w:t>Med Care</w:t>
      </w:r>
      <w:r w:rsidRPr="00BD4EE8">
        <w:rPr>
          <w:rFonts w:ascii="Book Antiqua" w:eastAsia="宋体" w:hAnsi="Book Antiqua" w:cs="Times New Roman"/>
          <w:color w:val="auto"/>
          <w:kern w:val="2"/>
          <w:sz w:val="24"/>
          <w:szCs w:val="24"/>
          <w:lang w:val="en-US" w:eastAsia="zh-CN"/>
        </w:rPr>
        <w:t xml:space="preserve"> 2013; </w:t>
      </w:r>
      <w:r w:rsidRPr="00BD4EE8">
        <w:rPr>
          <w:rFonts w:ascii="Book Antiqua" w:eastAsia="宋体" w:hAnsi="Book Antiqua" w:cs="Times New Roman"/>
          <w:b/>
          <w:color w:val="auto"/>
          <w:kern w:val="2"/>
          <w:sz w:val="24"/>
          <w:szCs w:val="24"/>
          <w:lang w:val="en-US" w:eastAsia="zh-CN"/>
        </w:rPr>
        <w:t>51</w:t>
      </w:r>
      <w:r w:rsidRPr="00BD4EE8">
        <w:rPr>
          <w:rFonts w:ascii="Book Antiqua" w:eastAsia="宋体" w:hAnsi="Book Antiqua" w:cs="Times New Roman"/>
          <w:color w:val="auto"/>
          <w:kern w:val="2"/>
          <w:sz w:val="24"/>
          <w:szCs w:val="24"/>
          <w:lang w:val="en-US" w:eastAsia="zh-CN"/>
        </w:rPr>
        <w:t>: 567-574 [PMID: 23604017 DOI: 10.1097/MLR.0b013e3182902151]</w:t>
      </w:r>
    </w:p>
    <w:p w14:paraId="55D04BCA"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lastRenderedPageBreak/>
        <w:t xml:space="preserve">12 </w:t>
      </w:r>
      <w:r w:rsidRPr="00BD4EE8">
        <w:rPr>
          <w:rFonts w:ascii="Book Antiqua" w:eastAsia="宋体" w:hAnsi="Book Antiqua" w:cs="Times New Roman"/>
          <w:b/>
          <w:color w:val="auto"/>
          <w:kern w:val="2"/>
          <w:sz w:val="24"/>
          <w:szCs w:val="24"/>
          <w:lang w:val="en-US" w:eastAsia="zh-CN"/>
        </w:rPr>
        <w:t>John J</w:t>
      </w:r>
      <w:r w:rsidRPr="00BD4EE8">
        <w:rPr>
          <w:rFonts w:ascii="Book Antiqua" w:eastAsia="宋体" w:hAnsi="Book Antiqua" w:cs="Times New Roman"/>
          <w:color w:val="auto"/>
          <w:kern w:val="2"/>
          <w:sz w:val="24"/>
          <w:szCs w:val="24"/>
          <w:lang w:val="en-US" w:eastAsia="zh-CN"/>
        </w:rPr>
        <w:t xml:space="preserve">, Seifi A. Incidence of iatrogenic pneumothorax in the United States in teaching vs. non-teaching hospitals from 2000 to 2012. </w:t>
      </w:r>
      <w:r w:rsidRPr="00BD4EE8">
        <w:rPr>
          <w:rFonts w:ascii="Book Antiqua" w:eastAsia="宋体" w:hAnsi="Book Antiqua" w:cs="Times New Roman"/>
          <w:i/>
          <w:color w:val="auto"/>
          <w:kern w:val="2"/>
          <w:sz w:val="24"/>
          <w:szCs w:val="24"/>
          <w:lang w:val="en-US" w:eastAsia="zh-CN"/>
        </w:rPr>
        <w:t>J Crit Care</w:t>
      </w:r>
      <w:r w:rsidRPr="00BD4EE8">
        <w:rPr>
          <w:rFonts w:ascii="Book Antiqua" w:eastAsia="宋体" w:hAnsi="Book Antiqua" w:cs="Times New Roman"/>
          <w:color w:val="auto"/>
          <w:kern w:val="2"/>
          <w:sz w:val="24"/>
          <w:szCs w:val="24"/>
          <w:lang w:val="en-US" w:eastAsia="zh-CN"/>
        </w:rPr>
        <w:t xml:space="preserve"> 2016; </w:t>
      </w:r>
      <w:r w:rsidRPr="00BD4EE8">
        <w:rPr>
          <w:rFonts w:ascii="Book Antiqua" w:eastAsia="宋体" w:hAnsi="Book Antiqua" w:cs="Times New Roman"/>
          <w:b/>
          <w:color w:val="auto"/>
          <w:kern w:val="2"/>
          <w:sz w:val="24"/>
          <w:szCs w:val="24"/>
          <w:lang w:val="en-US" w:eastAsia="zh-CN"/>
        </w:rPr>
        <w:t>34</w:t>
      </w:r>
      <w:r w:rsidRPr="00BD4EE8">
        <w:rPr>
          <w:rFonts w:ascii="Book Antiqua" w:eastAsia="宋体" w:hAnsi="Book Antiqua" w:cs="Times New Roman"/>
          <w:color w:val="auto"/>
          <w:kern w:val="2"/>
          <w:sz w:val="24"/>
          <w:szCs w:val="24"/>
          <w:lang w:val="en-US" w:eastAsia="zh-CN"/>
        </w:rPr>
        <w:t>: 66-68 [PMID: 27288612 DOI: 10.1016/j.jcrc.2016.03.013]</w:t>
      </w:r>
    </w:p>
    <w:p w14:paraId="32F8608C"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13 </w:t>
      </w:r>
      <w:r w:rsidRPr="00BD4EE8">
        <w:rPr>
          <w:rFonts w:ascii="Book Antiqua" w:eastAsia="宋体" w:hAnsi="Book Antiqua" w:cs="Times New Roman"/>
          <w:b/>
          <w:color w:val="auto"/>
          <w:kern w:val="2"/>
          <w:sz w:val="24"/>
          <w:szCs w:val="24"/>
          <w:lang w:val="en-US" w:eastAsia="zh-CN"/>
        </w:rPr>
        <w:t>Singh S</w:t>
      </w:r>
      <w:r w:rsidRPr="00BD4EE8">
        <w:rPr>
          <w:rFonts w:ascii="Book Antiqua" w:eastAsia="宋体" w:hAnsi="Book Antiqua" w:cs="Times New Roman"/>
          <w:color w:val="auto"/>
          <w:kern w:val="2"/>
          <w:sz w:val="24"/>
          <w:szCs w:val="24"/>
          <w:lang w:val="en-US" w:eastAsia="zh-CN"/>
        </w:rPr>
        <w:t xml:space="preserve">, Purohit T, Aoun E, Patel Y, Carleton N, Mitre M, Morrissey S, Dhawan M, Thakkar S. Comparison of the outcomes of endoscopic ultrasound based on community hospital versus tertiary academic center settings. </w:t>
      </w:r>
      <w:r w:rsidRPr="00BD4EE8">
        <w:rPr>
          <w:rFonts w:ascii="Book Antiqua" w:eastAsia="宋体" w:hAnsi="Book Antiqua" w:cs="Times New Roman"/>
          <w:i/>
          <w:color w:val="auto"/>
          <w:kern w:val="2"/>
          <w:sz w:val="24"/>
          <w:szCs w:val="24"/>
          <w:lang w:val="en-US" w:eastAsia="zh-CN"/>
        </w:rPr>
        <w:t>Dig Dis Sci</w:t>
      </w:r>
      <w:r w:rsidRPr="00BD4EE8">
        <w:rPr>
          <w:rFonts w:ascii="Book Antiqua" w:eastAsia="宋体" w:hAnsi="Book Antiqua" w:cs="Times New Roman"/>
          <w:color w:val="auto"/>
          <w:kern w:val="2"/>
          <w:sz w:val="24"/>
          <w:szCs w:val="24"/>
          <w:lang w:val="en-US" w:eastAsia="zh-CN"/>
        </w:rPr>
        <w:t xml:space="preserve"> 2014; </w:t>
      </w:r>
      <w:r w:rsidRPr="00BD4EE8">
        <w:rPr>
          <w:rFonts w:ascii="Book Antiqua" w:eastAsia="宋体" w:hAnsi="Book Antiqua" w:cs="Times New Roman"/>
          <w:b/>
          <w:color w:val="auto"/>
          <w:kern w:val="2"/>
          <w:sz w:val="24"/>
          <w:szCs w:val="24"/>
          <w:lang w:val="en-US" w:eastAsia="zh-CN"/>
        </w:rPr>
        <w:t>59</w:t>
      </w:r>
      <w:r w:rsidRPr="00BD4EE8">
        <w:rPr>
          <w:rFonts w:ascii="Book Antiqua" w:eastAsia="宋体" w:hAnsi="Book Antiqua" w:cs="Times New Roman"/>
          <w:color w:val="auto"/>
          <w:kern w:val="2"/>
          <w:sz w:val="24"/>
          <w:szCs w:val="24"/>
          <w:lang w:val="en-US" w:eastAsia="zh-CN"/>
        </w:rPr>
        <w:t>: 1925-1930 [PMID: 24573718 DOI: 10.1007/s10620-014-3075-9]</w:t>
      </w:r>
    </w:p>
    <w:p w14:paraId="7D9C9E5E"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14 </w:t>
      </w:r>
      <w:r w:rsidRPr="00BD4EE8">
        <w:rPr>
          <w:rFonts w:ascii="Book Antiqua" w:eastAsia="宋体" w:hAnsi="Book Antiqua" w:cs="Times New Roman"/>
          <w:b/>
          <w:color w:val="auto"/>
          <w:kern w:val="2"/>
          <w:sz w:val="24"/>
          <w:szCs w:val="24"/>
          <w:lang w:val="en-US" w:eastAsia="zh-CN"/>
        </w:rPr>
        <w:t>Surgenor SD</w:t>
      </w:r>
      <w:r w:rsidRPr="00BD4EE8">
        <w:rPr>
          <w:rFonts w:ascii="Book Antiqua" w:eastAsia="宋体" w:hAnsi="Book Antiqua" w:cs="Times New Roman"/>
          <w:color w:val="auto"/>
          <w:kern w:val="2"/>
          <w:sz w:val="24"/>
          <w:szCs w:val="24"/>
          <w:lang w:val="en-US" w:eastAsia="zh-CN"/>
        </w:rPr>
        <w:t xml:space="preserve">, Corwin HL, Clerico T. Survival of patients transferred to tertiary intensive care from rural community hospitals. </w:t>
      </w:r>
      <w:r w:rsidRPr="00BD4EE8">
        <w:rPr>
          <w:rFonts w:ascii="Book Antiqua" w:eastAsia="宋体" w:hAnsi="Book Antiqua" w:cs="Times New Roman"/>
          <w:i/>
          <w:color w:val="auto"/>
          <w:kern w:val="2"/>
          <w:sz w:val="24"/>
          <w:szCs w:val="24"/>
          <w:lang w:val="en-US" w:eastAsia="zh-CN"/>
        </w:rPr>
        <w:t>Crit Care</w:t>
      </w:r>
      <w:r w:rsidRPr="00BD4EE8">
        <w:rPr>
          <w:rFonts w:ascii="Book Antiqua" w:eastAsia="宋体" w:hAnsi="Book Antiqua" w:cs="Times New Roman"/>
          <w:color w:val="auto"/>
          <w:kern w:val="2"/>
          <w:sz w:val="24"/>
          <w:szCs w:val="24"/>
          <w:lang w:val="en-US" w:eastAsia="zh-CN"/>
        </w:rPr>
        <w:t xml:space="preserve"> 2001; </w:t>
      </w:r>
      <w:r w:rsidRPr="00BD4EE8">
        <w:rPr>
          <w:rFonts w:ascii="Book Antiqua" w:eastAsia="宋体" w:hAnsi="Book Antiqua" w:cs="Times New Roman"/>
          <w:b/>
          <w:color w:val="auto"/>
          <w:kern w:val="2"/>
          <w:sz w:val="24"/>
          <w:szCs w:val="24"/>
          <w:lang w:val="en-US" w:eastAsia="zh-CN"/>
        </w:rPr>
        <w:t>5</w:t>
      </w:r>
      <w:r w:rsidRPr="00BD4EE8">
        <w:rPr>
          <w:rFonts w:ascii="Book Antiqua" w:eastAsia="宋体" w:hAnsi="Book Antiqua" w:cs="Times New Roman"/>
          <w:color w:val="auto"/>
          <w:kern w:val="2"/>
          <w:sz w:val="24"/>
          <w:szCs w:val="24"/>
          <w:lang w:val="en-US" w:eastAsia="zh-CN"/>
        </w:rPr>
        <w:t>: 100-104 [PMID: 11299068 DOI: 10.1186/cc993]</w:t>
      </w:r>
    </w:p>
    <w:p w14:paraId="7C746F3C"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15 </w:t>
      </w:r>
      <w:r w:rsidRPr="00BD4EE8">
        <w:rPr>
          <w:rFonts w:ascii="Book Antiqua" w:eastAsia="宋体" w:hAnsi="Book Antiqua" w:cs="Times New Roman"/>
          <w:b/>
          <w:color w:val="auto"/>
          <w:kern w:val="2"/>
          <w:sz w:val="24"/>
          <w:szCs w:val="24"/>
          <w:lang w:val="en-US" w:eastAsia="zh-CN"/>
        </w:rPr>
        <w:t>Caveney AF</w:t>
      </w:r>
      <w:r w:rsidRPr="00BD4EE8">
        <w:rPr>
          <w:rFonts w:ascii="Book Antiqua" w:eastAsia="宋体" w:hAnsi="Book Antiqua" w:cs="Times New Roman"/>
          <w:color w:val="auto"/>
          <w:kern w:val="2"/>
          <w:sz w:val="24"/>
          <w:szCs w:val="24"/>
          <w:lang w:val="en-US" w:eastAsia="zh-CN"/>
        </w:rPr>
        <w:t xml:space="preserve">, Silbergleit R, Frederiksen S, Meurer WJ, Hickenbottom SL, Smith RW, Scott PA. Resource utilization and outcome at a university versus a community teaching hospital in tPA treated stroke patients: a retrospective cohort study. </w:t>
      </w:r>
      <w:r w:rsidRPr="00BD4EE8">
        <w:rPr>
          <w:rFonts w:ascii="Book Antiqua" w:eastAsia="宋体" w:hAnsi="Book Antiqua" w:cs="Times New Roman"/>
          <w:i/>
          <w:color w:val="auto"/>
          <w:kern w:val="2"/>
          <w:sz w:val="24"/>
          <w:szCs w:val="24"/>
          <w:lang w:val="en-US" w:eastAsia="zh-CN"/>
        </w:rPr>
        <w:t>BMC Health Serv Res</w:t>
      </w:r>
      <w:r w:rsidRPr="00BD4EE8">
        <w:rPr>
          <w:rFonts w:ascii="Book Antiqua" w:eastAsia="宋体" w:hAnsi="Book Antiqua" w:cs="Times New Roman"/>
          <w:color w:val="auto"/>
          <w:kern w:val="2"/>
          <w:sz w:val="24"/>
          <w:szCs w:val="24"/>
          <w:lang w:val="en-US" w:eastAsia="zh-CN"/>
        </w:rPr>
        <w:t xml:space="preserve"> 2010; </w:t>
      </w:r>
      <w:r w:rsidRPr="00BD4EE8">
        <w:rPr>
          <w:rFonts w:ascii="Book Antiqua" w:eastAsia="宋体" w:hAnsi="Book Antiqua" w:cs="Times New Roman"/>
          <w:b/>
          <w:color w:val="auto"/>
          <w:kern w:val="2"/>
          <w:sz w:val="24"/>
          <w:szCs w:val="24"/>
          <w:lang w:val="en-US" w:eastAsia="zh-CN"/>
        </w:rPr>
        <w:t>10</w:t>
      </w:r>
      <w:r w:rsidRPr="00BD4EE8">
        <w:rPr>
          <w:rFonts w:ascii="Book Antiqua" w:eastAsia="宋体" w:hAnsi="Book Antiqua" w:cs="Times New Roman"/>
          <w:color w:val="auto"/>
          <w:kern w:val="2"/>
          <w:sz w:val="24"/>
          <w:szCs w:val="24"/>
          <w:lang w:val="en-US" w:eastAsia="zh-CN"/>
        </w:rPr>
        <w:t>: 44 [PMID: 20170487 DOI: 10.1186/1472-6963-10-44]</w:t>
      </w:r>
    </w:p>
    <w:p w14:paraId="19DC5100"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16 </w:t>
      </w:r>
      <w:r w:rsidRPr="00BD4EE8">
        <w:rPr>
          <w:rFonts w:ascii="Book Antiqua" w:eastAsia="宋体" w:hAnsi="Book Antiqua" w:cs="Times New Roman"/>
          <w:b/>
          <w:color w:val="auto"/>
          <w:kern w:val="2"/>
          <w:sz w:val="24"/>
          <w:szCs w:val="24"/>
          <w:lang w:val="en-US" w:eastAsia="zh-CN"/>
        </w:rPr>
        <w:t>Adam V</w:t>
      </w:r>
      <w:r w:rsidRPr="00BD4EE8">
        <w:rPr>
          <w:rFonts w:ascii="Book Antiqua" w:eastAsia="宋体" w:hAnsi="Book Antiqua" w:cs="Times New Roman"/>
          <w:color w:val="auto"/>
          <w:kern w:val="2"/>
          <w:sz w:val="24"/>
          <w:szCs w:val="24"/>
          <w:lang w:val="en-US" w:eastAsia="zh-CN"/>
        </w:rPr>
        <w:t xml:space="preserve">, Barkun AN. Estimates of costs of hospital stay for variceal and nonvariceal upper gastrointestinal bleeding in the United States. </w:t>
      </w:r>
      <w:r w:rsidRPr="00BD4EE8">
        <w:rPr>
          <w:rFonts w:ascii="Book Antiqua" w:eastAsia="宋体" w:hAnsi="Book Antiqua" w:cs="Times New Roman"/>
          <w:i/>
          <w:color w:val="auto"/>
          <w:kern w:val="2"/>
          <w:sz w:val="24"/>
          <w:szCs w:val="24"/>
          <w:lang w:val="en-US" w:eastAsia="zh-CN"/>
        </w:rPr>
        <w:t>Value Health</w:t>
      </w:r>
      <w:r w:rsidRPr="00BD4EE8">
        <w:rPr>
          <w:rFonts w:ascii="Book Antiqua" w:eastAsia="宋体" w:hAnsi="Book Antiqua" w:cs="Times New Roman"/>
          <w:color w:val="auto"/>
          <w:kern w:val="2"/>
          <w:sz w:val="24"/>
          <w:szCs w:val="24"/>
          <w:lang w:val="en-US" w:eastAsia="zh-CN"/>
        </w:rPr>
        <w:t xml:space="preserve"> 2008; </w:t>
      </w:r>
      <w:r w:rsidRPr="00BD4EE8">
        <w:rPr>
          <w:rFonts w:ascii="Book Antiqua" w:eastAsia="宋体" w:hAnsi="Book Antiqua" w:cs="Times New Roman"/>
          <w:b/>
          <w:color w:val="auto"/>
          <w:kern w:val="2"/>
          <w:sz w:val="24"/>
          <w:szCs w:val="24"/>
          <w:lang w:val="en-US" w:eastAsia="zh-CN"/>
        </w:rPr>
        <w:t>11</w:t>
      </w:r>
      <w:r w:rsidRPr="00BD4EE8">
        <w:rPr>
          <w:rFonts w:ascii="Book Antiqua" w:eastAsia="宋体" w:hAnsi="Book Antiqua" w:cs="Times New Roman"/>
          <w:color w:val="auto"/>
          <w:kern w:val="2"/>
          <w:sz w:val="24"/>
          <w:szCs w:val="24"/>
          <w:lang w:val="en-US" w:eastAsia="zh-CN"/>
        </w:rPr>
        <w:t>: 1-3 [PMID: 18237354 DOI: 10.1111/j.1524-4733.2007.00208.x]</w:t>
      </w:r>
    </w:p>
    <w:p w14:paraId="341C3EBF"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17 </w:t>
      </w:r>
      <w:r w:rsidRPr="00BD4EE8">
        <w:rPr>
          <w:rFonts w:ascii="Book Antiqua" w:eastAsia="宋体" w:hAnsi="Book Antiqua" w:cs="Times New Roman"/>
          <w:b/>
          <w:color w:val="auto"/>
          <w:kern w:val="2"/>
          <w:sz w:val="24"/>
          <w:szCs w:val="24"/>
          <w:lang w:val="en-US" w:eastAsia="zh-CN"/>
        </w:rPr>
        <w:t>Shahian DM</w:t>
      </w:r>
      <w:r w:rsidRPr="00BD4EE8">
        <w:rPr>
          <w:rFonts w:ascii="Book Antiqua" w:eastAsia="宋体" w:hAnsi="Book Antiqua" w:cs="Times New Roman"/>
          <w:color w:val="auto"/>
          <w:kern w:val="2"/>
          <w:sz w:val="24"/>
          <w:szCs w:val="24"/>
          <w:lang w:val="en-US" w:eastAsia="zh-CN"/>
        </w:rPr>
        <w:t xml:space="preserve">, Nordberg P, Meyer GS, Blanchfield BB, Mort EA, Torchiana DF, Normand SL. Contemporary performance of U.S. teaching and nonteaching hospitals. </w:t>
      </w:r>
      <w:r w:rsidRPr="00BD4EE8">
        <w:rPr>
          <w:rFonts w:ascii="Book Antiqua" w:eastAsia="宋体" w:hAnsi="Book Antiqua" w:cs="Times New Roman"/>
          <w:i/>
          <w:color w:val="auto"/>
          <w:kern w:val="2"/>
          <w:sz w:val="24"/>
          <w:szCs w:val="24"/>
          <w:lang w:val="en-US" w:eastAsia="zh-CN"/>
        </w:rPr>
        <w:t>Acad Med</w:t>
      </w:r>
      <w:r w:rsidRPr="00BD4EE8">
        <w:rPr>
          <w:rFonts w:ascii="Book Antiqua" w:eastAsia="宋体" w:hAnsi="Book Antiqua" w:cs="Times New Roman"/>
          <w:color w:val="auto"/>
          <w:kern w:val="2"/>
          <w:sz w:val="24"/>
          <w:szCs w:val="24"/>
          <w:lang w:val="en-US" w:eastAsia="zh-CN"/>
        </w:rPr>
        <w:t xml:space="preserve"> 2012; </w:t>
      </w:r>
      <w:r w:rsidRPr="00BD4EE8">
        <w:rPr>
          <w:rFonts w:ascii="Book Antiqua" w:eastAsia="宋体" w:hAnsi="Book Antiqua" w:cs="Times New Roman"/>
          <w:b/>
          <w:color w:val="auto"/>
          <w:kern w:val="2"/>
          <w:sz w:val="24"/>
          <w:szCs w:val="24"/>
          <w:lang w:val="en-US" w:eastAsia="zh-CN"/>
        </w:rPr>
        <w:t>87</w:t>
      </w:r>
      <w:r w:rsidRPr="00BD4EE8">
        <w:rPr>
          <w:rFonts w:ascii="Book Antiqua" w:eastAsia="宋体" w:hAnsi="Book Antiqua" w:cs="Times New Roman"/>
          <w:color w:val="auto"/>
          <w:kern w:val="2"/>
          <w:sz w:val="24"/>
          <w:szCs w:val="24"/>
          <w:lang w:val="en-US" w:eastAsia="zh-CN"/>
        </w:rPr>
        <w:t>: 701-708 [PMID: 22534588 DOI: 10.1097/ACM.0b013e318253676a]</w:t>
      </w:r>
    </w:p>
    <w:p w14:paraId="3AA005BF" w14:textId="408BDFF4" w:rsidR="00BD4EE8" w:rsidRPr="00C04F63"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C04F63">
        <w:rPr>
          <w:rFonts w:ascii="Book Antiqua" w:eastAsia="宋体" w:hAnsi="Book Antiqua" w:cs="Times New Roman"/>
          <w:color w:val="auto"/>
          <w:kern w:val="2"/>
          <w:sz w:val="24"/>
          <w:szCs w:val="24"/>
          <w:lang w:val="en-US" w:eastAsia="zh-CN"/>
        </w:rPr>
        <w:t xml:space="preserve">18 </w:t>
      </w:r>
      <w:r w:rsidRPr="00C04F63">
        <w:rPr>
          <w:rFonts w:ascii="Book Antiqua" w:eastAsia="宋体" w:hAnsi="Book Antiqua" w:cs="Times New Roman"/>
          <w:b/>
          <w:color w:val="auto"/>
          <w:kern w:val="2"/>
          <w:sz w:val="24"/>
          <w:szCs w:val="24"/>
          <w:lang w:val="en-US" w:eastAsia="zh-CN"/>
        </w:rPr>
        <w:t>HCUP National Inpatient Sample (NIS)</w:t>
      </w:r>
      <w:r w:rsidRPr="00C04F63">
        <w:rPr>
          <w:rFonts w:ascii="Book Antiqua" w:eastAsia="宋体" w:hAnsi="Book Antiqua" w:cs="Times New Roman"/>
          <w:color w:val="auto"/>
          <w:kern w:val="2"/>
          <w:sz w:val="24"/>
          <w:szCs w:val="24"/>
          <w:lang w:val="en-US" w:eastAsia="zh-CN"/>
        </w:rPr>
        <w:t>. Healthcare Cost and Utilization Project (HCUP). 2012. [Internet]. Agency Healthc. Res. Qual. Rockville, MD. 2012</w:t>
      </w:r>
      <w:r w:rsidR="001E366C">
        <w:rPr>
          <w:rFonts w:ascii="Book Antiqua" w:eastAsia="宋体" w:hAnsi="Book Antiqua" w:cs="Times New Roman"/>
          <w:color w:val="auto"/>
          <w:kern w:val="2"/>
          <w:sz w:val="24"/>
          <w:szCs w:val="24"/>
          <w:lang w:val="en-US" w:eastAsia="zh-CN"/>
        </w:rPr>
        <w:t>.</w:t>
      </w:r>
      <w:r w:rsidRPr="00C04F63">
        <w:rPr>
          <w:rFonts w:ascii="Book Antiqua" w:eastAsia="宋体" w:hAnsi="Book Antiqua" w:cs="Times New Roman"/>
          <w:color w:val="auto"/>
          <w:kern w:val="2"/>
          <w:sz w:val="24"/>
          <w:szCs w:val="24"/>
          <w:lang w:val="en-US" w:eastAsia="zh-CN"/>
        </w:rPr>
        <w:t xml:space="preserve"> Available from: </w:t>
      </w:r>
      <w:r w:rsidRPr="00C04F63">
        <w:rPr>
          <w:rFonts w:ascii="Book Antiqua" w:eastAsia="宋体" w:hAnsi="Book Antiqua" w:cs="Times New Roman"/>
          <w:color w:val="auto"/>
          <w:kern w:val="2"/>
          <w:sz w:val="24"/>
          <w:szCs w:val="24"/>
          <w:u w:val="single"/>
          <w:lang w:val="en-US" w:eastAsia="zh-CN"/>
        </w:rPr>
        <w:t>www.hcup-us.ahrq.gov/nisoverview.jsp</w:t>
      </w:r>
      <w:r w:rsidRPr="00C04F63">
        <w:rPr>
          <w:rFonts w:ascii="Book Antiqua" w:eastAsia="宋体" w:hAnsi="Book Antiqua" w:cs="Times New Roman"/>
          <w:color w:val="auto"/>
          <w:kern w:val="2"/>
          <w:sz w:val="24"/>
          <w:szCs w:val="24"/>
          <w:lang w:val="en-US" w:eastAsia="zh-CN"/>
        </w:rPr>
        <w:t xml:space="preserve"> </w:t>
      </w:r>
    </w:p>
    <w:p w14:paraId="28093A7E" w14:textId="356FBCA5"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C04F63">
        <w:rPr>
          <w:rFonts w:ascii="Book Antiqua" w:eastAsia="宋体" w:hAnsi="Book Antiqua" w:cs="Times New Roman"/>
          <w:color w:val="auto"/>
          <w:kern w:val="2"/>
          <w:sz w:val="24"/>
          <w:szCs w:val="24"/>
          <w:lang w:val="en-US" w:eastAsia="zh-CN"/>
        </w:rPr>
        <w:t xml:space="preserve">19 </w:t>
      </w:r>
      <w:r w:rsidRPr="00C04F63">
        <w:rPr>
          <w:rFonts w:ascii="Book Antiqua" w:eastAsia="宋体" w:hAnsi="Book Antiqua" w:cs="Times New Roman"/>
          <w:b/>
          <w:color w:val="auto"/>
          <w:kern w:val="2"/>
          <w:sz w:val="24"/>
          <w:szCs w:val="24"/>
          <w:lang w:val="en-US" w:eastAsia="zh-CN"/>
        </w:rPr>
        <w:t>Healthcare Cost and Utilization Project (HCUP)</w:t>
      </w:r>
      <w:r w:rsidRPr="00C04F63">
        <w:rPr>
          <w:rFonts w:ascii="Book Antiqua" w:eastAsia="宋体" w:hAnsi="Book Antiqua" w:cs="Times New Roman"/>
          <w:color w:val="auto"/>
          <w:kern w:val="2"/>
          <w:sz w:val="24"/>
          <w:szCs w:val="24"/>
          <w:lang w:val="en-US" w:eastAsia="zh-CN"/>
        </w:rPr>
        <w:t>. HCUP Elixhauser Comorbidity Software, Version 3.7 [Internet]. Agency Healthc. Res. Qual. 2017; Rockville, MD. 2017</w:t>
      </w:r>
      <w:r w:rsidR="001E366C">
        <w:rPr>
          <w:rFonts w:ascii="Book Antiqua" w:eastAsia="宋体" w:hAnsi="Book Antiqua" w:cs="Times New Roman"/>
          <w:color w:val="auto"/>
          <w:kern w:val="2"/>
          <w:sz w:val="24"/>
          <w:szCs w:val="24"/>
          <w:lang w:val="en-US" w:eastAsia="zh-CN"/>
        </w:rPr>
        <w:t>.</w:t>
      </w:r>
      <w:r w:rsidRPr="00C04F63">
        <w:rPr>
          <w:rFonts w:ascii="Book Antiqua" w:eastAsia="宋体" w:hAnsi="Book Antiqua" w:cs="Times New Roman"/>
          <w:color w:val="auto"/>
          <w:kern w:val="2"/>
          <w:sz w:val="24"/>
          <w:szCs w:val="24"/>
          <w:lang w:val="en-US" w:eastAsia="zh-CN"/>
        </w:rPr>
        <w:t xml:space="preserve"> Available from: </w:t>
      </w:r>
      <w:r w:rsidRPr="00C04F63">
        <w:rPr>
          <w:rFonts w:ascii="Book Antiqua" w:eastAsia="宋体" w:hAnsi="Book Antiqua" w:cs="Times New Roman"/>
          <w:color w:val="auto"/>
          <w:kern w:val="2"/>
          <w:sz w:val="24"/>
          <w:szCs w:val="24"/>
          <w:u w:val="single"/>
          <w:lang w:val="en-US" w:eastAsia="zh-CN"/>
        </w:rPr>
        <w:t>www.hcup-us.ahrq.gov/toolssoftware/comorbidity/comorbidity.jsp</w:t>
      </w:r>
    </w:p>
    <w:p w14:paraId="0515BFE8"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lastRenderedPageBreak/>
        <w:t xml:space="preserve">20 </w:t>
      </w:r>
      <w:r w:rsidRPr="00BD4EE8">
        <w:rPr>
          <w:rFonts w:ascii="Book Antiqua" w:eastAsia="宋体" w:hAnsi="Book Antiqua" w:cs="Times New Roman"/>
          <w:b/>
          <w:color w:val="auto"/>
          <w:kern w:val="2"/>
          <w:sz w:val="24"/>
          <w:szCs w:val="24"/>
          <w:lang w:val="en-US" w:eastAsia="zh-CN"/>
        </w:rPr>
        <w:t>Southern DA</w:t>
      </w:r>
      <w:r w:rsidRPr="00BD4EE8">
        <w:rPr>
          <w:rFonts w:ascii="Book Antiqua" w:eastAsia="宋体" w:hAnsi="Book Antiqua" w:cs="Times New Roman"/>
          <w:color w:val="auto"/>
          <w:kern w:val="2"/>
          <w:sz w:val="24"/>
          <w:szCs w:val="24"/>
          <w:lang w:val="en-US" w:eastAsia="zh-CN"/>
        </w:rPr>
        <w:t xml:space="preserve">, Quan H, Ghali WA. Comparison of the Elixhauser and Charlson/Deyo methods of comorbidity measurement in administrative data. </w:t>
      </w:r>
      <w:r w:rsidRPr="00BD4EE8">
        <w:rPr>
          <w:rFonts w:ascii="Book Antiqua" w:eastAsia="宋体" w:hAnsi="Book Antiqua" w:cs="Times New Roman"/>
          <w:i/>
          <w:color w:val="auto"/>
          <w:kern w:val="2"/>
          <w:sz w:val="24"/>
          <w:szCs w:val="24"/>
          <w:lang w:val="en-US" w:eastAsia="zh-CN"/>
        </w:rPr>
        <w:t>Med Care</w:t>
      </w:r>
      <w:r w:rsidRPr="00BD4EE8">
        <w:rPr>
          <w:rFonts w:ascii="Book Antiqua" w:eastAsia="宋体" w:hAnsi="Book Antiqua" w:cs="Times New Roman"/>
          <w:color w:val="auto"/>
          <w:kern w:val="2"/>
          <w:sz w:val="24"/>
          <w:szCs w:val="24"/>
          <w:lang w:val="en-US" w:eastAsia="zh-CN"/>
        </w:rPr>
        <w:t xml:space="preserve"> 2004; </w:t>
      </w:r>
      <w:r w:rsidRPr="00BD4EE8">
        <w:rPr>
          <w:rFonts w:ascii="Book Antiqua" w:eastAsia="宋体" w:hAnsi="Book Antiqua" w:cs="Times New Roman"/>
          <w:b/>
          <w:color w:val="auto"/>
          <w:kern w:val="2"/>
          <w:sz w:val="24"/>
          <w:szCs w:val="24"/>
          <w:lang w:val="en-US" w:eastAsia="zh-CN"/>
        </w:rPr>
        <w:t>42</w:t>
      </w:r>
      <w:r w:rsidRPr="00BD4EE8">
        <w:rPr>
          <w:rFonts w:ascii="Book Antiqua" w:eastAsia="宋体" w:hAnsi="Book Antiqua" w:cs="Times New Roman"/>
          <w:color w:val="auto"/>
          <w:kern w:val="2"/>
          <w:sz w:val="24"/>
          <w:szCs w:val="24"/>
          <w:lang w:val="en-US" w:eastAsia="zh-CN"/>
        </w:rPr>
        <w:t>: 355-360 [PMID: 15076812 DOI: 10.1097/01.mlr.0000118861.56848.ee]</w:t>
      </w:r>
    </w:p>
    <w:p w14:paraId="2E6FC960"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21 </w:t>
      </w:r>
      <w:r w:rsidRPr="00BD4EE8">
        <w:rPr>
          <w:rFonts w:ascii="Book Antiqua" w:eastAsia="宋体" w:hAnsi="Book Antiqua" w:cs="Times New Roman"/>
          <w:b/>
          <w:color w:val="auto"/>
          <w:kern w:val="2"/>
          <w:sz w:val="24"/>
          <w:szCs w:val="24"/>
          <w:lang w:val="en-US" w:eastAsia="zh-CN"/>
        </w:rPr>
        <w:t>Abougergi MS</w:t>
      </w:r>
      <w:r w:rsidRPr="00BD4EE8">
        <w:rPr>
          <w:rFonts w:ascii="Book Antiqua" w:eastAsia="宋体" w:hAnsi="Book Antiqua" w:cs="Times New Roman"/>
          <w:color w:val="auto"/>
          <w:kern w:val="2"/>
          <w:sz w:val="24"/>
          <w:szCs w:val="24"/>
          <w:lang w:val="en-US" w:eastAsia="zh-CN"/>
        </w:rPr>
        <w:t xml:space="preserve">, Travis AC, Saltzman JR. The in-hospital mortality rate for upper GI hemorrhage has decreased over 2 decades in the United States: a nationwide analysis. </w:t>
      </w:r>
      <w:r w:rsidRPr="00BD4EE8">
        <w:rPr>
          <w:rFonts w:ascii="Book Antiqua" w:eastAsia="宋体" w:hAnsi="Book Antiqua" w:cs="Times New Roman"/>
          <w:i/>
          <w:color w:val="auto"/>
          <w:kern w:val="2"/>
          <w:sz w:val="24"/>
          <w:szCs w:val="24"/>
          <w:lang w:val="en-US" w:eastAsia="zh-CN"/>
        </w:rPr>
        <w:t>Gastrointest Endosc</w:t>
      </w:r>
      <w:r w:rsidRPr="00BD4EE8">
        <w:rPr>
          <w:rFonts w:ascii="Book Antiqua" w:eastAsia="宋体" w:hAnsi="Book Antiqua" w:cs="Times New Roman"/>
          <w:color w:val="auto"/>
          <w:kern w:val="2"/>
          <w:sz w:val="24"/>
          <w:szCs w:val="24"/>
          <w:lang w:val="en-US" w:eastAsia="zh-CN"/>
        </w:rPr>
        <w:t xml:space="preserve"> 2015; </w:t>
      </w:r>
      <w:r w:rsidRPr="00BD4EE8">
        <w:rPr>
          <w:rFonts w:ascii="Book Antiqua" w:eastAsia="宋体" w:hAnsi="Book Antiqua" w:cs="Times New Roman"/>
          <w:b/>
          <w:color w:val="auto"/>
          <w:kern w:val="2"/>
          <w:sz w:val="24"/>
          <w:szCs w:val="24"/>
          <w:lang w:val="en-US" w:eastAsia="zh-CN"/>
        </w:rPr>
        <w:t>81</w:t>
      </w:r>
      <w:r w:rsidRPr="00BD4EE8">
        <w:rPr>
          <w:rFonts w:ascii="Book Antiqua" w:eastAsia="宋体" w:hAnsi="Book Antiqua" w:cs="Times New Roman"/>
          <w:color w:val="auto"/>
          <w:kern w:val="2"/>
          <w:sz w:val="24"/>
          <w:szCs w:val="24"/>
          <w:lang w:val="en-US" w:eastAsia="zh-CN"/>
        </w:rPr>
        <w:t>: 882-888.e1 [PMID: 25484324 DOI: 10.1016/j.gie.2014.09.027]</w:t>
      </w:r>
    </w:p>
    <w:p w14:paraId="118D3428"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22 </w:t>
      </w:r>
      <w:r w:rsidRPr="00BD4EE8">
        <w:rPr>
          <w:rFonts w:ascii="Book Antiqua" w:eastAsia="宋体" w:hAnsi="Book Antiqua" w:cs="Times New Roman"/>
          <w:b/>
          <w:color w:val="auto"/>
          <w:kern w:val="2"/>
          <w:sz w:val="24"/>
          <w:szCs w:val="24"/>
          <w:lang w:val="en-US" w:eastAsia="zh-CN"/>
        </w:rPr>
        <w:t>Laine L</w:t>
      </w:r>
      <w:r w:rsidRPr="00BD4EE8">
        <w:rPr>
          <w:rFonts w:ascii="Book Antiqua" w:eastAsia="宋体" w:hAnsi="Book Antiqua" w:cs="Times New Roman"/>
          <w:color w:val="auto"/>
          <w:kern w:val="2"/>
          <w:sz w:val="24"/>
          <w:szCs w:val="24"/>
          <w:lang w:val="en-US" w:eastAsia="zh-CN"/>
        </w:rPr>
        <w:t xml:space="preserve">, Cook D. Endoscopic ligation compared with sclerotherapy for treatment of esophageal variceal bleeding. A meta-analysis. </w:t>
      </w:r>
      <w:r w:rsidRPr="00BD4EE8">
        <w:rPr>
          <w:rFonts w:ascii="Book Antiqua" w:eastAsia="宋体" w:hAnsi="Book Antiqua" w:cs="Times New Roman"/>
          <w:i/>
          <w:color w:val="auto"/>
          <w:kern w:val="2"/>
          <w:sz w:val="24"/>
          <w:szCs w:val="24"/>
          <w:lang w:val="en-US" w:eastAsia="zh-CN"/>
        </w:rPr>
        <w:t>Ann Intern Med</w:t>
      </w:r>
      <w:r w:rsidRPr="00BD4EE8">
        <w:rPr>
          <w:rFonts w:ascii="Book Antiqua" w:eastAsia="宋体" w:hAnsi="Book Antiqua" w:cs="Times New Roman"/>
          <w:color w:val="auto"/>
          <w:kern w:val="2"/>
          <w:sz w:val="24"/>
          <w:szCs w:val="24"/>
          <w:lang w:val="en-US" w:eastAsia="zh-CN"/>
        </w:rPr>
        <w:t xml:space="preserve"> 1995; </w:t>
      </w:r>
      <w:r w:rsidRPr="00BD4EE8">
        <w:rPr>
          <w:rFonts w:ascii="Book Antiqua" w:eastAsia="宋体" w:hAnsi="Book Antiqua" w:cs="Times New Roman"/>
          <w:b/>
          <w:color w:val="auto"/>
          <w:kern w:val="2"/>
          <w:sz w:val="24"/>
          <w:szCs w:val="24"/>
          <w:lang w:val="en-US" w:eastAsia="zh-CN"/>
        </w:rPr>
        <w:t>123</w:t>
      </w:r>
      <w:r w:rsidRPr="00BD4EE8">
        <w:rPr>
          <w:rFonts w:ascii="Book Antiqua" w:eastAsia="宋体" w:hAnsi="Book Antiqua" w:cs="Times New Roman"/>
          <w:color w:val="auto"/>
          <w:kern w:val="2"/>
          <w:sz w:val="24"/>
          <w:szCs w:val="24"/>
          <w:lang w:val="en-US" w:eastAsia="zh-CN"/>
        </w:rPr>
        <w:t>: 280-287 [PMID: 7611595 DOI: 10.7326/0003-4819-123-4-199508150-00007]</w:t>
      </w:r>
    </w:p>
    <w:p w14:paraId="7116928F"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23 </w:t>
      </w:r>
      <w:r w:rsidRPr="00BD4EE8">
        <w:rPr>
          <w:rFonts w:ascii="Book Antiqua" w:eastAsia="宋体" w:hAnsi="Book Antiqua" w:cs="Times New Roman"/>
          <w:b/>
          <w:color w:val="auto"/>
          <w:kern w:val="2"/>
          <w:sz w:val="24"/>
          <w:szCs w:val="24"/>
          <w:lang w:val="en-US" w:eastAsia="zh-CN"/>
        </w:rPr>
        <w:t>Hwang JH</w:t>
      </w:r>
      <w:r w:rsidRPr="00BD4EE8">
        <w:rPr>
          <w:rFonts w:ascii="Book Antiqua" w:eastAsia="宋体" w:hAnsi="Book Antiqua" w:cs="Times New Roman"/>
          <w:color w:val="auto"/>
          <w:kern w:val="2"/>
          <w:sz w:val="24"/>
          <w:szCs w:val="24"/>
          <w:lang w:val="en-US" w:eastAsia="zh-CN"/>
        </w:rPr>
        <w:t xml:space="preserve">, Fisher DA, Ben-Menachem T, Chandrasekhara V, Chathadi K, Decker GA, Early DS, Evans JA, Fanelli RD, Foley K, Fukami N, Jain R, Jue TL, Khan KM, Lightdale J, Malpas PM, Maple JT, Pasha S, Saltzman J, Sharaf R, Shergill AK, Dominitz JA, Cash BD; Standards of Practice Committee of the American Society for Gastrointestinal Endoscopy. The role of endoscopy in the management of acute non-variceal upper GI bleeding. </w:t>
      </w:r>
      <w:r w:rsidRPr="00BD4EE8">
        <w:rPr>
          <w:rFonts w:ascii="Book Antiqua" w:eastAsia="宋体" w:hAnsi="Book Antiqua" w:cs="Times New Roman"/>
          <w:i/>
          <w:color w:val="auto"/>
          <w:kern w:val="2"/>
          <w:sz w:val="24"/>
          <w:szCs w:val="24"/>
          <w:lang w:val="en-US" w:eastAsia="zh-CN"/>
        </w:rPr>
        <w:t>Gastrointest Endosc</w:t>
      </w:r>
      <w:r w:rsidRPr="00BD4EE8">
        <w:rPr>
          <w:rFonts w:ascii="Book Antiqua" w:eastAsia="宋体" w:hAnsi="Book Antiqua" w:cs="Times New Roman"/>
          <w:color w:val="auto"/>
          <w:kern w:val="2"/>
          <w:sz w:val="24"/>
          <w:szCs w:val="24"/>
          <w:lang w:val="en-US" w:eastAsia="zh-CN"/>
        </w:rPr>
        <w:t xml:space="preserve"> 2012; </w:t>
      </w:r>
      <w:r w:rsidRPr="00BD4EE8">
        <w:rPr>
          <w:rFonts w:ascii="Book Antiqua" w:eastAsia="宋体" w:hAnsi="Book Antiqua" w:cs="Times New Roman"/>
          <w:b/>
          <w:color w:val="auto"/>
          <w:kern w:val="2"/>
          <w:sz w:val="24"/>
          <w:szCs w:val="24"/>
          <w:lang w:val="en-US" w:eastAsia="zh-CN"/>
        </w:rPr>
        <w:t>75</w:t>
      </w:r>
      <w:r w:rsidRPr="00BD4EE8">
        <w:rPr>
          <w:rFonts w:ascii="Book Antiqua" w:eastAsia="宋体" w:hAnsi="Book Antiqua" w:cs="Times New Roman"/>
          <w:color w:val="auto"/>
          <w:kern w:val="2"/>
          <w:sz w:val="24"/>
          <w:szCs w:val="24"/>
          <w:lang w:val="en-US" w:eastAsia="zh-CN"/>
        </w:rPr>
        <w:t>: 1132-1138 [PMID: 22624808 DOI: 10.1016/j.gie.2012.02.033]</w:t>
      </w:r>
    </w:p>
    <w:p w14:paraId="0A01625A"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24 </w:t>
      </w:r>
      <w:r w:rsidRPr="00BD4EE8">
        <w:rPr>
          <w:rFonts w:ascii="Book Antiqua" w:eastAsia="宋体" w:hAnsi="Book Antiqua" w:cs="Times New Roman"/>
          <w:b/>
          <w:color w:val="auto"/>
          <w:kern w:val="2"/>
          <w:sz w:val="24"/>
          <w:szCs w:val="24"/>
          <w:lang w:val="en-US" w:eastAsia="zh-CN"/>
        </w:rPr>
        <w:t>Targownik LE</w:t>
      </w:r>
      <w:r w:rsidRPr="00BD4EE8">
        <w:rPr>
          <w:rFonts w:ascii="Book Antiqua" w:eastAsia="宋体" w:hAnsi="Book Antiqua" w:cs="Times New Roman"/>
          <w:color w:val="auto"/>
          <w:kern w:val="2"/>
          <w:sz w:val="24"/>
          <w:szCs w:val="24"/>
          <w:lang w:val="en-US" w:eastAsia="zh-CN"/>
        </w:rPr>
        <w:t xml:space="preserve">, Nabalamba A. Trends in management and outcomes of acute nonvariceal upper gastrointestinal bleeding: 1993-2003. </w:t>
      </w:r>
      <w:r w:rsidRPr="00BD4EE8">
        <w:rPr>
          <w:rFonts w:ascii="Book Antiqua" w:eastAsia="宋体" w:hAnsi="Book Antiqua" w:cs="Times New Roman"/>
          <w:i/>
          <w:color w:val="auto"/>
          <w:kern w:val="2"/>
          <w:sz w:val="24"/>
          <w:szCs w:val="24"/>
          <w:lang w:val="en-US" w:eastAsia="zh-CN"/>
        </w:rPr>
        <w:t>Clin Gastroenterol Hepatol</w:t>
      </w:r>
      <w:r w:rsidRPr="00BD4EE8">
        <w:rPr>
          <w:rFonts w:ascii="Book Antiqua" w:eastAsia="宋体" w:hAnsi="Book Antiqua" w:cs="Times New Roman"/>
          <w:color w:val="auto"/>
          <w:kern w:val="2"/>
          <w:sz w:val="24"/>
          <w:szCs w:val="24"/>
          <w:lang w:val="en-US" w:eastAsia="zh-CN"/>
        </w:rPr>
        <w:t xml:space="preserve"> 2006; </w:t>
      </w:r>
      <w:r w:rsidRPr="00BD4EE8">
        <w:rPr>
          <w:rFonts w:ascii="Book Antiqua" w:eastAsia="宋体" w:hAnsi="Book Antiqua" w:cs="Times New Roman"/>
          <w:b/>
          <w:color w:val="auto"/>
          <w:kern w:val="2"/>
          <w:sz w:val="24"/>
          <w:szCs w:val="24"/>
          <w:lang w:val="en-US" w:eastAsia="zh-CN"/>
        </w:rPr>
        <w:t>4</w:t>
      </w:r>
      <w:r w:rsidRPr="00BD4EE8">
        <w:rPr>
          <w:rFonts w:ascii="Book Antiqua" w:eastAsia="宋体" w:hAnsi="Book Antiqua" w:cs="Times New Roman"/>
          <w:color w:val="auto"/>
          <w:kern w:val="2"/>
          <w:sz w:val="24"/>
          <w:szCs w:val="24"/>
          <w:lang w:val="en-US" w:eastAsia="zh-CN"/>
        </w:rPr>
        <w:t>: 1459-1466 [PMID: 17101296 DOI: 10.1016/j.cgh.2006.08.018]</w:t>
      </w:r>
    </w:p>
    <w:p w14:paraId="7226C779"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25 </w:t>
      </w:r>
      <w:r w:rsidRPr="00BD4EE8">
        <w:rPr>
          <w:rFonts w:ascii="Book Antiqua" w:eastAsia="宋体" w:hAnsi="Book Antiqua" w:cs="Times New Roman"/>
          <w:b/>
          <w:color w:val="auto"/>
          <w:kern w:val="2"/>
          <w:sz w:val="24"/>
          <w:szCs w:val="24"/>
          <w:lang w:val="en-US" w:eastAsia="zh-CN"/>
        </w:rPr>
        <w:t>Garg SK</w:t>
      </w:r>
      <w:r w:rsidRPr="00BD4EE8">
        <w:rPr>
          <w:rFonts w:ascii="Book Antiqua" w:eastAsia="宋体" w:hAnsi="Book Antiqua" w:cs="Times New Roman"/>
          <w:color w:val="auto"/>
          <w:kern w:val="2"/>
          <w:sz w:val="24"/>
          <w:szCs w:val="24"/>
          <w:lang w:val="en-US" w:eastAsia="zh-CN"/>
        </w:rPr>
        <w:t xml:space="preserve">, Anugwom C, Campbell J, Wadhwa V, Gupta N, Lopez R, Shergill S, Sanaka MR. Early esophagogastroduodenoscopy is associated with better Outcomes in upper gastrointestinal bleeding: a nationwide study. </w:t>
      </w:r>
      <w:r w:rsidRPr="00BD4EE8">
        <w:rPr>
          <w:rFonts w:ascii="Book Antiqua" w:eastAsia="宋体" w:hAnsi="Book Antiqua" w:cs="Times New Roman"/>
          <w:i/>
          <w:color w:val="auto"/>
          <w:kern w:val="2"/>
          <w:sz w:val="24"/>
          <w:szCs w:val="24"/>
          <w:lang w:val="en-US" w:eastAsia="zh-CN"/>
        </w:rPr>
        <w:t>Endosc Int Open</w:t>
      </w:r>
      <w:r w:rsidRPr="00BD4EE8">
        <w:rPr>
          <w:rFonts w:ascii="Book Antiqua" w:eastAsia="宋体" w:hAnsi="Book Antiqua" w:cs="Times New Roman"/>
          <w:color w:val="auto"/>
          <w:kern w:val="2"/>
          <w:sz w:val="24"/>
          <w:szCs w:val="24"/>
          <w:lang w:val="en-US" w:eastAsia="zh-CN"/>
        </w:rPr>
        <w:t xml:space="preserve"> 2017; </w:t>
      </w:r>
      <w:r w:rsidRPr="00BD4EE8">
        <w:rPr>
          <w:rFonts w:ascii="Book Antiqua" w:eastAsia="宋体" w:hAnsi="Book Antiqua" w:cs="Times New Roman"/>
          <w:b/>
          <w:color w:val="auto"/>
          <w:kern w:val="2"/>
          <w:sz w:val="24"/>
          <w:szCs w:val="24"/>
          <w:lang w:val="en-US" w:eastAsia="zh-CN"/>
        </w:rPr>
        <w:t>5</w:t>
      </w:r>
      <w:r w:rsidRPr="00BD4EE8">
        <w:rPr>
          <w:rFonts w:ascii="Book Antiqua" w:eastAsia="宋体" w:hAnsi="Book Antiqua" w:cs="Times New Roman"/>
          <w:color w:val="auto"/>
          <w:kern w:val="2"/>
          <w:sz w:val="24"/>
          <w:szCs w:val="24"/>
          <w:lang w:val="en-US" w:eastAsia="zh-CN"/>
        </w:rPr>
        <w:t>: E376-E386 [PMID: 28512647 DOI: 10.1055/s-0042-121665]</w:t>
      </w:r>
    </w:p>
    <w:p w14:paraId="54BF5050"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26 </w:t>
      </w:r>
      <w:r w:rsidRPr="00BD4EE8">
        <w:rPr>
          <w:rFonts w:ascii="Book Antiqua" w:eastAsia="宋体" w:hAnsi="Book Antiqua" w:cs="Times New Roman"/>
          <w:b/>
          <w:color w:val="auto"/>
          <w:kern w:val="2"/>
          <w:sz w:val="24"/>
          <w:szCs w:val="24"/>
          <w:lang w:val="en-US" w:eastAsia="zh-CN"/>
        </w:rPr>
        <w:t>Murphy M</w:t>
      </w:r>
      <w:r w:rsidRPr="00BD4EE8">
        <w:rPr>
          <w:rFonts w:ascii="Book Antiqua" w:eastAsia="宋体" w:hAnsi="Book Antiqua" w:cs="Times New Roman"/>
          <w:color w:val="auto"/>
          <w:kern w:val="2"/>
          <w:sz w:val="24"/>
          <w:szCs w:val="24"/>
          <w:lang w:val="en-US" w:eastAsia="zh-CN"/>
        </w:rPr>
        <w:t xml:space="preserve">, Alavi K, Maykel J. Working with existing databases. </w:t>
      </w:r>
      <w:r w:rsidRPr="00BD4EE8">
        <w:rPr>
          <w:rFonts w:ascii="Book Antiqua" w:eastAsia="宋体" w:hAnsi="Book Antiqua" w:cs="Times New Roman"/>
          <w:i/>
          <w:color w:val="auto"/>
          <w:kern w:val="2"/>
          <w:sz w:val="24"/>
          <w:szCs w:val="24"/>
          <w:lang w:val="en-US" w:eastAsia="zh-CN"/>
        </w:rPr>
        <w:t>Clin Colon Rectal Surg</w:t>
      </w:r>
      <w:r w:rsidRPr="00BD4EE8">
        <w:rPr>
          <w:rFonts w:ascii="Book Antiqua" w:eastAsia="宋体" w:hAnsi="Book Antiqua" w:cs="Times New Roman"/>
          <w:color w:val="auto"/>
          <w:kern w:val="2"/>
          <w:sz w:val="24"/>
          <w:szCs w:val="24"/>
          <w:lang w:val="en-US" w:eastAsia="zh-CN"/>
        </w:rPr>
        <w:t xml:space="preserve"> 2013; </w:t>
      </w:r>
      <w:r w:rsidRPr="00BD4EE8">
        <w:rPr>
          <w:rFonts w:ascii="Book Antiqua" w:eastAsia="宋体" w:hAnsi="Book Antiqua" w:cs="Times New Roman"/>
          <w:b/>
          <w:color w:val="auto"/>
          <w:kern w:val="2"/>
          <w:sz w:val="24"/>
          <w:szCs w:val="24"/>
          <w:lang w:val="en-US" w:eastAsia="zh-CN"/>
        </w:rPr>
        <w:t>26</w:t>
      </w:r>
      <w:r w:rsidRPr="00BD4EE8">
        <w:rPr>
          <w:rFonts w:ascii="Book Antiqua" w:eastAsia="宋体" w:hAnsi="Book Antiqua" w:cs="Times New Roman"/>
          <w:color w:val="auto"/>
          <w:kern w:val="2"/>
          <w:sz w:val="24"/>
          <w:szCs w:val="24"/>
          <w:lang w:val="en-US" w:eastAsia="zh-CN"/>
        </w:rPr>
        <w:t>: 5-11 [PMID: 24436641 DOI: 10.1055/s-0033-1333627]</w:t>
      </w:r>
    </w:p>
    <w:p w14:paraId="4A78E182"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27 </w:t>
      </w:r>
      <w:r w:rsidRPr="00BD4EE8">
        <w:rPr>
          <w:rFonts w:ascii="Book Antiqua" w:eastAsia="宋体" w:hAnsi="Book Antiqua" w:cs="Times New Roman"/>
          <w:b/>
          <w:color w:val="auto"/>
          <w:kern w:val="2"/>
          <w:sz w:val="24"/>
          <w:szCs w:val="24"/>
          <w:lang w:val="en-US" w:eastAsia="zh-CN"/>
        </w:rPr>
        <w:t>D'Amico G</w:t>
      </w:r>
      <w:r w:rsidRPr="00BD4EE8">
        <w:rPr>
          <w:rFonts w:ascii="Book Antiqua" w:eastAsia="宋体" w:hAnsi="Book Antiqua" w:cs="Times New Roman"/>
          <w:color w:val="auto"/>
          <w:kern w:val="2"/>
          <w:sz w:val="24"/>
          <w:szCs w:val="24"/>
          <w:lang w:val="en-US" w:eastAsia="zh-CN"/>
        </w:rPr>
        <w:t xml:space="preserve">, Pagliaro L, Bosch J. Pharmacological treatment of portal hypertension: an evidence-based approach. </w:t>
      </w:r>
      <w:r w:rsidRPr="00BD4EE8">
        <w:rPr>
          <w:rFonts w:ascii="Book Antiqua" w:eastAsia="宋体" w:hAnsi="Book Antiqua" w:cs="Times New Roman"/>
          <w:i/>
          <w:color w:val="auto"/>
          <w:kern w:val="2"/>
          <w:sz w:val="24"/>
          <w:szCs w:val="24"/>
          <w:lang w:val="en-US" w:eastAsia="zh-CN"/>
        </w:rPr>
        <w:t>Semin Liver Dis</w:t>
      </w:r>
      <w:r w:rsidRPr="00BD4EE8">
        <w:rPr>
          <w:rFonts w:ascii="Book Antiqua" w:eastAsia="宋体" w:hAnsi="Book Antiqua" w:cs="Times New Roman"/>
          <w:color w:val="auto"/>
          <w:kern w:val="2"/>
          <w:sz w:val="24"/>
          <w:szCs w:val="24"/>
          <w:lang w:val="en-US" w:eastAsia="zh-CN"/>
        </w:rPr>
        <w:t xml:space="preserve"> 1999; </w:t>
      </w:r>
      <w:r w:rsidRPr="00BD4EE8">
        <w:rPr>
          <w:rFonts w:ascii="Book Antiqua" w:eastAsia="宋体" w:hAnsi="Book Antiqua" w:cs="Times New Roman"/>
          <w:b/>
          <w:color w:val="auto"/>
          <w:kern w:val="2"/>
          <w:sz w:val="24"/>
          <w:szCs w:val="24"/>
          <w:lang w:val="en-US" w:eastAsia="zh-CN"/>
        </w:rPr>
        <w:t>19</w:t>
      </w:r>
      <w:r w:rsidRPr="00BD4EE8">
        <w:rPr>
          <w:rFonts w:ascii="Book Antiqua" w:eastAsia="宋体" w:hAnsi="Book Antiqua" w:cs="Times New Roman"/>
          <w:color w:val="auto"/>
          <w:kern w:val="2"/>
          <w:sz w:val="24"/>
          <w:szCs w:val="24"/>
          <w:lang w:val="en-US" w:eastAsia="zh-CN"/>
        </w:rPr>
        <w:t xml:space="preserve">: 475-505 </w:t>
      </w:r>
      <w:r w:rsidRPr="00BD4EE8">
        <w:rPr>
          <w:rFonts w:ascii="Book Antiqua" w:eastAsia="宋体" w:hAnsi="Book Antiqua" w:cs="Times New Roman"/>
          <w:color w:val="auto"/>
          <w:kern w:val="2"/>
          <w:sz w:val="24"/>
          <w:szCs w:val="24"/>
          <w:lang w:val="en-US" w:eastAsia="zh-CN"/>
        </w:rPr>
        <w:lastRenderedPageBreak/>
        <w:t>[PMID: 10643630 DOI: 10.1055/s-2007-1007133]</w:t>
      </w:r>
    </w:p>
    <w:p w14:paraId="1A7006E7" w14:textId="77777777" w:rsidR="00BD4EE8" w:rsidRPr="00BD4EE8" w:rsidRDefault="00BD4EE8" w:rsidP="00BD4EE8">
      <w:pPr>
        <w:widowControl w:val="0"/>
        <w:snapToGrid w:val="0"/>
        <w:spacing w:line="360" w:lineRule="auto"/>
        <w:jc w:val="both"/>
        <w:rPr>
          <w:rFonts w:ascii="Book Antiqua" w:eastAsia="宋体" w:hAnsi="Book Antiqua" w:cs="Times New Roman"/>
          <w:color w:val="auto"/>
          <w:kern w:val="2"/>
          <w:sz w:val="24"/>
          <w:szCs w:val="24"/>
          <w:lang w:val="en-US" w:eastAsia="zh-CN"/>
        </w:rPr>
      </w:pPr>
      <w:r w:rsidRPr="00BD4EE8">
        <w:rPr>
          <w:rFonts w:ascii="Book Antiqua" w:eastAsia="宋体" w:hAnsi="Book Antiqua" w:cs="Times New Roman"/>
          <w:color w:val="auto"/>
          <w:kern w:val="2"/>
          <w:sz w:val="24"/>
          <w:szCs w:val="24"/>
          <w:lang w:val="en-US" w:eastAsia="zh-CN"/>
        </w:rPr>
        <w:t xml:space="preserve">28 </w:t>
      </w:r>
      <w:r w:rsidRPr="00BD4EE8">
        <w:rPr>
          <w:rFonts w:ascii="Book Antiqua" w:eastAsia="宋体" w:hAnsi="Book Antiqua" w:cs="Times New Roman"/>
          <w:b/>
          <w:color w:val="auto"/>
          <w:kern w:val="2"/>
          <w:sz w:val="24"/>
          <w:szCs w:val="24"/>
          <w:lang w:val="en-US" w:eastAsia="zh-CN"/>
        </w:rPr>
        <w:t>Bosch J</w:t>
      </w:r>
      <w:r w:rsidRPr="00BD4EE8">
        <w:rPr>
          <w:rFonts w:ascii="Book Antiqua" w:eastAsia="宋体" w:hAnsi="Book Antiqua" w:cs="Times New Roman"/>
          <w:color w:val="auto"/>
          <w:kern w:val="2"/>
          <w:sz w:val="24"/>
          <w:szCs w:val="24"/>
          <w:lang w:val="en-US" w:eastAsia="zh-CN"/>
        </w:rPr>
        <w:t xml:space="preserve">, García-Pagán JC. Prevention of variceal rebleeding. </w:t>
      </w:r>
      <w:r w:rsidRPr="00BD4EE8">
        <w:rPr>
          <w:rFonts w:ascii="Book Antiqua" w:eastAsia="宋体" w:hAnsi="Book Antiqua" w:cs="Times New Roman"/>
          <w:i/>
          <w:color w:val="auto"/>
          <w:kern w:val="2"/>
          <w:sz w:val="24"/>
          <w:szCs w:val="24"/>
          <w:lang w:val="en-US" w:eastAsia="zh-CN"/>
        </w:rPr>
        <w:t>Lancet</w:t>
      </w:r>
      <w:r w:rsidRPr="00BD4EE8">
        <w:rPr>
          <w:rFonts w:ascii="Book Antiqua" w:eastAsia="宋体" w:hAnsi="Book Antiqua" w:cs="Times New Roman"/>
          <w:color w:val="auto"/>
          <w:kern w:val="2"/>
          <w:sz w:val="24"/>
          <w:szCs w:val="24"/>
          <w:lang w:val="en-US" w:eastAsia="zh-CN"/>
        </w:rPr>
        <w:t xml:space="preserve"> 2003; </w:t>
      </w:r>
      <w:r w:rsidRPr="00BD4EE8">
        <w:rPr>
          <w:rFonts w:ascii="Book Antiqua" w:eastAsia="宋体" w:hAnsi="Book Antiqua" w:cs="Times New Roman"/>
          <w:b/>
          <w:color w:val="auto"/>
          <w:kern w:val="2"/>
          <w:sz w:val="24"/>
          <w:szCs w:val="24"/>
          <w:lang w:val="en-US" w:eastAsia="zh-CN"/>
        </w:rPr>
        <w:t>361</w:t>
      </w:r>
      <w:r w:rsidRPr="00BD4EE8">
        <w:rPr>
          <w:rFonts w:ascii="Book Antiqua" w:eastAsia="宋体" w:hAnsi="Book Antiqua" w:cs="Times New Roman"/>
          <w:color w:val="auto"/>
          <w:kern w:val="2"/>
          <w:sz w:val="24"/>
          <w:szCs w:val="24"/>
          <w:lang w:val="en-US" w:eastAsia="zh-CN"/>
        </w:rPr>
        <w:t>: 952-954 [PMID: 12648985 DOI: 10.1016/S0140-6736(03)12778-X]</w:t>
      </w:r>
    </w:p>
    <w:p w14:paraId="56C59B1E" w14:textId="77777777" w:rsidR="0011433B" w:rsidRPr="00932A95" w:rsidRDefault="0011433B" w:rsidP="00374FC0">
      <w:pPr>
        <w:spacing w:line="360" w:lineRule="auto"/>
        <w:jc w:val="both"/>
        <w:rPr>
          <w:rFonts w:ascii="Book Antiqua" w:hAnsi="Book Antiqua" w:cs="Book Antiqua"/>
          <w:color w:val="auto"/>
          <w:sz w:val="24"/>
          <w:szCs w:val="24"/>
        </w:rPr>
      </w:pPr>
    </w:p>
    <w:p w14:paraId="75DCA782" w14:textId="77777777" w:rsidR="00FD6B59" w:rsidRPr="00932A95" w:rsidRDefault="00FD6B59">
      <w:pPr>
        <w:spacing w:line="240" w:lineRule="auto"/>
        <w:rPr>
          <w:rFonts w:ascii="Book Antiqua" w:hAnsi="Book Antiqua" w:cs="Times New Roman"/>
          <w:b/>
          <w:color w:val="auto"/>
          <w:sz w:val="24"/>
          <w:szCs w:val="24"/>
        </w:rPr>
      </w:pPr>
      <w:r w:rsidRPr="00932A95">
        <w:rPr>
          <w:rFonts w:ascii="Book Antiqua" w:hAnsi="Book Antiqua" w:cs="Times New Roman"/>
          <w:b/>
          <w:color w:val="auto"/>
          <w:sz w:val="24"/>
          <w:szCs w:val="24"/>
        </w:rPr>
        <w:br w:type="page"/>
      </w:r>
    </w:p>
    <w:p w14:paraId="2D132FB9" w14:textId="77777777" w:rsidR="0011433B" w:rsidRPr="00932A95" w:rsidRDefault="002F52BB" w:rsidP="00374FC0">
      <w:pPr>
        <w:snapToGrid w:val="0"/>
        <w:spacing w:line="360" w:lineRule="auto"/>
        <w:jc w:val="both"/>
        <w:rPr>
          <w:rFonts w:ascii="Book Antiqua" w:hAnsi="Book Antiqua" w:cs="Times New Roman"/>
          <w:b/>
          <w:color w:val="auto"/>
          <w:sz w:val="24"/>
          <w:szCs w:val="24"/>
        </w:rPr>
      </w:pPr>
      <w:r w:rsidRPr="00932A95">
        <w:rPr>
          <w:rFonts w:ascii="Book Antiqua" w:hAnsi="Book Antiqua" w:cs="Times New Roman"/>
          <w:b/>
          <w:color w:val="auto"/>
          <w:sz w:val="24"/>
          <w:szCs w:val="24"/>
        </w:rPr>
        <w:lastRenderedPageBreak/>
        <w:t>Footnotes</w:t>
      </w:r>
    </w:p>
    <w:p w14:paraId="541A8BAC" w14:textId="77777777" w:rsidR="0011433B" w:rsidRPr="00932A95" w:rsidRDefault="002F52BB" w:rsidP="00374FC0">
      <w:pPr>
        <w:snapToGrid w:val="0"/>
        <w:spacing w:line="360" w:lineRule="auto"/>
        <w:jc w:val="both"/>
        <w:rPr>
          <w:rFonts w:ascii="Book Antiqua" w:hAnsi="Book Antiqua" w:cs="Times New Roman"/>
          <w:color w:val="auto"/>
          <w:sz w:val="24"/>
          <w:szCs w:val="24"/>
          <w:lang w:val="en-US"/>
        </w:rPr>
      </w:pPr>
      <w:r w:rsidRPr="00932A95">
        <w:rPr>
          <w:rFonts w:ascii="Book Antiqua" w:hAnsi="Book Antiqua" w:cs="Times New Roman"/>
          <w:b/>
          <w:color w:val="auto"/>
          <w:sz w:val="24"/>
          <w:szCs w:val="24"/>
        </w:rPr>
        <w:t>Institutional review board statement</w:t>
      </w:r>
      <w:r w:rsidRPr="00932A95">
        <w:rPr>
          <w:rFonts w:ascii="Book Antiqua" w:hAnsi="Book Antiqua" w:cs="Times New Roman"/>
          <w:color w:val="auto"/>
          <w:sz w:val="24"/>
          <w:szCs w:val="24"/>
        </w:rPr>
        <w:t xml:space="preserve">: </w:t>
      </w:r>
      <w:r w:rsidRPr="00932A95">
        <w:rPr>
          <w:rFonts w:ascii="Book Antiqua" w:hAnsi="Book Antiqua" w:cs="Book Antiqua"/>
          <w:color w:val="auto"/>
          <w:sz w:val="24"/>
          <w:szCs w:val="24"/>
        </w:rPr>
        <w:t>This study did not require IRB approval due since the database is representative of nationally acquired data</w:t>
      </w:r>
      <w:r w:rsidRPr="00932A95">
        <w:rPr>
          <w:rFonts w:ascii="Book Antiqua" w:hAnsi="Book Antiqua" w:cs="Book Antiqua"/>
          <w:color w:val="auto"/>
          <w:sz w:val="24"/>
          <w:szCs w:val="24"/>
          <w:lang w:val="en-US"/>
        </w:rPr>
        <w:t>.</w:t>
      </w:r>
    </w:p>
    <w:p w14:paraId="196D198E" w14:textId="77777777" w:rsidR="0011433B" w:rsidRDefault="0011433B" w:rsidP="00374FC0">
      <w:pPr>
        <w:snapToGrid w:val="0"/>
        <w:spacing w:line="360" w:lineRule="auto"/>
        <w:jc w:val="both"/>
        <w:rPr>
          <w:rFonts w:ascii="Book Antiqua" w:hAnsi="Book Antiqua" w:cs="Times New Roman"/>
          <w:color w:val="auto"/>
          <w:sz w:val="24"/>
          <w:szCs w:val="24"/>
          <w:lang w:val="en-US"/>
        </w:rPr>
      </w:pPr>
    </w:p>
    <w:p w14:paraId="00515576" w14:textId="7B1DDBA9" w:rsidR="004C75C6" w:rsidRDefault="004C75C6" w:rsidP="00374FC0">
      <w:pPr>
        <w:snapToGrid w:val="0"/>
        <w:spacing w:line="360" w:lineRule="auto"/>
        <w:jc w:val="both"/>
        <w:rPr>
          <w:rFonts w:ascii="Book Antiqua" w:hAnsi="Book Antiqua" w:cs="Times New Roman"/>
          <w:color w:val="auto"/>
          <w:sz w:val="24"/>
          <w:szCs w:val="24"/>
          <w:lang w:val="en-US"/>
        </w:rPr>
      </w:pPr>
      <w:r w:rsidRPr="004C75C6">
        <w:rPr>
          <w:rFonts w:ascii="Book Antiqua" w:hAnsi="Book Antiqua" w:cs="Times New Roman"/>
          <w:b/>
          <w:color w:val="auto"/>
          <w:sz w:val="24"/>
          <w:szCs w:val="24"/>
          <w:lang w:val="en-US"/>
        </w:rPr>
        <w:t>Informed consent statement:</w:t>
      </w:r>
      <w:r>
        <w:rPr>
          <w:rFonts w:ascii="Book Antiqua" w:hAnsi="Book Antiqua" w:cs="Times New Roman"/>
          <w:color w:val="auto"/>
          <w:sz w:val="24"/>
          <w:szCs w:val="24"/>
          <w:lang w:val="en-US"/>
        </w:rPr>
        <w:t xml:space="preserve"> </w:t>
      </w:r>
      <w:r w:rsidRPr="004C75C6">
        <w:rPr>
          <w:rFonts w:ascii="Book Antiqua" w:hAnsi="Book Antiqua" w:cs="Times New Roman"/>
          <w:color w:val="auto"/>
          <w:sz w:val="24"/>
          <w:szCs w:val="24"/>
          <w:lang w:val="en-US"/>
        </w:rPr>
        <w:t>Due to the retrospective nature of this study as well as the using of a national database no human information was made available to authors.</w:t>
      </w:r>
      <w:r w:rsidR="0012014D">
        <w:rPr>
          <w:rFonts w:ascii="Book Antiqua" w:hAnsi="Book Antiqua" w:cs="Times New Roman"/>
          <w:color w:val="auto"/>
          <w:sz w:val="24"/>
          <w:szCs w:val="24"/>
          <w:lang w:val="en-US"/>
        </w:rPr>
        <w:t xml:space="preserve"> </w:t>
      </w:r>
      <w:r w:rsidRPr="004C75C6">
        <w:rPr>
          <w:rFonts w:ascii="Book Antiqua" w:hAnsi="Book Antiqua" w:cs="Times New Roman"/>
          <w:color w:val="auto"/>
          <w:sz w:val="24"/>
          <w:szCs w:val="24"/>
          <w:lang w:val="en-US"/>
        </w:rPr>
        <w:t>Therefore, informed consent was not needed to write this manuscript.</w:t>
      </w:r>
    </w:p>
    <w:p w14:paraId="0FE29E67" w14:textId="77777777" w:rsidR="004C75C6" w:rsidRPr="00932A95" w:rsidRDefault="004C75C6" w:rsidP="00374FC0">
      <w:pPr>
        <w:snapToGrid w:val="0"/>
        <w:spacing w:line="360" w:lineRule="auto"/>
        <w:jc w:val="both"/>
        <w:rPr>
          <w:rFonts w:ascii="Book Antiqua" w:hAnsi="Book Antiqua" w:cs="Times New Roman"/>
          <w:color w:val="auto"/>
          <w:sz w:val="24"/>
          <w:szCs w:val="24"/>
          <w:lang w:val="en-US"/>
        </w:rPr>
      </w:pPr>
    </w:p>
    <w:p w14:paraId="097A2EC9" w14:textId="77777777" w:rsidR="0011433B" w:rsidRPr="00932A95" w:rsidRDefault="002F52BB" w:rsidP="00374FC0">
      <w:pPr>
        <w:snapToGrid w:val="0"/>
        <w:spacing w:line="360" w:lineRule="auto"/>
        <w:jc w:val="both"/>
        <w:rPr>
          <w:rFonts w:ascii="Book Antiqua" w:hAnsi="Book Antiqua" w:cs="Times New Roman"/>
          <w:color w:val="auto"/>
          <w:sz w:val="24"/>
          <w:szCs w:val="24"/>
          <w:lang w:val="en-US"/>
        </w:rPr>
      </w:pPr>
      <w:r w:rsidRPr="00932A95">
        <w:rPr>
          <w:rFonts w:ascii="Book Antiqua" w:hAnsi="Book Antiqua" w:cs="Times New Roman"/>
          <w:b/>
          <w:color w:val="auto"/>
          <w:sz w:val="24"/>
          <w:szCs w:val="24"/>
        </w:rPr>
        <w:t>Conflict-of-interest statement</w:t>
      </w:r>
      <w:r w:rsidRPr="00932A95">
        <w:rPr>
          <w:rFonts w:ascii="Book Antiqua" w:hAnsi="Book Antiqua" w:cs="Times New Roman"/>
          <w:color w:val="auto"/>
          <w:sz w:val="24"/>
          <w:szCs w:val="24"/>
        </w:rPr>
        <w:t xml:space="preserve">: </w:t>
      </w:r>
      <w:r w:rsidRPr="00932A95">
        <w:rPr>
          <w:rFonts w:ascii="Book Antiqua" w:hAnsi="Book Antiqua" w:cs="Book Antiqua"/>
          <w:color w:val="auto"/>
          <w:sz w:val="24"/>
          <w:szCs w:val="24"/>
        </w:rPr>
        <w:t>Authors declare no conflict of interest for this article</w:t>
      </w:r>
      <w:r w:rsidRPr="00932A95">
        <w:rPr>
          <w:rFonts w:ascii="Book Antiqua" w:hAnsi="Book Antiqua" w:cs="Book Antiqua"/>
          <w:color w:val="auto"/>
          <w:sz w:val="24"/>
          <w:szCs w:val="24"/>
          <w:lang w:val="en-US"/>
        </w:rPr>
        <w:t>.</w:t>
      </w:r>
    </w:p>
    <w:p w14:paraId="2F619276" w14:textId="77777777" w:rsidR="0011433B" w:rsidRPr="00932A95" w:rsidRDefault="0011433B" w:rsidP="00374FC0">
      <w:pPr>
        <w:snapToGrid w:val="0"/>
        <w:spacing w:line="360" w:lineRule="auto"/>
        <w:jc w:val="both"/>
        <w:rPr>
          <w:rFonts w:ascii="Book Antiqua" w:hAnsi="Book Antiqua" w:cs="Times New Roman"/>
          <w:color w:val="auto"/>
          <w:sz w:val="24"/>
          <w:szCs w:val="24"/>
        </w:rPr>
      </w:pPr>
    </w:p>
    <w:p w14:paraId="4D3C909C" w14:textId="77777777" w:rsidR="0011433B" w:rsidRPr="00932A95" w:rsidRDefault="002F52BB" w:rsidP="00374FC0">
      <w:pPr>
        <w:snapToGrid w:val="0"/>
        <w:spacing w:line="360" w:lineRule="auto"/>
        <w:jc w:val="both"/>
        <w:rPr>
          <w:rFonts w:ascii="Book Antiqua" w:hAnsi="Book Antiqua" w:cs="Times New Roman"/>
          <w:color w:val="auto"/>
          <w:sz w:val="24"/>
          <w:szCs w:val="24"/>
          <w:lang w:val="en-US"/>
        </w:rPr>
      </w:pPr>
      <w:r w:rsidRPr="00932A95">
        <w:rPr>
          <w:rFonts w:ascii="Book Antiqua" w:hAnsi="Book Antiqua" w:cs="Times New Roman"/>
          <w:b/>
          <w:color w:val="auto"/>
          <w:sz w:val="24"/>
          <w:szCs w:val="24"/>
        </w:rPr>
        <w:t>Data sharing statement</w:t>
      </w:r>
      <w:r w:rsidRPr="00932A95">
        <w:rPr>
          <w:rFonts w:ascii="Book Antiqua" w:hAnsi="Book Antiqua" w:cs="Times New Roman"/>
          <w:color w:val="auto"/>
          <w:sz w:val="24"/>
          <w:szCs w:val="24"/>
        </w:rPr>
        <w:t xml:space="preserve">: </w:t>
      </w:r>
      <w:r w:rsidRPr="00932A95">
        <w:rPr>
          <w:rFonts w:ascii="Book Antiqua" w:hAnsi="Book Antiqua" w:cs="Book Antiqua"/>
          <w:color w:val="auto"/>
          <w:sz w:val="24"/>
          <w:szCs w:val="24"/>
        </w:rPr>
        <w:t>No additional data are available</w:t>
      </w:r>
      <w:r w:rsidRPr="00932A95">
        <w:rPr>
          <w:rFonts w:ascii="Book Antiqua" w:hAnsi="Book Antiqua" w:cs="Book Antiqua"/>
          <w:color w:val="auto"/>
          <w:sz w:val="24"/>
          <w:szCs w:val="24"/>
          <w:lang w:val="en-US"/>
        </w:rPr>
        <w:t>.</w:t>
      </w:r>
    </w:p>
    <w:p w14:paraId="27847F0C" w14:textId="77777777" w:rsidR="0011433B" w:rsidRPr="00932A95" w:rsidRDefault="0011433B" w:rsidP="00374FC0">
      <w:pPr>
        <w:spacing w:line="360" w:lineRule="auto"/>
        <w:jc w:val="both"/>
        <w:rPr>
          <w:rFonts w:ascii="Book Antiqua" w:hAnsi="Book Antiqua" w:cs="Book Antiqua"/>
          <w:color w:val="auto"/>
          <w:sz w:val="24"/>
          <w:szCs w:val="24"/>
        </w:rPr>
      </w:pPr>
    </w:p>
    <w:p w14:paraId="210AC90D" w14:textId="77777777" w:rsidR="0011433B" w:rsidRPr="00932A95" w:rsidRDefault="002F52BB" w:rsidP="00374FC0">
      <w:pPr>
        <w:autoSpaceDE w:val="0"/>
        <w:autoSpaceDN w:val="0"/>
        <w:adjustRightInd w:val="0"/>
        <w:spacing w:line="360" w:lineRule="auto"/>
        <w:jc w:val="both"/>
        <w:rPr>
          <w:rFonts w:ascii="Book Antiqua" w:hAnsi="Book Antiqua" w:cs="Book Antiqua"/>
          <w:color w:val="auto"/>
          <w:sz w:val="24"/>
          <w:szCs w:val="24"/>
        </w:rPr>
      </w:pPr>
      <w:r w:rsidRPr="00932A95">
        <w:rPr>
          <w:rFonts w:ascii="Book Antiqua" w:hAnsi="Book Antiqua" w:cs="Book Antiqua"/>
          <w:b/>
          <w:caps/>
          <w:color w:val="auto"/>
          <w:sz w:val="24"/>
          <w:szCs w:val="24"/>
        </w:rPr>
        <w:t>Strobe</w:t>
      </w:r>
      <w:r w:rsidRPr="00932A95">
        <w:rPr>
          <w:rFonts w:ascii="Book Antiqua" w:hAnsi="Book Antiqua" w:cs="Book Antiqua"/>
          <w:b/>
          <w:color w:val="auto"/>
          <w:sz w:val="24"/>
          <w:szCs w:val="24"/>
        </w:rPr>
        <w:t xml:space="preserve"> statement:</w:t>
      </w:r>
      <w:r w:rsidRPr="00932A95">
        <w:rPr>
          <w:rFonts w:ascii="Book Antiqua" w:hAnsi="Book Antiqua" w:cs="Book Antiqua"/>
          <w:color w:val="auto"/>
          <w:sz w:val="24"/>
          <w:szCs w:val="24"/>
        </w:rPr>
        <w:t xml:space="preserve"> </w:t>
      </w:r>
      <w:r w:rsidRPr="00932A95">
        <w:rPr>
          <w:rFonts w:ascii="Book Antiqua" w:eastAsia="Times New Roman" w:hAnsi="Book Antiqua" w:cs="Book Antiqua"/>
          <w:color w:val="auto"/>
          <w:sz w:val="24"/>
          <w:szCs w:val="24"/>
        </w:rPr>
        <w:t>The authors have read the STROBE Statement—checklist of items, and</w:t>
      </w:r>
      <w:r w:rsidRPr="00932A95">
        <w:rPr>
          <w:rFonts w:ascii="Book Antiqua" w:hAnsi="Book Antiqua" w:cs="Book Antiqua"/>
          <w:color w:val="auto"/>
          <w:sz w:val="24"/>
          <w:szCs w:val="24"/>
        </w:rPr>
        <w:t xml:space="preserve"> </w:t>
      </w:r>
      <w:r w:rsidRPr="00932A95">
        <w:rPr>
          <w:rFonts w:ascii="Book Antiqua" w:eastAsia="Times New Roman" w:hAnsi="Book Antiqua" w:cs="Book Antiqua"/>
          <w:color w:val="auto"/>
          <w:sz w:val="24"/>
          <w:szCs w:val="24"/>
        </w:rPr>
        <w:t>the manuscript was prepared and revised according to the STROBE Statement—checklist of items.</w:t>
      </w:r>
    </w:p>
    <w:p w14:paraId="35CFBB75" w14:textId="77777777" w:rsidR="0011433B" w:rsidRPr="00932A95" w:rsidRDefault="0011433B" w:rsidP="00374FC0">
      <w:pPr>
        <w:spacing w:line="360" w:lineRule="auto"/>
        <w:jc w:val="both"/>
        <w:rPr>
          <w:rFonts w:ascii="Book Antiqua" w:hAnsi="Book Antiqua" w:cs="Book Antiqua"/>
          <w:color w:val="auto"/>
          <w:sz w:val="24"/>
          <w:szCs w:val="24"/>
        </w:rPr>
      </w:pPr>
    </w:p>
    <w:p w14:paraId="7D575922" w14:textId="77777777" w:rsidR="0011433B" w:rsidRPr="00932A95" w:rsidRDefault="002F52BB" w:rsidP="00374FC0">
      <w:pPr>
        <w:spacing w:line="360" w:lineRule="auto"/>
        <w:jc w:val="both"/>
        <w:rPr>
          <w:rFonts w:ascii="Book Antiqua" w:hAnsi="Book Antiqua"/>
          <w:color w:val="auto"/>
          <w:sz w:val="24"/>
          <w:szCs w:val="24"/>
        </w:rPr>
      </w:pPr>
      <w:r w:rsidRPr="00932A95">
        <w:rPr>
          <w:rFonts w:ascii="Book Antiqua" w:hAnsi="Book Antiqua"/>
          <w:b/>
          <w:color w:val="auto"/>
          <w:sz w:val="24"/>
          <w:szCs w:val="24"/>
        </w:rPr>
        <w:t>Open-Access:</w:t>
      </w:r>
      <w:r w:rsidRPr="00932A95">
        <w:rPr>
          <w:rFonts w:ascii="Book Antiqua" w:hAnsi="Book Antiqua"/>
          <w:color w:val="auto"/>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036131" w14:textId="77777777" w:rsidR="0011433B" w:rsidRPr="00932A95" w:rsidRDefault="0011433B" w:rsidP="00374FC0">
      <w:pPr>
        <w:pStyle w:val="a3"/>
        <w:spacing w:line="360" w:lineRule="auto"/>
        <w:jc w:val="both"/>
        <w:rPr>
          <w:rFonts w:ascii="Book Antiqua" w:eastAsia="宋体" w:hAnsi="Book Antiqua" w:cs="Times New Roman"/>
          <w:bCs/>
          <w:color w:val="auto"/>
          <w:sz w:val="24"/>
          <w:szCs w:val="24"/>
        </w:rPr>
      </w:pPr>
    </w:p>
    <w:p w14:paraId="6BB467BE" w14:textId="77777777" w:rsidR="0011433B" w:rsidRPr="00932A95" w:rsidRDefault="002F52BB" w:rsidP="00374FC0">
      <w:pPr>
        <w:adjustRightInd w:val="0"/>
        <w:snapToGrid w:val="0"/>
        <w:spacing w:line="360" w:lineRule="auto"/>
        <w:jc w:val="both"/>
        <w:rPr>
          <w:rFonts w:ascii="Book Antiqua" w:hAnsi="Book Antiqua"/>
          <w:bCs/>
          <w:color w:val="auto"/>
          <w:sz w:val="24"/>
          <w:szCs w:val="24"/>
        </w:rPr>
      </w:pPr>
      <w:r w:rsidRPr="00932A95">
        <w:rPr>
          <w:rFonts w:ascii="Book Antiqua" w:hAnsi="Book Antiqua"/>
          <w:b/>
          <w:bCs/>
          <w:color w:val="auto"/>
          <w:sz w:val="24"/>
          <w:szCs w:val="24"/>
          <w:lang w:eastAsia="pl-PL"/>
        </w:rPr>
        <w:t>Manuscript source:</w:t>
      </w:r>
      <w:r w:rsidRPr="00932A95">
        <w:rPr>
          <w:rFonts w:ascii="Book Antiqua" w:hAnsi="Book Antiqua"/>
          <w:b/>
          <w:bCs/>
          <w:color w:val="auto"/>
          <w:sz w:val="24"/>
          <w:szCs w:val="24"/>
        </w:rPr>
        <w:t xml:space="preserve"> </w:t>
      </w:r>
      <w:r w:rsidRPr="00932A95">
        <w:rPr>
          <w:rFonts w:ascii="Book Antiqua" w:hAnsi="Book Antiqua"/>
          <w:bCs/>
          <w:color w:val="auto"/>
          <w:sz w:val="24"/>
          <w:szCs w:val="24"/>
          <w:lang w:eastAsia="pl-PL"/>
        </w:rPr>
        <w:t>Invited manuscript</w:t>
      </w:r>
    </w:p>
    <w:p w14:paraId="02FCE727" w14:textId="77777777" w:rsidR="0011433B" w:rsidRPr="00932A95" w:rsidRDefault="0011433B" w:rsidP="00374FC0">
      <w:pPr>
        <w:adjustRightInd w:val="0"/>
        <w:snapToGrid w:val="0"/>
        <w:spacing w:line="360" w:lineRule="auto"/>
        <w:jc w:val="both"/>
        <w:rPr>
          <w:rFonts w:ascii="Book Antiqua" w:hAnsi="Book Antiqua"/>
          <w:b/>
          <w:bCs/>
          <w:color w:val="auto"/>
          <w:sz w:val="24"/>
          <w:szCs w:val="24"/>
        </w:rPr>
      </w:pPr>
    </w:p>
    <w:p w14:paraId="3B3C71D9" w14:textId="77777777" w:rsidR="0011433B" w:rsidRPr="00932A95" w:rsidRDefault="002F52BB" w:rsidP="00374FC0">
      <w:pPr>
        <w:spacing w:line="360" w:lineRule="auto"/>
        <w:jc w:val="both"/>
        <w:rPr>
          <w:rFonts w:ascii="Book Antiqua" w:eastAsia="宋体" w:hAnsi="Book Antiqua"/>
          <w:b/>
          <w:color w:val="auto"/>
          <w:sz w:val="24"/>
          <w:szCs w:val="24"/>
        </w:rPr>
      </w:pPr>
      <w:r w:rsidRPr="00932A95">
        <w:rPr>
          <w:rFonts w:ascii="Book Antiqua" w:hAnsi="Book Antiqua"/>
          <w:b/>
          <w:color w:val="auto"/>
          <w:sz w:val="24"/>
          <w:szCs w:val="24"/>
        </w:rPr>
        <w:t>Peer-review started:</w:t>
      </w:r>
      <w:r w:rsidRPr="00932A95">
        <w:rPr>
          <w:rFonts w:ascii="Book Antiqua" w:eastAsia="宋体" w:hAnsi="Book Antiqua"/>
          <w:b/>
          <w:color w:val="auto"/>
          <w:sz w:val="24"/>
          <w:szCs w:val="24"/>
        </w:rPr>
        <w:t xml:space="preserve"> </w:t>
      </w:r>
      <w:r w:rsidRPr="00932A95">
        <w:rPr>
          <w:rFonts w:ascii="Book Antiqua" w:eastAsia="宋体" w:hAnsi="Book Antiqua" w:cs="Times New Roman"/>
          <w:color w:val="auto"/>
          <w:sz w:val="24"/>
          <w:szCs w:val="24"/>
          <w:lang w:val="en-US"/>
        </w:rPr>
        <w:t>January</w:t>
      </w:r>
      <w:r w:rsidRPr="00932A95">
        <w:rPr>
          <w:rFonts w:ascii="Book Antiqua" w:eastAsia="宋体" w:hAnsi="Book Antiqua" w:cs="Times New Roman" w:hint="eastAsia"/>
          <w:color w:val="auto"/>
          <w:sz w:val="24"/>
          <w:szCs w:val="24"/>
          <w:lang w:val="en-US" w:eastAsia="zh-CN"/>
        </w:rPr>
        <w:t xml:space="preserve"> 6</w:t>
      </w:r>
      <w:r w:rsidRPr="00932A95">
        <w:rPr>
          <w:rFonts w:ascii="Book Antiqua" w:eastAsia="宋体" w:hAnsi="Book Antiqua" w:cs="Times New Roman"/>
          <w:color w:val="auto"/>
          <w:sz w:val="24"/>
          <w:szCs w:val="24"/>
          <w:lang w:val="en-US"/>
        </w:rPr>
        <w:t>, 20</w:t>
      </w:r>
      <w:r w:rsidRPr="00932A95">
        <w:rPr>
          <w:rFonts w:ascii="Book Antiqua" w:eastAsia="宋体" w:hAnsi="Book Antiqua" w:cs="Times New Roman" w:hint="eastAsia"/>
          <w:color w:val="auto"/>
          <w:sz w:val="24"/>
          <w:szCs w:val="24"/>
          <w:lang w:val="en-US" w:eastAsia="zh-CN"/>
        </w:rPr>
        <w:t>20</w:t>
      </w:r>
    </w:p>
    <w:p w14:paraId="18E871E5" w14:textId="77777777" w:rsidR="0011433B" w:rsidRPr="00932A95" w:rsidRDefault="002F52BB" w:rsidP="00374FC0">
      <w:pPr>
        <w:spacing w:line="360" w:lineRule="auto"/>
        <w:jc w:val="both"/>
        <w:rPr>
          <w:rFonts w:ascii="Book Antiqua" w:eastAsia="宋体" w:hAnsi="Book Antiqua"/>
          <w:b/>
          <w:color w:val="auto"/>
          <w:sz w:val="24"/>
          <w:szCs w:val="24"/>
        </w:rPr>
      </w:pPr>
      <w:r w:rsidRPr="00932A95">
        <w:rPr>
          <w:rFonts w:ascii="Book Antiqua" w:hAnsi="Book Antiqua"/>
          <w:b/>
          <w:color w:val="auto"/>
          <w:sz w:val="24"/>
          <w:szCs w:val="24"/>
        </w:rPr>
        <w:lastRenderedPageBreak/>
        <w:t>First decision:</w:t>
      </w:r>
      <w:r w:rsidRPr="00932A95">
        <w:rPr>
          <w:rFonts w:ascii="Book Antiqua" w:eastAsia="宋体" w:hAnsi="Book Antiqua"/>
          <w:b/>
          <w:color w:val="auto"/>
          <w:sz w:val="24"/>
          <w:szCs w:val="24"/>
        </w:rPr>
        <w:t xml:space="preserve"> </w:t>
      </w:r>
      <w:r w:rsidRPr="00932A95">
        <w:rPr>
          <w:rFonts w:ascii="Book Antiqua" w:eastAsia="宋体" w:hAnsi="Book Antiqua"/>
          <w:color w:val="auto"/>
          <w:sz w:val="24"/>
          <w:szCs w:val="24"/>
        </w:rPr>
        <w:t>March</w:t>
      </w:r>
      <w:r w:rsidRPr="00932A95">
        <w:rPr>
          <w:rFonts w:ascii="Book Antiqua" w:eastAsia="宋体" w:hAnsi="Book Antiqua"/>
          <w:color w:val="auto"/>
          <w:sz w:val="24"/>
          <w:szCs w:val="24"/>
          <w:lang w:val="en-US"/>
        </w:rPr>
        <w:t xml:space="preserve"> </w:t>
      </w:r>
      <w:r w:rsidRPr="00932A95">
        <w:rPr>
          <w:rFonts w:ascii="Book Antiqua" w:eastAsia="宋体" w:hAnsi="Book Antiqua"/>
          <w:color w:val="auto"/>
          <w:sz w:val="24"/>
          <w:szCs w:val="24"/>
        </w:rPr>
        <w:t>1</w:t>
      </w:r>
      <w:r w:rsidRPr="00932A95">
        <w:rPr>
          <w:rFonts w:ascii="Book Antiqua" w:eastAsia="宋体" w:hAnsi="Book Antiqua"/>
          <w:color w:val="auto"/>
          <w:sz w:val="24"/>
          <w:szCs w:val="24"/>
          <w:lang w:val="en-US"/>
        </w:rPr>
        <w:t>5</w:t>
      </w:r>
      <w:r w:rsidRPr="00932A95">
        <w:rPr>
          <w:rFonts w:ascii="Book Antiqua" w:eastAsia="宋体" w:hAnsi="Book Antiqua"/>
          <w:color w:val="auto"/>
          <w:sz w:val="24"/>
          <w:szCs w:val="24"/>
        </w:rPr>
        <w:t>, 2020</w:t>
      </w:r>
    </w:p>
    <w:p w14:paraId="2866236D" w14:textId="71B3CB8D" w:rsidR="0011433B" w:rsidRPr="00932A95" w:rsidRDefault="002F52BB" w:rsidP="00374FC0">
      <w:pPr>
        <w:spacing w:line="360" w:lineRule="auto"/>
        <w:jc w:val="both"/>
        <w:rPr>
          <w:rFonts w:ascii="Book Antiqua" w:hAnsi="Book Antiqua"/>
          <w:b/>
          <w:color w:val="auto"/>
          <w:sz w:val="24"/>
          <w:szCs w:val="24"/>
        </w:rPr>
      </w:pPr>
      <w:r w:rsidRPr="00932A95">
        <w:rPr>
          <w:rFonts w:ascii="Book Antiqua" w:hAnsi="Book Antiqua"/>
          <w:b/>
          <w:color w:val="auto"/>
          <w:sz w:val="24"/>
          <w:szCs w:val="24"/>
        </w:rPr>
        <w:t>Article in press:</w:t>
      </w:r>
      <w:r w:rsidR="0084400A" w:rsidRPr="0084400A">
        <w:rPr>
          <w:rFonts w:ascii="Book Antiqua" w:eastAsia="宋体" w:hAnsi="Book Antiqua" w:cs="Times New Roman"/>
          <w:color w:val="auto"/>
          <w:sz w:val="24"/>
          <w:szCs w:val="24"/>
          <w:lang w:val="en-US" w:eastAsia="zh-CN"/>
        </w:rPr>
        <w:t xml:space="preserve"> </w:t>
      </w:r>
      <w:r w:rsidR="0084400A" w:rsidRPr="0029549F">
        <w:rPr>
          <w:rFonts w:ascii="Book Antiqua" w:eastAsia="宋体" w:hAnsi="Book Antiqua" w:cs="Times New Roman"/>
          <w:color w:val="auto"/>
          <w:kern w:val="2"/>
          <w:sz w:val="24"/>
          <w:szCs w:val="24"/>
          <w:lang w:val="en-US"/>
        </w:rPr>
        <w:t>May 14, 2020</w:t>
      </w:r>
    </w:p>
    <w:p w14:paraId="7169E024" w14:textId="77777777" w:rsidR="0011433B" w:rsidRPr="00932A95" w:rsidRDefault="0011433B" w:rsidP="00374FC0">
      <w:pPr>
        <w:spacing w:line="360" w:lineRule="auto"/>
        <w:jc w:val="both"/>
        <w:rPr>
          <w:rFonts w:ascii="Book Antiqua" w:eastAsia="宋体" w:hAnsi="Book Antiqua"/>
          <w:color w:val="auto"/>
          <w:sz w:val="24"/>
          <w:szCs w:val="24"/>
        </w:rPr>
      </w:pPr>
    </w:p>
    <w:p w14:paraId="05C8B33A" w14:textId="77777777" w:rsidR="0011433B" w:rsidRPr="00932A95" w:rsidRDefault="002F52BB" w:rsidP="00374FC0">
      <w:pPr>
        <w:widowControl w:val="0"/>
        <w:adjustRightInd w:val="0"/>
        <w:snapToGrid w:val="0"/>
        <w:spacing w:line="360" w:lineRule="auto"/>
        <w:jc w:val="both"/>
        <w:rPr>
          <w:rFonts w:ascii="Book Antiqua" w:eastAsia="微软雅黑" w:hAnsi="Book Antiqua" w:cs="宋体"/>
          <w:color w:val="auto"/>
          <w:sz w:val="24"/>
          <w:szCs w:val="24"/>
        </w:rPr>
      </w:pPr>
      <w:r w:rsidRPr="00932A95">
        <w:rPr>
          <w:rFonts w:ascii="Book Antiqua" w:hAnsi="Book Antiqua" w:cs="宋体"/>
          <w:b/>
          <w:color w:val="auto"/>
          <w:sz w:val="24"/>
          <w:szCs w:val="24"/>
        </w:rPr>
        <w:t xml:space="preserve">Specialty type: </w:t>
      </w:r>
      <w:r w:rsidRPr="00932A95">
        <w:rPr>
          <w:rFonts w:ascii="Book Antiqua" w:eastAsia="微软雅黑" w:hAnsi="Book Antiqua" w:cs="宋体"/>
          <w:color w:val="auto"/>
          <w:sz w:val="24"/>
          <w:szCs w:val="24"/>
        </w:rPr>
        <w:t xml:space="preserve">Gastroenterology and </w:t>
      </w:r>
      <w:r w:rsidR="00B52589" w:rsidRPr="00932A95">
        <w:rPr>
          <w:rFonts w:ascii="Book Antiqua" w:eastAsia="微软雅黑" w:hAnsi="Book Antiqua" w:cs="宋体"/>
          <w:color w:val="auto"/>
          <w:sz w:val="24"/>
          <w:szCs w:val="24"/>
        </w:rPr>
        <w:t>h</w:t>
      </w:r>
      <w:r w:rsidRPr="00932A95">
        <w:rPr>
          <w:rFonts w:ascii="Book Antiqua" w:eastAsia="微软雅黑" w:hAnsi="Book Antiqua" w:cs="宋体"/>
          <w:color w:val="auto"/>
          <w:sz w:val="24"/>
          <w:szCs w:val="24"/>
        </w:rPr>
        <w:t>epatology</w:t>
      </w:r>
    </w:p>
    <w:p w14:paraId="7F906C24" w14:textId="77777777" w:rsidR="0011433B" w:rsidRPr="00932A95" w:rsidRDefault="002F52BB" w:rsidP="00374FC0">
      <w:pPr>
        <w:widowControl w:val="0"/>
        <w:adjustRightInd w:val="0"/>
        <w:snapToGrid w:val="0"/>
        <w:spacing w:line="360" w:lineRule="auto"/>
        <w:jc w:val="both"/>
        <w:rPr>
          <w:rFonts w:ascii="Book Antiqua" w:hAnsi="Book Antiqua" w:cs="宋体"/>
          <w:bCs/>
          <w:color w:val="auto"/>
          <w:sz w:val="24"/>
          <w:szCs w:val="24"/>
        </w:rPr>
      </w:pPr>
      <w:r w:rsidRPr="00932A95">
        <w:rPr>
          <w:rFonts w:ascii="Book Antiqua" w:eastAsia="宋体" w:hAnsi="Book Antiqua" w:cs="Helvetica"/>
          <w:b/>
          <w:color w:val="auto"/>
          <w:sz w:val="24"/>
          <w:szCs w:val="24"/>
        </w:rPr>
        <w:t>Country/Territory</w:t>
      </w:r>
      <w:r w:rsidRPr="00932A95">
        <w:rPr>
          <w:rFonts w:ascii="Book Antiqua" w:hAnsi="Book Antiqua" w:cs="宋体"/>
          <w:b/>
          <w:color w:val="auto"/>
          <w:sz w:val="24"/>
          <w:szCs w:val="24"/>
        </w:rPr>
        <w:t xml:space="preserve"> of origin: </w:t>
      </w:r>
      <w:r w:rsidRPr="00932A95">
        <w:rPr>
          <w:rFonts w:ascii="Book Antiqua" w:hAnsi="Book Antiqua" w:cs="宋体"/>
          <w:bCs/>
          <w:color w:val="auto"/>
          <w:sz w:val="24"/>
          <w:szCs w:val="24"/>
        </w:rPr>
        <w:t>United States</w:t>
      </w:r>
    </w:p>
    <w:p w14:paraId="6291AA7F" w14:textId="77777777" w:rsidR="0011433B" w:rsidRPr="00932A95" w:rsidRDefault="002F52BB" w:rsidP="00374FC0">
      <w:pPr>
        <w:widowControl w:val="0"/>
        <w:adjustRightInd w:val="0"/>
        <w:snapToGrid w:val="0"/>
        <w:spacing w:line="360" w:lineRule="auto"/>
        <w:jc w:val="both"/>
        <w:rPr>
          <w:rFonts w:ascii="Book Antiqua" w:hAnsi="Book Antiqua" w:cs="宋体"/>
          <w:b/>
          <w:color w:val="auto"/>
          <w:sz w:val="24"/>
          <w:szCs w:val="24"/>
        </w:rPr>
      </w:pPr>
      <w:r w:rsidRPr="00932A95">
        <w:rPr>
          <w:rFonts w:ascii="Book Antiqua" w:hAnsi="Book Antiqua" w:cs="宋体"/>
          <w:b/>
          <w:color w:val="auto"/>
          <w:sz w:val="24"/>
          <w:szCs w:val="24"/>
        </w:rPr>
        <w:t>Peer-review report’s scientific quality classification</w:t>
      </w:r>
    </w:p>
    <w:p w14:paraId="0946A913" w14:textId="77777777" w:rsidR="0011433B" w:rsidRPr="00932A95" w:rsidRDefault="002F52BB" w:rsidP="00374FC0">
      <w:pPr>
        <w:widowControl w:val="0"/>
        <w:adjustRightInd w:val="0"/>
        <w:snapToGrid w:val="0"/>
        <w:spacing w:line="360" w:lineRule="auto"/>
        <w:jc w:val="both"/>
        <w:rPr>
          <w:rFonts w:ascii="Book Antiqua" w:hAnsi="Book Antiqua" w:cs="宋体"/>
          <w:color w:val="auto"/>
          <w:sz w:val="24"/>
          <w:szCs w:val="24"/>
        </w:rPr>
      </w:pPr>
      <w:r w:rsidRPr="00932A95">
        <w:rPr>
          <w:rFonts w:ascii="Book Antiqua" w:hAnsi="Book Antiqua" w:cs="宋体"/>
          <w:color w:val="auto"/>
          <w:sz w:val="24"/>
          <w:szCs w:val="24"/>
        </w:rPr>
        <w:t xml:space="preserve">Grade A (Excellent): </w:t>
      </w:r>
      <w:r w:rsidRPr="00932A95">
        <w:rPr>
          <w:rFonts w:ascii="Book Antiqua" w:hAnsi="Book Antiqua" w:cs="宋体"/>
          <w:color w:val="auto"/>
          <w:sz w:val="24"/>
          <w:szCs w:val="24"/>
          <w:lang w:val="en-US"/>
        </w:rPr>
        <w:t>0</w:t>
      </w:r>
    </w:p>
    <w:p w14:paraId="76D0F6B2" w14:textId="77777777" w:rsidR="0011433B" w:rsidRPr="00932A95" w:rsidRDefault="002F52BB" w:rsidP="00374FC0">
      <w:pPr>
        <w:widowControl w:val="0"/>
        <w:adjustRightInd w:val="0"/>
        <w:snapToGrid w:val="0"/>
        <w:spacing w:line="360" w:lineRule="auto"/>
        <w:jc w:val="both"/>
        <w:rPr>
          <w:rFonts w:ascii="Book Antiqua" w:eastAsia="宋体" w:hAnsi="Book Antiqua" w:cs="宋体"/>
          <w:color w:val="auto"/>
          <w:sz w:val="24"/>
          <w:szCs w:val="24"/>
        </w:rPr>
      </w:pPr>
      <w:r w:rsidRPr="00932A95">
        <w:rPr>
          <w:rFonts w:ascii="Book Antiqua" w:hAnsi="Book Antiqua" w:cs="宋体"/>
          <w:color w:val="auto"/>
          <w:sz w:val="24"/>
          <w:szCs w:val="24"/>
        </w:rPr>
        <w:t xml:space="preserve">Grade B (Very good): </w:t>
      </w:r>
      <w:r w:rsidRPr="00932A95">
        <w:rPr>
          <w:rFonts w:ascii="Book Antiqua" w:eastAsia="宋体" w:hAnsi="Book Antiqua" w:cs="宋体"/>
          <w:color w:val="auto"/>
          <w:sz w:val="24"/>
          <w:szCs w:val="24"/>
          <w:lang w:val="en-US"/>
        </w:rPr>
        <w:t>0</w:t>
      </w:r>
    </w:p>
    <w:p w14:paraId="4994FEBA" w14:textId="77777777" w:rsidR="0011433B" w:rsidRPr="00932A95" w:rsidRDefault="002F52BB" w:rsidP="00374FC0">
      <w:pPr>
        <w:widowControl w:val="0"/>
        <w:adjustRightInd w:val="0"/>
        <w:snapToGrid w:val="0"/>
        <w:spacing w:line="360" w:lineRule="auto"/>
        <w:jc w:val="both"/>
        <w:rPr>
          <w:rFonts w:ascii="Book Antiqua" w:hAnsi="Book Antiqua" w:cs="宋体"/>
          <w:color w:val="auto"/>
          <w:sz w:val="24"/>
          <w:szCs w:val="24"/>
        </w:rPr>
      </w:pPr>
      <w:r w:rsidRPr="00932A95">
        <w:rPr>
          <w:rFonts w:ascii="Book Antiqua" w:hAnsi="Book Antiqua" w:cs="宋体"/>
          <w:color w:val="auto"/>
          <w:sz w:val="24"/>
          <w:szCs w:val="24"/>
        </w:rPr>
        <w:t xml:space="preserve">Grade C (Good): </w:t>
      </w:r>
      <w:r w:rsidRPr="00932A95">
        <w:rPr>
          <w:rFonts w:ascii="Book Antiqua" w:hAnsi="Book Antiqua" w:cs="宋体"/>
          <w:color w:val="auto"/>
          <w:sz w:val="24"/>
          <w:szCs w:val="24"/>
          <w:lang w:val="en-US"/>
        </w:rPr>
        <w:t>C</w:t>
      </w:r>
    </w:p>
    <w:p w14:paraId="73FD0D58" w14:textId="77777777" w:rsidR="0011433B" w:rsidRPr="00932A95" w:rsidRDefault="002F52BB" w:rsidP="00374FC0">
      <w:pPr>
        <w:widowControl w:val="0"/>
        <w:adjustRightInd w:val="0"/>
        <w:snapToGrid w:val="0"/>
        <w:spacing w:line="360" w:lineRule="auto"/>
        <w:jc w:val="both"/>
        <w:rPr>
          <w:rFonts w:ascii="Book Antiqua" w:hAnsi="Book Antiqua" w:cs="宋体"/>
          <w:color w:val="auto"/>
          <w:sz w:val="24"/>
          <w:szCs w:val="24"/>
        </w:rPr>
      </w:pPr>
      <w:r w:rsidRPr="00932A95">
        <w:rPr>
          <w:rFonts w:ascii="Book Antiqua" w:hAnsi="Book Antiqua" w:cs="宋体"/>
          <w:color w:val="auto"/>
          <w:sz w:val="24"/>
          <w:szCs w:val="24"/>
        </w:rPr>
        <w:t xml:space="preserve">Grade D (Fair): </w:t>
      </w:r>
      <w:r w:rsidRPr="00932A95">
        <w:rPr>
          <w:rFonts w:ascii="Book Antiqua" w:hAnsi="Book Antiqua" w:cs="宋体"/>
          <w:color w:val="auto"/>
          <w:sz w:val="24"/>
          <w:szCs w:val="24"/>
          <w:lang w:val="en-US"/>
        </w:rPr>
        <w:t>D</w:t>
      </w:r>
    </w:p>
    <w:p w14:paraId="4DF5D8C3" w14:textId="77777777" w:rsidR="0011433B" w:rsidRPr="00932A95" w:rsidRDefault="002F52BB" w:rsidP="00374FC0">
      <w:pPr>
        <w:widowControl w:val="0"/>
        <w:adjustRightInd w:val="0"/>
        <w:snapToGrid w:val="0"/>
        <w:spacing w:line="360" w:lineRule="auto"/>
        <w:jc w:val="both"/>
        <w:rPr>
          <w:rFonts w:ascii="Book Antiqua" w:eastAsia="等线" w:hAnsi="Book Antiqua"/>
          <w:color w:val="auto"/>
          <w:kern w:val="2"/>
          <w:sz w:val="24"/>
          <w:szCs w:val="24"/>
          <w:lang w:val="hu-HU"/>
        </w:rPr>
      </w:pPr>
      <w:r w:rsidRPr="00932A95">
        <w:rPr>
          <w:rFonts w:ascii="Book Antiqua" w:hAnsi="Book Antiqua" w:cs="宋体"/>
          <w:color w:val="auto"/>
          <w:sz w:val="24"/>
          <w:szCs w:val="24"/>
        </w:rPr>
        <w:t>Grade E (Poor): 0</w:t>
      </w:r>
    </w:p>
    <w:p w14:paraId="6B898AFA" w14:textId="77777777" w:rsidR="0011433B" w:rsidRPr="00932A95" w:rsidRDefault="0011433B" w:rsidP="00374FC0">
      <w:pPr>
        <w:spacing w:line="360" w:lineRule="auto"/>
        <w:jc w:val="both"/>
        <w:rPr>
          <w:rFonts w:ascii="Book Antiqua" w:eastAsia="宋体" w:hAnsi="Book Antiqua"/>
          <w:b/>
          <w:color w:val="auto"/>
          <w:sz w:val="24"/>
          <w:szCs w:val="24"/>
          <w:lang w:val="hu-HU"/>
        </w:rPr>
      </w:pPr>
    </w:p>
    <w:p w14:paraId="16A5865E" w14:textId="34884F57" w:rsidR="0011433B" w:rsidRPr="0084400A" w:rsidRDefault="002F52BB" w:rsidP="00374FC0">
      <w:pPr>
        <w:spacing w:line="360" w:lineRule="auto"/>
        <w:jc w:val="both"/>
        <w:rPr>
          <w:rFonts w:ascii="Book Antiqua" w:eastAsiaTheme="minorEastAsia" w:hAnsi="Book Antiqua"/>
          <w:b/>
          <w:color w:val="auto"/>
          <w:sz w:val="24"/>
          <w:szCs w:val="24"/>
          <w:lang w:eastAsia="zh-CN"/>
        </w:rPr>
      </w:pPr>
      <w:r w:rsidRPr="00932A95">
        <w:rPr>
          <w:rFonts w:ascii="Book Antiqua" w:hAnsi="Book Antiqua"/>
          <w:b/>
          <w:color w:val="auto"/>
          <w:sz w:val="24"/>
          <w:szCs w:val="24"/>
        </w:rPr>
        <w:t>P-Reviewer:</w:t>
      </w:r>
      <w:r w:rsidRPr="00932A95">
        <w:rPr>
          <w:rFonts w:ascii="Book Antiqua" w:eastAsia="宋体" w:hAnsi="Book Antiqua"/>
          <w:b/>
          <w:color w:val="auto"/>
          <w:sz w:val="24"/>
          <w:szCs w:val="24"/>
          <w:lang w:val="en-US"/>
        </w:rPr>
        <w:t xml:space="preserve"> </w:t>
      </w:r>
      <w:r w:rsidRPr="00932A95">
        <w:rPr>
          <w:rFonts w:ascii="Book Antiqua" w:hAnsi="Book Antiqua" w:cs="宋体"/>
          <w:color w:val="auto"/>
          <w:sz w:val="24"/>
          <w:szCs w:val="24"/>
        </w:rPr>
        <w:t>Huang</w:t>
      </w:r>
      <w:r w:rsidRPr="00932A95">
        <w:rPr>
          <w:rFonts w:ascii="Book Antiqua" w:hAnsi="Book Antiqua" w:cs="宋体"/>
          <w:color w:val="auto"/>
          <w:sz w:val="24"/>
          <w:szCs w:val="24"/>
          <w:lang w:val="en-US"/>
        </w:rPr>
        <w:t xml:space="preserve"> </w:t>
      </w:r>
      <w:r w:rsidRPr="00932A95">
        <w:rPr>
          <w:rFonts w:ascii="Book Antiqua" w:hAnsi="Book Antiqua" w:cs="宋体"/>
          <w:color w:val="auto"/>
          <w:sz w:val="24"/>
          <w:szCs w:val="24"/>
        </w:rPr>
        <w:t>CH,</w:t>
      </w:r>
      <w:r w:rsidRPr="00932A95">
        <w:rPr>
          <w:rFonts w:ascii="Book Antiqua" w:hAnsi="Book Antiqua" w:cs="宋体"/>
          <w:color w:val="auto"/>
          <w:sz w:val="24"/>
          <w:szCs w:val="24"/>
          <w:lang w:val="en-US"/>
        </w:rPr>
        <w:t xml:space="preserve"> </w:t>
      </w:r>
      <w:r w:rsidRPr="00932A95">
        <w:rPr>
          <w:rFonts w:ascii="Book Antiqua" w:hAnsi="Book Antiqua" w:cs="宋体"/>
          <w:color w:val="auto"/>
          <w:sz w:val="24"/>
          <w:szCs w:val="24"/>
        </w:rPr>
        <w:t>Jun</w:t>
      </w:r>
      <w:r w:rsidRPr="00932A95">
        <w:rPr>
          <w:rFonts w:ascii="Book Antiqua" w:hAnsi="Book Antiqua" w:cs="宋体"/>
          <w:color w:val="auto"/>
          <w:sz w:val="24"/>
          <w:szCs w:val="24"/>
          <w:lang w:val="en-US"/>
        </w:rPr>
        <w:t xml:space="preserve"> </w:t>
      </w:r>
      <w:r w:rsidRPr="00932A95">
        <w:rPr>
          <w:rFonts w:ascii="Book Antiqua" w:hAnsi="Book Antiqua" w:cs="宋体"/>
          <w:color w:val="auto"/>
          <w:sz w:val="24"/>
          <w:szCs w:val="24"/>
        </w:rPr>
        <w:t>CH</w:t>
      </w:r>
      <w:r w:rsidRPr="00932A95">
        <w:rPr>
          <w:rFonts w:ascii="Book Antiqua" w:hAnsi="Book Antiqua" w:cs="宋体"/>
          <w:color w:val="auto"/>
          <w:sz w:val="24"/>
          <w:szCs w:val="24"/>
          <w:lang w:val="en-US"/>
        </w:rPr>
        <w:t xml:space="preserve"> </w:t>
      </w:r>
      <w:r w:rsidRPr="00932A95">
        <w:rPr>
          <w:rFonts w:ascii="Book Antiqua" w:hAnsi="Book Antiqua"/>
          <w:b/>
          <w:color w:val="auto"/>
          <w:sz w:val="24"/>
          <w:szCs w:val="24"/>
        </w:rPr>
        <w:t>S-Editor:</w:t>
      </w:r>
      <w:r w:rsidRPr="00932A95">
        <w:rPr>
          <w:rFonts w:ascii="Book Antiqua" w:hAnsi="Book Antiqua"/>
          <w:color w:val="auto"/>
          <w:sz w:val="24"/>
          <w:szCs w:val="24"/>
        </w:rPr>
        <w:t xml:space="preserve"> </w:t>
      </w:r>
      <w:r w:rsidRPr="00932A95">
        <w:rPr>
          <w:rFonts w:ascii="Book Antiqua" w:eastAsia="宋体" w:hAnsi="Book Antiqua" w:cs="Times New Roman"/>
          <w:bCs/>
          <w:color w:val="auto"/>
          <w:sz w:val="24"/>
          <w:szCs w:val="24"/>
          <w:lang w:val="en-US"/>
        </w:rPr>
        <w:t>Gong ZM</w:t>
      </w:r>
      <w:r w:rsidRPr="00932A95">
        <w:rPr>
          <w:rFonts w:ascii="Book Antiqua" w:hAnsi="Book Antiqua"/>
          <w:b/>
          <w:color w:val="auto"/>
          <w:sz w:val="24"/>
          <w:szCs w:val="24"/>
        </w:rPr>
        <w:t xml:space="preserve"> L-Editor:</w:t>
      </w:r>
      <w:r w:rsidRPr="00932A95">
        <w:rPr>
          <w:rFonts w:ascii="Book Antiqua" w:hAnsi="Book Antiqua"/>
          <w:color w:val="auto"/>
          <w:sz w:val="24"/>
          <w:szCs w:val="24"/>
        </w:rPr>
        <w:t xml:space="preserve"> </w:t>
      </w:r>
      <w:r w:rsidR="0084400A">
        <w:rPr>
          <w:rFonts w:ascii="Book Antiqua" w:eastAsiaTheme="minorEastAsia" w:hAnsi="Book Antiqua" w:hint="eastAsia"/>
          <w:color w:val="auto"/>
          <w:sz w:val="24"/>
          <w:szCs w:val="24"/>
          <w:lang w:eastAsia="zh-CN"/>
        </w:rPr>
        <w:t xml:space="preserve">A </w:t>
      </w:r>
      <w:r w:rsidRPr="00932A95">
        <w:rPr>
          <w:rFonts w:ascii="Book Antiqua" w:hAnsi="Book Antiqua"/>
          <w:b/>
          <w:color w:val="auto"/>
          <w:sz w:val="24"/>
          <w:szCs w:val="24"/>
        </w:rPr>
        <w:t>E-Editor:</w:t>
      </w:r>
      <w:r w:rsidR="0084400A">
        <w:rPr>
          <w:rFonts w:ascii="Book Antiqua" w:eastAsiaTheme="minorEastAsia" w:hAnsi="Book Antiqua" w:hint="eastAsia"/>
          <w:b/>
          <w:color w:val="auto"/>
          <w:sz w:val="24"/>
          <w:szCs w:val="24"/>
          <w:lang w:eastAsia="zh-CN"/>
        </w:rPr>
        <w:t xml:space="preserve"> </w:t>
      </w:r>
      <w:r w:rsidR="0084400A" w:rsidRPr="0084400A">
        <w:rPr>
          <w:rFonts w:ascii="Book Antiqua" w:eastAsia="宋体" w:hAnsi="Book Antiqua" w:cs="Courier New" w:hint="eastAsia"/>
          <w:color w:val="auto"/>
          <w:kern w:val="2"/>
          <w:sz w:val="24"/>
          <w:szCs w:val="24"/>
          <w:lang w:val="en-US" w:eastAsia="zh-CN"/>
        </w:rPr>
        <w:t>Wu YXJ</w:t>
      </w:r>
    </w:p>
    <w:p w14:paraId="67208D34" w14:textId="77777777" w:rsidR="0011433B" w:rsidRPr="00932A95" w:rsidRDefault="0011433B" w:rsidP="00374FC0">
      <w:pPr>
        <w:spacing w:line="360" w:lineRule="auto"/>
        <w:jc w:val="both"/>
        <w:rPr>
          <w:rFonts w:ascii="Book Antiqua" w:hAnsi="Book Antiqua" w:cs="Book Antiqua"/>
          <w:color w:val="auto"/>
          <w:sz w:val="24"/>
          <w:szCs w:val="24"/>
        </w:rPr>
      </w:pPr>
    </w:p>
    <w:p w14:paraId="66D5E18D"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br w:type="page"/>
      </w:r>
    </w:p>
    <w:p w14:paraId="363ABA0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1</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Patient demographics and hospital characteristics</w:t>
      </w:r>
    </w:p>
    <w:tbl>
      <w:tblPr>
        <w:tblStyle w:val="Style11"/>
        <w:tblW w:w="10255" w:type="dxa"/>
        <w:tblInd w:w="-567" w:type="dxa"/>
        <w:tblBorders>
          <w:top w:val="single" w:sz="4" w:space="0" w:color="auto"/>
          <w:bottom w:val="single" w:sz="4" w:space="0" w:color="auto"/>
        </w:tblBorders>
        <w:tblLayout w:type="fixed"/>
        <w:tblLook w:val="04A0" w:firstRow="1" w:lastRow="0" w:firstColumn="1" w:lastColumn="0" w:noHBand="0" w:noVBand="1"/>
      </w:tblPr>
      <w:tblGrid>
        <w:gridCol w:w="3346"/>
        <w:gridCol w:w="1631"/>
        <w:gridCol w:w="1710"/>
        <w:gridCol w:w="1975"/>
        <w:gridCol w:w="1593"/>
      </w:tblGrid>
      <w:tr w:rsidR="00932A95" w:rsidRPr="00932A95" w14:paraId="0D8785D4" w14:textId="77777777" w:rsidTr="0096655F">
        <w:trPr>
          <w:trHeight w:val="460"/>
        </w:trPr>
        <w:tc>
          <w:tcPr>
            <w:tcW w:w="3346" w:type="dxa"/>
            <w:tcBorders>
              <w:top w:val="single" w:sz="4" w:space="0" w:color="auto"/>
              <w:bottom w:val="single" w:sz="4" w:space="0" w:color="auto"/>
            </w:tcBorders>
            <w:shd w:val="clear" w:color="auto" w:fill="auto"/>
            <w:tcMar>
              <w:top w:w="100" w:type="dxa"/>
              <w:left w:w="100" w:type="dxa"/>
              <w:bottom w:w="100" w:type="dxa"/>
              <w:right w:w="100" w:type="dxa"/>
            </w:tcMar>
          </w:tcPr>
          <w:p w14:paraId="05FECC20" w14:textId="77777777" w:rsidR="0011433B" w:rsidRPr="00932A95" w:rsidRDefault="002F52BB" w:rsidP="00374FC0">
            <w:pPr>
              <w:spacing w:line="360" w:lineRule="auto"/>
              <w:ind w:left="-20"/>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631" w:type="dxa"/>
            <w:tcBorders>
              <w:top w:val="single" w:sz="4" w:space="0" w:color="auto"/>
              <w:bottom w:val="single" w:sz="4" w:space="0" w:color="auto"/>
            </w:tcBorders>
            <w:shd w:val="clear" w:color="auto" w:fill="auto"/>
            <w:tcMar>
              <w:top w:w="100" w:type="dxa"/>
              <w:left w:w="100" w:type="dxa"/>
              <w:bottom w:w="100" w:type="dxa"/>
              <w:right w:w="100" w:type="dxa"/>
            </w:tcMar>
          </w:tcPr>
          <w:p w14:paraId="1AE9A299" w14:textId="5156FF3C" w:rsidR="0011433B" w:rsidRPr="00932A95" w:rsidRDefault="00FD6B59" w:rsidP="007C7E07">
            <w:pPr>
              <w:spacing w:line="360" w:lineRule="auto"/>
              <w:jc w:val="center"/>
              <w:rPr>
                <w:rFonts w:ascii="Book Antiqua" w:hAnsi="Book Antiqua" w:cs="Book Antiqua"/>
                <w:b/>
                <w:color w:val="auto"/>
                <w:sz w:val="24"/>
                <w:szCs w:val="24"/>
              </w:rPr>
            </w:pPr>
            <w:r w:rsidRPr="00932A95">
              <w:rPr>
                <w:rFonts w:ascii="Book Antiqua" w:hAnsi="Book Antiqua" w:cs="Book Antiqua"/>
                <w:b/>
                <w:color w:val="auto"/>
                <w:sz w:val="24"/>
                <w:szCs w:val="24"/>
              </w:rPr>
              <w:t>All</w:t>
            </w:r>
            <w:r w:rsidR="007C7E07">
              <w:rPr>
                <w:rFonts w:ascii="Book Antiqua" w:hAnsi="Book Antiqua" w:cs="Book Antiqua"/>
                <w:b/>
                <w:color w:val="auto"/>
                <w:sz w:val="24"/>
                <w:szCs w:val="24"/>
              </w:rPr>
              <w:t xml:space="preserve"> </w:t>
            </w:r>
            <w:r w:rsidRPr="00932A95">
              <w:rPr>
                <w:rFonts w:ascii="Book Antiqua" w:hAnsi="Book Antiqua" w:cs="Book Antiqua"/>
                <w:b/>
                <w:color w:val="auto"/>
                <w:sz w:val="24"/>
                <w:szCs w:val="24"/>
              </w:rPr>
              <w:t>(58</w:t>
            </w:r>
            <w:r w:rsidR="002F52BB" w:rsidRPr="00932A95">
              <w:rPr>
                <w:rFonts w:ascii="Book Antiqua" w:hAnsi="Book Antiqua" w:cs="Book Antiqua"/>
                <w:b/>
                <w:color w:val="auto"/>
                <w:sz w:val="24"/>
                <w:szCs w:val="24"/>
              </w:rPr>
              <w:t>362)</w:t>
            </w:r>
          </w:p>
        </w:tc>
        <w:tc>
          <w:tcPr>
            <w:tcW w:w="1710" w:type="dxa"/>
            <w:tcBorders>
              <w:top w:val="single" w:sz="4" w:space="0" w:color="auto"/>
              <w:bottom w:val="single" w:sz="4" w:space="0" w:color="auto"/>
            </w:tcBorders>
            <w:shd w:val="clear" w:color="auto" w:fill="auto"/>
            <w:tcMar>
              <w:top w:w="100" w:type="dxa"/>
              <w:left w:w="100" w:type="dxa"/>
              <w:bottom w:w="100" w:type="dxa"/>
              <w:right w:w="100" w:type="dxa"/>
            </w:tcMar>
          </w:tcPr>
          <w:p w14:paraId="100F7930" w14:textId="6646B4CD" w:rsidR="0011433B" w:rsidRPr="00932A95" w:rsidRDefault="00FD6B59" w:rsidP="0096655F">
            <w:pPr>
              <w:spacing w:line="360" w:lineRule="auto"/>
              <w:jc w:val="center"/>
              <w:rPr>
                <w:rFonts w:ascii="Book Antiqua" w:hAnsi="Book Antiqua" w:cs="Book Antiqua"/>
                <w:b/>
                <w:color w:val="auto"/>
                <w:sz w:val="24"/>
                <w:szCs w:val="24"/>
              </w:rPr>
            </w:pPr>
            <w:r w:rsidRPr="00932A95">
              <w:rPr>
                <w:rFonts w:ascii="Book Antiqua" w:hAnsi="Book Antiqua" w:cs="Book Antiqua"/>
                <w:b/>
                <w:color w:val="auto"/>
                <w:sz w:val="24"/>
                <w:szCs w:val="24"/>
              </w:rPr>
              <w:t>T</w:t>
            </w:r>
            <w:r w:rsidR="007C7E07">
              <w:rPr>
                <w:rFonts w:ascii="Book Antiqua" w:hAnsi="Book Antiqua" w:cs="Book Antiqua"/>
                <w:b/>
                <w:color w:val="auto"/>
                <w:sz w:val="24"/>
                <w:szCs w:val="24"/>
              </w:rPr>
              <w:t xml:space="preserve">eaching </w:t>
            </w:r>
            <w:r w:rsidRPr="00932A95">
              <w:rPr>
                <w:rFonts w:ascii="Book Antiqua" w:hAnsi="Book Antiqua" w:cs="Book Antiqua"/>
                <w:b/>
                <w:color w:val="auto"/>
                <w:sz w:val="24"/>
                <w:szCs w:val="24"/>
              </w:rPr>
              <w:t>(30</w:t>
            </w:r>
            <w:r w:rsidR="002F52BB" w:rsidRPr="00932A95">
              <w:rPr>
                <w:rFonts w:ascii="Book Antiqua" w:hAnsi="Book Antiqua" w:cs="Book Antiqua"/>
                <w:b/>
                <w:color w:val="auto"/>
                <w:sz w:val="24"/>
                <w:szCs w:val="24"/>
              </w:rPr>
              <w:t>382</w:t>
            </w:r>
            <w:r w:rsidR="0096655F">
              <w:rPr>
                <w:rFonts w:ascii="Book Antiqua" w:hAnsi="Book Antiqua" w:cs="Book Antiqua"/>
                <w:b/>
                <w:color w:val="auto"/>
                <w:sz w:val="24"/>
                <w:szCs w:val="24"/>
              </w:rPr>
              <w:t>)</w:t>
            </w:r>
          </w:p>
        </w:tc>
        <w:tc>
          <w:tcPr>
            <w:tcW w:w="1975" w:type="dxa"/>
            <w:tcBorders>
              <w:top w:val="single" w:sz="4" w:space="0" w:color="auto"/>
              <w:bottom w:val="single" w:sz="4" w:space="0" w:color="auto"/>
            </w:tcBorders>
            <w:shd w:val="clear" w:color="auto" w:fill="auto"/>
            <w:tcMar>
              <w:top w:w="100" w:type="dxa"/>
              <w:left w:w="100" w:type="dxa"/>
              <w:bottom w:w="100" w:type="dxa"/>
              <w:right w:w="100" w:type="dxa"/>
            </w:tcMar>
          </w:tcPr>
          <w:p w14:paraId="3CA8E35B" w14:textId="3CC47B04" w:rsidR="0011433B" w:rsidRPr="00932A95" w:rsidRDefault="007C7E07" w:rsidP="0096655F">
            <w:pPr>
              <w:spacing w:line="360" w:lineRule="auto"/>
              <w:jc w:val="center"/>
              <w:rPr>
                <w:rFonts w:ascii="Book Antiqua" w:hAnsi="Book Antiqua" w:cs="Book Antiqua"/>
                <w:b/>
                <w:color w:val="auto"/>
                <w:sz w:val="24"/>
                <w:szCs w:val="24"/>
              </w:rPr>
            </w:pPr>
            <w:r>
              <w:rPr>
                <w:rFonts w:ascii="Book Antiqua" w:hAnsi="Book Antiqua" w:cs="Book Antiqua"/>
                <w:b/>
                <w:color w:val="auto"/>
                <w:sz w:val="24"/>
                <w:szCs w:val="24"/>
              </w:rPr>
              <w:t xml:space="preserve">Non-teaching </w:t>
            </w:r>
            <w:r w:rsidR="00FD6B59" w:rsidRPr="00932A95">
              <w:rPr>
                <w:rFonts w:ascii="Book Antiqua" w:hAnsi="Book Antiqua" w:cs="Book Antiqua"/>
                <w:b/>
                <w:color w:val="auto"/>
                <w:sz w:val="24"/>
                <w:szCs w:val="24"/>
              </w:rPr>
              <w:t>(27</w:t>
            </w:r>
            <w:r w:rsidR="002F52BB" w:rsidRPr="00932A95">
              <w:rPr>
                <w:rFonts w:ascii="Book Antiqua" w:hAnsi="Book Antiqua" w:cs="Book Antiqua"/>
                <w:b/>
                <w:color w:val="auto"/>
                <w:sz w:val="24"/>
                <w:szCs w:val="24"/>
              </w:rPr>
              <w:t>979)</w:t>
            </w:r>
          </w:p>
        </w:tc>
        <w:tc>
          <w:tcPr>
            <w:tcW w:w="1593" w:type="dxa"/>
            <w:tcBorders>
              <w:top w:val="single" w:sz="4" w:space="0" w:color="auto"/>
              <w:bottom w:val="single" w:sz="4" w:space="0" w:color="auto"/>
            </w:tcBorders>
            <w:shd w:val="clear" w:color="auto" w:fill="auto"/>
            <w:tcMar>
              <w:top w:w="100" w:type="dxa"/>
              <w:left w:w="100" w:type="dxa"/>
              <w:bottom w:w="100" w:type="dxa"/>
              <w:right w:w="100" w:type="dxa"/>
            </w:tcMar>
          </w:tcPr>
          <w:p w14:paraId="3626E763" w14:textId="77777777" w:rsidR="0011433B" w:rsidRPr="00932A95" w:rsidRDefault="002F52BB" w:rsidP="0096655F">
            <w:pPr>
              <w:spacing w:line="360" w:lineRule="auto"/>
              <w:jc w:val="center"/>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value</w:t>
            </w:r>
          </w:p>
        </w:tc>
      </w:tr>
      <w:tr w:rsidR="00932A95" w:rsidRPr="00932A95" w14:paraId="222C5B1E" w14:textId="77777777" w:rsidTr="0096655F">
        <w:trPr>
          <w:trHeight w:val="81"/>
        </w:trPr>
        <w:tc>
          <w:tcPr>
            <w:tcW w:w="3346" w:type="dxa"/>
            <w:tcBorders>
              <w:top w:val="single" w:sz="4" w:space="0" w:color="auto"/>
            </w:tcBorders>
            <w:shd w:val="clear" w:color="auto" w:fill="auto"/>
            <w:tcMar>
              <w:top w:w="100" w:type="dxa"/>
              <w:left w:w="100" w:type="dxa"/>
              <w:bottom w:w="100" w:type="dxa"/>
              <w:right w:w="100" w:type="dxa"/>
            </w:tcMar>
            <w:vAlign w:val="bottom"/>
          </w:tcPr>
          <w:p w14:paraId="2325C6B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Patient age (</w:t>
            </w:r>
            <w:r w:rsidRPr="00932A95">
              <w:rPr>
                <w:rFonts w:ascii="Book Antiqua" w:hAnsi="Book Antiqua" w:cs="Book Antiqua"/>
                <w:color w:val="auto"/>
                <w:sz w:val="24"/>
                <w:szCs w:val="24"/>
                <w:lang w:val="en-US"/>
              </w:rPr>
              <w:t>yr</w:t>
            </w:r>
            <w:r w:rsidRPr="00932A95">
              <w:rPr>
                <w:rFonts w:ascii="Book Antiqua" w:hAnsi="Book Antiqua" w:cs="Book Antiqua"/>
                <w:color w:val="auto"/>
                <w:sz w:val="24"/>
                <w:szCs w:val="24"/>
              </w:rPr>
              <w:t>)</w:t>
            </w:r>
          </w:p>
        </w:tc>
        <w:tc>
          <w:tcPr>
            <w:tcW w:w="1631" w:type="dxa"/>
            <w:tcBorders>
              <w:top w:val="single" w:sz="4" w:space="0" w:color="auto"/>
            </w:tcBorders>
            <w:shd w:val="clear" w:color="auto" w:fill="auto"/>
            <w:tcMar>
              <w:top w:w="100" w:type="dxa"/>
              <w:left w:w="100" w:type="dxa"/>
              <w:bottom w:w="100" w:type="dxa"/>
              <w:right w:w="100" w:type="dxa"/>
            </w:tcMar>
            <w:vAlign w:val="bottom"/>
          </w:tcPr>
          <w:p w14:paraId="7B455D3A"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tcBorders>
              <w:top w:val="single" w:sz="4" w:space="0" w:color="auto"/>
            </w:tcBorders>
            <w:shd w:val="clear" w:color="auto" w:fill="auto"/>
            <w:tcMar>
              <w:top w:w="100" w:type="dxa"/>
              <w:left w:w="100" w:type="dxa"/>
              <w:bottom w:w="100" w:type="dxa"/>
              <w:right w:w="100" w:type="dxa"/>
            </w:tcMar>
            <w:vAlign w:val="bottom"/>
          </w:tcPr>
          <w:p w14:paraId="2F1678DA"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tcBorders>
              <w:top w:val="single" w:sz="4" w:space="0" w:color="auto"/>
            </w:tcBorders>
            <w:shd w:val="clear" w:color="auto" w:fill="auto"/>
            <w:tcMar>
              <w:top w:w="100" w:type="dxa"/>
              <w:left w:w="100" w:type="dxa"/>
              <w:bottom w:w="100" w:type="dxa"/>
              <w:right w:w="100" w:type="dxa"/>
            </w:tcMar>
            <w:vAlign w:val="bottom"/>
          </w:tcPr>
          <w:p w14:paraId="0C27039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tcBorders>
              <w:top w:val="single" w:sz="4" w:space="0" w:color="auto"/>
            </w:tcBorders>
            <w:shd w:val="clear" w:color="auto" w:fill="auto"/>
            <w:tcMar>
              <w:top w:w="100" w:type="dxa"/>
              <w:left w:w="100" w:type="dxa"/>
              <w:bottom w:w="100" w:type="dxa"/>
              <w:right w:w="100" w:type="dxa"/>
            </w:tcMar>
            <w:vAlign w:val="bottom"/>
          </w:tcPr>
          <w:p w14:paraId="4FC05FE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43703FC1" w14:textId="77777777" w:rsidTr="0096655F">
        <w:trPr>
          <w:trHeight w:val="119"/>
        </w:trPr>
        <w:tc>
          <w:tcPr>
            <w:tcW w:w="3346" w:type="dxa"/>
            <w:shd w:val="clear" w:color="auto" w:fill="auto"/>
            <w:tcMar>
              <w:top w:w="100" w:type="dxa"/>
              <w:left w:w="100" w:type="dxa"/>
              <w:bottom w:w="100" w:type="dxa"/>
              <w:right w:w="100" w:type="dxa"/>
            </w:tcMar>
            <w:vAlign w:val="bottom"/>
          </w:tcPr>
          <w:p w14:paraId="1AB04FD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Median, (SD)</w:t>
            </w:r>
          </w:p>
        </w:tc>
        <w:tc>
          <w:tcPr>
            <w:tcW w:w="1631" w:type="dxa"/>
            <w:shd w:val="clear" w:color="auto" w:fill="auto"/>
            <w:tcMar>
              <w:top w:w="100" w:type="dxa"/>
              <w:left w:w="100" w:type="dxa"/>
              <w:bottom w:w="100" w:type="dxa"/>
              <w:right w:w="100" w:type="dxa"/>
            </w:tcMar>
            <w:vAlign w:val="bottom"/>
          </w:tcPr>
          <w:p w14:paraId="78F3989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55 (12.05)</w:t>
            </w:r>
          </w:p>
        </w:tc>
        <w:tc>
          <w:tcPr>
            <w:tcW w:w="1710" w:type="dxa"/>
            <w:shd w:val="clear" w:color="auto" w:fill="auto"/>
            <w:tcMar>
              <w:top w:w="100" w:type="dxa"/>
              <w:left w:w="100" w:type="dxa"/>
              <w:bottom w:w="100" w:type="dxa"/>
              <w:right w:w="100" w:type="dxa"/>
            </w:tcMar>
            <w:vAlign w:val="bottom"/>
          </w:tcPr>
          <w:p w14:paraId="3431962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54 (11.83)</w:t>
            </w:r>
          </w:p>
        </w:tc>
        <w:tc>
          <w:tcPr>
            <w:tcW w:w="1975" w:type="dxa"/>
            <w:shd w:val="clear" w:color="auto" w:fill="auto"/>
            <w:tcMar>
              <w:top w:w="100" w:type="dxa"/>
              <w:left w:w="100" w:type="dxa"/>
              <w:bottom w:w="100" w:type="dxa"/>
              <w:right w:w="100" w:type="dxa"/>
            </w:tcMar>
            <w:vAlign w:val="bottom"/>
          </w:tcPr>
          <w:p w14:paraId="6D59F9C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55 (12.21)</w:t>
            </w:r>
          </w:p>
        </w:tc>
        <w:tc>
          <w:tcPr>
            <w:tcW w:w="1593" w:type="dxa"/>
            <w:shd w:val="clear" w:color="auto" w:fill="auto"/>
            <w:tcMar>
              <w:top w:w="100" w:type="dxa"/>
              <w:left w:w="100" w:type="dxa"/>
              <w:bottom w:w="100" w:type="dxa"/>
              <w:right w:w="100" w:type="dxa"/>
            </w:tcMar>
            <w:vAlign w:val="bottom"/>
          </w:tcPr>
          <w:p w14:paraId="2FCF6C0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A66405D" w14:textId="77777777" w:rsidTr="0096655F">
        <w:trPr>
          <w:trHeight w:val="43"/>
        </w:trPr>
        <w:tc>
          <w:tcPr>
            <w:tcW w:w="3346" w:type="dxa"/>
            <w:shd w:val="clear" w:color="auto" w:fill="auto"/>
            <w:tcMar>
              <w:top w:w="100" w:type="dxa"/>
              <w:left w:w="100" w:type="dxa"/>
              <w:bottom w:w="100" w:type="dxa"/>
              <w:right w:w="100" w:type="dxa"/>
            </w:tcMar>
            <w:vAlign w:val="bottom"/>
          </w:tcPr>
          <w:p w14:paraId="444AA89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Sex</w:t>
            </w:r>
          </w:p>
        </w:tc>
        <w:tc>
          <w:tcPr>
            <w:tcW w:w="1631" w:type="dxa"/>
            <w:shd w:val="clear" w:color="auto" w:fill="auto"/>
            <w:tcMar>
              <w:top w:w="100" w:type="dxa"/>
              <w:left w:w="100" w:type="dxa"/>
              <w:bottom w:w="100" w:type="dxa"/>
              <w:right w:w="100" w:type="dxa"/>
            </w:tcMar>
            <w:vAlign w:val="bottom"/>
          </w:tcPr>
          <w:p w14:paraId="7F320AF5"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3DDB470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203F975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429E350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0.650</w:t>
            </w:r>
          </w:p>
        </w:tc>
      </w:tr>
      <w:tr w:rsidR="00932A95" w:rsidRPr="00932A95" w14:paraId="1F944408" w14:textId="77777777" w:rsidTr="0096655F">
        <w:trPr>
          <w:trHeight w:val="223"/>
        </w:trPr>
        <w:tc>
          <w:tcPr>
            <w:tcW w:w="3346" w:type="dxa"/>
            <w:shd w:val="clear" w:color="auto" w:fill="auto"/>
            <w:tcMar>
              <w:top w:w="100" w:type="dxa"/>
              <w:left w:w="100" w:type="dxa"/>
              <w:bottom w:w="100" w:type="dxa"/>
              <w:right w:w="100" w:type="dxa"/>
            </w:tcMar>
            <w:vAlign w:val="bottom"/>
          </w:tcPr>
          <w:p w14:paraId="4FC0074D"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Female</w:t>
            </w:r>
          </w:p>
        </w:tc>
        <w:tc>
          <w:tcPr>
            <w:tcW w:w="1631" w:type="dxa"/>
            <w:shd w:val="clear" w:color="auto" w:fill="auto"/>
            <w:tcMar>
              <w:top w:w="100" w:type="dxa"/>
              <w:left w:w="100" w:type="dxa"/>
              <w:bottom w:w="100" w:type="dxa"/>
              <w:right w:w="100" w:type="dxa"/>
            </w:tcMar>
            <w:vAlign w:val="bottom"/>
          </w:tcPr>
          <w:p w14:paraId="14E4F4CF" w14:textId="19469C62"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18550 (31.8)</w:t>
            </w:r>
          </w:p>
        </w:tc>
        <w:tc>
          <w:tcPr>
            <w:tcW w:w="1710" w:type="dxa"/>
            <w:shd w:val="clear" w:color="auto" w:fill="auto"/>
            <w:tcMar>
              <w:top w:w="100" w:type="dxa"/>
              <w:left w:w="100" w:type="dxa"/>
              <w:bottom w:w="100" w:type="dxa"/>
              <w:right w:w="100" w:type="dxa"/>
            </w:tcMar>
            <w:vAlign w:val="bottom"/>
          </w:tcPr>
          <w:p w14:paraId="2E9068E4" w14:textId="6908FDE5" w:rsidR="008B04D1"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9601 (</w:t>
            </w:r>
            <w:r w:rsidR="002F52BB" w:rsidRPr="00932A95">
              <w:rPr>
                <w:rFonts w:ascii="Book Antiqua" w:hAnsi="Book Antiqua" w:cs="Book Antiqua"/>
                <w:color w:val="auto"/>
                <w:sz w:val="24"/>
                <w:szCs w:val="24"/>
              </w:rPr>
              <w:t>31.6</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7514B570" w14:textId="4510E21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8953 (</w:t>
            </w:r>
            <w:r w:rsidR="002F52BB" w:rsidRPr="00932A95">
              <w:rPr>
                <w:rFonts w:ascii="Book Antiqua" w:hAnsi="Book Antiqua" w:cs="Book Antiqua"/>
                <w:color w:val="auto"/>
                <w:sz w:val="24"/>
                <w:szCs w:val="24"/>
              </w:rPr>
              <w:t>32.0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68175E3"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7A7C4ADA" w14:textId="77777777" w:rsidTr="0096655F">
        <w:trPr>
          <w:trHeight w:val="25"/>
        </w:trPr>
        <w:tc>
          <w:tcPr>
            <w:tcW w:w="3346" w:type="dxa"/>
            <w:shd w:val="clear" w:color="auto" w:fill="auto"/>
            <w:tcMar>
              <w:top w:w="100" w:type="dxa"/>
              <w:left w:w="100" w:type="dxa"/>
              <w:bottom w:w="100" w:type="dxa"/>
              <w:right w:w="100" w:type="dxa"/>
            </w:tcMar>
            <w:vAlign w:val="bottom"/>
          </w:tcPr>
          <w:p w14:paraId="1602B41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Male</w:t>
            </w:r>
          </w:p>
        </w:tc>
        <w:tc>
          <w:tcPr>
            <w:tcW w:w="1631" w:type="dxa"/>
            <w:shd w:val="clear" w:color="auto" w:fill="auto"/>
            <w:tcMar>
              <w:top w:w="100" w:type="dxa"/>
              <w:left w:w="100" w:type="dxa"/>
              <w:bottom w:w="100" w:type="dxa"/>
              <w:right w:w="100" w:type="dxa"/>
            </w:tcMar>
            <w:vAlign w:val="bottom"/>
          </w:tcPr>
          <w:p w14:paraId="00C366EB" w14:textId="1FB14492"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39803 (68.2)</w:t>
            </w:r>
          </w:p>
        </w:tc>
        <w:tc>
          <w:tcPr>
            <w:tcW w:w="1710" w:type="dxa"/>
            <w:shd w:val="clear" w:color="auto" w:fill="auto"/>
            <w:tcMar>
              <w:top w:w="100" w:type="dxa"/>
              <w:left w:w="100" w:type="dxa"/>
              <w:bottom w:w="100" w:type="dxa"/>
              <w:right w:w="100" w:type="dxa"/>
            </w:tcMar>
            <w:vAlign w:val="bottom"/>
          </w:tcPr>
          <w:p w14:paraId="634FFE51" w14:textId="50CEB3B4"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20781 (</w:t>
            </w:r>
            <w:r w:rsidR="002F52BB" w:rsidRPr="00932A95">
              <w:rPr>
                <w:rFonts w:ascii="Book Antiqua" w:hAnsi="Book Antiqua" w:cs="Book Antiqua"/>
                <w:color w:val="auto"/>
                <w:sz w:val="24"/>
                <w:szCs w:val="24"/>
              </w:rPr>
              <w:t>68.4</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0EDC4511" w14:textId="31DE3F74"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19026 (</w:t>
            </w:r>
            <w:r w:rsidR="002F52BB" w:rsidRPr="00932A95">
              <w:rPr>
                <w:rFonts w:ascii="Book Antiqua" w:hAnsi="Book Antiqua" w:cs="Book Antiqua"/>
                <w:color w:val="auto"/>
                <w:sz w:val="24"/>
                <w:szCs w:val="24"/>
              </w:rPr>
              <w:t>68.0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35261BC"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9AB2E17" w14:textId="77777777" w:rsidTr="0096655F">
        <w:trPr>
          <w:trHeight w:val="25"/>
        </w:trPr>
        <w:tc>
          <w:tcPr>
            <w:tcW w:w="3346" w:type="dxa"/>
            <w:shd w:val="clear" w:color="auto" w:fill="auto"/>
            <w:tcMar>
              <w:top w:w="100" w:type="dxa"/>
              <w:left w:w="100" w:type="dxa"/>
              <w:bottom w:w="100" w:type="dxa"/>
              <w:right w:w="100" w:type="dxa"/>
            </w:tcMar>
            <w:vAlign w:val="bottom"/>
          </w:tcPr>
          <w:p w14:paraId="0D507A1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Race</w:t>
            </w:r>
          </w:p>
        </w:tc>
        <w:tc>
          <w:tcPr>
            <w:tcW w:w="1631" w:type="dxa"/>
            <w:shd w:val="clear" w:color="auto" w:fill="auto"/>
            <w:tcMar>
              <w:top w:w="100" w:type="dxa"/>
              <w:left w:w="100" w:type="dxa"/>
              <w:bottom w:w="100" w:type="dxa"/>
              <w:right w:w="100" w:type="dxa"/>
            </w:tcMar>
            <w:vAlign w:val="bottom"/>
          </w:tcPr>
          <w:p w14:paraId="6367B52A"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1C9E080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75A7442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CEF0BF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58C3DA8D" w14:textId="77777777" w:rsidTr="0096655F">
        <w:trPr>
          <w:trHeight w:val="25"/>
        </w:trPr>
        <w:tc>
          <w:tcPr>
            <w:tcW w:w="3346" w:type="dxa"/>
            <w:shd w:val="clear" w:color="auto" w:fill="auto"/>
            <w:tcMar>
              <w:top w:w="100" w:type="dxa"/>
              <w:left w:w="100" w:type="dxa"/>
              <w:bottom w:w="100" w:type="dxa"/>
              <w:right w:w="100" w:type="dxa"/>
            </w:tcMar>
            <w:vAlign w:val="bottom"/>
          </w:tcPr>
          <w:p w14:paraId="67141201"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White</w:t>
            </w:r>
          </w:p>
        </w:tc>
        <w:tc>
          <w:tcPr>
            <w:tcW w:w="1631" w:type="dxa"/>
            <w:shd w:val="clear" w:color="auto" w:fill="auto"/>
            <w:tcMar>
              <w:top w:w="100" w:type="dxa"/>
              <w:left w:w="100" w:type="dxa"/>
              <w:bottom w:w="100" w:type="dxa"/>
              <w:right w:w="100" w:type="dxa"/>
            </w:tcMar>
            <w:vAlign w:val="bottom"/>
          </w:tcPr>
          <w:p w14:paraId="08038E8D" w14:textId="55E9CA43"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35192 (60.3)</w:t>
            </w:r>
          </w:p>
        </w:tc>
        <w:tc>
          <w:tcPr>
            <w:tcW w:w="1710" w:type="dxa"/>
            <w:shd w:val="clear" w:color="auto" w:fill="auto"/>
            <w:tcMar>
              <w:top w:w="100" w:type="dxa"/>
              <w:left w:w="100" w:type="dxa"/>
              <w:bottom w:w="100" w:type="dxa"/>
              <w:right w:w="100" w:type="dxa"/>
            </w:tcMar>
            <w:vAlign w:val="bottom"/>
          </w:tcPr>
          <w:p w14:paraId="0B807711" w14:textId="30DECDCF"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17166 (</w:t>
            </w:r>
            <w:r w:rsidR="002F52BB" w:rsidRPr="00932A95">
              <w:rPr>
                <w:rFonts w:ascii="Book Antiqua" w:hAnsi="Book Antiqua" w:cs="Book Antiqua"/>
                <w:color w:val="auto"/>
                <w:sz w:val="24"/>
                <w:szCs w:val="24"/>
              </w:rPr>
              <w:t>56.5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A64715C" w14:textId="45215B2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18018 (</w:t>
            </w:r>
            <w:r w:rsidR="002F52BB" w:rsidRPr="00932A95">
              <w:rPr>
                <w:rFonts w:ascii="Book Antiqua" w:hAnsi="Book Antiqua" w:cs="Book Antiqua"/>
                <w:color w:val="auto"/>
                <w:sz w:val="24"/>
                <w:szCs w:val="24"/>
              </w:rPr>
              <w:t>64.4</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A5DBA60"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105B3A9E" w14:textId="77777777" w:rsidTr="0096655F">
        <w:trPr>
          <w:trHeight w:val="25"/>
        </w:trPr>
        <w:tc>
          <w:tcPr>
            <w:tcW w:w="3346" w:type="dxa"/>
            <w:shd w:val="clear" w:color="auto" w:fill="auto"/>
            <w:tcMar>
              <w:top w:w="100" w:type="dxa"/>
              <w:left w:w="100" w:type="dxa"/>
              <w:bottom w:w="100" w:type="dxa"/>
              <w:right w:w="100" w:type="dxa"/>
            </w:tcMar>
            <w:vAlign w:val="bottom"/>
          </w:tcPr>
          <w:p w14:paraId="6CA43FB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Black</w:t>
            </w:r>
          </w:p>
        </w:tc>
        <w:tc>
          <w:tcPr>
            <w:tcW w:w="1631" w:type="dxa"/>
            <w:shd w:val="clear" w:color="auto" w:fill="auto"/>
            <w:tcMar>
              <w:top w:w="100" w:type="dxa"/>
              <w:left w:w="100" w:type="dxa"/>
              <w:bottom w:w="100" w:type="dxa"/>
              <w:right w:w="100" w:type="dxa"/>
            </w:tcMar>
            <w:vAlign w:val="bottom"/>
          </w:tcPr>
          <w:p w14:paraId="742D5048" w14:textId="725BBC83"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4202 (</w:t>
            </w:r>
            <w:r w:rsidR="002F52BB" w:rsidRPr="00932A95">
              <w:rPr>
                <w:rFonts w:ascii="Book Antiqua" w:hAnsi="Book Antiqua" w:cs="Book Antiqua"/>
                <w:color w:val="auto"/>
                <w:sz w:val="24"/>
                <w:szCs w:val="24"/>
              </w:rPr>
              <w:t>7.2</w:t>
            </w:r>
            <w:r>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96DBD4A" w14:textId="45BB470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2917 (</w:t>
            </w:r>
            <w:r w:rsidR="002F52BB" w:rsidRPr="00932A95">
              <w:rPr>
                <w:rFonts w:ascii="Book Antiqua" w:hAnsi="Book Antiqua" w:cs="Book Antiqua"/>
                <w:color w:val="auto"/>
                <w:sz w:val="24"/>
                <w:szCs w:val="24"/>
              </w:rPr>
              <w:t>9.6</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2037F59" w14:textId="0726660B"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1287 (</w:t>
            </w:r>
            <w:r w:rsidR="002F52BB" w:rsidRPr="00932A95">
              <w:rPr>
                <w:rFonts w:ascii="Book Antiqua" w:hAnsi="Book Antiqua" w:cs="Book Antiqua"/>
                <w:color w:val="auto"/>
                <w:sz w:val="24"/>
                <w:szCs w:val="24"/>
              </w:rPr>
              <w:t>4.6</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6B394D66"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CFDD3D8" w14:textId="77777777" w:rsidTr="0096655F">
        <w:trPr>
          <w:trHeight w:val="25"/>
        </w:trPr>
        <w:tc>
          <w:tcPr>
            <w:tcW w:w="3346" w:type="dxa"/>
            <w:shd w:val="clear" w:color="auto" w:fill="auto"/>
            <w:tcMar>
              <w:top w:w="100" w:type="dxa"/>
              <w:left w:w="100" w:type="dxa"/>
              <w:bottom w:w="100" w:type="dxa"/>
              <w:right w:w="100" w:type="dxa"/>
            </w:tcMar>
            <w:vAlign w:val="bottom"/>
          </w:tcPr>
          <w:p w14:paraId="16E47CE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Hispanic</w:t>
            </w:r>
          </w:p>
        </w:tc>
        <w:tc>
          <w:tcPr>
            <w:tcW w:w="1631" w:type="dxa"/>
            <w:shd w:val="clear" w:color="auto" w:fill="auto"/>
            <w:tcMar>
              <w:top w:w="100" w:type="dxa"/>
              <w:left w:w="100" w:type="dxa"/>
              <w:bottom w:w="100" w:type="dxa"/>
              <w:right w:w="100" w:type="dxa"/>
            </w:tcMar>
            <w:vAlign w:val="bottom"/>
          </w:tcPr>
          <w:p w14:paraId="5698FBB7" w14:textId="4BE5EBE6"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11030 (</w:t>
            </w:r>
            <w:r w:rsidR="002F52BB" w:rsidRPr="00932A95">
              <w:rPr>
                <w:rFonts w:ascii="Book Antiqua" w:hAnsi="Book Antiqua" w:cs="Book Antiqua"/>
                <w:color w:val="auto"/>
                <w:sz w:val="24"/>
                <w:szCs w:val="24"/>
              </w:rPr>
              <w:t>18.9</w:t>
            </w:r>
            <w:r>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5FD8C19" w14:textId="1EC8037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5924 (1</w:t>
            </w:r>
            <w:r w:rsidR="002F52BB" w:rsidRPr="00932A95">
              <w:rPr>
                <w:rFonts w:ascii="Book Antiqua" w:hAnsi="Book Antiqua" w:cs="Book Antiqua"/>
                <w:color w:val="auto"/>
                <w:sz w:val="24"/>
                <w:szCs w:val="24"/>
              </w:rPr>
              <w:t>9.5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AF47526" w14:textId="172D451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5092 (</w:t>
            </w:r>
            <w:r w:rsidR="002F52BB" w:rsidRPr="00932A95">
              <w:rPr>
                <w:rFonts w:ascii="Book Antiqua" w:hAnsi="Book Antiqua" w:cs="Book Antiqua"/>
                <w:color w:val="auto"/>
                <w:sz w:val="24"/>
                <w:szCs w:val="24"/>
              </w:rPr>
              <w:t>18.2</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F3EF30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7921E3E" w14:textId="77777777" w:rsidTr="0096655F">
        <w:trPr>
          <w:trHeight w:val="25"/>
        </w:trPr>
        <w:tc>
          <w:tcPr>
            <w:tcW w:w="3346" w:type="dxa"/>
            <w:shd w:val="clear" w:color="auto" w:fill="auto"/>
            <w:tcMar>
              <w:top w:w="100" w:type="dxa"/>
              <w:left w:w="100" w:type="dxa"/>
              <w:bottom w:w="100" w:type="dxa"/>
              <w:right w:w="100" w:type="dxa"/>
            </w:tcMar>
            <w:vAlign w:val="bottom"/>
          </w:tcPr>
          <w:p w14:paraId="20B4D4D2"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Asian or Pacific Islander</w:t>
            </w:r>
          </w:p>
        </w:tc>
        <w:tc>
          <w:tcPr>
            <w:tcW w:w="1631" w:type="dxa"/>
            <w:shd w:val="clear" w:color="auto" w:fill="auto"/>
            <w:tcMar>
              <w:top w:w="100" w:type="dxa"/>
              <w:left w:w="100" w:type="dxa"/>
              <w:bottom w:w="100" w:type="dxa"/>
              <w:right w:w="100" w:type="dxa"/>
            </w:tcMar>
            <w:vAlign w:val="bottom"/>
          </w:tcPr>
          <w:p w14:paraId="54553D7A" w14:textId="16144258"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1167 (</w:t>
            </w:r>
            <w:r w:rsidR="002F52BB" w:rsidRPr="00932A95">
              <w:rPr>
                <w:rFonts w:ascii="Book Antiqua" w:hAnsi="Book Antiqua" w:cs="Book Antiqua"/>
                <w:color w:val="auto"/>
                <w:sz w:val="24"/>
                <w:szCs w:val="24"/>
              </w:rPr>
              <w:t>2.0</w:t>
            </w:r>
            <w:r>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65244C35" w14:textId="55EAC21A"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668 (</w:t>
            </w:r>
            <w:r w:rsidR="002F52BB" w:rsidRPr="00932A95">
              <w:rPr>
                <w:rFonts w:ascii="Book Antiqua" w:hAnsi="Book Antiqua" w:cs="Book Antiqua"/>
                <w:color w:val="auto"/>
                <w:sz w:val="24"/>
                <w:szCs w:val="24"/>
              </w:rPr>
              <w:t>2.2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3C8C73C2" w14:textId="04EC8FF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532 (</w:t>
            </w:r>
            <w:r w:rsidR="002F52BB" w:rsidRPr="00932A95">
              <w:rPr>
                <w:rFonts w:ascii="Book Antiqua" w:hAnsi="Book Antiqua" w:cs="Book Antiqua"/>
                <w:color w:val="auto"/>
                <w:sz w:val="24"/>
                <w:szCs w:val="24"/>
              </w:rPr>
              <w:t>1.90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3419F8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564B491" w14:textId="77777777" w:rsidTr="0096655F">
        <w:trPr>
          <w:trHeight w:val="25"/>
        </w:trPr>
        <w:tc>
          <w:tcPr>
            <w:tcW w:w="3346" w:type="dxa"/>
            <w:shd w:val="clear" w:color="auto" w:fill="auto"/>
            <w:tcMar>
              <w:top w:w="100" w:type="dxa"/>
              <w:left w:w="100" w:type="dxa"/>
              <w:bottom w:w="100" w:type="dxa"/>
              <w:right w:w="100" w:type="dxa"/>
            </w:tcMar>
            <w:vAlign w:val="bottom"/>
          </w:tcPr>
          <w:p w14:paraId="7B9EF17C"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Native American</w:t>
            </w:r>
          </w:p>
        </w:tc>
        <w:tc>
          <w:tcPr>
            <w:tcW w:w="1631" w:type="dxa"/>
            <w:shd w:val="clear" w:color="auto" w:fill="auto"/>
            <w:tcMar>
              <w:top w:w="100" w:type="dxa"/>
              <w:left w:w="100" w:type="dxa"/>
              <w:bottom w:w="100" w:type="dxa"/>
              <w:right w:w="100" w:type="dxa"/>
            </w:tcMar>
            <w:vAlign w:val="bottom"/>
          </w:tcPr>
          <w:p w14:paraId="1BA30E65" w14:textId="438FFF8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875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1.5</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596C0558" w14:textId="2A253949"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486 (</w:t>
            </w:r>
            <w:r w:rsidR="002F52BB" w:rsidRPr="00932A95">
              <w:rPr>
                <w:rFonts w:ascii="Book Antiqua" w:hAnsi="Book Antiqua" w:cs="Book Antiqua"/>
                <w:color w:val="auto"/>
                <w:sz w:val="24"/>
                <w:szCs w:val="24"/>
              </w:rPr>
              <w:t>1.6</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015D3D7" w14:textId="5A5A54C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392 (</w:t>
            </w:r>
            <w:r w:rsidR="002F52BB" w:rsidRPr="00932A95">
              <w:rPr>
                <w:rFonts w:ascii="Book Antiqua" w:hAnsi="Book Antiqua" w:cs="Book Antiqua"/>
                <w:color w:val="auto"/>
                <w:sz w:val="24"/>
                <w:szCs w:val="24"/>
              </w:rPr>
              <w:t>1.40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006CB4E7"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BC044DE" w14:textId="77777777" w:rsidTr="0096655F">
        <w:trPr>
          <w:trHeight w:val="25"/>
        </w:trPr>
        <w:tc>
          <w:tcPr>
            <w:tcW w:w="3346" w:type="dxa"/>
            <w:shd w:val="clear" w:color="auto" w:fill="auto"/>
            <w:tcMar>
              <w:top w:w="100" w:type="dxa"/>
              <w:left w:w="100" w:type="dxa"/>
              <w:bottom w:w="100" w:type="dxa"/>
              <w:right w:w="100" w:type="dxa"/>
            </w:tcMar>
            <w:vAlign w:val="bottom"/>
          </w:tcPr>
          <w:p w14:paraId="637016C9"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631" w:type="dxa"/>
            <w:shd w:val="clear" w:color="auto" w:fill="auto"/>
            <w:tcMar>
              <w:top w:w="100" w:type="dxa"/>
              <w:left w:w="100" w:type="dxa"/>
              <w:bottom w:w="100" w:type="dxa"/>
              <w:right w:w="100" w:type="dxa"/>
            </w:tcMar>
            <w:vAlign w:val="bottom"/>
          </w:tcPr>
          <w:p w14:paraId="5E2708D7" w14:textId="0649E1D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1751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3.0</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A8B088F" w14:textId="7A3A4093"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1063 (</w:t>
            </w:r>
            <w:r w:rsidR="002F52BB" w:rsidRPr="00932A95">
              <w:rPr>
                <w:rFonts w:ascii="Book Antiqua" w:hAnsi="Book Antiqua" w:cs="Book Antiqua"/>
                <w:color w:val="auto"/>
                <w:sz w:val="24"/>
                <w:szCs w:val="24"/>
              </w:rPr>
              <w:t>3.5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62D4115E" w14:textId="2389D1D8"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699 (</w:t>
            </w:r>
            <w:r w:rsidR="002F52BB" w:rsidRPr="00932A95">
              <w:rPr>
                <w:rFonts w:ascii="Book Antiqua" w:hAnsi="Book Antiqua" w:cs="Book Antiqua"/>
                <w:color w:val="auto"/>
                <w:sz w:val="24"/>
                <w:szCs w:val="24"/>
              </w:rPr>
              <w:t>2.50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CAB1E8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4617D58" w14:textId="77777777" w:rsidTr="0096655F">
        <w:trPr>
          <w:trHeight w:val="25"/>
        </w:trPr>
        <w:tc>
          <w:tcPr>
            <w:tcW w:w="3346" w:type="dxa"/>
            <w:shd w:val="clear" w:color="auto" w:fill="auto"/>
            <w:tcMar>
              <w:top w:w="100" w:type="dxa"/>
              <w:left w:w="100" w:type="dxa"/>
              <w:bottom w:w="100" w:type="dxa"/>
              <w:right w:w="100" w:type="dxa"/>
            </w:tcMar>
            <w:vAlign w:val="bottom"/>
          </w:tcPr>
          <w:p w14:paraId="2A1EC84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Missing</w:t>
            </w:r>
          </w:p>
        </w:tc>
        <w:tc>
          <w:tcPr>
            <w:tcW w:w="1631" w:type="dxa"/>
            <w:shd w:val="clear" w:color="auto" w:fill="auto"/>
            <w:tcMar>
              <w:top w:w="100" w:type="dxa"/>
              <w:left w:w="100" w:type="dxa"/>
              <w:bottom w:w="100" w:type="dxa"/>
              <w:right w:w="100" w:type="dxa"/>
            </w:tcMar>
            <w:vAlign w:val="bottom"/>
          </w:tcPr>
          <w:p w14:paraId="79F6E8AB" w14:textId="5B68BC42"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4144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7.1</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048D8E4" w14:textId="27CC3EC4"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2188 (</w:t>
            </w:r>
            <w:r w:rsidR="002F52BB" w:rsidRPr="00932A95">
              <w:rPr>
                <w:rFonts w:ascii="Book Antiqua" w:hAnsi="Book Antiqua" w:cs="Book Antiqua"/>
                <w:color w:val="auto"/>
                <w:sz w:val="24"/>
                <w:szCs w:val="24"/>
              </w:rPr>
              <w:t>7.2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5B5648A" w14:textId="2769E9EC"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1959 (</w:t>
            </w:r>
            <w:r w:rsidR="002F52BB" w:rsidRPr="00932A95">
              <w:rPr>
                <w:rFonts w:ascii="Book Antiqua" w:hAnsi="Book Antiqua" w:cs="Book Antiqua"/>
                <w:color w:val="auto"/>
                <w:sz w:val="24"/>
                <w:szCs w:val="24"/>
              </w:rPr>
              <w:t>7.0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2ADEE770"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144B944" w14:textId="77777777" w:rsidTr="0096655F">
        <w:trPr>
          <w:trHeight w:val="25"/>
        </w:trPr>
        <w:tc>
          <w:tcPr>
            <w:tcW w:w="3346" w:type="dxa"/>
            <w:shd w:val="clear" w:color="auto" w:fill="auto"/>
            <w:tcMar>
              <w:top w:w="100" w:type="dxa"/>
              <w:left w:w="100" w:type="dxa"/>
              <w:bottom w:w="100" w:type="dxa"/>
              <w:right w:w="100" w:type="dxa"/>
            </w:tcMar>
            <w:vAlign w:val="bottom"/>
          </w:tcPr>
          <w:p w14:paraId="6B1261A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Primary payer</w:t>
            </w:r>
          </w:p>
        </w:tc>
        <w:tc>
          <w:tcPr>
            <w:tcW w:w="1631" w:type="dxa"/>
            <w:shd w:val="clear" w:color="auto" w:fill="auto"/>
            <w:tcMar>
              <w:top w:w="100" w:type="dxa"/>
              <w:left w:w="100" w:type="dxa"/>
              <w:bottom w:w="100" w:type="dxa"/>
              <w:right w:w="100" w:type="dxa"/>
            </w:tcMar>
            <w:vAlign w:val="bottom"/>
          </w:tcPr>
          <w:p w14:paraId="3B38FE7D"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1487CB8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3897531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05B151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1014B28F" w14:textId="77777777" w:rsidTr="0096655F">
        <w:trPr>
          <w:trHeight w:val="25"/>
        </w:trPr>
        <w:tc>
          <w:tcPr>
            <w:tcW w:w="3346" w:type="dxa"/>
            <w:shd w:val="clear" w:color="auto" w:fill="auto"/>
            <w:tcMar>
              <w:top w:w="100" w:type="dxa"/>
              <w:left w:w="100" w:type="dxa"/>
              <w:bottom w:w="100" w:type="dxa"/>
              <w:right w:w="100" w:type="dxa"/>
            </w:tcMar>
            <w:vAlign w:val="bottom"/>
          </w:tcPr>
          <w:p w14:paraId="2484627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Medicare</w:t>
            </w:r>
          </w:p>
        </w:tc>
        <w:tc>
          <w:tcPr>
            <w:tcW w:w="1631" w:type="dxa"/>
            <w:shd w:val="clear" w:color="auto" w:fill="auto"/>
            <w:tcMar>
              <w:top w:w="100" w:type="dxa"/>
              <w:left w:w="100" w:type="dxa"/>
              <w:bottom w:w="100" w:type="dxa"/>
              <w:right w:w="100" w:type="dxa"/>
            </w:tcMar>
            <w:vAlign w:val="bottom"/>
          </w:tcPr>
          <w:p w14:paraId="05C20CE8" w14:textId="5C0B05B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18442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31.6</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075D110" w14:textId="6190A65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8720 (</w:t>
            </w:r>
            <w:r w:rsidR="002F52BB" w:rsidRPr="00932A95">
              <w:rPr>
                <w:rFonts w:ascii="Book Antiqua" w:hAnsi="Book Antiqua" w:cs="Book Antiqua"/>
                <w:color w:val="auto"/>
                <w:sz w:val="24"/>
                <w:szCs w:val="24"/>
              </w:rPr>
              <w:t>28.7</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42E20FCE" w14:textId="27CF9846"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9709 (</w:t>
            </w:r>
            <w:r w:rsidR="002F52BB" w:rsidRPr="00932A95">
              <w:rPr>
                <w:rFonts w:ascii="Book Antiqua" w:hAnsi="Book Antiqua" w:cs="Book Antiqua"/>
                <w:color w:val="auto"/>
                <w:sz w:val="24"/>
                <w:szCs w:val="24"/>
              </w:rPr>
              <w:t>34.7</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5852621"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71C43D3" w14:textId="77777777" w:rsidTr="0096655F">
        <w:trPr>
          <w:trHeight w:val="25"/>
        </w:trPr>
        <w:tc>
          <w:tcPr>
            <w:tcW w:w="3346" w:type="dxa"/>
            <w:shd w:val="clear" w:color="auto" w:fill="auto"/>
            <w:tcMar>
              <w:top w:w="100" w:type="dxa"/>
              <w:left w:w="100" w:type="dxa"/>
              <w:bottom w:w="100" w:type="dxa"/>
              <w:right w:w="100" w:type="dxa"/>
            </w:tcMar>
            <w:vAlign w:val="bottom"/>
          </w:tcPr>
          <w:p w14:paraId="0512C11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Medicaid</w:t>
            </w:r>
          </w:p>
        </w:tc>
        <w:tc>
          <w:tcPr>
            <w:tcW w:w="1631" w:type="dxa"/>
            <w:shd w:val="clear" w:color="auto" w:fill="auto"/>
            <w:tcMar>
              <w:top w:w="100" w:type="dxa"/>
              <w:left w:w="100" w:type="dxa"/>
              <w:bottom w:w="100" w:type="dxa"/>
              <w:right w:w="100" w:type="dxa"/>
            </w:tcMar>
            <w:vAlign w:val="bottom"/>
          </w:tcPr>
          <w:p w14:paraId="3B86381E" w14:textId="2DE64FB6"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13540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23.2</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2723A98C" w14:textId="05494559"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7869 (</w:t>
            </w:r>
            <w:r w:rsidR="002F52BB" w:rsidRPr="00932A95">
              <w:rPr>
                <w:rFonts w:ascii="Book Antiqua" w:hAnsi="Book Antiqua" w:cs="Book Antiqua"/>
                <w:color w:val="auto"/>
                <w:sz w:val="24"/>
                <w:szCs w:val="24"/>
              </w:rPr>
              <w:t>25.9</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E2C20C0" w14:textId="3FA74EEA"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5680 (</w:t>
            </w:r>
            <w:r w:rsidR="002F52BB" w:rsidRPr="00932A95">
              <w:rPr>
                <w:rFonts w:ascii="Book Antiqua" w:hAnsi="Book Antiqua" w:cs="Book Antiqua"/>
                <w:color w:val="auto"/>
                <w:sz w:val="24"/>
                <w:szCs w:val="24"/>
              </w:rPr>
              <w:t>20.3</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1DF124C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3EE2B52" w14:textId="77777777" w:rsidTr="0096655F">
        <w:trPr>
          <w:trHeight w:val="25"/>
        </w:trPr>
        <w:tc>
          <w:tcPr>
            <w:tcW w:w="3346" w:type="dxa"/>
            <w:shd w:val="clear" w:color="auto" w:fill="auto"/>
            <w:tcMar>
              <w:top w:w="100" w:type="dxa"/>
              <w:left w:w="100" w:type="dxa"/>
              <w:bottom w:w="100" w:type="dxa"/>
              <w:right w:w="100" w:type="dxa"/>
            </w:tcMar>
            <w:vAlign w:val="bottom"/>
          </w:tcPr>
          <w:p w14:paraId="2262E094" w14:textId="77777777" w:rsidR="0011433B" w:rsidRPr="00932A95" w:rsidRDefault="002F52BB" w:rsidP="00374FC0">
            <w:pPr>
              <w:spacing w:line="360" w:lineRule="auto"/>
              <w:ind w:left="800" w:hanging="260"/>
              <w:jc w:val="both"/>
              <w:rPr>
                <w:rFonts w:ascii="Book Antiqua" w:hAnsi="Book Antiqua" w:cs="Book Antiqua"/>
                <w:color w:val="auto"/>
                <w:sz w:val="24"/>
                <w:szCs w:val="24"/>
              </w:rPr>
            </w:pPr>
            <w:r w:rsidRPr="00932A95">
              <w:rPr>
                <w:rFonts w:ascii="Book Antiqua" w:hAnsi="Book Antiqua" w:cs="Book Antiqua"/>
                <w:color w:val="auto"/>
                <w:sz w:val="24"/>
                <w:szCs w:val="24"/>
              </w:rPr>
              <w:t>Private and HMO</w:t>
            </w:r>
          </w:p>
        </w:tc>
        <w:tc>
          <w:tcPr>
            <w:tcW w:w="1631" w:type="dxa"/>
            <w:shd w:val="clear" w:color="auto" w:fill="auto"/>
            <w:tcMar>
              <w:top w:w="100" w:type="dxa"/>
              <w:left w:w="100" w:type="dxa"/>
              <w:bottom w:w="100" w:type="dxa"/>
              <w:right w:w="100" w:type="dxa"/>
            </w:tcMar>
            <w:vAlign w:val="bottom"/>
          </w:tcPr>
          <w:p w14:paraId="464E48F5" w14:textId="778CCEF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14824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25.4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451CBE0" w14:textId="66F62B97"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7960 (</w:t>
            </w:r>
            <w:r w:rsidR="002F52BB" w:rsidRPr="00932A95">
              <w:rPr>
                <w:rFonts w:ascii="Book Antiqua" w:hAnsi="Book Antiqua" w:cs="Book Antiqua"/>
                <w:color w:val="auto"/>
                <w:sz w:val="24"/>
                <w:szCs w:val="24"/>
              </w:rPr>
              <w:t>26.2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107274C" w14:textId="2FB48A9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6855 (</w:t>
            </w:r>
            <w:r w:rsidR="002F52BB" w:rsidRPr="00932A95">
              <w:rPr>
                <w:rFonts w:ascii="Book Antiqua" w:hAnsi="Book Antiqua" w:cs="Book Antiqua"/>
                <w:color w:val="auto"/>
                <w:sz w:val="24"/>
                <w:szCs w:val="24"/>
              </w:rPr>
              <w:t>24.5</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A7B36B2"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D6920CA" w14:textId="77777777" w:rsidTr="0096655F">
        <w:trPr>
          <w:trHeight w:val="25"/>
        </w:trPr>
        <w:tc>
          <w:tcPr>
            <w:tcW w:w="3346" w:type="dxa"/>
            <w:shd w:val="clear" w:color="auto" w:fill="auto"/>
            <w:tcMar>
              <w:top w:w="100" w:type="dxa"/>
              <w:left w:w="100" w:type="dxa"/>
              <w:bottom w:w="100" w:type="dxa"/>
              <w:right w:w="100" w:type="dxa"/>
            </w:tcMar>
            <w:vAlign w:val="bottom"/>
          </w:tcPr>
          <w:p w14:paraId="2300CEC5"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Self-pay</w:t>
            </w:r>
          </w:p>
        </w:tc>
        <w:tc>
          <w:tcPr>
            <w:tcW w:w="1631" w:type="dxa"/>
            <w:shd w:val="clear" w:color="auto" w:fill="auto"/>
            <w:tcMar>
              <w:top w:w="100" w:type="dxa"/>
              <w:left w:w="100" w:type="dxa"/>
              <w:bottom w:w="100" w:type="dxa"/>
              <w:right w:w="100" w:type="dxa"/>
            </w:tcMar>
            <w:vAlign w:val="bottom"/>
          </w:tcPr>
          <w:p w14:paraId="71091735" w14:textId="6FED7987"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7587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13.0</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4CC3C93" w14:textId="0CF32BE8"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3767 (</w:t>
            </w:r>
            <w:r w:rsidR="002F52BB" w:rsidRPr="00932A95">
              <w:rPr>
                <w:rFonts w:ascii="Book Antiqua" w:hAnsi="Book Antiqua" w:cs="Book Antiqua"/>
                <w:color w:val="auto"/>
                <w:sz w:val="24"/>
                <w:szCs w:val="24"/>
              </w:rPr>
              <w:t>12.4</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A3C91AB" w14:textId="5EEEA921"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3805 (</w:t>
            </w:r>
            <w:r w:rsidR="002F52BB" w:rsidRPr="00932A95">
              <w:rPr>
                <w:rFonts w:ascii="Book Antiqua" w:hAnsi="Book Antiqua" w:cs="Book Antiqua"/>
                <w:color w:val="auto"/>
                <w:sz w:val="24"/>
                <w:szCs w:val="24"/>
              </w:rPr>
              <w:t>13.6</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0AD24C9"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FC9F5B9" w14:textId="77777777" w:rsidTr="0096655F">
        <w:trPr>
          <w:trHeight w:val="25"/>
        </w:trPr>
        <w:tc>
          <w:tcPr>
            <w:tcW w:w="3346" w:type="dxa"/>
            <w:shd w:val="clear" w:color="auto" w:fill="auto"/>
            <w:tcMar>
              <w:top w:w="100" w:type="dxa"/>
              <w:left w:w="100" w:type="dxa"/>
              <w:bottom w:w="100" w:type="dxa"/>
              <w:right w:w="100" w:type="dxa"/>
            </w:tcMar>
            <w:vAlign w:val="bottom"/>
          </w:tcPr>
          <w:p w14:paraId="051BC34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No charge</w:t>
            </w:r>
          </w:p>
        </w:tc>
        <w:tc>
          <w:tcPr>
            <w:tcW w:w="1631" w:type="dxa"/>
            <w:shd w:val="clear" w:color="auto" w:fill="auto"/>
            <w:tcMar>
              <w:top w:w="100" w:type="dxa"/>
              <w:left w:w="100" w:type="dxa"/>
              <w:bottom w:w="100" w:type="dxa"/>
              <w:right w:w="100" w:type="dxa"/>
            </w:tcMar>
            <w:vAlign w:val="bottom"/>
          </w:tcPr>
          <w:p w14:paraId="151EF866" w14:textId="045C241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700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1.2</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602C1BB9" w14:textId="67E813E8"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425 (</w:t>
            </w:r>
            <w:r w:rsidR="002F52BB" w:rsidRPr="00932A95">
              <w:rPr>
                <w:rFonts w:ascii="Book Antiqua" w:hAnsi="Book Antiqua" w:cs="Book Antiqua"/>
                <w:color w:val="auto"/>
                <w:sz w:val="24"/>
                <w:szCs w:val="24"/>
              </w:rPr>
              <w:t>1.4</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7306AAA" w14:textId="00CA274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308 (</w:t>
            </w:r>
            <w:r w:rsidR="002F52BB" w:rsidRPr="00932A95">
              <w:rPr>
                <w:rFonts w:ascii="Book Antiqua" w:hAnsi="Book Antiqua" w:cs="Book Antiqua"/>
                <w:color w:val="auto"/>
                <w:sz w:val="24"/>
                <w:szCs w:val="24"/>
              </w:rPr>
              <w:t>1.1</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778C929"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58B26920" w14:textId="77777777" w:rsidTr="0096655F">
        <w:trPr>
          <w:trHeight w:val="25"/>
        </w:trPr>
        <w:tc>
          <w:tcPr>
            <w:tcW w:w="3346" w:type="dxa"/>
            <w:shd w:val="clear" w:color="auto" w:fill="auto"/>
            <w:tcMar>
              <w:top w:w="100" w:type="dxa"/>
              <w:left w:w="100" w:type="dxa"/>
              <w:bottom w:w="100" w:type="dxa"/>
              <w:right w:w="100" w:type="dxa"/>
            </w:tcMar>
            <w:vAlign w:val="bottom"/>
          </w:tcPr>
          <w:p w14:paraId="71E48D2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631" w:type="dxa"/>
            <w:shd w:val="clear" w:color="auto" w:fill="auto"/>
            <w:tcMar>
              <w:top w:w="100" w:type="dxa"/>
              <w:left w:w="100" w:type="dxa"/>
              <w:bottom w:w="100" w:type="dxa"/>
              <w:right w:w="100" w:type="dxa"/>
            </w:tcMar>
            <w:vAlign w:val="bottom"/>
          </w:tcPr>
          <w:p w14:paraId="6807EDED" w14:textId="5DE20795"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3268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5.6</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33F9882" w14:textId="4D50A71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1671 (</w:t>
            </w:r>
            <w:r w:rsidR="002F52BB" w:rsidRPr="00932A95">
              <w:rPr>
                <w:rFonts w:ascii="Book Antiqua" w:hAnsi="Book Antiqua" w:cs="Book Antiqua"/>
                <w:color w:val="auto"/>
                <w:sz w:val="24"/>
                <w:szCs w:val="24"/>
              </w:rPr>
              <w:t>5.5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09CA6CED" w14:textId="1E15C40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1539 (</w:t>
            </w:r>
            <w:r w:rsidR="002F52BB" w:rsidRPr="00932A95">
              <w:rPr>
                <w:rFonts w:ascii="Book Antiqua" w:hAnsi="Book Antiqua" w:cs="Book Antiqua"/>
                <w:color w:val="auto"/>
                <w:sz w:val="24"/>
                <w:szCs w:val="24"/>
              </w:rPr>
              <w:t>5.5</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5C16E5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3AFBCD9" w14:textId="77777777" w:rsidTr="0096655F">
        <w:trPr>
          <w:trHeight w:val="25"/>
        </w:trPr>
        <w:tc>
          <w:tcPr>
            <w:tcW w:w="3346" w:type="dxa"/>
            <w:shd w:val="clear" w:color="auto" w:fill="auto"/>
            <w:tcMar>
              <w:top w:w="100" w:type="dxa"/>
              <w:left w:w="100" w:type="dxa"/>
              <w:bottom w:w="100" w:type="dxa"/>
              <w:right w:w="100" w:type="dxa"/>
            </w:tcMar>
            <w:vAlign w:val="bottom"/>
          </w:tcPr>
          <w:p w14:paraId="4F77DDF2" w14:textId="77777777" w:rsidR="0011433B" w:rsidRPr="00932A95" w:rsidRDefault="002F52BB" w:rsidP="00374FC0">
            <w:pPr>
              <w:spacing w:line="360" w:lineRule="auto"/>
              <w:ind w:hanging="20"/>
              <w:jc w:val="both"/>
              <w:rPr>
                <w:rFonts w:ascii="Book Antiqua" w:hAnsi="Book Antiqua" w:cs="Book Antiqua"/>
                <w:color w:val="auto"/>
                <w:sz w:val="24"/>
                <w:szCs w:val="24"/>
              </w:rPr>
            </w:pPr>
            <w:r w:rsidRPr="00932A95">
              <w:rPr>
                <w:rFonts w:ascii="Book Antiqua" w:hAnsi="Book Antiqua" w:cs="Book Antiqua"/>
                <w:color w:val="auto"/>
                <w:sz w:val="24"/>
                <w:szCs w:val="24"/>
              </w:rPr>
              <w:t>Hospital bed size</w:t>
            </w:r>
          </w:p>
        </w:tc>
        <w:tc>
          <w:tcPr>
            <w:tcW w:w="1631" w:type="dxa"/>
            <w:shd w:val="clear" w:color="auto" w:fill="auto"/>
            <w:tcMar>
              <w:top w:w="100" w:type="dxa"/>
              <w:left w:w="100" w:type="dxa"/>
              <w:bottom w:w="100" w:type="dxa"/>
              <w:right w:w="100" w:type="dxa"/>
            </w:tcMar>
            <w:vAlign w:val="bottom"/>
          </w:tcPr>
          <w:p w14:paraId="448A6747"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0CA8EAE2"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47479CA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15136C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64F0120A" w14:textId="77777777" w:rsidTr="0096655F">
        <w:trPr>
          <w:trHeight w:val="25"/>
        </w:trPr>
        <w:tc>
          <w:tcPr>
            <w:tcW w:w="3346" w:type="dxa"/>
            <w:shd w:val="clear" w:color="auto" w:fill="auto"/>
            <w:tcMar>
              <w:top w:w="100" w:type="dxa"/>
              <w:left w:w="100" w:type="dxa"/>
              <w:bottom w:w="100" w:type="dxa"/>
              <w:right w:w="100" w:type="dxa"/>
            </w:tcMar>
            <w:vAlign w:val="bottom"/>
          </w:tcPr>
          <w:p w14:paraId="47ECA60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Small</w:t>
            </w:r>
          </w:p>
        </w:tc>
        <w:tc>
          <w:tcPr>
            <w:tcW w:w="1631" w:type="dxa"/>
            <w:shd w:val="clear" w:color="auto" w:fill="auto"/>
            <w:tcMar>
              <w:top w:w="100" w:type="dxa"/>
              <w:left w:w="100" w:type="dxa"/>
              <w:bottom w:w="100" w:type="dxa"/>
              <w:right w:w="100" w:type="dxa"/>
            </w:tcMar>
            <w:vAlign w:val="bottom"/>
          </w:tcPr>
          <w:p w14:paraId="5CAA222C" w14:textId="4349CEE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6245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10.7</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5EDE4B4" w14:textId="2A25ED5A"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4102 (</w:t>
            </w:r>
            <w:r w:rsidR="002F52BB" w:rsidRPr="00932A95">
              <w:rPr>
                <w:rFonts w:ascii="Book Antiqua" w:hAnsi="Book Antiqua" w:cs="Book Antiqua"/>
                <w:color w:val="auto"/>
                <w:sz w:val="24"/>
                <w:szCs w:val="24"/>
              </w:rPr>
              <w:t>13.5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26B8464" w14:textId="3732232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2182 (</w:t>
            </w:r>
            <w:r w:rsidR="002F52BB" w:rsidRPr="00932A95">
              <w:rPr>
                <w:rFonts w:ascii="Book Antiqua" w:hAnsi="Book Antiqua" w:cs="Book Antiqua"/>
                <w:color w:val="auto"/>
                <w:sz w:val="24"/>
                <w:szCs w:val="24"/>
              </w:rPr>
              <w:t>7.8</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1C2B03E"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EE4BA6E" w14:textId="77777777" w:rsidTr="0096655F">
        <w:trPr>
          <w:trHeight w:val="25"/>
        </w:trPr>
        <w:tc>
          <w:tcPr>
            <w:tcW w:w="3346" w:type="dxa"/>
            <w:shd w:val="clear" w:color="auto" w:fill="auto"/>
            <w:tcMar>
              <w:top w:w="100" w:type="dxa"/>
              <w:left w:w="100" w:type="dxa"/>
              <w:bottom w:w="100" w:type="dxa"/>
              <w:right w:w="100" w:type="dxa"/>
            </w:tcMar>
            <w:vAlign w:val="bottom"/>
          </w:tcPr>
          <w:p w14:paraId="68F0E97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Medium</w:t>
            </w:r>
          </w:p>
        </w:tc>
        <w:tc>
          <w:tcPr>
            <w:tcW w:w="1631" w:type="dxa"/>
            <w:shd w:val="clear" w:color="auto" w:fill="auto"/>
            <w:tcMar>
              <w:top w:w="100" w:type="dxa"/>
              <w:left w:w="100" w:type="dxa"/>
              <w:bottom w:w="100" w:type="dxa"/>
              <w:right w:w="100" w:type="dxa"/>
            </w:tcMar>
            <w:vAlign w:val="bottom"/>
          </w:tcPr>
          <w:p w14:paraId="7D396048" w14:textId="01940DE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15408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26.4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D2F9322" w14:textId="0C0F55B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8051 (</w:t>
            </w:r>
            <w:r w:rsidR="002F52BB" w:rsidRPr="00932A95">
              <w:rPr>
                <w:rFonts w:ascii="Book Antiqua" w:hAnsi="Book Antiqua" w:cs="Book Antiqua"/>
                <w:color w:val="auto"/>
                <w:sz w:val="24"/>
                <w:szCs w:val="24"/>
              </w:rPr>
              <w:t>26.5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452C4542" w14:textId="018D4FE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7386 (</w:t>
            </w:r>
            <w:r w:rsidR="002F52BB" w:rsidRPr="00932A95">
              <w:rPr>
                <w:rFonts w:ascii="Book Antiqua" w:hAnsi="Book Antiqua" w:cs="Book Antiqua"/>
                <w:color w:val="auto"/>
                <w:sz w:val="24"/>
                <w:szCs w:val="24"/>
              </w:rPr>
              <w:t>26.4</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E69E0D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7AB26E2A" w14:textId="77777777" w:rsidTr="0096655F">
        <w:trPr>
          <w:trHeight w:val="25"/>
        </w:trPr>
        <w:tc>
          <w:tcPr>
            <w:tcW w:w="3346" w:type="dxa"/>
            <w:shd w:val="clear" w:color="auto" w:fill="auto"/>
            <w:tcMar>
              <w:top w:w="100" w:type="dxa"/>
              <w:left w:w="100" w:type="dxa"/>
              <w:bottom w:w="100" w:type="dxa"/>
              <w:right w:w="100" w:type="dxa"/>
            </w:tcMar>
            <w:vAlign w:val="bottom"/>
          </w:tcPr>
          <w:p w14:paraId="37D0EB9F"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Large</w:t>
            </w:r>
          </w:p>
        </w:tc>
        <w:tc>
          <w:tcPr>
            <w:tcW w:w="1631" w:type="dxa"/>
            <w:shd w:val="clear" w:color="auto" w:fill="auto"/>
            <w:tcMar>
              <w:top w:w="100" w:type="dxa"/>
              <w:left w:w="100" w:type="dxa"/>
              <w:bottom w:w="100" w:type="dxa"/>
              <w:right w:w="100" w:type="dxa"/>
            </w:tcMar>
            <w:vAlign w:val="bottom"/>
          </w:tcPr>
          <w:p w14:paraId="64EC0E8C" w14:textId="27E5118F"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36710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62.9</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EF6FE41" w14:textId="4356F90F"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18229 (</w:t>
            </w:r>
            <w:r w:rsidR="002F52BB" w:rsidRPr="00932A95">
              <w:rPr>
                <w:rFonts w:ascii="Book Antiqua" w:hAnsi="Book Antiqua" w:cs="Book Antiqua"/>
                <w:color w:val="auto"/>
                <w:sz w:val="24"/>
                <w:szCs w:val="24"/>
              </w:rPr>
              <w:t>60.0</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7484E4F1" w14:textId="6B396EFB"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18410 (</w:t>
            </w:r>
            <w:r w:rsidR="002F52BB" w:rsidRPr="00932A95">
              <w:rPr>
                <w:rFonts w:ascii="Book Antiqua" w:hAnsi="Book Antiqua" w:cs="Book Antiqua"/>
                <w:color w:val="auto"/>
                <w:sz w:val="24"/>
                <w:szCs w:val="24"/>
              </w:rPr>
              <w:t>65.8</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294FEFE2"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E09B124" w14:textId="77777777" w:rsidTr="0096655F">
        <w:trPr>
          <w:trHeight w:val="25"/>
        </w:trPr>
        <w:tc>
          <w:tcPr>
            <w:tcW w:w="3346" w:type="dxa"/>
            <w:shd w:val="clear" w:color="auto" w:fill="auto"/>
            <w:tcMar>
              <w:top w:w="100" w:type="dxa"/>
              <w:left w:w="100" w:type="dxa"/>
              <w:bottom w:w="100" w:type="dxa"/>
              <w:right w:w="100" w:type="dxa"/>
            </w:tcMar>
            <w:vAlign w:val="bottom"/>
          </w:tcPr>
          <w:p w14:paraId="2A3942E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 region</w:t>
            </w:r>
          </w:p>
        </w:tc>
        <w:tc>
          <w:tcPr>
            <w:tcW w:w="1631" w:type="dxa"/>
            <w:shd w:val="clear" w:color="auto" w:fill="auto"/>
            <w:tcMar>
              <w:top w:w="100" w:type="dxa"/>
              <w:left w:w="100" w:type="dxa"/>
              <w:bottom w:w="100" w:type="dxa"/>
              <w:right w:w="100" w:type="dxa"/>
            </w:tcMar>
            <w:vAlign w:val="bottom"/>
          </w:tcPr>
          <w:p w14:paraId="71C7BB3B"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1666AC3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7BE87AA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0B7963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274D725A" w14:textId="77777777" w:rsidTr="0096655F">
        <w:trPr>
          <w:trHeight w:val="25"/>
        </w:trPr>
        <w:tc>
          <w:tcPr>
            <w:tcW w:w="3346" w:type="dxa"/>
            <w:shd w:val="clear" w:color="auto" w:fill="auto"/>
            <w:tcMar>
              <w:top w:w="100" w:type="dxa"/>
              <w:left w:w="100" w:type="dxa"/>
              <w:bottom w:w="100" w:type="dxa"/>
              <w:right w:w="100" w:type="dxa"/>
            </w:tcMar>
            <w:vAlign w:val="bottom"/>
          </w:tcPr>
          <w:p w14:paraId="14DD75A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Northeast</w:t>
            </w:r>
          </w:p>
        </w:tc>
        <w:tc>
          <w:tcPr>
            <w:tcW w:w="1631" w:type="dxa"/>
            <w:shd w:val="clear" w:color="auto" w:fill="auto"/>
            <w:tcMar>
              <w:top w:w="100" w:type="dxa"/>
              <w:left w:w="100" w:type="dxa"/>
              <w:bottom w:w="100" w:type="dxa"/>
              <w:right w:w="100" w:type="dxa"/>
            </w:tcMar>
            <w:vAlign w:val="bottom"/>
          </w:tcPr>
          <w:p w14:paraId="0EF7CE75" w14:textId="19DF63D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10564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18.1</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53B80DDC" w14:textId="7A9D9028"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6988 (</w:t>
            </w:r>
            <w:r w:rsidR="002F52BB" w:rsidRPr="00932A95">
              <w:rPr>
                <w:rFonts w:ascii="Book Antiqua" w:hAnsi="Book Antiqua" w:cs="Book Antiqua"/>
                <w:color w:val="auto"/>
                <w:sz w:val="24"/>
                <w:szCs w:val="24"/>
              </w:rPr>
              <w:t>23.0</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6F882F8" w14:textId="2CD8364C"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3581 (</w:t>
            </w:r>
            <w:r w:rsidR="002F52BB" w:rsidRPr="00932A95">
              <w:rPr>
                <w:rFonts w:ascii="Book Antiqua" w:hAnsi="Book Antiqua" w:cs="Book Antiqua"/>
                <w:color w:val="auto"/>
                <w:sz w:val="24"/>
                <w:szCs w:val="24"/>
              </w:rPr>
              <w:t>12.8</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16C539F7"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70909DF" w14:textId="77777777" w:rsidTr="0096655F">
        <w:trPr>
          <w:trHeight w:val="25"/>
        </w:trPr>
        <w:tc>
          <w:tcPr>
            <w:tcW w:w="3346" w:type="dxa"/>
            <w:shd w:val="clear" w:color="auto" w:fill="auto"/>
            <w:tcMar>
              <w:top w:w="100" w:type="dxa"/>
              <w:left w:w="100" w:type="dxa"/>
              <w:bottom w:w="100" w:type="dxa"/>
              <w:right w:w="100" w:type="dxa"/>
            </w:tcMar>
            <w:vAlign w:val="bottom"/>
          </w:tcPr>
          <w:p w14:paraId="6128B452"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Midwest</w:t>
            </w:r>
          </w:p>
        </w:tc>
        <w:tc>
          <w:tcPr>
            <w:tcW w:w="1631" w:type="dxa"/>
            <w:shd w:val="clear" w:color="auto" w:fill="auto"/>
            <w:tcMar>
              <w:top w:w="100" w:type="dxa"/>
              <w:left w:w="100" w:type="dxa"/>
              <w:bottom w:w="100" w:type="dxa"/>
              <w:right w:w="100" w:type="dxa"/>
            </w:tcMar>
            <w:vAlign w:val="bottom"/>
          </w:tcPr>
          <w:p w14:paraId="719A8E85" w14:textId="2A06A3C9"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9571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16.4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515A7143" w14:textId="09B05B53"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5621 (</w:t>
            </w:r>
            <w:r w:rsidR="002F52BB" w:rsidRPr="00932A95">
              <w:rPr>
                <w:rFonts w:ascii="Book Antiqua" w:hAnsi="Book Antiqua" w:cs="Book Antiqua"/>
                <w:color w:val="auto"/>
                <w:sz w:val="24"/>
                <w:szCs w:val="24"/>
              </w:rPr>
              <w:t>18.5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5B7F561" w14:textId="72113C9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3917 (</w:t>
            </w:r>
            <w:r w:rsidR="002F52BB" w:rsidRPr="00932A95">
              <w:rPr>
                <w:rFonts w:ascii="Book Antiqua" w:hAnsi="Book Antiqua" w:cs="Book Antiqua"/>
                <w:color w:val="auto"/>
                <w:sz w:val="24"/>
                <w:szCs w:val="24"/>
              </w:rPr>
              <w:t>14.0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D4D3C2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098B66E8" w14:textId="77777777" w:rsidTr="0096655F">
        <w:trPr>
          <w:trHeight w:val="25"/>
        </w:trPr>
        <w:tc>
          <w:tcPr>
            <w:tcW w:w="3346" w:type="dxa"/>
            <w:shd w:val="clear" w:color="auto" w:fill="auto"/>
            <w:tcMar>
              <w:top w:w="100" w:type="dxa"/>
              <w:left w:w="100" w:type="dxa"/>
              <w:bottom w:w="100" w:type="dxa"/>
              <w:right w:w="100" w:type="dxa"/>
            </w:tcMar>
            <w:vAlign w:val="bottom"/>
          </w:tcPr>
          <w:p w14:paraId="20CC6CD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South</w:t>
            </w:r>
          </w:p>
        </w:tc>
        <w:tc>
          <w:tcPr>
            <w:tcW w:w="1631" w:type="dxa"/>
            <w:shd w:val="clear" w:color="auto" w:fill="auto"/>
            <w:tcMar>
              <w:top w:w="100" w:type="dxa"/>
              <w:left w:w="100" w:type="dxa"/>
              <w:bottom w:w="100" w:type="dxa"/>
              <w:right w:w="100" w:type="dxa"/>
            </w:tcMar>
            <w:vAlign w:val="bottom"/>
          </w:tcPr>
          <w:p w14:paraId="5D78D3EA" w14:textId="5BC62255"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23170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39.7</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7F66A759" w14:textId="4DAC3E5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11636 (</w:t>
            </w:r>
            <w:r w:rsidR="002F52BB" w:rsidRPr="00932A95">
              <w:rPr>
                <w:rFonts w:ascii="Book Antiqua" w:hAnsi="Book Antiqua" w:cs="Book Antiqua"/>
                <w:color w:val="auto"/>
                <w:sz w:val="24"/>
                <w:szCs w:val="24"/>
              </w:rPr>
              <w:t>38.3</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02EFE64" w14:textId="14BCE4D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11555 (</w:t>
            </w:r>
            <w:r w:rsidR="002F52BB" w:rsidRPr="00932A95">
              <w:rPr>
                <w:rFonts w:ascii="Book Antiqua" w:hAnsi="Book Antiqua" w:cs="Book Antiqua"/>
                <w:color w:val="auto"/>
                <w:sz w:val="24"/>
                <w:szCs w:val="24"/>
              </w:rPr>
              <w:t>41.3</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5E1FBF3"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0594D00" w14:textId="77777777" w:rsidTr="0096655F">
        <w:trPr>
          <w:trHeight w:val="25"/>
        </w:trPr>
        <w:tc>
          <w:tcPr>
            <w:tcW w:w="3346" w:type="dxa"/>
            <w:shd w:val="clear" w:color="auto" w:fill="auto"/>
            <w:tcMar>
              <w:top w:w="100" w:type="dxa"/>
              <w:left w:w="100" w:type="dxa"/>
              <w:bottom w:w="100" w:type="dxa"/>
              <w:right w:w="100" w:type="dxa"/>
            </w:tcMar>
            <w:vAlign w:val="bottom"/>
          </w:tcPr>
          <w:p w14:paraId="43F78CA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West</w:t>
            </w:r>
          </w:p>
        </w:tc>
        <w:tc>
          <w:tcPr>
            <w:tcW w:w="1631" w:type="dxa"/>
            <w:shd w:val="clear" w:color="auto" w:fill="auto"/>
            <w:tcMar>
              <w:top w:w="100" w:type="dxa"/>
              <w:left w:w="100" w:type="dxa"/>
              <w:bottom w:w="100" w:type="dxa"/>
              <w:right w:w="100" w:type="dxa"/>
            </w:tcMar>
            <w:vAlign w:val="bottom"/>
          </w:tcPr>
          <w:p w14:paraId="0ADBA941" w14:textId="5B2003F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15057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25.8</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27F8DA23" w14:textId="63DF87F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6137 (</w:t>
            </w:r>
            <w:r w:rsidR="002F52BB" w:rsidRPr="00932A95">
              <w:rPr>
                <w:rFonts w:ascii="Book Antiqua" w:hAnsi="Book Antiqua" w:cs="Book Antiqua"/>
                <w:color w:val="auto"/>
                <w:sz w:val="24"/>
                <w:szCs w:val="24"/>
              </w:rPr>
              <w:t>20.2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0D53B0C" w14:textId="6A10BE0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8925 (</w:t>
            </w:r>
            <w:r w:rsidR="002F52BB" w:rsidRPr="00932A95">
              <w:rPr>
                <w:rFonts w:ascii="Book Antiqua" w:hAnsi="Book Antiqua" w:cs="Book Antiqua"/>
                <w:color w:val="auto"/>
                <w:sz w:val="24"/>
                <w:szCs w:val="24"/>
              </w:rPr>
              <w:t>31.9</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F46F607"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556A7A7" w14:textId="77777777" w:rsidTr="0096655F">
        <w:trPr>
          <w:trHeight w:val="25"/>
        </w:trPr>
        <w:tc>
          <w:tcPr>
            <w:tcW w:w="3346" w:type="dxa"/>
            <w:shd w:val="clear" w:color="auto" w:fill="auto"/>
            <w:tcMar>
              <w:top w:w="100" w:type="dxa"/>
              <w:left w:w="100" w:type="dxa"/>
              <w:bottom w:w="100" w:type="dxa"/>
              <w:right w:w="100" w:type="dxa"/>
            </w:tcMar>
            <w:vAlign w:val="bottom"/>
          </w:tcPr>
          <w:p w14:paraId="3CEBC66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Transfer in from acute care hospital</w:t>
            </w:r>
          </w:p>
        </w:tc>
        <w:tc>
          <w:tcPr>
            <w:tcW w:w="1631" w:type="dxa"/>
            <w:shd w:val="clear" w:color="auto" w:fill="auto"/>
            <w:tcMar>
              <w:top w:w="100" w:type="dxa"/>
              <w:left w:w="100" w:type="dxa"/>
              <w:bottom w:w="100" w:type="dxa"/>
              <w:right w:w="100" w:type="dxa"/>
            </w:tcMar>
            <w:vAlign w:val="bottom"/>
          </w:tcPr>
          <w:p w14:paraId="3C27293F"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456628D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7B395023"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60C449F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17EF56EA" w14:textId="77777777" w:rsidTr="0096655F">
        <w:trPr>
          <w:trHeight w:val="25"/>
        </w:trPr>
        <w:tc>
          <w:tcPr>
            <w:tcW w:w="3346" w:type="dxa"/>
            <w:shd w:val="clear" w:color="auto" w:fill="auto"/>
            <w:tcMar>
              <w:top w:w="100" w:type="dxa"/>
              <w:left w:w="100" w:type="dxa"/>
              <w:bottom w:w="100" w:type="dxa"/>
              <w:right w:w="100" w:type="dxa"/>
            </w:tcMar>
            <w:vAlign w:val="bottom"/>
          </w:tcPr>
          <w:p w14:paraId="486A9579"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Yes</w:t>
            </w:r>
          </w:p>
        </w:tc>
        <w:tc>
          <w:tcPr>
            <w:tcW w:w="1631" w:type="dxa"/>
            <w:shd w:val="clear" w:color="auto" w:fill="auto"/>
            <w:tcMar>
              <w:top w:w="100" w:type="dxa"/>
              <w:left w:w="100" w:type="dxa"/>
              <w:bottom w:w="100" w:type="dxa"/>
              <w:right w:w="100" w:type="dxa"/>
            </w:tcMar>
            <w:vAlign w:val="bottom"/>
          </w:tcPr>
          <w:p w14:paraId="3BF51AB3" w14:textId="7643E34E"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4319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7.4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50E1367" w14:textId="1170B13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3494 (</w:t>
            </w:r>
            <w:r w:rsidR="002F52BB" w:rsidRPr="00932A95">
              <w:rPr>
                <w:rFonts w:ascii="Book Antiqua" w:hAnsi="Book Antiqua" w:cs="Book Antiqua"/>
                <w:color w:val="auto"/>
                <w:sz w:val="24"/>
                <w:szCs w:val="24"/>
              </w:rPr>
              <w:t>11.5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480B301B" w14:textId="3F9167F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839 (</w:t>
            </w:r>
            <w:r w:rsidR="002F52BB" w:rsidRPr="00932A95">
              <w:rPr>
                <w:rFonts w:ascii="Book Antiqua" w:hAnsi="Book Antiqua" w:cs="Book Antiqua"/>
                <w:color w:val="auto"/>
                <w:sz w:val="24"/>
                <w:szCs w:val="24"/>
              </w:rPr>
              <w:t>3.0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04165E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0A6A453F" w14:textId="77777777" w:rsidTr="0096655F">
        <w:trPr>
          <w:trHeight w:val="25"/>
        </w:trPr>
        <w:tc>
          <w:tcPr>
            <w:tcW w:w="3346" w:type="dxa"/>
            <w:shd w:val="clear" w:color="auto" w:fill="auto"/>
            <w:tcMar>
              <w:top w:w="100" w:type="dxa"/>
              <w:left w:w="100" w:type="dxa"/>
              <w:bottom w:w="100" w:type="dxa"/>
              <w:right w:w="100" w:type="dxa"/>
            </w:tcMar>
            <w:vAlign w:val="bottom"/>
          </w:tcPr>
          <w:p w14:paraId="53E61C8F"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No</w:t>
            </w:r>
          </w:p>
        </w:tc>
        <w:tc>
          <w:tcPr>
            <w:tcW w:w="1631" w:type="dxa"/>
            <w:shd w:val="clear" w:color="auto" w:fill="auto"/>
            <w:tcMar>
              <w:top w:w="100" w:type="dxa"/>
              <w:left w:w="100" w:type="dxa"/>
              <w:bottom w:w="100" w:type="dxa"/>
              <w:right w:w="100" w:type="dxa"/>
            </w:tcMar>
            <w:vAlign w:val="bottom"/>
          </w:tcPr>
          <w:p w14:paraId="3DE273B7" w14:textId="25740E5D"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54043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92.6</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337DFE2F" w14:textId="2B4BE06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26888 (</w:t>
            </w:r>
            <w:r w:rsidR="002F52BB" w:rsidRPr="00932A95">
              <w:rPr>
                <w:rFonts w:ascii="Book Antiqua" w:hAnsi="Book Antiqua" w:cs="Book Antiqua"/>
                <w:color w:val="auto"/>
                <w:sz w:val="24"/>
                <w:szCs w:val="24"/>
              </w:rPr>
              <w:t>88.5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038D2E97" w14:textId="27DA7556"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27140 (</w:t>
            </w:r>
            <w:r w:rsidR="002F52BB" w:rsidRPr="00932A95">
              <w:rPr>
                <w:rFonts w:ascii="Book Antiqua" w:hAnsi="Book Antiqua" w:cs="Book Antiqua"/>
                <w:color w:val="auto"/>
                <w:sz w:val="24"/>
                <w:szCs w:val="24"/>
              </w:rPr>
              <w:t>97.0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A40FE57" w14:textId="77777777" w:rsidR="0011433B" w:rsidRPr="00932A95" w:rsidRDefault="0011433B" w:rsidP="00374FC0">
            <w:pPr>
              <w:spacing w:line="360" w:lineRule="auto"/>
              <w:jc w:val="both"/>
              <w:rPr>
                <w:rFonts w:ascii="Book Antiqua" w:hAnsi="Book Antiqua" w:cs="Book Antiqua"/>
                <w:color w:val="auto"/>
                <w:sz w:val="24"/>
                <w:szCs w:val="24"/>
              </w:rPr>
            </w:pPr>
          </w:p>
        </w:tc>
      </w:tr>
    </w:tbl>
    <w:p w14:paraId="29EF3C1C" w14:textId="77777777" w:rsidR="0011433B" w:rsidRPr="00932A95" w:rsidRDefault="0011433B" w:rsidP="00374FC0">
      <w:pPr>
        <w:spacing w:line="360" w:lineRule="auto"/>
        <w:jc w:val="both"/>
        <w:rPr>
          <w:rFonts w:ascii="Book Antiqua" w:hAnsi="Book Antiqua" w:cs="Book Antiqua"/>
          <w:color w:val="auto"/>
          <w:sz w:val="24"/>
          <w:szCs w:val="24"/>
        </w:rPr>
      </w:pPr>
    </w:p>
    <w:p w14:paraId="59E1B6D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432F560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2</w:t>
      </w:r>
      <w:r w:rsidRPr="00932A95">
        <w:rPr>
          <w:rFonts w:ascii="Book Antiqua" w:eastAsia="宋体" w:hAnsi="Book Antiqua" w:cs="Book Antiqua" w:hint="eastAsia"/>
          <w:b/>
          <w:color w:val="auto"/>
          <w:sz w:val="24"/>
          <w:szCs w:val="24"/>
          <w:lang w:val="en-US" w:eastAsia="zh-CN"/>
        </w:rPr>
        <w:t xml:space="preserve"> </w:t>
      </w:r>
      <w:r w:rsidRPr="00932A95">
        <w:rPr>
          <w:rFonts w:ascii="Book Antiqua" w:hAnsi="Book Antiqua" w:cs="Book Antiqua"/>
          <w:b/>
          <w:color w:val="auto"/>
          <w:sz w:val="24"/>
          <w:szCs w:val="24"/>
        </w:rPr>
        <w:t>Patient comorbidities and management</w:t>
      </w:r>
    </w:p>
    <w:tbl>
      <w:tblPr>
        <w:tblStyle w:val="Style12"/>
        <w:tblW w:w="9276" w:type="dxa"/>
        <w:tblInd w:w="-426" w:type="dxa"/>
        <w:tblBorders>
          <w:top w:val="single" w:sz="4" w:space="0" w:color="auto"/>
          <w:bottom w:val="single" w:sz="4" w:space="0" w:color="auto"/>
        </w:tblBorders>
        <w:tblLayout w:type="fixed"/>
        <w:tblLook w:val="04A0" w:firstRow="1" w:lastRow="0" w:firstColumn="1" w:lastColumn="0" w:noHBand="0" w:noVBand="1"/>
      </w:tblPr>
      <w:tblGrid>
        <w:gridCol w:w="3871"/>
        <w:gridCol w:w="1595"/>
        <w:gridCol w:w="1786"/>
        <w:gridCol w:w="2024"/>
      </w:tblGrid>
      <w:tr w:rsidR="00932A95" w:rsidRPr="00932A95" w14:paraId="130A231F" w14:textId="77777777" w:rsidTr="00F239AF">
        <w:trPr>
          <w:trHeight w:val="434"/>
        </w:trPr>
        <w:tc>
          <w:tcPr>
            <w:tcW w:w="3871"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0A0520AB"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59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01C301D6" w14:textId="77777777" w:rsidR="0011433B" w:rsidRPr="00932A95" w:rsidRDefault="007D535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All (58</w:t>
            </w:r>
            <w:r w:rsidR="002F52BB" w:rsidRPr="00932A95">
              <w:rPr>
                <w:rFonts w:ascii="Book Antiqua" w:hAnsi="Book Antiqua" w:cs="Book Antiqua"/>
                <w:b/>
                <w:color w:val="auto"/>
                <w:sz w:val="24"/>
                <w:szCs w:val="24"/>
              </w:rPr>
              <w:t>362)</w:t>
            </w:r>
          </w:p>
        </w:tc>
        <w:tc>
          <w:tcPr>
            <w:tcW w:w="1786"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12A2DAF" w14:textId="77777777" w:rsidR="0011433B" w:rsidRPr="00932A95" w:rsidRDefault="007D535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Teaching (30</w:t>
            </w:r>
            <w:r w:rsidR="002F52BB" w:rsidRPr="00932A95">
              <w:rPr>
                <w:rFonts w:ascii="Book Antiqua" w:hAnsi="Book Antiqua" w:cs="Book Antiqua"/>
                <w:b/>
                <w:color w:val="auto"/>
                <w:sz w:val="24"/>
                <w:szCs w:val="24"/>
              </w:rPr>
              <w:t>382)</w:t>
            </w:r>
          </w:p>
        </w:tc>
        <w:tc>
          <w:tcPr>
            <w:tcW w:w="2024"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A275C3B" w14:textId="77777777" w:rsidR="0011433B" w:rsidRPr="00932A95" w:rsidRDefault="007D535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Non-teaching (27</w:t>
            </w:r>
            <w:r w:rsidR="002F52BB" w:rsidRPr="00932A95">
              <w:rPr>
                <w:rFonts w:ascii="Book Antiqua" w:hAnsi="Book Antiqua" w:cs="Book Antiqua"/>
                <w:b/>
                <w:color w:val="auto"/>
                <w:sz w:val="24"/>
                <w:szCs w:val="24"/>
              </w:rPr>
              <w:t>979)</w:t>
            </w:r>
          </w:p>
        </w:tc>
      </w:tr>
      <w:tr w:rsidR="00932A95" w:rsidRPr="00932A95" w14:paraId="25F4D983" w14:textId="77777777" w:rsidTr="003E2A8D">
        <w:trPr>
          <w:trHeight w:val="447"/>
        </w:trPr>
        <w:tc>
          <w:tcPr>
            <w:tcW w:w="3871" w:type="dxa"/>
            <w:vMerge/>
            <w:tcBorders>
              <w:top w:val="nil"/>
              <w:bottom w:val="single" w:sz="4" w:space="0" w:color="auto"/>
            </w:tcBorders>
            <w:shd w:val="clear" w:color="auto" w:fill="auto"/>
            <w:tcMar>
              <w:top w:w="100" w:type="dxa"/>
              <w:left w:w="100" w:type="dxa"/>
              <w:bottom w:w="100" w:type="dxa"/>
              <w:right w:w="100" w:type="dxa"/>
            </w:tcMar>
          </w:tcPr>
          <w:p w14:paraId="06F20E0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5" w:type="dxa"/>
            <w:vMerge/>
            <w:tcBorders>
              <w:top w:val="nil"/>
              <w:bottom w:val="single" w:sz="4" w:space="0" w:color="auto"/>
            </w:tcBorders>
            <w:shd w:val="clear" w:color="auto" w:fill="auto"/>
            <w:tcMar>
              <w:top w:w="100" w:type="dxa"/>
              <w:left w:w="100" w:type="dxa"/>
              <w:bottom w:w="100" w:type="dxa"/>
              <w:right w:w="100" w:type="dxa"/>
            </w:tcMar>
          </w:tcPr>
          <w:p w14:paraId="0F107A4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786" w:type="dxa"/>
            <w:vMerge/>
            <w:tcBorders>
              <w:top w:val="nil"/>
              <w:bottom w:val="single" w:sz="4" w:space="0" w:color="auto"/>
            </w:tcBorders>
            <w:shd w:val="clear" w:color="auto" w:fill="auto"/>
            <w:tcMar>
              <w:top w:w="100" w:type="dxa"/>
              <w:left w:w="100" w:type="dxa"/>
              <w:bottom w:w="100" w:type="dxa"/>
              <w:right w:w="100" w:type="dxa"/>
            </w:tcMar>
          </w:tcPr>
          <w:p w14:paraId="0630EDC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vMerge/>
            <w:tcBorders>
              <w:top w:val="nil"/>
              <w:bottom w:val="single" w:sz="4" w:space="0" w:color="auto"/>
            </w:tcBorders>
            <w:shd w:val="clear" w:color="auto" w:fill="auto"/>
            <w:tcMar>
              <w:top w:w="100" w:type="dxa"/>
              <w:left w:w="100" w:type="dxa"/>
              <w:bottom w:w="100" w:type="dxa"/>
              <w:right w:w="100" w:type="dxa"/>
            </w:tcMar>
          </w:tcPr>
          <w:p w14:paraId="1E1EFDA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22C7DD07" w14:textId="77777777" w:rsidTr="00F239AF">
        <w:trPr>
          <w:trHeight w:val="167"/>
        </w:trPr>
        <w:tc>
          <w:tcPr>
            <w:tcW w:w="3871" w:type="dxa"/>
            <w:tcBorders>
              <w:top w:val="single" w:sz="4" w:space="0" w:color="auto"/>
            </w:tcBorders>
            <w:shd w:val="clear" w:color="auto" w:fill="auto"/>
            <w:tcMar>
              <w:top w:w="100" w:type="dxa"/>
              <w:left w:w="100" w:type="dxa"/>
              <w:bottom w:w="100" w:type="dxa"/>
              <w:right w:w="100" w:type="dxa"/>
            </w:tcMar>
            <w:vAlign w:val="bottom"/>
          </w:tcPr>
          <w:p w14:paraId="3D495021" w14:textId="77777777" w:rsidR="0011433B" w:rsidRPr="00932A95" w:rsidRDefault="002F52BB" w:rsidP="00374FC0">
            <w:pPr>
              <w:spacing w:line="360" w:lineRule="auto"/>
              <w:jc w:val="both"/>
              <w:rPr>
                <w:rFonts w:ascii="Book Antiqua" w:hAnsi="Book Antiqua" w:cs="Book Antiqua"/>
                <w:color w:val="auto"/>
                <w:sz w:val="24"/>
                <w:szCs w:val="24"/>
                <w:vertAlign w:val="superscript"/>
              </w:rPr>
            </w:pPr>
            <w:r w:rsidRPr="00932A95">
              <w:rPr>
                <w:rFonts w:ascii="Book Antiqua" w:hAnsi="Book Antiqua" w:cs="Book Antiqua"/>
                <w:color w:val="auto"/>
                <w:sz w:val="24"/>
                <w:szCs w:val="24"/>
              </w:rPr>
              <w:t>Elixhauser comorbidities</w:t>
            </w:r>
            <w:r w:rsidRPr="00932A95">
              <w:rPr>
                <w:rFonts w:ascii="Book Antiqua" w:hAnsi="Book Antiqua" w:cs="Book Antiqua"/>
                <w:color w:val="auto"/>
                <w:sz w:val="24"/>
                <w:szCs w:val="24"/>
                <w:vertAlign w:val="superscript"/>
              </w:rPr>
              <w:t>a</w:t>
            </w:r>
          </w:p>
        </w:tc>
        <w:tc>
          <w:tcPr>
            <w:tcW w:w="1595" w:type="dxa"/>
            <w:tcBorders>
              <w:top w:val="single" w:sz="4" w:space="0" w:color="auto"/>
            </w:tcBorders>
            <w:shd w:val="clear" w:color="auto" w:fill="auto"/>
            <w:tcMar>
              <w:top w:w="100" w:type="dxa"/>
              <w:left w:w="100" w:type="dxa"/>
              <w:bottom w:w="100" w:type="dxa"/>
              <w:right w:w="100" w:type="dxa"/>
            </w:tcMar>
            <w:vAlign w:val="bottom"/>
          </w:tcPr>
          <w:p w14:paraId="4093DE26"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86" w:type="dxa"/>
            <w:tcBorders>
              <w:top w:val="single" w:sz="4" w:space="0" w:color="auto"/>
            </w:tcBorders>
            <w:shd w:val="clear" w:color="auto" w:fill="auto"/>
            <w:tcMar>
              <w:top w:w="100" w:type="dxa"/>
              <w:left w:w="100" w:type="dxa"/>
              <w:bottom w:w="100" w:type="dxa"/>
              <w:right w:w="100" w:type="dxa"/>
            </w:tcMar>
            <w:vAlign w:val="bottom"/>
          </w:tcPr>
          <w:p w14:paraId="03BE41A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tcBorders>
              <w:top w:val="single" w:sz="4" w:space="0" w:color="auto"/>
            </w:tcBorders>
            <w:shd w:val="clear" w:color="auto" w:fill="auto"/>
            <w:tcMar>
              <w:top w:w="100" w:type="dxa"/>
              <w:left w:w="100" w:type="dxa"/>
              <w:bottom w:w="100" w:type="dxa"/>
              <w:right w:w="100" w:type="dxa"/>
            </w:tcMar>
            <w:vAlign w:val="bottom"/>
          </w:tcPr>
          <w:p w14:paraId="34EA7CF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5876B87C" w14:textId="77777777" w:rsidTr="00F239AF">
        <w:trPr>
          <w:trHeight w:val="25"/>
        </w:trPr>
        <w:tc>
          <w:tcPr>
            <w:tcW w:w="3871" w:type="dxa"/>
            <w:shd w:val="clear" w:color="auto" w:fill="auto"/>
            <w:tcMar>
              <w:top w:w="100" w:type="dxa"/>
              <w:left w:w="100" w:type="dxa"/>
              <w:bottom w:w="100" w:type="dxa"/>
              <w:right w:w="100" w:type="dxa"/>
            </w:tcMar>
            <w:vAlign w:val="bottom"/>
          </w:tcPr>
          <w:p w14:paraId="6877273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0</w:t>
            </w:r>
          </w:p>
        </w:tc>
        <w:tc>
          <w:tcPr>
            <w:tcW w:w="1595" w:type="dxa"/>
            <w:shd w:val="clear" w:color="auto" w:fill="auto"/>
            <w:tcMar>
              <w:top w:w="100" w:type="dxa"/>
              <w:left w:w="100" w:type="dxa"/>
              <w:bottom w:w="100" w:type="dxa"/>
              <w:right w:w="100" w:type="dxa"/>
            </w:tcMar>
            <w:vAlign w:val="bottom"/>
          </w:tcPr>
          <w:p w14:paraId="3E28425F" w14:textId="5F17FC94"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2568 (</w:t>
            </w:r>
            <w:r w:rsidR="002F52BB" w:rsidRPr="00932A95">
              <w:rPr>
                <w:rFonts w:ascii="Book Antiqua" w:hAnsi="Book Antiqua" w:cs="Book Antiqua"/>
                <w:color w:val="auto"/>
                <w:sz w:val="24"/>
                <w:szCs w:val="24"/>
              </w:rPr>
              <w:t>4.4</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298704BD" w14:textId="21505A6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1398 (</w:t>
            </w:r>
            <w:r w:rsidR="002F52BB" w:rsidRPr="00932A95">
              <w:rPr>
                <w:rFonts w:ascii="Book Antiqua" w:hAnsi="Book Antiqua" w:cs="Book Antiqua"/>
                <w:color w:val="auto"/>
                <w:sz w:val="24"/>
                <w:szCs w:val="24"/>
              </w:rPr>
              <w:t>4.6</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3BCD926A" w14:textId="4EF65604"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1175 (</w:t>
            </w:r>
            <w:r w:rsidR="002F52BB" w:rsidRPr="00932A95">
              <w:rPr>
                <w:rFonts w:ascii="Book Antiqua" w:hAnsi="Book Antiqua" w:cs="Book Antiqua"/>
                <w:color w:val="auto"/>
                <w:sz w:val="24"/>
                <w:szCs w:val="24"/>
              </w:rPr>
              <w:t>4.2</w:t>
            </w:r>
            <w:r>
              <w:rPr>
                <w:rFonts w:ascii="Book Antiqua" w:hAnsi="Book Antiqua" w:cs="Book Antiqua"/>
                <w:color w:val="auto"/>
                <w:sz w:val="24"/>
                <w:szCs w:val="24"/>
              </w:rPr>
              <w:t>)</w:t>
            </w:r>
          </w:p>
        </w:tc>
      </w:tr>
      <w:tr w:rsidR="00932A95" w:rsidRPr="00932A95" w14:paraId="149297B6" w14:textId="77777777" w:rsidTr="00F239AF">
        <w:trPr>
          <w:trHeight w:val="25"/>
        </w:trPr>
        <w:tc>
          <w:tcPr>
            <w:tcW w:w="3871" w:type="dxa"/>
            <w:shd w:val="clear" w:color="auto" w:fill="auto"/>
            <w:tcMar>
              <w:top w:w="100" w:type="dxa"/>
              <w:left w:w="100" w:type="dxa"/>
              <w:bottom w:w="100" w:type="dxa"/>
              <w:right w:w="100" w:type="dxa"/>
            </w:tcMar>
            <w:vAlign w:val="bottom"/>
          </w:tcPr>
          <w:p w14:paraId="5D904DE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1</w:t>
            </w:r>
          </w:p>
        </w:tc>
        <w:tc>
          <w:tcPr>
            <w:tcW w:w="1595" w:type="dxa"/>
            <w:shd w:val="clear" w:color="auto" w:fill="auto"/>
            <w:tcMar>
              <w:top w:w="100" w:type="dxa"/>
              <w:left w:w="100" w:type="dxa"/>
              <w:bottom w:w="100" w:type="dxa"/>
              <w:right w:w="100" w:type="dxa"/>
            </w:tcMar>
            <w:vAlign w:val="bottom"/>
          </w:tcPr>
          <w:p w14:paraId="040A77FC" w14:textId="5970B20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8929 (</w:t>
            </w:r>
            <w:r w:rsidR="002F52BB" w:rsidRPr="00932A95">
              <w:rPr>
                <w:rFonts w:ascii="Book Antiqua" w:hAnsi="Book Antiqua" w:cs="Book Antiqua"/>
                <w:color w:val="auto"/>
                <w:sz w:val="24"/>
                <w:szCs w:val="24"/>
              </w:rPr>
              <w:t>15.3</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20A9ADD4" w14:textId="4F9299D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4679 (</w:t>
            </w:r>
            <w:r w:rsidR="002F52BB" w:rsidRPr="00932A95">
              <w:rPr>
                <w:rFonts w:ascii="Book Antiqua" w:hAnsi="Book Antiqua" w:cs="Book Antiqua"/>
                <w:color w:val="auto"/>
                <w:sz w:val="24"/>
                <w:szCs w:val="24"/>
              </w:rPr>
              <w:t>15.4</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87E6918" w14:textId="5B4EBB2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4281 (</w:t>
            </w:r>
            <w:r w:rsidR="002F52BB" w:rsidRPr="00932A95">
              <w:rPr>
                <w:rFonts w:ascii="Book Antiqua" w:hAnsi="Book Antiqua" w:cs="Book Antiqua"/>
                <w:color w:val="auto"/>
                <w:sz w:val="24"/>
                <w:szCs w:val="24"/>
              </w:rPr>
              <w:t>15.3</w:t>
            </w:r>
            <w:r>
              <w:rPr>
                <w:rFonts w:ascii="Book Antiqua" w:hAnsi="Book Antiqua" w:cs="Book Antiqua"/>
                <w:color w:val="auto"/>
                <w:sz w:val="24"/>
                <w:szCs w:val="24"/>
              </w:rPr>
              <w:t>)</w:t>
            </w:r>
          </w:p>
        </w:tc>
      </w:tr>
      <w:tr w:rsidR="00932A95" w:rsidRPr="00932A95" w14:paraId="73638DF1" w14:textId="77777777" w:rsidTr="00F239AF">
        <w:trPr>
          <w:trHeight w:val="25"/>
        </w:trPr>
        <w:tc>
          <w:tcPr>
            <w:tcW w:w="3871" w:type="dxa"/>
            <w:shd w:val="clear" w:color="auto" w:fill="auto"/>
            <w:tcMar>
              <w:top w:w="100" w:type="dxa"/>
              <w:left w:w="100" w:type="dxa"/>
              <w:bottom w:w="100" w:type="dxa"/>
              <w:right w:w="100" w:type="dxa"/>
            </w:tcMar>
            <w:vAlign w:val="bottom"/>
          </w:tcPr>
          <w:p w14:paraId="56D2DA5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2</w:t>
            </w:r>
          </w:p>
        </w:tc>
        <w:tc>
          <w:tcPr>
            <w:tcW w:w="1595" w:type="dxa"/>
            <w:shd w:val="clear" w:color="auto" w:fill="auto"/>
            <w:tcMar>
              <w:top w:w="100" w:type="dxa"/>
              <w:left w:w="100" w:type="dxa"/>
              <w:bottom w:w="100" w:type="dxa"/>
              <w:right w:w="100" w:type="dxa"/>
            </w:tcMar>
            <w:vAlign w:val="bottom"/>
          </w:tcPr>
          <w:p w14:paraId="720FF2EE" w14:textId="66C91DE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14707 (</w:t>
            </w:r>
            <w:r w:rsidR="002F52BB" w:rsidRPr="00932A95">
              <w:rPr>
                <w:rFonts w:ascii="Book Antiqua" w:hAnsi="Book Antiqua" w:cs="Book Antiqua"/>
                <w:color w:val="auto"/>
                <w:sz w:val="24"/>
                <w:szCs w:val="24"/>
              </w:rPr>
              <w:t>25.2</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68E789CC" w14:textId="4623FFA1"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7565 (</w:t>
            </w:r>
            <w:r w:rsidR="002F52BB" w:rsidRPr="00932A95">
              <w:rPr>
                <w:rFonts w:ascii="Book Antiqua" w:hAnsi="Book Antiqua" w:cs="Book Antiqua"/>
                <w:color w:val="auto"/>
                <w:sz w:val="24"/>
                <w:szCs w:val="24"/>
              </w:rPr>
              <w:t>24.9</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159E4256" w14:textId="766FCAD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7135 (</w:t>
            </w:r>
            <w:r w:rsidR="002F52BB" w:rsidRPr="00932A95">
              <w:rPr>
                <w:rFonts w:ascii="Book Antiqua" w:hAnsi="Book Antiqua" w:cs="Book Antiqua"/>
                <w:color w:val="auto"/>
                <w:sz w:val="24"/>
                <w:szCs w:val="24"/>
              </w:rPr>
              <w:t>25.5</w:t>
            </w:r>
            <w:r>
              <w:rPr>
                <w:rFonts w:ascii="Book Antiqua" w:hAnsi="Book Antiqua" w:cs="Book Antiqua"/>
                <w:color w:val="auto"/>
                <w:sz w:val="24"/>
                <w:szCs w:val="24"/>
              </w:rPr>
              <w:t>)</w:t>
            </w:r>
          </w:p>
        </w:tc>
      </w:tr>
      <w:tr w:rsidR="00932A95" w:rsidRPr="00932A95" w14:paraId="7064B403" w14:textId="77777777" w:rsidTr="00F239AF">
        <w:trPr>
          <w:trHeight w:val="25"/>
        </w:trPr>
        <w:tc>
          <w:tcPr>
            <w:tcW w:w="3871" w:type="dxa"/>
            <w:shd w:val="clear" w:color="auto" w:fill="auto"/>
            <w:tcMar>
              <w:top w:w="100" w:type="dxa"/>
              <w:left w:w="100" w:type="dxa"/>
              <w:bottom w:w="100" w:type="dxa"/>
              <w:right w:w="100" w:type="dxa"/>
            </w:tcMar>
            <w:vAlign w:val="bottom"/>
          </w:tcPr>
          <w:p w14:paraId="4D49594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eastAsia="Arial Unicode MS" w:hAnsi="Book Antiqua" w:cs="Book Antiqua"/>
                <w:color w:val="auto"/>
                <w:sz w:val="24"/>
                <w:szCs w:val="24"/>
              </w:rPr>
              <w:t>≥ 3</w:t>
            </w:r>
          </w:p>
        </w:tc>
        <w:tc>
          <w:tcPr>
            <w:tcW w:w="1595" w:type="dxa"/>
            <w:shd w:val="clear" w:color="auto" w:fill="auto"/>
            <w:tcMar>
              <w:top w:w="100" w:type="dxa"/>
              <w:left w:w="100" w:type="dxa"/>
              <w:bottom w:w="100" w:type="dxa"/>
              <w:right w:w="100" w:type="dxa"/>
            </w:tcMar>
            <w:vAlign w:val="bottom"/>
          </w:tcPr>
          <w:p w14:paraId="11F3B777" w14:textId="2D7C3CC7"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32157 (</w:t>
            </w:r>
            <w:r w:rsidR="002F52BB" w:rsidRPr="00932A95">
              <w:rPr>
                <w:rFonts w:ascii="Book Antiqua" w:hAnsi="Book Antiqua" w:cs="Book Antiqua"/>
                <w:color w:val="auto"/>
                <w:sz w:val="24"/>
                <w:szCs w:val="24"/>
              </w:rPr>
              <w:t>55.1</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DD21790" w14:textId="6E12A45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16740 (</w:t>
            </w:r>
            <w:r w:rsidR="002F52BB" w:rsidRPr="00932A95">
              <w:rPr>
                <w:rFonts w:ascii="Book Antiqua" w:hAnsi="Book Antiqua" w:cs="Book Antiqua"/>
                <w:color w:val="auto"/>
                <w:sz w:val="24"/>
                <w:szCs w:val="24"/>
              </w:rPr>
              <w:t>55.1</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FDEC628" w14:textId="39C5B954"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15388 (</w:t>
            </w:r>
            <w:r w:rsidR="002F52BB" w:rsidRPr="00932A95">
              <w:rPr>
                <w:rFonts w:ascii="Book Antiqua" w:hAnsi="Book Antiqua" w:cs="Book Antiqua"/>
                <w:color w:val="auto"/>
                <w:sz w:val="24"/>
                <w:szCs w:val="24"/>
              </w:rPr>
              <w:t>55.0</w:t>
            </w:r>
            <w:r>
              <w:rPr>
                <w:rFonts w:ascii="Book Antiqua" w:hAnsi="Book Antiqua" w:cs="Book Antiqua"/>
                <w:color w:val="auto"/>
                <w:sz w:val="24"/>
                <w:szCs w:val="24"/>
              </w:rPr>
              <w:t>)</w:t>
            </w:r>
          </w:p>
        </w:tc>
      </w:tr>
      <w:tr w:rsidR="00932A95" w:rsidRPr="00932A95" w14:paraId="1955A715" w14:textId="77777777" w:rsidTr="00F239AF">
        <w:trPr>
          <w:trHeight w:val="440"/>
        </w:trPr>
        <w:tc>
          <w:tcPr>
            <w:tcW w:w="3871" w:type="dxa"/>
            <w:shd w:val="clear" w:color="auto" w:fill="auto"/>
            <w:tcMar>
              <w:top w:w="100" w:type="dxa"/>
              <w:left w:w="100" w:type="dxa"/>
              <w:bottom w:w="100" w:type="dxa"/>
              <w:right w:w="100" w:type="dxa"/>
            </w:tcMar>
            <w:vAlign w:val="bottom"/>
          </w:tcPr>
          <w:p w14:paraId="625ABBD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Liver comorbidities</w:t>
            </w:r>
          </w:p>
        </w:tc>
        <w:tc>
          <w:tcPr>
            <w:tcW w:w="1595" w:type="dxa"/>
            <w:shd w:val="clear" w:color="auto" w:fill="auto"/>
            <w:tcMar>
              <w:top w:w="100" w:type="dxa"/>
              <w:left w:w="100" w:type="dxa"/>
              <w:bottom w:w="100" w:type="dxa"/>
              <w:right w:w="100" w:type="dxa"/>
            </w:tcMar>
            <w:vAlign w:val="bottom"/>
          </w:tcPr>
          <w:p w14:paraId="4DE61953"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86" w:type="dxa"/>
            <w:shd w:val="clear" w:color="auto" w:fill="auto"/>
            <w:tcMar>
              <w:top w:w="100" w:type="dxa"/>
              <w:left w:w="100" w:type="dxa"/>
              <w:bottom w:w="100" w:type="dxa"/>
              <w:right w:w="100" w:type="dxa"/>
            </w:tcMar>
            <w:vAlign w:val="bottom"/>
          </w:tcPr>
          <w:p w14:paraId="0F6671A7"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shd w:val="clear" w:color="auto" w:fill="auto"/>
            <w:tcMar>
              <w:top w:w="100" w:type="dxa"/>
              <w:left w:w="100" w:type="dxa"/>
              <w:bottom w:w="100" w:type="dxa"/>
              <w:right w:w="100" w:type="dxa"/>
            </w:tcMar>
            <w:vAlign w:val="bottom"/>
          </w:tcPr>
          <w:p w14:paraId="6822C7B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63E58C18" w14:textId="77777777" w:rsidTr="00F239AF">
        <w:trPr>
          <w:trHeight w:val="25"/>
        </w:trPr>
        <w:tc>
          <w:tcPr>
            <w:tcW w:w="3871" w:type="dxa"/>
            <w:shd w:val="clear" w:color="auto" w:fill="auto"/>
            <w:tcMar>
              <w:top w:w="100" w:type="dxa"/>
              <w:left w:w="100" w:type="dxa"/>
              <w:bottom w:w="100" w:type="dxa"/>
              <w:right w:w="100" w:type="dxa"/>
            </w:tcMar>
            <w:vAlign w:val="bottom"/>
          </w:tcPr>
          <w:p w14:paraId="05F7890E"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Alcoholic cirrhosis</w:t>
            </w:r>
          </w:p>
        </w:tc>
        <w:tc>
          <w:tcPr>
            <w:tcW w:w="1595" w:type="dxa"/>
            <w:shd w:val="clear" w:color="auto" w:fill="auto"/>
            <w:tcMar>
              <w:top w:w="100" w:type="dxa"/>
              <w:left w:w="100" w:type="dxa"/>
              <w:bottom w:w="100" w:type="dxa"/>
              <w:right w:w="100" w:type="dxa"/>
            </w:tcMar>
            <w:vAlign w:val="bottom"/>
          </w:tcPr>
          <w:p w14:paraId="045188F3" w14:textId="436408CA"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30232 (</w:t>
            </w:r>
            <w:r w:rsidR="002F52BB" w:rsidRPr="00932A95">
              <w:rPr>
                <w:rFonts w:ascii="Book Antiqua" w:hAnsi="Book Antiqua" w:cs="Book Antiqua"/>
                <w:color w:val="auto"/>
                <w:sz w:val="24"/>
                <w:szCs w:val="24"/>
              </w:rPr>
              <w:t>51.8</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6FF81DB" w14:textId="5C38A508"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16102 (</w:t>
            </w:r>
            <w:r w:rsidR="002F52BB" w:rsidRPr="00932A95">
              <w:rPr>
                <w:rFonts w:ascii="Book Antiqua" w:hAnsi="Book Antiqua" w:cs="Book Antiqua"/>
                <w:color w:val="auto"/>
                <w:sz w:val="24"/>
                <w:szCs w:val="24"/>
              </w:rPr>
              <w:t>53.0</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53259582" w14:textId="7163A4E7"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14157 (</w:t>
            </w:r>
            <w:r w:rsidR="002F52BB" w:rsidRPr="00932A95">
              <w:rPr>
                <w:rFonts w:ascii="Book Antiqua" w:hAnsi="Book Antiqua" w:cs="Book Antiqua"/>
                <w:color w:val="auto"/>
                <w:sz w:val="24"/>
                <w:szCs w:val="24"/>
              </w:rPr>
              <w:t>50.6</w:t>
            </w:r>
            <w:r>
              <w:rPr>
                <w:rFonts w:ascii="Book Antiqua" w:hAnsi="Book Antiqua" w:cs="Book Antiqua"/>
                <w:color w:val="auto"/>
                <w:sz w:val="24"/>
                <w:szCs w:val="24"/>
              </w:rPr>
              <w:t>)</w:t>
            </w:r>
          </w:p>
        </w:tc>
      </w:tr>
      <w:tr w:rsidR="00932A95" w:rsidRPr="00932A95" w14:paraId="7FC3FF46" w14:textId="77777777" w:rsidTr="00F239AF">
        <w:trPr>
          <w:trHeight w:val="25"/>
        </w:trPr>
        <w:tc>
          <w:tcPr>
            <w:tcW w:w="3871" w:type="dxa"/>
            <w:shd w:val="clear" w:color="auto" w:fill="auto"/>
            <w:tcMar>
              <w:top w:w="100" w:type="dxa"/>
              <w:left w:w="100" w:type="dxa"/>
              <w:bottom w:w="100" w:type="dxa"/>
              <w:right w:w="100" w:type="dxa"/>
            </w:tcMar>
            <w:vAlign w:val="bottom"/>
          </w:tcPr>
          <w:p w14:paraId="783C55D3"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Ascites</w:t>
            </w:r>
          </w:p>
        </w:tc>
        <w:tc>
          <w:tcPr>
            <w:tcW w:w="1595" w:type="dxa"/>
            <w:shd w:val="clear" w:color="auto" w:fill="auto"/>
            <w:tcMar>
              <w:top w:w="100" w:type="dxa"/>
              <w:left w:w="100" w:type="dxa"/>
              <w:bottom w:w="100" w:type="dxa"/>
              <w:right w:w="100" w:type="dxa"/>
            </w:tcMar>
            <w:vAlign w:val="bottom"/>
          </w:tcPr>
          <w:p w14:paraId="3DB56914" w14:textId="54AF291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19551 (</w:t>
            </w:r>
            <w:r w:rsidR="002F52BB" w:rsidRPr="00932A95">
              <w:rPr>
                <w:rFonts w:ascii="Book Antiqua" w:hAnsi="Book Antiqua" w:cs="Book Antiqua"/>
                <w:color w:val="auto"/>
                <w:sz w:val="24"/>
                <w:szCs w:val="24"/>
              </w:rPr>
              <w:t>33.5</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738CED9E" w14:textId="24E7198B"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10998 (</w:t>
            </w:r>
            <w:r w:rsidR="002F52BB" w:rsidRPr="00932A95">
              <w:rPr>
                <w:rFonts w:ascii="Book Antiqua" w:hAnsi="Book Antiqua" w:cs="Book Antiqua"/>
                <w:color w:val="auto"/>
                <w:sz w:val="24"/>
                <w:szCs w:val="24"/>
              </w:rPr>
              <w:t>36.2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084BFF0" w14:textId="16BA2682"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8534 (</w:t>
            </w:r>
            <w:r w:rsidR="002F52BB" w:rsidRPr="00932A95">
              <w:rPr>
                <w:rFonts w:ascii="Book Antiqua" w:hAnsi="Book Antiqua" w:cs="Book Antiqua"/>
                <w:color w:val="auto"/>
                <w:sz w:val="24"/>
                <w:szCs w:val="24"/>
              </w:rPr>
              <w:t>30.5</w:t>
            </w:r>
            <w:r>
              <w:rPr>
                <w:rFonts w:ascii="Book Antiqua" w:hAnsi="Book Antiqua" w:cs="Book Antiqua"/>
                <w:color w:val="auto"/>
                <w:sz w:val="24"/>
                <w:szCs w:val="24"/>
              </w:rPr>
              <w:t>)</w:t>
            </w:r>
          </w:p>
        </w:tc>
      </w:tr>
      <w:tr w:rsidR="00932A95" w:rsidRPr="00932A95" w14:paraId="42A78494" w14:textId="77777777" w:rsidTr="00F239AF">
        <w:trPr>
          <w:trHeight w:val="25"/>
        </w:trPr>
        <w:tc>
          <w:tcPr>
            <w:tcW w:w="3871" w:type="dxa"/>
            <w:shd w:val="clear" w:color="auto" w:fill="auto"/>
            <w:tcMar>
              <w:top w:w="100" w:type="dxa"/>
              <w:left w:w="100" w:type="dxa"/>
              <w:bottom w:w="100" w:type="dxa"/>
              <w:right w:w="100" w:type="dxa"/>
            </w:tcMar>
            <w:vAlign w:val="bottom"/>
          </w:tcPr>
          <w:p w14:paraId="1D251D44"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Hepatic encephalopathy</w:t>
            </w:r>
          </w:p>
        </w:tc>
        <w:tc>
          <w:tcPr>
            <w:tcW w:w="1595" w:type="dxa"/>
            <w:shd w:val="clear" w:color="auto" w:fill="auto"/>
            <w:tcMar>
              <w:top w:w="100" w:type="dxa"/>
              <w:left w:w="100" w:type="dxa"/>
              <w:bottom w:w="100" w:type="dxa"/>
              <w:right w:w="100" w:type="dxa"/>
            </w:tcMar>
            <w:vAlign w:val="bottom"/>
          </w:tcPr>
          <w:p w14:paraId="33E069E2" w14:textId="4C98BCC9"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9280 (</w:t>
            </w:r>
            <w:r w:rsidR="002F52BB" w:rsidRPr="00932A95">
              <w:rPr>
                <w:rFonts w:ascii="Book Antiqua" w:hAnsi="Book Antiqua" w:cs="Book Antiqua"/>
                <w:color w:val="auto"/>
                <w:sz w:val="24"/>
                <w:szCs w:val="24"/>
              </w:rPr>
              <w:t>15.9</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34AD513" w14:textId="50CBB732"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5286 (</w:t>
            </w:r>
            <w:r w:rsidR="002F52BB" w:rsidRPr="00932A95">
              <w:rPr>
                <w:rFonts w:ascii="Book Antiqua" w:hAnsi="Book Antiqua" w:cs="Book Antiqua"/>
                <w:color w:val="auto"/>
                <w:sz w:val="24"/>
                <w:szCs w:val="24"/>
              </w:rPr>
              <w:t>17.4</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8DD08CE" w14:textId="7E6414FA"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4001 (</w:t>
            </w:r>
            <w:r w:rsidR="002F52BB" w:rsidRPr="00932A95">
              <w:rPr>
                <w:rFonts w:ascii="Book Antiqua" w:hAnsi="Book Antiqua" w:cs="Book Antiqua"/>
                <w:color w:val="auto"/>
                <w:sz w:val="24"/>
                <w:szCs w:val="24"/>
              </w:rPr>
              <w:t>14.3</w:t>
            </w:r>
            <w:r>
              <w:rPr>
                <w:rFonts w:ascii="Book Antiqua" w:hAnsi="Book Antiqua" w:cs="Book Antiqua"/>
                <w:color w:val="auto"/>
                <w:sz w:val="24"/>
                <w:szCs w:val="24"/>
              </w:rPr>
              <w:t>)</w:t>
            </w:r>
          </w:p>
        </w:tc>
      </w:tr>
      <w:tr w:rsidR="00932A95" w:rsidRPr="00932A95" w14:paraId="4154BF40" w14:textId="77777777" w:rsidTr="00F239AF">
        <w:trPr>
          <w:trHeight w:val="25"/>
        </w:trPr>
        <w:tc>
          <w:tcPr>
            <w:tcW w:w="3871" w:type="dxa"/>
            <w:shd w:val="clear" w:color="auto" w:fill="auto"/>
            <w:tcMar>
              <w:top w:w="100" w:type="dxa"/>
              <w:left w:w="100" w:type="dxa"/>
              <w:bottom w:w="100" w:type="dxa"/>
              <w:right w:w="100" w:type="dxa"/>
            </w:tcMar>
            <w:vAlign w:val="bottom"/>
          </w:tcPr>
          <w:p w14:paraId="2F95EF05"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SBP</w:t>
            </w:r>
          </w:p>
        </w:tc>
        <w:tc>
          <w:tcPr>
            <w:tcW w:w="1595" w:type="dxa"/>
            <w:shd w:val="clear" w:color="auto" w:fill="auto"/>
            <w:tcMar>
              <w:top w:w="100" w:type="dxa"/>
              <w:left w:w="100" w:type="dxa"/>
              <w:bottom w:w="100" w:type="dxa"/>
              <w:right w:w="100" w:type="dxa"/>
            </w:tcMar>
            <w:vAlign w:val="bottom"/>
          </w:tcPr>
          <w:p w14:paraId="25FF50B6" w14:textId="0C867129"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1109 (</w:t>
            </w:r>
            <w:r w:rsidR="002F52BB" w:rsidRPr="00932A95">
              <w:rPr>
                <w:rFonts w:ascii="Book Antiqua" w:hAnsi="Book Antiqua" w:cs="Book Antiqua"/>
                <w:color w:val="auto"/>
                <w:sz w:val="24"/>
                <w:szCs w:val="24"/>
              </w:rPr>
              <w:t>1.9</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EC80AF1" w14:textId="323FE0D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760 (</w:t>
            </w:r>
            <w:r w:rsidR="002F52BB" w:rsidRPr="00932A95">
              <w:rPr>
                <w:rFonts w:ascii="Book Antiqua" w:hAnsi="Book Antiqua" w:cs="Book Antiqua"/>
                <w:color w:val="auto"/>
                <w:sz w:val="24"/>
                <w:szCs w:val="24"/>
              </w:rPr>
              <w:t>2.5</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6B589B8F" w14:textId="6085AD29"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336 (</w:t>
            </w:r>
            <w:r w:rsidR="002F52BB" w:rsidRPr="00932A95">
              <w:rPr>
                <w:rFonts w:ascii="Book Antiqua" w:hAnsi="Book Antiqua" w:cs="Book Antiqua"/>
                <w:color w:val="auto"/>
                <w:sz w:val="24"/>
                <w:szCs w:val="24"/>
              </w:rPr>
              <w:t>1.2</w:t>
            </w:r>
            <w:r>
              <w:rPr>
                <w:rFonts w:ascii="Book Antiqua" w:hAnsi="Book Antiqua" w:cs="Book Antiqua"/>
                <w:color w:val="auto"/>
                <w:sz w:val="24"/>
                <w:szCs w:val="24"/>
              </w:rPr>
              <w:t>)</w:t>
            </w:r>
          </w:p>
        </w:tc>
      </w:tr>
      <w:tr w:rsidR="00932A95" w:rsidRPr="00932A95" w14:paraId="5996B2A4" w14:textId="77777777" w:rsidTr="00F239AF">
        <w:trPr>
          <w:trHeight w:val="25"/>
        </w:trPr>
        <w:tc>
          <w:tcPr>
            <w:tcW w:w="3871" w:type="dxa"/>
            <w:shd w:val="clear" w:color="auto" w:fill="auto"/>
            <w:tcMar>
              <w:top w:w="100" w:type="dxa"/>
              <w:left w:w="100" w:type="dxa"/>
              <w:bottom w:w="100" w:type="dxa"/>
              <w:right w:w="100" w:type="dxa"/>
            </w:tcMar>
            <w:vAlign w:val="bottom"/>
          </w:tcPr>
          <w:p w14:paraId="6B39CF4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Hepatorenal syndrome</w:t>
            </w:r>
          </w:p>
        </w:tc>
        <w:tc>
          <w:tcPr>
            <w:tcW w:w="1595" w:type="dxa"/>
            <w:shd w:val="clear" w:color="auto" w:fill="auto"/>
            <w:tcMar>
              <w:top w:w="100" w:type="dxa"/>
              <w:left w:w="100" w:type="dxa"/>
              <w:bottom w:w="100" w:type="dxa"/>
              <w:right w:w="100" w:type="dxa"/>
            </w:tcMar>
            <w:vAlign w:val="bottom"/>
          </w:tcPr>
          <w:p w14:paraId="23D2504E" w14:textId="03A9B029"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1868 (</w:t>
            </w:r>
            <w:r w:rsidR="002F52BB" w:rsidRPr="00932A95">
              <w:rPr>
                <w:rFonts w:ascii="Book Antiqua" w:hAnsi="Book Antiqua" w:cs="Book Antiqua"/>
                <w:color w:val="auto"/>
                <w:sz w:val="24"/>
                <w:szCs w:val="24"/>
              </w:rPr>
              <w:t>3.2</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565F9514" w14:textId="57A2671C"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1276 (</w:t>
            </w:r>
            <w:r w:rsidR="002F52BB" w:rsidRPr="00932A95">
              <w:rPr>
                <w:rFonts w:ascii="Book Antiqua" w:hAnsi="Book Antiqua" w:cs="Book Antiqua"/>
                <w:color w:val="auto"/>
                <w:sz w:val="24"/>
                <w:szCs w:val="24"/>
              </w:rPr>
              <w:t>4.2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BE70AD1" w14:textId="0350DEE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616 (</w:t>
            </w:r>
            <w:r w:rsidR="002F52BB" w:rsidRPr="00932A95">
              <w:rPr>
                <w:rFonts w:ascii="Book Antiqua" w:hAnsi="Book Antiqua" w:cs="Book Antiqua"/>
                <w:color w:val="auto"/>
                <w:sz w:val="24"/>
                <w:szCs w:val="24"/>
              </w:rPr>
              <w:t>2.2</w:t>
            </w:r>
            <w:r>
              <w:rPr>
                <w:rFonts w:ascii="Book Antiqua" w:hAnsi="Book Antiqua" w:cs="Book Antiqua"/>
                <w:color w:val="auto"/>
                <w:sz w:val="24"/>
                <w:szCs w:val="24"/>
              </w:rPr>
              <w:t>)</w:t>
            </w:r>
          </w:p>
        </w:tc>
      </w:tr>
      <w:tr w:rsidR="00932A95" w:rsidRPr="00932A95" w14:paraId="4BB78711" w14:textId="77777777" w:rsidTr="00F239AF">
        <w:trPr>
          <w:trHeight w:val="25"/>
        </w:trPr>
        <w:tc>
          <w:tcPr>
            <w:tcW w:w="3871" w:type="dxa"/>
            <w:shd w:val="clear" w:color="auto" w:fill="auto"/>
            <w:tcMar>
              <w:top w:w="100" w:type="dxa"/>
              <w:left w:w="100" w:type="dxa"/>
              <w:bottom w:w="100" w:type="dxa"/>
              <w:right w:w="100" w:type="dxa"/>
            </w:tcMar>
            <w:vAlign w:val="bottom"/>
          </w:tcPr>
          <w:p w14:paraId="055018B2" w14:textId="77777777" w:rsidR="0011433B" w:rsidRPr="00932A95" w:rsidRDefault="002F52BB" w:rsidP="00374FC0">
            <w:pPr>
              <w:spacing w:line="360" w:lineRule="auto"/>
              <w:ind w:firstLine="520"/>
              <w:jc w:val="both"/>
              <w:rPr>
                <w:rFonts w:ascii="Book Antiqua" w:hAnsi="Book Antiqua" w:cs="Book Antiqua"/>
                <w:color w:val="auto"/>
                <w:sz w:val="24"/>
                <w:szCs w:val="24"/>
                <w:vertAlign w:val="superscript"/>
              </w:rPr>
            </w:pPr>
            <w:r w:rsidRPr="00932A95">
              <w:rPr>
                <w:rFonts w:ascii="Book Antiqua" w:hAnsi="Book Antiqua" w:cs="Book Antiqua"/>
                <w:color w:val="auto"/>
                <w:sz w:val="24"/>
                <w:szCs w:val="24"/>
              </w:rPr>
              <w:t>Coagulopathy</w:t>
            </w:r>
            <w:r w:rsidRPr="00932A95">
              <w:rPr>
                <w:rFonts w:ascii="Book Antiqua" w:hAnsi="Book Antiqua" w:cs="Book Antiqua"/>
                <w:color w:val="auto"/>
                <w:sz w:val="24"/>
                <w:szCs w:val="24"/>
                <w:vertAlign w:val="superscript"/>
              </w:rPr>
              <w:t>a</w:t>
            </w:r>
          </w:p>
        </w:tc>
        <w:tc>
          <w:tcPr>
            <w:tcW w:w="1595" w:type="dxa"/>
            <w:shd w:val="clear" w:color="auto" w:fill="auto"/>
            <w:tcMar>
              <w:top w:w="100" w:type="dxa"/>
              <w:left w:w="100" w:type="dxa"/>
              <w:bottom w:w="100" w:type="dxa"/>
              <w:right w:w="100" w:type="dxa"/>
            </w:tcMar>
            <w:vAlign w:val="bottom"/>
          </w:tcPr>
          <w:p w14:paraId="6CD01358" w14:textId="3623A8DB"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27255 (</w:t>
            </w:r>
            <w:r w:rsidR="002F52BB" w:rsidRPr="00932A95">
              <w:rPr>
                <w:rFonts w:ascii="Book Antiqua" w:hAnsi="Book Antiqua" w:cs="Book Antiqua"/>
                <w:color w:val="auto"/>
                <w:sz w:val="24"/>
                <w:szCs w:val="24"/>
              </w:rPr>
              <w:t>46.7</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0582F708" w14:textId="0C5A7B6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14340 (</w:t>
            </w:r>
            <w:r w:rsidR="002F52BB" w:rsidRPr="00932A95">
              <w:rPr>
                <w:rFonts w:ascii="Book Antiqua" w:hAnsi="Book Antiqua" w:cs="Book Antiqua"/>
                <w:color w:val="auto"/>
                <w:sz w:val="24"/>
                <w:szCs w:val="24"/>
              </w:rPr>
              <w:t>47.2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C4B9C4A" w14:textId="50850C8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12870 (</w:t>
            </w:r>
            <w:r w:rsidR="002F52BB" w:rsidRPr="00932A95">
              <w:rPr>
                <w:rFonts w:ascii="Book Antiqua" w:hAnsi="Book Antiqua" w:cs="Book Antiqua"/>
                <w:color w:val="auto"/>
                <w:sz w:val="24"/>
                <w:szCs w:val="24"/>
              </w:rPr>
              <w:t>46.0</w:t>
            </w:r>
            <w:r>
              <w:rPr>
                <w:rFonts w:ascii="Book Antiqua" w:hAnsi="Book Antiqua" w:cs="Book Antiqua"/>
                <w:color w:val="auto"/>
                <w:sz w:val="24"/>
                <w:szCs w:val="24"/>
              </w:rPr>
              <w:t>)</w:t>
            </w:r>
          </w:p>
        </w:tc>
      </w:tr>
      <w:tr w:rsidR="00932A95" w:rsidRPr="00932A95" w14:paraId="10BC6051" w14:textId="77777777" w:rsidTr="00F239AF">
        <w:trPr>
          <w:trHeight w:val="25"/>
        </w:trPr>
        <w:tc>
          <w:tcPr>
            <w:tcW w:w="3871" w:type="dxa"/>
            <w:shd w:val="clear" w:color="auto" w:fill="auto"/>
            <w:tcMar>
              <w:top w:w="100" w:type="dxa"/>
              <w:left w:w="100" w:type="dxa"/>
              <w:bottom w:w="100" w:type="dxa"/>
              <w:right w:w="100" w:type="dxa"/>
            </w:tcMar>
            <w:vAlign w:val="bottom"/>
          </w:tcPr>
          <w:p w14:paraId="5AC57C41"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Hepatocellular carcinoma</w:t>
            </w:r>
          </w:p>
        </w:tc>
        <w:tc>
          <w:tcPr>
            <w:tcW w:w="1595" w:type="dxa"/>
            <w:shd w:val="clear" w:color="auto" w:fill="auto"/>
            <w:tcMar>
              <w:top w:w="100" w:type="dxa"/>
              <w:left w:w="100" w:type="dxa"/>
              <w:bottom w:w="100" w:type="dxa"/>
              <w:right w:w="100" w:type="dxa"/>
            </w:tcMar>
            <w:vAlign w:val="bottom"/>
          </w:tcPr>
          <w:p w14:paraId="653CA4B9" w14:textId="7406D8DD"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2101 (</w:t>
            </w:r>
            <w:r w:rsidR="002F52BB" w:rsidRPr="00932A95">
              <w:rPr>
                <w:rFonts w:ascii="Book Antiqua" w:hAnsi="Book Antiqua" w:cs="Book Antiqua"/>
                <w:color w:val="auto"/>
                <w:sz w:val="24"/>
                <w:szCs w:val="24"/>
              </w:rPr>
              <w:t>3.6</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6288489D" w14:textId="063E1823"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1398 (</w:t>
            </w:r>
            <w:r w:rsidR="002F52BB" w:rsidRPr="00932A95">
              <w:rPr>
                <w:rFonts w:ascii="Book Antiqua" w:hAnsi="Book Antiqua" w:cs="Book Antiqua"/>
                <w:color w:val="auto"/>
                <w:sz w:val="24"/>
                <w:szCs w:val="24"/>
              </w:rPr>
              <w:t>4.6</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1568F18" w14:textId="1B3F70F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699 (</w:t>
            </w:r>
            <w:r w:rsidR="002F52BB" w:rsidRPr="00932A95">
              <w:rPr>
                <w:rFonts w:ascii="Book Antiqua" w:hAnsi="Book Antiqua" w:cs="Book Antiqua"/>
                <w:color w:val="auto"/>
                <w:sz w:val="24"/>
                <w:szCs w:val="24"/>
              </w:rPr>
              <w:t>2.5</w:t>
            </w:r>
            <w:r>
              <w:rPr>
                <w:rFonts w:ascii="Book Antiqua" w:hAnsi="Book Antiqua" w:cs="Book Antiqua"/>
                <w:color w:val="auto"/>
                <w:sz w:val="24"/>
                <w:szCs w:val="24"/>
              </w:rPr>
              <w:t>)</w:t>
            </w:r>
          </w:p>
        </w:tc>
      </w:tr>
      <w:tr w:rsidR="00932A95" w:rsidRPr="00932A95" w14:paraId="409C72AF" w14:textId="77777777" w:rsidTr="00F239AF">
        <w:trPr>
          <w:trHeight w:val="25"/>
        </w:trPr>
        <w:tc>
          <w:tcPr>
            <w:tcW w:w="3871" w:type="dxa"/>
            <w:shd w:val="clear" w:color="auto" w:fill="auto"/>
            <w:tcMar>
              <w:top w:w="100" w:type="dxa"/>
              <w:left w:w="100" w:type="dxa"/>
              <w:bottom w:w="100" w:type="dxa"/>
              <w:right w:w="100" w:type="dxa"/>
            </w:tcMar>
            <w:vAlign w:val="bottom"/>
          </w:tcPr>
          <w:p w14:paraId="25C7B9A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Management</w:t>
            </w:r>
          </w:p>
        </w:tc>
        <w:tc>
          <w:tcPr>
            <w:tcW w:w="1595" w:type="dxa"/>
            <w:shd w:val="clear" w:color="auto" w:fill="auto"/>
            <w:tcMar>
              <w:top w:w="100" w:type="dxa"/>
              <w:left w:w="100" w:type="dxa"/>
              <w:bottom w:w="100" w:type="dxa"/>
              <w:right w:w="100" w:type="dxa"/>
            </w:tcMar>
            <w:vAlign w:val="bottom"/>
          </w:tcPr>
          <w:p w14:paraId="7A2AE8CD"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86" w:type="dxa"/>
            <w:shd w:val="clear" w:color="auto" w:fill="auto"/>
            <w:tcMar>
              <w:top w:w="100" w:type="dxa"/>
              <w:left w:w="100" w:type="dxa"/>
              <w:bottom w:w="100" w:type="dxa"/>
              <w:right w:w="100" w:type="dxa"/>
            </w:tcMar>
            <w:vAlign w:val="bottom"/>
          </w:tcPr>
          <w:p w14:paraId="5B320133"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shd w:val="clear" w:color="auto" w:fill="auto"/>
            <w:tcMar>
              <w:top w:w="100" w:type="dxa"/>
              <w:left w:w="100" w:type="dxa"/>
              <w:bottom w:w="100" w:type="dxa"/>
              <w:right w:w="100" w:type="dxa"/>
            </w:tcMar>
            <w:vAlign w:val="bottom"/>
          </w:tcPr>
          <w:p w14:paraId="2864DDC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5256D984" w14:textId="77777777" w:rsidTr="00F239AF">
        <w:trPr>
          <w:trHeight w:val="25"/>
        </w:trPr>
        <w:tc>
          <w:tcPr>
            <w:tcW w:w="3871" w:type="dxa"/>
            <w:shd w:val="clear" w:color="auto" w:fill="auto"/>
            <w:tcMar>
              <w:top w:w="100" w:type="dxa"/>
              <w:left w:w="100" w:type="dxa"/>
              <w:bottom w:w="100" w:type="dxa"/>
              <w:right w:w="100" w:type="dxa"/>
            </w:tcMar>
            <w:vAlign w:val="bottom"/>
          </w:tcPr>
          <w:p w14:paraId="4CE86C2E"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Blood transfusion</w:t>
            </w:r>
          </w:p>
        </w:tc>
        <w:tc>
          <w:tcPr>
            <w:tcW w:w="1595" w:type="dxa"/>
            <w:shd w:val="clear" w:color="auto" w:fill="auto"/>
            <w:tcMar>
              <w:top w:w="100" w:type="dxa"/>
              <w:left w:w="100" w:type="dxa"/>
              <w:bottom w:w="100" w:type="dxa"/>
              <w:right w:w="100" w:type="dxa"/>
            </w:tcMar>
            <w:vAlign w:val="bottom"/>
          </w:tcPr>
          <w:p w14:paraId="0B8AFAEE" w14:textId="4219D94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36184 (</w:t>
            </w:r>
            <w:r w:rsidR="002F52BB" w:rsidRPr="00932A95">
              <w:rPr>
                <w:rFonts w:ascii="Book Antiqua" w:hAnsi="Book Antiqua" w:cs="Book Antiqua"/>
                <w:color w:val="auto"/>
                <w:sz w:val="24"/>
                <w:szCs w:val="24"/>
              </w:rPr>
              <w:t>62.0</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6DC9243F" w14:textId="17309CC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18199 (</w:t>
            </w:r>
            <w:r w:rsidR="002F52BB" w:rsidRPr="00932A95">
              <w:rPr>
                <w:rFonts w:ascii="Book Antiqua" w:hAnsi="Book Antiqua" w:cs="Book Antiqua"/>
                <w:color w:val="auto"/>
                <w:sz w:val="24"/>
                <w:szCs w:val="24"/>
              </w:rPr>
              <w:t>59.9</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58807008" w14:textId="6BDE7CBD"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17963 (</w:t>
            </w:r>
            <w:r w:rsidR="002F52BB" w:rsidRPr="00932A95">
              <w:rPr>
                <w:rFonts w:ascii="Book Antiqua" w:hAnsi="Book Antiqua" w:cs="Book Antiqua"/>
                <w:color w:val="auto"/>
                <w:sz w:val="24"/>
                <w:szCs w:val="24"/>
              </w:rPr>
              <w:t>64.2</w:t>
            </w:r>
            <w:r>
              <w:rPr>
                <w:rFonts w:ascii="Book Antiqua" w:hAnsi="Book Antiqua" w:cs="Book Antiqua"/>
                <w:color w:val="auto"/>
                <w:sz w:val="24"/>
                <w:szCs w:val="24"/>
              </w:rPr>
              <w:t>)</w:t>
            </w:r>
          </w:p>
        </w:tc>
      </w:tr>
      <w:tr w:rsidR="00932A95" w:rsidRPr="00932A95" w14:paraId="2C7B51E7" w14:textId="77777777" w:rsidTr="00F239AF">
        <w:trPr>
          <w:trHeight w:val="25"/>
        </w:trPr>
        <w:tc>
          <w:tcPr>
            <w:tcW w:w="3871" w:type="dxa"/>
            <w:shd w:val="clear" w:color="auto" w:fill="auto"/>
            <w:tcMar>
              <w:top w:w="100" w:type="dxa"/>
              <w:left w:w="100" w:type="dxa"/>
              <w:bottom w:w="100" w:type="dxa"/>
              <w:right w:w="100" w:type="dxa"/>
            </w:tcMar>
            <w:vAlign w:val="bottom"/>
          </w:tcPr>
          <w:p w14:paraId="68E38B65"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Balloon tamponade</w:t>
            </w:r>
          </w:p>
        </w:tc>
        <w:tc>
          <w:tcPr>
            <w:tcW w:w="1595" w:type="dxa"/>
            <w:shd w:val="clear" w:color="auto" w:fill="auto"/>
            <w:tcMar>
              <w:top w:w="100" w:type="dxa"/>
              <w:left w:w="100" w:type="dxa"/>
              <w:bottom w:w="100" w:type="dxa"/>
              <w:right w:w="100" w:type="dxa"/>
            </w:tcMar>
            <w:vAlign w:val="bottom"/>
          </w:tcPr>
          <w:p w14:paraId="7C6797DA" w14:textId="14A8BBD4"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525 (</w:t>
            </w:r>
            <w:r w:rsidR="002F52BB" w:rsidRPr="00932A95">
              <w:rPr>
                <w:rFonts w:ascii="Book Antiqua" w:hAnsi="Book Antiqua" w:cs="Book Antiqua"/>
                <w:color w:val="auto"/>
                <w:sz w:val="24"/>
                <w:szCs w:val="24"/>
              </w:rPr>
              <w:t>0.9</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2D397132" w14:textId="3EFB629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365 (</w:t>
            </w:r>
            <w:r w:rsidR="002F52BB" w:rsidRPr="00932A95">
              <w:rPr>
                <w:rFonts w:ascii="Book Antiqua" w:hAnsi="Book Antiqua" w:cs="Book Antiqua"/>
                <w:color w:val="auto"/>
                <w:sz w:val="24"/>
                <w:szCs w:val="24"/>
              </w:rPr>
              <w:t>1.2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FB84D54" w14:textId="51644EE7"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168 (</w:t>
            </w:r>
            <w:r w:rsidR="002F52BB" w:rsidRPr="00932A95">
              <w:rPr>
                <w:rFonts w:ascii="Book Antiqua" w:hAnsi="Book Antiqua" w:cs="Book Antiqua"/>
                <w:color w:val="auto"/>
                <w:sz w:val="24"/>
                <w:szCs w:val="24"/>
              </w:rPr>
              <w:t>0.6</w:t>
            </w:r>
            <w:r>
              <w:rPr>
                <w:rFonts w:ascii="Book Antiqua" w:hAnsi="Book Antiqua" w:cs="Book Antiqua"/>
                <w:color w:val="auto"/>
                <w:sz w:val="24"/>
                <w:szCs w:val="24"/>
              </w:rPr>
              <w:t>)</w:t>
            </w:r>
          </w:p>
        </w:tc>
      </w:tr>
      <w:tr w:rsidR="00932A95" w:rsidRPr="00932A95" w14:paraId="5ED06467" w14:textId="77777777" w:rsidTr="00F239AF">
        <w:trPr>
          <w:trHeight w:val="25"/>
        </w:trPr>
        <w:tc>
          <w:tcPr>
            <w:tcW w:w="3871" w:type="dxa"/>
            <w:shd w:val="clear" w:color="auto" w:fill="auto"/>
            <w:tcMar>
              <w:top w:w="100" w:type="dxa"/>
              <w:left w:w="100" w:type="dxa"/>
              <w:bottom w:w="100" w:type="dxa"/>
              <w:right w:w="100" w:type="dxa"/>
            </w:tcMar>
            <w:vAlign w:val="bottom"/>
          </w:tcPr>
          <w:p w14:paraId="1201E236"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Portosystemic shunt</w:t>
            </w:r>
          </w:p>
        </w:tc>
        <w:tc>
          <w:tcPr>
            <w:tcW w:w="1595" w:type="dxa"/>
            <w:shd w:val="clear" w:color="auto" w:fill="auto"/>
            <w:tcMar>
              <w:top w:w="100" w:type="dxa"/>
              <w:left w:w="100" w:type="dxa"/>
              <w:bottom w:w="100" w:type="dxa"/>
              <w:right w:w="100" w:type="dxa"/>
            </w:tcMar>
            <w:vAlign w:val="bottom"/>
          </w:tcPr>
          <w:p w14:paraId="6D4FFC8B" w14:textId="112432FD"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3268 (</w:t>
            </w:r>
            <w:r w:rsidR="002F52BB" w:rsidRPr="00932A95">
              <w:rPr>
                <w:rFonts w:ascii="Book Antiqua" w:hAnsi="Book Antiqua" w:cs="Book Antiqua"/>
                <w:color w:val="auto"/>
                <w:sz w:val="24"/>
                <w:szCs w:val="24"/>
              </w:rPr>
              <w:t>5.6</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309852EA" w14:textId="4D034FEB"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2400 (</w:t>
            </w:r>
            <w:r w:rsidR="002F52BB" w:rsidRPr="00932A95">
              <w:rPr>
                <w:rFonts w:ascii="Book Antiqua" w:hAnsi="Book Antiqua" w:cs="Book Antiqua"/>
                <w:color w:val="auto"/>
                <w:sz w:val="24"/>
                <w:szCs w:val="24"/>
              </w:rPr>
              <w:t>7.9</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5EB19C92" w14:textId="1033D1A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867 (</w:t>
            </w:r>
            <w:r w:rsidR="002F52BB" w:rsidRPr="00932A95">
              <w:rPr>
                <w:rFonts w:ascii="Book Antiqua" w:hAnsi="Book Antiqua" w:cs="Book Antiqua"/>
                <w:color w:val="auto"/>
                <w:sz w:val="24"/>
                <w:szCs w:val="24"/>
              </w:rPr>
              <w:t>3.1</w:t>
            </w:r>
            <w:r>
              <w:rPr>
                <w:rFonts w:ascii="Book Antiqua" w:hAnsi="Book Antiqua" w:cs="Book Antiqua"/>
                <w:color w:val="auto"/>
                <w:sz w:val="24"/>
                <w:szCs w:val="24"/>
              </w:rPr>
              <w:t>)</w:t>
            </w:r>
          </w:p>
        </w:tc>
      </w:tr>
    </w:tbl>
    <w:p w14:paraId="7BA8BBAD" w14:textId="77777777" w:rsidR="0011433B" w:rsidRPr="00932A95"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color w:val="auto"/>
          <w:sz w:val="24"/>
          <w:szCs w:val="24"/>
          <w:vertAlign w:val="superscript"/>
        </w:rPr>
        <w:lastRenderedPageBreak/>
        <w:t>a</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&gt; 0.05 in comparison between groups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All data are proportions [</w:t>
      </w:r>
      <w:r w:rsidR="007D535B" w:rsidRPr="00932A95">
        <w:rPr>
          <w:rFonts w:ascii="Book Antiqua" w:hAnsi="Book Antiqua" w:cs="Book Antiqua"/>
          <w:i/>
          <w:color w:val="auto"/>
          <w:sz w:val="24"/>
          <w:szCs w:val="24"/>
        </w:rPr>
        <w:t>n</w:t>
      </w:r>
      <w:r w:rsidRPr="00932A95">
        <w:rPr>
          <w:rFonts w:ascii="Book Antiqua" w:hAnsi="Book Antiqua" w:cs="Book Antiqua"/>
          <w:color w:val="auto"/>
          <w:sz w:val="24"/>
          <w:szCs w:val="24"/>
        </w:rPr>
        <w:t xml:space="preserve"> (</w:t>
      </w:r>
      <w:r w:rsidR="007D535B" w:rsidRPr="00932A95">
        <w:rPr>
          <w:rFonts w:ascii="Book Antiqua" w:hAnsi="Book Antiqua" w:cs="Book Antiqua"/>
          <w:color w:val="auto"/>
          <w:sz w:val="24"/>
          <w:szCs w:val="24"/>
        </w:rPr>
        <w:t>%</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 xml:space="preserve">Comparisons between groups made with </w:t>
      </w:r>
      <w:r w:rsidRPr="00932A95">
        <w:rPr>
          <w:rFonts w:ascii="Book Antiqua" w:hAnsi="Book Antiqua" w:cs="Book Antiqua"/>
          <w:i/>
          <w:color w:val="auto"/>
          <w:sz w:val="24"/>
          <w:szCs w:val="24"/>
        </w:rPr>
        <w:t>χ</w:t>
      </w:r>
      <w:r w:rsidRPr="00932A95">
        <w:rPr>
          <w:rFonts w:ascii="Book Antiqua" w:hAnsi="Book Antiqua" w:cs="Book Antiqua"/>
          <w:i/>
          <w:color w:val="auto"/>
          <w:sz w:val="24"/>
          <w:szCs w:val="24"/>
          <w:vertAlign w:val="superscript"/>
        </w:rPr>
        <w:t>2</w:t>
      </w:r>
      <w:r w:rsidRPr="00932A95">
        <w:rPr>
          <w:rFonts w:ascii="Book Antiqua" w:hAnsi="Book Antiqua" w:cs="Book Antiqua"/>
          <w:color w:val="auto"/>
          <w:sz w:val="24"/>
          <w:szCs w:val="24"/>
        </w:rPr>
        <w:t xml:space="preserve"> test. All comparisons had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&lt; 0.001 between groups unless otherwise stated</w:t>
      </w:r>
      <w:r w:rsidRPr="00932A95">
        <w:rPr>
          <w:rFonts w:ascii="Book Antiqua" w:hAnsi="Book Antiqua" w:cs="Book Antiqua"/>
          <w:color w:val="auto"/>
          <w:sz w:val="24"/>
          <w:szCs w:val="24"/>
          <w:lang w:val="en-US"/>
        </w:rPr>
        <w:t>.</w:t>
      </w:r>
    </w:p>
    <w:p w14:paraId="1334CA2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6B3BAF4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3</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Mortality associated with patient demographics and hospital characteristics</w:t>
      </w:r>
    </w:p>
    <w:tbl>
      <w:tblPr>
        <w:tblStyle w:val="Style13"/>
        <w:tblW w:w="10202" w:type="dxa"/>
        <w:tblInd w:w="-426" w:type="dxa"/>
        <w:tblBorders>
          <w:top w:val="single" w:sz="4" w:space="0" w:color="auto"/>
          <w:bottom w:val="single" w:sz="4" w:space="0" w:color="auto"/>
        </w:tblBorders>
        <w:tblLayout w:type="fixed"/>
        <w:tblLook w:val="04A0" w:firstRow="1" w:lastRow="0" w:firstColumn="1" w:lastColumn="0" w:noHBand="0" w:noVBand="1"/>
      </w:tblPr>
      <w:tblGrid>
        <w:gridCol w:w="3327"/>
        <w:gridCol w:w="1205"/>
        <w:gridCol w:w="2410"/>
        <w:gridCol w:w="2126"/>
        <w:gridCol w:w="1134"/>
      </w:tblGrid>
      <w:tr w:rsidR="00932A95" w:rsidRPr="00932A95" w14:paraId="5599CBCA" w14:textId="77777777" w:rsidTr="00F239AF">
        <w:trPr>
          <w:trHeight w:val="434"/>
        </w:trPr>
        <w:tc>
          <w:tcPr>
            <w:tcW w:w="3327"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6BC11036"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20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6897CF8A" w14:textId="77777777" w:rsidR="0011433B" w:rsidRPr="00932A95" w:rsidRDefault="002F52BB" w:rsidP="00374FC0">
            <w:pPr>
              <w:spacing w:line="360" w:lineRule="auto"/>
              <w:jc w:val="both"/>
              <w:rPr>
                <w:rFonts w:ascii="Book Antiqua" w:hAnsi="Book Antiqua" w:cs="Book Antiqua"/>
                <w:b/>
                <w:color w:val="auto"/>
                <w:sz w:val="24"/>
                <w:szCs w:val="24"/>
                <w:vertAlign w:val="superscript"/>
              </w:rPr>
            </w:pPr>
            <w:r w:rsidRPr="00932A95">
              <w:rPr>
                <w:rFonts w:ascii="Book Antiqua" w:hAnsi="Book Antiqua" w:cs="Book Antiqua"/>
                <w:b/>
                <w:color w:val="auto"/>
                <w:sz w:val="24"/>
                <w:szCs w:val="24"/>
              </w:rPr>
              <w:t>Mortality (%)</w:t>
            </w:r>
            <w:r w:rsidRPr="00932A95">
              <w:rPr>
                <w:rFonts w:ascii="Book Antiqua" w:hAnsi="Book Antiqua" w:cs="Book Antiqua"/>
                <w:b/>
                <w:color w:val="auto"/>
                <w:sz w:val="24"/>
                <w:szCs w:val="24"/>
                <w:vertAlign w:val="superscript"/>
              </w:rPr>
              <w:t>a</w:t>
            </w:r>
          </w:p>
        </w:tc>
        <w:tc>
          <w:tcPr>
            <w:tcW w:w="2410"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2301DEF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Unadjusted OR (95%CI)</w:t>
            </w:r>
          </w:p>
        </w:tc>
        <w:tc>
          <w:tcPr>
            <w:tcW w:w="2126"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19D2760E" w14:textId="77777777" w:rsidR="0011433B" w:rsidRPr="00932A95" w:rsidRDefault="002F52BB" w:rsidP="00374FC0">
            <w:pPr>
              <w:spacing w:line="360" w:lineRule="auto"/>
              <w:jc w:val="both"/>
              <w:rPr>
                <w:rFonts w:ascii="Book Antiqua" w:hAnsi="Book Antiqua" w:cs="Book Antiqua"/>
                <w:b/>
                <w:color w:val="auto"/>
                <w:sz w:val="24"/>
                <w:szCs w:val="24"/>
                <w:vertAlign w:val="superscript"/>
              </w:rPr>
            </w:pPr>
            <w:r w:rsidRPr="00932A95">
              <w:rPr>
                <w:rFonts w:ascii="Book Antiqua" w:hAnsi="Book Antiqua" w:cs="Book Antiqua"/>
                <w:b/>
                <w:color w:val="auto"/>
                <w:sz w:val="24"/>
                <w:szCs w:val="24"/>
              </w:rPr>
              <w:t>Adjusted OR (95%CI)</w:t>
            </w:r>
            <w:r w:rsidR="009540CB" w:rsidRPr="00932A95">
              <w:rPr>
                <w:rFonts w:ascii="Book Antiqua" w:hAnsi="Book Antiqua" w:cs="Book Antiqua"/>
                <w:b/>
                <w:color w:val="auto"/>
                <w:sz w:val="24"/>
                <w:szCs w:val="24"/>
                <w:vertAlign w:val="superscript"/>
              </w:rPr>
              <w:t>1</w:t>
            </w:r>
          </w:p>
        </w:tc>
        <w:tc>
          <w:tcPr>
            <w:tcW w:w="1134"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A07BAE6"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eastAsia="宋体" w:hAnsi="Book Antiqua" w:cs="Book Antiqua" w:hint="eastAsia"/>
                <w:b/>
                <w:i/>
                <w:iCs/>
                <w:color w:val="auto"/>
                <w:sz w:val="24"/>
                <w:szCs w:val="24"/>
                <w:lang w:val="en-US" w:eastAsia="zh-CN"/>
              </w:rPr>
              <w:t xml:space="preserve"> </w:t>
            </w:r>
            <w:r w:rsidRPr="00932A95">
              <w:rPr>
                <w:rFonts w:ascii="Book Antiqua" w:hAnsi="Book Antiqua" w:cs="Book Antiqua"/>
                <w:b/>
                <w:color w:val="auto"/>
                <w:sz w:val="24"/>
                <w:szCs w:val="24"/>
              </w:rPr>
              <w:t>value</w:t>
            </w:r>
          </w:p>
        </w:tc>
      </w:tr>
      <w:tr w:rsidR="00932A95" w:rsidRPr="00932A95" w14:paraId="3D8CDC75" w14:textId="77777777" w:rsidTr="00F239AF">
        <w:trPr>
          <w:trHeight w:val="447"/>
        </w:trPr>
        <w:tc>
          <w:tcPr>
            <w:tcW w:w="3327" w:type="dxa"/>
            <w:vMerge/>
            <w:tcBorders>
              <w:top w:val="nil"/>
              <w:bottom w:val="single" w:sz="4" w:space="0" w:color="auto"/>
            </w:tcBorders>
            <w:shd w:val="clear" w:color="auto" w:fill="auto"/>
            <w:tcMar>
              <w:top w:w="100" w:type="dxa"/>
              <w:left w:w="100" w:type="dxa"/>
              <w:bottom w:w="100" w:type="dxa"/>
              <w:right w:w="100" w:type="dxa"/>
            </w:tcMar>
          </w:tcPr>
          <w:p w14:paraId="082BF41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205" w:type="dxa"/>
            <w:vMerge/>
            <w:tcBorders>
              <w:top w:val="nil"/>
              <w:bottom w:val="single" w:sz="4" w:space="0" w:color="auto"/>
            </w:tcBorders>
            <w:shd w:val="clear" w:color="auto" w:fill="auto"/>
            <w:tcMar>
              <w:top w:w="100" w:type="dxa"/>
              <w:left w:w="100" w:type="dxa"/>
              <w:bottom w:w="100" w:type="dxa"/>
              <w:right w:w="100" w:type="dxa"/>
            </w:tcMar>
          </w:tcPr>
          <w:p w14:paraId="19405C9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410" w:type="dxa"/>
            <w:vMerge/>
            <w:tcBorders>
              <w:top w:val="nil"/>
              <w:bottom w:val="single" w:sz="4" w:space="0" w:color="auto"/>
            </w:tcBorders>
            <w:shd w:val="clear" w:color="auto" w:fill="auto"/>
            <w:tcMar>
              <w:top w:w="100" w:type="dxa"/>
              <w:left w:w="100" w:type="dxa"/>
              <w:bottom w:w="100" w:type="dxa"/>
              <w:right w:w="100" w:type="dxa"/>
            </w:tcMar>
          </w:tcPr>
          <w:p w14:paraId="552DE4B3"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vMerge/>
            <w:tcBorders>
              <w:top w:val="nil"/>
              <w:bottom w:val="single" w:sz="4" w:space="0" w:color="auto"/>
            </w:tcBorders>
            <w:shd w:val="clear" w:color="auto" w:fill="auto"/>
            <w:tcMar>
              <w:top w:w="100" w:type="dxa"/>
              <w:left w:w="100" w:type="dxa"/>
              <w:bottom w:w="100" w:type="dxa"/>
              <w:right w:w="100" w:type="dxa"/>
            </w:tcMar>
          </w:tcPr>
          <w:p w14:paraId="5CAB95E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vMerge/>
            <w:tcBorders>
              <w:top w:val="nil"/>
              <w:bottom w:val="single" w:sz="4" w:space="0" w:color="auto"/>
            </w:tcBorders>
            <w:shd w:val="clear" w:color="auto" w:fill="auto"/>
            <w:tcMar>
              <w:top w:w="100" w:type="dxa"/>
              <w:left w:w="100" w:type="dxa"/>
              <w:bottom w:w="100" w:type="dxa"/>
              <w:right w:w="100" w:type="dxa"/>
            </w:tcMar>
          </w:tcPr>
          <w:p w14:paraId="3DA351F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57C85D3B" w14:textId="77777777" w:rsidTr="00F239AF">
        <w:trPr>
          <w:trHeight w:val="360"/>
        </w:trPr>
        <w:tc>
          <w:tcPr>
            <w:tcW w:w="3327" w:type="dxa"/>
            <w:tcBorders>
              <w:top w:val="single" w:sz="4" w:space="0" w:color="auto"/>
            </w:tcBorders>
            <w:shd w:val="clear" w:color="auto" w:fill="auto"/>
            <w:tcMar>
              <w:top w:w="100" w:type="dxa"/>
              <w:left w:w="100" w:type="dxa"/>
              <w:bottom w:w="100" w:type="dxa"/>
              <w:right w:w="100" w:type="dxa"/>
            </w:tcMar>
            <w:vAlign w:val="bottom"/>
          </w:tcPr>
          <w:p w14:paraId="5FF238E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Patient age (</w:t>
            </w:r>
            <w:r w:rsidRPr="00932A95">
              <w:rPr>
                <w:rFonts w:ascii="Book Antiqua" w:hAnsi="Book Antiqua" w:cs="Book Antiqua"/>
                <w:color w:val="auto"/>
                <w:sz w:val="24"/>
                <w:szCs w:val="24"/>
                <w:lang w:val="en-US"/>
              </w:rPr>
              <w:t>yr</w:t>
            </w:r>
            <w:r w:rsidRPr="00932A95">
              <w:rPr>
                <w:rFonts w:ascii="Book Antiqua" w:hAnsi="Book Antiqua" w:cs="Book Antiqua"/>
                <w:color w:val="auto"/>
                <w:sz w:val="24"/>
                <w:szCs w:val="24"/>
              </w:rPr>
              <w:t>)</w:t>
            </w:r>
          </w:p>
        </w:tc>
        <w:tc>
          <w:tcPr>
            <w:tcW w:w="1205" w:type="dxa"/>
            <w:tcBorders>
              <w:top w:val="single" w:sz="4" w:space="0" w:color="auto"/>
            </w:tcBorders>
            <w:shd w:val="clear" w:color="auto" w:fill="auto"/>
            <w:tcMar>
              <w:top w:w="100" w:type="dxa"/>
              <w:left w:w="100" w:type="dxa"/>
              <w:bottom w:w="100" w:type="dxa"/>
              <w:right w:w="100" w:type="dxa"/>
            </w:tcMar>
            <w:vAlign w:val="bottom"/>
          </w:tcPr>
          <w:p w14:paraId="6A7E3CA0"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tcBorders>
              <w:top w:val="single" w:sz="4" w:space="0" w:color="auto"/>
            </w:tcBorders>
            <w:shd w:val="clear" w:color="auto" w:fill="auto"/>
            <w:tcMar>
              <w:top w:w="100" w:type="dxa"/>
              <w:left w:w="100" w:type="dxa"/>
              <w:bottom w:w="100" w:type="dxa"/>
              <w:right w:w="100" w:type="dxa"/>
            </w:tcMar>
            <w:vAlign w:val="bottom"/>
          </w:tcPr>
          <w:p w14:paraId="07E8BB3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tcBorders>
              <w:top w:val="single" w:sz="4" w:space="0" w:color="auto"/>
            </w:tcBorders>
            <w:shd w:val="clear" w:color="auto" w:fill="auto"/>
            <w:tcMar>
              <w:top w:w="100" w:type="dxa"/>
              <w:left w:w="100" w:type="dxa"/>
              <w:bottom w:w="100" w:type="dxa"/>
              <w:right w:w="100" w:type="dxa"/>
            </w:tcMar>
            <w:vAlign w:val="bottom"/>
          </w:tcPr>
          <w:p w14:paraId="0663E95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tcBorders>
              <w:top w:val="single" w:sz="4" w:space="0" w:color="auto"/>
            </w:tcBorders>
            <w:shd w:val="clear" w:color="auto" w:fill="auto"/>
            <w:tcMar>
              <w:top w:w="100" w:type="dxa"/>
              <w:left w:w="100" w:type="dxa"/>
              <w:bottom w:w="100" w:type="dxa"/>
              <w:right w:w="100" w:type="dxa"/>
            </w:tcMar>
            <w:vAlign w:val="bottom"/>
          </w:tcPr>
          <w:p w14:paraId="41FB110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0.226</w:t>
            </w:r>
          </w:p>
        </w:tc>
      </w:tr>
      <w:tr w:rsidR="00932A95" w:rsidRPr="00932A95" w14:paraId="7E12D554" w14:textId="77777777" w:rsidTr="00F239AF">
        <w:trPr>
          <w:trHeight w:val="360"/>
        </w:trPr>
        <w:tc>
          <w:tcPr>
            <w:tcW w:w="3327" w:type="dxa"/>
            <w:shd w:val="clear" w:color="auto" w:fill="auto"/>
            <w:tcMar>
              <w:top w:w="100" w:type="dxa"/>
              <w:left w:w="100" w:type="dxa"/>
              <w:bottom w:w="100" w:type="dxa"/>
              <w:right w:w="100" w:type="dxa"/>
            </w:tcMar>
            <w:vAlign w:val="bottom"/>
          </w:tcPr>
          <w:p w14:paraId="3CAD82AA" w14:textId="61E221BD" w:rsidR="0011433B" w:rsidRPr="00932A95" w:rsidRDefault="002F52BB" w:rsidP="00B35D0C">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Age &lt; 40</w:t>
            </w:r>
          </w:p>
        </w:tc>
        <w:tc>
          <w:tcPr>
            <w:tcW w:w="1205" w:type="dxa"/>
            <w:shd w:val="clear" w:color="auto" w:fill="auto"/>
            <w:tcMar>
              <w:top w:w="100" w:type="dxa"/>
              <w:left w:w="100" w:type="dxa"/>
              <w:bottom w:w="100" w:type="dxa"/>
              <w:right w:w="100" w:type="dxa"/>
            </w:tcMar>
            <w:vAlign w:val="bottom"/>
          </w:tcPr>
          <w:p w14:paraId="677A929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5.5%</w:t>
            </w:r>
          </w:p>
        </w:tc>
        <w:tc>
          <w:tcPr>
            <w:tcW w:w="2410" w:type="dxa"/>
            <w:shd w:val="clear" w:color="auto" w:fill="auto"/>
            <w:tcMar>
              <w:top w:w="100" w:type="dxa"/>
              <w:left w:w="100" w:type="dxa"/>
              <w:bottom w:w="100" w:type="dxa"/>
              <w:right w:w="100" w:type="dxa"/>
            </w:tcMar>
            <w:vAlign w:val="bottom"/>
          </w:tcPr>
          <w:p w14:paraId="64578F9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0E2C65A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5845852C"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5D38BC85" w14:textId="77777777" w:rsidTr="00F239AF">
        <w:trPr>
          <w:trHeight w:val="360"/>
        </w:trPr>
        <w:tc>
          <w:tcPr>
            <w:tcW w:w="3327" w:type="dxa"/>
            <w:shd w:val="clear" w:color="auto" w:fill="auto"/>
            <w:tcMar>
              <w:top w:w="100" w:type="dxa"/>
              <w:left w:w="100" w:type="dxa"/>
              <w:bottom w:w="100" w:type="dxa"/>
              <w:right w:w="100" w:type="dxa"/>
            </w:tcMar>
            <w:vAlign w:val="bottom"/>
          </w:tcPr>
          <w:p w14:paraId="338EEA62" w14:textId="3B35479F" w:rsidR="0011433B" w:rsidRPr="00932A95" w:rsidRDefault="002F52BB" w:rsidP="00B35D0C">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Age 40-59</w:t>
            </w:r>
          </w:p>
        </w:tc>
        <w:tc>
          <w:tcPr>
            <w:tcW w:w="1205" w:type="dxa"/>
            <w:shd w:val="clear" w:color="auto" w:fill="auto"/>
            <w:tcMar>
              <w:top w:w="100" w:type="dxa"/>
              <w:left w:w="100" w:type="dxa"/>
              <w:bottom w:w="100" w:type="dxa"/>
              <w:right w:w="100" w:type="dxa"/>
            </w:tcMar>
            <w:vAlign w:val="bottom"/>
          </w:tcPr>
          <w:p w14:paraId="0CC2769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6.7%</w:t>
            </w:r>
          </w:p>
        </w:tc>
        <w:tc>
          <w:tcPr>
            <w:tcW w:w="2410" w:type="dxa"/>
            <w:shd w:val="clear" w:color="auto" w:fill="auto"/>
            <w:tcMar>
              <w:top w:w="100" w:type="dxa"/>
              <w:left w:w="100" w:type="dxa"/>
              <w:bottom w:w="100" w:type="dxa"/>
              <w:right w:w="100" w:type="dxa"/>
            </w:tcMar>
            <w:vAlign w:val="bottom"/>
          </w:tcPr>
          <w:p w14:paraId="1B4D23A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1.226 (0.900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1.669)</w:t>
            </w:r>
          </w:p>
        </w:tc>
        <w:tc>
          <w:tcPr>
            <w:tcW w:w="2126" w:type="dxa"/>
            <w:shd w:val="clear" w:color="auto" w:fill="auto"/>
            <w:tcMar>
              <w:top w:w="100" w:type="dxa"/>
              <w:left w:w="100" w:type="dxa"/>
              <w:bottom w:w="100" w:type="dxa"/>
              <w:right w:w="100" w:type="dxa"/>
            </w:tcMar>
            <w:vAlign w:val="bottom"/>
          </w:tcPr>
          <w:p w14:paraId="795E77FD" w14:textId="77777777" w:rsidR="0011433B" w:rsidRPr="00932A95" w:rsidRDefault="002F52BB" w:rsidP="004A0F33">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1.182 (0.858</w:t>
            </w:r>
            <w:r w:rsidR="004A0F33" w:rsidRPr="00932A95">
              <w:rPr>
                <w:rFonts w:ascii="Book Antiqua" w:hAnsi="Book Antiqua" w:cs="Book Antiqua"/>
                <w:color w:val="auto"/>
                <w:sz w:val="24"/>
                <w:szCs w:val="24"/>
              </w:rPr>
              <w:t>-</w:t>
            </w:r>
            <w:r w:rsidRPr="00932A95">
              <w:rPr>
                <w:rFonts w:ascii="Book Antiqua" w:hAnsi="Book Antiqua" w:cs="Book Antiqua"/>
                <w:color w:val="auto"/>
                <w:sz w:val="24"/>
                <w:szCs w:val="24"/>
              </w:rPr>
              <w:t>1.628)</w:t>
            </w:r>
          </w:p>
        </w:tc>
        <w:tc>
          <w:tcPr>
            <w:tcW w:w="1134" w:type="dxa"/>
            <w:shd w:val="clear" w:color="auto" w:fill="auto"/>
            <w:tcMar>
              <w:top w:w="100" w:type="dxa"/>
              <w:left w:w="100" w:type="dxa"/>
              <w:bottom w:w="100" w:type="dxa"/>
              <w:right w:w="100" w:type="dxa"/>
            </w:tcMar>
            <w:vAlign w:val="bottom"/>
          </w:tcPr>
          <w:p w14:paraId="382E247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0.196</w:t>
            </w:r>
          </w:p>
        </w:tc>
      </w:tr>
      <w:tr w:rsidR="00932A95" w:rsidRPr="00932A95" w14:paraId="394997C9" w14:textId="77777777" w:rsidTr="00F239AF">
        <w:trPr>
          <w:trHeight w:val="360"/>
        </w:trPr>
        <w:tc>
          <w:tcPr>
            <w:tcW w:w="3327" w:type="dxa"/>
            <w:shd w:val="clear" w:color="auto" w:fill="auto"/>
            <w:tcMar>
              <w:top w:w="100" w:type="dxa"/>
              <w:left w:w="100" w:type="dxa"/>
              <w:bottom w:w="100" w:type="dxa"/>
              <w:right w:w="100" w:type="dxa"/>
            </w:tcMar>
            <w:vAlign w:val="bottom"/>
          </w:tcPr>
          <w:p w14:paraId="64A5205E" w14:textId="68F8FC9C" w:rsidR="0011433B" w:rsidRPr="00932A95" w:rsidRDefault="00B35D0C" w:rsidP="00B35D0C">
            <w:pPr>
              <w:spacing w:line="360" w:lineRule="auto"/>
              <w:ind w:firstLine="520"/>
              <w:jc w:val="both"/>
              <w:rPr>
                <w:rFonts w:ascii="Book Antiqua" w:hAnsi="Book Antiqua" w:cs="Book Antiqua"/>
                <w:color w:val="auto"/>
                <w:sz w:val="24"/>
                <w:szCs w:val="24"/>
              </w:rPr>
            </w:pPr>
            <w:r>
              <w:rPr>
                <w:rFonts w:ascii="Book Antiqua" w:hAnsi="Book Antiqua" w:cs="Book Antiqua"/>
                <w:color w:val="auto"/>
                <w:sz w:val="24"/>
                <w:szCs w:val="24"/>
              </w:rPr>
              <w:t>Age &gt; 60</w:t>
            </w:r>
          </w:p>
        </w:tc>
        <w:tc>
          <w:tcPr>
            <w:tcW w:w="1205" w:type="dxa"/>
            <w:shd w:val="clear" w:color="auto" w:fill="auto"/>
            <w:tcMar>
              <w:top w:w="100" w:type="dxa"/>
              <w:left w:w="100" w:type="dxa"/>
              <w:bottom w:w="100" w:type="dxa"/>
              <w:right w:w="100" w:type="dxa"/>
            </w:tcMar>
            <w:vAlign w:val="bottom"/>
          </w:tcPr>
          <w:p w14:paraId="2DD79F2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7.1%</w:t>
            </w:r>
          </w:p>
        </w:tc>
        <w:tc>
          <w:tcPr>
            <w:tcW w:w="2410" w:type="dxa"/>
            <w:shd w:val="clear" w:color="auto" w:fill="auto"/>
            <w:tcMar>
              <w:top w:w="100" w:type="dxa"/>
              <w:left w:w="100" w:type="dxa"/>
              <w:bottom w:w="100" w:type="dxa"/>
              <w:right w:w="100" w:type="dxa"/>
            </w:tcMar>
            <w:vAlign w:val="bottom"/>
          </w:tcPr>
          <w:p w14:paraId="4400547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1.312 (0.955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1.801)</w:t>
            </w:r>
          </w:p>
        </w:tc>
        <w:tc>
          <w:tcPr>
            <w:tcW w:w="2126" w:type="dxa"/>
            <w:shd w:val="clear" w:color="auto" w:fill="auto"/>
            <w:tcMar>
              <w:top w:w="100" w:type="dxa"/>
              <w:left w:w="100" w:type="dxa"/>
              <w:bottom w:w="100" w:type="dxa"/>
              <w:right w:w="100" w:type="dxa"/>
            </w:tcMar>
            <w:vAlign w:val="bottom"/>
          </w:tcPr>
          <w:p w14:paraId="5BB4F16E" w14:textId="77777777" w:rsidR="0011433B" w:rsidRPr="00932A95" w:rsidRDefault="004A0F33"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1.397 (0.989-</w:t>
            </w:r>
            <w:r w:rsidR="002F52BB" w:rsidRPr="00932A95">
              <w:rPr>
                <w:rFonts w:ascii="Book Antiqua" w:hAnsi="Book Antiqua" w:cs="Book Antiqua"/>
                <w:color w:val="auto"/>
                <w:sz w:val="24"/>
                <w:szCs w:val="24"/>
              </w:rPr>
              <w:t>1.974)</w:t>
            </w:r>
          </w:p>
        </w:tc>
        <w:tc>
          <w:tcPr>
            <w:tcW w:w="1134" w:type="dxa"/>
            <w:shd w:val="clear" w:color="auto" w:fill="auto"/>
            <w:tcMar>
              <w:top w:w="100" w:type="dxa"/>
              <w:left w:w="100" w:type="dxa"/>
              <w:bottom w:w="100" w:type="dxa"/>
              <w:right w:w="100" w:type="dxa"/>
            </w:tcMar>
            <w:vAlign w:val="bottom"/>
          </w:tcPr>
          <w:p w14:paraId="479EFC8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0.094</w:t>
            </w:r>
          </w:p>
        </w:tc>
      </w:tr>
      <w:tr w:rsidR="00932A95" w:rsidRPr="00932A95" w14:paraId="0F76BBDA" w14:textId="77777777" w:rsidTr="00F239AF">
        <w:trPr>
          <w:trHeight w:val="25"/>
        </w:trPr>
        <w:tc>
          <w:tcPr>
            <w:tcW w:w="3327" w:type="dxa"/>
            <w:shd w:val="clear" w:color="auto" w:fill="auto"/>
            <w:tcMar>
              <w:top w:w="100" w:type="dxa"/>
              <w:left w:w="100" w:type="dxa"/>
              <w:bottom w:w="100" w:type="dxa"/>
              <w:right w:w="100" w:type="dxa"/>
            </w:tcMar>
            <w:vAlign w:val="bottom"/>
          </w:tcPr>
          <w:p w14:paraId="5750D95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Sex</w:t>
            </w:r>
          </w:p>
        </w:tc>
        <w:tc>
          <w:tcPr>
            <w:tcW w:w="1205" w:type="dxa"/>
            <w:shd w:val="clear" w:color="auto" w:fill="auto"/>
            <w:tcMar>
              <w:top w:w="100" w:type="dxa"/>
              <w:left w:w="100" w:type="dxa"/>
              <w:bottom w:w="100" w:type="dxa"/>
              <w:right w:w="100" w:type="dxa"/>
            </w:tcMar>
            <w:vAlign w:val="bottom"/>
          </w:tcPr>
          <w:p w14:paraId="53AE4727"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5FEC82A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F5C1DB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5BEC333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02CB7650" w14:textId="77777777" w:rsidTr="00F239AF">
        <w:trPr>
          <w:trHeight w:val="25"/>
        </w:trPr>
        <w:tc>
          <w:tcPr>
            <w:tcW w:w="3327" w:type="dxa"/>
            <w:shd w:val="clear" w:color="auto" w:fill="auto"/>
            <w:tcMar>
              <w:top w:w="100" w:type="dxa"/>
              <w:left w:w="100" w:type="dxa"/>
              <w:bottom w:w="100" w:type="dxa"/>
              <w:right w:w="100" w:type="dxa"/>
            </w:tcMar>
            <w:vAlign w:val="bottom"/>
          </w:tcPr>
          <w:p w14:paraId="59114401"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Female</w:t>
            </w:r>
          </w:p>
        </w:tc>
        <w:tc>
          <w:tcPr>
            <w:tcW w:w="1205" w:type="dxa"/>
            <w:shd w:val="clear" w:color="auto" w:fill="auto"/>
            <w:tcMar>
              <w:top w:w="100" w:type="dxa"/>
              <w:left w:w="100" w:type="dxa"/>
              <w:bottom w:w="100" w:type="dxa"/>
              <w:right w:w="100" w:type="dxa"/>
            </w:tcMar>
            <w:vAlign w:val="bottom"/>
          </w:tcPr>
          <w:p w14:paraId="066AC1D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5.6%</w:t>
            </w:r>
          </w:p>
        </w:tc>
        <w:tc>
          <w:tcPr>
            <w:tcW w:w="2410" w:type="dxa"/>
            <w:shd w:val="clear" w:color="auto" w:fill="auto"/>
            <w:tcMar>
              <w:top w:w="100" w:type="dxa"/>
              <w:left w:w="100" w:type="dxa"/>
              <w:bottom w:w="100" w:type="dxa"/>
              <w:right w:w="100" w:type="dxa"/>
            </w:tcMar>
            <w:vAlign w:val="bottom"/>
          </w:tcPr>
          <w:p w14:paraId="489B290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0381B5C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22286585"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55A0588" w14:textId="77777777" w:rsidTr="00F239AF">
        <w:trPr>
          <w:trHeight w:val="25"/>
        </w:trPr>
        <w:tc>
          <w:tcPr>
            <w:tcW w:w="3327" w:type="dxa"/>
            <w:shd w:val="clear" w:color="auto" w:fill="auto"/>
            <w:tcMar>
              <w:top w:w="100" w:type="dxa"/>
              <w:left w:w="100" w:type="dxa"/>
              <w:bottom w:w="100" w:type="dxa"/>
              <w:right w:w="100" w:type="dxa"/>
            </w:tcMar>
            <w:vAlign w:val="bottom"/>
          </w:tcPr>
          <w:p w14:paraId="52868A1E"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Male</w:t>
            </w:r>
          </w:p>
        </w:tc>
        <w:tc>
          <w:tcPr>
            <w:tcW w:w="1205" w:type="dxa"/>
            <w:shd w:val="clear" w:color="auto" w:fill="auto"/>
            <w:tcMar>
              <w:top w:w="100" w:type="dxa"/>
              <w:left w:w="100" w:type="dxa"/>
              <w:bottom w:w="100" w:type="dxa"/>
              <w:right w:w="100" w:type="dxa"/>
            </w:tcMar>
            <w:vAlign w:val="bottom"/>
          </w:tcPr>
          <w:p w14:paraId="0E6D7D7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7.3%</w:t>
            </w:r>
          </w:p>
        </w:tc>
        <w:tc>
          <w:tcPr>
            <w:tcW w:w="2410" w:type="dxa"/>
            <w:shd w:val="clear" w:color="auto" w:fill="auto"/>
            <w:tcMar>
              <w:top w:w="100" w:type="dxa"/>
              <w:left w:w="100" w:type="dxa"/>
              <w:bottom w:w="100" w:type="dxa"/>
              <w:right w:w="100" w:type="dxa"/>
            </w:tcMar>
            <w:vAlign w:val="bottom"/>
          </w:tcPr>
          <w:p w14:paraId="197208A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1.323 (1.126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1.555)</w:t>
            </w:r>
          </w:p>
        </w:tc>
        <w:tc>
          <w:tcPr>
            <w:tcW w:w="2126" w:type="dxa"/>
            <w:shd w:val="clear" w:color="auto" w:fill="auto"/>
            <w:tcMar>
              <w:top w:w="100" w:type="dxa"/>
              <w:left w:w="100" w:type="dxa"/>
              <w:bottom w:w="100" w:type="dxa"/>
              <w:right w:w="100" w:type="dxa"/>
            </w:tcMar>
            <w:vAlign w:val="bottom"/>
          </w:tcPr>
          <w:p w14:paraId="46C3D0A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1.271 (1.075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1.503)</w:t>
            </w:r>
          </w:p>
        </w:tc>
        <w:tc>
          <w:tcPr>
            <w:tcW w:w="1134" w:type="dxa"/>
            <w:shd w:val="clear" w:color="auto" w:fill="auto"/>
            <w:tcMar>
              <w:top w:w="100" w:type="dxa"/>
              <w:left w:w="100" w:type="dxa"/>
              <w:bottom w:w="100" w:type="dxa"/>
              <w:right w:w="100" w:type="dxa"/>
            </w:tcMar>
            <w:vAlign w:val="bottom"/>
          </w:tcPr>
          <w:p w14:paraId="61278D0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0.005</w:t>
            </w:r>
          </w:p>
        </w:tc>
      </w:tr>
      <w:tr w:rsidR="00932A95" w:rsidRPr="00932A95" w14:paraId="3212C388" w14:textId="77777777" w:rsidTr="00F239AF">
        <w:trPr>
          <w:trHeight w:val="25"/>
        </w:trPr>
        <w:tc>
          <w:tcPr>
            <w:tcW w:w="3327" w:type="dxa"/>
            <w:shd w:val="clear" w:color="auto" w:fill="auto"/>
            <w:tcMar>
              <w:top w:w="100" w:type="dxa"/>
              <w:left w:w="100" w:type="dxa"/>
              <w:bottom w:w="100" w:type="dxa"/>
              <w:right w:w="100" w:type="dxa"/>
            </w:tcMar>
            <w:vAlign w:val="bottom"/>
          </w:tcPr>
          <w:p w14:paraId="299310E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Race</w:t>
            </w:r>
          </w:p>
        </w:tc>
        <w:tc>
          <w:tcPr>
            <w:tcW w:w="1205" w:type="dxa"/>
            <w:shd w:val="clear" w:color="auto" w:fill="auto"/>
            <w:tcMar>
              <w:top w:w="100" w:type="dxa"/>
              <w:left w:w="100" w:type="dxa"/>
              <w:bottom w:w="100" w:type="dxa"/>
              <w:right w:w="100" w:type="dxa"/>
            </w:tcMar>
            <w:vAlign w:val="bottom"/>
          </w:tcPr>
          <w:p w14:paraId="09FBD68B"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1D62529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60061D67"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65A2D00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56578720" w14:textId="77777777" w:rsidTr="00F239AF">
        <w:trPr>
          <w:trHeight w:val="25"/>
        </w:trPr>
        <w:tc>
          <w:tcPr>
            <w:tcW w:w="3327" w:type="dxa"/>
            <w:shd w:val="clear" w:color="auto" w:fill="auto"/>
            <w:tcMar>
              <w:top w:w="100" w:type="dxa"/>
              <w:left w:w="100" w:type="dxa"/>
              <w:bottom w:w="100" w:type="dxa"/>
              <w:right w:w="100" w:type="dxa"/>
            </w:tcMar>
            <w:vAlign w:val="bottom"/>
          </w:tcPr>
          <w:p w14:paraId="14E3F3FA"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White</w:t>
            </w:r>
          </w:p>
        </w:tc>
        <w:tc>
          <w:tcPr>
            <w:tcW w:w="1205" w:type="dxa"/>
            <w:shd w:val="clear" w:color="auto" w:fill="auto"/>
            <w:tcMar>
              <w:top w:w="100" w:type="dxa"/>
              <w:left w:w="100" w:type="dxa"/>
              <w:bottom w:w="100" w:type="dxa"/>
              <w:right w:w="100" w:type="dxa"/>
            </w:tcMar>
            <w:vAlign w:val="bottom"/>
          </w:tcPr>
          <w:p w14:paraId="081380C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6.4%</w:t>
            </w:r>
          </w:p>
        </w:tc>
        <w:tc>
          <w:tcPr>
            <w:tcW w:w="2410" w:type="dxa"/>
            <w:shd w:val="clear" w:color="auto" w:fill="auto"/>
            <w:tcMar>
              <w:top w:w="100" w:type="dxa"/>
              <w:left w:w="100" w:type="dxa"/>
              <w:bottom w:w="100" w:type="dxa"/>
              <w:right w:w="100" w:type="dxa"/>
            </w:tcMar>
            <w:vAlign w:val="bottom"/>
          </w:tcPr>
          <w:p w14:paraId="6F41478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36613CE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4B6AAC0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CCCDF47" w14:textId="77777777" w:rsidTr="00F239AF">
        <w:trPr>
          <w:trHeight w:val="25"/>
        </w:trPr>
        <w:tc>
          <w:tcPr>
            <w:tcW w:w="3327" w:type="dxa"/>
            <w:shd w:val="clear" w:color="auto" w:fill="auto"/>
            <w:tcMar>
              <w:top w:w="100" w:type="dxa"/>
              <w:left w:w="100" w:type="dxa"/>
              <w:bottom w:w="100" w:type="dxa"/>
              <w:right w:w="100" w:type="dxa"/>
            </w:tcMar>
            <w:vAlign w:val="bottom"/>
          </w:tcPr>
          <w:p w14:paraId="76E7C1FF"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Black</w:t>
            </w:r>
          </w:p>
        </w:tc>
        <w:tc>
          <w:tcPr>
            <w:tcW w:w="1205" w:type="dxa"/>
            <w:shd w:val="clear" w:color="auto" w:fill="auto"/>
            <w:tcMar>
              <w:top w:w="100" w:type="dxa"/>
              <w:left w:w="100" w:type="dxa"/>
              <w:bottom w:w="100" w:type="dxa"/>
              <w:right w:w="100" w:type="dxa"/>
            </w:tcMar>
            <w:vAlign w:val="bottom"/>
          </w:tcPr>
          <w:p w14:paraId="340A38A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10.2%</w:t>
            </w:r>
          </w:p>
        </w:tc>
        <w:tc>
          <w:tcPr>
            <w:tcW w:w="2410" w:type="dxa"/>
            <w:shd w:val="clear" w:color="auto" w:fill="auto"/>
            <w:tcMar>
              <w:top w:w="100" w:type="dxa"/>
              <w:left w:w="100" w:type="dxa"/>
              <w:bottom w:w="100" w:type="dxa"/>
              <w:right w:w="100" w:type="dxa"/>
            </w:tcMar>
            <w:vAlign w:val="bottom"/>
          </w:tcPr>
          <w:p w14:paraId="072BBFB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1.664 (1.308</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2.118)</w:t>
            </w:r>
          </w:p>
        </w:tc>
        <w:tc>
          <w:tcPr>
            <w:tcW w:w="2126" w:type="dxa"/>
            <w:shd w:val="clear" w:color="auto" w:fill="auto"/>
            <w:tcMar>
              <w:top w:w="100" w:type="dxa"/>
              <w:left w:w="100" w:type="dxa"/>
              <w:bottom w:w="100" w:type="dxa"/>
              <w:right w:w="100" w:type="dxa"/>
            </w:tcMar>
            <w:vAlign w:val="bottom"/>
          </w:tcPr>
          <w:p w14:paraId="3466F55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1.607 (1.246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2.074)</w:t>
            </w:r>
          </w:p>
        </w:tc>
        <w:tc>
          <w:tcPr>
            <w:tcW w:w="1134" w:type="dxa"/>
            <w:shd w:val="clear" w:color="auto" w:fill="auto"/>
            <w:tcMar>
              <w:top w:w="100" w:type="dxa"/>
              <w:left w:w="100" w:type="dxa"/>
              <w:bottom w:w="100" w:type="dxa"/>
              <w:right w:w="100" w:type="dxa"/>
            </w:tcMar>
            <w:vAlign w:val="bottom"/>
          </w:tcPr>
          <w:p w14:paraId="6CE01D3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6DA63172" w14:textId="77777777" w:rsidTr="00F239AF">
        <w:trPr>
          <w:trHeight w:val="25"/>
        </w:trPr>
        <w:tc>
          <w:tcPr>
            <w:tcW w:w="3327" w:type="dxa"/>
            <w:shd w:val="clear" w:color="auto" w:fill="auto"/>
            <w:tcMar>
              <w:top w:w="100" w:type="dxa"/>
              <w:left w:w="100" w:type="dxa"/>
              <w:bottom w:w="100" w:type="dxa"/>
              <w:right w:w="100" w:type="dxa"/>
            </w:tcMar>
            <w:vAlign w:val="bottom"/>
          </w:tcPr>
          <w:p w14:paraId="0A9E9803"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Hispanic</w:t>
            </w:r>
          </w:p>
        </w:tc>
        <w:tc>
          <w:tcPr>
            <w:tcW w:w="1205" w:type="dxa"/>
            <w:shd w:val="clear" w:color="auto" w:fill="auto"/>
            <w:tcMar>
              <w:top w:w="100" w:type="dxa"/>
              <w:left w:w="100" w:type="dxa"/>
              <w:bottom w:w="100" w:type="dxa"/>
              <w:right w:w="100" w:type="dxa"/>
            </w:tcMar>
            <w:vAlign w:val="bottom"/>
          </w:tcPr>
          <w:p w14:paraId="013A704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6.1%</w:t>
            </w:r>
          </w:p>
        </w:tc>
        <w:tc>
          <w:tcPr>
            <w:tcW w:w="2410" w:type="dxa"/>
            <w:shd w:val="clear" w:color="auto" w:fill="auto"/>
            <w:tcMar>
              <w:top w:w="100" w:type="dxa"/>
              <w:left w:w="100" w:type="dxa"/>
              <w:bottom w:w="100" w:type="dxa"/>
              <w:right w:w="100" w:type="dxa"/>
            </w:tcMar>
            <w:vAlign w:val="bottom"/>
          </w:tcPr>
          <w:p w14:paraId="39F113D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0.948 (0.778</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1.155)</w:t>
            </w:r>
          </w:p>
        </w:tc>
        <w:tc>
          <w:tcPr>
            <w:tcW w:w="2126" w:type="dxa"/>
            <w:shd w:val="clear" w:color="auto" w:fill="auto"/>
            <w:tcMar>
              <w:top w:w="100" w:type="dxa"/>
              <w:left w:w="100" w:type="dxa"/>
              <w:bottom w:w="100" w:type="dxa"/>
              <w:right w:w="100" w:type="dxa"/>
            </w:tcMar>
            <w:vAlign w:val="bottom"/>
          </w:tcPr>
          <w:p w14:paraId="709277E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0.942 (0.766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1.157)</w:t>
            </w:r>
          </w:p>
        </w:tc>
        <w:tc>
          <w:tcPr>
            <w:tcW w:w="1134" w:type="dxa"/>
            <w:shd w:val="clear" w:color="auto" w:fill="auto"/>
            <w:tcMar>
              <w:top w:w="100" w:type="dxa"/>
              <w:left w:w="100" w:type="dxa"/>
              <w:bottom w:w="100" w:type="dxa"/>
              <w:right w:w="100" w:type="dxa"/>
            </w:tcMar>
            <w:vAlign w:val="bottom"/>
          </w:tcPr>
          <w:p w14:paraId="3E0F57C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0.567</w:t>
            </w:r>
          </w:p>
        </w:tc>
      </w:tr>
      <w:tr w:rsidR="00932A95" w:rsidRPr="00932A95" w14:paraId="0D38DE27" w14:textId="77777777" w:rsidTr="00F239AF">
        <w:trPr>
          <w:trHeight w:val="25"/>
        </w:trPr>
        <w:tc>
          <w:tcPr>
            <w:tcW w:w="3327" w:type="dxa"/>
            <w:shd w:val="clear" w:color="auto" w:fill="auto"/>
            <w:tcMar>
              <w:top w:w="100" w:type="dxa"/>
              <w:left w:w="100" w:type="dxa"/>
              <w:bottom w:w="100" w:type="dxa"/>
              <w:right w:w="100" w:type="dxa"/>
            </w:tcMar>
            <w:vAlign w:val="bottom"/>
          </w:tcPr>
          <w:p w14:paraId="1BC3D44F"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Asian or Pacific Islander</w:t>
            </w:r>
          </w:p>
        </w:tc>
        <w:tc>
          <w:tcPr>
            <w:tcW w:w="1205" w:type="dxa"/>
            <w:shd w:val="clear" w:color="auto" w:fill="auto"/>
            <w:tcMar>
              <w:top w:w="100" w:type="dxa"/>
              <w:left w:w="100" w:type="dxa"/>
              <w:bottom w:w="100" w:type="dxa"/>
              <w:right w:w="100" w:type="dxa"/>
            </w:tcMar>
            <w:vAlign w:val="bottom"/>
          </w:tcPr>
          <w:p w14:paraId="42B491C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6.6%</w:t>
            </w:r>
          </w:p>
        </w:tc>
        <w:tc>
          <w:tcPr>
            <w:tcW w:w="2410" w:type="dxa"/>
            <w:shd w:val="clear" w:color="auto" w:fill="auto"/>
            <w:tcMar>
              <w:top w:w="100" w:type="dxa"/>
              <w:left w:w="100" w:type="dxa"/>
              <w:bottom w:w="100" w:type="dxa"/>
              <w:right w:w="100" w:type="dxa"/>
            </w:tcMar>
            <w:vAlign w:val="bottom"/>
          </w:tcPr>
          <w:p w14:paraId="24491FD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1.040 (0.621</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1.742)</w:t>
            </w:r>
          </w:p>
        </w:tc>
        <w:tc>
          <w:tcPr>
            <w:tcW w:w="2126" w:type="dxa"/>
            <w:shd w:val="clear" w:color="auto" w:fill="auto"/>
            <w:tcMar>
              <w:top w:w="100" w:type="dxa"/>
              <w:left w:w="100" w:type="dxa"/>
              <w:bottom w:w="100" w:type="dxa"/>
              <w:right w:w="100" w:type="dxa"/>
            </w:tcMar>
            <w:vAlign w:val="bottom"/>
          </w:tcPr>
          <w:p w14:paraId="245641F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1.046 (0.619</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1.768)</w:t>
            </w:r>
          </w:p>
        </w:tc>
        <w:tc>
          <w:tcPr>
            <w:tcW w:w="1134" w:type="dxa"/>
            <w:shd w:val="clear" w:color="auto" w:fill="auto"/>
            <w:tcMar>
              <w:top w:w="100" w:type="dxa"/>
              <w:left w:w="100" w:type="dxa"/>
              <w:bottom w:w="100" w:type="dxa"/>
              <w:right w:w="100" w:type="dxa"/>
            </w:tcMar>
            <w:vAlign w:val="bottom"/>
          </w:tcPr>
          <w:p w14:paraId="1C2D343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0.867</w:t>
            </w:r>
          </w:p>
        </w:tc>
      </w:tr>
      <w:tr w:rsidR="00932A95" w:rsidRPr="00932A95" w14:paraId="0AFF0298" w14:textId="77777777" w:rsidTr="00F239AF">
        <w:trPr>
          <w:trHeight w:val="25"/>
        </w:trPr>
        <w:tc>
          <w:tcPr>
            <w:tcW w:w="3327" w:type="dxa"/>
            <w:shd w:val="clear" w:color="auto" w:fill="auto"/>
            <w:tcMar>
              <w:top w:w="100" w:type="dxa"/>
              <w:left w:w="100" w:type="dxa"/>
              <w:bottom w:w="100" w:type="dxa"/>
              <w:right w:w="100" w:type="dxa"/>
            </w:tcMar>
            <w:vAlign w:val="bottom"/>
          </w:tcPr>
          <w:p w14:paraId="59AF2C2C"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Native American</w:t>
            </w:r>
          </w:p>
        </w:tc>
        <w:tc>
          <w:tcPr>
            <w:tcW w:w="1205" w:type="dxa"/>
            <w:shd w:val="clear" w:color="auto" w:fill="auto"/>
            <w:tcMar>
              <w:top w:w="100" w:type="dxa"/>
              <w:left w:w="100" w:type="dxa"/>
              <w:bottom w:w="100" w:type="dxa"/>
              <w:right w:w="100" w:type="dxa"/>
            </w:tcMar>
            <w:vAlign w:val="bottom"/>
          </w:tcPr>
          <w:p w14:paraId="303E820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6.7%</w:t>
            </w:r>
          </w:p>
        </w:tc>
        <w:tc>
          <w:tcPr>
            <w:tcW w:w="2410" w:type="dxa"/>
            <w:shd w:val="clear" w:color="auto" w:fill="auto"/>
            <w:tcMar>
              <w:top w:w="100" w:type="dxa"/>
              <w:left w:w="100" w:type="dxa"/>
              <w:bottom w:w="100" w:type="dxa"/>
              <w:right w:w="100" w:type="dxa"/>
            </w:tcMar>
            <w:vAlign w:val="bottom"/>
          </w:tcPr>
          <w:p w14:paraId="6910266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1.062 (0.587</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1.922)</w:t>
            </w:r>
          </w:p>
        </w:tc>
        <w:tc>
          <w:tcPr>
            <w:tcW w:w="2126" w:type="dxa"/>
            <w:shd w:val="clear" w:color="auto" w:fill="auto"/>
            <w:tcMar>
              <w:top w:w="100" w:type="dxa"/>
              <w:left w:w="100" w:type="dxa"/>
              <w:bottom w:w="100" w:type="dxa"/>
              <w:right w:w="100" w:type="dxa"/>
            </w:tcMar>
            <w:vAlign w:val="bottom"/>
          </w:tcPr>
          <w:p w14:paraId="2B9E3D0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1.071 (0.572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2.002)</w:t>
            </w:r>
          </w:p>
        </w:tc>
        <w:tc>
          <w:tcPr>
            <w:tcW w:w="1134" w:type="dxa"/>
            <w:shd w:val="clear" w:color="auto" w:fill="auto"/>
            <w:tcMar>
              <w:top w:w="100" w:type="dxa"/>
              <w:left w:w="100" w:type="dxa"/>
              <w:bottom w:w="100" w:type="dxa"/>
              <w:right w:w="100" w:type="dxa"/>
            </w:tcMar>
            <w:vAlign w:val="bottom"/>
          </w:tcPr>
          <w:p w14:paraId="7097CF7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0.831</w:t>
            </w:r>
          </w:p>
        </w:tc>
      </w:tr>
      <w:tr w:rsidR="00932A95" w:rsidRPr="00932A95" w14:paraId="1353C1F2" w14:textId="77777777" w:rsidTr="00F239AF">
        <w:trPr>
          <w:trHeight w:val="25"/>
        </w:trPr>
        <w:tc>
          <w:tcPr>
            <w:tcW w:w="3327" w:type="dxa"/>
            <w:shd w:val="clear" w:color="auto" w:fill="auto"/>
            <w:tcMar>
              <w:top w:w="100" w:type="dxa"/>
              <w:left w:w="100" w:type="dxa"/>
              <w:bottom w:w="100" w:type="dxa"/>
              <w:right w:w="100" w:type="dxa"/>
            </w:tcMar>
            <w:vAlign w:val="bottom"/>
          </w:tcPr>
          <w:p w14:paraId="74132628"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205" w:type="dxa"/>
            <w:shd w:val="clear" w:color="auto" w:fill="auto"/>
            <w:tcMar>
              <w:top w:w="100" w:type="dxa"/>
              <w:left w:w="100" w:type="dxa"/>
              <w:bottom w:w="100" w:type="dxa"/>
              <w:right w:w="100" w:type="dxa"/>
            </w:tcMar>
            <w:vAlign w:val="bottom"/>
          </w:tcPr>
          <w:p w14:paraId="1DABBB6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7.6%</w:t>
            </w:r>
          </w:p>
        </w:tc>
        <w:tc>
          <w:tcPr>
            <w:tcW w:w="2410" w:type="dxa"/>
            <w:shd w:val="clear" w:color="auto" w:fill="auto"/>
            <w:tcMar>
              <w:top w:w="100" w:type="dxa"/>
              <w:left w:w="100" w:type="dxa"/>
              <w:bottom w:w="100" w:type="dxa"/>
              <w:right w:w="100" w:type="dxa"/>
            </w:tcMar>
            <w:vAlign w:val="bottom"/>
          </w:tcPr>
          <w:p w14:paraId="604217D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1.214 (0.971</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1.518)</w:t>
            </w:r>
          </w:p>
        </w:tc>
        <w:tc>
          <w:tcPr>
            <w:tcW w:w="2126" w:type="dxa"/>
            <w:shd w:val="clear" w:color="auto" w:fill="auto"/>
            <w:tcMar>
              <w:top w:w="100" w:type="dxa"/>
              <w:left w:w="100" w:type="dxa"/>
              <w:bottom w:w="100" w:type="dxa"/>
              <w:right w:w="100" w:type="dxa"/>
            </w:tcMar>
            <w:vAlign w:val="bottom"/>
          </w:tcPr>
          <w:p w14:paraId="62998BB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1.131 (0.895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1.429)</w:t>
            </w:r>
          </w:p>
        </w:tc>
        <w:tc>
          <w:tcPr>
            <w:tcW w:w="1134" w:type="dxa"/>
            <w:shd w:val="clear" w:color="auto" w:fill="auto"/>
            <w:tcMar>
              <w:top w:w="100" w:type="dxa"/>
              <w:left w:w="100" w:type="dxa"/>
              <w:bottom w:w="100" w:type="dxa"/>
              <w:right w:w="100" w:type="dxa"/>
            </w:tcMar>
            <w:vAlign w:val="bottom"/>
          </w:tcPr>
          <w:p w14:paraId="3792BC6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0.304</w:t>
            </w:r>
          </w:p>
        </w:tc>
      </w:tr>
      <w:tr w:rsidR="00932A95" w:rsidRPr="00932A95" w14:paraId="2FBB6788" w14:textId="77777777" w:rsidTr="00F239AF">
        <w:trPr>
          <w:trHeight w:val="25"/>
        </w:trPr>
        <w:tc>
          <w:tcPr>
            <w:tcW w:w="3327" w:type="dxa"/>
            <w:shd w:val="clear" w:color="auto" w:fill="auto"/>
            <w:tcMar>
              <w:top w:w="100" w:type="dxa"/>
              <w:left w:w="100" w:type="dxa"/>
              <w:bottom w:w="100" w:type="dxa"/>
              <w:right w:w="100" w:type="dxa"/>
            </w:tcMar>
            <w:vAlign w:val="bottom"/>
          </w:tcPr>
          <w:p w14:paraId="0F442FA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Primary payer</w:t>
            </w:r>
          </w:p>
        </w:tc>
        <w:tc>
          <w:tcPr>
            <w:tcW w:w="1205" w:type="dxa"/>
            <w:shd w:val="clear" w:color="auto" w:fill="auto"/>
            <w:tcMar>
              <w:top w:w="100" w:type="dxa"/>
              <w:left w:w="100" w:type="dxa"/>
              <w:bottom w:w="100" w:type="dxa"/>
              <w:right w:w="100" w:type="dxa"/>
            </w:tcMar>
            <w:vAlign w:val="bottom"/>
          </w:tcPr>
          <w:p w14:paraId="45E562ED"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0C10F39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15DCB5D"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064F6AA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5307FAC3" w14:textId="77777777" w:rsidTr="00F239AF">
        <w:trPr>
          <w:trHeight w:val="25"/>
        </w:trPr>
        <w:tc>
          <w:tcPr>
            <w:tcW w:w="3327" w:type="dxa"/>
            <w:shd w:val="clear" w:color="auto" w:fill="auto"/>
            <w:tcMar>
              <w:top w:w="100" w:type="dxa"/>
              <w:left w:w="100" w:type="dxa"/>
              <w:bottom w:w="100" w:type="dxa"/>
              <w:right w:w="100" w:type="dxa"/>
            </w:tcMar>
            <w:vAlign w:val="bottom"/>
          </w:tcPr>
          <w:p w14:paraId="437F89B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Medicare</w:t>
            </w:r>
          </w:p>
        </w:tc>
        <w:tc>
          <w:tcPr>
            <w:tcW w:w="1205" w:type="dxa"/>
            <w:shd w:val="clear" w:color="auto" w:fill="auto"/>
            <w:tcMar>
              <w:top w:w="100" w:type="dxa"/>
              <w:left w:w="100" w:type="dxa"/>
              <w:bottom w:w="100" w:type="dxa"/>
              <w:right w:w="100" w:type="dxa"/>
            </w:tcMar>
            <w:vAlign w:val="bottom"/>
          </w:tcPr>
          <w:p w14:paraId="0ED3A3C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6.7%</w:t>
            </w:r>
          </w:p>
        </w:tc>
        <w:tc>
          <w:tcPr>
            <w:tcW w:w="2410" w:type="dxa"/>
            <w:shd w:val="clear" w:color="auto" w:fill="auto"/>
            <w:tcMar>
              <w:top w:w="100" w:type="dxa"/>
              <w:left w:w="100" w:type="dxa"/>
              <w:bottom w:w="100" w:type="dxa"/>
              <w:right w:w="100" w:type="dxa"/>
            </w:tcMar>
            <w:vAlign w:val="bottom"/>
          </w:tcPr>
          <w:p w14:paraId="683E434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37A914E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6C92B3C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24B5D5B" w14:textId="77777777" w:rsidTr="00F239AF">
        <w:trPr>
          <w:trHeight w:val="25"/>
        </w:trPr>
        <w:tc>
          <w:tcPr>
            <w:tcW w:w="3327" w:type="dxa"/>
            <w:shd w:val="clear" w:color="auto" w:fill="auto"/>
            <w:tcMar>
              <w:top w:w="100" w:type="dxa"/>
              <w:left w:w="100" w:type="dxa"/>
              <w:bottom w:w="100" w:type="dxa"/>
              <w:right w:w="100" w:type="dxa"/>
            </w:tcMar>
            <w:vAlign w:val="bottom"/>
          </w:tcPr>
          <w:p w14:paraId="742BF57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Medicaid</w:t>
            </w:r>
          </w:p>
        </w:tc>
        <w:tc>
          <w:tcPr>
            <w:tcW w:w="1205" w:type="dxa"/>
            <w:shd w:val="clear" w:color="auto" w:fill="auto"/>
            <w:tcMar>
              <w:top w:w="100" w:type="dxa"/>
              <w:left w:w="100" w:type="dxa"/>
              <w:bottom w:w="100" w:type="dxa"/>
              <w:right w:w="100" w:type="dxa"/>
            </w:tcMar>
            <w:vAlign w:val="bottom"/>
          </w:tcPr>
          <w:p w14:paraId="55749BE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7.9%</w:t>
            </w:r>
          </w:p>
        </w:tc>
        <w:tc>
          <w:tcPr>
            <w:tcW w:w="2410" w:type="dxa"/>
            <w:shd w:val="clear" w:color="auto" w:fill="auto"/>
            <w:tcMar>
              <w:top w:w="100" w:type="dxa"/>
              <w:left w:w="100" w:type="dxa"/>
              <w:bottom w:w="100" w:type="dxa"/>
              <w:right w:w="100" w:type="dxa"/>
            </w:tcMar>
            <w:vAlign w:val="bottom"/>
          </w:tcPr>
          <w:p w14:paraId="758E372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1.180 (0.978</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1.423)</w:t>
            </w:r>
          </w:p>
        </w:tc>
        <w:tc>
          <w:tcPr>
            <w:tcW w:w="2126" w:type="dxa"/>
            <w:shd w:val="clear" w:color="auto" w:fill="auto"/>
            <w:tcMar>
              <w:top w:w="100" w:type="dxa"/>
              <w:left w:w="100" w:type="dxa"/>
              <w:bottom w:w="100" w:type="dxa"/>
              <w:right w:w="100" w:type="dxa"/>
            </w:tcMar>
            <w:vAlign w:val="bottom"/>
          </w:tcPr>
          <w:p w14:paraId="6BE6902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1.027 (0.844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1.250)</w:t>
            </w:r>
          </w:p>
        </w:tc>
        <w:tc>
          <w:tcPr>
            <w:tcW w:w="1134" w:type="dxa"/>
            <w:shd w:val="clear" w:color="auto" w:fill="auto"/>
            <w:tcMar>
              <w:top w:w="100" w:type="dxa"/>
              <w:left w:w="100" w:type="dxa"/>
              <w:bottom w:w="100" w:type="dxa"/>
              <w:right w:w="100" w:type="dxa"/>
            </w:tcMar>
            <w:vAlign w:val="bottom"/>
          </w:tcPr>
          <w:p w14:paraId="0735495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0.789</w:t>
            </w:r>
          </w:p>
        </w:tc>
      </w:tr>
      <w:tr w:rsidR="00932A95" w:rsidRPr="00932A95" w14:paraId="3D4AA464" w14:textId="77777777" w:rsidTr="00F239AF">
        <w:trPr>
          <w:trHeight w:val="25"/>
        </w:trPr>
        <w:tc>
          <w:tcPr>
            <w:tcW w:w="3327" w:type="dxa"/>
            <w:shd w:val="clear" w:color="auto" w:fill="auto"/>
            <w:tcMar>
              <w:top w:w="100" w:type="dxa"/>
              <w:left w:w="100" w:type="dxa"/>
              <w:bottom w:w="100" w:type="dxa"/>
              <w:right w:w="100" w:type="dxa"/>
            </w:tcMar>
            <w:vAlign w:val="bottom"/>
          </w:tcPr>
          <w:p w14:paraId="4049423A"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Private and HMO</w:t>
            </w:r>
          </w:p>
        </w:tc>
        <w:tc>
          <w:tcPr>
            <w:tcW w:w="1205" w:type="dxa"/>
            <w:shd w:val="clear" w:color="auto" w:fill="auto"/>
            <w:tcMar>
              <w:top w:w="100" w:type="dxa"/>
              <w:left w:w="100" w:type="dxa"/>
              <w:bottom w:w="100" w:type="dxa"/>
              <w:right w:w="100" w:type="dxa"/>
            </w:tcMar>
            <w:vAlign w:val="bottom"/>
          </w:tcPr>
          <w:p w14:paraId="557E809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6.0%</w:t>
            </w:r>
          </w:p>
        </w:tc>
        <w:tc>
          <w:tcPr>
            <w:tcW w:w="2410" w:type="dxa"/>
            <w:shd w:val="clear" w:color="auto" w:fill="auto"/>
            <w:tcMar>
              <w:top w:w="100" w:type="dxa"/>
              <w:left w:w="100" w:type="dxa"/>
              <w:bottom w:w="100" w:type="dxa"/>
              <w:right w:w="100" w:type="dxa"/>
            </w:tcMar>
            <w:vAlign w:val="bottom"/>
          </w:tcPr>
          <w:p w14:paraId="7116F7D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0.887 (0.729</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1.078)</w:t>
            </w:r>
          </w:p>
        </w:tc>
        <w:tc>
          <w:tcPr>
            <w:tcW w:w="2126" w:type="dxa"/>
            <w:shd w:val="clear" w:color="auto" w:fill="auto"/>
            <w:tcMar>
              <w:top w:w="100" w:type="dxa"/>
              <w:left w:w="100" w:type="dxa"/>
              <w:bottom w:w="100" w:type="dxa"/>
              <w:right w:w="100" w:type="dxa"/>
            </w:tcMar>
            <w:vAlign w:val="bottom"/>
          </w:tcPr>
          <w:p w14:paraId="192DEF2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0.837 (0.683</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1.026)</w:t>
            </w:r>
          </w:p>
        </w:tc>
        <w:tc>
          <w:tcPr>
            <w:tcW w:w="1134" w:type="dxa"/>
            <w:shd w:val="clear" w:color="auto" w:fill="auto"/>
            <w:tcMar>
              <w:top w:w="100" w:type="dxa"/>
              <w:left w:w="100" w:type="dxa"/>
              <w:bottom w:w="100" w:type="dxa"/>
              <w:right w:w="100" w:type="dxa"/>
            </w:tcMar>
            <w:vAlign w:val="bottom"/>
          </w:tcPr>
          <w:p w14:paraId="123CB07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0.087</w:t>
            </w:r>
          </w:p>
        </w:tc>
      </w:tr>
      <w:tr w:rsidR="00932A95" w:rsidRPr="00932A95" w14:paraId="68767BF8" w14:textId="77777777" w:rsidTr="00F239AF">
        <w:trPr>
          <w:trHeight w:val="25"/>
        </w:trPr>
        <w:tc>
          <w:tcPr>
            <w:tcW w:w="3327" w:type="dxa"/>
            <w:shd w:val="clear" w:color="auto" w:fill="auto"/>
            <w:tcMar>
              <w:top w:w="100" w:type="dxa"/>
              <w:left w:w="100" w:type="dxa"/>
              <w:bottom w:w="100" w:type="dxa"/>
              <w:right w:w="100" w:type="dxa"/>
            </w:tcMar>
            <w:vAlign w:val="bottom"/>
          </w:tcPr>
          <w:p w14:paraId="73915E0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Self-pay</w:t>
            </w:r>
          </w:p>
        </w:tc>
        <w:tc>
          <w:tcPr>
            <w:tcW w:w="1205" w:type="dxa"/>
            <w:shd w:val="clear" w:color="auto" w:fill="auto"/>
            <w:tcMar>
              <w:top w:w="100" w:type="dxa"/>
              <w:left w:w="100" w:type="dxa"/>
              <w:bottom w:w="100" w:type="dxa"/>
              <w:right w:w="100" w:type="dxa"/>
            </w:tcMar>
            <w:vAlign w:val="bottom"/>
          </w:tcPr>
          <w:p w14:paraId="2AD11A3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7.2%</w:t>
            </w:r>
          </w:p>
        </w:tc>
        <w:tc>
          <w:tcPr>
            <w:tcW w:w="2410" w:type="dxa"/>
            <w:shd w:val="clear" w:color="auto" w:fill="auto"/>
            <w:tcMar>
              <w:top w:w="100" w:type="dxa"/>
              <w:left w:w="100" w:type="dxa"/>
              <w:bottom w:w="100" w:type="dxa"/>
              <w:right w:w="100" w:type="dxa"/>
            </w:tcMar>
            <w:vAlign w:val="bottom"/>
          </w:tcPr>
          <w:p w14:paraId="32E8A55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1.069 (0.849</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1.346)</w:t>
            </w:r>
          </w:p>
        </w:tc>
        <w:tc>
          <w:tcPr>
            <w:tcW w:w="2126" w:type="dxa"/>
            <w:shd w:val="clear" w:color="auto" w:fill="auto"/>
            <w:tcMar>
              <w:top w:w="100" w:type="dxa"/>
              <w:left w:w="100" w:type="dxa"/>
              <w:bottom w:w="100" w:type="dxa"/>
              <w:right w:w="100" w:type="dxa"/>
            </w:tcMar>
            <w:vAlign w:val="bottom"/>
          </w:tcPr>
          <w:p w14:paraId="221C259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1.098 (0.864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1.395)</w:t>
            </w:r>
          </w:p>
        </w:tc>
        <w:tc>
          <w:tcPr>
            <w:tcW w:w="1134" w:type="dxa"/>
            <w:shd w:val="clear" w:color="auto" w:fill="auto"/>
            <w:tcMar>
              <w:top w:w="100" w:type="dxa"/>
              <w:left w:w="100" w:type="dxa"/>
              <w:bottom w:w="100" w:type="dxa"/>
              <w:right w:w="100" w:type="dxa"/>
            </w:tcMar>
            <w:vAlign w:val="bottom"/>
          </w:tcPr>
          <w:p w14:paraId="2CDAFF0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0.445</w:t>
            </w:r>
          </w:p>
        </w:tc>
      </w:tr>
      <w:tr w:rsidR="00932A95" w:rsidRPr="00932A95" w14:paraId="176DC2AB" w14:textId="77777777" w:rsidTr="00F239AF">
        <w:trPr>
          <w:trHeight w:val="25"/>
        </w:trPr>
        <w:tc>
          <w:tcPr>
            <w:tcW w:w="3327" w:type="dxa"/>
            <w:shd w:val="clear" w:color="auto" w:fill="auto"/>
            <w:tcMar>
              <w:top w:w="100" w:type="dxa"/>
              <w:left w:w="100" w:type="dxa"/>
              <w:bottom w:w="100" w:type="dxa"/>
              <w:right w:w="100" w:type="dxa"/>
            </w:tcMar>
            <w:vAlign w:val="bottom"/>
          </w:tcPr>
          <w:p w14:paraId="247EBD6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No charge</w:t>
            </w:r>
          </w:p>
        </w:tc>
        <w:tc>
          <w:tcPr>
            <w:tcW w:w="1205" w:type="dxa"/>
            <w:shd w:val="clear" w:color="auto" w:fill="auto"/>
            <w:tcMar>
              <w:top w:w="100" w:type="dxa"/>
              <w:left w:w="100" w:type="dxa"/>
              <w:bottom w:w="100" w:type="dxa"/>
              <w:right w:w="100" w:type="dxa"/>
            </w:tcMar>
            <w:vAlign w:val="bottom"/>
          </w:tcPr>
          <w:p w14:paraId="2D35BA6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4.0%</w:t>
            </w:r>
          </w:p>
        </w:tc>
        <w:tc>
          <w:tcPr>
            <w:tcW w:w="2410" w:type="dxa"/>
            <w:shd w:val="clear" w:color="auto" w:fill="auto"/>
            <w:tcMar>
              <w:top w:w="100" w:type="dxa"/>
              <w:left w:w="100" w:type="dxa"/>
              <w:bottom w:w="100" w:type="dxa"/>
              <w:right w:w="100" w:type="dxa"/>
            </w:tcMar>
            <w:vAlign w:val="bottom"/>
          </w:tcPr>
          <w:p w14:paraId="013C663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0.580 (0.254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1.326)</w:t>
            </w:r>
          </w:p>
        </w:tc>
        <w:tc>
          <w:tcPr>
            <w:tcW w:w="2126" w:type="dxa"/>
            <w:shd w:val="clear" w:color="auto" w:fill="auto"/>
            <w:tcMar>
              <w:top w:w="100" w:type="dxa"/>
              <w:left w:w="100" w:type="dxa"/>
              <w:bottom w:w="100" w:type="dxa"/>
              <w:right w:w="100" w:type="dxa"/>
            </w:tcMar>
            <w:vAlign w:val="bottom"/>
          </w:tcPr>
          <w:p w14:paraId="052A4EA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0.517 (0.214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1.247)</w:t>
            </w:r>
          </w:p>
        </w:tc>
        <w:tc>
          <w:tcPr>
            <w:tcW w:w="1134" w:type="dxa"/>
            <w:shd w:val="clear" w:color="auto" w:fill="auto"/>
            <w:tcMar>
              <w:top w:w="100" w:type="dxa"/>
              <w:left w:w="100" w:type="dxa"/>
              <w:bottom w:w="100" w:type="dxa"/>
              <w:right w:w="100" w:type="dxa"/>
            </w:tcMar>
            <w:vAlign w:val="bottom"/>
          </w:tcPr>
          <w:p w14:paraId="4318547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0.142</w:t>
            </w:r>
          </w:p>
        </w:tc>
      </w:tr>
      <w:tr w:rsidR="00932A95" w:rsidRPr="00932A95" w14:paraId="7B1CD5EA" w14:textId="77777777" w:rsidTr="00F239AF">
        <w:trPr>
          <w:trHeight w:val="360"/>
        </w:trPr>
        <w:tc>
          <w:tcPr>
            <w:tcW w:w="3327" w:type="dxa"/>
            <w:shd w:val="clear" w:color="auto" w:fill="auto"/>
            <w:tcMar>
              <w:top w:w="100" w:type="dxa"/>
              <w:left w:w="100" w:type="dxa"/>
              <w:bottom w:w="100" w:type="dxa"/>
              <w:right w:w="100" w:type="dxa"/>
            </w:tcMar>
            <w:vAlign w:val="bottom"/>
          </w:tcPr>
          <w:p w14:paraId="68D1D563"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205" w:type="dxa"/>
            <w:shd w:val="clear" w:color="auto" w:fill="auto"/>
            <w:tcMar>
              <w:top w:w="100" w:type="dxa"/>
              <w:left w:w="100" w:type="dxa"/>
              <w:bottom w:w="100" w:type="dxa"/>
              <w:right w:w="100" w:type="dxa"/>
            </w:tcMar>
            <w:vAlign w:val="bottom"/>
          </w:tcPr>
          <w:p w14:paraId="54F42AC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4.9%</w:t>
            </w:r>
          </w:p>
        </w:tc>
        <w:tc>
          <w:tcPr>
            <w:tcW w:w="2410" w:type="dxa"/>
            <w:shd w:val="clear" w:color="auto" w:fill="auto"/>
            <w:tcMar>
              <w:top w:w="100" w:type="dxa"/>
              <w:left w:w="100" w:type="dxa"/>
              <w:bottom w:w="100" w:type="dxa"/>
              <w:right w:w="100" w:type="dxa"/>
            </w:tcMar>
            <w:vAlign w:val="bottom"/>
          </w:tcPr>
          <w:p w14:paraId="361AF3A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0.706 (0.487</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1.025)</w:t>
            </w:r>
          </w:p>
        </w:tc>
        <w:tc>
          <w:tcPr>
            <w:tcW w:w="2126" w:type="dxa"/>
            <w:shd w:val="clear" w:color="auto" w:fill="auto"/>
            <w:tcMar>
              <w:top w:w="100" w:type="dxa"/>
              <w:left w:w="100" w:type="dxa"/>
              <w:bottom w:w="100" w:type="dxa"/>
              <w:right w:w="100" w:type="dxa"/>
            </w:tcMar>
            <w:vAlign w:val="bottom"/>
          </w:tcPr>
          <w:p w14:paraId="43015CA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0.671 (0.456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0.988)</w:t>
            </w:r>
          </w:p>
        </w:tc>
        <w:tc>
          <w:tcPr>
            <w:tcW w:w="1134" w:type="dxa"/>
            <w:shd w:val="clear" w:color="auto" w:fill="auto"/>
            <w:tcMar>
              <w:top w:w="100" w:type="dxa"/>
              <w:left w:w="100" w:type="dxa"/>
              <w:bottom w:w="100" w:type="dxa"/>
              <w:right w:w="100" w:type="dxa"/>
            </w:tcMar>
            <w:vAlign w:val="bottom"/>
          </w:tcPr>
          <w:p w14:paraId="264D35F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0.043</w:t>
            </w:r>
          </w:p>
        </w:tc>
      </w:tr>
      <w:tr w:rsidR="00932A95" w:rsidRPr="00932A95" w14:paraId="463C35D4" w14:textId="77777777" w:rsidTr="00F239AF">
        <w:trPr>
          <w:trHeight w:val="25"/>
        </w:trPr>
        <w:tc>
          <w:tcPr>
            <w:tcW w:w="3327" w:type="dxa"/>
            <w:shd w:val="clear" w:color="auto" w:fill="auto"/>
            <w:tcMar>
              <w:top w:w="100" w:type="dxa"/>
              <w:left w:w="100" w:type="dxa"/>
              <w:bottom w:w="100" w:type="dxa"/>
              <w:right w:w="100" w:type="dxa"/>
            </w:tcMar>
            <w:vAlign w:val="bottom"/>
          </w:tcPr>
          <w:p w14:paraId="1C477C41" w14:textId="77777777" w:rsidR="0011433B" w:rsidRPr="00932A95" w:rsidRDefault="002F52BB" w:rsidP="00374FC0">
            <w:pPr>
              <w:spacing w:line="360" w:lineRule="auto"/>
              <w:ind w:hanging="20"/>
              <w:jc w:val="both"/>
              <w:rPr>
                <w:rFonts w:ascii="Book Antiqua" w:hAnsi="Book Antiqua" w:cs="Book Antiqua"/>
                <w:color w:val="auto"/>
                <w:sz w:val="24"/>
                <w:szCs w:val="24"/>
              </w:rPr>
            </w:pPr>
            <w:r w:rsidRPr="00932A95">
              <w:rPr>
                <w:rFonts w:ascii="Book Antiqua" w:hAnsi="Book Antiqua" w:cs="Book Antiqua"/>
                <w:color w:val="auto"/>
                <w:sz w:val="24"/>
                <w:szCs w:val="24"/>
              </w:rPr>
              <w:t>Hospital bed size</w:t>
            </w:r>
          </w:p>
        </w:tc>
        <w:tc>
          <w:tcPr>
            <w:tcW w:w="1205" w:type="dxa"/>
            <w:shd w:val="clear" w:color="auto" w:fill="auto"/>
            <w:tcMar>
              <w:top w:w="100" w:type="dxa"/>
              <w:left w:w="100" w:type="dxa"/>
              <w:bottom w:w="100" w:type="dxa"/>
              <w:right w:w="100" w:type="dxa"/>
            </w:tcMar>
            <w:vAlign w:val="bottom"/>
          </w:tcPr>
          <w:p w14:paraId="7D768208"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4667647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7870BB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62D9526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1CDE60AE" w14:textId="77777777" w:rsidTr="00F239AF">
        <w:trPr>
          <w:trHeight w:val="25"/>
        </w:trPr>
        <w:tc>
          <w:tcPr>
            <w:tcW w:w="3327" w:type="dxa"/>
            <w:shd w:val="clear" w:color="auto" w:fill="auto"/>
            <w:tcMar>
              <w:top w:w="100" w:type="dxa"/>
              <w:left w:w="100" w:type="dxa"/>
              <w:bottom w:w="100" w:type="dxa"/>
              <w:right w:w="100" w:type="dxa"/>
            </w:tcMar>
            <w:vAlign w:val="bottom"/>
          </w:tcPr>
          <w:p w14:paraId="0EE9E720"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Small</w:t>
            </w:r>
          </w:p>
        </w:tc>
        <w:tc>
          <w:tcPr>
            <w:tcW w:w="1205" w:type="dxa"/>
            <w:shd w:val="clear" w:color="auto" w:fill="auto"/>
            <w:tcMar>
              <w:top w:w="100" w:type="dxa"/>
              <w:left w:w="100" w:type="dxa"/>
              <w:bottom w:w="100" w:type="dxa"/>
              <w:right w:w="100" w:type="dxa"/>
            </w:tcMar>
            <w:vAlign w:val="bottom"/>
          </w:tcPr>
          <w:p w14:paraId="3E5479B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5.2%</w:t>
            </w:r>
          </w:p>
        </w:tc>
        <w:tc>
          <w:tcPr>
            <w:tcW w:w="2410" w:type="dxa"/>
            <w:shd w:val="clear" w:color="auto" w:fill="auto"/>
            <w:tcMar>
              <w:top w:w="100" w:type="dxa"/>
              <w:left w:w="100" w:type="dxa"/>
              <w:bottom w:w="100" w:type="dxa"/>
              <w:right w:w="100" w:type="dxa"/>
            </w:tcMar>
            <w:vAlign w:val="bottom"/>
          </w:tcPr>
          <w:p w14:paraId="49CD1E3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5D0D168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5A26C84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7D21CEC6" w14:textId="77777777" w:rsidTr="00F239AF">
        <w:trPr>
          <w:trHeight w:val="25"/>
        </w:trPr>
        <w:tc>
          <w:tcPr>
            <w:tcW w:w="3327" w:type="dxa"/>
            <w:shd w:val="clear" w:color="auto" w:fill="auto"/>
            <w:tcMar>
              <w:top w:w="100" w:type="dxa"/>
              <w:left w:w="100" w:type="dxa"/>
              <w:bottom w:w="100" w:type="dxa"/>
              <w:right w:w="100" w:type="dxa"/>
            </w:tcMar>
            <w:vAlign w:val="bottom"/>
          </w:tcPr>
          <w:p w14:paraId="1A2FA39E"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Medium</w:t>
            </w:r>
          </w:p>
        </w:tc>
        <w:tc>
          <w:tcPr>
            <w:tcW w:w="1205" w:type="dxa"/>
            <w:shd w:val="clear" w:color="auto" w:fill="auto"/>
            <w:tcMar>
              <w:top w:w="100" w:type="dxa"/>
              <w:left w:w="100" w:type="dxa"/>
              <w:bottom w:w="100" w:type="dxa"/>
              <w:right w:w="100" w:type="dxa"/>
            </w:tcMar>
            <w:vAlign w:val="bottom"/>
          </w:tcPr>
          <w:p w14:paraId="30A4A4EA" w14:textId="77777777" w:rsidR="0011433B" w:rsidRPr="00932A95" w:rsidRDefault="002F52BB" w:rsidP="00374FC0">
            <w:pPr>
              <w:spacing w:line="360" w:lineRule="auto"/>
              <w:ind w:left="-20"/>
              <w:jc w:val="both"/>
              <w:rPr>
                <w:rFonts w:ascii="Book Antiqua" w:hAnsi="Book Antiqua" w:cs="Book Antiqua"/>
                <w:color w:val="auto"/>
                <w:sz w:val="24"/>
                <w:szCs w:val="24"/>
              </w:rPr>
            </w:pPr>
            <w:r w:rsidRPr="00932A95">
              <w:rPr>
                <w:rFonts w:ascii="Book Antiqua" w:hAnsi="Book Antiqua" w:cs="Book Antiqua"/>
                <w:color w:val="auto"/>
                <w:sz w:val="24"/>
                <w:szCs w:val="24"/>
              </w:rPr>
              <w:t>5.8%</w:t>
            </w:r>
          </w:p>
        </w:tc>
        <w:tc>
          <w:tcPr>
            <w:tcW w:w="2410" w:type="dxa"/>
            <w:shd w:val="clear" w:color="auto" w:fill="auto"/>
            <w:tcMar>
              <w:top w:w="100" w:type="dxa"/>
              <w:left w:w="100" w:type="dxa"/>
              <w:bottom w:w="100" w:type="dxa"/>
              <w:right w:w="100" w:type="dxa"/>
            </w:tcMar>
            <w:vAlign w:val="bottom"/>
          </w:tcPr>
          <w:p w14:paraId="3757678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1.115 (0.836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1.486)</w:t>
            </w:r>
          </w:p>
        </w:tc>
        <w:tc>
          <w:tcPr>
            <w:tcW w:w="2126" w:type="dxa"/>
            <w:shd w:val="clear" w:color="auto" w:fill="auto"/>
            <w:tcMar>
              <w:top w:w="100" w:type="dxa"/>
              <w:left w:w="100" w:type="dxa"/>
              <w:bottom w:w="100" w:type="dxa"/>
              <w:right w:w="100" w:type="dxa"/>
            </w:tcMar>
            <w:vAlign w:val="bottom"/>
          </w:tcPr>
          <w:p w14:paraId="2F2C24B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1.094 (0.814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1.470)</w:t>
            </w:r>
          </w:p>
        </w:tc>
        <w:tc>
          <w:tcPr>
            <w:tcW w:w="1134" w:type="dxa"/>
            <w:shd w:val="clear" w:color="auto" w:fill="auto"/>
            <w:tcMar>
              <w:top w:w="100" w:type="dxa"/>
              <w:left w:w="100" w:type="dxa"/>
              <w:bottom w:w="100" w:type="dxa"/>
              <w:right w:w="100" w:type="dxa"/>
            </w:tcMar>
            <w:vAlign w:val="bottom"/>
          </w:tcPr>
          <w:p w14:paraId="4B89B64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0.551</w:t>
            </w:r>
          </w:p>
        </w:tc>
      </w:tr>
      <w:tr w:rsidR="00932A95" w:rsidRPr="00932A95" w14:paraId="7E3894A6" w14:textId="77777777" w:rsidTr="00F239AF">
        <w:trPr>
          <w:trHeight w:val="25"/>
        </w:trPr>
        <w:tc>
          <w:tcPr>
            <w:tcW w:w="3327" w:type="dxa"/>
            <w:shd w:val="clear" w:color="auto" w:fill="auto"/>
            <w:tcMar>
              <w:top w:w="100" w:type="dxa"/>
              <w:left w:w="100" w:type="dxa"/>
              <w:bottom w:w="100" w:type="dxa"/>
              <w:right w:w="100" w:type="dxa"/>
            </w:tcMar>
            <w:vAlign w:val="bottom"/>
          </w:tcPr>
          <w:p w14:paraId="1506891A"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Large</w:t>
            </w:r>
          </w:p>
        </w:tc>
        <w:tc>
          <w:tcPr>
            <w:tcW w:w="1205" w:type="dxa"/>
            <w:shd w:val="clear" w:color="auto" w:fill="auto"/>
            <w:tcMar>
              <w:top w:w="100" w:type="dxa"/>
              <w:left w:w="100" w:type="dxa"/>
              <w:bottom w:w="100" w:type="dxa"/>
              <w:right w:w="100" w:type="dxa"/>
            </w:tcMar>
            <w:vAlign w:val="bottom"/>
          </w:tcPr>
          <w:p w14:paraId="36C677F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7.4%</w:t>
            </w:r>
          </w:p>
        </w:tc>
        <w:tc>
          <w:tcPr>
            <w:tcW w:w="2410" w:type="dxa"/>
            <w:shd w:val="clear" w:color="auto" w:fill="auto"/>
            <w:tcMar>
              <w:top w:w="100" w:type="dxa"/>
              <w:left w:w="100" w:type="dxa"/>
              <w:bottom w:w="100" w:type="dxa"/>
              <w:right w:w="100" w:type="dxa"/>
            </w:tcMar>
            <w:vAlign w:val="bottom"/>
          </w:tcPr>
          <w:p w14:paraId="76F64B6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1.458 (1.123</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1.892)</w:t>
            </w:r>
          </w:p>
        </w:tc>
        <w:tc>
          <w:tcPr>
            <w:tcW w:w="2126" w:type="dxa"/>
            <w:shd w:val="clear" w:color="auto" w:fill="auto"/>
            <w:tcMar>
              <w:top w:w="100" w:type="dxa"/>
              <w:left w:w="100" w:type="dxa"/>
              <w:bottom w:w="100" w:type="dxa"/>
              <w:right w:w="100" w:type="dxa"/>
            </w:tcMar>
            <w:vAlign w:val="bottom"/>
          </w:tcPr>
          <w:p w14:paraId="61B7791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1.272 (0.970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1.668)</w:t>
            </w:r>
          </w:p>
        </w:tc>
        <w:tc>
          <w:tcPr>
            <w:tcW w:w="1134" w:type="dxa"/>
            <w:shd w:val="clear" w:color="auto" w:fill="auto"/>
            <w:tcMar>
              <w:top w:w="100" w:type="dxa"/>
              <w:left w:w="100" w:type="dxa"/>
              <w:bottom w:w="100" w:type="dxa"/>
              <w:right w:w="100" w:type="dxa"/>
            </w:tcMar>
            <w:vAlign w:val="bottom"/>
          </w:tcPr>
          <w:p w14:paraId="56AE77D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0.082</w:t>
            </w:r>
          </w:p>
        </w:tc>
      </w:tr>
      <w:tr w:rsidR="00932A95" w:rsidRPr="00932A95" w14:paraId="32C45710" w14:textId="77777777" w:rsidTr="00F239AF">
        <w:trPr>
          <w:trHeight w:val="25"/>
        </w:trPr>
        <w:tc>
          <w:tcPr>
            <w:tcW w:w="3327" w:type="dxa"/>
            <w:shd w:val="clear" w:color="auto" w:fill="auto"/>
            <w:tcMar>
              <w:top w:w="100" w:type="dxa"/>
              <w:left w:w="100" w:type="dxa"/>
              <w:bottom w:w="100" w:type="dxa"/>
              <w:right w:w="100" w:type="dxa"/>
            </w:tcMar>
            <w:vAlign w:val="bottom"/>
          </w:tcPr>
          <w:p w14:paraId="5BAB95D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 region</w:t>
            </w:r>
          </w:p>
        </w:tc>
        <w:tc>
          <w:tcPr>
            <w:tcW w:w="1205" w:type="dxa"/>
            <w:shd w:val="clear" w:color="auto" w:fill="auto"/>
            <w:tcMar>
              <w:top w:w="100" w:type="dxa"/>
              <w:left w:w="100" w:type="dxa"/>
              <w:bottom w:w="100" w:type="dxa"/>
              <w:right w:w="100" w:type="dxa"/>
            </w:tcMar>
            <w:vAlign w:val="bottom"/>
          </w:tcPr>
          <w:p w14:paraId="609F7A52"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61247E3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500C044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780D56B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0.143</w:t>
            </w:r>
          </w:p>
        </w:tc>
      </w:tr>
      <w:tr w:rsidR="00932A95" w:rsidRPr="00932A95" w14:paraId="34D7E3C2" w14:textId="77777777" w:rsidTr="00F239AF">
        <w:trPr>
          <w:trHeight w:val="25"/>
        </w:trPr>
        <w:tc>
          <w:tcPr>
            <w:tcW w:w="3327" w:type="dxa"/>
            <w:shd w:val="clear" w:color="auto" w:fill="auto"/>
            <w:tcMar>
              <w:top w:w="100" w:type="dxa"/>
              <w:left w:w="100" w:type="dxa"/>
              <w:bottom w:w="100" w:type="dxa"/>
              <w:right w:w="100" w:type="dxa"/>
            </w:tcMar>
            <w:vAlign w:val="bottom"/>
          </w:tcPr>
          <w:p w14:paraId="314CDDA6"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Northeast</w:t>
            </w:r>
          </w:p>
        </w:tc>
        <w:tc>
          <w:tcPr>
            <w:tcW w:w="1205" w:type="dxa"/>
            <w:shd w:val="clear" w:color="auto" w:fill="auto"/>
            <w:tcMar>
              <w:top w:w="100" w:type="dxa"/>
              <w:left w:w="100" w:type="dxa"/>
              <w:bottom w:w="100" w:type="dxa"/>
              <w:right w:w="100" w:type="dxa"/>
            </w:tcMar>
            <w:vAlign w:val="bottom"/>
          </w:tcPr>
          <w:p w14:paraId="6CE0052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7.4%</w:t>
            </w:r>
          </w:p>
        </w:tc>
        <w:tc>
          <w:tcPr>
            <w:tcW w:w="2410" w:type="dxa"/>
            <w:shd w:val="clear" w:color="auto" w:fill="auto"/>
            <w:tcMar>
              <w:top w:w="100" w:type="dxa"/>
              <w:left w:w="100" w:type="dxa"/>
              <w:bottom w:w="100" w:type="dxa"/>
              <w:right w:w="100" w:type="dxa"/>
            </w:tcMar>
            <w:vAlign w:val="bottom"/>
          </w:tcPr>
          <w:p w14:paraId="6933109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6711810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259088AC"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33FFCFA" w14:textId="77777777" w:rsidTr="00F239AF">
        <w:trPr>
          <w:trHeight w:val="25"/>
        </w:trPr>
        <w:tc>
          <w:tcPr>
            <w:tcW w:w="3327" w:type="dxa"/>
            <w:shd w:val="clear" w:color="auto" w:fill="auto"/>
            <w:tcMar>
              <w:top w:w="100" w:type="dxa"/>
              <w:left w:w="100" w:type="dxa"/>
              <w:bottom w:w="100" w:type="dxa"/>
              <w:right w:w="100" w:type="dxa"/>
            </w:tcMar>
            <w:vAlign w:val="bottom"/>
          </w:tcPr>
          <w:p w14:paraId="594968EF"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Midwest</w:t>
            </w:r>
          </w:p>
        </w:tc>
        <w:tc>
          <w:tcPr>
            <w:tcW w:w="1205" w:type="dxa"/>
            <w:shd w:val="clear" w:color="auto" w:fill="auto"/>
            <w:tcMar>
              <w:top w:w="100" w:type="dxa"/>
              <w:left w:w="100" w:type="dxa"/>
              <w:bottom w:w="100" w:type="dxa"/>
              <w:right w:w="100" w:type="dxa"/>
            </w:tcMar>
            <w:vAlign w:val="bottom"/>
          </w:tcPr>
          <w:p w14:paraId="704B826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7.1%</w:t>
            </w:r>
          </w:p>
        </w:tc>
        <w:tc>
          <w:tcPr>
            <w:tcW w:w="2410" w:type="dxa"/>
            <w:shd w:val="clear" w:color="auto" w:fill="auto"/>
            <w:tcMar>
              <w:top w:w="100" w:type="dxa"/>
              <w:left w:w="100" w:type="dxa"/>
              <w:bottom w:w="100" w:type="dxa"/>
              <w:right w:w="100" w:type="dxa"/>
            </w:tcMar>
            <w:vAlign w:val="bottom"/>
          </w:tcPr>
          <w:p w14:paraId="1BD65A4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0.961 (0.760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1.216)</w:t>
            </w:r>
          </w:p>
        </w:tc>
        <w:tc>
          <w:tcPr>
            <w:tcW w:w="2126" w:type="dxa"/>
            <w:shd w:val="clear" w:color="auto" w:fill="auto"/>
            <w:tcMar>
              <w:top w:w="100" w:type="dxa"/>
              <w:left w:w="100" w:type="dxa"/>
              <w:bottom w:w="100" w:type="dxa"/>
              <w:right w:w="100" w:type="dxa"/>
            </w:tcMar>
            <w:vAlign w:val="bottom"/>
          </w:tcPr>
          <w:p w14:paraId="0951F36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0.960 (0.744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1.238)</w:t>
            </w:r>
          </w:p>
        </w:tc>
        <w:tc>
          <w:tcPr>
            <w:tcW w:w="1134" w:type="dxa"/>
            <w:shd w:val="clear" w:color="auto" w:fill="auto"/>
            <w:tcMar>
              <w:top w:w="100" w:type="dxa"/>
              <w:left w:w="100" w:type="dxa"/>
              <w:bottom w:w="100" w:type="dxa"/>
              <w:right w:w="100" w:type="dxa"/>
            </w:tcMar>
            <w:vAlign w:val="bottom"/>
          </w:tcPr>
          <w:p w14:paraId="27F3138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0.752</w:t>
            </w:r>
          </w:p>
        </w:tc>
      </w:tr>
      <w:tr w:rsidR="00932A95" w:rsidRPr="00932A95" w14:paraId="290B6782" w14:textId="77777777" w:rsidTr="00F239AF">
        <w:trPr>
          <w:trHeight w:val="25"/>
        </w:trPr>
        <w:tc>
          <w:tcPr>
            <w:tcW w:w="3327" w:type="dxa"/>
            <w:shd w:val="clear" w:color="auto" w:fill="auto"/>
            <w:tcMar>
              <w:top w:w="100" w:type="dxa"/>
              <w:left w:w="100" w:type="dxa"/>
              <w:bottom w:w="100" w:type="dxa"/>
              <w:right w:w="100" w:type="dxa"/>
            </w:tcMar>
            <w:vAlign w:val="bottom"/>
          </w:tcPr>
          <w:p w14:paraId="38D8D6BE"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South</w:t>
            </w:r>
          </w:p>
        </w:tc>
        <w:tc>
          <w:tcPr>
            <w:tcW w:w="1205" w:type="dxa"/>
            <w:shd w:val="clear" w:color="auto" w:fill="auto"/>
            <w:tcMar>
              <w:top w:w="100" w:type="dxa"/>
              <w:left w:w="100" w:type="dxa"/>
              <w:bottom w:w="100" w:type="dxa"/>
              <w:right w:w="100" w:type="dxa"/>
            </w:tcMar>
            <w:vAlign w:val="bottom"/>
          </w:tcPr>
          <w:p w14:paraId="71B2FB4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6.1%</w:t>
            </w:r>
          </w:p>
        </w:tc>
        <w:tc>
          <w:tcPr>
            <w:tcW w:w="2410" w:type="dxa"/>
            <w:shd w:val="clear" w:color="auto" w:fill="auto"/>
            <w:tcMar>
              <w:top w:w="100" w:type="dxa"/>
              <w:left w:w="100" w:type="dxa"/>
              <w:bottom w:w="100" w:type="dxa"/>
              <w:right w:w="100" w:type="dxa"/>
            </w:tcMar>
            <w:vAlign w:val="bottom"/>
          </w:tcPr>
          <w:p w14:paraId="7A5EE53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0.814 (0.667</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0.994)</w:t>
            </w:r>
          </w:p>
        </w:tc>
        <w:tc>
          <w:tcPr>
            <w:tcW w:w="2126" w:type="dxa"/>
            <w:shd w:val="clear" w:color="auto" w:fill="auto"/>
            <w:tcMar>
              <w:top w:w="100" w:type="dxa"/>
              <w:left w:w="100" w:type="dxa"/>
              <w:bottom w:w="100" w:type="dxa"/>
              <w:right w:w="100" w:type="dxa"/>
            </w:tcMar>
            <w:vAlign w:val="bottom"/>
          </w:tcPr>
          <w:p w14:paraId="258BD30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0.914 (0.740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1.129)</w:t>
            </w:r>
          </w:p>
        </w:tc>
        <w:tc>
          <w:tcPr>
            <w:tcW w:w="1134" w:type="dxa"/>
            <w:shd w:val="clear" w:color="auto" w:fill="auto"/>
            <w:tcMar>
              <w:top w:w="100" w:type="dxa"/>
              <w:left w:w="100" w:type="dxa"/>
              <w:bottom w:w="100" w:type="dxa"/>
              <w:right w:w="100" w:type="dxa"/>
            </w:tcMar>
            <w:vAlign w:val="bottom"/>
          </w:tcPr>
          <w:p w14:paraId="002BBD5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0.403</w:t>
            </w:r>
          </w:p>
        </w:tc>
      </w:tr>
      <w:tr w:rsidR="00932A95" w:rsidRPr="00932A95" w14:paraId="50FB99D2" w14:textId="77777777" w:rsidTr="00F239AF">
        <w:trPr>
          <w:trHeight w:val="25"/>
        </w:trPr>
        <w:tc>
          <w:tcPr>
            <w:tcW w:w="3327" w:type="dxa"/>
            <w:shd w:val="clear" w:color="auto" w:fill="auto"/>
            <w:tcMar>
              <w:top w:w="100" w:type="dxa"/>
              <w:left w:w="100" w:type="dxa"/>
              <w:bottom w:w="100" w:type="dxa"/>
              <w:right w:w="100" w:type="dxa"/>
            </w:tcMar>
            <w:vAlign w:val="bottom"/>
          </w:tcPr>
          <w:p w14:paraId="358EA2D9"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West</w:t>
            </w:r>
          </w:p>
        </w:tc>
        <w:tc>
          <w:tcPr>
            <w:tcW w:w="1205" w:type="dxa"/>
            <w:shd w:val="clear" w:color="auto" w:fill="auto"/>
            <w:tcMar>
              <w:top w:w="100" w:type="dxa"/>
              <w:left w:w="100" w:type="dxa"/>
              <w:bottom w:w="100" w:type="dxa"/>
              <w:right w:w="100" w:type="dxa"/>
            </w:tcMar>
            <w:vAlign w:val="bottom"/>
          </w:tcPr>
          <w:p w14:paraId="3C0A1EA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7.0%</w:t>
            </w:r>
          </w:p>
        </w:tc>
        <w:tc>
          <w:tcPr>
            <w:tcW w:w="2410" w:type="dxa"/>
            <w:shd w:val="clear" w:color="auto" w:fill="auto"/>
            <w:tcMar>
              <w:top w:w="100" w:type="dxa"/>
              <w:left w:w="100" w:type="dxa"/>
              <w:bottom w:w="100" w:type="dxa"/>
              <w:right w:w="100" w:type="dxa"/>
            </w:tcMar>
            <w:vAlign w:val="bottom"/>
          </w:tcPr>
          <w:p w14:paraId="6B477D0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0.946 (0.766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1.169)</w:t>
            </w:r>
          </w:p>
        </w:tc>
        <w:tc>
          <w:tcPr>
            <w:tcW w:w="2126" w:type="dxa"/>
            <w:shd w:val="clear" w:color="auto" w:fill="auto"/>
            <w:tcMar>
              <w:top w:w="100" w:type="dxa"/>
              <w:left w:w="100" w:type="dxa"/>
              <w:bottom w:w="100" w:type="dxa"/>
              <w:right w:w="100" w:type="dxa"/>
            </w:tcMar>
            <w:vAlign w:val="bottom"/>
          </w:tcPr>
          <w:p w14:paraId="30947FD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1.110 (0.882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1.397)</w:t>
            </w:r>
          </w:p>
        </w:tc>
        <w:tc>
          <w:tcPr>
            <w:tcW w:w="1134" w:type="dxa"/>
            <w:shd w:val="clear" w:color="auto" w:fill="auto"/>
            <w:tcMar>
              <w:top w:w="100" w:type="dxa"/>
              <w:left w:w="100" w:type="dxa"/>
              <w:bottom w:w="100" w:type="dxa"/>
              <w:right w:w="100" w:type="dxa"/>
            </w:tcMar>
            <w:vAlign w:val="bottom"/>
          </w:tcPr>
          <w:p w14:paraId="4BFA00C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0.372</w:t>
            </w:r>
          </w:p>
        </w:tc>
      </w:tr>
      <w:tr w:rsidR="00932A95" w:rsidRPr="00932A95" w14:paraId="3E458219" w14:textId="77777777" w:rsidTr="00F239AF">
        <w:trPr>
          <w:trHeight w:val="422"/>
        </w:trPr>
        <w:tc>
          <w:tcPr>
            <w:tcW w:w="3327" w:type="dxa"/>
            <w:shd w:val="clear" w:color="auto" w:fill="auto"/>
            <w:tcMar>
              <w:top w:w="100" w:type="dxa"/>
              <w:left w:w="100" w:type="dxa"/>
              <w:bottom w:w="100" w:type="dxa"/>
              <w:right w:w="100" w:type="dxa"/>
            </w:tcMar>
            <w:vAlign w:val="bottom"/>
          </w:tcPr>
          <w:p w14:paraId="5F48DF7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Transfer in from acute care hospital</w:t>
            </w:r>
          </w:p>
        </w:tc>
        <w:tc>
          <w:tcPr>
            <w:tcW w:w="1205" w:type="dxa"/>
            <w:shd w:val="clear" w:color="auto" w:fill="auto"/>
            <w:tcMar>
              <w:top w:w="100" w:type="dxa"/>
              <w:left w:w="100" w:type="dxa"/>
              <w:bottom w:w="100" w:type="dxa"/>
              <w:right w:w="100" w:type="dxa"/>
            </w:tcMar>
            <w:vAlign w:val="bottom"/>
          </w:tcPr>
          <w:p w14:paraId="09B27BDB"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1F4631F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62F6929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2861780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7A63CEC2" w14:textId="77777777" w:rsidTr="00F239AF">
        <w:trPr>
          <w:trHeight w:val="25"/>
        </w:trPr>
        <w:tc>
          <w:tcPr>
            <w:tcW w:w="3327" w:type="dxa"/>
            <w:shd w:val="clear" w:color="auto" w:fill="auto"/>
            <w:tcMar>
              <w:top w:w="100" w:type="dxa"/>
              <w:left w:w="100" w:type="dxa"/>
              <w:bottom w:w="100" w:type="dxa"/>
              <w:right w:w="100" w:type="dxa"/>
            </w:tcMar>
            <w:vAlign w:val="bottom"/>
          </w:tcPr>
          <w:p w14:paraId="0B9CDAB8"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No</w:t>
            </w:r>
          </w:p>
        </w:tc>
        <w:tc>
          <w:tcPr>
            <w:tcW w:w="1205" w:type="dxa"/>
            <w:shd w:val="clear" w:color="auto" w:fill="auto"/>
            <w:tcMar>
              <w:top w:w="100" w:type="dxa"/>
              <w:left w:w="100" w:type="dxa"/>
              <w:bottom w:w="100" w:type="dxa"/>
              <w:right w:w="100" w:type="dxa"/>
            </w:tcMar>
            <w:vAlign w:val="bottom"/>
          </w:tcPr>
          <w:p w14:paraId="1B7F6BF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6.2%</w:t>
            </w:r>
          </w:p>
        </w:tc>
        <w:tc>
          <w:tcPr>
            <w:tcW w:w="2410" w:type="dxa"/>
            <w:shd w:val="clear" w:color="auto" w:fill="auto"/>
            <w:tcMar>
              <w:top w:w="100" w:type="dxa"/>
              <w:left w:w="100" w:type="dxa"/>
              <w:bottom w:w="100" w:type="dxa"/>
              <w:right w:w="100" w:type="dxa"/>
            </w:tcMar>
            <w:vAlign w:val="bottom"/>
          </w:tcPr>
          <w:p w14:paraId="025D68C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548A4F4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5910F3B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079B8BE1" w14:textId="77777777" w:rsidTr="00F239AF">
        <w:trPr>
          <w:trHeight w:val="25"/>
        </w:trPr>
        <w:tc>
          <w:tcPr>
            <w:tcW w:w="3327" w:type="dxa"/>
            <w:shd w:val="clear" w:color="auto" w:fill="auto"/>
            <w:tcMar>
              <w:top w:w="100" w:type="dxa"/>
              <w:left w:w="100" w:type="dxa"/>
              <w:bottom w:w="100" w:type="dxa"/>
              <w:right w:w="100" w:type="dxa"/>
            </w:tcMar>
            <w:vAlign w:val="bottom"/>
          </w:tcPr>
          <w:p w14:paraId="61FFE9A7"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Yes</w:t>
            </w:r>
          </w:p>
        </w:tc>
        <w:tc>
          <w:tcPr>
            <w:tcW w:w="1205" w:type="dxa"/>
            <w:shd w:val="clear" w:color="auto" w:fill="auto"/>
            <w:tcMar>
              <w:top w:w="100" w:type="dxa"/>
              <w:left w:w="100" w:type="dxa"/>
              <w:bottom w:w="100" w:type="dxa"/>
              <w:right w:w="100" w:type="dxa"/>
            </w:tcMar>
            <w:vAlign w:val="bottom"/>
          </w:tcPr>
          <w:p w14:paraId="31B38B3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11.9%</w:t>
            </w:r>
          </w:p>
        </w:tc>
        <w:tc>
          <w:tcPr>
            <w:tcW w:w="2410" w:type="dxa"/>
            <w:shd w:val="clear" w:color="auto" w:fill="auto"/>
            <w:tcMar>
              <w:top w:w="100" w:type="dxa"/>
              <w:left w:w="100" w:type="dxa"/>
              <w:bottom w:w="100" w:type="dxa"/>
              <w:right w:w="100" w:type="dxa"/>
            </w:tcMar>
            <w:vAlign w:val="bottom"/>
          </w:tcPr>
          <w:p w14:paraId="4FF0141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2.041 (1.643</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2.536)</w:t>
            </w:r>
          </w:p>
        </w:tc>
        <w:tc>
          <w:tcPr>
            <w:tcW w:w="2126" w:type="dxa"/>
            <w:shd w:val="clear" w:color="auto" w:fill="auto"/>
            <w:tcMar>
              <w:top w:w="100" w:type="dxa"/>
              <w:left w:w="100" w:type="dxa"/>
              <w:bottom w:w="100" w:type="dxa"/>
              <w:right w:w="100" w:type="dxa"/>
            </w:tcMar>
            <w:vAlign w:val="bottom"/>
          </w:tcPr>
          <w:p w14:paraId="483EC9A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1.490 (1.172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1.894)</w:t>
            </w:r>
          </w:p>
        </w:tc>
        <w:tc>
          <w:tcPr>
            <w:tcW w:w="1134" w:type="dxa"/>
            <w:shd w:val="clear" w:color="auto" w:fill="auto"/>
            <w:tcMar>
              <w:top w:w="100" w:type="dxa"/>
              <w:left w:w="100" w:type="dxa"/>
              <w:bottom w:w="100" w:type="dxa"/>
              <w:right w:w="100" w:type="dxa"/>
            </w:tcMar>
            <w:vAlign w:val="bottom"/>
          </w:tcPr>
          <w:p w14:paraId="2BCA368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00BA2FD5" w14:textId="77777777" w:rsidTr="00F239AF">
        <w:trPr>
          <w:trHeight w:val="25"/>
        </w:trPr>
        <w:tc>
          <w:tcPr>
            <w:tcW w:w="3327" w:type="dxa"/>
            <w:shd w:val="clear" w:color="auto" w:fill="auto"/>
            <w:tcMar>
              <w:top w:w="100" w:type="dxa"/>
              <w:left w:w="100" w:type="dxa"/>
              <w:bottom w:w="100" w:type="dxa"/>
              <w:right w:w="100" w:type="dxa"/>
            </w:tcMar>
            <w:vAlign w:val="bottom"/>
          </w:tcPr>
          <w:p w14:paraId="7551E33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 teaching status</w:t>
            </w:r>
          </w:p>
        </w:tc>
        <w:tc>
          <w:tcPr>
            <w:tcW w:w="1205" w:type="dxa"/>
            <w:shd w:val="clear" w:color="auto" w:fill="auto"/>
            <w:tcMar>
              <w:top w:w="100" w:type="dxa"/>
              <w:left w:w="100" w:type="dxa"/>
              <w:bottom w:w="100" w:type="dxa"/>
              <w:right w:w="100" w:type="dxa"/>
            </w:tcMar>
            <w:vAlign w:val="bottom"/>
          </w:tcPr>
          <w:p w14:paraId="6187BDAE"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2F84954D"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C6083B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6DA8D32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224B64B6" w14:textId="77777777" w:rsidTr="00F239AF">
        <w:trPr>
          <w:trHeight w:val="25"/>
        </w:trPr>
        <w:tc>
          <w:tcPr>
            <w:tcW w:w="3327" w:type="dxa"/>
            <w:shd w:val="clear" w:color="auto" w:fill="auto"/>
            <w:tcMar>
              <w:top w:w="100" w:type="dxa"/>
              <w:left w:w="100" w:type="dxa"/>
              <w:bottom w:w="100" w:type="dxa"/>
              <w:right w:w="100" w:type="dxa"/>
            </w:tcMar>
            <w:vAlign w:val="bottom"/>
          </w:tcPr>
          <w:p w14:paraId="01C9A0C6"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Teaching</w:t>
            </w:r>
          </w:p>
        </w:tc>
        <w:tc>
          <w:tcPr>
            <w:tcW w:w="1205" w:type="dxa"/>
            <w:shd w:val="clear" w:color="auto" w:fill="auto"/>
            <w:tcMar>
              <w:top w:w="100" w:type="dxa"/>
              <w:left w:w="100" w:type="dxa"/>
              <w:bottom w:w="100" w:type="dxa"/>
              <w:right w:w="100" w:type="dxa"/>
            </w:tcMar>
            <w:vAlign w:val="bottom"/>
          </w:tcPr>
          <w:p w14:paraId="2F298DB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8.0%</w:t>
            </w:r>
          </w:p>
        </w:tc>
        <w:tc>
          <w:tcPr>
            <w:tcW w:w="2410" w:type="dxa"/>
            <w:shd w:val="clear" w:color="auto" w:fill="auto"/>
            <w:tcMar>
              <w:top w:w="100" w:type="dxa"/>
              <w:left w:w="100" w:type="dxa"/>
              <w:bottom w:w="100" w:type="dxa"/>
              <w:right w:w="100" w:type="dxa"/>
            </w:tcMar>
            <w:vAlign w:val="bottom"/>
          </w:tcPr>
          <w:p w14:paraId="682E9D4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1.557 (1.345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1.803)</w:t>
            </w:r>
          </w:p>
        </w:tc>
        <w:tc>
          <w:tcPr>
            <w:tcW w:w="2126" w:type="dxa"/>
            <w:shd w:val="clear" w:color="auto" w:fill="auto"/>
            <w:tcMar>
              <w:top w:w="100" w:type="dxa"/>
              <w:left w:w="100" w:type="dxa"/>
              <w:bottom w:w="100" w:type="dxa"/>
              <w:right w:w="100" w:type="dxa"/>
            </w:tcMar>
            <w:vAlign w:val="bottom"/>
          </w:tcPr>
          <w:p w14:paraId="5F5383C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1.249 (1.066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1.463)</w:t>
            </w:r>
          </w:p>
        </w:tc>
        <w:tc>
          <w:tcPr>
            <w:tcW w:w="1134" w:type="dxa"/>
            <w:shd w:val="clear" w:color="auto" w:fill="auto"/>
            <w:tcMar>
              <w:top w:w="100" w:type="dxa"/>
              <w:left w:w="100" w:type="dxa"/>
              <w:bottom w:w="100" w:type="dxa"/>
              <w:right w:w="100" w:type="dxa"/>
            </w:tcMar>
            <w:vAlign w:val="bottom"/>
          </w:tcPr>
          <w:p w14:paraId="21F3D55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0.006</w:t>
            </w:r>
          </w:p>
        </w:tc>
      </w:tr>
      <w:tr w:rsidR="00932A95" w:rsidRPr="00932A95" w14:paraId="44130A2B" w14:textId="77777777" w:rsidTr="00F239AF">
        <w:trPr>
          <w:trHeight w:val="25"/>
        </w:trPr>
        <w:tc>
          <w:tcPr>
            <w:tcW w:w="3327" w:type="dxa"/>
            <w:shd w:val="clear" w:color="auto" w:fill="auto"/>
            <w:tcMar>
              <w:top w:w="100" w:type="dxa"/>
              <w:left w:w="100" w:type="dxa"/>
              <w:bottom w:w="100" w:type="dxa"/>
              <w:right w:w="100" w:type="dxa"/>
            </w:tcMar>
            <w:vAlign w:val="bottom"/>
          </w:tcPr>
          <w:p w14:paraId="41635D41"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Non-teaching</w:t>
            </w:r>
          </w:p>
        </w:tc>
        <w:tc>
          <w:tcPr>
            <w:tcW w:w="1205" w:type="dxa"/>
            <w:shd w:val="clear" w:color="auto" w:fill="auto"/>
            <w:tcMar>
              <w:top w:w="100" w:type="dxa"/>
              <w:left w:w="100" w:type="dxa"/>
              <w:bottom w:w="100" w:type="dxa"/>
              <w:right w:w="100" w:type="dxa"/>
            </w:tcMar>
            <w:vAlign w:val="bottom"/>
          </w:tcPr>
          <w:p w14:paraId="1BFD56D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5.3%</w:t>
            </w:r>
          </w:p>
        </w:tc>
        <w:tc>
          <w:tcPr>
            <w:tcW w:w="2410" w:type="dxa"/>
            <w:shd w:val="clear" w:color="auto" w:fill="auto"/>
            <w:tcMar>
              <w:top w:w="100" w:type="dxa"/>
              <w:left w:w="100" w:type="dxa"/>
              <w:bottom w:w="100" w:type="dxa"/>
              <w:right w:w="100" w:type="dxa"/>
            </w:tcMar>
            <w:vAlign w:val="bottom"/>
          </w:tcPr>
          <w:p w14:paraId="60FA245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7751F9F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1EEEA3EA" w14:textId="77777777" w:rsidR="0011433B" w:rsidRPr="00932A95" w:rsidRDefault="0011433B" w:rsidP="00374FC0">
            <w:pPr>
              <w:spacing w:line="360" w:lineRule="auto"/>
              <w:jc w:val="both"/>
              <w:rPr>
                <w:rFonts w:ascii="Book Antiqua" w:hAnsi="Book Antiqua" w:cs="Book Antiqua"/>
                <w:color w:val="auto"/>
                <w:sz w:val="24"/>
                <w:szCs w:val="24"/>
              </w:rPr>
            </w:pPr>
          </w:p>
        </w:tc>
      </w:tr>
    </w:tbl>
    <w:p w14:paraId="2979FC5F" w14:textId="77777777" w:rsidR="0011433B" w:rsidRPr="00932A95" w:rsidRDefault="002F52BB" w:rsidP="007A6A12">
      <w:pPr>
        <w:spacing w:after="240"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vertAlign w:val="superscript"/>
        </w:rPr>
        <w:t>a</w:t>
      </w:r>
      <w:r w:rsidRPr="00932A95">
        <w:rPr>
          <w:rFonts w:ascii="Book Antiqua" w:hAnsi="Book Antiqua" w:cs="Book Antiqua"/>
          <w:i/>
          <w:color w:val="auto"/>
          <w:sz w:val="24"/>
          <w:szCs w:val="24"/>
        </w:rPr>
        <w:t>P</w:t>
      </w:r>
      <w:r w:rsidRPr="00932A95">
        <w:rPr>
          <w:rFonts w:ascii="Book Antiqua" w:hAnsi="Book Antiqua" w:cs="Book Antiqua"/>
          <w:i/>
          <w:color w:val="auto"/>
          <w:sz w:val="24"/>
          <w:szCs w:val="24"/>
          <w:lang w:val="en-US"/>
        </w:rPr>
        <w:t xml:space="preserve"> </w:t>
      </w:r>
      <w:r w:rsidRPr="00932A95">
        <w:rPr>
          <w:rFonts w:ascii="Book Antiqua" w:hAnsi="Book Antiqua" w:cs="Book Antiqua"/>
          <w:color w:val="auto"/>
          <w:sz w:val="24"/>
          <w:szCs w:val="24"/>
        </w:rPr>
        <w:t xml:space="preserve">&lt; 0.001 for all comparisons of crude mortality between groups in bivariate </w:t>
      </w:r>
      <w:r w:rsidRPr="00975859">
        <w:rPr>
          <w:rFonts w:ascii="Book Antiqua" w:hAnsi="Book Antiqua" w:cs="Book Antiqua"/>
          <w:i/>
          <w:color w:val="auto"/>
          <w:sz w:val="24"/>
          <w:szCs w:val="24"/>
        </w:rPr>
        <w:t>χ</w:t>
      </w:r>
      <w:r w:rsidRPr="00975859">
        <w:rPr>
          <w:rFonts w:ascii="Book Antiqua" w:hAnsi="Book Antiqua" w:cs="Book Antiqua"/>
          <w:i/>
          <w:color w:val="auto"/>
          <w:sz w:val="24"/>
          <w:szCs w:val="24"/>
          <w:vertAlign w:val="superscript"/>
        </w:rPr>
        <w:t>2</w:t>
      </w:r>
      <w:r w:rsidRPr="00932A95">
        <w:rPr>
          <w:rFonts w:ascii="Book Antiqua" w:hAnsi="Book Antiqua" w:cs="Book Antiqua"/>
          <w:color w:val="auto"/>
          <w:sz w:val="24"/>
          <w:szCs w:val="24"/>
        </w:rPr>
        <w:t xml:space="preserve"> analyses</w:t>
      </w:r>
      <w:r w:rsidRPr="00932A95">
        <w:rPr>
          <w:rFonts w:ascii="Book Antiqua" w:hAnsi="Book Antiqua" w:cs="Book Antiqua"/>
          <w:color w:val="auto"/>
          <w:sz w:val="24"/>
          <w:szCs w:val="24"/>
          <w:lang w:val="en-US"/>
        </w:rPr>
        <w:t xml:space="preserve">. </w:t>
      </w:r>
      <w:r w:rsidR="009540CB" w:rsidRPr="00932A95">
        <w:rPr>
          <w:rFonts w:ascii="Book Antiqua" w:hAnsi="Book Antiqua" w:cs="Book Antiqua"/>
          <w:color w:val="auto"/>
          <w:sz w:val="24"/>
          <w:szCs w:val="24"/>
          <w:vertAlign w:val="superscript"/>
        </w:rPr>
        <w:t>1</w:t>
      </w:r>
      <w:r w:rsidRPr="00932A95">
        <w:rPr>
          <w:rFonts w:ascii="Book Antiqua" w:hAnsi="Book Antiqua" w:cs="Book Antiqua"/>
          <w:color w:val="auto"/>
          <w:sz w:val="24"/>
          <w:szCs w:val="24"/>
        </w:rPr>
        <w:t>Adjusted for age, sex, race, primary insurance, hospital bed size, region, transfer status, features of hepatic decompensation, and management</w:t>
      </w:r>
      <w:r w:rsidR="009540CB" w:rsidRPr="00932A95">
        <w:rPr>
          <w:rFonts w:ascii="Book Antiqua" w:hAnsi="Book Antiqua" w:cs="Book Antiqua"/>
          <w:color w:val="auto"/>
          <w:sz w:val="24"/>
          <w:szCs w:val="24"/>
        </w:rPr>
        <w:t>.</w:t>
      </w:r>
    </w:p>
    <w:p w14:paraId="47D39FC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1CA66CC4"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hAnsi="Book Antiqua" w:cs="Book Antiqua"/>
          <w:b/>
          <w:color w:val="auto"/>
          <w:sz w:val="24"/>
          <w:szCs w:val="24"/>
        </w:rPr>
        <w:lastRenderedPageBreak/>
        <w:t>Table 4</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Patient comorbidities and management with associated mortality</w:t>
      </w:r>
    </w:p>
    <w:tbl>
      <w:tblPr>
        <w:tblStyle w:val="Style14"/>
        <w:tblW w:w="9105" w:type="dxa"/>
        <w:tblInd w:w="100" w:type="dxa"/>
        <w:tblBorders>
          <w:top w:val="single" w:sz="4" w:space="0" w:color="auto"/>
          <w:bottom w:val="single" w:sz="4" w:space="0" w:color="auto"/>
        </w:tblBorders>
        <w:tblLayout w:type="fixed"/>
        <w:tblLook w:val="04A0" w:firstRow="1" w:lastRow="0" w:firstColumn="1" w:lastColumn="0" w:noHBand="0" w:noVBand="1"/>
      </w:tblPr>
      <w:tblGrid>
        <w:gridCol w:w="3075"/>
        <w:gridCol w:w="1815"/>
        <w:gridCol w:w="2250"/>
        <w:gridCol w:w="1965"/>
      </w:tblGrid>
      <w:tr w:rsidR="00167764" w:rsidRPr="00932A95" w14:paraId="5B677DC8" w14:textId="77777777" w:rsidTr="00167764">
        <w:trPr>
          <w:trHeight w:val="434"/>
        </w:trPr>
        <w:tc>
          <w:tcPr>
            <w:tcW w:w="307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7A76742"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81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2C311077" w14:textId="11A6FA56" w:rsidR="0011433B" w:rsidRPr="00932A95" w:rsidRDefault="00167764"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Mortality overall (</w:t>
            </w:r>
            <w:r w:rsidR="000F16F1" w:rsidRPr="000F16F1">
              <w:rPr>
                <w:rFonts w:ascii="Book Antiqua" w:hAnsi="Book Antiqua" w:cs="Book Antiqua"/>
                <w:b/>
                <w:i/>
                <w:color w:val="auto"/>
                <w:sz w:val="24"/>
                <w:szCs w:val="24"/>
              </w:rPr>
              <w:t>n</w:t>
            </w:r>
            <w:r w:rsidR="000F16F1">
              <w:rPr>
                <w:rFonts w:ascii="Book Antiqua" w:hAnsi="Book Antiqua" w:cs="Book Antiqua"/>
                <w:b/>
                <w:color w:val="auto"/>
                <w:sz w:val="24"/>
                <w:szCs w:val="24"/>
              </w:rPr>
              <w:t xml:space="preserve"> = </w:t>
            </w:r>
            <w:r>
              <w:rPr>
                <w:rFonts w:ascii="Book Antiqua" w:hAnsi="Book Antiqua" w:cs="Book Antiqua"/>
                <w:b/>
                <w:color w:val="auto"/>
                <w:sz w:val="24"/>
                <w:szCs w:val="24"/>
              </w:rPr>
              <w:t>58</w:t>
            </w:r>
            <w:r w:rsidR="002F52BB" w:rsidRPr="00932A95">
              <w:rPr>
                <w:rFonts w:ascii="Book Antiqua" w:hAnsi="Book Antiqua" w:cs="Book Antiqua"/>
                <w:b/>
                <w:color w:val="auto"/>
                <w:sz w:val="24"/>
                <w:szCs w:val="24"/>
              </w:rPr>
              <w:t>362)</w:t>
            </w:r>
          </w:p>
        </w:tc>
        <w:tc>
          <w:tcPr>
            <w:tcW w:w="2250"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715175A0" w14:textId="3FE162B7" w:rsidR="0011433B" w:rsidRPr="00932A95" w:rsidRDefault="00167764"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Mortality teaching (</w:t>
            </w:r>
            <w:r w:rsidR="000F16F1" w:rsidRPr="000F16F1">
              <w:rPr>
                <w:rFonts w:ascii="Book Antiqua" w:hAnsi="Book Antiqua" w:cs="Book Antiqua"/>
                <w:b/>
                <w:i/>
                <w:color w:val="auto"/>
                <w:sz w:val="24"/>
                <w:szCs w:val="24"/>
              </w:rPr>
              <w:t>n</w:t>
            </w:r>
            <w:r w:rsidR="000F16F1">
              <w:rPr>
                <w:rFonts w:ascii="Book Antiqua" w:hAnsi="Book Antiqua" w:cs="Book Antiqua"/>
                <w:b/>
                <w:color w:val="auto"/>
                <w:sz w:val="24"/>
                <w:szCs w:val="24"/>
              </w:rPr>
              <w:t xml:space="preserve"> = </w:t>
            </w:r>
            <w:r>
              <w:rPr>
                <w:rFonts w:ascii="Book Antiqua" w:hAnsi="Book Antiqua" w:cs="Book Antiqua"/>
                <w:b/>
                <w:color w:val="auto"/>
                <w:sz w:val="24"/>
                <w:szCs w:val="24"/>
              </w:rPr>
              <w:t>30</w:t>
            </w:r>
            <w:r w:rsidR="002F52BB" w:rsidRPr="00932A95">
              <w:rPr>
                <w:rFonts w:ascii="Book Antiqua" w:hAnsi="Book Antiqua" w:cs="Book Antiqua"/>
                <w:b/>
                <w:color w:val="auto"/>
                <w:sz w:val="24"/>
                <w:szCs w:val="24"/>
              </w:rPr>
              <w:t>382)</w:t>
            </w:r>
          </w:p>
        </w:tc>
        <w:tc>
          <w:tcPr>
            <w:tcW w:w="196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D1A7781" w14:textId="1DE1A1CD" w:rsidR="0011433B" w:rsidRPr="00932A95" w:rsidRDefault="00167764"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Mortality non-teaching (</w:t>
            </w:r>
            <w:r w:rsidR="000F16F1" w:rsidRPr="000F16F1">
              <w:rPr>
                <w:rFonts w:ascii="Book Antiqua" w:hAnsi="Book Antiqua" w:cs="Book Antiqua"/>
                <w:b/>
                <w:i/>
                <w:color w:val="auto"/>
                <w:sz w:val="24"/>
                <w:szCs w:val="24"/>
              </w:rPr>
              <w:t>n</w:t>
            </w:r>
            <w:r w:rsidR="000F16F1">
              <w:rPr>
                <w:rFonts w:ascii="Book Antiqua" w:hAnsi="Book Antiqua" w:cs="Book Antiqua"/>
                <w:b/>
                <w:color w:val="auto"/>
                <w:sz w:val="24"/>
                <w:szCs w:val="24"/>
              </w:rPr>
              <w:t xml:space="preserve"> = </w:t>
            </w:r>
            <w:r>
              <w:rPr>
                <w:rFonts w:ascii="Book Antiqua" w:hAnsi="Book Antiqua" w:cs="Book Antiqua"/>
                <w:b/>
                <w:color w:val="auto"/>
                <w:sz w:val="24"/>
                <w:szCs w:val="24"/>
              </w:rPr>
              <w:t>27</w:t>
            </w:r>
            <w:r w:rsidR="002F52BB" w:rsidRPr="00932A95">
              <w:rPr>
                <w:rFonts w:ascii="Book Antiqua" w:hAnsi="Book Antiqua" w:cs="Book Antiqua"/>
                <w:b/>
                <w:color w:val="auto"/>
                <w:sz w:val="24"/>
                <w:szCs w:val="24"/>
              </w:rPr>
              <w:t>979)</w:t>
            </w:r>
          </w:p>
        </w:tc>
      </w:tr>
      <w:tr w:rsidR="00167764" w:rsidRPr="00932A95" w14:paraId="451F0BA5" w14:textId="77777777" w:rsidTr="00167764">
        <w:trPr>
          <w:trHeight w:val="447"/>
        </w:trPr>
        <w:tc>
          <w:tcPr>
            <w:tcW w:w="3075" w:type="dxa"/>
            <w:vMerge/>
            <w:tcBorders>
              <w:top w:val="nil"/>
              <w:bottom w:val="single" w:sz="4" w:space="0" w:color="auto"/>
            </w:tcBorders>
            <w:shd w:val="clear" w:color="auto" w:fill="auto"/>
            <w:tcMar>
              <w:top w:w="100" w:type="dxa"/>
              <w:left w:w="100" w:type="dxa"/>
              <w:bottom w:w="100" w:type="dxa"/>
              <w:right w:w="100" w:type="dxa"/>
            </w:tcMar>
          </w:tcPr>
          <w:p w14:paraId="2C514D6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815" w:type="dxa"/>
            <w:vMerge/>
            <w:tcBorders>
              <w:top w:val="nil"/>
              <w:bottom w:val="single" w:sz="4" w:space="0" w:color="auto"/>
            </w:tcBorders>
            <w:shd w:val="clear" w:color="auto" w:fill="auto"/>
            <w:tcMar>
              <w:top w:w="100" w:type="dxa"/>
              <w:left w:w="100" w:type="dxa"/>
              <w:bottom w:w="100" w:type="dxa"/>
              <w:right w:w="100" w:type="dxa"/>
            </w:tcMar>
          </w:tcPr>
          <w:p w14:paraId="461349E6"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250" w:type="dxa"/>
            <w:vMerge/>
            <w:tcBorders>
              <w:top w:val="nil"/>
              <w:bottom w:val="single" w:sz="4" w:space="0" w:color="auto"/>
            </w:tcBorders>
            <w:shd w:val="clear" w:color="auto" w:fill="auto"/>
            <w:tcMar>
              <w:top w:w="100" w:type="dxa"/>
              <w:left w:w="100" w:type="dxa"/>
              <w:bottom w:w="100" w:type="dxa"/>
              <w:right w:w="100" w:type="dxa"/>
            </w:tcMar>
          </w:tcPr>
          <w:p w14:paraId="6D06E27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vMerge/>
            <w:tcBorders>
              <w:top w:val="nil"/>
              <w:bottom w:val="single" w:sz="4" w:space="0" w:color="auto"/>
            </w:tcBorders>
            <w:shd w:val="clear" w:color="auto" w:fill="auto"/>
            <w:tcMar>
              <w:top w:w="100" w:type="dxa"/>
              <w:left w:w="100" w:type="dxa"/>
              <w:bottom w:w="100" w:type="dxa"/>
              <w:right w:w="100" w:type="dxa"/>
            </w:tcMar>
          </w:tcPr>
          <w:p w14:paraId="3C2A7D8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446AF238" w14:textId="77777777" w:rsidTr="00167764">
        <w:trPr>
          <w:trHeight w:val="25"/>
        </w:trPr>
        <w:tc>
          <w:tcPr>
            <w:tcW w:w="3075" w:type="dxa"/>
            <w:tcBorders>
              <w:top w:val="single" w:sz="4" w:space="0" w:color="auto"/>
            </w:tcBorders>
            <w:shd w:val="clear" w:color="auto" w:fill="auto"/>
            <w:tcMar>
              <w:top w:w="100" w:type="dxa"/>
              <w:left w:w="100" w:type="dxa"/>
              <w:bottom w:w="100" w:type="dxa"/>
              <w:right w:w="100" w:type="dxa"/>
            </w:tcMar>
            <w:vAlign w:val="bottom"/>
          </w:tcPr>
          <w:p w14:paraId="530EA417" w14:textId="77777777" w:rsidR="0011433B" w:rsidRPr="00932A95" w:rsidRDefault="002F52BB" w:rsidP="00374FC0">
            <w:pPr>
              <w:spacing w:line="360" w:lineRule="auto"/>
              <w:jc w:val="both"/>
              <w:rPr>
                <w:rFonts w:ascii="Book Antiqua" w:hAnsi="Book Antiqua" w:cs="Book Antiqua"/>
                <w:color w:val="auto"/>
                <w:sz w:val="24"/>
                <w:szCs w:val="24"/>
                <w:vertAlign w:val="superscript"/>
              </w:rPr>
            </w:pPr>
            <w:r w:rsidRPr="00932A95">
              <w:rPr>
                <w:rFonts w:ascii="Book Antiqua" w:hAnsi="Book Antiqua" w:cs="Book Antiqua"/>
                <w:color w:val="auto"/>
                <w:sz w:val="24"/>
                <w:szCs w:val="24"/>
              </w:rPr>
              <w:t>Elixhauser comorbidities</w:t>
            </w:r>
          </w:p>
        </w:tc>
        <w:tc>
          <w:tcPr>
            <w:tcW w:w="1815" w:type="dxa"/>
            <w:tcBorders>
              <w:top w:val="single" w:sz="4" w:space="0" w:color="auto"/>
            </w:tcBorders>
            <w:shd w:val="clear" w:color="auto" w:fill="auto"/>
            <w:tcMar>
              <w:top w:w="100" w:type="dxa"/>
              <w:left w:w="100" w:type="dxa"/>
              <w:bottom w:w="100" w:type="dxa"/>
              <w:right w:w="100" w:type="dxa"/>
            </w:tcMar>
            <w:vAlign w:val="bottom"/>
          </w:tcPr>
          <w:p w14:paraId="73B9D673"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250" w:type="dxa"/>
            <w:tcBorders>
              <w:top w:val="single" w:sz="4" w:space="0" w:color="auto"/>
            </w:tcBorders>
            <w:shd w:val="clear" w:color="auto" w:fill="auto"/>
            <w:tcMar>
              <w:top w:w="100" w:type="dxa"/>
              <w:left w:w="100" w:type="dxa"/>
              <w:bottom w:w="100" w:type="dxa"/>
              <w:right w:w="100" w:type="dxa"/>
            </w:tcMar>
            <w:vAlign w:val="bottom"/>
          </w:tcPr>
          <w:p w14:paraId="3B6500A6"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tcBorders>
              <w:top w:val="single" w:sz="4" w:space="0" w:color="auto"/>
            </w:tcBorders>
            <w:shd w:val="clear" w:color="auto" w:fill="auto"/>
            <w:tcMar>
              <w:top w:w="100" w:type="dxa"/>
              <w:left w:w="100" w:type="dxa"/>
              <w:bottom w:w="100" w:type="dxa"/>
              <w:right w:w="100" w:type="dxa"/>
            </w:tcMar>
            <w:vAlign w:val="bottom"/>
          </w:tcPr>
          <w:p w14:paraId="2CD6B85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2B504227" w14:textId="77777777" w:rsidTr="00167764">
        <w:trPr>
          <w:trHeight w:val="193"/>
        </w:trPr>
        <w:tc>
          <w:tcPr>
            <w:tcW w:w="3075" w:type="dxa"/>
            <w:shd w:val="clear" w:color="auto" w:fill="auto"/>
            <w:tcMar>
              <w:top w:w="100" w:type="dxa"/>
              <w:left w:w="100" w:type="dxa"/>
              <w:bottom w:w="100" w:type="dxa"/>
              <w:right w:w="100" w:type="dxa"/>
            </w:tcMar>
            <w:vAlign w:val="bottom"/>
          </w:tcPr>
          <w:p w14:paraId="55DB178C"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0</w:t>
            </w:r>
          </w:p>
        </w:tc>
        <w:tc>
          <w:tcPr>
            <w:tcW w:w="1815" w:type="dxa"/>
            <w:shd w:val="clear" w:color="auto" w:fill="auto"/>
            <w:tcMar>
              <w:top w:w="100" w:type="dxa"/>
              <w:left w:w="100" w:type="dxa"/>
              <w:bottom w:w="100" w:type="dxa"/>
              <w:right w:w="100" w:type="dxa"/>
            </w:tcMar>
            <w:vAlign w:val="bottom"/>
          </w:tcPr>
          <w:p w14:paraId="51234175" w14:textId="5AE4600A"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4202</w:t>
            </w:r>
            <w:r w:rsidR="00176861">
              <w:rPr>
                <w:rFonts w:ascii="Book Antiqua" w:hAnsi="Book Antiqua" w:cs="Book Antiqua"/>
                <w:color w:val="auto"/>
                <w:sz w:val="24"/>
                <w:szCs w:val="24"/>
              </w:rPr>
              <w:t xml:space="preserve"> (</w:t>
            </w:r>
            <w:r w:rsidR="002F52BB" w:rsidRPr="00932A95">
              <w:rPr>
                <w:rFonts w:ascii="Book Antiqua" w:hAnsi="Book Antiqua" w:cs="Book Antiqua"/>
                <w:color w:val="auto"/>
                <w:sz w:val="24"/>
                <w:szCs w:val="24"/>
              </w:rPr>
              <w:t>7.2</w:t>
            </w:r>
            <w:r w:rsidR="00176861">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5092F90C" w14:textId="4AE5060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3008 (</w:t>
            </w:r>
            <w:r w:rsidR="002F52BB" w:rsidRPr="00932A95">
              <w:rPr>
                <w:rFonts w:ascii="Book Antiqua" w:hAnsi="Book Antiqua" w:cs="Book Antiqua"/>
                <w:color w:val="auto"/>
                <w:sz w:val="24"/>
                <w:szCs w:val="24"/>
              </w:rPr>
              <w:t>9.9</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31692F81" w14:textId="5BFE3CC2"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1455 (</w:t>
            </w:r>
            <w:r w:rsidR="002F52BB" w:rsidRPr="00932A95">
              <w:rPr>
                <w:rFonts w:ascii="Book Antiqua" w:hAnsi="Book Antiqua" w:cs="Book Antiqua"/>
                <w:color w:val="auto"/>
                <w:sz w:val="24"/>
                <w:szCs w:val="24"/>
              </w:rPr>
              <w:t>5.2</w:t>
            </w:r>
            <w:r w:rsidR="00176861">
              <w:rPr>
                <w:rFonts w:ascii="Book Antiqua" w:hAnsi="Book Antiqua" w:cs="Book Antiqua"/>
                <w:color w:val="auto"/>
                <w:sz w:val="24"/>
                <w:szCs w:val="24"/>
              </w:rPr>
              <w:t>)</w:t>
            </w:r>
          </w:p>
        </w:tc>
      </w:tr>
      <w:tr w:rsidR="00167764" w:rsidRPr="00932A95" w14:paraId="75A68A15" w14:textId="77777777" w:rsidTr="00167764">
        <w:trPr>
          <w:trHeight w:val="25"/>
        </w:trPr>
        <w:tc>
          <w:tcPr>
            <w:tcW w:w="3075" w:type="dxa"/>
            <w:shd w:val="clear" w:color="auto" w:fill="auto"/>
            <w:tcMar>
              <w:top w:w="100" w:type="dxa"/>
              <w:left w:w="100" w:type="dxa"/>
              <w:bottom w:w="100" w:type="dxa"/>
              <w:right w:w="100" w:type="dxa"/>
            </w:tcMar>
            <w:vAlign w:val="bottom"/>
          </w:tcPr>
          <w:p w14:paraId="4106A749"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1</w:t>
            </w:r>
          </w:p>
        </w:tc>
        <w:tc>
          <w:tcPr>
            <w:tcW w:w="1815" w:type="dxa"/>
            <w:shd w:val="clear" w:color="auto" w:fill="auto"/>
            <w:tcMar>
              <w:top w:w="100" w:type="dxa"/>
              <w:left w:w="100" w:type="dxa"/>
              <w:bottom w:w="100" w:type="dxa"/>
              <w:right w:w="100" w:type="dxa"/>
            </w:tcMar>
            <w:vAlign w:val="bottom"/>
          </w:tcPr>
          <w:p w14:paraId="374C828C" w14:textId="1BE401E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4085</w:t>
            </w:r>
            <w:r w:rsidR="00176861">
              <w:rPr>
                <w:rFonts w:ascii="Book Antiqua" w:hAnsi="Book Antiqua" w:cs="Book Antiqua"/>
                <w:color w:val="auto"/>
                <w:sz w:val="24"/>
                <w:szCs w:val="24"/>
              </w:rPr>
              <w:t xml:space="preserve"> (</w:t>
            </w:r>
            <w:r w:rsidR="002F52BB" w:rsidRPr="00932A95">
              <w:rPr>
                <w:rFonts w:ascii="Book Antiqua" w:hAnsi="Book Antiqua" w:cs="Book Antiqua"/>
                <w:color w:val="auto"/>
                <w:sz w:val="24"/>
                <w:szCs w:val="24"/>
              </w:rPr>
              <w:t>7.0</w:t>
            </w:r>
            <w:r w:rsidR="00176861">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0D390556" w14:textId="6A23018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2734 (</w:t>
            </w:r>
            <w:r w:rsidR="002F52BB" w:rsidRPr="00932A95">
              <w:rPr>
                <w:rFonts w:ascii="Book Antiqua" w:hAnsi="Book Antiqua" w:cs="Book Antiqua"/>
                <w:color w:val="auto"/>
                <w:sz w:val="24"/>
                <w:szCs w:val="24"/>
              </w:rPr>
              <w:t>9.0</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5F8E6ADD" w14:textId="436DB877"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1287 (</w:t>
            </w:r>
            <w:r w:rsidR="002F52BB" w:rsidRPr="00932A95">
              <w:rPr>
                <w:rFonts w:ascii="Book Antiqua" w:hAnsi="Book Antiqua" w:cs="Book Antiqua"/>
                <w:color w:val="auto"/>
                <w:sz w:val="24"/>
                <w:szCs w:val="24"/>
              </w:rPr>
              <w:t>4.6</w:t>
            </w:r>
            <w:r w:rsidR="00176861">
              <w:rPr>
                <w:rFonts w:ascii="Book Antiqua" w:hAnsi="Book Antiqua" w:cs="Book Antiqua"/>
                <w:color w:val="auto"/>
                <w:sz w:val="24"/>
                <w:szCs w:val="24"/>
              </w:rPr>
              <w:t>)</w:t>
            </w:r>
          </w:p>
        </w:tc>
      </w:tr>
      <w:tr w:rsidR="00167764" w:rsidRPr="00932A95" w14:paraId="6C4C7FE7" w14:textId="77777777" w:rsidTr="00167764">
        <w:trPr>
          <w:trHeight w:val="25"/>
        </w:trPr>
        <w:tc>
          <w:tcPr>
            <w:tcW w:w="3075" w:type="dxa"/>
            <w:shd w:val="clear" w:color="auto" w:fill="auto"/>
            <w:tcMar>
              <w:top w:w="100" w:type="dxa"/>
              <w:left w:w="100" w:type="dxa"/>
              <w:bottom w:w="100" w:type="dxa"/>
              <w:right w:w="100" w:type="dxa"/>
            </w:tcMar>
            <w:vAlign w:val="bottom"/>
          </w:tcPr>
          <w:p w14:paraId="110C33C1"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2</w:t>
            </w:r>
          </w:p>
        </w:tc>
        <w:tc>
          <w:tcPr>
            <w:tcW w:w="1815" w:type="dxa"/>
            <w:shd w:val="clear" w:color="auto" w:fill="auto"/>
            <w:tcMar>
              <w:top w:w="100" w:type="dxa"/>
              <w:left w:w="100" w:type="dxa"/>
              <w:bottom w:w="100" w:type="dxa"/>
              <w:right w:w="100" w:type="dxa"/>
            </w:tcMar>
            <w:vAlign w:val="bottom"/>
          </w:tcPr>
          <w:p w14:paraId="1C2A2ACA" w14:textId="495A4B95"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4144 (</w:t>
            </w:r>
            <w:r w:rsidR="002F52BB" w:rsidRPr="00932A95">
              <w:rPr>
                <w:rFonts w:ascii="Book Antiqua" w:hAnsi="Book Antiqua" w:cs="Book Antiqua"/>
                <w:color w:val="auto"/>
                <w:sz w:val="24"/>
                <w:szCs w:val="24"/>
              </w:rPr>
              <w:t>7.1</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18B8394A" w14:textId="4B28D824"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2886 (</w:t>
            </w:r>
            <w:r w:rsidR="002F52BB" w:rsidRPr="00932A95">
              <w:rPr>
                <w:rFonts w:ascii="Book Antiqua" w:hAnsi="Book Antiqua" w:cs="Book Antiqua"/>
                <w:color w:val="auto"/>
                <w:sz w:val="24"/>
                <w:szCs w:val="24"/>
              </w:rPr>
              <w:t>9.5</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E7A7E4F" w14:textId="634A8CD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1371 (</w:t>
            </w:r>
            <w:r w:rsidR="002F52BB" w:rsidRPr="00932A95">
              <w:rPr>
                <w:rFonts w:ascii="Book Antiqua" w:hAnsi="Book Antiqua" w:cs="Book Antiqua"/>
                <w:color w:val="auto"/>
                <w:sz w:val="24"/>
                <w:szCs w:val="24"/>
              </w:rPr>
              <w:t>4.9</w:t>
            </w:r>
            <w:r w:rsidR="00176861">
              <w:rPr>
                <w:rFonts w:ascii="Book Antiqua" w:hAnsi="Book Antiqua" w:cs="Book Antiqua"/>
                <w:color w:val="auto"/>
                <w:sz w:val="24"/>
                <w:szCs w:val="24"/>
              </w:rPr>
              <w:t>)</w:t>
            </w:r>
          </w:p>
        </w:tc>
      </w:tr>
      <w:tr w:rsidR="00167764" w:rsidRPr="00932A95" w14:paraId="403A0658" w14:textId="77777777" w:rsidTr="00167764">
        <w:trPr>
          <w:trHeight w:val="25"/>
        </w:trPr>
        <w:tc>
          <w:tcPr>
            <w:tcW w:w="3075" w:type="dxa"/>
            <w:shd w:val="clear" w:color="auto" w:fill="auto"/>
            <w:tcMar>
              <w:top w:w="100" w:type="dxa"/>
              <w:left w:w="100" w:type="dxa"/>
              <w:bottom w:w="100" w:type="dxa"/>
              <w:right w:w="100" w:type="dxa"/>
            </w:tcMar>
            <w:vAlign w:val="bottom"/>
          </w:tcPr>
          <w:p w14:paraId="4DD3ADA3"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eastAsia="Arial Unicode MS" w:hAnsi="Book Antiqua" w:cs="Book Antiqua"/>
                <w:color w:val="auto"/>
                <w:sz w:val="24"/>
                <w:szCs w:val="24"/>
              </w:rPr>
              <w:t>≥ 3</w:t>
            </w:r>
          </w:p>
        </w:tc>
        <w:tc>
          <w:tcPr>
            <w:tcW w:w="1815" w:type="dxa"/>
            <w:shd w:val="clear" w:color="auto" w:fill="auto"/>
            <w:tcMar>
              <w:top w:w="100" w:type="dxa"/>
              <w:left w:w="100" w:type="dxa"/>
              <w:bottom w:w="100" w:type="dxa"/>
              <w:right w:w="100" w:type="dxa"/>
            </w:tcMar>
            <w:vAlign w:val="bottom"/>
          </w:tcPr>
          <w:p w14:paraId="4CB935A2" w14:textId="28127E5A"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3794 (</w:t>
            </w:r>
            <w:r w:rsidR="002F52BB" w:rsidRPr="00932A95">
              <w:rPr>
                <w:rFonts w:ascii="Book Antiqua" w:hAnsi="Book Antiqua" w:cs="Book Antiqua"/>
                <w:color w:val="auto"/>
                <w:sz w:val="24"/>
                <w:szCs w:val="24"/>
              </w:rPr>
              <w:t>6.5</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784B6582" w14:textId="5C8C7DAB"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2157 (</w:t>
            </w:r>
            <w:r w:rsidR="002F52BB" w:rsidRPr="00932A95">
              <w:rPr>
                <w:rFonts w:ascii="Book Antiqua" w:hAnsi="Book Antiqua" w:cs="Book Antiqua"/>
                <w:color w:val="auto"/>
                <w:sz w:val="24"/>
                <w:szCs w:val="24"/>
              </w:rPr>
              <w:t>7.1</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F822E60" w14:textId="3E09E54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1567 (</w:t>
            </w:r>
            <w:r w:rsidR="002F52BB" w:rsidRPr="00932A95">
              <w:rPr>
                <w:rFonts w:ascii="Book Antiqua" w:hAnsi="Book Antiqua" w:cs="Book Antiqua"/>
                <w:color w:val="auto"/>
                <w:sz w:val="24"/>
                <w:szCs w:val="24"/>
              </w:rPr>
              <w:t>5.6</w:t>
            </w:r>
            <w:r w:rsidR="00176861">
              <w:rPr>
                <w:rFonts w:ascii="Book Antiqua" w:hAnsi="Book Antiqua" w:cs="Book Antiqua"/>
                <w:color w:val="auto"/>
                <w:sz w:val="24"/>
                <w:szCs w:val="24"/>
              </w:rPr>
              <w:t>)</w:t>
            </w:r>
          </w:p>
        </w:tc>
      </w:tr>
      <w:tr w:rsidR="00167764" w:rsidRPr="00932A95" w14:paraId="6FEB5D47" w14:textId="77777777" w:rsidTr="00167764">
        <w:trPr>
          <w:trHeight w:val="25"/>
        </w:trPr>
        <w:tc>
          <w:tcPr>
            <w:tcW w:w="3075" w:type="dxa"/>
            <w:shd w:val="clear" w:color="auto" w:fill="auto"/>
            <w:tcMar>
              <w:top w:w="100" w:type="dxa"/>
              <w:left w:w="100" w:type="dxa"/>
              <w:bottom w:w="100" w:type="dxa"/>
              <w:right w:w="100" w:type="dxa"/>
            </w:tcMar>
            <w:vAlign w:val="bottom"/>
          </w:tcPr>
          <w:p w14:paraId="0D12465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Liver comorbidities</w:t>
            </w:r>
          </w:p>
        </w:tc>
        <w:tc>
          <w:tcPr>
            <w:tcW w:w="1815" w:type="dxa"/>
            <w:shd w:val="clear" w:color="auto" w:fill="auto"/>
            <w:tcMar>
              <w:top w:w="100" w:type="dxa"/>
              <w:left w:w="100" w:type="dxa"/>
              <w:bottom w:w="100" w:type="dxa"/>
              <w:right w:w="100" w:type="dxa"/>
            </w:tcMar>
            <w:vAlign w:val="bottom"/>
          </w:tcPr>
          <w:p w14:paraId="112178C9"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250" w:type="dxa"/>
            <w:shd w:val="clear" w:color="auto" w:fill="auto"/>
            <w:tcMar>
              <w:top w:w="100" w:type="dxa"/>
              <w:left w:w="100" w:type="dxa"/>
              <w:bottom w:w="100" w:type="dxa"/>
              <w:right w:w="100" w:type="dxa"/>
            </w:tcMar>
            <w:vAlign w:val="bottom"/>
          </w:tcPr>
          <w:p w14:paraId="4C23703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shd w:val="clear" w:color="auto" w:fill="auto"/>
            <w:tcMar>
              <w:top w:w="100" w:type="dxa"/>
              <w:left w:w="100" w:type="dxa"/>
              <w:bottom w:w="100" w:type="dxa"/>
              <w:right w:w="100" w:type="dxa"/>
            </w:tcMar>
            <w:vAlign w:val="bottom"/>
          </w:tcPr>
          <w:p w14:paraId="0693D1FC"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65E230CB" w14:textId="77777777" w:rsidTr="00167764">
        <w:trPr>
          <w:trHeight w:val="25"/>
        </w:trPr>
        <w:tc>
          <w:tcPr>
            <w:tcW w:w="3075" w:type="dxa"/>
            <w:shd w:val="clear" w:color="auto" w:fill="auto"/>
            <w:tcMar>
              <w:top w:w="100" w:type="dxa"/>
              <w:left w:w="100" w:type="dxa"/>
              <w:bottom w:w="100" w:type="dxa"/>
              <w:right w:w="100" w:type="dxa"/>
            </w:tcMar>
            <w:vAlign w:val="bottom"/>
          </w:tcPr>
          <w:p w14:paraId="3366577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Alcoholic cirrhosis</w:t>
            </w:r>
            <w:r w:rsidRPr="00932A95">
              <w:rPr>
                <w:rFonts w:ascii="Book Antiqua" w:hAnsi="Book Antiqua" w:cs="Book Antiqua"/>
                <w:color w:val="auto"/>
                <w:sz w:val="24"/>
                <w:szCs w:val="24"/>
                <w:vertAlign w:val="superscript"/>
              </w:rPr>
              <w:t>a</w:t>
            </w:r>
          </w:p>
        </w:tc>
        <w:tc>
          <w:tcPr>
            <w:tcW w:w="1815" w:type="dxa"/>
            <w:shd w:val="clear" w:color="auto" w:fill="auto"/>
            <w:tcMar>
              <w:top w:w="100" w:type="dxa"/>
              <w:left w:w="100" w:type="dxa"/>
              <w:bottom w:w="100" w:type="dxa"/>
              <w:right w:w="100" w:type="dxa"/>
            </w:tcMar>
            <w:vAlign w:val="bottom"/>
          </w:tcPr>
          <w:p w14:paraId="7837496C" w14:textId="688619C3"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4494 (</w:t>
            </w:r>
            <w:r w:rsidR="002F52BB" w:rsidRPr="00932A95">
              <w:rPr>
                <w:rFonts w:ascii="Book Antiqua" w:hAnsi="Book Antiqua" w:cs="Book Antiqua"/>
                <w:color w:val="auto"/>
                <w:sz w:val="24"/>
                <w:szCs w:val="24"/>
              </w:rPr>
              <w:t>7.7</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7C08AD77" w14:textId="1CACBD97"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2795 (</w:t>
            </w:r>
            <w:r w:rsidR="002F52BB" w:rsidRPr="00932A95">
              <w:rPr>
                <w:rFonts w:ascii="Book Antiqua" w:hAnsi="Book Antiqua" w:cs="Book Antiqua"/>
                <w:color w:val="auto"/>
                <w:sz w:val="24"/>
                <w:szCs w:val="24"/>
              </w:rPr>
              <w:t>9.2</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3F3AA89" w14:textId="687F5C18"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1763 (</w:t>
            </w:r>
            <w:r w:rsidR="002F52BB" w:rsidRPr="00932A95">
              <w:rPr>
                <w:rFonts w:ascii="Book Antiqua" w:hAnsi="Book Antiqua" w:cs="Book Antiqua"/>
                <w:color w:val="auto"/>
                <w:sz w:val="24"/>
                <w:szCs w:val="24"/>
              </w:rPr>
              <w:t>6.3</w:t>
            </w:r>
            <w:r w:rsidR="00176861">
              <w:rPr>
                <w:rFonts w:ascii="Book Antiqua" w:hAnsi="Book Antiqua" w:cs="Book Antiqua"/>
                <w:color w:val="auto"/>
                <w:sz w:val="24"/>
                <w:szCs w:val="24"/>
              </w:rPr>
              <w:t>)</w:t>
            </w:r>
          </w:p>
        </w:tc>
      </w:tr>
      <w:tr w:rsidR="00167764" w:rsidRPr="00932A95" w14:paraId="5ED45354" w14:textId="77777777" w:rsidTr="00167764">
        <w:trPr>
          <w:trHeight w:val="25"/>
        </w:trPr>
        <w:tc>
          <w:tcPr>
            <w:tcW w:w="3075" w:type="dxa"/>
            <w:shd w:val="clear" w:color="auto" w:fill="auto"/>
            <w:tcMar>
              <w:top w:w="100" w:type="dxa"/>
              <w:left w:w="100" w:type="dxa"/>
              <w:bottom w:w="100" w:type="dxa"/>
              <w:right w:w="100" w:type="dxa"/>
            </w:tcMar>
            <w:vAlign w:val="bottom"/>
          </w:tcPr>
          <w:p w14:paraId="3176D2A9"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Ascites</w:t>
            </w:r>
          </w:p>
        </w:tc>
        <w:tc>
          <w:tcPr>
            <w:tcW w:w="1815" w:type="dxa"/>
            <w:shd w:val="clear" w:color="auto" w:fill="auto"/>
            <w:tcMar>
              <w:top w:w="100" w:type="dxa"/>
              <w:left w:w="100" w:type="dxa"/>
              <w:bottom w:w="100" w:type="dxa"/>
              <w:right w:w="100" w:type="dxa"/>
            </w:tcMar>
            <w:vAlign w:val="bottom"/>
          </w:tcPr>
          <w:p w14:paraId="367C5AFD" w14:textId="7B972A39"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5953 (</w:t>
            </w:r>
            <w:r w:rsidR="002F52BB" w:rsidRPr="00932A95">
              <w:rPr>
                <w:rFonts w:ascii="Book Antiqua" w:hAnsi="Book Antiqua" w:cs="Book Antiqua"/>
                <w:color w:val="auto"/>
                <w:sz w:val="24"/>
                <w:szCs w:val="24"/>
              </w:rPr>
              <w:t>10.2</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5BBB5B39" w14:textId="29F20E9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3585 (</w:t>
            </w:r>
            <w:r w:rsidR="002F52BB" w:rsidRPr="00932A95">
              <w:rPr>
                <w:rFonts w:ascii="Book Antiqua" w:hAnsi="Book Antiqua" w:cs="Book Antiqua"/>
                <w:color w:val="auto"/>
                <w:sz w:val="24"/>
                <w:szCs w:val="24"/>
              </w:rPr>
              <w:t>11.8</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3DA78634" w14:textId="78FCF362"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2266 (</w:t>
            </w:r>
            <w:r w:rsidR="002F52BB" w:rsidRPr="00932A95">
              <w:rPr>
                <w:rFonts w:ascii="Book Antiqua" w:hAnsi="Book Antiqua" w:cs="Book Antiqua"/>
                <w:color w:val="auto"/>
                <w:sz w:val="24"/>
                <w:szCs w:val="24"/>
              </w:rPr>
              <w:t>8.1</w:t>
            </w:r>
            <w:r w:rsidR="00176861">
              <w:rPr>
                <w:rFonts w:ascii="Book Antiqua" w:hAnsi="Book Antiqua" w:cs="Book Antiqua"/>
                <w:color w:val="auto"/>
                <w:sz w:val="24"/>
                <w:szCs w:val="24"/>
              </w:rPr>
              <w:t>)</w:t>
            </w:r>
          </w:p>
        </w:tc>
      </w:tr>
      <w:tr w:rsidR="00167764" w:rsidRPr="00932A95" w14:paraId="0DF9F761" w14:textId="77777777" w:rsidTr="00167764">
        <w:trPr>
          <w:trHeight w:val="25"/>
        </w:trPr>
        <w:tc>
          <w:tcPr>
            <w:tcW w:w="3075" w:type="dxa"/>
            <w:shd w:val="clear" w:color="auto" w:fill="auto"/>
            <w:tcMar>
              <w:top w:w="100" w:type="dxa"/>
              <w:left w:w="100" w:type="dxa"/>
              <w:bottom w:w="100" w:type="dxa"/>
              <w:right w:w="100" w:type="dxa"/>
            </w:tcMar>
            <w:vAlign w:val="bottom"/>
          </w:tcPr>
          <w:p w14:paraId="128DA093"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Hepatic encephalopathy</w:t>
            </w:r>
          </w:p>
        </w:tc>
        <w:tc>
          <w:tcPr>
            <w:tcW w:w="1815" w:type="dxa"/>
            <w:shd w:val="clear" w:color="auto" w:fill="auto"/>
            <w:tcMar>
              <w:top w:w="100" w:type="dxa"/>
              <w:left w:w="100" w:type="dxa"/>
              <w:bottom w:w="100" w:type="dxa"/>
              <w:right w:w="100" w:type="dxa"/>
            </w:tcMar>
            <w:vAlign w:val="bottom"/>
          </w:tcPr>
          <w:p w14:paraId="5E55DFD2" w14:textId="713BCB7C"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9338 (</w:t>
            </w:r>
            <w:r w:rsidR="002F52BB" w:rsidRPr="00932A95">
              <w:rPr>
                <w:rFonts w:ascii="Book Antiqua" w:hAnsi="Book Antiqua" w:cs="Book Antiqua"/>
                <w:color w:val="auto"/>
                <w:sz w:val="24"/>
                <w:szCs w:val="24"/>
              </w:rPr>
              <w:t>16.0</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1F7872E0" w14:textId="462599CE"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5165 (</w:t>
            </w:r>
            <w:r w:rsidR="002F52BB" w:rsidRPr="00932A95">
              <w:rPr>
                <w:rFonts w:ascii="Book Antiqua" w:hAnsi="Book Antiqua" w:cs="Book Antiqua"/>
                <w:color w:val="auto"/>
                <w:sz w:val="24"/>
                <w:szCs w:val="24"/>
              </w:rPr>
              <w:t>17.0</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ADBD151" w14:textId="1B1201AC"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3973 (</w:t>
            </w:r>
            <w:r w:rsidR="002F52BB" w:rsidRPr="00932A95">
              <w:rPr>
                <w:rFonts w:ascii="Book Antiqua" w:hAnsi="Book Antiqua" w:cs="Book Antiqua"/>
                <w:color w:val="auto"/>
                <w:sz w:val="24"/>
                <w:szCs w:val="24"/>
              </w:rPr>
              <w:t>14.2</w:t>
            </w:r>
            <w:r w:rsidR="00176861">
              <w:rPr>
                <w:rFonts w:ascii="Book Antiqua" w:hAnsi="Book Antiqua" w:cs="Book Antiqua"/>
                <w:color w:val="auto"/>
                <w:sz w:val="24"/>
                <w:szCs w:val="24"/>
              </w:rPr>
              <w:t>)</w:t>
            </w:r>
          </w:p>
        </w:tc>
      </w:tr>
      <w:tr w:rsidR="00167764" w:rsidRPr="00932A95" w14:paraId="5F253152" w14:textId="77777777" w:rsidTr="00167764">
        <w:trPr>
          <w:trHeight w:val="25"/>
        </w:trPr>
        <w:tc>
          <w:tcPr>
            <w:tcW w:w="3075" w:type="dxa"/>
            <w:shd w:val="clear" w:color="auto" w:fill="auto"/>
            <w:tcMar>
              <w:top w:w="100" w:type="dxa"/>
              <w:left w:w="100" w:type="dxa"/>
              <w:bottom w:w="100" w:type="dxa"/>
              <w:right w:w="100" w:type="dxa"/>
            </w:tcMar>
            <w:vAlign w:val="bottom"/>
          </w:tcPr>
          <w:p w14:paraId="49940DE4"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SBP</w:t>
            </w:r>
          </w:p>
        </w:tc>
        <w:tc>
          <w:tcPr>
            <w:tcW w:w="1815" w:type="dxa"/>
            <w:shd w:val="clear" w:color="auto" w:fill="auto"/>
            <w:tcMar>
              <w:top w:w="100" w:type="dxa"/>
              <w:left w:w="100" w:type="dxa"/>
              <w:bottom w:w="100" w:type="dxa"/>
              <w:right w:w="100" w:type="dxa"/>
            </w:tcMar>
            <w:vAlign w:val="bottom"/>
          </w:tcPr>
          <w:p w14:paraId="4FE5D2DF" w14:textId="23AD98F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11322 (</w:t>
            </w:r>
            <w:r w:rsidR="002F52BB" w:rsidRPr="00932A95">
              <w:rPr>
                <w:rFonts w:ascii="Book Antiqua" w:hAnsi="Book Antiqua" w:cs="Book Antiqua"/>
                <w:color w:val="auto"/>
                <w:sz w:val="24"/>
                <w:szCs w:val="24"/>
              </w:rPr>
              <w:t>19.4</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3ED79632" w14:textId="2B8A5877"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8294 (</w:t>
            </w:r>
            <w:r w:rsidR="002F52BB" w:rsidRPr="00932A95">
              <w:rPr>
                <w:rFonts w:ascii="Book Antiqua" w:hAnsi="Book Antiqua" w:cs="Book Antiqua"/>
                <w:color w:val="auto"/>
                <w:sz w:val="24"/>
                <w:szCs w:val="24"/>
              </w:rPr>
              <w:t>27.3</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FA9C631" w14:textId="1CD6DBC2" w:rsidR="0011433B" w:rsidRPr="00932A95" w:rsidRDefault="00C04F63" w:rsidP="00374FC0">
            <w:pPr>
              <w:spacing w:line="360" w:lineRule="auto"/>
              <w:jc w:val="both"/>
              <w:rPr>
                <w:rFonts w:ascii="Book Antiqua" w:hAnsi="Book Antiqua" w:cs="Book Antiqua"/>
                <w:color w:val="auto"/>
                <w:sz w:val="24"/>
                <w:szCs w:val="24"/>
                <w:vertAlign w:val="superscript"/>
              </w:rPr>
            </w:pPr>
            <w:r>
              <w:rPr>
                <w:rFonts w:ascii="Book Antiqua" w:hAnsi="Book Antiqua" w:cs="Book Antiqua"/>
                <w:color w:val="auto"/>
                <w:sz w:val="24"/>
                <w:szCs w:val="24"/>
              </w:rPr>
              <w:t>1567 (</w:t>
            </w:r>
            <w:r w:rsidR="002F52BB" w:rsidRPr="00932A95">
              <w:rPr>
                <w:rFonts w:ascii="Book Antiqua" w:hAnsi="Book Antiqua" w:cs="Book Antiqua"/>
                <w:color w:val="auto"/>
                <w:sz w:val="24"/>
                <w:szCs w:val="24"/>
              </w:rPr>
              <w:t>5.6</w:t>
            </w:r>
            <w:r w:rsidR="00176861">
              <w:rPr>
                <w:rFonts w:ascii="Book Antiqua" w:hAnsi="Book Antiqua" w:cs="Book Antiqua"/>
                <w:color w:val="auto"/>
                <w:sz w:val="24"/>
                <w:szCs w:val="24"/>
              </w:rPr>
              <w:t>)</w:t>
            </w:r>
          </w:p>
        </w:tc>
      </w:tr>
      <w:tr w:rsidR="00167764" w:rsidRPr="00932A95" w14:paraId="20553520" w14:textId="77777777" w:rsidTr="00167764">
        <w:trPr>
          <w:trHeight w:val="25"/>
        </w:trPr>
        <w:tc>
          <w:tcPr>
            <w:tcW w:w="3075" w:type="dxa"/>
            <w:shd w:val="clear" w:color="auto" w:fill="auto"/>
            <w:tcMar>
              <w:top w:w="100" w:type="dxa"/>
              <w:left w:w="100" w:type="dxa"/>
              <w:bottom w:w="100" w:type="dxa"/>
              <w:right w:w="100" w:type="dxa"/>
            </w:tcMar>
            <w:vAlign w:val="bottom"/>
          </w:tcPr>
          <w:p w14:paraId="30E209C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Hepatorenal syndrome</w:t>
            </w:r>
          </w:p>
        </w:tc>
        <w:tc>
          <w:tcPr>
            <w:tcW w:w="1815" w:type="dxa"/>
            <w:shd w:val="clear" w:color="auto" w:fill="auto"/>
            <w:tcMar>
              <w:top w:w="100" w:type="dxa"/>
              <w:left w:w="100" w:type="dxa"/>
              <w:bottom w:w="100" w:type="dxa"/>
              <w:right w:w="100" w:type="dxa"/>
            </w:tcMar>
            <w:vAlign w:val="bottom"/>
          </w:tcPr>
          <w:p w14:paraId="6A9EF6B4" w14:textId="55D2302B"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23695 (</w:t>
            </w:r>
            <w:r w:rsidR="002F52BB" w:rsidRPr="00932A95">
              <w:rPr>
                <w:rFonts w:ascii="Book Antiqua" w:hAnsi="Book Antiqua" w:cs="Book Antiqua"/>
                <w:color w:val="auto"/>
                <w:sz w:val="24"/>
                <w:szCs w:val="24"/>
              </w:rPr>
              <w:t>40.6</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6F6B538B" w14:textId="7570A4E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12335 (</w:t>
            </w:r>
            <w:r w:rsidR="002F52BB" w:rsidRPr="00932A95">
              <w:rPr>
                <w:rFonts w:ascii="Book Antiqua" w:hAnsi="Book Antiqua" w:cs="Book Antiqua"/>
                <w:color w:val="auto"/>
                <w:sz w:val="24"/>
                <w:szCs w:val="24"/>
              </w:rPr>
              <w:t>40.6</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0370FAE1" w14:textId="79B964C2"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11415 (</w:t>
            </w:r>
            <w:r w:rsidR="002F52BB" w:rsidRPr="00932A95">
              <w:rPr>
                <w:rFonts w:ascii="Book Antiqua" w:hAnsi="Book Antiqua" w:cs="Book Antiqua"/>
                <w:color w:val="auto"/>
                <w:sz w:val="24"/>
                <w:szCs w:val="24"/>
              </w:rPr>
              <w:t>40.8</w:t>
            </w:r>
            <w:r w:rsidR="00176861">
              <w:rPr>
                <w:rFonts w:ascii="Book Antiqua" w:hAnsi="Book Antiqua" w:cs="Book Antiqua"/>
                <w:color w:val="auto"/>
                <w:sz w:val="24"/>
                <w:szCs w:val="24"/>
              </w:rPr>
              <w:t>)</w:t>
            </w:r>
          </w:p>
        </w:tc>
      </w:tr>
      <w:tr w:rsidR="00167764" w:rsidRPr="00932A95" w14:paraId="5ABE34EB" w14:textId="77777777" w:rsidTr="00167764">
        <w:trPr>
          <w:trHeight w:val="25"/>
        </w:trPr>
        <w:tc>
          <w:tcPr>
            <w:tcW w:w="3075" w:type="dxa"/>
            <w:shd w:val="clear" w:color="auto" w:fill="auto"/>
            <w:tcMar>
              <w:top w:w="100" w:type="dxa"/>
              <w:left w:w="100" w:type="dxa"/>
              <w:bottom w:w="100" w:type="dxa"/>
              <w:right w:w="100" w:type="dxa"/>
            </w:tcMar>
            <w:vAlign w:val="bottom"/>
          </w:tcPr>
          <w:p w14:paraId="7FE3C69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Coagulopathy</w:t>
            </w:r>
          </w:p>
        </w:tc>
        <w:tc>
          <w:tcPr>
            <w:tcW w:w="1815" w:type="dxa"/>
            <w:shd w:val="clear" w:color="auto" w:fill="auto"/>
            <w:tcMar>
              <w:top w:w="100" w:type="dxa"/>
              <w:left w:w="100" w:type="dxa"/>
              <w:bottom w:w="100" w:type="dxa"/>
              <w:right w:w="100" w:type="dxa"/>
            </w:tcMar>
            <w:vAlign w:val="bottom"/>
          </w:tcPr>
          <w:p w14:paraId="60478BDD" w14:textId="7B8EC5CC"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4844 (</w:t>
            </w:r>
            <w:r w:rsidR="002F52BB" w:rsidRPr="00932A95">
              <w:rPr>
                <w:rFonts w:ascii="Book Antiqua" w:hAnsi="Book Antiqua" w:cs="Book Antiqua"/>
                <w:color w:val="auto"/>
                <w:sz w:val="24"/>
                <w:szCs w:val="24"/>
              </w:rPr>
              <w:t>8.3</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33CD8FDA" w14:textId="7D72D2F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2917 (</w:t>
            </w:r>
            <w:r w:rsidR="002F52BB" w:rsidRPr="00932A95">
              <w:rPr>
                <w:rFonts w:ascii="Book Antiqua" w:hAnsi="Book Antiqua" w:cs="Book Antiqua"/>
                <w:color w:val="auto"/>
                <w:sz w:val="24"/>
                <w:szCs w:val="24"/>
              </w:rPr>
              <w:t>9.6</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0146D9E" w14:textId="585B6B0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1931 (</w:t>
            </w:r>
            <w:r w:rsidR="002F52BB" w:rsidRPr="00932A95">
              <w:rPr>
                <w:rFonts w:ascii="Book Antiqua" w:hAnsi="Book Antiqua" w:cs="Book Antiqua"/>
                <w:color w:val="auto"/>
                <w:sz w:val="24"/>
                <w:szCs w:val="24"/>
              </w:rPr>
              <w:t>6.9</w:t>
            </w:r>
            <w:r w:rsidR="00176861">
              <w:rPr>
                <w:rFonts w:ascii="Book Antiqua" w:hAnsi="Book Antiqua" w:cs="Book Antiqua"/>
                <w:color w:val="auto"/>
                <w:sz w:val="24"/>
                <w:szCs w:val="24"/>
              </w:rPr>
              <w:t>)</w:t>
            </w:r>
          </w:p>
        </w:tc>
      </w:tr>
      <w:tr w:rsidR="00167764" w:rsidRPr="00932A95" w14:paraId="7A639305" w14:textId="77777777" w:rsidTr="00167764">
        <w:trPr>
          <w:trHeight w:val="25"/>
        </w:trPr>
        <w:tc>
          <w:tcPr>
            <w:tcW w:w="3075" w:type="dxa"/>
            <w:shd w:val="clear" w:color="auto" w:fill="auto"/>
            <w:tcMar>
              <w:top w:w="100" w:type="dxa"/>
              <w:left w:w="100" w:type="dxa"/>
              <w:bottom w:w="100" w:type="dxa"/>
              <w:right w:w="100" w:type="dxa"/>
            </w:tcMar>
            <w:vAlign w:val="bottom"/>
          </w:tcPr>
          <w:p w14:paraId="4E00F236"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Hepatocellular carcinoma</w:t>
            </w:r>
          </w:p>
        </w:tc>
        <w:tc>
          <w:tcPr>
            <w:tcW w:w="1815" w:type="dxa"/>
            <w:shd w:val="clear" w:color="auto" w:fill="auto"/>
            <w:tcMar>
              <w:top w:w="100" w:type="dxa"/>
              <w:left w:w="100" w:type="dxa"/>
              <w:bottom w:w="100" w:type="dxa"/>
              <w:right w:w="100" w:type="dxa"/>
            </w:tcMar>
            <w:vAlign w:val="bottom"/>
          </w:tcPr>
          <w:p w14:paraId="1558EF77" w14:textId="2F471DB2"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7821 (</w:t>
            </w:r>
            <w:r w:rsidR="002F52BB" w:rsidRPr="00932A95">
              <w:rPr>
                <w:rFonts w:ascii="Book Antiqua" w:hAnsi="Book Antiqua" w:cs="Book Antiqua"/>
                <w:color w:val="auto"/>
                <w:sz w:val="24"/>
                <w:szCs w:val="24"/>
              </w:rPr>
              <w:t>13.4</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0FE766A6" w14:textId="3914054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4770 (</w:t>
            </w:r>
            <w:r w:rsidR="002F52BB" w:rsidRPr="00932A95">
              <w:rPr>
                <w:rFonts w:ascii="Book Antiqua" w:hAnsi="Book Antiqua" w:cs="Book Antiqua"/>
                <w:color w:val="auto"/>
                <w:sz w:val="24"/>
                <w:szCs w:val="24"/>
              </w:rPr>
              <w:t>15.7</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3B59AD8B" w14:textId="4625AB7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2266 (</w:t>
            </w:r>
            <w:r w:rsidR="002F52BB" w:rsidRPr="00932A95">
              <w:rPr>
                <w:rFonts w:ascii="Book Antiqua" w:hAnsi="Book Antiqua" w:cs="Book Antiqua"/>
                <w:color w:val="auto"/>
                <w:sz w:val="24"/>
                <w:szCs w:val="24"/>
              </w:rPr>
              <w:t>8.1</w:t>
            </w:r>
            <w:r w:rsidR="00176861">
              <w:rPr>
                <w:rFonts w:ascii="Book Antiqua" w:hAnsi="Book Antiqua" w:cs="Book Antiqua"/>
                <w:color w:val="auto"/>
                <w:sz w:val="24"/>
                <w:szCs w:val="24"/>
              </w:rPr>
              <w:t>)</w:t>
            </w:r>
          </w:p>
        </w:tc>
      </w:tr>
      <w:tr w:rsidR="00167764" w:rsidRPr="00932A95" w14:paraId="3A40CD6F" w14:textId="77777777" w:rsidTr="00167764">
        <w:trPr>
          <w:trHeight w:val="25"/>
        </w:trPr>
        <w:tc>
          <w:tcPr>
            <w:tcW w:w="3075" w:type="dxa"/>
            <w:shd w:val="clear" w:color="auto" w:fill="auto"/>
            <w:tcMar>
              <w:top w:w="100" w:type="dxa"/>
              <w:left w:w="100" w:type="dxa"/>
              <w:bottom w:w="100" w:type="dxa"/>
              <w:right w:w="100" w:type="dxa"/>
            </w:tcMar>
            <w:vAlign w:val="bottom"/>
          </w:tcPr>
          <w:p w14:paraId="590C2BB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Management</w:t>
            </w:r>
          </w:p>
        </w:tc>
        <w:tc>
          <w:tcPr>
            <w:tcW w:w="1815" w:type="dxa"/>
            <w:shd w:val="clear" w:color="auto" w:fill="auto"/>
            <w:tcMar>
              <w:top w:w="100" w:type="dxa"/>
              <w:left w:w="100" w:type="dxa"/>
              <w:bottom w:w="100" w:type="dxa"/>
              <w:right w:w="100" w:type="dxa"/>
            </w:tcMar>
            <w:vAlign w:val="bottom"/>
          </w:tcPr>
          <w:p w14:paraId="42F6D47E"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250" w:type="dxa"/>
            <w:shd w:val="clear" w:color="auto" w:fill="auto"/>
            <w:tcMar>
              <w:top w:w="100" w:type="dxa"/>
              <w:left w:w="100" w:type="dxa"/>
              <w:bottom w:w="100" w:type="dxa"/>
              <w:right w:w="100" w:type="dxa"/>
            </w:tcMar>
            <w:vAlign w:val="bottom"/>
          </w:tcPr>
          <w:p w14:paraId="1242AFA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shd w:val="clear" w:color="auto" w:fill="auto"/>
            <w:tcMar>
              <w:top w:w="100" w:type="dxa"/>
              <w:left w:w="100" w:type="dxa"/>
              <w:bottom w:w="100" w:type="dxa"/>
              <w:right w:w="100" w:type="dxa"/>
            </w:tcMar>
            <w:vAlign w:val="bottom"/>
          </w:tcPr>
          <w:p w14:paraId="2359774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720077A9" w14:textId="77777777" w:rsidTr="00167764">
        <w:trPr>
          <w:trHeight w:val="25"/>
        </w:trPr>
        <w:tc>
          <w:tcPr>
            <w:tcW w:w="3075" w:type="dxa"/>
            <w:shd w:val="clear" w:color="auto" w:fill="auto"/>
            <w:tcMar>
              <w:top w:w="100" w:type="dxa"/>
              <w:left w:w="100" w:type="dxa"/>
              <w:bottom w:w="100" w:type="dxa"/>
              <w:right w:w="100" w:type="dxa"/>
            </w:tcMar>
            <w:vAlign w:val="bottom"/>
          </w:tcPr>
          <w:p w14:paraId="6315E67A"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Blood transfusion</w:t>
            </w:r>
          </w:p>
        </w:tc>
        <w:tc>
          <w:tcPr>
            <w:tcW w:w="1815" w:type="dxa"/>
            <w:shd w:val="clear" w:color="auto" w:fill="auto"/>
            <w:tcMar>
              <w:top w:w="100" w:type="dxa"/>
              <w:left w:w="100" w:type="dxa"/>
              <w:bottom w:w="100" w:type="dxa"/>
              <w:right w:w="100" w:type="dxa"/>
            </w:tcMar>
            <w:vAlign w:val="bottom"/>
          </w:tcPr>
          <w:p w14:paraId="5A37B747" w14:textId="564AEF6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4319 (</w:t>
            </w:r>
            <w:r w:rsidR="002F52BB" w:rsidRPr="00932A95">
              <w:rPr>
                <w:rFonts w:ascii="Book Antiqua" w:hAnsi="Book Antiqua" w:cs="Book Antiqua"/>
                <w:color w:val="auto"/>
                <w:sz w:val="24"/>
                <w:szCs w:val="24"/>
              </w:rPr>
              <w:t>7.4</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267EFA48" w14:textId="501A5904"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2643 (</w:t>
            </w:r>
            <w:r w:rsidR="002F52BB" w:rsidRPr="00932A95">
              <w:rPr>
                <w:rFonts w:ascii="Book Antiqua" w:hAnsi="Book Antiqua" w:cs="Book Antiqua"/>
                <w:color w:val="auto"/>
                <w:sz w:val="24"/>
                <w:szCs w:val="24"/>
              </w:rPr>
              <w:t>8.7</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0546DAD" w14:textId="2E2F7F0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1735 (</w:t>
            </w:r>
            <w:r w:rsidR="002F52BB" w:rsidRPr="00932A95">
              <w:rPr>
                <w:rFonts w:ascii="Book Antiqua" w:hAnsi="Book Antiqua" w:cs="Book Antiqua"/>
                <w:color w:val="auto"/>
                <w:sz w:val="24"/>
                <w:szCs w:val="24"/>
              </w:rPr>
              <w:t>6.2</w:t>
            </w:r>
            <w:r w:rsidR="00176861">
              <w:rPr>
                <w:rFonts w:ascii="Book Antiqua" w:hAnsi="Book Antiqua" w:cs="Book Antiqua"/>
                <w:color w:val="auto"/>
                <w:sz w:val="24"/>
                <w:szCs w:val="24"/>
              </w:rPr>
              <w:t>)</w:t>
            </w:r>
          </w:p>
        </w:tc>
      </w:tr>
      <w:tr w:rsidR="00167764" w:rsidRPr="00932A95" w14:paraId="715A9492" w14:textId="77777777" w:rsidTr="00167764">
        <w:trPr>
          <w:trHeight w:val="25"/>
        </w:trPr>
        <w:tc>
          <w:tcPr>
            <w:tcW w:w="3075" w:type="dxa"/>
            <w:shd w:val="clear" w:color="auto" w:fill="auto"/>
            <w:tcMar>
              <w:top w:w="100" w:type="dxa"/>
              <w:left w:w="100" w:type="dxa"/>
              <w:bottom w:w="100" w:type="dxa"/>
              <w:right w:w="100" w:type="dxa"/>
            </w:tcMar>
            <w:vAlign w:val="bottom"/>
          </w:tcPr>
          <w:p w14:paraId="16FB8B4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Balloon tamponade</w:t>
            </w:r>
          </w:p>
        </w:tc>
        <w:tc>
          <w:tcPr>
            <w:tcW w:w="1815" w:type="dxa"/>
            <w:shd w:val="clear" w:color="auto" w:fill="auto"/>
            <w:tcMar>
              <w:top w:w="100" w:type="dxa"/>
              <w:left w:w="100" w:type="dxa"/>
              <w:bottom w:w="100" w:type="dxa"/>
              <w:right w:w="100" w:type="dxa"/>
            </w:tcMar>
            <w:vAlign w:val="bottom"/>
          </w:tcPr>
          <w:p w14:paraId="4B1BDB05" w14:textId="2916F9A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30290 (</w:t>
            </w:r>
            <w:r w:rsidR="002F52BB" w:rsidRPr="00932A95">
              <w:rPr>
                <w:rFonts w:ascii="Book Antiqua" w:hAnsi="Book Antiqua" w:cs="Book Antiqua"/>
                <w:color w:val="auto"/>
                <w:sz w:val="24"/>
                <w:szCs w:val="24"/>
              </w:rPr>
              <w:t>51.9</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06AE24B0" w14:textId="1DD5D67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15616 (</w:t>
            </w:r>
            <w:r w:rsidR="002F52BB" w:rsidRPr="00932A95">
              <w:rPr>
                <w:rFonts w:ascii="Book Antiqua" w:hAnsi="Book Antiqua" w:cs="Book Antiqua"/>
                <w:color w:val="auto"/>
                <w:sz w:val="24"/>
                <w:szCs w:val="24"/>
              </w:rPr>
              <w:t>51.4</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1C22D8E" w14:textId="6F28C2A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14857 (</w:t>
            </w:r>
            <w:r w:rsidR="002F52BB" w:rsidRPr="00932A95">
              <w:rPr>
                <w:rFonts w:ascii="Book Antiqua" w:hAnsi="Book Antiqua" w:cs="Book Antiqua"/>
                <w:color w:val="auto"/>
                <w:sz w:val="24"/>
                <w:szCs w:val="24"/>
              </w:rPr>
              <w:t>53.1</w:t>
            </w:r>
            <w:r w:rsidR="00176861">
              <w:rPr>
                <w:rFonts w:ascii="Book Antiqua" w:hAnsi="Book Antiqua" w:cs="Book Antiqua"/>
                <w:color w:val="auto"/>
                <w:sz w:val="24"/>
                <w:szCs w:val="24"/>
              </w:rPr>
              <w:t>)</w:t>
            </w:r>
          </w:p>
        </w:tc>
      </w:tr>
      <w:tr w:rsidR="00167764" w:rsidRPr="00932A95" w14:paraId="59D89E35" w14:textId="77777777" w:rsidTr="00167764">
        <w:trPr>
          <w:trHeight w:val="25"/>
        </w:trPr>
        <w:tc>
          <w:tcPr>
            <w:tcW w:w="3075" w:type="dxa"/>
            <w:shd w:val="clear" w:color="auto" w:fill="auto"/>
            <w:tcMar>
              <w:top w:w="100" w:type="dxa"/>
              <w:left w:w="100" w:type="dxa"/>
              <w:bottom w:w="100" w:type="dxa"/>
              <w:right w:w="100" w:type="dxa"/>
            </w:tcMar>
            <w:vAlign w:val="bottom"/>
          </w:tcPr>
          <w:p w14:paraId="3B02AC23"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Portosystemic shunt</w:t>
            </w:r>
          </w:p>
        </w:tc>
        <w:tc>
          <w:tcPr>
            <w:tcW w:w="1815" w:type="dxa"/>
            <w:shd w:val="clear" w:color="auto" w:fill="auto"/>
            <w:tcMar>
              <w:top w:w="100" w:type="dxa"/>
              <w:left w:w="100" w:type="dxa"/>
              <w:bottom w:w="100" w:type="dxa"/>
              <w:right w:w="100" w:type="dxa"/>
            </w:tcMar>
            <w:vAlign w:val="bottom"/>
          </w:tcPr>
          <w:p w14:paraId="7092815F" w14:textId="7A90CC15"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8871 (</w:t>
            </w:r>
            <w:r w:rsidR="002F52BB" w:rsidRPr="00932A95">
              <w:rPr>
                <w:rFonts w:ascii="Book Antiqua" w:hAnsi="Book Antiqua" w:cs="Book Antiqua"/>
                <w:color w:val="auto"/>
                <w:sz w:val="24"/>
                <w:szCs w:val="24"/>
              </w:rPr>
              <w:t>15.2</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3F79FE5E" w14:textId="2F90FE7A"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5195 (</w:t>
            </w:r>
            <w:r w:rsidR="002F52BB" w:rsidRPr="00932A95">
              <w:rPr>
                <w:rFonts w:ascii="Book Antiqua" w:hAnsi="Book Antiqua" w:cs="Book Antiqua"/>
                <w:color w:val="auto"/>
                <w:sz w:val="24"/>
                <w:szCs w:val="24"/>
              </w:rPr>
              <w:t>17.1</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46202282" w14:textId="09C0405C"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2770 (</w:t>
            </w:r>
            <w:r w:rsidR="002F52BB" w:rsidRPr="00932A95">
              <w:rPr>
                <w:rFonts w:ascii="Book Antiqua" w:hAnsi="Book Antiqua" w:cs="Book Antiqua"/>
                <w:color w:val="auto"/>
                <w:sz w:val="24"/>
                <w:szCs w:val="24"/>
              </w:rPr>
              <w:t>9.9</w:t>
            </w:r>
            <w:r w:rsidR="00176861">
              <w:rPr>
                <w:rFonts w:ascii="Book Antiqua" w:hAnsi="Book Antiqua" w:cs="Book Antiqua"/>
                <w:color w:val="auto"/>
                <w:sz w:val="24"/>
                <w:szCs w:val="24"/>
              </w:rPr>
              <w:t>)</w:t>
            </w:r>
          </w:p>
        </w:tc>
      </w:tr>
    </w:tbl>
    <w:p w14:paraId="663A2DF2" w14:textId="1F8724C0" w:rsidR="0011433B" w:rsidRPr="00932A95"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color w:val="auto"/>
          <w:sz w:val="24"/>
          <w:szCs w:val="24"/>
          <w:vertAlign w:val="superscript"/>
        </w:rPr>
        <w:t>a</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&gt; 0.05 in comparison between groups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All data are proportions [</w:t>
      </w:r>
      <w:r w:rsidR="0043179C" w:rsidRPr="00932A95">
        <w:rPr>
          <w:rFonts w:ascii="Book Antiqua" w:hAnsi="Book Antiqua" w:cs="Book Antiqua"/>
          <w:i/>
          <w:iCs/>
          <w:color w:val="auto"/>
          <w:sz w:val="24"/>
          <w:szCs w:val="24"/>
        </w:rPr>
        <w:t>n</w:t>
      </w:r>
      <w:r w:rsidR="00C37401">
        <w:rPr>
          <w:rFonts w:ascii="Book Antiqua" w:hAnsi="Book Antiqua" w:cs="Book Antiqua"/>
          <w:color w:val="auto"/>
          <w:sz w:val="24"/>
          <w:szCs w:val="24"/>
        </w:rPr>
        <w:t xml:space="preserve"> </w:t>
      </w:r>
      <w:r w:rsidRPr="00932A95">
        <w:rPr>
          <w:rFonts w:ascii="Book Antiqua" w:hAnsi="Book Antiqua" w:cs="Book Antiqua"/>
          <w:color w:val="auto"/>
          <w:sz w:val="24"/>
          <w:szCs w:val="24"/>
        </w:rPr>
        <w:t>(</w:t>
      </w:r>
      <w:r w:rsidR="0043179C" w:rsidRPr="00932A95">
        <w:rPr>
          <w:rFonts w:ascii="Book Antiqua" w:hAnsi="Book Antiqua" w:cs="Book Antiqua"/>
          <w:color w:val="auto"/>
          <w:sz w:val="24"/>
          <w:szCs w:val="24"/>
        </w:rPr>
        <w:t>%</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 xml:space="preserve">Comparisons between groups made with </w:t>
      </w:r>
      <w:r w:rsidRPr="00850974">
        <w:rPr>
          <w:rFonts w:ascii="Book Antiqua" w:hAnsi="Book Antiqua" w:cs="Book Antiqua"/>
          <w:i/>
          <w:color w:val="auto"/>
          <w:sz w:val="24"/>
          <w:szCs w:val="24"/>
        </w:rPr>
        <w:t>χ</w:t>
      </w:r>
      <w:r w:rsidRPr="00850974">
        <w:rPr>
          <w:rFonts w:ascii="Book Antiqua" w:hAnsi="Book Antiqua" w:cs="Book Antiqua"/>
          <w:i/>
          <w:color w:val="auto"/>
          <w:sz w:val="24"/>
          <w:szCs w:val="24"/>
          <w:vertAlign w:val="superscript"/>
        </w:rPr>
        <w:t>2</w:t>
      </w:r>
      <w:r w:rsidRPr="00932A95">
        <w:rPr>
          <w:rFonts w:ascii="Book Antiqua" w:hAnsi="Book Antiqua" w:cs="Book Antiqua"/>
          <w:color w:val="auto"/>
          <w:sz w:val="24"/>
          <w:szCs w:val="24"/>
        </w:rPr>
        <w:t xml:space="preserve"> test. All comparisons had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&lt; 0.001 between groups unless otherwise stated</w:t>
      </w:r>
      <w:r w:rsidRPr="00932A95">
        <w:rPr>
          <w:rFonts w:ascii="Book Antiqua" w:hAnsi="Book Antiqua" w:cs="Book Antiqua"/>
          <w:color w:val="auto"/>
          <w:sz w:val="24"/>
          <w:szCs w:val="24"/>
          <w:lang w:val="en-US"/>
        </w:rPr>
        <w:t>.</w:t>
      </w:r>
    </w:p>
    <w:p w14:paraId="61017CD2" w14:textId="77777777" w:rsidR="0011433B" w:rsidRPr="00932A95" w:rsidRDefault="0011433B" w:rsidP="00374FC0">
      <w:pPr>
        <w:spacing w:line="360" w:lineRule="auto"/>
        <w:jc w:val="both"/>
        <w:rPr>
          <w:rFonts w:ascii="Book Antiqua" w:hAnsi="Book Antiqua" w:cs="Book Antiqua"/>
          <w:color w:val="auto"/>
          <w:sz w:val="24"/>
          <w:szCs w:val="24"/>
        </w:rPr>
      </w:pPr>
    </w:p>
    <w:p w14:paraId="111E715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57EDC88D"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5</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Length of stay</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and cost of hospitalization</w:t>
      </w:r>
    </w:p>
    <w:tbl>
      <w:tblPr>
        <w:tblStyle w:val="Style15"/>
        <w:tblW w:w="9470" w:type="dxa"/>
        <w:tblInd w:w="100" w:type="dxa"/>
        <w:tblBorders>
          <w:top w:val="single" w:sz="4" w:space="0" w:color="auto"/>
          <w:bottom w:val="single" w:sz="4" w:space="0" w:color="auto"/>
        </w:tblBorders>
        <w:tblLayout w:type="fixed"/>
        <w:tblLook w:val="04A0" w:firstRow="1" w:lastRow="0" w:firstColumn="1" w:lastColumn="0" w:noHBand="0" w:noVBand="1"/>
      </w:tblPr>
      <w:tblGrid>
        <w:gridCol w:w="2813"/>
        <w:gridCol w:w="1921"/>
        <w:gridCol w:w="1802"/>
        <w:gridCol w:w="1965"/>
        <w:gridCol w:w="969"/>
      </w:tblGrid>
      <w:tr w:rsidR="00F67DE8" w:rsidRPr="00932A95" w14:paraId="09A7016E" w14:textId="77777777" w:rsidTr="00F67DE8">
        <w:trPr>
          <w:trHeight w:val="460"/>
        </w:trPr>
        <w:tc>
          <w:tcPr>
            <w:tcW w:w="2813"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833B5CB" w14:textId="77777777" w:rsidR="0011433B" w:rsidRPr="00932A95" w:rsidRDefault="002F52BB" w:rsidP="00374FC0">
            <w:pPr>
              <w:spacing w:line="360" w:lineRule="auto"/>
              <w:ind w:left="-20"/>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921"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2D20E27" w14:textId="77777777" w:rsidR="0011433B" w:rsidRPr="00932A95" w:rsidRDefault="00F67DE8"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All (58</w:t>
            </w:r>
            <w:r w:rsidR="002F52BB" w:rsidRPr="00932A95">
              <w:rPr>
                <w:rFonts w:ascii="Book Antiqua" w:hAnsi="Book Antiqua" w:cs="Book Antiqua"/>
                <w:b/>
                <w:color w:val="auto"/>
                <w:sz w:val="24"/>
                <w:szCs w:val="24"/>
              </w:rPr>
              <w:t>362)</w:t>
            </w:r>
          </w:p>
        </w:tc>
        <w:tc>
          <w:tcPr>
            <w:tcW w:w="1802"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F75CD1A" w14:textId="77777777" w:rsidR="0011433B" w:rsidRPr="00932A95" w:rsidRDefault="00F67DE8"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Teaching (30</w:t>
            </w:r>
            <w:r w:rsidR="002F52BB" w:rsidRPr="00932A95">
              <w:rPr>
                <w:rFonts w:ascii="Book Antiqua" w:hAnsi="Book Antiqua" w:cs="Book Antiqua"/>
                <w:b/>
                <w:color w:val="auto"/>
                <w:sz w:val="24"/>
                <w:szCs w:val="24"/>
              </w:rPr>
              <w:t>382)</w:t>
            </w:r>
          </w:p>
        </w:tc>
        <w:tc>
          <w:tcPr>
            <w:tcW w:w="196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454A3D9B" w14:textId="77777777" w:rsidR="0011433B" w:rsidRPr="00932A95" w:rsidRDefault="00F67DE8"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Non-teaching (27</w:t>
            </w:r>
            <w:r w:rsidR="002F52BB" w:rsidRPr="00932A95">
              <w:rPr>
                <w:rFonts w:ascii="Book Antiqua" w:hAnsi="Book Antiqua" w:cs="Book Antiqua"/>
                <w:b/>
                <w:color w:val="auto"/>
                <w:sz w:val="24"/>
                <w:szCs w:val="24"/>
              </w:rPr>
              <w:t>979)</w:t>
            </w:r>
          </w:p>
        </w:tc>
        <w:tc>
          <w:tcPr>
            <w:tcW w:w="969"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4C2A3102"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hAnsi="Book Antiqua" w:cs="Book Antiqua"/>
                <w:b/>
                <w:i/>
                <w:iCs/>
                <w:color w:val="auto"/>
                <w:sz w:val="24"/>
                <w:szCs w:val="24"/>
                <w:lang w:val="en-US"/>
              </w:rPr>
              <w:t xml:space="preserve"> </w:t>
            </w:r>
            <w:r w:rsidRPr="00932A95">
              <w:rPr>
                <w:rFonts w:ascii="Book Antiqua" w:hAnsi="Book Antiqua" w:cs="Book Antiqua"/>
                <w:b/>
                <w:color w:val="auto"/>
                <w:sz w:val="24"/>
                <w:szCs w:val="24"/>
              </w:rPr>
              <w:t>value</w:t>
            </w:r>
          </w:p>
        </w:tc>
      </w:tr>
      <w:tr w:rsidR="00F67DE8" w:rsidRPr="00932A95" w14:paraId="39A0E7DF" w14:textId="77777777" w:rsidTr="00F67DE8">
        <w:trPr>
          <w:trHeight w:val="447"/>
        </w:trPr>
        <w:tc>
          <w:tcPr>
            <w:tcW w:w="2813" w:type="dxa"/>
            <w:vMerge/>
            <w:tcBorders>
              <w:top w:val="nil"/>
              <w:bottom w:val="single" w:sz="4" w:space="0" w:color="auto"/>
            </w:tcBorders>
            <w:shd w:val="clear" w:color="auto" w:fill="auto"/>
            <w:tcMar>
              <w:top w:w="100" w:type="dxa"/>
              <w:left w:w="100" w:type="dxa"/>
              <w:bottom w:w="100" w:type="dxa"/>
              <w:right w:w="100" w:type="dxa"/>
            </w:tcMar>
          </w:tcPr>
          <w:p w14:paraId="66EE9B6C"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21" w:type="dxa"/>
            <w:vMerge/>
            <w:tcBorders>
              <w:top w:val="nil"/>
              <w:bottom w:val="single" w:sz="4" w:space="0" w:color="auto"/>
            </w:tcBorders>
            <w:shd w:val="clear" w:color="auto" w:fill="auto"/>
            <w:tcMar>
              <w:top w:w="100" w:type="dxa"/>
              <w:left w:w="100" w:type="dxa"/>
              <w:bottom w:w="100" w:type="dxa"/>
              <w:right w:w="100" w:type="dxa"/>
            </w:tcMar>
          </w:tcPr>
          <w:p w14:paraId="6ACD5C7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802" w:type="dxa"/>
            <w:vMerge/>
            <w:tcBorders>
              <w:top w:val="nil"/>
              <w:bottom w:val="single" w:sz="4" w:space="0" w:color="auto"/>
            </w:tcBorders>
            <w:shd w:val="clear" w:color="auto" w:fill="auto"/>
            <w:tcMar>
              <w:top w:w="100" w:type="dxa"/>
              <w:left w:w="100" w:type="dxa"/>
              <w:bottom w:w="100" w:type="dxa"/>
              <w:right w:w="100" w:type="dxa"/>
            </w:tcMar>
          </w:tcPr>
          <w:p w14:paraId="63623AF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vMerge/>
            <w:tcBorders>
              <w:top w:val="nil"/>
              <w:bottom w:val="single" w:sz="4" w:space="0" w:color="auto"/>
            </w:tcBorders>
            <w:shd w:val="clear" w:color="auto" w:fill="auto"/>
            <w:tcMar>
              <w:top w:w="100" w:type="dxa"/>
              <w:left w:w="100" w:type="dxa"/>
              <w:bottom w:w="100" w:type="dxa"/>
              <w:right w:w="100" w:type="dxa"/>
            </w:tcMar>
          </w:tcPr>
          <w:p w14:paraId="4A7C226A"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969" w:type="dxa"/>
            <w:vMerge/>
            <w:tcBorders>
              <w:top w:val="nil"/>
              <w:bottom w:val="single" w:sz="4" w:space="0" w:color="auto"/>
            </w:tcBorders>
            <w:shd w:val="clear" w:color="auto" w:fill="auto"/>
            <w:tcMar>
              <w:top w:w="100" w:type="dxa"/>
              <w:left w:w="100" w:type="dxa"/>
              <w:bottom w:w="100" w:type="dxa"/>
              <w:right w:w="100" w:type="dxa"/>
            </w:tcMar>
          </w:tcPr>
          <w:p w14:paraId="174127C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F67DE8" w:rsidRPr="00932A95" w14:paraId="1A3D2CFF" w14:textId="77777777" w:rsidTr="00F67DE8">
        <w:trPr>
          <w:trHeight w:val="25"/>
        </w:trPr>
        <w:tc>
          <w:tcPr>
            <w:tcW w:w="2813" w:type="dxa"/>
            <w:tcBorders>
              <w:top w:val="single" w:sz="4" w:space="0" w:color="auto"/>
            </w:tcBorders>
            <w:shd w:val="clear" w:color="auto" w:fill="auto"/>
            <w:tcMar>
              <w:top w:w="100" w:type="dxa"/>
              <w:left w:w="100" w:type="dxa"/>
              <w:bottom w:w="100" w:type="dxa"/>
              <w:right w:w="100" w:type="dxa"/>
            </w:tcMar>
            <w:vAlign w:val="bottom"/>
          </w:tcPr>
          <w:p w14:paraId="6CEC2E4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Length of stay</w:t>
            </w:r>
          </w:p>
        </w:tc>
        <w:tc>
          <w:tcPr>
            <w:tcW w:w="1921" w:type="dxa"/>
            <w:tcBorders>
              <w:top w:val="single" w:sz="4" w:space="0" w:color="auto"/>
            </w:tcBorders>
            <w:shd w:val="clear" w:color="auto" w:fill="auto"/>
            <w:tcMar>
              <w:top w:w="100" w:type="dxa"/>
              <w:left w:w="100" w:type="dxa"/>
              <w:bottom w:w="100" w:type="dxa"/>
              <w:right w:w="100" w:type="dxa"/>
            </w:tcMar>
            <w:vAlign w:val="bottom"/>
          </w:tcPr>
          <w:p w14:paraId="3BB83295"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802" w:type="dxa"/>
            <w:tcBorders>
              <w:top w:val="single" w:sz="4" w:space="0" w:color="auto"/>
            </w:tcBorders>
            <w:shd w:val="clear" w:color="auto" w:fill="auto"/>
            <w:tcMar>
              <w:top w:w="100" w:type="dxa"/>
              <w:left w:w="100" w:type="dxa"/>
              <w:bottom w:w="100" w:type="dxa"/>
              <w:right w:w="100" w:type="dxa"/>
            </w:tcMar>
            <w:vAlign w:val="bottom"/>
          </w:tcPr>
          <w:p w14:paraId="2479616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tcBorders>
              <w:top w:val="single" w:sz="4" w:space="0" w:color="auto"/>
            </w:tcBorders>
            <w:shd w:val="clear" w:color="auto" w:fill="auto"/>
            <w:tcMar>
              <w:top w:w="100" w:type="dxa"/>
              <w:left w:w="100" w:type="dxa"/>
              <w:bottom w:w="100" w:type="dxa"/>
              <w:right w:w="100" w:type="dxa"/>
            </w:tcMar>
            <w:vAlign w:val="bottom"/>
          </w:tcPr>
          <w:p w14:paraId="5F9AC67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969" w:type="dxa"/>
            <w:tcBorders>
              <w:top w:val="single" w:sz="4" w:space="0" w:color="auto"/>
            </w:tcBorders>
            <w:shd w:val="clear" w:color="auto" w:fill="auto"/>
            <w:tcMar>
              <w:top w:w="100" w:type="dxa"/>
              <w:left w:w="100" w:type="dxa"/>
              <w:bottom w:w="100" w:type="dxa"/>
              <w:right w:w="100" w:type="dxa"/>
            </w:tcMar>
            <w:vAlign w:val="bottom"/>
          </w:tcPr>
          <w:p w14:paraId="4FBCD4D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F67DE8" w:rsidRPr="00932A95" w14:paraId="29702CBF" w14:textId="77777777" w:rsidTr="00F67DE8">
        <w:trPr>
          <w:trHeight w:val="25"/>
        </w:trPr>
        <w:tc>
          <w:tcPr>
            <w:tcW w:w="2813" w:type="dxa"/>
            <w:shd w:val="clear" w:color="auto" w:fill="auto"/>
            <w:tcMar>
              <w:top w:w="100" w:type="dxa"/>
              <w:left w:w="100" w:type="dxa"/>
              <w:bottom w:w="100" w:type="dxa"/>
              <w:right w:w="100" w:type="dxa"/>
            </w:tcMar>
            <w:vAlign w:val="bottom"/>
          </w:tcPr>
          <w:p w14:paraId="37F3E8A9" w14:textId="77777777" w:rsidR="0011433B" w:rsidRPr="00932A95" w:rsidRDefault="002F52BB" w:rsidP="00F67DE8">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Median (IQR) in days</w:t>
            </w:r>
          </w:p>
        </w:tc>
        <w:tc>
          <w:tcPr>
            <w:tcW w:w="1921" w:type="dxa"/>
            <w:shd w:val="clear" w:color="auto" w:fill="auto"/>
            <w:tcMar>
              <w:top w:w="100" w:type="dxa"/>
              <w:left w:w="100" w:type="dxa"/>
              <w:bottom w:w="100" w:type="dxa"/>
              <w:right w:w="100" w:type="dxa"/>
            </w:tcMar>
            <w:vAlign w:val="bottom"/>
          </w:tcPr>
          <w:p w14:paraId="233173D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 (3-7)</w:t>
            </w:r>
          </w:p>
        </w:tc>
        <w:tc>
          <w:tcPr>
            <w:tcW w:w="1802" w:type="dxa"/>
            <w:shd w:val="clear" w:color="auto" w:fill="auto"/>
            <w:tcMar>
              <w:top w:w="100" w:type="dxa"/>
              <w:left w:w="100" w:type="dxa"/>
              <w:bottom w:w="100" w:type="dxa"/>
              <w:right w:w="100" w:type="dxa"/>
            </w:tcMar>
            <w:vAlign w:val="bottom"/>
          </w:tcPr>
          <w:p w14:paraId="3B34B2E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 (3-8)</w:t>
            </w:r>
          </w:p>
        </w:tc>
        <w:tc>
          <w:tcPr>
            <w:tcW w:w="1965" w:type="dxa"/>
            <w:shd w:val="clear" w:color="auto" w:fill="auto"/>
            <w:tcMar>
              <w:top w:w="100" w:type="dxa"/>
              <w:left w:w="100" w:type="dxa"/>
              <w:bottom w:w="100" w:type="dxa"/>
              <w:right w:w="100" w:type="dxa"/>
            </w:tcMar>
            <w:vAlign w:val="bottom"/>
          </w:tcPr>
          <w:p w14:paraId="6FC1090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 (3-6)</w:t>
            </w:r>
          </w:p>
        </w:tc>
        <w:tc>
          <w:tcPr>
            <w:tcW w:w="969" w:type="dxa"/>
            <w:shd w:val="clear" w:color="auto" w:fill="auto"/>
            <w:tcMar>
              <w:top w:w="100" w:type="dxa"/>
              <w:left w:w="100" w:type="dxa"/>
              <w:bottom w:w="100" w:type="dxa"/>
              <w:right w:w="100" w:type="dxa"/>
            </w:tcMar>
            <w:vAlign w:val="bottom"/>
          </w:tcPr>
          <w:p w14:paraId="5B8571EB" w14:textId="77777777" w:rsidR="0011433B" w:rsidRPr="00932A95" w:rsidRDefault="0011433B" w:rsidP="00374FC0">
            <w:pPr>
              <w:spacing w:line="360" w:lineRule="auto"/>
              <w:jc w:val="both"/>
              <w:rPr>
                <w:rFonts w:ascii="Book Antiqua" w:hAnsi="Book Antiqua" w:cs="Book Antiqua"/>
                <w:color w:val="auto"/>
                <w:sz w:val="24"/>
                <w:szCs w:val="24"/>
              </w:rPr>
            </w:pPr>
          </w:p>
        </w:tc>
      </w:tr>
      <w:tr w:rsidR="00F67DE8" w:rsidRPr="00932A95" w14:paraId="5019797C" w14:textId="77777777" w:rsidTr="003508C1">
        <w:trPr>
          <w:trHeight w:val="99"/>
        </w:trPr>
        <w:tc>
          <w:tcPr>
            <w:tcW w:w="2813" w:type="dxa"/>
            <w:shd w:val="clear" w:color="auto" w:fill="auto"/>
            <w:tcMar>
              <w:top w:w="100" w:type="dxa"/>
              <w:left w:w="100" w:type="dxa"/>
              <w:bottom w:w="100" w:type="dxa"/>
              <w:right w:w="100" w:type="dxa"/>
            </w:tcMar>
            <w:vAlign w:val="bottom"/>
          </w:tcPr>
          <w:p w14:paraId="4F71763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Cost of hospitalization</w:t>
            </w:r>
          </w:p>
        </w:tc>
        <w:tc>
          <w:tcPr>
            <w:tcW w:w="1921" w:type="dxa"/>
            <w:shd w:val="clear" w:color="auto" w:fill="auto"/>
            <w:tcMar>
              <w:top w:w="100" w:type="dxa"/>
              <w:left w:w="100" w:type="dxa"/>
              <w:bottom w:w="100" w:type="dxa"/>
              <w:right w:w="100" w:type="dxa"/>
            </w:tcMar>
            <w:vAlign w:val="bottom"/>
          </w:tcPr>
          <w:p w14:paraId="4ED0620F"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802" w:type="dxa"/>
            <w:shd w:val="clear" w:color="auto" w:fill="auto"/>
            <w:tcMar>
              <w:top w:w="100" w:type="dxa"/>
              <w:left w:w="100" w:type="dxa"/>
              <w:bottom w:w="100" w:type="dxa"/>
              <w:right w:w="100" w:type="dxa"/>
            </w:tcMar>
            <w:vAlign w:val="bottom"/>
          </w:tcPr>
          <w:p w14:paraId="2B4EC9F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shd w:val="clear" w:color="auto" w:fill="auto"/>
            <w:tcMar>
              <w:top w:w="100" w:type="dxa"/>
              <w:left w:w="100" w:type="dxa"/>
              <w:bottom w:w="100" w:type="dxa"/>
              <w:right w:w="100" w:type="dxa"/>
            </w:tcMar>
            <w:vAlign w:val="bottom"/>
          </w:tcPr>
          <w:p w14:paraId="08A7E85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969" w:type="dxa"/>
            <w:shd w:val="clear" w:color="auto" w:fill="auto"/>
            <w:tcMar>
              <w:top w:w="100" w:type="dxa"/>
              <w:left w:w="100" w:type="dxa"/>
              <w:bottom w:w="100" w:type="dxa"/>
              <w:right w:w="100" w:type="dxa"/>
            </w:tcMar>
            <w:vAlign w:val="bottom"/>
          </w:tcPr>
          <w:p w14:paraId="2C8A48D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F67DE8" w:rsidRPr="00932A95" w14:paraId="28212410" w14:textId="77777777" w:rsidTr="00F67DE8">
        <w:trPr>
          <w:trHeight w:val="25"/>
        </w:trPr>
        <w:tc>
          <w:tcPr>
            <w:tcW w:w="2813" w:type="dxa"/>
            <w:shd w:val="clear" w:color="auto" w:fill="auto"/>
            <w:tcMar>
              <w:top w:w="100" w:type="dxa"/>
              <w:left w:w="100" w:type="dxa"/>
              <w:bottom w:w="100" w:type="dxa"/>
              <w:right w:w="100" w:type="dxa"/>
            </w:tcMar>
            <w:vAlign w:val="bottom"/>
          </w:tcPr>
          <w:p w14:paraId="7C565CE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Mean in US dollars (SD)</w:t>
            </w:r>
          </w:p>
        </w:tc>
        <w:tc>
          <w:tcPr>
            <w:tcW w:w="1921" w:type="dxa"/>
            <w:shd w:val="clear" w:color="auto" w:fill="auto"/>
            <w:tcMar>
              <w:top w:w="100" w:type="dxa"/>
              <w:left w:w="100" w:type="dxa"/>
              <w:bottom w:w="100" w:type="dxa"/>
              <w:right w:w="100" w:type="dxa"/>
            </w:tcMar>
            <w:vAlign w:val="bottom"/>
          </w:tcPr>
          <w:p w14:paraId="1837792B" w14:textId="77777777" w:rsidR="0011433B" w:rsidRPr="00932A95" w:rsidRDefault="00F67DE8"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$19049 (11</w:t>
            </w:r>
            <w:r w:rsidR="002F52BB" w:rsidRPr="00932A95">
              <w:rPr>
                <w:rFonts w:ascii="Book Antiqua" w:hAnsi="Book Antiqua" w:cs="Book Antiqua"/>
                <w:color w:val="auto"/>
                <w:sz w:val="24"/>
                <w:szCs w:val="24"/>
              </w:rPr>
              <w:t>880)</w:t>
            </w:r>
          </w:p>
        </w:tc>
        <w:tc>
          <w:tcPr>
            <w:tcW w:w="1802" w:type="dxa"/>
            <w:shd w:val="clear" w:color="auto" w:fill="auto"/>
            <w:tcMar>
              <w:top w:w="100" w:type="dxa"/>
              <w:left w:w="100" w:type="dxa"/>
              <w:bottom w:w="100" w:type="dxa"/>
              <w:right w:w="100" w:type="dxa"/>
            </w:tcMar>
            <w:vAlign w:val="bottom"/>
          </w:tcPr>
          <w:p w14:paraId="2330195A" w14:textId="77777777" w:rsidR="0011433B" w:rsidRPr="00932A95" w:rsidRDefault="00F67DE8"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$22355 (12</w:t>
            </w:r>
            <w:r w:rsidR="002F52BB" w:rsidRPr="00932A95">
              <w:rPr>
                <w:rFonts w:ascii="Book Antiqua" w:hAnsi="Book Antiqua" w:cs="Book Antiqua"/>
                <w:color w:val="auto"/>
                <w:sz w:val="24"/>
                <w:szCs w:val="24"/>
              </w:rPr>
              <w:t>996)</w:t>
            </w:r>
          </w:p>
        </w:tc>
        <w:tc>
          <w:tcPr>
            <w:tcW w:w="1965" w:type="dxa"/>
            <w:shd w:val="clear" w:color="auto" w:fill="auto"/>
            <w:tcMar>
              <w:top w:w="100" w:type="dxa"/>
              <w:left w:w="100" w:type="dxa"/>
              <w:bottom w:w="100" w:type="dxa"/>
              <w:right w:w="100" w:type="dxa"/>
            </w:tcMar>
            <w:vAlign w:val="bottom"/>
          </w:tcPr>
          <w:p w14:paraId="0749440D" w14:textId="77777777" w:rsidR="0011433B" w:rsidRPr="00932A95" w:rsidRDefault="00F67DE8"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$15535 (10</w:t>
            </w:r>
            <w:r w:rsidR="002F52BB" w:rsidRPr="00932A95">
              <w:rPr>
                <w:rFonts w:ascii="Book Antiqua" w:hAnsi="Book Antiqua" w:cs="Book Antiqua"/>
                <w:color w:val="auto"/>
                <w:sz w:val="24"/>
                <w:szCs w:val="24"/>
              </w:rPr>
              <w:t>935)</w:t>
            </w:r>
          </w:p>
        </w:tc>
        <w:tc>
          <w:tcPr>
            <w:tcW w:w="969" w:type="dxa"/>
            <w:shd w:val="clear" w:color="auto" w:fill="auto"/>
            <w:tcMar>
              <w:top w:w="100" w:type="dxa"/>
              <w:left w:w="100" w:type="dxa"/>
              <w:bottom w:w="100" w:type="dxa"/>
              <w:right w:w="100" w:type="dxa"/>
            </w:tcMar>
            <w:vAlign w:val="bottom"/>
          </w:tcPr>
          <w:p w14:paraId="20C45C9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 </w:t>
            </w:r>
          </w:p>
        </w:tc>
      </w:tr>
    </w:tbl>
    <w:p w14:paraId="1A71426C" w14:textId="77777777" w:rsidR="0011433B" w:rsidRPr="00932A95" w:rsidRDefault="002F52BB" w:rsidP="00374FC0">
      <w:pPr>
        <w:spacing w:line="360" w:lineRule="auto"/>
        <w:jc w:val="both"/>
        <w:outlineLvl w:val="0"/>
        <w:rPr>
          <w:rFonts w:ascii="Book Antiqua" w:hAnsi="Book Antiqua" w:cs="Book Antiqua"/>
          <w:color w:val="auto"/>
          <w:sz w:val="24"/>
          <w:szCs w:val="24"/>
          <w:lang w:val="en-US"/>
        </w:rPr>
      </w:pPr>
      <w:r w:rsidRPr="00932A95">
        <w:rPr>
          <w:rFonts w:ascii="Book Antiqua" w:hAnsi="Book Antiqua" w:cs="Book Antiqua"/>
          <w:color w:val="auto"/>
          <w:sz w:val="24"/>
          <w:szCs w:val="24"/>
        </w:rPr>
        <w:t>IQR</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Interquartile range</w:t>
      </w:r>
      <w:r w:rsidRPr="00932A95">
        <w:rPr>
          <w:rFonts w:ascii="Book Antiqua" w:hAnsi="Book Antiqua" w:cs="Book Antiqua"/>
          <w:color w:val="auto"/>
          <w:sz w:val="24"/>
          <w:szCs w:val="24"/>
          <w:lang w:val="en-US"/>
        </w:rPr>
        <w:t>.</w:t>
      </w:r>
    </w:p>
    <w:p w14:paraId="060DDD17" w14:textId="77777777" w:rsidR="0011433B" w:rsidRPr="00932A95" w:rsidRDefault="0011433B" w:rsidP="00374FC0">
      <w:pPr>
        <w:spacing w:line="360" w:lineRule="auto"/>
        <w:jc w:val="both"/>
        <w:rPr>
          <w:rFonts w:ascii="Book Antiqua" w:hAnsi="Book Antiqua" w:cs="Book Antiqua"/>
          <w:color w:val="auto"/>
          <w:sz w:val="24"/>
          <w:szCs w:val="24"/>
        </w:rPr>
      </w:pPr>
    </w:p>
    <w:p w14:paraId="5CE7632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33D3473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6</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 xml:space="preserve">Mortality, length of stay and cost in teaching </w:t>
      </w:r>
      <w:r w:rsidRPr="00932A95">
        <w:rPr>
          <w:rFonts w:ascii="Book Antiqua" w:hAnsi="Book Antiqua" w:cs="Book Antiqua"/>
          <w:b/>
          <w:i/>
          <w:iCs/>
          <w:color w:val="auto"/>
          <w:sz w:val="24"/>
          <w:szCs w:val="24"/>
          <w:lang w:val="en-US"/>
        </w:rPr>
        <w:t>vs</w:t>
      </w:r>
      <w:r w:rsidRPr="00932A95">
        <w:rPr>
          <w:rFonts w:ascii="Book Antiqua" w:hAnsi="Book Antiqua" w:cs="Book Antiqua"/>
          <w:b/>
          <w:color w:val="auto"/>
          <w:sz w:val="24"/>
          <w:szCs w:val="24"/>
        </w:rPr>
        <w:t xml:space="preserve"> nonteaching logistic regression</w:t>
      </w:r>
    </w:p>
    <w:tbl>
      <w:tblPr>
        <w:tblStyle w:val="Style16"/>
        <w:tblW w:w="8527" w:type="dxa"/>
        <w:tblInd w:w="120" w:type="dxa"/>
        <w:tblBorders>
          <w:top w:val="single" w:sz="4" w:space="0" w:color="auto"/>
          <w:bottom w:val="single" w:sz="4" w:space="0" w:color="auto"/>
        </w:tblBorders>
        <w:tblLayout w:type="fixed"/>
        <w:tblLook w:val="04A0" w:firstRow="1" w:lastRow="0" w:firstColumn="1" w:lastColumn="0" w:noHBand="0" w:noVBand="1"/>
      </w:tblPr>
      <w:tblGrid>
        <w:gridCol w:w="1785"/>
        <w:gridCol w:w="2520"/>
        <w:gridCol w:w="2238"/>
        <w:gridCol w:w="1984"/>
      </w:tblGrid>
      <w:tr w:rsidR="002718D5" w:rsidRPr="00932A95" w14:paraId="187DD2F4" w14:textId="77777777" w:rsidTr="00F7774C">
        <w:trPr>
          <w:trHeight w:val="288"/>
        </w:trPr>
        <w:tc>
          <w:tcPr>
            <w:tcW w:w="1785" w:type="dxa"/>
            <w:tcBorders>
              <w:top w:val="single" w:sz="4" w:space="0" w:color="auto"/>
              <w:bottom w:val="single" w:sz="4" w:space="0" w:color="auto"/>
            </w:tcBorders>
            <w:shd w:val="clear" w:color="auto" w:fill="auto"/>
            <w:tcMar>
              <w:top w:w="120" w:type="dxa"/>
              <w:left w:w="120" w:type="dxa"/>
              <w:bottom w:w="120" w:type="dxa"/>
              <w:right w:w="120" w:type="dxa"/>
            </w:tcMar>
          </w:tcPr>
          <w:p w14:paraId="4B604C2B" w14:textId="77777777" w:rsidR="0011433B" w:rsidRPr="00932A95" w:rsidRDefault="002F52BB" w:rsidP="00374FC0">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2520" w:type="dxa"/>
            <w:tcBorders>
              <w:top w:val="single" w:sz="4" w:space="0" w:color="auto"/>
              <w:bottom w:val="single" w:sz="4" w:space="0" w:color="auto"/>
            </w:tcBorders>
            <w:shd w:val="clear" w:color="auto" w:fill="auto"/>
            <w:tcMar>
              <w:top w:w="120" w:type="dxa"/>
              <w:left w:w="120" w:type="dxa"/>
              <w:bottom w:w="120" w:type="dxa"/>
              <w:right w:w="120" w:type="dxa"/>
            </w:tcMar>
          </w:tcPr>
          <w:p w14:paraId="4856EE21" w14:textId="77777777" w:rsidR="0011433B" w:rsidRPr="00932A95" w:rsidRDefault="002F52BB" w:rsidP="00374FC0">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color w:val="auto"/>
                <w:sz w:val="24"/>
                <w:szCs w:val="24"/>
              </w:rPr>
              <w:t>OR/coefficient</w:t>
            </w:r>
          </w:p>
        </w:tc>
        <w:tc>
          <w:tcPr>
            <w:tcW w:w="2238" w:type="dxa"/>
            <w:tcBorders>
              <w:top w:val="single" w:sz="4" w:space="0" w:color="auto"/>
              <w:bottom w:val="single" w:sz="4" w:space="0" w:color="auto"/>
            </w:tcBorders>
            <w:shd w:val="clear" w:color="auto" w:fill="auto"/>
            <w:tcMar>
              <w:top w:w="120" w:type="dxa"/>
              <w:left w:w="120" w:type="dxa"/>
              <w:bottom w:w="120" w:type="dxa"/>
              <w:right w:w="120" w:type="dxa"/>
            </w:tcMar>
          </w:tcPr>
          <w:p w14:paraId="49FA4007" w14:textId="77777777" w:rsidR="0011433B" w:rsidRPr="00932A95" w:rsidRDefault="00D31F9A" w:rsidP="00D31F9A">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color w:val="auto"/>
                <w:sz w:val="24"/>
                <w:szCs w:val="24"/>
              </w:rPr>
              <w:t>95%</w:t>
            </w:r>
            <w:r>
              <w:rPr>
                <w:rFonts w:ascii="Book Antiqua" w:hAnsi="Book Antiqua" w:cs="Book Antiqua"/>
                <w:b/>
                <w:color w:val="auto"/>
                <w:sz w:val="24"/>
                <w:szCs w:val="24"/>
              </w:rPr>
              <w:t>CI</w:t>
            </w:r>
          </w:p>
        </w:tc>
        <w:tc>
          <w:tcPr>
            <w:tcW w:w="1984" w:type="dxa"/>
            <w:tcBorders>
              <w:top w:val="single" w:sz="4" w:space="0" w:color="auto"/>
              <w:bottom w:val="single" w:sz="4" w:space="0" w:color="auto"/>
            </w:tcBorders>
            <w:shd w:val="clear" w:color="auto" w:fill="auto"/>
            <w:tcMar>
              <w:top w:w="120" w:type="dxa"/>
              <w:left w:w="120" w:type="dxa"/>
              <w:bottom w:w="120" w:type="dxa"/>
              <w:right w:w="120" w:type="dxa"/>
            </w:tcMar>
          </w:tcPr>
          <w:p w14:paraId="207736CB" w14:textId="77777777" w:rsidR="0011433B" w:rsidRPr="00932A95" w:rsidRDefault="002F52BB" w:rsidP="00374FC0">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value</w:t>
            </w:r>
          </w:p>
        </w:tc>
      </w:tr>
      <w:tr w:rsidR="002718D5" w:rsidRPr="00932A95" w14:paraId="7A4FC9B7" w14:textId="77777777" w:rsidTr="00F7774C">
        <w:trPr>
          <w:trHeight w:val="20"/>
        </w:trPr>
        <w:tc>
          <w:tcPr>
            <w:tcW w:w="1785" w:type="dxa"/>
            <w:tcBorders>
              <w:top w:val="single" w:sz="4" w:space="0" w:color="auto"/>
            </w:tcBorders>
            <w:shd w:val="clear" w:color="auto" w:fill="auto"/>
            <w:tcMar>
              <w:top w:w="120" w:type="dxa"/>
              <w:left w:w="120" w:type="dxa"/>
              <w:bottom w:w="120" w:type="dxa"/>
              <w:right w:w="120" w:type="dxa"/>
            </w:tcMar>
            <w:vAlign w:val="bottom"/>
          </w:tcPr>
          <w:p w14:paraId="2E129FE0"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Mortality</w:t>
            </w:r>
          </w:p>
        </w:tc>
        <w:tc>
          <w:tcPr>
            <w:tcW w:w="2520" w:type="dxa"/>
            <w:tcBorders>
              <w:top w:val="single" w:sz="4" w:space="0" w:color="auto"/>
            </w:tcBorders>
            <w:shd w:val="clear" w:color="auto" w:fill="auto"/>
            <w:tcMar>
              <w:top w:w="120" w:type="dxa"/>
              <w:left w:w="120" w:type="dxa"/>
              <w:bottom w:w="120" w:type="dxa"/>
              <w:right w:w="120" w:type="dxa"/>
            </w:tcMar>
            <w:vAlign w:val="bottom"/>
          </w:tcPr>
          <w:p w14:paraId="1B8C27EC"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1.249</w:t>
            </w:r>
          </w:p>
        </w:tc>
        <w:tc>
          <w:tcPr>
            <w:tcW w:w="2238" w:type="dxa"/>
            <w:tcBorders>
              <w:top w:val="single" w:sz="4" w:space="0" w:color="auto"/>
            </w:tcBorders>
            <w:shd w:val="clear" w:color="auto" w:fill="auto"/>
            <w:tcMar>
              <w:top w:w="120" w:type="dxa"/>
              <w:left w:w="120" w:type="dxa"/>
              <w:bottom w:w="120" w:type="dxa"/>
              <w:right w:w="120" w:type="dxa"/>
            </w:tcMar>
            <w:vAlign w:val="bottom"/>
          </w:tcPr>
          <w:p w14:paraId="6AE45083"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1.066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1.463</w:t>
            </w:r>
          </w:p>
        </w:tc>
        <w:tc>
          <w:tcPr>
            <w:tcW w:w="1984" w:type="dxa"/>
            <w:tcBorders>
              <w:top w:val="single" w:sz="4" w:space="0" w:color="auto"/>
            </w:tcBorders>
            <w:shd w:val="clear" w:color="auto" w:fill="auto"/>
            <w:tcMar>
              <w:top w:w="120" w:type="dxa"/>
              <w:left w:w="120" w:type="dxa"/>
              <w:bottom w:w="120" w:type="dxa"/>
              <w:right w:w="120" w:type="dxa"/>
            </w:tcMar>
            <w:vAlign w:val="bottom"/>
          </w:tcPr>
          <w:p w14:paraId="53F1B23E"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0.006</w:t>
            </w:r>
          </w:p>
        </w:tc>
      </w:tr>
      <w:tr w:rsidR="002718D5" w:rsidRPr="00932A95" w14:paraId="0C3C18E8" w14:textId="77777777" w:rsidTr="00F7774C">
        <w:trPr>
          <w:trHeight w:val="175"/>
        </w:trPr>
        <w:tc>
          <w:tcPr>
            <w:tcW w:w="1785" w:type="dxa"/>
            <w:shd w:val="clear" w:color="auto" w:fill="auto"/>
            <w:tcMar>
              <w:top w:w="120" w:type="dxa"/>
              <w:left w:w="120" w:type="dxa"/>
              <w:bottom w:w="120" w:type="dxa"/>
              <w:right w:w="120" w:type="dxa"/>
            </w:tcMar>
            <w:vAlign w:val="bottom"/>
          </w:tcPr>
          <w:p w14:paraId="61FA5F7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LOS</w:t>
            </w:r>
          </w:p>
        </w:tc>
        <w:tc>
          <w:tcPr>
            <w:tcW w:w="2520" w:type="dxa"/>
            <w:shd w:val="clear" w:color="auto" w:fill="auto"/>
            <w:tcMar>
              <w:top w:w="120" w:type="dxa"/>
              <w:left w:w="120" w:type="dxa"/>
              <w:bottom w:w="120" w:type="dxa"/>
              <w:right w:w="120" w:type="dxa"/>
            </w:tcMar>
            <w:vAlign w:val="bottom"/>
          </w:tcPr>
          <w:p w14:paraId="5D2D97AC"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1.72</w:t>
            </w:r>
          </w:p>
        </w:tc>
        <w:tc>
          <w:tcPr>
            <w:tcW w:w="2238" w:type="dxa"/>
            <w:shd w:val="clear" w:color="auto" w:fill="auto"/>
            <w:tcMar>
              <w:top w:w="120" w:type="dxa"/>
              <w:left w:w="120" w:type="dxa"/>
              <w:bottom w:w="120" w:type="dxa"/>
              <w:right w:w="120" w:type="dxa"/>
            </w:tcMar>
            <w:vAlign w:val="bottom"/>
          </w:tcPr>
          <w:p w14:paraId="39207ED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1.46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1.97</w:t>
            </w:r>
          </w:p>
        </w:tc>
        <w:tc>
          <w:tcPr>
            <w:tcW w:w="1984" w:type="dxa"/>
            <w:shd w:val="clear" w:color="auto" w:fill="auto"/>
            <w:tcMar>
              <w:top w:w="120" w:type="dxa"/>
              <w:left w:w="120" w:type="dxa"/>
              <w:bottom w:w="120" w:type="dxa"/>
              <w:right w:w="120" w:type="dxa"/>
            </w:tcMar>
            <w:vAlign w:val="bottom"/>
          </w:tcPr>
          <w:p w14:paraId="2EAF0ABF"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2718D5" w:rsidRPr="00932A95" w14:paraId="28967B62" w14:textId="77777777" w:rsidTr="00F7774C">
        <w:trPr>
          <w:trHeight w:val="25"/>
        </w:trPr>
        <w:tc>
          <w:tcPr>
            <w:tcW w:w="1785" w:type="dxa"/>
            <w:shd w:val="clear" w:color="auto" w:fill="auto"/>
            <w:tcMar>
              <w:top w:w="120" w:type="dxa"/>
              <w:left w:w="120" w:type="dxa"/>
              <w:bottom w:w="120" w:type="dxa"/>
              <w:right w:w="120" w:type="dxa"/>
            </w:tcMar>
            <w:vAlign w:val="bottom"/>
          </w:tcPr>
          <w:p w14:paraId="789435C0"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Cost</w:t>
            </w:r>
          </w:p>
        </w:tc>
        <w:tc>
          <w:tcPr>
            <w:tcW w:w="2520" w:type="dxa"/>
            <w:shd w:val="clear" w:color="auto" w:fill="auto"/>
            <w:tcMar>
              <w:top w:w="120" w:type="dxa"/>
              <w:left w:w="120" w:type="dxa"/>
              <w:bottom w:w="120" w:type="dxa"/>
              <w:right w:w="120" w:type="dxa"/>
            </w:tcMar>
            <w:vAlign w:val="bottom"/>
          </w:tcPr>
          <w:p w14:paraId="68DEECCD"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6651</w:t>
            </w:r>
          </w:p>
        </w:tc>
        <w:tc>
          <w:tcPr>
            <w:tcW w:w="2238" w:type="dxa"/>
            <w:shd w:val="clear" w:color="auto" w:fill="auto"/>
            <w:tcMar>
              <w:top w:w="120" w:type="dxa"/>
              <w:left w:w="120" w:type="dxa"/>
              <w:bottom w:w="120" w:type="dxa"/>
              <w:right w:w="120" w:type="dxa"/>
            </w:tcMar>
            <w:vAlign w:val="bottom"/>
          </w:tcPr>
          <w:p w14:paraId="4B2F5D9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5646-7656</w:t>
            </w:r>
          </w:p>
        </w:tc>
        <w:tc>
          <w:tcPr>
            <w:tcW w:w="1984" w:type="dxa"/>
            <w:shd w:val="clear" w:color="auto" w:fill="auto"/>
            <w:tcMar>
              <w:top w:w="120" w:type="dxa"/>
              <w:left w:w="120" w:type="dxa"/>
              <w:bottom w:w="120" w:type="dxa"/>
              <w:right w:w="120" w:type="dxa"/>
            </w:tcMar>
            <w:vAlign w:val="bottom"/>
          </w:tcPr>
          <w:p w14:paraId="73268A5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bl>
    <w:p w14:paraId="30082C9A" w14:textId="77777777" w:rsidR="0011433B" w:rsidRPr="003F48D7"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color w:val="auto"/>
          <w:sz w:val="24"/>
          <w:szCs w:val="24"/>
        </w:rPr>
        <w:t>LOS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Length of stay</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OR</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Odds ratio</w:t>
      </w:r>
      <w:r w:rsidRPr="00932A95">
        <w:rPr>
          <w:rFonts w:ascii="Book Antiqua" w:hAnsi="Book Antiqua" w:cs="Book Antiqua"/>
          <w:color w:val="auto"/>
          <w:sz w:val="24"/>
          <w:szCs w:val="24"/>
          <w:lang w:val="en-US"/>
        </w:rPr>
        <w:t>.</w:t>
      </w:r>
    </w:p>
    <w:sectPr w:rsidR="0011433B" w:rsidRPr="003F48D7" w:rsidSect="00F239AF">
      <w:footerReference w:type="default" r:id="rId9"/>
      <w:pgSz w:w="12240" w:h="15840"/>
      <w:pgMar w:top="1440" w:right="1800" w:bottom="1440" w:left="180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3706" w14:textId="77777777" w:rsidR="00446C8B" w:rsidRDefault="00446C8B">
      <w:pPr>
        <w:spacing w:line="240" w:lineRule="auto"/>
      </w:pPr>
      <w:r>
        <w:separator/>
      </w:r>
    </w:p>
  </w:endnote>
  <w:endnote w:type="continuationSeparator" w:id="0">
    <w:p w14:paraId="5F7913A0" w14:textId="77777777" w:rsidR="00446C8B" w:rsidRDefault="00446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73377"/>
    </w:sdtPr>
    <w:sdtEndPr/>
    <w:sdtContent>
      <w:p w14:paraId="143FEA16" w14:textId="77777777" w:rsidR="0096655F" w:rsidRDefault="0096655F">
        <w:pPr>
          <w:pStyle w:val="a7"/>
          <w:jc w:val="center"/>
        </w:pPr>
        <w:r>
          <w:fldChar w:fldCharType="begin"/>
        </w:r>
        <w:r>
          <w:instrText xml:space="preserve"> PAGE   \* MERGEFORMAT </w:instrText>
        </w:r>
        <w:r>
          <w:fldChar w:fldCharType="separate"/>
        </w:r>
        <w:r w:rsidR="00A80185">
          <w:rPr>
            <w:noProof/>
          </w:rPr>
          <w:t>4</w:t>
        </w:r>
        <w:r>
          <w:fldChar w:fldCharType="end"/>
        </w:r>
      </w:p>
    </w:sdtContent>
  </w:sdt>
  <w:p w14:paraId="7303FC12" w14:textId="77777777" w:rsidR="0096655F" w:rsidRDefault="009665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7841" w14:textId="77777777" w:rsidR="00446C8B" w:rsidRDefault="00446C8B">
      <w:pPr>
        <w:spacing w:line="240" w:lineRule="auto"/>
      </w:pPr>
      <w:r>
        <w:separator/>
      </w:r>
    </w:p>
  </w:footnote>
  <w:footnote w:type="continuationSeparator" w:id="0">
    <w:p w14:paraId="48E35231" w14:textId="77777777" w:rsidR="00446C8B" w:rsidRDefault="00446C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152BD"/>
    <w:rsid w:val="00003930"/>
    <w:rsid w:val="00033EAF"/>
    <w:rsid w:val="000341E6"/>
    <w:rsid w:val="00036FCC"/>
    <w:rsid w:val="00037E32"/>
    <w:rsid w:val="00060534"/>
    <w:rsid w:val="00083498"/>
    <w:rsid w:val="000876D3"/>
    <w:rsid w:val="000968B4"/>
    <w:rsid w:val="000D23B1"/>
    <w:rsid w:val="000F06DC"/>
    <w:rsid w:val="000F16F1"/>
    <w:rsid w:val="0011433B"/>
    <w:rsid w:val="00115E54"/>
    <w:rsid w:val="0011631F"/>
    <w:rsid w:val="0012014D"/>
    <w:rsid w:val="0014445F"/>
    <w:rsid w:val="0015133D"/>
    <w:rsid w:val="00151AE3"/>
    <w:rsid w:val="001637BA"/>
    <w:rsid w:val="00167764"/>
    <w:rsid w:val="00175359"/>
    <w:rsid w:val="00175AAE"/>
    <w:rsid w:val="00176861"/>
    <w:rsid w:val="00184980"/>
    <w:rsid w:val="0019108A"/>
    <w:rsid w:val="001B0356"/>
    <w:rsid w:val="001D26F0"/>
    <w:rsid w:val="001E366C"/>
    <w:rsid w:val="001E492E"/>
    <w:rsid w:val="002057D3"/>
    <w:rsid w:val="002152BD"/>
    <w:rsid w:val="00216D84"/>
    <w:rsid w:val="002447C7"/>
    <w:rsid w:val="00262F87"/>
    <w:rsid w:val="00266050"/>
    <w:rsid w:val="002718D5"/>
    <w:rsid w:val="00294C65"/>
    <w:rsid w:val="00297BA3"/>
    <w:rsid w:val="002C4DE4"/>
    <w:rsid w:val="002D499F"/>
    <w:rsid w:val="002F52BB"/>
    <w:rsid w:val="0030389F"/>
    <w:rsid w:val="003265E5"/>
    <w:rsid w:val="00336972"/>
    <w:rsid w:val="0034772F"/>
    <w:rsid w:val="003508C1"/>
    <w:rsid w:val="00374FC0"/>
    <w:rsid w:val="00385ECF"/>
    <w:rsid w:val="003A7798"/>
    <w:rsid w:val="003B43A0"/>
    <w:rsid w:val="003E2A8D"/>
    <w:rsid w:val="003E45BB"/>
    <w:rsid w:val="003F48D7"/>
    <w:rsid w:val="00400FD8"/>
    <w:rsid w:val="0041504C"/>
    <w:rsid w:val="00424F70"/>
    <w:rsid w:val="00431683"/>
    <w:rsid w:val="0043179C"/>
    <w:rsid w:val="0044580C"/>
    <w:rsid w:val="00446C8B"/>
    <w:rsid w:val="00477232"/>
    <w:rsid w:val="00493DFE"/>
    <w:rsid w:val="004A0F33"/>
    <w:rsid w:val="004C4012"/>
    <w:rsid w:val="004C4042"/>
    <w:rsid w:val="004C75C6"/>
    <w:rsid w:val="004D406C"/>
    <w:rsid w:val="00502D0B"/>
    <w:rsid w:val="0050553F"/>
    <w:rsid w:val="0052115B"/>
    <w:rsid w:val="00527EBD"/>
    <w:rsid w:val="005466A7"/>
    <w:rsid w:val="00563BF4"/>
    <w:rsid w:val="005733BD"/>
    <w:rsid w:val="005736BF"/>
    <w:rsid w:val="00581871"/>
    <w:rsid w:val="005C53F1"/>
    <w:rsid w:val="005D1F02"/>
    <w:rsid w:val="005E2163"/>
    <w:rsid w:val="005F7CFD"/>
    <w:rsid w:val="00607727"/>
    <w:rsid w:val="0063656B"/>
    <w:rsid w:val="00647E57"/>
    <w:rsid w:val="00654EE3"/>
    <w:rsid w:val="006621D5"/>
    <w:rsid w:val="006707F9"/>
    <w:rsid w:val="00673A0B"/>
    <w:rsid w:val="00697A81"/>
    <w:rsid w:val="006D7848"/>
    <w:rsid w:val="006E1AC3"/>
    <w:rsid w:val="00702F74"/>
    <w:rsid w:val="00716C8F"/>
    <w:rsid w:val="007504F7"/>
    <w:rsid w:val="00752434"/>
    <w:rsid w:val="00770371"/>
    <w:rsid w:val="00772C66"/>
    <w:rsid w:val="00776477"/>
    <w:rsid w:val="0078623E"/>
    <w:rsid w:val="007A6A12"/>
    <w:rsid w:val="007B0CD3"/>
    <w:rsid w:val="007B4B11"/>
    <w:rsid w:val="007C2583"/>
    <w:rsid w:val="007C7E07"/>
    <w:rsid w:val="007D535B"/>
    <w:rsid w:val="007F1CF8"/>
    <w:rsid w:val="008045CD"/>
    <w:rsid w:val="00812ACC"/>
    <w:rsid w:val="00816A18"/>
    <w:rsid w:val="0082173F"/>
    <w:rsid w:val="0084400A"/>
    <w:rsid w:val="00845358"/>
    <w:rsid w:val="00850974"/>
    <w:rsid w:val="008602EB"/>
    <w:rsid w:val="008670D3"/>
    <w:rsid w:val="00875BAB"/>
    <w:rsid w:val="00881CA9"/>
    <w:rsid w:val="00897691"/>
    <w:rsid w:val="008B04D1"/>
    <w:rsid w:val="008D75BE"/>
    <w:rsid w:val="008E1246"/>
    <w:rsid w:val="008E2622"/>
    <w:rsid w:val="008F4D03"/>
    <w:rsid w:val="0092627A"/>
    <w:rsid w:val="00932A95"/>
    <w:rsid w:val="00950B53"/>
    <w:rsid w:val="009540CB"/>
    <w:rsid w:val="0096655F"/>
    <w:rsid w:val="00971E42"/>
    <w:rsid w:val="009754BF"/>
    <w:rsid w:val="00975859"/>
    <w:rsid w:val="00985B27"/>
    <w:rsid w:val="00986F1D"/>
    <w:rsid w:val="009A06E6"/>
    <w:rsid w:val="009B2DFE"/>
    <w:rsid w:val="009B5C77"/>
    <w:rsid w:val="009E5648"/>
    <w:rsid w:val="009E6364"/>
    <w:rsid w:val="00A434D1"/>
    <w:rsid w:val="00A442FB"/>
    <w:rsid w:val="00A64BF4"/>
    <w:rsid w:val="00A80185"/>
    <w:rsid w:val="00A87441"/>
    <w:rsid w:val="00A87FD5"/>
    <w:rsid w:val="00AA3E7D"/>
    <w:rsid w:val="00AB21E6"/>
    <w:rsid w:val="00AE3EEB"/>
    <w:rsid w:val="00AF18D9"/>
    <w:rsid w:val="00AF2054"/>
    <w:rsid w:val="00AF758A"/>
    <w:rsid w:val="00B15E9A"/>
    <w:rsid w:val="00B225EF"/>
    <w:rsid w:val="00B23786"/>
    <w:rsid w:val="00B23840"/>
    <w:rsid w:val="00B35D0C"/>
    <w:rsid w:val="00B41D73"/>
    <w:rsid w:val="00B52589"/>
    <w:rsid w:val="00B72297"/>
    <w:rsid w:val="00B93493"/>
    <w:rsid w:val="00B93A4F"/>
    <w:rsid w:val="00BA3883"/>
    <w:rsid w:val="00BB0A70"/>
    <w:rsid w:val="00BC17DD"/>
    <w:rsid w:val="00BC64BD"/>
    <w:rsid w:val="00BC7BE1"/>
    <w:rsid w:val="00BD4EE8"/>
    <w:rsid w:val="00BF174F"/>
    <w:rsid w:val="00BF209E"/>
    <w:rsid w:val="00C04F63"/>
    <w:rsid w:val="00C140DB"/>
    <w:rsid w:val="00C155DC"/>
    <w:rsid w:val="00C33866"/>
    <w:rsid w:val="00C37401"/>
    <w:rsid w:val="00C37BF9"/>
    <w:rsid w:val="00C41E38"/>
    <w:rsid w:val="00C43CCB"/>
    <w:rsid w:val="00C735B1"/>
    <w:rsid w:val="00C76F28"/>
    <w:rsid w:val="00CA5F98"/>
    <w:rsid w:val="00CB3337"/>
    <w:rsid w:val="00CB76E0"/>
    <w:rsid w:val="00CD5856"/>
    <w:rsid w:val="00CE50FE"/>
    <w:rsid w:val="00CF4DC4"/>
    <w:rsid w:val="00D05A4C"/>
    <w:rsid w:val="00D107B2"/>
    <w:rsid w:val="00D21952"/>
    <w:rsid w:val="00D31F9A"/>
    <w:rsid w:val="00D42D51"/>
    <w:rsid w:val="00D52E42"/>
    <w:rsid w:val="00D56CE3"/>
    <w:rsid w:val="00DE5264"/>
    <w:rsid w:val="00DF0472"/>
    <w:rsid w:val="00DF1C37"/>
    <w:rsid w:val="00E12E74"/>
    <w:rsid w:val="00E22BE0"/>
    <w:rsid w:val="00E23359"/>
    <w:rsid w:val="00E27A27"/>
    <w:rsid w:val="00E506E1"/>
    <w:rsid w:val="00E51FFE"/>
    <w:rsid w:val="00E629ED"/>
    <w:rsid w:val="00E73BE6"/>
    <w:rsid w:val="00E972F7"/>
    <w:rsid w:val="00EB7CEA"/>
    <w:rsid w:val="00EF779A"/>
    <w:rsid w:val="00F1382E"/>
    <w:rsid w:val="00F239AF"/>
    <w:rsid w:val="00F35DF0"/>
    <w:rsid w:val="00F67DE8"/>
    <w:rsid w:val="00F714FD"/>
    <w:rsid w:val="00F7774C"/>
    <w:rsid w:val="00FA1255"/>
    <w:rsid w:val="00FB0FCA"/>
    <w:rsid w:val="00FD6B59"/>
    <w:rsid w:val="00FF547B"/>
    <w:rsid w:val="12F02DC7"/>
    <w:rsid w:val="1F070CEB"/>
    <w:rsid w:val="46625F95"/>
    <w:rsid w:val="4CF57738"/>
    <w:rsid w:val="6C93035B"/>
    <w:rsid w:val="71D83EDC"/>
    <w:rsid w:val="771B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endnote reference" w:semiHidden="0" w:qFormat="1"/>
    <w:lsdException w:name="endnote text" w:semiHidden="0"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lsdException w:name="Normal (Web)" w:semiHidden="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eastAsia="Arial" w:hAnsi="Arial" w:cs="Arial"/>
      <w:color w:val="000000"/>
      <w:sz w:val="22"/>
      <w:szCs w:val="22"/>
      <w:lang w:val="en" w:eastAsia="en-US"/>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Plain Text"/>
    <w:basedOn w:val="a"/>
    <w:link w:val="Char0"/>
    <w:uiPriority w:val="99"/>
    <w:unhideWhenUsed/>
    <w:pPr>
      <w:spacing w:line="240" w:lineRule="auto"/>
    </w:pPr>
    <w:rPr>
      <w:rFonts w:ascii="Calibri" w:eastAsia="Calibri" w:hAnsi="Calibri" w:cs="Times New Roman"/>
      <w:color w:val="auto"/>
      <w:szCs w:val="21"/>
      <w:lang w:val="en-US"/>
    </w:rPr>
  </w:style>
  <w:style w:type="paragraph" w:styleId="a5">
    <w:name w:val="endnote text"/>
    <w:basedOn w:val="a"/>
    <w:link w:val="Char1"/>
    <w:uiPriority w:val="99"/>
    <w:unhideWhenUsed/>
    <w:qFormat/>
    <w:pPr>
      <w:spacing w:line="240" w:lineRule="auto"/>
    </w:pPr>
    <w:rPr>
      <w:sz w:val="24"/>
      <w:szCs w:val="24"/>
    </w:rPr>
  </w:style>
  <w:style w:type="paragraph" w:styleId="a6">
    <w:name w:val="Balloon Text"/>
    <w:basedOn w:val="a"/>
    <w:link w:val="Char2"/>
    <w:uiPriority w:val="99"/>
    <w:semiHidden/>
    <w:unhideWhenUsed/>
    <w:qFormat/>
    <w:pPr>
      <w:spacing w:line="240" w:lineRule="auto"/>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line="240" w:lineRule="auto"/>
    </w:pPr>
  </w:style>
  <w:style w:type="paragraph" w:styleId="a8">
    <w:name w:val="header"/>
    <w:basedOn w:val="a"/>
    <w:link w:val="Char4"/>
    <w:uiPriority w:val="99"/>
    <w:unhideWhenUsed/>
    <w:qFormat/>
    <w:pPr>
      <w:tabs>
        <w:tab w:val="center" w:pos="4680"/>
        <w:tab w:val="right" w:pos="9360"/>
      </w:tabs>
      <w:spacing w:line="240" w:lineRule="auto"/>
    </w:pPr>
  </w:style>
  <w:style w:type="paragraph" w:styleId="a9">
    <w:name w:val="Subtitle"/>
    <w:basedOn w:val="a"/>
    <w:next w:val="a"/>
    <w:qFormat/>
    <w:pPr>
      <w:keepNext/>
      <w:keepLines/>
      <w:spacing w:after="320"/>
    </w:pPr>
    <w:rPr>
      <w:color w:val="666666"/>
      <w:sz w:val="30"/>
      <w:szCs w:val="30"/>
    </w:rPr>
  </w:style>
  <w:style w:type="paragraph" w:styleId="aa">
    <w:name w:val="Normal (Web)"/>
    <w:basedOn w:val="a"/>
    <w:uiPriority w:val="99"/>
    <w:unhideWhenUsed/>
    <w:qFormat/>
    <w:pPr>
      <w:spacing w:before="100" w:beforeAutospacing="1" w:after="100" w:afterAutospacing="1" w:line="240" w:lineRule="auto"/>
    </w:pPr>
    <w:rPr>
      <w:rFonts w:ascii="Times New Roman" w:hAnsi="Times New Roman" w:cs="Times New Roman"/>
      <w:color w:val="auto"/>
      <w:sz w:val="24"/>
      <w:szCs w:val="24"/>
      <w:lang w:val="en-US"/>
    </w:rPr>
  </w:style>
  <w:style w:type="paragraph" w:styleId="ab">
    <w:name w:val="Title"/>
    <w:basedOn w:val="a"/>
    <w:next w:val="a"/>
    <w:qFormat/>
    <w:pPr>
      <w:keepNext/>
      <w:keepLines/>
      <w:spacing w:after="60"/>
    </w:pPr>
    <w:rPr>
      <w:sz w:val="52"/>
      <w:szCs w:val="52"/>
    </w:rPr>
  </w:style>
  <w:style w:type="paragraph" w:styleId="ac">
    <w:name w:val="annotation subject"/>
    <w:basedOn w:val="a3"/>
    <w:next w:val="a3"/>
    <w:link w:val="Char5"/>
    <w:uiPriority w:val="99"/>
    <w:semiHidden/>
    <w:unhideWhenUsed/>
    <w:qFormat/>
    <w:rPr>
      <w:b/>
      <w:bCs/>
    </w:rPr>
  </w:style>
  <w:style w:type="character" w:styleId="ad">
    <w:name w:val="endnote reference"/>
    <w:basedOn w:val="a0"/>
    <w:uiPriority w:val="99"/>
    <w:unhideWhenUsed/>
    <w:qFormat/>
    <w:rPr>
      <w:vertAlign w:val="superscript"/>
    </w:rPr>
  </w:style>
  <w:style w:type="character" w:styleId="ae">
    <w:name w:val="FollowedHyperlink"/>
    <w:basedOn w:val="a0"/>
    <w:uiPriority w:val="99"/>
    <w:semiHidden/>
    <w:unhideWhenUsed/>
    <w:qFormat/>
    <w:rPr>
      <w:color w:val="800080" w:themeColor="followedHyperlink"/>
      <w:u w:val="single"/>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16"/>
      <w:szCs w:val="16"/>
    </w:rPr>
  </w:style>
  <w:style w:type="table" w:customStyle="1" w:styleId="Style11">
    <w:name w:val="_Style 11"/>
    <w:basedOn w:val="a1"/>
    <w:tblPr>
      <w:tblCellMar>
        <w:top w:w="100" w:type="dxa"/>
        <w:left w:w="100" w:type="dxa"/>
        <w:bottom w:w="100" w:type="dxa"/>
        <w:right w:w="100" w:type="dxa"/>
      </w:tblCellMar>
    </w:tblPr>
  </w:style>
  <w:style w:type="table" w:customStyle="1" w:styleId="Style12">
    <w:name w:val="_Style 12"/>
    <w:basedOn w:val="a1"/>
    <w:tblPr>
      <w:tblCellMar>
        <w:top w:w="100" w:type="dxa"/>
        <w:left w:w="100" w:type="dxa"/>
        <w:bottom w:w="100" w:type="dxa"/>
        <w:right w:w="100" w:type="dxa"/>
      </w:tblCellMar>
    </w:tblPr>
  </w:style>
  <w:style w:type="table" w:customStyle="1" w:styleId="Style13">
    <w:name w:val="_Style 13"/>
    <w:basedOn w:val="a1"/>
    <w:tblPr>
      <w:tblCellMar>
        <w:top w:w="100" w:type="dxa"/>
        <w:left w:w="100" w:type="dxa"/>
        <w:bottom w:w="100" w:type="dxa"/>
        <w:right w:w="100" w:type="dxa"/>
      </w:tblCellMar>
    </w:tblPr>
  </w:style>
  <w:style w:type="table" w:customStyle="1" w:styleId="Style14">
    <w:name w:val="_Style 14"/>
    <w:basedOn w:val="a1"/>
    <w:tblPr>
      <w:tblCellMar>
        <w:top w:w="100" w:type="dxa"/>
        <w:left w:w="100" w:type="dxa"/>
        <w:bottom w:w="100" w:type="dxa"/>
        <w:right w:w="100" w:type="dxa"/>
      </w:tblCellMar>
    </w:tblPr>
  </w:style>
  <w:style w:type="table" w:customStyle="1" w:styleId="Style15">
    <w:name w:val="_Style 15"/>
    <w:basedOn w:val="a1"/>
    <w:tblPr>
      <w:tblCellMar>
        <w:top w:w="100" w:type="dxa"/>
        <w:left w:w="100" w:type="dxa"/>
        <w:bottom w:w="100" w:type="dxa"/>
        <w:right w:w="100" w:type="dxa"/>
      </w:tblCellMar>
    </w:tblPr>
  </w:style>
  <w:style w:type="table" w:customStyle="1" w:styleId="Style16">
    <w:name w:val="_Style 16"/>
    <w:basedOn w:val="a1"/>
    <w:tblPr>
      <w:tblCellMar>
        <w:top w:w="100" w:type="dxa"/>
        <w:left w:w="100" w:type="dxa"/>
        <w:bottom w:w="100" w:type="dxa"/>
        <w:right w:w="100" w:type="dxa"/>
      </w:tblCellMar>
    </w:tblPr>
  </w:style>
  <w:style w:type="table" w:customStyle="1" w:styleId="Style17">
    <w:name w:val="_Style 17"/>
    <w:basedOn w:val="a1"/>
    <w:tblPr>
      <w:tblCellMar>
        <w:top w:w="100" w:type="dxa"/>
        <w:left w:w="100" w:type="dxa"/>
        <w:bottom w:w="100" w:type="dxa"/>
        <w:right w:w="100" w:type="dxa"/>
      </w:tblCellMar>
    </w:tblPr>
  </w:style>
  <w:style w:type="character" w:customStyle="1" w:styleId="Char">
    <w:name w:val="批注文字 Char"/>
    <w:basedOn w:val="a0"/>
    <w:link w:val="a3"/>
    <w:uiPriority w:val="99"/>
    <w:semiHidden/>
    <w:rPr>
      <w:sz w:val="20"/>
      <w:szCs w:val="20"/>
    </w:rPr>
  </w:style>
  <w:style w:type="character" w:customStyle="1" w:styleId="Char2">
    <w:name w:val="批注框文本 Char"/>
    <w:basedOn w:val="a0"/>
    <w:link w:val="a6"/>
    <w:uiPriority w:val="99"/>
    <w:semiHidden/>
    <w:rPr>
      <w:rFonts w:ascii="Segoe UI" w:hAnsi="Segoe UI" w:cs="Segoe UI"/>
      <w:sz w:val="18"/>
      <w:szCs w:val="18"/>
    </w:rPr>
  </w:style>
  <w:style w:type="paragraph" w:customStyle="1" w:styleId="EndNoteBibliographyTitle">
    <w:name w:val="EndNote Bibliography Title"/>
    <w:basedOn w:val="a"/>
    <w:link w:val="EndNoteBibliographyTitleChar"/>
    <w:qFormat/>
    <w:pPr>
      <w:jc w:val="center"/>
    </w:pPr>
    <w:rPr>
      <w:lang w:val="en-US"/>
    </w:rPr>
  </w:style>
  <w:style w:type="character" w:customStyle="1" w:styleId="EndNoteBibliographyTitleChar">
    <w:name w:val="EndNote Bibliography Title Char"/>
    <w:basedOn w:val="a0"/>
    <w:link w:val="EndNoteBibliographyTitle"/>
    <w:qFormat/>
    <w:rPr>
      <w:lang w:val="en-US"/>
    </w:rPr>
  </w:style>
  <w:style w:type="paragraph" w:customStyle="1" w:styleId="EndNoteBibliography">
    <w:name w:val="EndNote Bibliography"/>
    <w:basedOn w:val="a"/>
    <w:link w:val="EndNoteBibliographyChar"/>
    <w:pPr>
      <w:spacing w:line="240" w:lineRule="auto"/>
    </w:pPr>
    <w:rPr>
      <w:lang w:val="en-US"/>
    </w:rPr>
  </w:style>
  <w:style w:type="character" w:customStyle="1" w:styleId="EndNoteBibliographyChar">
    <w:name w:val="EndNote Bibliography Char"/>
    <w:basedOn w:val="a0"/>
    <w:link w:val="EndNoteBibliography"/>
    <w:rPr>
      <w:lang w:val="en-US"/>
    </w:rPr>
  </w:style>
  <w:style w:type="character" w:customStyle="1" w:styleId="Char5">
    <w:name w:val="批注主题 Char"/>
    <w:basedOn w:val="Char"/>
    <w:link w:val="ac"/>
    <w:uiPriority w:val="99"/>
    <w:semiHidden/>
    <w:rPr>
      <w:b/>
      <w:bCs/>
      <w:sz w:val="20"/>
      <w:szCs w:val="20"/>
    </w:rPr>
  </w:style>
  <w:style w:type="character" w:customStyle="1" w:styleId="Char1">
    <w:name w:val="尾注文本 Char"/>
    <w:basedOn w:val="a0"/>
    <w:link w:val="a5"/>
    <w:uiPriority w:val="99"/>
    <w:rPr>
      <w:sz w:val="24"/>
      <w:szCs w:val="24"/>
    </w:rPr>
  </w:style>
  <w:style w:type="paragraph" w:customStyle="1" w:styleId="10">
    <w:name w:val="修订1"/>
    <w:hidden/>
    <w:uiPriority w:val="99"/>
    <w:semiHidden/>
    <w:rPr>
      <w:rFonts w:ascii="Arial" w:eastAsia="Arial" w:hAnsi="Arial" w:cs="Arial"/>
      <w:color w:val="000000"/>
      <w:sz w:val="22"/>
      <w:szCs w:val="22"/>
      <w:lang w:val="en" w:eastAsia="en-US"/>
    </w:rPr>
  </w:style>
  <w:style w:type="character" w:customStyle="1" w:styleId="Char4">
    <w:name w:val="页眉 Char"/>
    <w:basedOn w:val="a0"/>
    <w:link w:val="a8"/>
    <w:uiPriority w:val="99"/>
  </w:style>
  <w:style w:type="character" w:customStyle="1" w:styleId="Char3">
    <w:name w:val="页脚 Char"/>
    <w:basedOn w:val="a0"/>
    <w:link w:val="a7"/>
    <w:uiPriority w:val="99"/>
  </w:style>
  <w:style w:type="character" w:customStyle="1" w:styleId="Char0">
    <w:name w:val="纯文本 Char"/>
    <w:basedOn w:val="a0"/>
    <w:link w:val="a4"/>
    <w:uiPriority w:val="99"/>
    <w:rPr>
      <w:rFonts w:ascii="Calibri" w:eastAsia="Calibri" w:hAnsi="Calibri" w:cs="Times New Roman"/>
      <w:color w:val="auto"/>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endnote reference" w:semiHidden="0" w:qFormat="1"/>
    <w:lsdException w:name="endnote text" w:semiHidden="0"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lsdException w:name="Normal (Web)" w:semiHidden="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eastAsia="Arial" w:hAnsi="Arial" w:cs="Arial"/>
      <w:color w:val="000000"/>
      <w:sz w:val="22"/>
      <w:szCs w:val="22"/>
      <w:lang w:val="en" w:eastAsia="en-US"/>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Plain Text"/>
    <w:basedOn w:val="a"/>
    <w:link w:val="Char0"/>
    <w:uiPriority w:val="99"/>
    <w:unhideWhenUsed/>
    <w:pPr>
      <w:spacing w:line="240" w:lineRule="auto"/>
    </w:pPr>
    <w:rPr>
      <w:rFonts w:ascii="Calibri" w:eastAsia="Calibri" w:hAnsi="Calibri" w:cs="Times New Roman"/>
      <w:color w:val="auto"/>
      <w:szCs w:val="21"/>
      <w:lang w:val="en-US"/>
    </w:rPr>
  </w:style>
  <w:style w:type="paragraph" w:styleId="a5">
    <w:name w:val="endnote text"/>
    <w:basedOn w:val="a"/>
    <w:link w:val="Char1"/>
    <w:uiPriority w:val="99"/>
    <w:unhideWhenUsed/>
    <w:qFormat/>
    <w:pPr>
      <w:spacing w:line="240" w:lineRule="auto"/>
    </w:pPr>
    <w:rPr>
      <w:sz w:val="24"/>
      <w:szCs w:val="24"/>
    </w:rPr>
  </w:style>
  <w:style w:type="paragraph" w:styleId="a6">
    <w:name w:val="Balloon Text"/>
    <w:basedOn w:val="a"/>
    <w:link w:val="Char2"/>
    <w:uiPriority w:val="99"/>
    <w:semiHidden/>
    <w:unhideWhenUsed/>
    <w:qFormat/>
    <w:pPr>
      <w:spacing w:line="240" w:lineRule="auto"/>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line="240" w:lineRule="auto"/>
    </w:pPr>
  </w:style>
  <w:style w:type="paragraph" w:styleId="a8">
    <w:name w:val="header"/>
    <w:basedOn w:val="a"/>
    <w:link w:val="Char4"/>
    <w:uiPriority w:val="99"/>
    <w:unhideWhenUsed/>
    <w:qFormat/>
    <w:pPr>
      <w:tabs>
        <w:tab w:val="center" w:pos="4680"/>
        <w:tab w:val="right" w:pos="9360"/>
      </w:tabs>
      <w:spacing w:line="240" w:lineRule="auto"/>
    </w:pPr>
  </w:style>
  <w:style w:type="paragraph" w:styleId="a9">
    <w:name w:val="Subtitle"/>
    <w:basedOn w:val="a"/>
    <w:next w:val="a"/>
    <w:qFormat/>
    <w:pPr>
      <w:keepNext/>
      <w:keepLines/>
      <w:spacing w:after="320"/>
    </w:pPr>
    <w:rPr>
      <w:color w:val="666666"/>
      <w:sz w:val="30"/>
      <w:szCs w:val="30"/>
    </w:rPr>
  </w:style>
  <w:style w:type="paragraph" w:styleId="aa">
    <w:name w:val="Normal (Web)"/>
    <w:basedOn w:val="a"/>
    <w:uiPriority w:val="99"/>
    <w:unhideWhenUsed/>
    <w:qFormat/>
    <w:pPr>
      <w:spacing w:before="100" w:beforeAutospacing="1" w:after="100" w:afterAutospacing="1" w:line="240" w:lineRule="auto"/>
    </w:pPr>
    <w:rPr>
      <w:rFonts w:ascii="Times New Roman" w:hAnsi="Times New Roman" w:cs="Times New Roman"/>
      <w:color w:val="auto"/>
      <w:sz w:val="24"/>
      <w:szCs w:val="24"/>
      <w:lang w:val="en-US"/>
    </w:rPr>
  </w:style>
  <w:style w:type="paragraph" w:styleId="ab">
    <w:name w:val="Title"/>
    <w:basedOn w:val="a"/>
    <w:next w:val="a"/>
    <w:qFormat/>
    <w:pPr>
      <w:keepNext/>
      <w:keepLines/>
      <w:spacing w:after="60"/>
    </w:pPr>
    <w:rPr>
      <w:sz w:val="52"/>
      <w:szCs w:val="52"/>
    </w:rPr>
  </w:style>
  <w:style w:type="paragraph" w:styleId="ac">
    <w:name w:val="annotation subject"/>
    <w:basedOn w:val="a3"/>
    <w:next w:val="a3"/>
    <w:link w:val="Char5"/>
    <w:uiPriority w:val="99"/>
    <w:semiHidden/>
    <w:unhideWhenUsed/>
    <w:qFormat/>
    <w:rPr>
      <w:b/>
      <w:bCs/>
    </w:rPr>
  </w:style>
  <w:style w:type="character" w:styleId="ad">
    <w:name w:val="endnote reference"/>
    <w:basedOn w:val="a0"/>
    <w:uiPriority w:val="99"/>
    <w:unhideWhenUsed/>
    <w:qFormat/>
    <w:rPr>
      <w:vertAlign w:val="superscript"/>
    </w:rPr>
  </w:style>
  <w:style w:type="character" w:styleId="ae">
    <w:name w:val="FollowedHyperlink"/>
    <w:basedOn w:val="a0"/>
    <w:uiPriority w:val="99"/>
    <w:semiHidden/>
    <w:unhideWhenUsed/>
    <w:qFormat/>
    <w:rPr>
      <w:color w:val="800080" w:themeColor="followedHyperlink"/>
      <w:u w:val="single"/>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16"/>
      <w:szCs w:val="16"/>
    </w:rPr>
  </w:style>
  <w:style w:type="table" w:customStyle="1" w:styleId="Style11">
    <w:name w:val="_Style 11"/>
    <w:basedOn w:val="a1"/>
    <w:tblPr>
      <w:tblCellMar>
        <w:top w:w="100" w:type="dxa"/>
        <w:left w:w="100" w:type="dxa"/>
        <w:bottom w:w="100" w:type="dxa"/>
        <w:right w:w="100" w:type="dxa"/>
      </w:tblCellMar>
    </w:tblPr>
  </w:style>
  <w:style w:type="table" w:customStyle="1" w:styleId="Style12">
    <w:name w:val="_Style 12"/>
    <w:basedOn w:val="a1"/>
    <w:tblPr>
      <w:tblCellMar>
        <w:top w:w="100" w:type="dxa"/>
        <w:left w:w="100" w:type="dxa"/>
        <w:bottom w:w="100" w:type="dxa"/>
        <w:right w:w="100" w:type="dxa"/>
      </w:tblCellMar>
    </w:tblPr>
  </w:style>
  <w:style w:type="table" w:customStyle="1" w:styleId="Style13">
    <w:name w:val="_Style 13"/>
    <w:basedOn w:val="a1"/>
    <w:tblPr>
      <w:tblCellMar>
        <w:top w:w="100" w:type="dxa"/>
        <w:left w:w="100" w:type="dxa"/>
        <w:bottom w:w="100" w:type="dxa"/>
        <w:right w:w="100" w:type="dxa"/>
      </w:tblCellMar>
    </w:tblPr>
  </w:style>
  <w:style w:type="table" w:customStyle="1" w:styleId="Style14">
    <w:name w:val="_Style 14"/>
    <w:basedOn w:val="a1"/>
    <w:tblPr>
      <w:tblCellMar>
        <w:top w:w="100" w:type="dxa"/>
        <w:left w:w="100" w:type="dxa"/>
        <w:bottom w:w="100" w:type="dxa"/>
        <w:right w:w="100" w:type="dxa"/>
      </w:tblCellMar>
    </w:tblPr>
  </w:style>
  <w:style w:type="table" w:customStyle="1" w:styleId="Style15">
    <w:name w:val="_Style 15"/>
    <w:basedOn w:val="a1"/>
    <w:tblPr>
      <w:tblCellMar>
        <w:top w:w="100" w:type="dxa"/>
        <w:left w:w="100" w:type="dxa"/>
        <w:bottom w:w="100" w:type="dxa"/>
        <w:right w:w="100" w:type="dxa"/>
      </w:tblCellMar>
    </w:tblPr>
  </w:style>
  <w:style w:type="table" w:customStyle="1" w:styleId="Style16">
    <w:name w:val="_Style 16"/>
    <w:basedOn w:val="a1"/>
    <w:tblPr>
      <w:tblCellMar>
        <w:top w:w="100" w:type="dxa"/>
        <w:left w:w="100" w:type="dxa"/>
        <w:bottom w:w="100" w:type="dxa"/>
        <w:right w:w="100" w:type="dxa"/>
      </w:tblCellMar>
    </w:tblPr>
  </w:style>
  <w:style w:type="table" w:customStyle="1" w:styleId="Style17">
    <w:name w:val="_Style 17"/>
    <w:basedOn w:val="a1"/>
    <w:tblPr>
      <w:tblCellMar>
        <w:top w:w="100" w:type="dxa"/>
        <w:left w:w="100" w:type="dxa"/>
        <w:bottom w:w="100" w:type="dxa"/>
        <w:right w:w="100" w:type="dxa"/>
      </w:tblCellMar>
    </w:tblPr>
  </w:style>
  <w:style w:type="character" w:customStyle="1" w:styleId="Char">
    <w:name w:val="批注文字 Char"/>
    <w:basedOn w:val="a0"/>
    <w:link w:val="a3"/>
    <w:uiPriority w:val="99"/>
    <w:semiHidden/>
    <w:rPr>
      <w:sz w:val="20"/>
      <w:szCs w:val="20"/>
    </w:rPr>
  </w:style>
  <w:style w:type="character" w:customStyle="1" w:styleId="Char2">
    <w:name w:val="批注框文本 Char"/>
    <w:basedOn w:val="a0"/>
    <w:link w:val="a6"/>
    <w:uiPriority w:val="99"/>
    <w:semiHidden/>
    <w:rPr>
      <w:rFonts w:ascii="Segoe UI" w:hAnsi="Segoe UI" w:cs="Segoe UI"/>
      <w:sz w:val="18"/>
      <w:szCs w:val="18"/>
    </w:rPr>
  </w:style>
  <w:style w:type="paragraph" w:customStyle="1" w:styleId="EndNoteBibliographyTitle">
    <w:name w:val="EndNote Bibliography Title"/>
    <w:basedOn w:val="a"/>
    <w:link w:val="EndNoteBibliographyTitleChar"/>
    <w:qFormat/>
    <w:pPr>
      <w:jc w:val="center"/>
    </w:pPr>
    <w:rPr>
      <w:lang w:val="en-US"/>
    </w:rPr>
  </w:style>
  <w:style w:type="character" w:customStyle="1" w:styleId="EndNoteBibliographyTitleChar">
    <w:name w:val="EndNote Bibliography Title Char"/>
    <w:basedOn w:val="a0"/>
    <w:link w:val="EndNoteBibliographyTitle"/>
    <w:qFormat/>
    <w:rPr>
      <w:lang w:val="en-US"/>
    </w:rPr>
  </w:style>
  <w:style w:type="paragraph" w:customStyle="1" w:styleId="EndNoteBibliography">
    <w:name w:val="EndNote Bibliography"/>
    <w:basedOn w:val="a"/>
    <w:link w:val="EndNoteBibliographyChar"/>
    <w:pPr>
      <w:spacing w:line="240" w:lineRule="auto"/>
    </w:pPr>
    <w:rPr>
      <w:lang w:val="en-US"/>
    </w:rPr>
  </w:style>
  <w:style w:type="character" w:customStyle="1" w:styleId="EndNoteBibliographyChar">
    <w:name w:val="EndNote Bibliography Char"/>
    <w:basedOn w:val="a0"/>
    <w:link w:val="EndNoteBibliography"/>
    <w:rPr>
      <w:lang w:val="en-US"/>
    </w:rPr>
  </w:style>
  <w:style w:type="character" w:customStyle="1" w:styleId="Char5">
    <w:name w:val="批注主题 Char"/>
    <w:basedOn w:val="Char"/>
    <w:link w:val="ac"/>
    <w:uiPriority w:val="99"/>
    <w:semiHidden/>
    <w:rPr>
      <w:b/>
      <w:bCs/>
      <w:sz w:val="20"/>
      <w:szCs w:val="20"/>
    </w:rPr>
  </w:style>
  <w:style w:type="character" w:customStyle="1" w:styleId="Char1">
    <w:name w:val="尾注文本 Char"/>
    <w:basedOn w:val="a0"/>
    <w:link w:val="a5"/>
    <w:uiPriority w:val="99"/>
    <w:rPr>
      <w:sz w:val="24"/>
      <w:szCs w:val="24"/>
    </w:rPr>
  </w:style>
  <w:style w:type="paragraph" w:customStyle="1" w:styleId="10">
    <w:name w:val="修订1"/>
    <w:hidden/>
    <w:uiPriority w:val="99"/>
    <w:semiHidden/>
    <w:rPr>
      <w:rFonts w:ascii="Arial" w:eastAsia="Arial" w:hAnsi="Arial" w:cs="Arial"/>
      <w:color w:val="000000"/>
      <w:sz w:val="22"/>
      <w:szCs w:val="22"/>
      <w:lang w:val="en" w:eastAsia="en-US"/>
    </w:rPr>
  </w:style>
  <w:style w:type="character" w:customStyle="1" w:styleId="Char4">
    <w:name w:val="页眉 Char"/>
    <w:basedOn w:val="a0"/>
    <w:link w:val="a8"/>
    <w:uiPriority w:val="99"/>
  </w:style>
  <w:style w:type="character" w:customStyle="1" w:styleId="Char3">
    <w:name w:val="页脚 Char"/>
    <w:basedOn w:val="a0"/>
    <w:link w:val="a7"/>
    <w:uiPriority w:val="99"/>
  </w:style>
  <w:style w:type="character" w:customStyle="1" w:styleId="Char0">
    <w:name w:val="纯文本 Char"/>
    <w:basedOn w:val="a0"/>
    <w:link w:val="a4"/>
    <w:uiPriority w:val="99"/>
    <w:rPr>
      <w:rFonts w:ascii="Calibri" w:eastAsia="Calibri" w:hAnsi="Calibri" w:cs="Times New Roman"/>
      <w:color w:val="auto"/>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7240">
      <w:bodyDiv w:val="1"/>
      <w:marLeft w:val="0"/>
      <w:marRight w:val="0"/>
      <w:marTop w:val="0"/>
      <w:marBottom w:val="0"/>
      <w:divBdr>
        <w:top w:val="none" w:sz="0" w:space="0" w:color="auto"/>
        <w:left w:val="none" w:sz="0" w:space="0" w:color="auto"/>
        <w:bottom w:val="none" w:sz="0" w:space="0" w:color="auto"/>
        <w:right w:val="none" w:sz="0" w:space="0" w:color="auto"/>
      </w:divBdr>
    </w:div>
    <w:div w:id="136413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C14A6-34EA-48CC-95A5-F57A5063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5810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xiang li</cp:lastModifiedBy>
  <cp:revision>12</cp:revision>
  <dcterms:created xsi:type="dcterms:W3CDTF">2020-05-14T21:33:00Z</dcterms:created>
  <dcterms:modified xsi:type="dcterms:W3CDTF">2020-06-27T04:48:00Z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http://csl.mendeley.com/styles/212529021/american-medical-association-2</vt:lpwstr>
  </property>
  <property fmtid="{D5CDD505-2E9C-101B-9397-08002B2CF9AE}" pid="5" name="Mendeley Recent Style Name 1_1">
    <vt:lpwstr>American Medical Association - Pavan Patel</vt:lpwstr>
  </property>
  <property fmtid="{D5CDD505-2E9C-101B-9397-08002B2CF9AE}" pid="6" name="Mendeley Recent Style Id 2_1">
    <vt:lpwstr>http://csl.mendeley.com/styles/212529021/american-medical-association</vt:lpwstr>
  </property>
  <property fmtid="{D5CDD505-2E9C-101B-9397-08002B2CF9AE}" pid="7" name="Mendeley Recent Style Name 2_1">
    <vt:lpwstr>American Medical Association - Pavan Patel</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2969c8af-9e11-3cf9-b5c1-e7aa13014b88</vt:lpwstr>
  </property>
  <property fmtid="{D5CDD505-2E9C-101B-9397-08002B2CF9AE}" pid="24" name="Mendeley Citation Style_1">
    <vt:lpwstr>http://www.zotero.org/styles/world-journal-of-gastroenterology</vt:lpwstr>
  </property>
  <property fmtid="{D5CDD505-2E9C-101B-9397-08002B2CF9AE}" pid="25" name="KSOProductBuildVer">
    <vt:lpwstr>2052-11.1.0.9584</vt:lpwstr>
  </property>
</Properties>
</file>