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08E1" w14:textId="77777777" w:rsidR="0011433B" w:rsidRPr="00932A95" w:rsidRDefault="002F52BB" w:rsidP="00374FC0">
      <w:pPr>
        <w:adjustRightInd w:val="0"/>
        <w:snapToGrid w:val="0"/>
        <w:spacing w:line="360" w:lineRule="auto"/>
        <w:jc w:val="both"/>
        <w:rPr>
          <w:rFonts w:ascii="Book Antiqua" w:eastAsia="SimSun" w:hAnsi="Book Antiqua" w:cs="Book Antiqua"/>
          <w:b/>
          <w:bCs/>
          <w:i/>
          <w:color w:val="auto"/>
          <w:sz w:val="24"/>
          <w:szCs w:val="24"/>
          <w:lang w:val="en-US"/>
        </w:rPr>
      </w:pPr>
      <w:r w:rsidRPr="00932A95">
        <w:rPr>
          <w:rFonts w:ascii="Book Antiqua" w:eastAsia="SimSun" w:hAnsi="Book Antiqua" w:cs="Book Antiqua"/>
          <w:b/>
          <w:color w:val="auto"/>
          <w:sz w:val="24"/>
          <w:szCs w:val="24"/>
          <w:lang w:val="en-US"/>
        </w:rPr>
        <w:t xml:space="preserve">Name of Journal: </w:t>
      </w:r>
      <w:r w:rsidRPr="00932A95">
        <w:rPr>
          <w:rFonts w:ascii="Book Antiqua" w:eastAsia="SimSun" w:hAnsi="Book Antiqua" w:cs="Book Antiqua"/>
          <w:i/>
          <w:color w:val="auto"/>
          <w:sz w:val="24"/>
          <w:szCs w:val="24"/>
        </w:rPr>
        <w:t>World Journal of Hepatology</w:t>
      </w:r>
    </w:p>
    <w:p w14:paraId="3BFA8E42" w14:textId="77777777" w:rsidR="0011433B" w:rsidRPr="00932A95" w:rsidRDefault="002F52BB" w:rsidP="00374FC0">
      <w:pPr>
        <w:adjustRightInd w:val="0"/>
        <w:snapToGrid w:val="0"/>
        <w:spacing w:line="360" w:lineRule="auto"/>
        <w:jc w:val="both"/>
        <w:rPr>
          <w:rFonts w:ascii="Book Antiqua" w:eastAsia="SimSun" w:hAnsi="Book Antiqua" w:cs="Book Antiqua"/>
          <w:b/>
          <w:color w:val="auto"/>
          <w:sz w:val="24"/>
          <w:szCs w:val="24"/>
          <w:lang w:val="en-US"/>
        </w:rPr>
      </w:pPr>
      <w:r w:rsidRPr="00932A95">
        <w:rPr>
          <w:rFonts w:ascii="Book Antiqua" w:eastAsia="SimSun" w:hAnsi="Book Antiqua" w:cs="Book Antiqua"/>
          <w:b/>
          <w:color w:val="auto"/>
          <w:sz w:val="24"/>
          <w:szCs w:val="24"/>
          <w:lang w:val="en-US"/>
        </w:rPr>
        <w:t xml:space="preserve">Manuscript NO: </w:t>
      </w:r>
      <w:r w:rsidRPr="00932A95">
        <w:rPr>
          <w:rFonts w:ascii="Book Antiqua" w:hAnsi="Book Antiqua" w:cs="Book Antiqua"/>
          <w:color w:val="auto"/>
          <w:sz w:val="24"/>
          <w:szCs w:val="24"/>
        </w:rPr>
        <w:t>52666</w:t>
      </w:r>
    </w:p>
    <w:p w14:paraId="163050BF" w14:textId="77777777" w:rsidR="0011433B" w:rsidRPr="00932A95" w:rsidRDefault="002F52BB" w:rsidP="00374FC0">
      <w:pPr>
        <w:adjustRightInd w:val="0"/>
        <w:snapToGrid w:val="0"/>
        <w:spacing w:line="360" w:lineRule="auto"/>
        <w:jc w:val="both"/>
        <w:rPr>
          <w:rFonts w:ascii="Book Antiqua" w:eastAsia="SimSun" w:hAnsi="Book Antiqua" w:cs="Book Antiqua"/>
          <w:b/>
          <w:bCs/>
          <w:i/>
          <w:color w:val="auto"/>
          <w:sz w:val="24"/>
          <w:szCs w:val="24"/>
          <w:lang w:val="en-US"/>
        </w:rPr>
      </w:pPr>
      <w:r w:rsidRPr="00932A95">
        <w:rPr>
          <w:rFonts w:ascii="Book Antiqua" w:eastAsia="SimSun" w:hAnsi="Book Antiqua" w:cs="Book Antiqua"/>
          <w:b/>
          <w:color w:val="auto"/>
          <w:sz w:val="24"/>
          <w:szCs w:val="24"/>
          <w:shd w:val="clear" w:color="auto" w:fill="FFFFFF"/>
          <w:lang w:val="fr-FR"/>
        </w:rPr>
        <w:t>Manuscript Type</w:t>
      </w:r>
      <w:r w:rsidRPr="00932A95">
        <w:rPr>
          <w:rFonts w:ascii="Book Antiqua" w:eastAsia="SimSun" w:hAnsi="Book Antiqua" w:cs="Book Antiqua"/>
          <w:b/>
          <w:color w:val="auto"/>
          <w:sz w:val="24"/>
          <w:szCs w:val="24"/>
          <w:lang w:val="fr-FR"/>
        </w:rPr>
        <w:t>:</w:t>
      </w:r>
      <w:r w:rsidRPr="00932A95">
        <w:rPr>
          <w:rFonts w:ascii="Book Antiqua" w:eastAsia="SimSun" w:hAnsi="Book Antiqua" w:cs="Book Antiqua"/>
          <w:b/>
          <w:bCs/>
          <w:i/>
          <w:color w:val="auto"/>
          <w:sz w:val="24"/>
          <w:szCs w:val="24"/>
          <w:lang w:val="en-US"/>
        </w:rPr>
        <w:t xml:space="preserve"> </w:t>
      </w:r>
      <w:r w:rsidRPr="00932A95">
        <w:rPr>
          <w:rFonts w:ascii="Book Antiqua" w:eastAsia="SimSun" w:hAnsi="Book Antiqua" w:cs="Book Antiqua"/>
          <w:color w:val="auto"/>
          <w:sz w:val="24"/>
          <w:szCs w:val="24"/>
          <w:lang w:val="fr-FR"/>
        </w:rPr>
        <w:t>ORIGINAL ARTICLE</w:t>
      </w:r>
    </w:p>
    <w:p w14:paraId="56966FE6" w14:textId="77777777" w:rsidR="0011433B" w:rsidRPr="00932A95" w:rsidRDefault="0011433B" w:rsidP="00374FC0">
      <w:pPr>
        <w:snapToGrid w:val="0"/>
        <w:spacing w:line="360" w:lineRule="auto"/>
        <w:jc w:val="both"/>
        <w:rPr>
          <w:rFonts w:ascii="Book Antiqua" w:hAnsi="Book Antiqua" w:cs="Book Antiqua"/>
          <w:b/>
          <w:color w:val="auto"/>
          <w:sz w:val="24"/>
          <w:szCs w:val="24"/>
          <w:lang w:val="en-US"/>
        </w:rPr>
      </w:pPr>
    </w:p>
    <w:p w14:paraId="644FB374"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Book Antiqua"/>
          <w:b/>
          <w:i/>
          <w:color w:val="auto"/>
          <w:sz w:val="24"/>
          <w:szCs w:val="24"/>
        </w:rPr>
        <w:t>Retrospective Cohort Study</w:t>
      </w:r>
    </w:p>
    <w:p w14:paraId="60A44E5E" w14:textId="77777777" w:rsidR="0011433B" w:rsidRPr="00932A95" w:rsidRDefault="002F52BB" w:rsidP="00374FC0">
      <w:pPr>
        <w:pStyle w:val="PlainText"/>
        <w:spacing w:line="360" w:lineRule="auto"/>
        <w:jc w:val="both"/>
        <w:outlineLvl w:val="0"/>
        <w:rPr>
          <w:rFonts w:ascii="Book Antiqua" w:hAnsi="Book Antiqua" w:cs="Book Antiqua"/>
          <w:b/>
          <w:sz w:val="24"/>
          <w:szCs w:val="24"/>
        </w:rPr>
      </w:pPr>
      <w:r w:rsidRPr="00932A95">
        <w:rPr>
          <w:rFonts w:ascii="Book Antiqua" w:hAnsi="Book Antiqua" w:cs="Book Antiqua"/>
          <w:b/>
          <w:sz w:val="24"/>
          <w:szCs w:val="24"/>
        </w:rPr>
        <w:t xml:space="preserve">Hospital teaching status on the outcomes of patients with esophageal variceal bleeding in the </w:t>
      </w:r>
      <w:r w:rsidR="00E23359" w:rsidRPr="00932A95">
        <w:rPr>
          <w:rFonts w:ascii="Book Antiqua" w:hAnsi="Book Antiqua" w:cs="Book Antiqua"/>
          <w:b/>
          <w:sz w:val="24"/>
          <w:szCs w:val="24"/>
          <w:lang w:val="en"/>
        </w:rPr>
        <w:t>United States</w:t>
      </w:r>
    </w:p>
    <w:p w14:paraId="1A5F5533" w14:textId="77777777" w:rsidR="0011433B" w:rsidRPr="00932A95" w:rsidRDefault="0011433B" w:rsidP="00374FC0">
      <w:pPr>
        <w:pStyle w:val="PlainText"/>
        <w:spacing w:line="360" w:lineRule="auto"/>
        <w:jc w:val="both"/>
        <w:outlineLvl w:val="0"/>
        <w:rPr>
          <w:rFonts w:ascii="Book Antiqua" w:hAnsi="Book Antiqua" w:cs="Book Antiqua"/>
          <w:b/>
          <w:sz w:val="24"/>
          <w:szCs w:val="24"/>
        </w:rPr>
      </w:pPr>
    </w:p>
    <w:p w14:paraId="56545254" w14:textId="77777777" w:rsidR="0011433B" w:rsidRPr="00932A95" w:rsidRDefault="002F52BB" w:rsidP="00374FC0">
      <w:pPr>
        <w:spacing w:line="360" w:lineRule="auto"/>
        <w:jc w:val="both"/>
        <w:outlineLvl w:val="0"/>
        <w:rPr>
          <w:rFonts w:ascii="Book Antiqua" w:hAnsi="Book Antiqua" w:cs="Book Antiqua"/>
          <w:color w:val="auto"/>
          <w:sz w:val="24"/>
          <w:szCs w:val="24"/>
        </w:rPr>
      </w:pPr>
      <w:r w:rsidRPr="00932A95">
        <w:rPr>
          <w:rFonts w:ascii="Book Antiqua" w:hAnsi="Book Antiqua" w:cs="Book Antiqua"/>
          <w:color w:val="auto"/>
          <w:sz w:val="24"/>
          <w:szCs w:val="24"/>
        </w:rPr>
        <w:t>Patel</w:t>
      </w:r>
      <w:r w:rsidRPr="00932A95">
        <w:rPr>
          <w:rFonts w:ascii="Book Antiqua" w:eastAsia="SimSun" w:hAnsi="Book Antiqua" w:cs="Book Antiqua"/>
          <w:color w:val="auto"/>
          <w:sz w:val="24"/>
          <w:szCs w:val="24"/>
          <w:lang w:val="en-US" w:eastAsia="zh-CN"/>
        </w:rPr>
        <w:t xml:space="preserve"> </w:t>
      </w:r>
      <w:r w:rsidRPr="00932A95">
        <w:rPr>
          <w:rFonts w:ascii="Book Antiqua" w:hAnsi="Book Antiqua" w:cs="Book Antiqua"/>
          <w:color w:val="auto"/>
          <w:sz w:val="24"/>
          <w:szCs w:val="24"/>
        </w:rPr>
        <w:t xml:space="preserve">P </w:t>
      </w:r>
      <w:r w:rsidRPr="00932A95">
        <w:rPr>
          <w:rFonts w:ascii="Book Antiqua" w:hAnsi="Book Antiqua" w:cs="Book Antiqua"/>
          <w:i/>
          <w:color w:val="auto"/>
          <w:sz w:val="24"/>
          <w:szCs w:val="24"/>
        </w:rPr>
        <w:t>et al.</w:t>
      </w:r>
      <w:r w:rsidRPr="00932A95">
        <w:rPr>
          <w:rFonts w:ascii="Book Antiqua" w:hAnsi="Book Antiqua" w:cs="Book Antiqua"/>
          <w:color w:val="auto"/>
          <w:sz w:val="24"/>
          <w:szCs w:val="24"/>
        </w:rPr>
        <w:t xml:space="preserve"> Outcomes of variceal bleeding</w:t>
      </w:r>
    </w:p>
    <w:p w14:paraId="7BE74152" w14:textId="77777777" w:rsidR="0011433B" w:rsidRPr="00932A95" w:rsidRDefault="0011433B" w:rsidP="00374FC0">
      <w:pPr>
        <w:spacing w:line="360" w:lineRule="auto"/>
        <w:jc w:val="both"/>
        <w:outlineLvl w:val="0"/>
        <w:rPr>
          <w:rFonts w:ascii="Book Antiqua" w:hAnsi="Book Antiqua" w:cs="Book Antiqua"/>
          <w:color w:val="auto"/>
          <w:sz w:val="24"/>
          <w:szCs w:val="24"/>
        </w:rPr>
      </w:pPr>
    </w:p>
    <w:p w14:paraId="71C1DAB3" w14:textId="77777777" w:rsidR="0011433B" w:rsidRPr="00932A95" w:rsidRDefault="002F52BB" w:rsidP="00374FC0">
      <w:pPr>
        <w:spacing w:line="360" w:lineRule="auto"/>
        <w:jc w:val="both"/>
        <w:outlineLvl w:val="0"/>
        <w:rPr>
          <w:rFonts w:ascii="Book Antiqua" w:hAnsi="Book Antiqua" w:cs="Book Antiqua"/>
          <w:color w:val="auto"/>
          <w:sz w:val="24"/>
          <w:szCs w:val="24"/>
        </w:rPr>
      </w:pPr>
      <w:r w:rsidRPr="00932A95">
        <w:rPr>
          <w:rFonts w:ascii="Book Antiqua" w:hAnsi="Book Antiqua" w:cs="Book Antiqua"/>
          <w:color w:val="auto"/>
          <w:sz w:val="24"/>
          <w:szCs w:val="24"/>
        </w:rPr>
        <w:t xml:space="preserve">Pavan Patel, Laura </w:t>
      </w:r>
      <w:proofErr w:type="spellStart"/>
      <w:r w:rsidRPr="00932A95">
        <w:rPr>
          <w:rFonts w:ascii="Book Antiqua" w:hAnsi="Book Antiqua" w:cs="Book Antiqua"/>
          <w:color w:val="auto"/>
          <w:sz w:val="24"/>
          <w:szCs w:val="24"/>
        </w:rPr>
        <w:t>Rotundo</w:t>
      </w:r>
      <w:proofErr w:type="spellEnd"/>
      <w:r w:rsidRPr="00932A95">
        <w:rPr>
          <w:rFonts w:ascii="Book Antiqua" w:hAnsi="Book Antiqua" w:cs="Book Antiqua"/>
          <w:color w:val="auto"/>
          <w:sz w:val="24"/>
          <w:szCs w:val="24"/>
        </w:rPr>
        <w:t xml:space="preserve">, </w:t>
      </w:r>
      <w:proofErr w:type="spellStart"/>
      <w:r w:rsidRPr="00932A95">
        <w:rPr>
          <w:rFonts w:ascii="Book Antiqua" w:hAnsi="Book Antiqua" w:cs="Book Antiqua"/>
          <w:color w:val="auto"/>
          <w:sz w:val="24"/>
          <w:szCs w:val="24"/>
        </w:rPr>
        <w:t>Faiz</w:t>
      </w:r>
      <w:proofErr w:type="spellEnd"/>
      <w:r w:rsidRPr="00932A95">
        <w:rPr>
          <w:rFonts w:ascii="Book Antiqua" w:hAnsi="Book Antiqua" w:cs="Book Antiqua"/>
          <w:color w:val="auto"/>
          <w:sz w:val="24"/>
          <w:szCs w:val="24"/>
        </w:rPr>
        <w:t xml:space="preserve"> Afridi, Evan </w:t>
      </w:r>
      <w:proofErr w:type="spellStart"/>
      <w:r w:rsidRPr="00932A95">
        <w:rPr>
          <w:rFonts w:ascii="Book Antiqua" w:hAnsi="Book Antiqua" w:cs="Book Antiqua"/>
          <w:color w:val="auto"/>
          <w:sz w:val="24"/>
          <w:szCs w:val="24"/>
        </w:rPr>
        <w:t>Orosz</w:t>
      </w:r>
      <w:proofErr w:type="spellEnd"/>
      <w:r w:rsidRPr="00932A95">
        <w:rPr>
          <w:rFonts w:ascii="Book Antiqua" w:hAnsi="Book Antiqua" w:cs="Book Antiqua"/>
          <w:color w:val="auto"/>
          <w:sz w:val="24"/>
          <w:szCs w:val="24"/>
        </w:rPr>
        <w:t xml:space="preserve">, Nikolaos </w:t>
      </w:r>
      <w:proofErr w:type="spellStart"/>
      <w:r w:rsidRPr="00932A95">
        <w:rPr>
          <w:rFonts w:ascii="Book Antiqua" w:hAnsi="Book Antiqua" w:cs="Book Antiqua"/>
          <w:color w:val="auto"/>
          <w:sz w:val="24"/>
          <w:szCs w:val="24"/>
        </w:rPr>
        <w:t>Pyrsopoulos</w:t>
      </w:r>
      <w:proofErr w:type="spellEnd"/>
    </w:p>
    <w:p w14:paraId="34F0053B" w14:textId="77777777" w:rsidR="0011433B" w:rsidRPr="00932A95" w:rsidRDefault="0011433B" w:rsidP="00374FC0">
      <w:pPr>
        <w:spacing w:line="360" w:lineRule="auto"/>
        <w:jc w:val="both"/>
        <w:outlineLvl w:val="0"/>
        <w:rPr>
          <w:rFonts w:ascii="Book Antiqua" w:hAnsi="Book Antiqua" w:cs="Book Antiqua"/>
          <w:b/>
          <w:color w:val="auto"/>
          <w:sz w:val="24"/>
          <w:szCs w:val="24"/>
        </w:rPr>
      </w:pPr>
    </w:p>
    <w:p w14:paraId="77057A2D" w14:textId="77777777" w:rsidR="0011433B" w:rsidRPr="00932A95" w:rsidRDefault="002F52BB" w:rsidP="00374FC0">
      <w:pPr>
        <w:spacing w:line="360" w:lineRule="auto"/>
        <w:jc w:val="both"/>
        <w:rPr>
          <w:rFonts w:ascii="Book Antiqua" w:hAnsi="Book Antiqua" w:cs="Book Antiqua"/>
          <w:color w:val="auto"/>
          <w:sz w:val="24"/>
          <w:szCs w:val="24"/>
          <w:lang w:val="en-US"/>
        </w:rPr>
      </w:pPr>
      <w:r w:rsidRPr="00932A95">
        <w:rPr>
          <w:rFonts w:ascii="Book Antiqua" w:hAnsi="Book Antiqua" w:cs="Book Antiqua"/>
          <w:b/>
          <w:color w:val="auto"/>
          <w:sz w:val="24"/>
          <w:szCs w:val="24"/>
        </w:rPr>
        <w:t>Pavan Patel</w:t>
      </w:r>
      <w:r w:rsidRPr="00932A95">
        <w:rPr>
          <w:rFonts w:ascii="Book Antiqua" w:hAnsi="Book Antiqua" w:cs="Book Antiqua"/>
          <w:color w:val="auto"/>
          <w:sz w:val="24"/>
          <w:szCs w:val="24"/>
        </w:rPr>
        <w:t xml:space="preserve">, </w:t>
      </w:r>
      <w:proofErr w:type="spellStart"/>
      <w:r w:rsidRPr="00932A95">
        <w:rPr>
          <w:rFonts w:ascii="Book Antiqua" w:hAnsi="Book Antiqua" w:cs="Book Antiqua"/>
          <w:b/>
          <w:color w:val="auto"/>
          <w:sz w:val="24"/>
          <w:szCs w:val="24"/>
        </w:rPr>
        <w:t>Faiz</w:t>
      </w:r>
      <w:proofErr w:type="spellEnd"/>
      <w:r w:rsidRPr="00932A95">
        <w:rPr>
          <w:rFonts w:ascii="Book Antiqua" w:hAnsi="Book Antiqua" w:cs="Book Antiqua"/>
          <w:b/>
          <w:color w:val="auto"/>
          <w:sz w:val="24"/>
          <w:szCs w:val="24"/>
        </w:rPr>
        <w:t xml:space="preserve"> Afridi,</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 xml:space="preserve">Nikolaos </w:t>
      </w:r>
      <w:proofErr w:type="spellStart"/>
      <w:r w:rsidRPr="00932A95">
        <w:rPr>
          <w:rFonts w:ascii="Book Antiqua" w:hAnsi="Book Antiqua" w:cs="Book Antiqua"/>
          <w:b/>
          <w:color w:val="auto"/>
          <w:sz w:val="24"/>
          <w:szCs w:val="24"/>
        </w:rPr>
        <w:t>Pyrsopoulos</w:t>
      </w:r>
      <w:proofErr w:type="spellEnd"/>
      <w:r w:rsidRPr="00932A95">
        <w:rPr>
          <w:rFonts w:ascii="Book Antiqua" w:hAnsi="Book Antiqua" w:cs="Book Antiqua"/>
          <w:color w:val="auto"/>
          <w:sz w:val="24"/>
          <w:szCs w:val="24"/>
        </w:rPr>
        <w:t>, Division of Gastroenterology and Hepatology, Rutgers</w:t>
      </w:r>
      <w:r w:rsidRPr="00932A95">
        <w:rPr>
          <w:rFonts w:ascii="Book Antiqua" w:eastAsia="SimSun" w:hAnsi="Book Antiqua" w:cs="Book Antiqua" w:hint="eastAsia"/>
          <w:color w:val="auto"/>
          <w:sz w:val="24"/>
          <w:szCs w:val="24"/>
          <w:lang w:val="en-US" w:eastAsia="zh-CN"/>
        </w:rPr>
        <w:t xml:space="preserve"> </w:t>
      </w:r>
      <w:r w:rsidRPr="00932A95">
        <w:rPr>
          <w:rFonts w:ascii="Book Antiqua" w:hAnsi="Book Antiqua" w:cs="Book Antiqua"/>
          <w:color w:val="auto"/>
          <w:sz w:val="24"/>
          <w:szCs w:val="24"/>
        </w:rPr>
        <w:t xml:space="preserve">- New Jersey Medical School, Newark, NJ 07101-1709, </w:t>
      </w:r>
      <w:r w:rsidRPr="00932A95">
        <w:rPr>
          <w:rFonts w:ascii="Book Antiqua" w:hAnsi="Book Antiqua" w:cs="Book Antiqua"/>
          <w:color w:val="auto"/>
          <w:sz w:val="24"/>
          <w:szCs w:val="24"/>
          <w:lang w:val="en-US"/>
        </w:rPr>
        <w:t>United States</w:t>
      </w:r>
    </w:p>
    <w:p w14:paraId="282D1712" w14:textId="77777777" w:rsidR="0011433B" w:rsidRPr="00932A95" w:rsidRDefault="0011433B" w:rsidP="00374FC0">
      <w:pPr>
        <w:spacing w:line="360" w:lineRule="auto"/>
        <w:jc w:val="both"/>
        <w:outlineLvl w:val="0"/>
        <w:rPr>
          <w:rFonts w:ascii="Book Antiqua" w:hAnsi="Book Antiqua" w:cs="Book Antiqua"/>
          <w:b/>
          <w:color w:val="auto"/>
          <w:sz w:val="24"/>
          <w:szCs w:val="24"/>
        </w:rPr>
      </w:pPr>
    </w:p>
    <w:p w14:paraId="64DAD7CB" w14:textId="77777777" w:rsidR="0011433B" w:rsidRPr="00932A95" w:rsidRDefault="002F52BB" w:rsidP="00374FC0">
      <w:pPr>
        <w:spacing w:line="360" w:lineRule="auto"/>
        <w:jc w:val="both"/>
        <w:outlineLvl w:val="0"/>
        <w:rPr>
          <w:rFonts w:ascii="Book Antiqua" w:hAnsi="Book Antiqua" w:cs="Book Antiqua"/>
          <w:color w:val="auto"/>
          <w:sz w:val="24"/>
          <w:szCs w:val="24"/>
          <w:lang w:val="en-US"/>
        </w:rPr>
      </w:pPr>
      <w:r w:rsidRPr="00932A95">
        <w:rPr>
          <w:rFonts w:ascii="Book Antiqua" w:hAnsi="Book Antiqua" w:cs="Book Antiqua"/>
          <w:b/>
          <w:color w:val="auto"/>
          <w:sz w:val="24"/>
          <w:szCs w:val="24"/>
        </w:rPr>
        <w:t xml:space="preserve">Laura </w:t>
      </w:r>
      <w:proofErr w:type="spellStart"/>
      <w:r w:rsidRPr="00932A95">
        <w:rPr>
          <w:rFonts w:ascii="Book Antiqua" w:hAnsi="Book Antiqua" w:cs="Book Antiqua"/>
          <w:b/>
          <w:color w:val="auto"/>
          <w:sz w:val="24"/>
          <w:szCs w:val="24"/>
        </w:rPr>
        <w:t>Rotundo</w:t>
      </w:r>
      <w:proofErr w:type="spellEnd"/>
      <w:r w:rsidRPr="00932A95">
        <w:rPr>
          <w:rFonts w:ascii="Book Antiqua" w:hAnsi="Book Antiqua" w:cs="Book Antiqua"/>
          <w:b/>
          <w:color w:val="auto"/>
          <w:sz w:val="24"/>
          <w:szCs w:val="24"/>
          <w:lang w:val="en-US"/>
        </w:rPr>
        <w:t>,</w:t>
      </w:r>
      <w:r w:rsidRPr="00932A95">
        <w:rPr>
          <w:rFonts w:ascii="Book Antiqua" w:hAnsi="Book Antiqua" w:cs="Book Antiqua"/>
          <w:b/>
          <w:color w:val="auto"/>
          <w:sz w:val="24"/>
          <w:szCs w:val="24"/>
        </w:rPr>
        <w:t xml:space="preserve"> Evan </w:t>
      </w:r>
      <w:proofErr w:type="spellStart"/>
      <w:r w:rsidRPr="00932A95">
        <w:rPr>
          <w:rFonts w:ascii="Book Antiqua" w:hAnsi="Book Antiqua" w:cs="Book Antiqua"/>
          <w:b/>
          <w:color w:val="auto"/>
          <w:sz w:val="24"/>
          <w:szCs w:val="24"/>
        </w:rPr>
        <w:t>Orosz</w:t>
      </w:r>
      <w:proofErr w:type="spellEnd"/>
      <w:r w:rsidRPr="00932A95">
        <w:rPr>
          <w:rFonts w:ascii="Book Antiqua" w:hAnsi="Book Antiqua" w:cs="Book Antiqua"/>
          <w:color w:val="auto"/>
          <w:sz w:val="24"/>
          <w:szCs w:val="24"/>
        </w:rPr>
        <w:t>, Department of Medicine, Rutgers</w:t>
      </w:r>
      <w:r w:rsidRPr="00932A95">
        <w:rPr>
          <w:rFonts w:ascii="Book Antiqua" w:eastAsia="SimSun" w:hAnsi="Book Antiqua" w:cs="Book Antiqua" w:hint="eastAsia"/>
          <w:color w:val="auto"/>
          <w:sz w:val="24"/>
          <w:szCs w:val="24"/>
          <w:lang w:val="en-US" w:eastAsia="zh-CN"/>
        </w:rPr>
        <w:t xml:space="preserve"> </w:t>
      </w:r>
      <w:r w:rsidRPr="00932A95">
        <w:rPr>
          <w:rFonts w:ascii="Book Antiqua" w:hAnsi="Book Antiqua" w:cs="Book Antiqua"/>
          <w:color w:val="auto"/>
          <w:sz w:val="24"/>
          <w:szCs w:val="24"/>
        </w:rPr>
        <w:t xml:space="preserve">- New Jersey Medical School, Newark, NJ 07101-1709, </w:t>
      </w:r>
      <w:r w:rsidRPr="00932A95">
        <w:rPr>
          <w:rFonts w:ascii="Book Antiqua" w:hAnsi="Book Antiqua" w:cs="Book Antiqua"/>
          <w:color w:val="auto"/>
          <w:sz w:val="24"/>
          <w:szCs w:val="24"/>
          <w:lang w:val="en-US"/>
        </w:rPr>
        <w:t>United States</w:t>
      </w:r>
    </w:p>
    <w:p w14:paraId="3A9560D0" w14:textId="77777777" w:rsidR="0011433B" w:rsidRPr="00932A95" w:rsidRDefault="0011433B" w:rsidP="00374FC0">
      <w:pPr>
        <w:spacing w:line="360" w:lineRule="auto"/>
        <w:jc w:val="both"/>
        <w:rPr>
          <w:rFonts w:ascii="Book Antiqua" w:hAnsi="Book Antiqua" w:cs="Book Antiqua"/>
          <w:color w:val="auto"/>
          <w:sz w:val="24"/>
          <w:szCs w:val="24"/>
        </w:rPr>
      </w:pPr>
    </w:p>
    <w:p w14:paraId="0FAFCBC8" w14:textId="77777777" w:rsidR="0011433B" w:rsidRPr="00932A95" w:rsidRDefault="002F52BB" w:rsidP="00374FC0">
      <w:pPr>
        <w:spacing w:line="360" w:lineRule="auto"/>
        <w:jc w:val="both"/>
        <w:rPr>
          <w:rFonts w:ascii="Book Antiqua" w:hAnsi="Book Antiqua" w:cs="Book Antiqua"/>
          <w:bCs/>
          <w:color w:val="auto"/>
          <w:sz w:val="24"/>
          <w:szCs w:val="24"/>
          <w:lang w:val="en-US"/>
        </w:rPr>
      </w:pPr>
      <w:r w:rsidRPr="00932A95">
        <w:rPr>
          <w:rFonts w:ascii="Book Antiqua" w:hAnsi="Book Antiqua" w:cs="Times New Roman"/>
          <w:b/>
          <w:color w:val="auto"/>
          <w:sz w:val="24"/>
          <w:szCs w:val="24"/>
        </w:rPr>
        <w:t>Author contributions:</w:t>
      </w:r>
      <w:r w:rsidRPr="00932A95">
        <w:rPr>
          <w:rFonts w:ascii="Book Antiqua" w:hAnsi="Book Antiqua" w:cs="Book Antiqua"/>
          <w:color w:val="auto"/>
          <w:sz w:val="24"/>
          <w:szCs w:val="24"/>
          <w:lang w:val="en-US"/>
        </w:rPr>
        <w:t xml:space="preserve"> </w:t>
      </w:r>
      <w:r w:rsidRPr="00932A95">
        <w:rPr>
          <w:rFonts w:ascii="Book Antiqua" w:hAnsi="Book Antiqua" w:cs="Book Antiqua"/>
          <w:bCs/>
          <w:color w:val="auto"/>
          <w:sz w:val="24"/>
          <w:szCs w:val="24"/>
        </w:rPr>
        <w:t>Patel P</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provided conception and design of the study, acquisition and analysis of data, and drafting of the manuscript;</w:t>
      </w:r>
      <w:r w:rsidRPr="00932A95">
        <w:rPr>
          <w:rFonts w:ascii="Book Antiqua" w:hAnsi="Book Antiqua" w:cs="Book Antiqua"/>
          <w:bCs/>
          <w:color w:val="auto"/>
          <w:sz w:val="24"/>
          <w:szCs w:val="24"/>
          <w:lang w:val="en-US"/>
        </w:rPr>
        <w:t xml:space="preserve"> </w:t>
      </w:r>
      <w:proofErr w:type="spellStart"/>
      <w:r w:rsidRPr="00932A95">
        <w:rPr>
          <w:rFonts w:ascii="Book Antiqua" w:hAnsi="Book Antiqua" w:cs="Book Antiqua"/>
          <w:bCs/>
          <w:color w:val="auto"/>
          <w:sz w:val="24"/>
          <w:szCs w:val="24"/>
        </w:rPr>
        <w:t>Rotundo</w:t>
      </w:r>
      <w:proofErr w:type="spellEnd"/>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L,</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Afridi</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F and</w:t>
      </w:r>
      <w:r w:rsidRPr="00932A95">
        <w:rPr>
          <w:rFonts w:ascii="Book Antiqua" w:hAnsi="Book Antiqua" w:cs="Book Antiqua"/>
          <w:bCs/>
          <w:color w:val="auto"/>
          <w:sz w:val="24"/>
          <w:szCs w:val="24"/>
          <w:lang w:val="en-US"/>
        </w:rPr>
        <w:t xml:space="preserve"> </w:t>
      </w:r>
      <w:proofErr w:type="spellStart"/>
      <w:r w:rsidRPr="00932A95">
        <w:rPr>
          <w:rFonts w:ascii="Book Antiqua" w:hAnsi="Book Antiqua" w:cs="Book Antiqua"/>
          <w:bCs/>
          <w:color w:val="auto"/>
          <w:sz w:val="24"/>
          <w:szCs w:val="24"/>
        </w:rPr>
        <w:t>Orosz</w:t>
      </w:r>
      <w:proofErr w:type="spellEnd"/>
      <w:r w:rsidRPr="00932A95">
        <w:rPr>
          <w:rFonts w:ascii="Book Antiqua" w:hAnsi="Book Antiqua" w:cs="Book Antiqua"/>
          <w:bCs/>
          <w:color w:val="auto"/>
          <w:sz w:val="24"/>
          <w:szCs w:val="24"/>
        </w:rPr>
        <w:t xml:space="preserve"> E</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drafted the manuscript;</w:t>
      </w:r>
      <w:r w:rsidRPr="00932A95">
        <w:rPr>
          <w:rFonts w:ascii="Book Antiqua" w:hAnsi="Book Antiqua" w:cs="Book Antiqua"/>
          <w:bCs/>
          <w:color w:val="auto"/>
          <w:sz w:val="24"/>
          <w:szCs w:val="24"/>
          <w:lang w:val="en-US"/>
        </w:rPr>
        <w:t xml:space="preserve"> </w:t>
      </w:r>
      <w:proofErr w:type="spellStart"/>
      <w:r w:rsidRPr="00932A95">
        <w:rPr>
          <w:rFonts w:ascii="Book Antiqua" w:hAnsi="Book Antiqua" w:cs="Book Antiqua"/>
          <w:bCs/>
          <w:color w:val="auto"/>
          <w:sz w:val="24"/>
          <w:szCs w:val="24"/>
        </w:rPr>
        <w:t>Pyrsopoulos</w:t>
      </w:r>
      <w:proofErr w:type="spellEnd"/>
      <w:r w:rsidRPr="00932A95">
        <w:rPr>
          <w:rFonts w:ascii="Book Antiqua" w:hAnsi="Book Antiqua" w:cs="Book Antiqua"/>
          <w:bCs/>
          <w:color w:val="auto"/>
          <w:sz w:val="24"/>
          <w:szCs w:val="24"/>
        </w:rPr>
        <w:t xml:space="preserve"> N</w:t>
      </w:r>
      <w:r w:rsidRPr="00932A95">
        <w:rPr>
          <w:rFonts w:ascii="Book Antiqua" w:hAnsi="Book Antiqua" w:cs="Book Antiqua"/>
          <w:bCs/>
          <w:color w:val="auto"/>
          <w:sz w:val="24"/>
          <w:szCs w:val="24"/>
          <w:lang w:val="en-US"/>
        </w:rPr>
        <w:t xml:space="preserve"> </w:t>
      </w:r>
      <w:r w:rsidRPr="00932A95">
        <w:rPr>
          <w:rFonts w:ascii="Book Antiqua" w:hAnsi="Book Antiqua" w:cs="Book Antiqua"/>
          <w:bCs/>
          <w:color w:val="auto"/>
          <w:sz w:val="24"/>
          <w:szCs w:val="24"/>
        </w:rPr>
        <w:t>contributed to the manuscript by providing revision and oversight of its writing</w:t>
      </w:r>
      <w:r w:rsidRPr="00932A95">
        <w:rPr>
          <w:rFonts w:ascii="Book Antiqua" w:hAnsi="Book Antiqua" w:cs="Book Antiqua"/>
          <w:bCs/>
          <w:color w:val="auto"/>
          <w:sz w:val="24"/>
          <w:szCs w:val="24"/>
          <w:lang w:val="en-US"/>
        </w:rPr>
        <w:t>.</w:t>
      </w:r>
    </w:p>
    <w:p w14:paraId="66295E51" w14:textId="77777777" w:rsidR="0011433B" w:rsidRPr="00932A95" w:rsidRDefault="0011433B" w:rsidP="00374FC0">
      <w:pPr>
        <w:spacing w:line="360" w:lineRule="auto"/>
        <w:jc w:val="both"/>
        <w:rPr>
          <w:rFonts w:ascii="Book Antiqua" w:hAnsi="Book Antiqua" w:cs="Book Antiqua"/>
          <w:color w:val="auto"/>
          <w:sz w:val="24"/>
          <w:szCs w:val="24"/>
        </w:rPr>
      </w:pPr>
    </w:p>
    <w:p w14:paraId="5C143F2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Times New Roman"/>
          <w:b/>
          <w:color w:val="auto"/>
          <w:sz w:val="24"/>
          <w:szCs w:val="24"/>
        </w:rPr>
        <w:t>Corresponding author:</w:t>
      </w:r>
      <w:r w:rsidRPr="00932A95">
        <w:rPr>
          <w:rFonts w:ascii="Book Antiqua" w:hAnsi="Book Antiqua" w:cs="Book Antiqua"/>
          <w:color w:val="auto"/>
          <w:sz w:val="24"/>
          <w:szCs w:val="24"/>
          <w:lang w:val="en-US"/>
        </w:rPr>
        <w:t xml:space="preserve"> </w:t>
      </w:r>
      <w:r w:rsidRPr="00654EE3">
        <w:rPr>
          <w:rFonts w:ascii="Book Antiqua" w:hAnsi="Book Antiqua" w:cs="Book Antiqua"/>
          <w:b/>
          <w:color w:val="auto"/>
          <w:sz w:val="24"/>
          <w:szCs w:val="24"/>
        </w:rPr>
        <w:t xml:space="preserve">Nikolaos </w:t>
      </w:r>
      <w:proofErr w:type="spellStart"/>
      <w:r w:rsidRPr="00654EE3">
        <w:rPr>
          <w:rFonts w:ascii="Book Antiqua" w:hAnsi="Book Antiqua" w:cs="Book Antiqua"/>
          <w:b/>
          <w:color w:val="auto"/>
          <w:sz w:val="24"/>
          <w:szCs w:val="24"/>
        </w:rPr>
        <w:t>Pyrsopoulos</w:t>
      </w:r>
      <w:proofErr w:type="spellEnd"/>
      <w:r w:rsidRPr="00654EE3">
        <w:rPr>
          <w:rFonts w:ascii="Book Antiqua" w:hAnsi="Book Antiqua" w:cs="Book Antiqua"/>
          <w:b/>
          <w:color w:val="auto"/>
          <w:sz w:val="24"/>
          <w:szCs w:val="24"/>
        </w:rPr>
        <w:t xml:space="preserve">, </w:t>
      </w:r>
      <w:r w:rsidR="00654EE3" w:rsidRPr="00654EE3">
        <w:rPr>
          <w:rFonts w:ascii="Book Antiqua" w:hAnsi="Book Antiqua" w:cs="Book Antiqua"/>
          <w:b/>
          <w:color w:val="auto"/>
          <w:sz w:val="24"/>
          <w:szCs w:val="24"/>
        </w:rPr>
        <w:t xml:space="preserve">FACP, MD, PhD, </w:t>
      </w:r>
      <w:r w:rsidRPr="00654EE3">
        <w:rPr>
          <w:rFonts w:ascii="Book Antiqua" w:hAnsi="Book Antiqua" w:cs="Book Antiqua"/>
          <w:b/>
          <w:color w:val="auto"/>
          <w:sz w:val="24"/>
          <w:szCs w:val="24"/>
        </w:rPr>
        <w:t>Chief</w:t>
      </w:r>
      <w:r w:rsidR="00654EE3" w:rsidRPr="00654EE3">
        <w:rPr>
          <w:rFonts w:ascii="Book Antiqua" w:hAnsi="Book Antiqua" w:cs="Book Antiqua"/>
          <w:b/>
          <w:color w:val="auto"/>
          <w:sz w:val="24"/>
          <w:szCs w:val="24"/>
        </w:rPr>
        <w:t xml:space="preserve"> Doctor, Professor</w:t>
      </w:r>
      <w:r w:rsidRPr="00654EE3">
        <w:rPr>
          <w:rFonts w:ascii="Book Antiqua" w:hAnsi="Book Antiqua" w:cs="Book Antiqua"/>
          <w:b/>
          <w:color w:val="auto"/>
          <w:sz w:val="24"/>
          <w:szCs w:val="24"/>
        </w:rPr>
        <w:t xml:space="preserve">, </w:t>
      </w:r>
      <w:r w:rsidRPr="00752434">
        <w:rPr>
          <w:rFonts w:ascii="Book Antiqua" w:hAnsi="Book Antiqua" w:cs="Book Antiqua"/>
          <w:color w:val="auto"/>
          <w:sz w:val="24"/>
          <w:szCs w:val="24"/>
        </w:rPr>
        <w:t>Division of Gastroenterology and Hepatology</w:t>
      </w:r>
      <w:r w:rsidRPr="00932A95">
        <w:rPr>
          <w:rFonts w:ascii="Book Antiqua" w:hAnsi="Book Antiqua" w:cs="Book Antiqua"/>
          <w:color w:val="auto"/>
          <w:sz w:val="24"/>
          <w:szCs w:val="24"/>
        </w:rPr>
        <w:t xml:space="preserve">, Rutgers – New Jersey Medical School, </w:t>
      </w:r>
      <w:r w:rsidR="00752434" w:rsidRPr="00752434">
        <w:rPr>
          <w:rFonts w:ascii="Book Antiqua" w:hAnsi="Book Antiqua" w:cs="Book Antiqua"/>
          <w:color w:val="auto"/>
          <w:sz w:val="24"/>
          <w:szCs w:val="24"/>
        </w:rPr>
        <w:t>185 S. Orange Avenue, MSB H-535</w:t>
      </w:r>
      <w:r w:rsidR="00752434">
        <w:rPr>
          <w:rFonts w:ascii="Book Antiqua" w:hAnsi="Book Antiqua" w:cs="Book Antiqua"/>
          <w:color w:val="auto"/>
          <w:sz w:val="24"/>
          <w:szCs w:val="24"/>
        </w:rPr>
        <w:t xml:space="preserve">, </w:t>
      </w:r>
      <w:r w:rsidRPr="00932A95">
        <w:rPr>
          <w:rFonts w:ascii="Book Antiqua" w:hAnsi="Book Antiqua" w:cs="Book Antiqua"/>
          <w:color w:val="auto"/>
          <w:sz w:val="24"/>
          <w:szCs w:val="24"/>
        </w:rPr>
        <w:t>Newark</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 xml:space="preserve"> NJ 07101-1709, </w:t>
      </w:r>
      <w:r w:rsidRPr="00932A95">
        <w:rPr>
          <w:rFonts w:ascii="Book Antiqua" w:hAnsi="Book Antiqua" w:cs="Book Antiqua"/>
          <w:color w:val="auto"/>
          <w:sz w:val="24"/>
          <w:szCs w:val="24"/>
          <w:lang w:val="en-US"/>
        </w:rPr>
        <w:t xml:space="preserve">United States. </w:t>
      </w:r>
      <w:hyperlink r:id="rId8" w:history="1">
        <w:r w:rsidRPr="00932A95">
          <w:rPr>
            <w:rStyle w:val="Hyperlink"/>
            <w:rFonts w:ascii="Book Antiqua" w:hAnsi="Book Antiqua" w:cs="Book Antiqua"/>
            <w:color w:val="auto"/>
            <w:sz w:val="24"/>
            <w:szCs w:val="24"/>
          </w:rPr>
          <w:t>pyrsopni@njms.rutgers.edu</w:t>
        </w:r>
      </w:hyperlink>
    </w:p>
    <w:p w14:paraId="0FC70945" w14:textId="77777777" w:rsidR="0011433B" w:rsidRPr="00932A95" w:rsidRDefault="0011433B" w:rsidP="00374FC0">
      <w:pPr>
        <w:spacing w:line="360" w:lineRule="auto"/>
        <w:jc w:val="both"/>
        <w:rPr>
          <w:rFonts w:ascii="Book Antiqua" w:hAnsi="Book Antiqua" w:cs="Book Antiqua"/>
          <w:b/>
          <w:color w:val="auto"/>
          <w:sz w:val="24"/>
          <w:szCs w:val="24"/>
        </w:rPr>
      </w:pPr>
    </w:p>
    <w:p w14:paraId="61BB5097" w14:textId="77777777" w:rsidR="0011433B" w:rsidRPr="00932A95" w:rsidRDefault="002F52BB" w:rsidP="00374FC0">
      <w:pPr>
        <w:adjustRightInd w:val="0"/>
        <w:snapToGrid w:val="0"/>
        <w:spacing w:line="360" w:lineRule="auto"/>
        <w:jc w:val="both"/>
        <w:rPr>
          <w:rFonts w:ascii="Book Antiqua" w:eastAsia="SimSun" w:hAnsi="Book Antiqua" w:cs="Times New Roman"/>
          <w:b/>
          <w:color w:val="auto"/>
          <w:sz w:val="24"/>
          <w:szCs w:val="24"/>
          <w:lang w:val="en-US" w:eastAsia="zh-CN"/>
        </w:rPr>
      </w:pPr>
      <w:r w:rsidRPr="00932A95">
        <w:rPr>
          <w:rFonts w:ascii="Book Antiqua" w:eastAsia="SimSun" w:hAnsi="Book Antiqua" w:cs="Times New Roman"/>
          <w:b/>
          <w:color w:val="auto"/>
          <w:sz w:val="24"/>
          <w:szCs w:val="24"/>
          <w:lang w:val="en-US"/>
        </w:rPr>
        <w:t xml:space="preserve">Received: </w:t>
      </w:r>
      <w:r w:rsidRPr="00932A95">
        <w:rPr>
          <w:rFonts w:ascii="Book Antiqua" w:eastAsia="SimSun" w:hAnsi="Book Antiqua" w:cs="Times New Roman"/>
          <w:color w:val="auto"/>
          <w:sz w:val="24"/>
          <w:szCs w:val="24"/>
          <w:lang w:val="en-US"/>
        </w:rPr>
        <w:t>January</w:t>
      </w:r>
      <w:r w:rsidRPr="00932A95">
        <w:rPr>
          <w:rFonts w:ascii="Book Antiqua" w:eastAsia="SimSun" w:hAnsi="Book Antiqua" w:cs="Times New Roman" w:hint="eastAsia"/>
          <w:color w:val="auto"/>
          <w:sz w:val="24"/>
          <w:szCs w:val="24"/>
          <w:lang w:val="en-US" w:eastAsia="zh-CN"/>
        </w:rPr>
        <w:t xml:space="preserve"> 6</w:t>
      </w:r>
      <w:r w:rsidRPr="00932A95">
        <w:rPr>
          <w:rFonts w:ascii="Book Antiqua" w:eastAsia="SimSun" w:hAnsi="Book Antiqua" w:cs="Times New Roman"/>
          <w:color w:val="auto"/>
          <w:sz w:val="24"/>
          <w:szCs w:val="24"/>
          <w:lang w:val="en-US"/>
        </w:rPr>
        <w:t>, 20</w:t>
      </w:r>
      <w:r w:rsidRPr="00932A95">
        <w:rPr>
          <w:rFonts w:ascii="Book Antiqua" w:eastAsia="SimSun" w:hAnsi="Book Antiqua" w:cs="Times New Roman" w:hint="eastAsia"/>
          <w:color w:val="auto"/>
          <w:sz w:val="24"/>
          <w:szCs w:val="24"/>
          <w:lang w:val="en-US" w:eastAsia="zh-CN"/>
        </w:rPr>
        <w:t>20</w:t>
      </w:r>
    </w:p>
    <w:p w14:paraId="6A0F975B" w14:textId="77777777" w:rsidR="0011433B" w:rsidRPr="00932A95" w:rsidRDefault="002F52BB" w:rsidP="00374FC0">
      <w:pPr>
        <w:adjustRightInd w:val="0"/>
        <w:snapToGrid w:val="0"/>
        <w:spacing w:line="360" w:lineRule="auto"/>
        <w:jc w:val="both"/>
        <w:rPr>
          <w:rFonts w:ascii="Book Antiqua" w:eastAsia="SimSun" w:hAnsi="Book Antiqua" w:cs="Times New Roman"/>
          <w:b/>
          <w:color w:val="auto"/>
          <w:sz w:val="24"/>
          <w:szCs w:val="24"/>
          <w:lang w:val="en-US"/>
        </w:rPr>
      </w:pPr>
      <w:r w:rsidRPr="00932A95">
        <w:rPr>
          <w:rFonts w:ascii="Book Antiqua" w:eastAsia="SimSun" w:hAnsi="Book Antiqua" w:cs="Times New Roman"/>
          <w:b/>
          <w:color w:val="auto"/>
          <w:sz w:val="24"/>
          <w:szCs w:val="24"/>
          <w:lang w:val="en-US"/>
        </w:rPr>
        <w:lastRenderedPageBreak/>
        <w:t>Revised:</w:t>
      </w:r>
      <w:r w:rsidRPr="00932A95">
        <w:rPr>
          <w:rFonts w:ascii="Book Antiqua" w:eastAsia="SimSun" w:hAnsi="Book Antiqua" w:cs="Times New Roman"/>
          <w:color w:val="auto"/>
          <w:sz w:val="24"/>
          <w:szCs w:val="24"/>
          <w:lang w:val="en-US"/>
        </w:rPr>
        <w:t xml:space="preserve"> </w:t>
      </w:r>
      <w:r w:rsidRPr="00932A95">
        <w:rPr>
          <w:rFonts w:ascii="Book Antiqua" w:eastAsia="SimSun" w:hAnsi="Book Antiqua" w:cs="Times New Roman"/>
          <w:bCs/>
          <w:color w:val="auto"/>
          <w:kern w:val="2"/>
          <w:sz w:val="24"/>
          <w:szCs w:val="24"/>
          <w:lang w:val="en-US"/>
        </w:rPr>
        <w:t>April 1</w:t>
      </w:r>
      <w:r w:rsidRPr="00932A95">
        <w:rPr>
          <w:rFonts w:ascii="Book Antiqua" w:eastAsia="SimSun" w:hAnsi="Book Antiqua" w:cs="Times New Roman" w:hint="eastAsia"/>
          <w:bCs/>
          <w:color w:val="auto"/>
          <w:kern w:val="2"/>
          <w:sz w:val="24"/>
          <w:szCs w:val="24"/>
          <w:lang w:val="en-US" w:eastAsia="zh-CN"/>
        </w:rPr>
        <w:t>0</w:t>
      </w:r>
      <w:r w:rsidRPr="00932A95">
        <w:rPr>
          <w:rFonts w:ascii="Book Antiqua" w:eastAsia="SimSun" w:hAnsi="Book Antiqua" w:cs="Times New Roman"/>
          <w:bCs/>
          <w:color w:val="auto"/>
          <w:kern w:val="2"/>
          <w:sz w:val="24"/>
          <w:szCs w:val="24"/>
          <w:lang w:val="en-US"/>
        </w:rPr>
        <w:t>, 2020</w:t>
      </w:r>
    </w:p>
    <w:p w14:paraId="732E6A7A" w14:textId="521F61D1" w:rsidR="0011433B" w:rsidRPr="00932A95" w:rsidRDefault="002F52BB" w:rsidP="00374FC0">
      <w:pPr>
        <w:adjustRightInd w:val="0"/>
        <w:snapToGrid w:val="0"/>
        <w:spacing w:line="360" w:lineRule="auto"/>
        <w:jc w:val="both"/>
        <w:rPr>
          <w:rFonts w:ascii="Book Antiqua" w:eastAsia="SimSun" w:hAnsi="Book Antiqua" w:cs="Times New Roman"/>
          <w:color w:val="auto"/>
          <w:sz w:val="24"/>
          <w:szCs w:val="24"/>
          <w:lang w:val="fr-FR"/>
        </w:rPr>
      </w:pPr>
      <w:r w:rsidRPr="00932A95">
        <w:rPr>
          <w:rFonts w:ascii="Book Antiqua" w:eastAsia="SimSun" w:hAnsi="Book Antiqua" w:cs="Times New Roman"/>
          <w:b/>
          <w:color w:val="auto"/>
          <w:sz w:val="24"/>
          <w:szCs w:val="24"/>
          <w:lang w:val="en-US"/>
        </w:rPr>
        <w:t>Accepted:</w:t>
      </w:r>
      <w:bookmarkStart w:id="0" w:name="OLE_LINK52"/>
      <w:bookmarkStart w:id="1" w:name="OLE_LINK53"/>
      <w:r w:rsidRPr="00932A95">
        <w:rPr>
          <w:rFonts w:ascii="Book Antiqua" w:eastAsia="SimSun" w:hAnsi="Book Antiqua" w:cs="Times New Roman"/>
          <w:b/>
          <w:color w:val="auto"/>
          <w:kern w:val="2"/>
          <w:sz w:val="24"/>
          <w:szCs w:val="24"/>
          <w:lang w:val="en-US"/>
        </w:rPr>
        <w:t xml:space="preserve"> </w:t>
      </w:r>
      <w:bookmarkEnd w:id="0"/>
      <w:bookmarkEnd w:id="1"/>
      <w:r w:rsidR="001E366C" w:rsidRPr="001E366C">
        <w:rPr>
          <w:rFonts w:ascii="Book Antiqua" w:eastAsia="SimSun" w:hAnsi="Book Antiqua" w:cs="Times New Roman"/>
          <w:color w:val="auto"/>
          <w:kern w:val="2"/>
          <w:sz w:val="24"/>
          <w:szCs w:val="24"/>
          <w:lang w:val="en-US"/>
        </w:rPr>
        <w:t>May 14, 2020</w:t>
      </w:r>
    </w:p>
    <w:p w14:paraId="56B7C427" w14:textId="77777777" w:rsidR="0011433B" w:rsidRPr="00932A95" w:rsidRDefault="002F52BB" w:rsidP="00374FC0">
      <w:pPr>
        <w:adjustRightInd w:val="0"/>
        <w:snapToGrid w:val="0"/>
        <w:spacing w:line="360" w:lineRule="auto"/>
        <w:jc w:val="both"/>
        <w:rPr>
          <w:rFonts w:ascii="Book Antiqua" w:eastAsia="SimSun" w:hAnsi="Book Antiqua" w:cs="Times New Roman"/>
          <w:b/>
          <w:color w:val="auto"/>
          <w:sz w:val="24"/>
          <w:szCs w:val="24"/>
          <w:lang w:val="en-US"/>
        </w:rPr>
      </w:pPr>
      <w:r w:rsidRPr="00932A95">
        <w:rPr>
          <w:rFonts w:ascii="Book Antiqua" w:eastAsia="SimSun" w:hAnsi="Book Antiqua" w:cs="Times New Roman"/>
          <w:b/>
          <w:color w:val="auto"/>
          <w:sz w:val="24"/>
          <w:szCs w:val="24"/>
          <w:lang w:val="en-US"/>
        </w:rPr>
        <w:t>Published online:</w:t>
      </w:r>
    </w:p>
    <w:p w14:paraId="62ECF37E" w14:textId="77777777" w:rsidR="0011433B" w:rsidRPr="00932A95" w:rsidRDefault="0011433B" w:rsidP="00374FC0">
      <w:pPr>
        <w:autoSpaceDE w:val="0"/>
        <w:autoSpaceDN w:val="0"/>
        <w:adjustRightInd w:val="0"/>
        <w:spacing w:line="360" w:lineRule="auto"/>
        <w:jc w:val="both"/>
        <w:rPr>
          <w:rFonts w:ascii="Book Antiqua" w:hAnsi="Book Antiqua" w:cs="Book Antiqua"/>
          <w:color w:val="auto"/>
          <w:sz w:val="24"/>
          <w:szCs w:val="24"/>
          <w:lang w:val="en-US"/>
        </w:rPr>
      </w:pPr>
    </w:p>
    <w:p w14:paraId="3746151F" w14:textId="77777777" w:rsidR="0011433B" w:rsidRPr="00932A95" w:rsidRDefault="002F52BB" w:rsidP="00374FC0">
      <w:pPr>
        <w:jc w:val="both"/>
        <w:rPr>
          <w:rFonts w:ascii="Book Antiqua" w:hAnsi="Book Antiqua" w:cs="Book Antiqua"/>
          <w:b/>
          <w:color w:val="auto"/>
          <w:sz w:val="24"/>
          <w:szCs w:val="24"/>
        </w:rPr>
      </w:pPr>
      <w:r w:rsidRPr="00932A95">
        <w:rPr>
          <w:rFonts w:ascii="Book Antiqua" w:hAnsi="Book Antiqua" w:cs="Book Antiqua"/>
          <w:b/>
          <w:color w:val="auto"/>
          <w:sz w:val="24"/>
          <w:szCs w:val="24"/>
        </w:rPr>
        <w:br w:type="page"/>
      </w:r>
    </w:p>
    <w:p w14:paraId="16A512C4"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lastRenderedPageBreak/>
        <w:t>Abstract</w:t>
      </w:r>
    </w:p>
    <w:p w14:paraId="55CDAE23"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color w:val="auto"/>
          <w:sz w:val="24"/>
          <w:szCs w:val="24"/>
          <w:lang w:val="en-US"/>
        </w:rPr>
        <w:t>BACKGROUND</w:t>
      </w:r>
    </w:p>
    <w:p w14:paraId="4E9E52C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Acute variceal bleeding is a major complication of portal hypertension and is a leading cause of death in patients with cirrhosis.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There is limited data on the outcomes of patients with esophageal variceal bleeding in teaching versus nonteaching hospitals.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Because esophageal variceal bleeding requires complex management, it may be hypothesized that teaching hospitals have lower mortality.</w:t>
      </w:r>
    </w:p>
    <w:p w14:paraId="2AD96804" w14:textId="77777777" w:rsidR="0011433B" w:rsidRPr="00932A95" w:rsidRDefault="0011433B" w:rsidP="00374FC0">
      <w:pPr>
        <w:spacing w:line="360" w:lineRule="auto"/>
        <w:jc w:val="both"/>
        <w:rPr>
          <w:rFonts w:ascii="Book Antiqua" w:hAnsi="Book Antiqua" w:cs="Book Antiqua"/>
          <w:color w:val="auto"/>
          <w:sz w:val="24"/>
          <w:szCs w:val="24"/>
        </w:rPr>
      </w:pPr>
    </w:p>
    <w:p w14:paraId="71783A3E"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color w:val="auto"/>
          <w:sz w:val="24"/>
          <w:szCs w:val="24"/>
        </w:rPr>
        <w:t>AIM</w:t>
      </w:r>
    </w:p>
    <w:p w14:paraId="2C5F3FB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To assess the differences in mortality, hospital length of stay (LOS) and cost of admission for patients admitted for variceal bleed in teaching versus nonteaching hospitals across the US.</w:t>
      </w:r>
    </w:p>
    <w:p w14:paraId="5D1CAF4A" w14:textId="77777777" w:rsidR="0011433B" w:rsidRPr="00932A95" w:rsidRDefault="0011433B" w:rsidP="00374FC0">
      <w:pPr>
        <w:spacing w:line="360" w:lineRule="auto"/>
        <w:jc w:val="both"/>
        <w:rPr>
          <w:rFonts w:ascii="Book Antiqua" w:hAnsi="Book Antiqua" w:cs="Book Antiqua"/>
          <w:color w:val="auto"/>
          <w:sz w:val="24"/>
          <w:szCs w:val="24"/>
        </w:rPr>
      </w:pPr>
    </w:p>
    <w:p w14:paraId="307D993A"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color w:val="auto"/>
          <w:sz w:val="24"/>
          <w:szCs w:val="24"/>
        </w:rPr>
        <w:t>METHODS</w:t>
      </w:r>
    </w:p>
    <w:p w14:paraId="5D6C1CC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The National Inpatient Sample</w:t>
      </w:r>
      <w:r w:rsidR="003E45BB" w:rsidRPr="00932A95">
        <w:rPr>
          <w:rFonts w:ascii="Book Antiqua" w:hAnsi="Book Antiqua" w:cs="Book Antiqua"/>
          <w:color w:val="auto"/>
          <w:sz w:val="24"/>
          <w:szCs w:val="24"/>
        </w:rPr>
        <w:t xml:space="preserve"> </w:t>
      </w:r>
      <w:r w:rsidRPr="00932A95">
        <w:rPr>
          <w:rFonts w:ascii="Book Antiqua" w:hAnsi="Book Antiqua" w:cs="Book Antiqua"/>
          <w:color w:val="auto"/>
          <w:sz w:val="24"/>
          <w:szCs w:val="24"/>
        </w:rPr>
        <w:t>is the largest all-payer inpatient database consisting of approximately 20% of all inpatient admissions to nonfederal hospitals in the United States. We collected data from the years 2008 to 2014. Cases of variceal bleeding were identified using the International Classification of Diseases, Ninth Edition, Clinical Modification codes. Differences in mortality, LOS and cost were evaluated for patients with esophageal variceal bleed between teaching and nonteaching hospitals and adjusted for patient characteristics and comorbidities.</w:t>
      </w:r>
    </w:p>
    <w:p w14:paraId="179844C0" w14:textId="77777777" w:rsidR="0011433B" w:rsidRPr="00932A95" w:rsidRDefault="0011433B" w:rsidP="00374FC0">
      <w:pPr>
        <w:spacing w:line="360" w:lineRule="auto"/>
        <w:jc w:val="both"/>
        <w:rPr>
          <w:rFonts w:ascii="Book Antiqua" w:hAnsi="Book Antiqua" w:cs="Book Antiqua"/>
          <w:color w:val="auto"/>
          <w:sz w:val="24"/>
          <w:szCs w:val="24"/>
        </w:rPr>
      </w:pPr>
    </w:p>
    <w:p w14:paraId="47924068"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color w:val="auto"/>
          <w:sz w:val="24"/>
          <w:szCs w:val="24"/>
        </w:rPr>
        <w:t>RESULTS</w:t>
      </w:r>
    </w:p>
    <w:p w14:paraId="50BDBAA2" w14:textId="77777777" w:rsidR="0011433B" w:rsidRPr="00932A95" w:rsidRDefault="002F52BB" w:rsidP="00374FC0">
      <w:pPr>
        <w:spacing w:line="360" w:lineRule="auto"/>
        <w:jc w:val="both"/>
        <w:outlineLvl w:val="0"/>
        <w:rPr>
          <w:rFonts w:ascii="Book Antiqua" w:hAnsi="Book Antiqua" w:cs="Book Antiqua"/>
          <w:color w:val="auto"/>
          <w:sz w:val="24"/>
          <w:szCs w:val="24"/>
        </w:rPr>
      </w:pPr>
      <w:r w:rsidRPr="00932A95">
        <w:rPr>
          <w:rFonts w:ascii="Book Antiqua" w:hAnsi="Book Antiqua" w:cs="Book Antiqua"/>
          <w:color w:val="auto"/>
          <w:sz w:val="24"/>
          <w:szCs w:val="24"/>
        </w:rPr>
        <w:t>Betwe</w:t>
      </w:r>
      <w:r w:rsidR="00D05A4C" w:rsidRPr="00932A95">
        <w:rPr>
          <w:rFonts w:ascii="Book Antiqua" w:hAnsi="Book Antiqua" w:cs="Book Antiqua"/>
          <w:color w:val="auto"/>
          <w:sz w:val="24"/>
          <w:szCs w:val="24"/>
        </w:rPr>
        <w:t>en 2008 and 2014, there were 58</w:t>
      </w:r>
      <w:r w:rsidRPr="00932A95">
        <w:rPr>
          <w:rFonts w:ascii="Book Antiqua" w:hAnsi="Book Antiqua" w:cs="Book Antiqua"/>
          <w:color w:val="auto"/>
          <w:sz w:val="24"/>
          <w:szCs w:val="24"/>
        </w:rPr>
        <w:t xml:space="preserve">362 cases of esophageal variceal bleeding identified. Compared with teaching hospitals, mortality was lower in non-teaching hospitals (8.0%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5.3%,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 xml:space="preserve">0.001). Median LOS was shorter in nonteaching hospitals as compared to teaching hospitals (4 </w:t>
      </w:r>
      <w:r w:rsidR="00D05A4C" w:rsidRPr="00932A95">
        <w:rPr>
          <w:rFonts w:ascii="Book Antiqua" w:hAnsi="Book Antiqua" w:cs="Book Antiqua"/>
          <w:color w:val="auto"/>
          <w:sz w:val="24"/>
          <w:szCs w:val="24"/>
          <w:lang w:val="en-US"/>
        </w:rPr>
        <w:t>d</w:t>
      </w:r>
      <w:r w:rsidR="00D05A4C" w:rsidRPr="00932A95">
        <w:rPr>
          <w:rFonts w:ascii="Book Antiqua" w:hAnsi="Book Antiqua" w:cs="Book Antiqua"/>
          <w:i/>
          <w:iCs/>
          <w:color w:val="auto"/>
          <w:sz w:val="24"/>
          <w:szCs w:val="24"/>
          <w:lang w:val="en-US"/>
        </w:rPr>
        <w:t xml:space="preserve">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 </w:t>
      </w:r>
      <w:r w:rsidRPr="00932A95">
        <w:rPr>
          <w:rFonts w:ascii="Book Antiqua" w:hAnsi="Book Antiqua" w:cs="Book Antiqua"/>
          <w:color w:val="auto"/>
          <w:sz w:val="24"/>
          <w:szCs w:val="24"/>
          <w:lang w:val="en-US"/>
        </w:rPr>
        <w:t>d</w:t>
      </w:r>
      <w:r w:rsidRPr="00932A95">
        <w:rPr>
          <w:rFonts w:ascii="Book Antiqua" w:hAnsi="Book Antiqua" w:cs="Book Antiqua"/>
          <w:color w:val="auto"/>
          <w:sz w:val="24"/>
          <w:szCs w:val="24"/>
        </w:rPr>
        <w:t xml:space="preserve">,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 xml:space="preserve">0.001). A higher proportion of non-white patients were managed in teaching hospitals. As far as procedures in nonteaching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teaching hospitals, portosystemic shunt </w:t>
      </w:r>
      <w:r w:rsidRPr="00932A95">
        <w:rPr>
          <w:rFonts w:ascii="Book Antiqua" w:hAnsi="Book Antiqua" w:cs="Book Antiqua"/>
          <w:color w:val="auto"/>
          <w:sz w:val="24"/>
          <w:szCs w:val="24"/>
        </w:rPr>
        <w:lastRenderedPageBreak/>
        <w:t xml:space="preserve">insertion (3.1%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6.9%,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 xml:space="preserve">0.001) and balloon tamponade (0.6%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1.2%) were done more often in teaching hospitals while blood transfusions (64.2%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59.9%,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0.001) were given more in nonteaching hospitals.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Using binary logistic regression models and adjusting for baseline patient demographics and comorbid conditions the mortality, LOS and cost in teaching hospitals remained higher.</w:t>
      </w:r>
    </w:p>
    <w:p w14:paraId="19ADC56D" w14:textId="77777777" w:rsidR="0011433B" w:rsidRPr="00932A95" w:rsidRDefault="0011433B" w:rsidP="00374FC0">
      <w:pPr>
        <w:spacing w:line="360" w:lineRule="auto"/>
        <w:jc w:val="both"/>
        <w:outlineLvl w:val="0"/>
        <w:rPr>
          <w:rFonts w:ascii="Book Antiqua" w:hAnsi="Book Antiqua" w:cs="Times New Roman"/>
          <w:color w:val="auto"/>
          <w:sz w:val="24"/>
          <w:szCs w:val="24"/>
        </w:rPr>
      </w:pPr>
    </w:p>
    <w:p w14:paraId="3A7BA1A4"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color w:val="auto"/>
          <w:sz w:val="24"/>
          <w:szCs w:val="24"/>
        </w:rPr>
        <w:t>CONCLUSION</w:t>
      </w:r>
    </w:p>
    <w:p w14:paraId="33F4EF83" w14:textId="77777777" w:rsidR="0011433B" w:rsidRPr="00932A95" w:rsidRDefault="002F52BB" w:rsidP="00374FC0">
      <w:pPr>
        <w:spacing w:line="360" w:lineRule="auto"/>
        <w:jc w:val="both"/>
        <w:rPr>
          <w:rFonts w:ascii="Book Antiqua" w:hAnsi="Book Antiqua" w:cs="Book Antiqua"/>
          <w:color w:val="auto"/>
          <w:sz w:val="24"/>
          <w:szCs w:val="24"/>
          <w:lang w:val="en-US"/>
        </w:rPr>
      </w:pPr>
      <w:r w:rsidRPr="00932A95">
        <w:rPr>
          <w:rFonts w:ascii="Book Antiqua" w:hAnsi="Book Antiqua" w:cs="Book Antiqua"/>
          <w:color w:val="auto"/>
          <w:sz w:val="24"/>
          <w:szCs w:val="24"/>
        </w:rPr>
        <w:t>In patients admitted for esophageal variceal bleeding, mortality, length of stay and cost were higher in teaching hospitals versus nonteaching hospitals when controlling for other confounding factors.</w:t>
      </w:r>
      <w:r w:rsidRPr="00932A95">
        <w:rPr>
          <w:rFonts w:ascii="Book Antiqua" w:hAnsi="Book Antiqua" w:cs="Book Antiqua"/>
          <w:color w:val="auto"/>
          <w:sz w:val="24"/>
          <w:szCs w:val="24"/>
          <w:lang w:val="en-US"/>
        </w:rPr>
        <w:t xml:space="preserve"> </w:t>
      </w:r>
    </w:p>
    <w:p w14:paraId="569553B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 </w:t>
      </w:r>
    </w:p>
    <w:p w14:paraId="39BABA7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Times New Roman"/>
          <w:b/>
          <w:color w:val="auto"/>
          <w:sz w:val="24"/>
          <w:szCs w:val="24"/>
        </w:rPr>
        <w:t>Key words</w:t>
      </w:r>
      <w:r w:rsidRPr="00932A95">
        <w:rPr>
          <w:rFonts w:ascii="Book Antiqua" w:hAnsi="Book Antiqua" w:cs="Times New Roman"/>
          <w:b/>
          <w:bCs/>
          <w:color w:val="auto"/>
          <w:sz w:val="24"/>
          <w:szCs w:val="24"/>
        </w:rPr>
        <w:t>:</w:t>
      </w:r>
      <w:r w:rsidRPr="00932A95">
        <w:rPr>
          <w:rFonts w:ascii="Book Antiqua" w:hAnsi="Book Antiqua" w:cs="Book Antiqua"/>
          <w:color w:val="auto"/>
          <w:sz w:val="24"/>
          <w:szCs w:val="24"/>
        </w:rPr>
        <w:t xml:space="preserve"> Variceal bleeding; Teaching hospital; Mortality; </w:t>
      </w:r>
      <w:r w:rsidR="008602EB" w:rsidRPr="00932A95">
        <w:rPr>
          <w:rFonts w:ascii="Book Antiqua" w:hAnsi="Book Antiqua" w:cs="Book Antiqua"/>
          <w:color w:val="auto"/>
          <w:sz w:val="24"/>
          <w:szCs w:val="24"/>
        </w:rPr>
        <w:t>National Inpatient Sample</w:t>
      </w:r>
      <w:r w:rsidRPr="00932A95">
        <w:rPr>
          <w:rFonts w:ascii="Book Antiqua" w:hAnsi="Book Antiqua" w:cs="Book Antiqua"/>
          <w:color w:val="auto"/>
          <w:sz w:val="24"/>
          <w:szCs w:val="24"/>
        </w:rPr>
        <w:t>; Length of stay; Bleeding; Cirrhosis</w:t>
      </w:r>
    </w:p>
    <w:p w14:paraId="4B8FB57A" w14:textId="77777777" w:rsidR="0011433B" w:rsidRPr="00932A95" w:rsidRDefault="0011433B" w:rsidP="00374FC0">
      <w:pPr>
        <w:spacing w:line="360" w:lineRule="auto"/>
        <w:jc w:val="both"/>
        <w:rPr>
          <w:rFonts w:ascii="Book Antiqua" w:hAnsi="Book Antiqua" w:cs="Book Antiqua"/>
          <w:color w:val="auto"/>
          <w:sz w:val="24"/>
          <w:szCs w:val="24"/>
        </w:rPr>
      </w:pPr>
    </w:p>
    <w:p w14:paraId="6331F225" w14:textId="77777777" w:rsidR="0011433B" w:rsidRPr="00932A95" w:rsidRDefault="002F52BB" w:rsidP="00374FC0">
      <w:pPr>
        <w:pStyle w:val="PlainText"/>
        <w:spacing w:line="360" w:lineRule="auto"/>
        <w:jc w:val="both"/>
        <w:outlineLvl w:val="0"/>
        <w:rPr>
          <w:rFonts w:ascii="Book Antiqua" w:eastAsia="Arial" w:hAnsi="Book Antiqua" w:cs="Book Antiqua"/>
          <w:bCs/>
          <w:sz w:val="24"/>
          <w:szCs w:val="24"/>
        </w:rPr>
      </w:pPr>
      <w:r w:rsidRPr="00932A95">
        <w:rPr>
          <w:rFonts w:ascii="Book Antiqua" w:hAnsi="Book Antiqua" w:cs="Book Antiqua"/>
          <w:bCs/>
          <w:sz w:val="24"/>
          <w:szCs w:val="24"/>
        </w:rPr>
        <w:t xml:space="preserve">Patel P, </w:t>
      </w:r>
      <w:proofErr w:type="spellStart"/>
      <w:r w:rsidRPr="00932A95">
        <w:rPr>
          <w:rFonts w:ascii="Book Antiqua" w:hAnsi="Book Antiqua" w:cs="Book Antiqua"/>
          <w:bCs/>
          <w:sz w:val="24"/>
          <w:szCs w:val="24"/>
        </w:rPr>
        <w:t>Rotundo</w:t>
      </w:r>
      <w:proofErr w:type="spellEnd"/>
      <w:r w:rsidRPr="00932A95">
        <w:rPr>
          <w:rFonts w:ascii="Book Antiqua" w:hAnsi="Book Antiqua" w:cs="Book Antiqua"/>
          <w:bCs/>
          <w:sz w:val="24"/>
          <w:szCs w:val="24"/>
        </w:rPr>
        <w:t xml:space="preserve"> L, Afridi F, </w:t>
      </w:r>
      <w:proofErr w:type="spellStart"/>
      <w:r w:rsidRPr="00932A95">
        <w:rPr>
          <w:rFonts w:ascii="Book Antiqua" w:hAnsi="Book Antiqua" w:cs="Book Antiqua"/>
          <w:bCs/>
          <w:sz w:val="24"/>
          <w:szCs w:val="24"/>
        </w:rPr>
        <w:t>Orosz</w:t>
      </w:r>
      <w:proofErr w:type="spellEnd"/>
      <w:r w:rsidRPr="00932A95">
        <w:rPr>
          <w:rFonts w:ascii="Book Antiqua" w:hAnsi="Book Antiqua" w:cs="Book Antiqua"/>
          <w:bCs/>
          <w:sz w:val="24"/>
          <w:szCs w:val="24"/>
        </w:rPr>
        <w:t xml:space="preserve"> E, </w:t>
      </w:r>
      <w:proofErr w:type="spellStart"/>
      <w:r w:rsidRPr="00932A95">
        <w:rPr>
          <w:rFonts w:ascii="Book Antiqua" w:hAnsi="Book Antiqua" w:cs="Book Antiqua"/>
          <w:bCs/>
          <w:sz w:val="24"/>
          <w:szCs w:val="24"/>
        </w:rPr>
        <w:t>Pyrosopoulos</w:t>
      </w:r>
      <w:proofErr w:type="spellEnd"/>
      <w:r w:rsidRPr="00932A95">
        <w:rPr>
          <w:rFonts w:ascii="Book Antiqua" w:hAnsi="Book Antiqua" w:cs="Book Antiqua"/>
          <w:bCs/>
          <w:sz w:val="24"/>
          <w:szCs w:val="24"/>
        </w:rPr>
        <w:t xml:space="preserve"> N. </w:t>
      </w:r>
      <w:r w:rsidRPr="00932A95">
        <w:rPr>
          <w:rFonts w:ascii="Book Antiqua" w:eastAsia="Arial" w:hAnsi="Book Antiqua" w:cs="Book Antiqua"/>
          <w:bCs/>
          <w:sz w:val="24"/>
          <w:szCs w:val="24"/>
          <w:lang w:val="en"/>
        </w:rPr>
        <w:t>Hospital teaching status on the outcomes of patients with esophageal variceal bleeding in the U</w:t>
      </w:r>
      <w:r w:rsidR="009B5C77" w:rsidRPr="00932A95">
        <w:rPr>
          <w:rFonts w:ascii="Book Antiqua" w:eastAsia="Arial" w:hAnsi="Book Antiqua" w:cs="Book Antiqua"/>
          <w:bCs/>
          <w:sz w:val="24"/>
          <w:szCs w:val="24"/>
          <w:lang w:val="en"/>
        </w:rPr>
        <w:t xml:space="preserve">nited </w:t>
      </w:r>
      <w:r w:rsidRPr="00932A95">
        <w:rPr>
          <w:rFonts w:ascii="Book Antiqua" w:eastAsia="Arial" w:hAnsi="Book Antiqua" w:cs="Book Antiqua"/>
          <w:bCs/>
          <w:sz w:val="24"/>
          <w:szCs w:val="24"/>
          <w:lang w:val="en"/>
        </w:rPr>
        <w:t>S</w:t>
      </w:r>
      <w:r w:rsidR="009B5C77" w:rsidRPr="00932A95">
        <w:rPr>
          <w:rFonts w:ascii="Book Antiqua" w:eastAsia="Arial" w:hAnsi="Book Antiqua" w:cs="Book Antiqua"/>
          <w:bCs/>
          <w:sz w:val="24"/>
          <w:szCs w:val="24"/>
          <w:lang w:val="en"/>
        </w:rPr>
        <w:t>tates</w:t>
      </w:r>
      <w:r w:rsidRPr="00932A95">
        <w:rPr>
          <w:rFonts w:ascii="Book Antiqua" w:eastAsia="Arial" w:hAnsi="Book Antiqua" w:cs="Book Antiqua"/>
          <w:bCs/>
          <w:sz w:val="24"/>
          <w:szCs w:val="24"/>
          <w:lang w:val="en"/>
        </w:rPr>
        <w:t>.</w:t>
      </w:r>
      <w:r w:rsidRPr="00932A95">
        <w:rPr>
          <w:rFonts w:ascii="Book Antiqua" w:eastAsia="Arial" w:hAnsi="Book Antiqua" w:cs="Book Antiqua"/>
          <w:bCs/>
          <w:sz w:val="24"/>
          <w:szCs w:val="24"/>
        </w:rPr>
        <w:t xml:space="preserve"> </w:t>
      </w:r>
      <w:r w:rsidRPr="00932A95">
        <w:rPr>
          <w:rFonts w:ascii="Book Antiqua" w:eastAsia="Arial" w:hAnsi="Book Antiqua" w:cs="Book Antiqua"/>
          <w:bCs/>
          <w:i/>
          <w:iCs/>
          <w:sz w:val="24"/>
          <w:szCs w:val="24"/>
        </w:rPr>
        <w:t xml:space="preserve">World J </w:t>
      </w:r>
      <w:proofErr w:type="spellStart"/>
      <w:r w:rsidRPr="00932A95">
        <w:rPr>
          <w:rFonts w:ascii="Book Antiqua" w:eastAsia="Arial" w:hAnsi="Book Antiqua" w:cs="Book Antiqua"/>
          <w:bCs/>
          <w:i/>
          <w:iCs/>
          <w:sz w:val="24"/>
          <w:szCs w:val="24"/>
        </w:rPr>
        <w:t>Hepatol</w:t>
      </w:r>
      <w:proofErr w:type="spellEnd"/>
      <w:r w:rsidRPr="00932A95">
        <w:rPr>
          <w:rFonts w:ascii="Book Antiqua" w:eastAsia="Arial" w:hAnsi="Book Antiqua" w:cs="Book Antiqua"/>
          <w:bCs/>
          <w:sz w:val="24"/>
          <w:szCs w:val="24"/>
        </w:rPr>
        <w:t xml:space="preserve"> </w:t>
      </w:r>
      <w:r w:rsidRPr="00932A95">
        <w:rPr>
          <w:rFonts w:ascii="Book Antiqua" w:eastAsia="SimSun" w:hAnsi="Book Antiqua"/>
          <w:bCs/>
          <w:sz w:val="24"/>
          <w:szCs w:val="24"/>
        </w:rPr>
        <w:t>2020; In press</w:t>
      </w:r>
    </w:p>
    <w:p w14:paraId="0E2353B4" w14:textId="77777777" w:rsidR="0011433B" w:rsidRPr="00932A95" w:rsidRDefault="0011433B" w:rsidP="00374FC0">
      <w:pPr>
        <w:spacing w:line="360" w:lineRule="auto"/>
        <w:jc w:val="both"/>
        <w:rPr>
          <w:rFonts w:ascii="Book Antiqua" w:eastAsia="SimSun" w:hAnsi="Book Antiqua" w:cs="Book Antiqua"/>
          <w:color w:val="auto"/>
          <w:sz w:val="24"/>
          <w:szCs w:val="24"/>
          <w:lang w:eastAsia="zh-CN"/>
        </w:rPr>
      </w:pPr>
    </w:p>
    <w:p w14:paraId="7C4EE73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Times New Roman"/>
          <w:b/>
          <w:color w:val="auto"/>
          <w:sz w:val="24"/>
          <w:szCs w:val="24"/>
        </w:rPr>
        <w:t>Core tip</w:t>
      </w:r>
      <w:r w:rsidRPr="00932A95">
        <w:rPr>
          <w:rFonts w:ascii="Book Antiqua" w:hAnsi="Book Antiqua" w:cs="Book Antiqua"/>
          <w:b/>
          <w:color w:val="auto"/>
          <w:sz w:val="24"/>
          <w:szCs w:val="24"/>
        </w:rPr>
        <w:t>:</w:t>
      </w:r>
      <w:r w:rsidRPr="00932A95">
        <w:rPr>
          <w:rFonts w:ascii="Book Antiqua" w:hAnsi="Book Antiqua" w:cs="Book Antiqua"/>
          <w:color w:val="auto"/>
          <w:sz w:val="24"/>
          <w:szCs w:val="24"/>
        </w:rPr>
        <w:t xml:space="preserve"> This study assesses the outcomes of patients that present to the hospital with variceal bleeding amongst teaching and non-teaching hospitals. Patients that were managed at teaching facilities had higher mortality, length of stay and cost of hospitalization when compared to those at non-teaching facilities.</w:t>
      </w:r>
    </w:p>
    <w:p w14:paraId="7A085BF3" w14:textId="77777777" w:rsidR="0011433B" w:rsidRPr="00932A95" w:rsidRDefault="0011433B" w:rsidP="00374FC0">
      <w:pPr>
        <w:spacing w:line="360" w:lineRule="auto"/>
        <w:jc w:val="both"/>
        <w:rPr>
          <w:rFonts w:ascii="Book Antiqua" w:hAnsi="Book Antiqua" w:cs="Book Antiqua"/>
          <w:color w:val="auto"/>
          <w:sz w:val="24"/>
          <w:szCs w:val="24"/>
        </w:rPr>
      </w:pPr>
    </w:p>
    <w:p w14:paraId="2DBC83F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341FA353"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b/>
          <w:caps/>
          <w:color w:val="auto"/>
          <w:sz w:val="24"/>
          <w:szCs w:val="24"/>
          <w:u w:val="single"/>
        </w:rPr>
        <w:lastRenderedPageBreak/>
        <w:t>Introduction</w:t>
      </w:r>
    </w:p>
    <w:p w14:paraId="3CC98603" w14:textId="77777777" w:rsidR="0011433B" w:rsidRPr="00932A95" w:rsidRDefault="002F52BB" w:rsidP="00374FC0">
      <w:pPr>
        <w:spacing w:line="360" w:lineRule="auto"/>
        <w:jc w:val="both"/>
        <w:rPr>
          <w:rFonts w:ascii="Book Antiqua" w:hAnsi="Book Antiqua" w:cs="Book Antiqua"/>
          <w:color w:val="auto"/>
          <w:sz w:val="24"/>
          <w:szCs w:val="24"/>
          <w:highlight w:val="white"/>
        </w:rPr>
      </w:pPr>
      <w:r w:rsidRPr="00932A95">
        <w:rPr>
          <w:rFonts w:ascii="Book Antiqua" w:hAnsi="Book Antiqua" w:cs="Book Antiqua"/>
          <w:color w:val="auto"/>
          <w:sz w:val="24"/>
          <w:szCs w:val="24"/>
        </w:rPr>
        <w:t>Acute variceal bleeding (AVB) as a direct consequence of portal hypertension remains the most lethal complication amongst cirrhotic patients. Over the past three decades, mortality due to variceal bleeding has steadily decreased in concurrence with improved endoscopic and pharmacological therapies, including endoscopic sclerotherapy, banding ligation, vasoactive agents, and antibiotic prophylaxis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{"citationItems":[{"id":"ITEM-1","itemData":{"DOI":"10.1002/hep.20339","ISBN":"0270-9139 (Print)\\n0270-9139 (Linking)","ISSN":"02709139","PMID":"15349904","abstract":"Over the past two decades, new treatment modalities have been introduced for the management of variceal bleeding. The aim of this retrospective study in a single center was to assess whether these treatments have improved the prognosis for cirrhotic patients with variceal bleeding. We reviewed the clinical records of all patients with cirrhosis admitted to our Liver Intensive Care Unit due to variceal bleeding during the years 1980, 1985, 1990, 1995, and 2000. Whereas balloon tamponade was still the first-line treatment in 1980, patients treated in 2000 received a vasoactive agent, an endoscopic treatment, and an antibiotic prophylaxis in, respectively, 90%, 100%, and 94% of cases. The in-hospital mortality rate steadily decreased over the study period: 42.6%, 29.9%, 25%, 16.2%, and 14.5% in 1980, 1985, 1990, 1995, and 2000, respectively (P &lt; .05). Mortality decreased from 9% in 1980 to 0% in 2000 in Child-Turcotte-Pugh class A patients, from 46% to 0% in class B patients, and from 70% to 32% in class C patients. This improved survival was associated with a decrease of rebleeding (from 47% in 1980 to 13% in 2000) and bacterial infection rates (from 38% to 14%). On multivariable analysis, endoscopic therapy and antibiotic prophylaxis were independent predictors of survival. In conclusion, in-hospital mortality of patients with cirrhosis and variceal bleeding decreased threefold over the past two decades, in concurrence with an early and combined use of pharmacological and endoscopic therapies and short-term antibiotic prophylaxis.","author":[{"dropping-particle":"","family":"Carbonell","given":"Nicolas","non-dropping-particle":"","parse-names":false,"suffix":""},{"dropping-particle":"","family":"Pauwels","given":"Arnaud","non-dropping-particle":"","parse-names":false,"suffix":""},{"dropping-particle":"","family":"Serfaty","given":"Lawrence","non-dropping-particle":"","parse-names":false,"suffix":""},{"dropping-particle":"","family":"Fourdan","given":"Olivier","non-dropping-particle":"","parse-names":false,"suffix":""},{"dropping-particle":"","family":"Lévy","given":"Victor George","non-dropping-particle":"","parse-names":false,"suffix":""},{"dropping-particle":"","family":"Poupon","given":"Raoul","non-dropping-particle":"","parse-names":false,"suffix":""}],"container-title":"Hepatology","id":"ITEM-1","issue":"3","issued":{"date-parts":[["2004"]]},"page":"652-659","title":"Improved survival after variceal bleeding in patients with cirrhosis over the past two decades","type":"article-journal","volume":"40"},"uris":["http://www.mendeley.com/documents/?uuid=5f195965-c81f-404b-a0d3-a525b36ee83b"]},{"id":"ITEM-2","itemData":{"DOI":"10.1016/S0002-9270(00)02169-9","ISBN":"0002-9270 (Print)\\r0002-9270 (Linking)","ISSN":"00029270","PMID":"11151893","abstract":"OBJECTIVES: Over the past two decades, several modalities have become widely used in the management of esophageal variceal hemorrhage. The effectiveness of these measures on the outcome of patients with this type of hemorrhage remains unknown. METHODS: Using the Department of Veterans Affairs (VA) Patient Treatment File, we identified two cohorts of patients diagnosed with an initial variceal hemorrhage: An early cohort during 1981-1982 (1339 patients), and a late cohort during 1988-1991 (3636 patients). Each cohort was followed for 6 yr for rebleeding and death. Analyses were performed with proportional hazards survival analysis controlling for confounding factors. RESULTS: On presentation, patients in the late cohort were older (57 yr vs 55 yr, p &lt; 0.0001) and had more ascites (25% vs 13%, p &lt; 0.0001), more peritonitis (4% vs 2%, p &lt; 0.0001), and more encephalopathy (14% vs 9%, p = 0.0003). The late cohort experienced a significant decline in mortality at 30 days (20.8% vs 29.6%, p = 0.0001) and at 6 yr (69.7% vs 74.5%, p = 0.0001). This improvement was accentuated in multivariate survival analysis when controlling for the more severe illness in the late cohort. For patients who survived the first 30 days, no significant difference in 6-yr mortality was found on univariate analysis between the early cohort (63.7%) and late cohort (61.8%) (p = 0.25), but survival was slightly better in the late cohort on multivariate analysis (p = 0.01). In the late cohort, patients with sclerotherapy during the initial hospitalization had better 30-day (17%) and 6-yr mortality (68%) than did the rest of the late cohort. CONCLUSIONS: Between the years 1981-1982 and 1988-1991, improvements in long-term survival after an initial episode of esophageal variceal hemorrhage resulted primarily from better short-term mortality. Sclerotherapy offers a partial explanation for improved survival. (C) 2000 by Am. Coll. of Gastroenterology.","author":[{"dropping-particle":"","family":"Chowers","given":"Yehuda","non-dropping-particle":"","parse-names":false,"suffix":""},{"dropping-particle":"","family":"Sela","given":"Ben Ami","non-dropping-particle":"","parse-names":false,"suffix":""},{"dropping-particle":"","family":"Holland","given":"Ronen","non-dropping-particle":"","parse-names":false,"suffix":""},{"dropping-particle":"","family":"Fidder","given":"Herma","non-dropping-particle":"","parse-names":false,"suffix":""},{"dropping-particle":"","family":"Simoni","given":"Frida Brok","non-dropping-particle":"","parse-names":false,"suffix":""},{"dropping-particle":"","family":"Bar-Meir","given":"Simon","non-dropping-particle":"","parse-names":false,"suffix":""}],"container-title":"American Journal of Gastroenterology","id":"ITEM-2","issue":"12","issued":{"date-parts":[["2000"]]},"page":"3566-3573","title":"Improved survival after variceal hemorrhage over an 11-year period in the Department of Veterans Affairs","type":"article-journal","volume":"95"},"uris":["http://www.mendeley.com/documents/?uuid=1bb468f5-c880-476c-9f29-1dc6fb60a5a6"]},{"id":"ITEM-3","itemData":{"DOI":"10.1053/jhep.2003.50385","ISBN":"0270-9139 (Print)","ISSN":"02709139","PMID":"12939586","abstract":"Several treatments have been proven to be effective for variceal bleeding in patients with cirrhosis. The aim of this multicenter, prospective, cohort study was to assess how these treatments are used in clinical practice and what are the posttherapeutic prognosis and prognostic indicators of upper digestive bleeding in patients with cirrhosis. A training set of 291 and a test set of 174 bleeding cirrhotic patients were included. Treatment was according to the preferences of each center and the follow-up period was 6 weeks. Predictive rules for 5-day failure (uncontrolled bleeding, rebleeding, or death) and 6-week mortality were developed by the logistic model in the training set and validated in the test set. Initial treatment controlled bleeding in 90% of patients, including vasoactive drugs in 27%, endoscopic therapy in 10%, combined (endoscopic and vasoactive) in 45%, balloon tamponade alone in 1%, and none in 17%. The 5-day failure rate was 13%, 6-week rebleeding was 17%, and mortality was 20%. Corresponding findings for variceal versus nonvariceal bleeding were 15% versus 7% (P = .034), 19% versus 10% (P = .019), and 20% versus 15% (P = .22). Active bleeding on endoscopy, hematocrit levels, aminotransferase levels, Child-Pugh class, and portal vein thrombosis were significant predictors of 5-day failure; alcohol-induced etiology, bilirubin, albumin, encephalopathy, and hepatocarcinoma were predictors of 6-week mortality. Prognostic reassessment including blood transfusions improved the predictive accuracy. All the developed prognostic models were superior to the Child-Pugh score. In conclusion, prognosis of digestive bleeding in cirrhosis has much improved over the past 2 decades. Initial treatment stops bleeding in 90% of patients. Accurate predictive rules are provided for early recognition of high-risk patients.","author":[{"dropping-particle":"","family":"D'Amico","given":"Gennaro","non-dropping-particle":"","parse-names":false,"suffix":""},{"dropping-particle":"","family":"Franchis","given":"Roberto","non-dropping-particle":"De","parse-names":false,"suffix":""}],"container-title":"Hepatology","id":"ITEM-3","issue":"3","issued":{"date-parts":[["2003"]]},"page":"599-612","title":"Upper digestive bleeding in cirrhosis. Post-therapeutic outcome and prognostic indicators","type":"article-journal","volume":"38"},"uris":["http://www.mendeley.com/documents/?uuid=af4e87b9-8da5-45da-a502-49a187cbe259"]}],"mendeley":{"formattedCitation":"&lt;sup&gt;[1–3]&lt;/sup&gt;","plainTextFormattedCitation":"[1–3]","previouslyFormattedCitation":"&lt;sup&gt;1–3&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[1–3]</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In addition, a more efficient approach to improve hemodynamic stability, reduce portal pressure, and endoscopically treat variceal bleeding has now become the cornerstone of treatment in AVB</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{"citationItems":[{"id":"ITEM-1","itemData":{"DOI":"10.1053/jhep.2003.50385","ISBN":"0270-9139 (Print)","ISSN":"02709139","PMID":"12939586","abstract":"Several treatments have been proven to be effective for variceal bleeding in patients with cirrhosis. The aim of this multicenter, prospective, cohort study was to assess how these treatments are used in clinical practice and what are the posttherapeutic prognosis and prognostic indicators of upper digestive bleeding in patients with cirrhosis. A training set of 291 and a test set of 174 bleeding cirrhotic patients were included. Treatment was according to the preferences of each center and the follow-up period was 6 weeks. Predictive rules for 5-day failure (uncontrolled bleeding, rebleeding, or death) and 6-week mortality were developed by the logistic model in the training set and validated in the test set. Initial treatment controlled bleeding in 90% of patients, including vasoactive drugs in 27%, endoscopic therapy in 10%, combined (endoscopic and vasoactive) in 45%, balloon tamponade alone in 1%, and none in 17%. The 5-day failure rate was 13%, 6-week rebleeding was 17%, and mortality was 20%. Corresponding findings for variceal versus nonvariceal bleeding were 15% versus 7% (P = .034), 19% versus 10% (P = .019), and 20% versus 15% (P = .22). Active bleeding on endoscopy, hematocrit levels, aminotransferase levels, Child-Pugh class, and portal vein thrombosis were significant predictors of 5-day failure; alcohol-induced etiology, bilirubin, albumin, encephalopathy, and hepatocarcinoma were predictors of 6-week mortality. Prognostic reassessment including blood transfusions improved the predictive accuracy. All the developed prognostic models were superior to the Child-Pugh score. In conclusion, prognosis of digestive bleeding in cirrhosis has much improved over the past 2 decades. Initial treatment stops bleeding in 90% of patients. Accurate predictive rules are provided for early recognition of high-risk patients.","author":[{"dropping-particle":"","family":"D'Amico","given":"Gennaro","non-dropping-particle":"","parse-names":false,"suffix":""},{"dropping-particle":"","family":"Franchis","given":"Roberto","non-dropping-particle":"De","parse-names":false,"suffix":""}],"container-title":"Hepatology","id":"ITEM-1","issue":"3","issued":{"date-parts":[["2003"]]},"page":"599-612","title":"Upper digestive bleeding in cirrhosis. Post-therapeutic outcome and prognostic indicators","type":"article-journal","volume":"38"},"uris":["http://www.mendeley.com/documents/?uuid=af4e87b9-8da5-45da-a502-49a187cbe259"]}],"mendeley":{"formattedCitation":"&lt;sup&gt;[3]&lt;/sup&gt;","plainTextFormattedCitation":"[3]","previouslyFormattedCitation":"&lt;sup&gt;3&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[3]</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xml:space="preserve">. Prompt </w:t>
      </w:r>
      <w:r w:rsidRPr="00932A95">
        <w:rPr>
          <w:rFonts w:ascii="Book Antiqua" w:eastAsia="Arial Unicode MS" w:hAnsi="Book Antiqua" w:cs="Book Antiqua"/>
          <w:color w:val="auto"/>
          <w:sz w:val="24"/>
          <w:szCs w:val="24"/>
        </w:rPr>
        <w:t xml:space="preserve">endoscopic therapy (≤ 12 </w:t>
      </w:r>
      <w:r w:rsidRPr="00932A95">
        <w:rPr>
          <w:rFonts w:ascii="Book Antiqua" w:eastAsia="Arial Unicode MS" w:hAnsi="Book Antiqua" w:cs="Book Antiqua"/>
          <w:color w:val="auto"/>
          <w:sz w:val="24"/>
          <w:szCs w:val="24"/>
          <w:lang w:val="en-US"/>
        </w:rPr>
        <w:t>h</w:t>
      </w:r>
      <w:r w:rsidRPr="00932A95">
        <w:rPr>
          <w:rFonts w:ascii="Book Antiqua" w:eastAsia="Arial Unicode MS" w:hAnsi="Book Antiqua" w:cs="Book Antiqua"/>
          <w:color w:val="auto"/>
          <w:sz w:val="24"/>
          <w:szCs w:val="24"/>
        </w:rPr>
        <w:t>) for AVB has also been associated with better outcomes in cirrhotic patients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{"citationItems":[{"id":"ITEM-1","itemData":{"DOI":"10.1016/j.jhep.2012.07.038","ISBN":"1600-0641 (Electronic)\\r0168-8278 (Linking)","ISSN":"01688278","PMID":"22885718","abstract":"Background &amp; Aims: Active bleeding is a poor prognostic indicator in patients with acute esophageal variceal bleeding. This study aimed at determining indicators of 6-week re-bleeding and mortality in patients with \"active\" esophageal variceal bleeding, particularly emphasizing the presenting symptoms and timing of endoscopy to define the treatment strategy. Methods: From July 2005 to December 2009, cirrhotic patients with endoscopy-proven active esophageal variceal bleeding were evaluated. Cox proportional hazards regression analysis was used to determine the indicators of 6-week re-bleeding and mortality. Outcome comparisons were performed by Kaplan-Meier method and log rank test. Results: In 101 patients, the overall 6-week and 3-month re-bleeding rates were 25.7% (n = 26) and 29.7% (n = 30), respectively. The overall 6-week and 3-month mortality was 31.7% (n = 32) and 38.6% (n = 39), respectively. Door-to-endoscopy time (hr), MELD score, and portal vein thrombosis were indicators of 6-week re-bleeding, while hematemesis upon arrival, MELD score, and hepatocellular carcinoma were indicators of 6-week mortality. Overall mortality was poorer in hematemesis than in non-hematemesis patients (39.7% vs. 10.7%, p = 0.007). In hematemesis patients, 6-week re-bleeding rate (18.9% vs. 38.9%, p = 0.028) and mortality (27% vs. 52.8%, p = 0.031) were lower in those with early (≤12 h) than delayed (&gt;12 h) endoscopy. In non-hematemesis patients, early and delayed endoscopy had no difference on 6-week re-bleeding rate (17.6% vs. 18.2%, p = 0.944) and mortality (11.8% vs. 9.1%, p = 0.861). Conclusions: It is likely that early endoscopy (≤12 h) is associated with a better outcome in hematemesis patients, but a randomized trial with larger case numbers is required before making a firm conclusion. © 2012 European Association for the Study of the Liver. Published by Elsevier B.V. All rights reserved.","author":[{"dropping-particle":"","family":"Chen","given":"Ping Hsien","non-dropping-particle":"","parse-names":false,"suffix":""},{"dropping-particle":"","family":"Chen","given":"Wen Chi","non-dropping-particle":"","parse-names":false,"suffix":""},{"dropping-particle":"","family":"Hou","given":"Ming Chih","non-dropping-particle":"","parse-names":false,"suffix":""},{"dropping-particle":"Te","family":"Liu","given":"Tsu","non-dropping-particle":"","parse-names":false,"suffix":""},{"dropping-particle":"","family":"Chang","given":"Chen Jung","non-dropping-particle":"","parse-names":false,"suffix":""},{"dropping-particle":"","family":"Liao","given":"Wei Chih","non-dropping-particle":"","parse-names":false,"suffix":""},{"dropping-particle":"","family":"Su","given":"Chien Wei","non-dropping-particle":"","parse-names":false,"suffix":""},{"dropping-particle":"","family":"Wang","given":"Huay Min","non-dropping-particle":"","parse-names":false,"suffix":""},{"dropping-particle":"","family":"Lin","given":"Han Chieh","non-dropping-particle":"","parse-names":false,"suffix":""},{"dropping-particle":"","family":"Lee","given":"Fa Yauh","non-dropping-particle":"","parse-names":false,"suffix":""},{"dropping-particle":"","family":"Lee","given":"Shou Dong","non-dropping-particle":"","parse-names":false,"suffix":""}],"container-title":"Journal of Hepatology","id":"ITEM-1","issue":"6","issued":{"date-parts":[["2012"]]},"page":"1207-1213","title":"Delayed endoscopy increases re-bleeding and mortality in patients with hematemesis and active esophageal variceal bleeding: A cohort study","type":"article-journal","volume":"57"},"uris":["http://www.mendeley.com/documents/?uuid=c2c8f2b1-e88c-4554-b416-7fc291501484"]}],"mendeley":{"formattedCitation":"&lt;sup&gt;[4]&lt;/sup&gt;","plainTextFormattedCitation":"[4]","previouslyFormattedCitation":"&lt;sup&gt;4&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[4]</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xml:space="preserve">. Early re-bleeding within 3-5 </w:t>
      </w:r>
      <w:r w:rsidRPr="00932A95">
        <w:rPr>
          <w:rFonts w:ascii="Book Antiqua" w:hAnsi="Book Antiqua" w:cs="Book Antiqua"/>
          <w:color w:val="auto"/>
          <w:sz w:val="24"/>
          <w:szCs w:val="24"/>
          <w:lang w:val="en-US"/>
        </w:rPr>
        <w:t>d</w:t>
      </w:r>
      <w:r w:rsidRPr="00932A95">
        <w:rPr>
          <w:rFonts w:ascii="Book Antiqua" w:hAnsi="Book Antiqua" w:cs="Book Antiqua"/>
          <w:color w:val="auto"/>
          <w:sz w:val="24"/>
          <w:szCs w:val="24"/>
        </w:rPr>
        <w:t xml:space="preserve"> of endoscopic therapy remains at approximately 20% for which aggressive treatment and early </w:t>
      </w:r>
      <w:proofErr w:type="spellStart"/>
      <w:r w:rsidRPr="00932A95">
        <w:rPr>
          <w:rFonts w:ascii="Book Antiqua" w:hAnsi="Book Antiqua" w:cs="Book Antiqua"/>
          <w:color w:val="auto"/>
          <w:sz w:val="24"/>
          <w:szCs w:val="24"/>
        </w:rPr>
        <w:t>transjugular</w:t>
      </w:r>
      <w:proofErr w:type="spellEnd"/>
      <w:r w:rsidRPr="00932A95">
        <w:rPr>
          <w:rFonts w:ascii="Book Antiqua" w:hAnsi="Book Antiqua" w:cs="Book Antiqua"/>
          <w:color w:val="auto"/>
          <w:sz w:val="24"/>
          <w:szCs w:val="24"/>
        </w:rPr>
        <w:t xml:space="preserve"> intrahepatic portosystemic shunt (TIPS) placement has shown increasing survival rates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{"citationItems":[{"id":"ITEM-1","itemData":{"DOI":"10.1056/NEJMra0901512","ISBN":"1533-4406 (Electronic)\\r0028-4793 (Linking)","ISSN":"0028-4793","PMID":"21288117","abstract":"Management of Varices and Variceal Hemorrhage in Cirrhosis Review Article, N Engl J Med 2010;362:823-832. Dr. Bosch's affiliation (page 823) should have been \"Hospital Clinic, Hepatic Hemodynamic Laboratory, Liver Unit, University of Barcelona, and Centro de Investigación Biomédica en Red de Enfermedades Hepáticas y Digestivas - both in Barcelona.\" Also, in Table 3 (page 828), the dose for somatostatin should have been \"Intravenous 250-μg bolus, followed by infusion of 250-500 μg/hr,\" rather than \"Intravenous 250-mg bolus, followed by infusion of 250 mg/hr.\" The article is correct at NEJM.org.","author":[{"dropping-particle":"","family":"Garcia-Tsao","given":"Guadalupe","non-dropping-particle":"","parse-names":false,"suffix":""},{"dropping-particle":"","family":"Bosch","given":"Jaime","non-dropping-particle":"","parse-names":false,"suffix":""}],"container-title":"New England Journal of Medicine","id":"ITEM-1","issue":"9","issued":{"date-parts":[["2010"]]},"page":"823-832","title":"Management of Varices and Variceal Hemorrhage in Cirrhosis","type":"article-journal","volume":"362"},"uris":["http://www.mendeley.com/documents/?uuid=53ee6aaf-59c3-474d-984f-d4dd0304edf0"]}],"mendeley":{"formattedCitation":"&lt;sup&gt;[5]&lt;/sup&gt;","plainTextFormattedCitation":"[5]","previouslyFormattedCitation":"&lt;sup&gt;5&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[5]</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Despite this progression in treatment modalities, bleeding from gastroesophageal varices maintains a 6-</w:t>
      </w:r>
      <w:proofErr w:type="spellStart"/>
      <w:r w:rsidRPr="00932A95">
        <w:rPr>
          <w:rFonts w:ascii="Book Antiqua" w:hAnsi="Book Antiqua" w:cs="Book Antiqua"/>
          <w:color w:val="auto"/>
          <w:sz w:val="24"/>
          <w:szCs w:val="24"/>
          <w:lang w:val="en-US"/>
        </w:rPr>
        <w:t>wk</w:t>
      </w:r>
      <w:proofErr w:type="spellEnd"/>
      <w:r w:rsidRPr="00932A95">
        <w:rPr>
          <w:rFonts w:ascii="Book Antiqua" w:hAnsi="Book Antiqua" w:cs="Book Antiqua"/>
          <w:color w:val="auto"/>
          <w:sz w:val="24"/>
          <w:szCs w:val="24"/>
        </w:rPr>
        <w:t xml:space="preserve"> mortality in approximately 15%-20% of patients with underlying cirrhosis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{"citationItems":[{"id":"ITEM-1","itemData":{"DOI":"10.1056/NEJMra0901512","ISBN":"1533-4406 (Electronic)\\r0028-4793 (Linking)","ISSN":"0028-4793","PMID":"21288117","abstract":"Management of Varices and Variceal Hemorrhage in Cirrhosis Review Article, N Engl J Med 2010;362:823-832. Dr. Bosch's affiliation (page 823) should have been \"Hospital Clinic, Hepatic Hemodynamic Laboratory, Liver Unit, University of Barcelona, and Centro de Investigación Biomédica en Red de Enfermedades Hepáticas y Digestivas - both in Barcelona.\" Also, in Table 3 (page 828), the dose for somatostatin should have been \"Intravenous 250-μg bolus, followed by infusion of 250-500 μg/hr,\" rather than \"Intravenous 250-mg bolus, followed by infusion of 250 mg/hr.\" The article is correct at NEJM.org.","author":[{"dropping-particle":"","family":"Garcia-Tsao","given":"Guadalupe","non-dropping-particle":"","parse-names":false,"suffix":""},{"dropping-particle":"","family":"Bosch","given":"Jaime","non-dropping-particle":"","parse-names":false,"suffix":""}],"container-title":"New England Journal of Medicine","id":"ITEM-1","issue":"9","issued":{"date-parts":[["2010"]]},"page":"823-832","title":"Management of Varices and Variceal Hemorrhage in Cirrhosis","type":"article-journal","volume":"362"},"uris":["http://www.mendeley.com/documents/?uuid=53ee6aaf-59c3-474d-984f-d4dd0304edf0"]}],"mendeley":{"formattedCitation":"&lt;sup&gt;[5]&lt;/sup&gt;","plainTextFormattedCitation":"[5]","previouslyFormattedCitation":"&lt;sup&gt;5&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[5]</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Therefore, facilities to manage these cases require the necessary equipment and health-care personnel to initiate un-delayed treatment, prevent early re-bleeding, and decrease overall mortality.</w:t>
      </w:r>
    </w:p>
    <w:p w14:paraId="1A26F948"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It has been widely debated that certain disparities exist in delivery of medical care and patient safety outcomes when comparing teaching to nonteaching hospital</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{"citationItems":[{"id":"ITEM-1","itemData":{"DOI":"10.1136/bmj.329.7469.789","ISSN":"1756-1833","PMID":"15459055","abstract":"The International Campaign to Revitalise Academic Medicine recognises that an evidence based approach is important in discussing the problems of academic medicine. A preliminary exploration of the evidence on academic medicine has led to a research agenda for examining and proposing realistic solutions Much has been written about academic medicine and its ailments. The International Campaign to Revitalise Academic Medicine (ICRAM) immediately recognised the importance of an evidence based approach to the ongoing discussion about academic medicine.1 A task group was developed to systematically collate and evaluate the available evidence. We initially targeted major themes that were readily identifiable as being important and for which data would be reasonably straightforward to collect. The type of evidence (box 1) differed for each research question. Here we present a summary and future research agenda.","author":[{"dropping-particle":"","family":"International Working Party to Promote and Revitalise Academic Medicine","given":"","non-dropping-particle":"","parse-names":false,"suffix":""}],"container-title":"BMJ British Medical Journal","id":"ITEM-1","issued":{"date-parts":[["2004"]]},"page":"789-92","title":"Academic medicine: the evidence base.","type":"article-journal","volume":"329"},"uris":["http://www.mendeley.com/documents/?uuid=74a5de2a-6e0b-479b-b8d4-99071bef6da7"]}],"mendeley":{"formattedCitation":"&lt;sup&gt;[6]&lt;/sup&gt;","plainTextFormattedCitation":"[6]","previouslyFormattedCitation":"&lt;sup&gt;6&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[6]</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While earlier studies have reported higher quality care and better patient outcomes in teaching hospitals, others have considered this evidence unsubstantial</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{"citationItems":[{"id":"ITEM-1","itemData":{"DOI":"10.1136/bmj.329.7469.789","ISSN":"1756-1833","PMID":"15459055","abstract":"The International Campaign to Revitalise Academic Medicine recognises that an evidence based approach is important in discussing the problems of academic medicine. A preliminary exploration of the evidence on academic medicine has led to a research agenda for examining and proposing realistic solutions Much has been written about academic medicine and its ailments. The International Campaign to Revitalise Academic Medicine (ICRAM) immediately recognised the importance of an evidence based approach to the ongoing discussion about academic medicine.1 A task group was developed to systematically collate and evaluate the available evidence. We initially targeted major themes that were readily identifiable as being important and for which data would be reasonably straightforward to collect. The type of evidence (box 1) differed for each research question. Here we present a summary and future research agenda.","author":[{"dropping-particle":"","family":"International Working Party to Promote and Revitalise Academic Medicine","given":"","non-dropping-particle":"","parse-names":false,"suffix":""}],"container-title":"BMJ British Medical Journal","id":"ITEM-1","issued":{"date-parts":[["2004"]]},"page":"789-92","title":"Academic medicine: the evidence base.","type":"article-journal","volume":"329"},"uris":["http://www.mendeley.com/documents/?uuid=74a5de2a-6e0b-479b-b8d4-99071bef6da7"]},{"id":"ITEM-2","itemData":{"DOI":"10.7326/0003-4819-147-2-200707170-00161","ISBN":"1539-3704 (Electronic)","ISSN":"00034819","PMID":"17548403","abstract":"BACKGROUND: In 2002, the Accreditation Council on Graduate Medical Education enacted regulations, effective 1 July 2003, that limited work hours for all residency programs in the United States. OBJECTIVE: To determine whether work-hour regulations were associated with changes in mortality in hospitalized patients. DESIGN: Comparison of mortality rates in high-risk teaching service patients hospitalized before and after July 2003, with nonteaching service patients used as a control group. SETTING: 551 U.S. community hospitals included in the Healthcare Cost and Utilization Project's Nationwide Inpatient Survey between January 2001 and December 2004. PATIENTS: 1,511,945 adult patients admitted for 20 medical and 15 surgical diagnoses. Measurement: Inpatient mortality. RESULTS: In 1,268,738 medical patients examined, the regulations were associated with a 0.25% reduction in the absolute mortality rate (P = 0.043) and a 3.75% reduction in the relative risk for death. In subgroup analyses, particularly large improvements in mortality were observed among patients admitted for infectious diseases (change, -0.66%; P = 0.007) and in medical patients older than 80 years of age (change, -0.71%; P = 0.005). By contrast, in 243,207 surgical patients, regulations were not associated with statistically significant changes (change, 0.13%; P = 0.54). LIMITATIONS: Teaching status was assigned according to hospital characteristics because direct information on each patient's provider was not available. Results reflect changes associated with the sum of regulations, not specifically with caps on work hours. CONCLUSIONS: The work-hour regulations were associated with decreased short-term mortality among high-risk medical patients in teaching hospitals but were not associated with statistically significant changes among surgical patients in teaching hospitals.","author":[{"dropping-particle":"","family":"Shetty","given":"Kanaka D.","non-dropping-particle":"","parse-names":false,"suffix":""},{"dropping-particle":"","family":"Bhattacharya","given":"Jayanta","non-dropping-particle":"","parse-names":false,"suffix":""}],"container-title":"Annals of Internal Medicine","id":"ITEM-2","issue":"2","issued":{"date-parts":[["2007"]]},"page":"73-80","title":"Changes in hospital mortality associated with residency work-hour regulations","type":"article-journal","volume":"147"},"uris":["http://www.mendeley.com/documents/?uuid=7e8965b3-692e-4046-a1f0-da729da87f45"]},{"id":"ITEM-3","itemData":{"DOI":"10.1016/j.jsurg.2013.12.011","ISBN":"1878-7452","ISSN":"18787452","PMID":"24776874","abstract":"Objective In 2003, duty-hour regulations (DHR) were initially implemented for residents in the United States to improve patient safety and protect resident's well-being. The effect of DHR on patient safety remains unclear. The study objective was to evaluate the effect of DHR on patient safety. Design Using an interrupted time series analysis, we analyzed selected patient safety indicators (PSIs) for 376 million discharges in teaching (T) vs nonteaching (NT) hospitals before and after implementation of DHR in 2003 that restricted resident work hours to 80 hours per week. The PSIs evaluated were postoperative pulmonary embolus or deep venous thrombosis (PEDVT), iatrogenic pneumothorax (PTx), accidental puncture or laceration, postoperative wound dehiscence (WD), postoperative hemorrhage or hematoma, and postoperative physiologic or metabolic derangement. Propensity scores were used to adjust for differences in patient comorbidities between T and NT hospitals and between discharge quarters. The primary outcomes were differences in the PSI rates before and after DHR implementation. The PSI differences between T and NT institutions were the secondary outcome. Setting T and NT hospitals in the United States. Participants Participants were 376 million patient discharges from 1998 to 2007 in the Nationwide Inpatient Sample. Results Declining rates of PTx in both T and NT hospitals preintervention slowed only in T hospitals postintervention (p = 0.04). Increasing PEDVT rates in both T and NT hospitals increased further only in NT hospitals (p = 0.01). There were no differences in the PSI rates over time for hemorrhage or hematoma, physiologic or metabolic derangement, accidental puncture or laceration, or WD. T hospitals had higher rates than NT hospitals both preintervention and postintervention for all the PSIs except WD. Conclusions Trends in rates for 2 of the 6 PSIs changed significantly after DHR implementation, with PTx rates worsening in T hospitals and PEDVT rates worsening in NT hospitals. Lack of consistent patterns of change suggests no measurable effect of the policy change on these PSIs. © 2014 Association of Program Directors in Surgery. Published by Elsevier Inc. Allrights reserved.","author":[{"dropping-particle":"","family":"Shelton","given":"Julia","non-dropping-particle":"","parse-names":false,"suffix":""},{"dropping-particle":"","family":"Kummerow","given":"Kristy","non-dropping-particle":"","parse-names":false,"suffix":""},{"dropping-particle":"","family":"Phillips","given":"Sharon","non-dropping-particle":"","parse-names":false,"suffix":""},{"dropping-particle":"","family":"Arbogast","given":"Patrick G.","non-dropping-particle":"","parse-names":false,"suffix":""},{"dropping-particle":"","family":"Griffin","given":"Marie","non-dropping-particle":"","parse-names":false,"suffix":""},{"dropping-particle":"","family":"Holzman","given":"Michael D.","non-dropping-particle":"","parse-names":false,"suffix":""},{"dropping-particle":"","family":"Nealon","given":"William","non-dropping-particle":"","parse-names":false,"suffix":""},{"dropping-particle":"","family":"Poulose","given":"Benjamin K.","non-dropping-particle":"","parse-names":false,"suffix":""}],"container-title":"Journal of Surgical Education","id":"ITEM-3","issue":"4","issued":{"date-parts":[["2014"]]},"page":"551-559","title":"Patient safety in the era of the 80-hour workweek","type":"article-journal","volume":"71"},"uris":["http://www.mendeley.com/documents/?uuid=a9004a7d-1b6e-4fc9-8809-27034dc2e978"]},{"id":"ITEM-4","itemData":{"DOI":"10.1097/ACM.0000000000000154","ISBN":"0000000000000","ISSN":"1938-808X","PMID":"24448044","abstract":"PURPOSE: Patient care quality appears to be similar when delivered by trainee and attending physicians. The authors conducted a systematic review and meta-analysis to examine whether outcomes differ for general internal medicine (GIM) patients admitted to teaching versus nonteaching services.\\n\\nMETHOD: The authors searched Medline, EMBASE, and Cochrane Library databases in May 2012 to identify peer-reviewed, English-language studies with contemporaneous controls comparing inpatient mortality, 30-day readmission rate, and/or length of stay (LOS) for inpatients admitted to teaching or nonteaching GIM services.\\n\\nRESULTS: The 15 included studies (1 randomized controlled trial, 14 observational) included 108,570 patients admitted to U.S. hospitals during 1987-2011. Inpatient mortality did not differ between teaching and nonteaching services (13 studies, 108,015 patients; 2.5% versus 2.8%; OR, 1.07; 95% CI, 0.87-1.32; I = 82%); results were consistent in risk-adjusted studies (adjusted OR, 0.91; 95% CI, 0.76-1.08) and higher-quality studies (OR, 0.94; 95% CI, 0.73-1.21). There were no differences in 30-day readmission rates (11 studies, 106,021 patients; 15.1% versus 13.1%; OR, 1.05; 95% CI, 0.93-1.18). Patients on teaching services appeared to have longer LOS (11 studies, 82,352 patients; unadjusted mean difference, 0.40 days; 95% CI, 0.04-0.77 days), but there was substantial heterogeneity (I = 95%). Differences disappeared in risk-adjusted studies (mean difference: -0.09 days; 95% CI, -0.24 to 0.06 days) and in higher-quality studies (mean difference: -0.05 days; 95% CI, -0.37 to 0.28 days).\\n\\nCONCLUSIONS: There was no convincing evidence that outcomes differed substantively for patients admitted to teaching or nonteaching GIM services.","author":[{"dropping-particle":"","family":"Au","given":"Anita G","non-dropping-particle":"","parse-names":false,"suffix":""},{"dropping-particle":"","family":"Padwal","given":"Raj S","non-dropping-particle":"","parse-names":false,"suffix":""},{"dropping-particle":"","family":"Majumdar","given":"Sumit R","non-dropping-particle":"","parse-names":false,"suffix":""},{"dropping-particle":"","family":"McAlister","given":"Finlay a","non-dropping-particle":"","parse-names":false,"suffix":""}],"container-title":"Academic medicine : journal of the Association of American Medical Colleges","id":"ITEM-4","issue":"3","issued":{"date-parts":[["2014"]]},"page":"517-23","title":"Patient outcomes in teaching versus nonteaching general internal medicine services: a systematic review and meta-analysis.","type":"article-journal","volume":"89"},"uris":["http://www.mendeley.com/documents/?uuid=d59f2bc1-7710-4050-a735-b769842aba72"]},{"id":"ITEM-5","itemData":{"DOI":"10.1371/journal.pmed.0030341","ISBN":"10.1371/journal.pmed.0030341","ISSN":"15491277","PMID":"16968119","abstract":"BACKGROUND: Extensive debate exists in the healthcare community over whether outcomes of medical care at teaching hospitals and other healthcare units are better or worse than those at the respective nonteaching ones. Thus, our goal was to systematically evaluate the evidence pertaining to this question.\\n\\nMETHODS AND FINDINGS: We reviewed all studies that compared teaching versus nonteaching healthcare structures for mortality or any other patient outcome, regardless of health condition. Studies were retrieved from PubMed, contact with experts, and literature cross-referencing. Data were extracted on setting, patients, data sources, author affiliations, definition of compared groups, types of diagnoses considered, adjusting covariates, and estimates of effect for mortality and for each other outcome. Overall, 132 eligible studies were identified, including 93 on mortality and 61 on other eligible outcomes (22 addressed both). Synthesis of the available adjusted estimates on mortality yielded a summary relative risk of 0.96 (95% confidence interval [CI], 0.93-1.00) for teaching versus nonteaching healthcare structures and 1.04 (95% CI, 0.99-1.10) for minor teaching versus nonteaching ones. There was considerable heterogeneity between studies (I(2) = 72% for the main analysis). Results were similar in studies using clinical and those using administrative databases. No differences were seen in the 14 studies fully adjusting for volume/experience, severity, and comorbidity (relative risk 1.01). Smaller studies did not differ in their results from larger studies. Differences were seen for some diagnoses (e.g., significantly better survival for breast cancer and cerebrovascular accidents in teaching hospitals and significantly better survival from cholecystectomy in nonteaching hospitals), but these were small in magnitude. Other outcomes were diverse, but typically teaching healthcare structures did not do better than nonteaching ones.\\n\\nCONCLUSIONS: The available data are limited by their nonrandomized design, but overall they do not suggest that a healthcare facility's teaching status on its own markedly improves or worsens patient outcomes. Differences for specific diseases cannot be excluded, but are likely to be small.","author":[{"dropping-particle":"","family":"Papanikolaou","given":"Panagiotis N.","non-dropping-particle":"","parse-names":false,"suffix":""},{"dropping-particle":"","family":"Christidi","given":"Georgia D.","non-dropping-particle":"","parse-names":false,"suffix":""},{"dropping-particle":"","family":"Ioannidis","given":"John P A","non-dropping-particle":"","parse-names":false,"suffix":""}],"container-title":"PLoS Medicine","id":"ITEM-5","issue":"9","issued":{"date-parts":[["2006"]]},"page":"1603-1615","title":"Patient outcomes with teaching versus nonteaching healthcare: A systematic review","type":"article","volume":"3"},"uris":["http://www.mendeley.com/documents/?uuid=dfc65199-d4ef-46f1-9d92-d1288dfeaf86"]}],"mendeley":{"formattedCitation":"&lt;sup&gt;[6–10]&lt;/sup&gt;","plainTextFormattedCitation":"[6–10]","previouslyFormattedCitation":"&lt;sup&gt;6–10&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[6</w:t>
      </w:r>
      <w:r w:rsidR="004C4042" w:rsidRPr="00932A95">
        <w:rPr>
          <w:rFonts w:ascii="Book Antiqua" w:hAnsi="Book Antiqua" w:cs="Book Antiqua"/>
          <w:color w:val="auto"/>
          <w:sz w:val="24"/>
          <w:szCs w:val="24"/>
          <w:vertAlign w:val="superscript"/>
        </w:rPr>
        <w:t>-</w:t>
      </w:r>
      <w:r w:rsidRPr="00932A95">
        <w:rPr>
          <w:rFonts w:ascii="Book Antiqua" w:hAnsi="Book Antiqua" w:cs="Book Antiqua"/>
          <w:color w:val="auto"/>
          <w:sz w:val="24"/>
          <w:szCs w:val="24"/>
          <w:vertAlign w:val="superscript"/>
        </w:rPr>
        <w:t>10]</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It has been further proposed that differences in patient outcomes within teaching versus nonteaching hospitals vary amongst multiple patient settings and specific diseases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{"citationItems":[{"id":"ITEM-1","itemData":{"DOI":"10.1371/journal.pmed.0030341","ISBN":"10.1371/journal.pmed.0030341","ISSN":"15491277","PMID":"16968119","abstract":"BACKGROUND: Extensive debate exists in the healthcare community over whether outcomes of medical care at teaching hospitals and other healthcare units are better or worse than those at the respective nonteaching ones. Thus, our goal was to systematically evaluate the evidence pertaining to this question.\\n\\nMETHODS AND FINDINGS: We reviewed all studies that compared teaching versus nonteaching healthcare structures for mortality or any other patient outcome, regardless of health condition. Studies were retrieved from PubMed, contact with experts, and literature cross-referencing. Data were extracted on setting, patients, data sources, author affiliations, definition of compared groups, types of diagnoses considered, adjusting covariates, and estimates of effect for mortality and for each other outcome. Overall, 132 eligible studies were identified, including 93 on mortality and 61 on other eligible outcomes (22 addressed both). Synthesis of the available adjusted estimates on mortality yielded a summary relative risk of 0.96 (95% confidence interval [CI], 0.93-1.00) for teaching versus nonteaching healthcare structures and 1.04 (95% CI, 0.99-1.10) for minor teaching versus nonteaching ones. There was considerable heterogeneity between studies (I(2) = 72% for the main analysis). Results were similar in studies using clinical and those using administrative databases. No differences were seen in the 14 studies fully adjusting for volume/experience, severity, and comorbidity (relative risk 1.01). Smaller studies did not differ in their results from larger studies. Differences were seen for some diagnoses (e.g., significantly better survival for breast cancer and cerebrovascular accidents in teaching hospitals and significantly better survival from cholecystectomy in nonteaching hospitals), but these were small in magnitude. Other outcomes were diverse, but typically teaching healthcare structures did not do better than nonteaching ones.\\n\\nCONCLUSIONS: The available data are limited by their nonrandomized design, but overall they do not suggest that a healthcare facility's teaching status on its own markedly improves or worsens patient outcomes. Differences for specific diseases cannot be excluded, but are likely to be small.","author":[{"dropping-particle":"","family":"Papanikolaou","given":"Panagiotis N.","non-dropping-particle":"","parse-names":false,"suffix":""},{"dropping-particle":"","family":"Christidi","given":"Georgia D.","non-dropping-particle":"","parse-names":false,"suffix":""},{"dropping-particle":"","family":"Ioannidis","given":"John P A","non-dropping-particle":"","parse-names":false,"suffix":""}],"container-title":"PLoS Medicine","id":"ITEM-1","issue":"9","issued":{"date-parts":[["2006"]]},"page":"1603-1615","title":"Patient outcomes with teaching versus nonteaching healthcare: A systematic review","type":"article","volume":"3"},"uris":["http://www.mendeley.com/documents/?uuid=dfc65199-d4ef-46f1-9d92-d1288dfeaf86"]}],"mendeley":{"formattedCitation":"&lt;sup&gt;[10]&lt;/sup&gt;","plainTextFormattedCitation":"[10]","previouslyFormattedCitation":"&lt;sup&gt;10&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[10]</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For instance, one study has demonstrated that among common medical conditions, such as acute myocardial infarction and congestive heart failure, teaching hospitals have lower mortality rates when compared to non-teaching hospitals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{"citationItems":[{"id":"ITEM-1","itemData":{"DOI":"10.1097/MLR.0b013e3182902151","ISBN":"0884-8734","ISSN":"00257079","PMID":"23604017","abstract":"BACKGROUND: Proposed changes to financing of teaching hospitals and new quality-based performance incentives may differentially impact the financial health of teaching and safety-net institutions. Few data have examined the potential impact of these financial changes on teaching institutions. OBJECTIVES: To determine the association of hospital teaching intensity with processes and outcomes of care for the most common inpatient diagnoses in the United States. RESEARCH DESIGN: Cross-sectional analysis of the 2008 Hospital Quality Alliance and 2007 American Hospital Association databases, adjusted for hospital characteristics. SUBJECTS: A total of 2418 hospitals distributed across the country with available data on teaching intensity (resident-to-bed ratio), quality-of-care process measures, and risk-adjusted readmission and mortality rates for acute myocardial infarction (AMI), congestive heart failure (CHF), and pneumonia. MEASURES: Hospital-level quality-of-care process indicators and 30-day risk-adjusted readmission and mortality rates for AMI, CHF, and pneumonia. RESULTS: Multivariable analysis demonstrates that all hospitals perform uniformly well on quality-of-care process measures for AMI, CHF, and pneumonia. However, when compared with nonteaching hospitals, increasing hospital teaching intensity is significantly associated with improved risk-adjusted mortality for AMI and CHF, but higher risk-adjusted readmission rates for all 3 conditions. Among high teaching intensity hospitals, those with larger Medicaid populations (safety-net institutions) had particularly high readmission rates for AMI and CHF. CONCLUSIONS: In this nationally representative evaluation, we found significant variation in performance on risk-adjusted mortality and readmission rates, and differences in readmission rates based on safety-net status. Our findings suggest that high teaching intensity and safety-net institutions may be disproportionately affected by upcoming changes in hospital payment models.","author":[{"dropping-particle":"","family":"Mueller","given":"Stephanie K.","non-dropping-particle":"","parse-names":false,"suffix":""},{"dropping-particle":"","family":"Lipsitz","given":"Stuart","non-dropping-particle":"","parse-names":false,"suffix":""},{"dropping-particle":"","family":"Hicks","given":"Leroi S.","non-dropping-particle":"","parse-names":false,"suffix":""}],"container-title":"Medical Care","id":"ITEM-1","issue":"7","issued":{"date-parts":[["2013"]]},"page":"567-574","title":"Impact of hospital teaching intensity on quality of care and patient outcomes","type":"article-journal","volume":"51"},"uris":["http://www.mendeley.com/documents/?uuid=771772f9-8b82-415c-bb5d-b147833df671"]}],"mendeley":{"formattedCitation":"&lt;sup&gt;[11]&lt;/sup&gt;","plainTextFormattedCitation":"[11]","previouslyFormattedCitation":"&lt;sup&gt;11&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[11]</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Certain studies have shown that teaching hospitals may have higher rates of iatrogenic injury, though the underlying reasoning for this discrepancy has not been determined</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{"citationItems":[{"id":"ITEM-1","itemData":{"DOI":"10.1016/j.jcrc.2016.03.013","ISSN":"15578615","PMID":"27288612","abstract":"Introduction: Iatrogenic pneumothorax is a patient safety indicator (PSI) representing a complication of procedures such as transthoracic needle aspiration, subclavicular needle stick, thoracentesis, transbronchial biopsy, pleural biopsy, and positive pressure ventilation. This study examined whether there was a significant difference in rate of iatrogenic pneumothorax in teaching hospitals compared to non-teaching hospitals from 2000 to 2012. Materials and methods: We performed a retrospective cohort study on iatrogenic pneumothorax incidence from 2000 to 2012 using the Healthcare Cost and Utilization Project (HCUP) database. Pairwise t tests were performed. Odds ratios and P values were calculated, using a Bonferroni-adjusted α threshold, to examine differences in iatrogenic pneumothorax incidence in teaching vs. non-teaching hospitals. Results: Our study revealed that after the year 2000, teaching hospitals had significantly greater iatrogenic pneumothorax incidence compared to non-teaching hospitals in every year of the study period (P &lt; .001). Discussion: Iatrogenic pneumothorax occurred with significantly greater incidence in teaching hospitals compared to non-teaching hospitals from 2000 to 2012. This trend may have been enhanced by the residency duty-hour regulations implemented in 2003 in teaching institutions, or due to higher rates of procedures in teaching institutions due to the nature of a tertiary center. Conclusions: Iatrogenic pneumothorax was more prevalent in teaching hospitals compared to non-teaching hospitals after the year 2000. Further randomized control studies are warranted to evaluate the etiology of this finding.","author":[{"dropping-particle":"","family":"John","given":"Jason","non-dropping-particle":"","parse-names":false,"suffix":""},{"dropping-particle":"","family":"Seifi","given":"Ali","non-dropping-particle":"","parse-names":false,"suffix":""}],"container-title":"Journal of Critical Care","id":"ITEM-1","issued":{"date-parts":[["2016"]]},"page":"66-68","title":"Incidence of iatrogenic pneumothorax in the United States in teaching vs. non-teaching hospitals from 2000 to 2012","type":"article","volume":"34"},"uris":["http://www.mendeley.com/documents/?uuid=044e0240-33f6-4569-8440-ab3b37146560"]}],"mendeley":{"formattedCitation":"&lt;sup&gt;[12]&lt;/sup&gt;","plainTextFormattedCitation":"[12]","previouslyFormattedCitation":"&lt;sup&gt;12&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[12]</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xml:space="preserve">. Furthermore, with the </w:t>
      </w:r>
      <w:r w:rsidRPr="00932A95">
        <w:rPr>
          <w:rFonts w:ascii="Book Antiqua" w:hAnsi="Book Antiqua" w:cs="Book Antiqua"/>
          <w:color w:val="auto"/>
          <w:sz w:val="24"/>
          <w:szCs w:val="24"/>
        </w:rPr>
        <w:lastRenderedPageBreak/>
        <w:t>enactment of resident work hour regulations for teaching hospitals, trends in patient safety outcomes and mortality have been highly scrutinized</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{"citationItems":[{"id":"ITEM-1","itemData":{"DOI":"10.7326/0003-4819-147-2-200707170-00161","ISBN":"1539-3704 (Electronic)","ISSN":"00034819","PMID":"17548403","abstract":"BACKGROUND: In 2002, the Accreditation Council on Graduate Medical Education enacted regulations, effective 1 July 2003, that limited work hours for all residency programs in the United States. OBJECTIVE: To determine whether work-hour regulations were associated with changes in mortality in hospitalized patients. DESIGN: Comparison of mortality rates in high-risk teaching service patients hospitalized before and after July 2003, with nonteaching service patients used as a control group. SETTING: 551 U.S. community hospitals included in the Healthcare Cost and Utilization Project's Nationwide Inpatient Survey between January 2001 and December 2004. PATIENTS: 1,511,945 adult patients admitted for 20 medical and 15 surgical diagnoses. Measurement: Inpatient mortality. RESULTS: In 1,268,738 medical patients examined, the regulations were associated with a 0.25% reduction in the absolute mortality rate (P = 0.043) and a 3.75% reduction in the relative risk for death. In subgroup analyses, particularly large improvements in mortality were observed among patients admitted for infectious diseases (change, -0.66%; P = 0.007) and in medical patients older than 80 years of age (change, -0.71%; P = 0.005). By contrast, in 243,207 surgical patients, regulations were not associated with statistically significant changes (change, 0.13%; P = 0.54). LIMITATIONS: Teaching status was assigned according to hospital characteristics because direct information on each patient's provider was not available. Results reflect changes associated with the sum of regulations, not specifically with caps on work hours. CONCLUSIONS: The work-hour regulations were associated with decreased short-term mortality among high-risk medical patients in teaching hospitals but were not associated with statistically significant changes among surgical patients in teaching hospitals.","author":[{"dropping-particle":"","family":"Shetty","given":"Kanaka D.","non-dropping-particle":"","parse-names":false,"suffix":""},{"dropping-particle":"","family":"Bhattacharya","given":"Jayanta","non-dropping-particle":"","parse-names":false,"suffix":""}],"container-title":"Annals of Internal Medicine","id":"ITEM-1","issue":"2","issued":{"date-parts":[["2007"]]},"page":"73-80","title":"Changes in hospital mortality associated with residency work-hour regulations","type":"article-journal","volume":"147"},"uris":["http://www.mendeley.com/documents/?uuid=7e8965b3-692e-4046-a1f0-da729da87f45"]},{"id":"ITEM-2","itemData":{"DOI":"10.1097/MLR.0b013e3182902151","ISBN":"0884-8734","ISSN":"00257079","PMID":"23604017","abstract":"BACKGROUND: Proposed changes to financing of teaching hospitals and new quality-based performance incentives may differentially impact the financial health of teaching and safety-net institutions. Few data have examined the potential impact of these financial changes on teaching institutions. OBJECTIVES: To determine the association of hospital teaching intensity with processes and outcomes of care for the most common inpatient diagnoses in the United States. RESEARCH DESIGN: Cross-sectional analysis of the 2008 Hospital Quality Alliance and 2007 American Hospital Association databases, adjusted for hospital characteristics. SUBJECTS: A total of 2418 hospitals distributed across the country with available data on teaching intensity (resident-to-bed ratio), quality-of-care process measures, and risk-adjusted readmission and mortality rates for acute myocardial infarction (AMI), congestive heart failure (CHF), and pneumonia. MEASURES: Hospital-level quality-of-care process indicators and 30-day risk-adjusted readmission and mortality rates for AMI, CHF, and pneumonia. RESULTS: Multivariable analysis demonstrates that all hospitals perform uniformly well on quality-of-care process measures for AMI, CHF, and pneumonia. However, when compared with nonteaching hospitals, increasing hospital teaching intensity is significantly associated with improved risk-adjusted mortality for AMI and CHF, but higher risk-adjusted readmission rates for all 3 conditions. Among high teaching intensity hospitals, those with larger Medicaid populations (safety-net institutions) had particularly high readmission rates for AMI and CHF. CONCLUSIONS: In this nationally representative evaluation, we found significant variation in performance on risk-adjusted mortality and readmission rates, and differences in readmission rates based on safety-net status. Our findings suggest that high teaching intensity and safety-net institutions may be disproportionately affected by upcoming changes in hospital payment models.","author":[{"dropping-particle":"","family":"Mueller","given":"Stephanie K.","non-dropping-particle":"","parse-names":false,"suffix":""},{"dropping-particle":"","family":"Lipsitz","given":"Stuart","non-dropping-particle":"","parse-names":false,"suffix":""},{"dropping-particle":"","family":"Hicks","given":"Leroi S.","non-dropping-particle":"","parse-names":false,"suffix":""}],"container-title":"Medical Care","id":"ITEM-2","issue":"7","issued":{"date-parts":[["2013"]]},"page":"567-574","title":"Impact of hospital teaching intensity on quality of care and patient outcomes","type":"article-journal","volume":"51"},"uris":["http://www.mendeley.com/documents/?uuid=771772f9-8b82-415c-bb5d-b147833df671"]}],"mendeley":{"formattedCitation":"&lt;sup&gt;[7,11]&lt;/sup&gt;","plainTextFormattedCitation":"[7,11]","previouslyFormattedCitation":"&lt;sup&gt;7,11&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[7,11]</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Although duty hour limitations have been associated with a decrease in overall mortality, data for patients admitted for gastrointestinal bleeding remained equivocal between hospital settings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{"citationItems":[{"id":"ITEM-1","itemData":{"DOI":"10.7326/0003-4819-147-2-200707170-00161","ISBN":"1539-3704 (Electronic)","ISSN":"00034819","PMID":"17548403","abstract":"BACKGROUND: In 2002, the Accreditation Council on Graduate Medical Education enacted regulations, effective 1 July 2003, that limited work hours for all residency programs in the United States. OBJECTIVE: To determine whether work-hour regulations were associated with changes in mortality in hospitalized patients. DESIGN: Comparison of mortality rates in high-risk teaching service patients hospitalized before and after July 2003, with nonteaching service patients used as a control group. SETTING: 551 U.S. community hospitals included in the Healthcare Cost and Utilization Project's Nationwide Inpatient Survey between January 2001 and December 2004. PATIENTS: 1,511,945 adult patients admitted for 20 medical and 15 surgical diagnoses. Measurement: Inpatient mortality. RESULTS: In 1,268,738 medical patients examined, the regulations were associated with a 0.25% reduction in the absolute mortality rate (P = 0.043) and a 3.75% reduction in the relative risk for death. In subgroup analyses, particularly large improvements in mortality were observed among patients admitted for infectious diseases (change, -0.66%; P = 0.007) and in medical patients older than 80 years of age (change, -0.71%; P = 0.005). By contrast, in 243,207 surgical patients, regulations were not associated with statistically significant changes (change, 0.13%; P = 0.54). LIMITATIONS: Teaching status was assigned according to hospital characteristics because direct information on each patient's provider was not available. Results reflect changes associated with the sum of regulations, not specifically with caps on work hours. CONCLUSIONS: The work-hour regulations were associated with decreased short-term mortality among high-risk medical patients in teaching hospitals but were not associated with statistically significant changes among surgical patients in teaching hospitals.","author":[{"dropping-particle":"","family":"Shetty","given":"Kanaka D.","non-dropping-particle":"","parse-names":false,"suffix":""},{"dropping-particle":"","family":"Bhattacharya","given":"Jayanta","non-dropping-particle":"","parse-names":false,"suffix":""}],"container-title":"Annals of Internal Medicine","id":"ITEM-1","issue":"2","issued":{"date-parts":[["2007"]]},"page":"73-80","title":"Changes in hospital mortality associated with residency work-hour regulations","type":"article-journal","volume":"147"},"uris":["http://www.mendeley.com/documents/?uuid=7e8965b3-692e-4046-a1f0-da729da87f45"]}],"mendeley":{"formattedCitation":"&lt;sup&gt;[7]&lt;/sup&gt;","plainTextFormattedCitation":"[7]","previouslyFormattedCitation":"&lt;sup&gt;7&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[7]</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xml:space="preserve">. </w:t>
      </w:r>
    </w:p>
    <w:p w14:paraId="643610FA" w14:textId="7907A6D2" w:rsidR="0011433B" w:rsidRPr="00932A95" w:rsidRDefault="002F52BB" w:rsidP="00374FC0">
      <w:pPr>
        <w:spacing w:line="360" w:lineRule="auto"/>
        <w:ind w:firstLineChars="100" w:firstLine="240"/>
        <w:jc w:val="both"/>
        <w:rPr>
          <w:rFonts w:ascii="Book Antiqua" w:hAnsi="Book Antiqua" w:cs="Book Antiqua"/>
          <w:color w:val="auto"/>
          <w:sz w:val="24"/>
          <w:szCs w:val="24"/>
          <w:highlight w:val="white"/>
        </w:rPr>
      </w:pPr>
      <w:r w:rsidRPr="00932A95">
        <w:rPr>
          <w:rFonts w:ascii="Book Antiqua" w:hAnsi="Book Antiqua" w:cs="Book Antiqua"/>
          <w:color w:val="auto"/>
          <w:sz w:val="24"/>
          <w:szCs w:val="24"/>
          <w:highlight w:val="white"/>
        </w:rPr>
        <w:t xml:space="preserve">An increasing amount of studies have focused on evaluating the most cost-effective manner in which to practice medicine. </w:t>
      </w:r>
      <w:r w:rsidRPr="00932A95">
        <w:rPr>
          <w:rFonts w:ascii="Book Antiqua" w:hAnsi="Book Antiqua" w:cs="Book Antiqua"/>
          <w:color w:val="auto"/>
          <w:sz w:val="24"/>
          <w:szCs w:val="24"/>
        </w:rPr>
        <w:t>There has been an association between teaching hospitals and high-quality care because of their ability to provide specialized health care, perform advanced procedures, act as leaders in medical education and research, and offer care for the underserved populations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{"citationItems":[{"id":"ITEM-1","itemData":{"DOI":"10.7326/0003-4819-147-2-200707170-00161","ISBN":"1539-3704 (Electronic)","ISSN":"00034819","PMID":"17548403","abstract":"BACKGROUND: In 2002, the Accreditation Council on Graduate Medical Education enacted regulations, effective 1 July 2003, that limited work hours for all residency programs in the United States. OBJECTIVE: To determine whether work-hour regulations were associated with changes in mortality in hospitalized patients. DESIGN: Comparison of mortality rates in high-risk teaching service patients hospitalized before and after July 2003, with nonteaching service patients used as a control group. SETTING: 551 U.S. community hospitals included in the Healthcare Cost and Utilization Project's Nationwide Inpatient Survey between January 2001 and December 2004. PATIENTS: 1,511,945 adult patients admitted for 20 medical and 15 surgical diagnoses. Measurement: Inpatient mortality. RESULTS: In 1,268,738 medical patients examined, the regulations were associated with a 0.25% reduction in the absolute mortality rate (P = 0.043) and a 3.75% reduction in the relative risk for death. In subgroup analyses, particularly large improvements in mortality were observed among patients admitted for infectious diseases (change, -0.66%; P = 0.007) and in medical patients older than 80 years of age (change, -0.71%; P = 0.005). By contrast, in 243,207 surgical patients, regulations were not associated with statistically significant changes (change, 0.13%; P = 0.54). LIMITATIONS: Teaching status was assigned according to hospital characteristics because direct information on each patient's provider was not available. Results reflect changes associated with the sum of regulations, not specifically with caps on work hours. CONCLUSIONS: The work-hour regulations were associated with decreased short-term mortality among high-risk medical patients in teaching hospitals but were not associated with statistically significant changes among surgical patients in teaching hospitals.","author":[{"dropping-particle":"","family":"Shetty","given":"Kanaka D.","non-dropping-particle":"","parse-names":false,"suffix":""},{"dropping-particle":"","family":"Bhattacharya","given":"Jayanta","non-dropping-particle":"","parse-names":false,"suffix":""}],"container-title":"Annals of Internal Medicine","id":"ITEM-1","issue":"2","issued":{"date-parts":[["2007"]]},"page":"73-80","title":"Changes in hospital mortality associated with residency work-hour regulations","type":"article-journal","volume":"147"},"uris":["http://www.mendeley.com/documents/?uuid=7e8965b3-692e-4046-a1f0-da729da87f45"]},{"id":"ITEM-2","itemData":{"DOI":"10.1016/j.jsurg.2013.12.011","ISBN":"1878-7452","ISSN":"18787452","PMID":"24776874","abstract":"Objective In 2003, duty-hour regulations (DHR) were initially implemented for residents in the United States to improve patient safety and protect resident's well-being. The effect of DHR on patient safety remains unclear. The study objective was to evaluate the effect of DHR on patient safety. Design Using an interrupted time series analysis, we analyzed selected patient safety indicators (PSIs) for 376 million discharges in teaching (T) vs nonteaching (NT) hospitals before and after implementation of DHR in 2003 that restricted resident work hours to 80 hours per week. The PSIs evaluated were postoperative pulmonary embolus or deep venous thrombosis (PEDVT), iatrogenic pneumothorax (PTx), accidental puncture or laceration, postoperative wound dehiscence (WD), postoperative hemorrhage or hematoma, and postoperative physiologic or metabolic derangement. Propensity scores were used to adjust for differences in patient comorbidities between T and NT hospitals and between discharge quarters. The primary outcomes were differences in the PSI rates before and after DHR implementation. The PSI differences between T and NT institutions were the secondary outcome. Setting T and NT hospitals in the United States. Participants Participants were 376 million patient discharges from 1998 to 2007 in the Nationwide Inpatient Sample. Results Declining rates of PTx in both T and NT hospitals preintervention slowed only in T hospitals postintervention (p = 0.04). Increasing PEDVT rates in both T and NT hospitals increased further only in NT hospitals (p = 0.01). There were no differences in the PSI rates over time for hemorrhage or hematoma, physiologic or metabolic derangement, accidental puncture or laceration, or WD. T hospitals had higher rates than NT hospitals both preintervention and postintervention for all the PSIs except WD. Conclusions Trends in rates for 2 of the 6 PSIs changed significantly after DHR implementation, with PTx rates worsening in T hospitals and PEDVT rates worsening in NT hospitals. Lack of consistent patterns of change suggests no measurable effect of the policy change on these PSIs. © 2014 Association of Program Directors in Surgery. Published by Elsevier Inc. Allrights reserved.","author":[{"dropping-particle":"","family":"Shelton","given":"Julia","non-dropping-particle":"","parse-names":false,"suffix":""},{"dropping-particle":"","family":"Kummerow","given":"Kristy","non-dropping-particle":"","parse-names":false,"suffix":""},{"dropping-particle":"","family":"Phillips","given":"Sharon","non-dropping-particle":"","parse-names":false,"suffix":""},{"dropping-particle":"","family":"Arbogast","given":"Patrick G.","non-dropping-particle":"","parse-names":false,"suffix":""},{"dropping-particle":"","family":"Griffin","given":"Marie","non-dropping-particle":"","parse-names":false,"suffix":""},{"dropping-particle":"","family":"Holzman","given":"Michael D.","non-dropping-particle":"","parse-names":false,"suffix":""},{"dropping-particle":"","family":"Nealon","given":"William","non-dropping-particle":"","parse-names":false,"suffix":""},{"dropping-particle":"","family":"Poulose","given":"Benjamin K.","non-dropping-particle":"","parse-names":false,"suffix":""}],"container-title":"Journal of Surgical Education","id":"ITEM-2","issue":"4","issued":{"date-parts":[["2014"]]},"page":"551-559","title":"Patient safety in the era of the 80-hour workweek","type":"article-journal","volume":"71"},"uris":["http://www.mendeley.com/documents/?uuid=a9004a7d-1b6e-4fc9-8809-27034dc2e978"]}],"mendeley":{"formattedCitation":"&lt;sup&gt;[7,8]&lt;/sup&gt;","plainTextFormattedCitation":"[7,8]","previouslyFormattedCitation":"&lt;sup&gt;7,8&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[7,8]</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Within the current era of healthcare reform, most studies have shown higher costs in teaching hospitals compared with community facilities. This could be attributed to the utilization of more advanced, expensive diagnostic testing without any demonstrable improvement in outcomes</w:t>
      </w:r>
      <w:r w:rsidRPr="00932A95">
        <w:rPr>
          <w:rFonts w:ascii="Book Antiqua" w:hAnsi="Book Antiqua" w:cs="Book Antiqua"/>
          <w:color w:val="auto"/>
          <w:sz w:val="24"/>
          <w:szCs w:val="24"/>
          <w:highlight w:val="white"/>
        </w:rPr>
        <w:fldChar w:fldCharType="begin" w:fldLock="1"/>
      </w:r>
      <w:r w:rsidRPr="00932A95">
        <w:rPr>
          <w:rFonts w:ascii="Book Antiqua" w:hAnsi="Book Antiqua" w:cs="Book Antiqua"/>
          <w:color w:val="auto"/>
          <w:sz w:val="24"/>
          <w:szCs w:val="24"/>
          <w:highlight w:val="white"/>
        </w:rPr>
        <w:instrText>ADDIN CSL_CITATION {"citationItems":[{"id":"ITEM-1","itemData":{"DOI":"http://dx.doi.org/10.1007/s10620-014-3075-9","ISSN":"0163-2116; 1573-2568","abstract":"Objective: Endoscopic ultrasound (EUS) is an established tool in the management of gastrointestinal diseases. The majority of EUS procedures are performed in tertiary care hospitals but the technology has also disseminated to community hospitals. The data from community hospitals are limited and there are no published studies comparing EUS-fine needle aspiration (FNA) outcomes in community versus tertiary settings. Our objective is to compare EUS procedures performed in these two separate settings. Methods: EUS procedures performed for pancreatobiliary indications in an academic tertiary care hospital and a community hospital were retrospectively reviewed and compared. The patient demographics, procedure time, procedure indications, FNA performed, pass counts, needle size, rapid onsite evaluation (ROSE) and final cytological diagnosis were compared between the two centers. Cytological diagnosis was categorized as satisfactory and unsatisfactory samples. Results: There was no significant difference in patient age, gender, indications, procedure time, FNA performed, needle size, or pass counts between the tertiary hospital (n = 361) and community hospital (n = 119). ROSE was a significant determinant factor for adequacy of sample. There was a positive linear relationship between adequacy of the sample and number of pass counts. After performing a logistic regression and adjusting for target site, the overall odds of having an unsatisfactory specimen were not significantly different at the two centers (OR 0.51, CI 0.23-1.17, p = 0.11). Percentages of unsatisfactory samples were not significantly different at the two centers for solid lesions (7.4 vs. 3.1 %, p = 0.33), cysts (33.3 vs. 23.8 %, p = 0.31,) or lymph nodes (25.0 vs. 0 %, p = 0.063). Conclusion: Cytological yield of EUS-FNA in a community hospital is similar to that of a tertiary hospital. Community hospitals can provide EUS services with reasonable success. 2014 Springer Science+Business Media.","author":[{"dropping-particle":"","family":"Singh","given":"S","non-dropping-particle":"","parse-names":false,"suffix":""},{"dropping-particle":"","family":"Purohit","given":"T","non-dropping-particle":"","parse-names":false,"suffix":""},{"dropping-particle":"","family":"Aoun","given":"E","non-dropping-particle":"","parse-names":false,"suffix":""},{"dropping-particle":"","family":"Patel","given":"Y","non-dropping-particle":"","parse-names":false,"suffix":""},{"dropping-particle":"","family":"Carleton","given":"N","non-dropping-particle":"","parse-names":false,"suffix":""},{"dropping-particle":"","family":"Mitre","given":"M","non-dropping-particle":"","parse-names":false,"suffix":""},{"dropping-particle":"","family":"Morrissey","given":"S","non-dropping-particle":"","parse-names":false,"suffix":""},{"dropping-particle":"","family":"Dhawan","given":"M","non-dropping-particle":"","parse-names":false,"suffix":""},{"dropping-particle":"","family":"Thakkar","given":"S","non-dropping-particle":"","parse-names":false,"suffix":""}],"container-title":"Digestive diseases and sciences","id":"ITEM-1","issue":"8","issued":{"date-parts":[["2014"]]},"page":"1925-1930","title":"Comparison of the outcomes of endoscopic ultrasound based on community hospital versus tertiary academic center settings.","type":"article-journal","volume":"59"},"uris":["http://www.mendeley.com/documents/?uuid=28957f0d-a6a7-4b08-89d8-caa9ed64409f"]},{"id":"ITEM-2","itemData":{"DOI":"10.1186/cc993","ISSN":"1364-8535","PMID":"11299068","abstract":"Background: Accessibility to tertiary intensive care resources differs among hospitals within a rural region. Determining whether accessibility is associated with outcome is important for understanding the role of regionalization when providing critical care to a rural population. Methods: In a prospective design, we identified and recorded the mortality ratio, percentage of unanticipated deaths, length of stay in the intensive care unit (ICU), and survival time of 147 patients transferred directly from other hospitals and 178 transferred from the wards within a rural tertiary-care hospital. Results: The two groups did not differ significantly in the characteristics measured. Differences in access to tertiary critical care in this rural region did not affect survival or length of stay after admission to this tertiary ICU. The odds ratio (1.14; 95% confidence interval 0.72-1.83) for mortality associated with transfer from a rural community hospital was not statistically significant. Conclusions: Patients at community hospitals in this area who develop need for tertiary critical care are just as likely to survive as patients who develop ICU needs on the wards of this rural tertiary-care hospital, despite different accessibility to tertiary intensive-care services.","author":[{"dropping-particle":"","family":"Surgenor","given":"Stephen D","non-dropping-particle":"","parse-names":false,"suffix":""},{"dropping-particle":"","family":"Corwin","given":"Howard L","non-dropping-particle":"","parse-names":false,"suffix":""},{"dropping-particle":"","family":"Clerico","given":"Terri","non-dropping-particle":"","parse-names":false,"suffix":""}],"container-title":"Critical Care","id":"ITEM-2","issued":{"date-parts":[["2001"]]},"page":"100-104","title":"Survival of patients transferred to tertiary intensive care from rural community hospitals","type":"article-journal","volume":"5"},"uris":["http://www.mendeley.com/documents/?uuid=3d6e21d8-6159-4228-ac05-276b8edc918a"]},{"id":"ITEM-3","itemData":{"DOI":"10.1186/1472-6963-10-44","ISBN":"1472-6963","ISSN":"14726963","PMID":"20170487","abstract":"BACKGROUND Comparing patterns of resource utilization between hospitals is often complicated by biases in community and patient populations. Stroke patients treated with tissue plasminogen activator (tPA) provide a particularly homogenous population for comparison because of strict eligibility criteria for treatment. We tested whether resource utilization would be similar in this homogenous population between two hospitals located in a single Midwestern US community by comparing use of diagnostic testing and associated outcomes following treatment with t-PA. METHODS Medical records from 206 consecutive intravenous t-PA-treated stroke patients from two teaching hospitals (one university, one community-based) were reviewed. Patient demographics, clinical characteristics and outcome were analyzed, as were the frequency of use of CT, MRI, MRA, echocardiography, angiography, and EEG. RESULTS Seventy-nine and 127 stroke patients received t-PA at the university and community hospitals, respectively. The two patient populations were demographically similar. There were no differences in stroke severity. All outcomes were similar at both hospitals. Utilization of CT scans, and non-invasive carotid and cardiac imaging studies were similar at both hospitals; however, brain MR, TEE, and catheter angiography were used more frequently at the university hospital. EEG was obtained more often at the community hospital. CONCLUSIONS Utilization of advanced brain imaging and invasive diagnostic testing was greater at the university hospital, but was not associated with improved clinical outcomes. This could not be explained on the basis of stroke severity or patient characteristics. This variation of practice suggests substantial opportunities exist to reduce costs and improve efficiency of diagnostic resource use as well as reduce patient exposure to risk from diagnostic procedures.","author":[{"dropping-particle":"","family":"Caveney","given":"Angela F.","non-dropping-particle":"","parse-names":false,"suffix":""},{"dropping-particle":"","family":"Silbergleit","given":"Robert","non-dropping-particle":"","parse-names":false,"suffix":""},{"dropping-particle":"","family":"Frederiksen","given":"Shirley","non-dropping-particle":"","parse-names":false,"suffix":""},{"dropping-particle":"","family":"Meurer","given":"William J.","non-dropping-particle":"","parse-names":false,"suffix":""},{"dropping-particle":"","family":"Hickenbottom","given":"Susan L.","non-dropping-particle":"","parse-names":false,"suffix":""},{"dropping-particle":"","family":"Smith","given":"Rodney W.","non-dropping-particle":"","parse-names":false,"suffix":""},{"dropping-particle":"","family":"Scott","given":"Phillip A.","non-dropping-particle":"","parse-names":false,"suffix":""}],"container-title":"BMC Health Services Research","id":"ITEM-3","issued":{"date-parts":[["2010"]]},"title":"Resource utilization and outcome at a university versus a community teaching hospital in tPA treated stroke patients: A retrospective cohort study","type":"article-journal","volume":"10"},"uris":["http://www.mendeley.com/documents/?uuid=78a6a7e9-a8ad-4fab-bb64-6d003f6e16cc"]}],"mendeley":{"formattedCitation":"&lt;sup&gt;[13–15]&lt;/sup&gt;","plainTextFormattedCitation":"[13–15]","previouslyFormattedCitation":"&lt;sup&gt;13–15&lt;/sup&gt;"},"properties":{"noteIndex":0},"schema":"https://github.com/citation-style-language/schema/raw/master/csl-citation.json"}</w:instrText>
      </w:r>
      <w:r w:rsidRPr="00932A95">
        <w:rPr>
          <w:rFonts w:ascii="Book Antiqua" w:hAnsi="Book Antiqua" w:cs="Book Antiqua"/>
          <w:color w:val="auto"/>
          <w:sz w:val="24"/>
          <w:szCs w:val="24"/>
          <w:highlight w:val="white"/>
        </w:rPr>
        <w:fldChar w:fldCharType="separate"/>
      </w:r>
      <w:r w:rsidRPr="00932A95">
        <w:rPr>
          <w:rFonts w:ascii="Book Antiqua" w:hAnsi="Book Antiqua" w:cs="Book Antiqua"/>
          <w:color w:val="auto"/>
          <w:sz w:val="24"/>
          <w:szCs w:val="24"/>
          <w:highlight w:val="white"/>
          <w:vertAlign w:val="superscript"/>
        </w:rPr>
        <w:t>[13</w:t>
      </w:r>
      <w:r w:rsidR="004C4042" w:rsidRPr="00932A95">
        <w:rPr>
          <w:rFonts w:ascii="Book Antiqua" w:hAnsi="Book Antiqua" w:cs="Book Antiqua"/>
          <w:color w:val="auto"/>
          <w:sz w:val="24"/>
          <w:szCs w:val="24"/>
          <w:highlight w:val="white"/>
          <w:vertAlign w:val="superscript"/>
        </w:rPr>
        <w:t>-</w:t>
      </w:r>
      <w:r w:rsidRPr="00932A95">
        <w:rPr>
          <w:rFonts w:ascii="Book Antiqua" w:hAnsi="Book Antiqua" w:cs="Book Antiqua"/>
          <w:color w:val="auto"/>
          <w:sz w:val="24"/>
          <w:szCs w:val="24"/>
          <w:highlight w:val="white"/>
          <w:vertAlign w:val="superscript"/>
        </w:rPr>
        <w:t>15]</w:t>
      </w:r>
      <w:r w:rsidRPr="00932A95">
        <w:rPr>
          <w:rFonts w:ascii="Book Antiqua" w:hAnsi="Book Antiqua" w:cs="Book Antiqua"/>
          <w:color w:val="auto"/>
          <w:sz w:val="24"/>
          <w:szCs w:val="24"/>
          <w:highlight w:val="white"/>
        </w:rPr>
        <w:fldChar w:fldCharType="end"/>
      </w:r>
      <w:r w:rsidRPr="00932A95">
        <w:rPr>
          <w:rFonts w:ascii="Book Antiqua" w:hAnsi="Book Antiqua" w:cs="Book Antiqua"/>
          <w:color w:val="auto"/>
          <w:sz w:val="24"/>
          <w:szCs w:val="24"/>
          <w:highlight w:val="white"/>
        </w:rPr>
        <w:t>. In regards to AVB, recent studies have suggested the average cost of</w:t>
      </w:r>
      <w:r w:rsidR="004C4042" w:rsidRPr="00932A95">
        <w:rPr>
          <w:rFonts w:ascii="Book Antiqua" w:hAnsi="Book Antiqua" w:cs="Book Antiqua"/>
          <w:color w:val="auto"/>
          <w:sz w:val="24"/>
          <w:szCs w:val="24"/>
          <w:highlight w:val="white"/>
        </w:rPr>
        <w:t xml:space="preserve"> in-hospital treatment to be $6</w:t>
      </w:r>
      <w:r w:rsidRPr="00932A95">
        <w:rPr>
          <w:rFonts w:ascii="Book Antiqua" w:hAnsi="Book Antiqua" w:cs="Book Antiqua"/>
          <w:color w:val="auto"/>
          <w:sz w:val="24"/>
          <w:szCs w:val="24"/>
          <w:highlight w:val="white"/>
        </w:rPr>
        <w:t>612 for those wit</w:t>
      </w:r>
      <w:r w:rsidR="00F1382E">
        <w:rPr>
          <w:rFonts w:ascii="Book Antiqua" w:hAnsi="Book Antiqua" w:cs="Book Antiqua"/>
          <w:color w:val="auto"/>
          <w:sz w:val="24"/>
          <w:szCs w:val="24"/>
          <w:highlight w:val="white"/>
        </w:rPr>
        <w:t>hout any complications, and $23</w:t>
      </w:r>
      <w:r w:rsidRPr="00932A95">
        <w:rPr>
          <w:rFonts w:ascii="Book Antiqua" w:hAnsi="Book Antiqua" w:cs="Book Antiqua"/>
          <w:color w:val="auto"/>
          <w:sz w:val="24"/>
          <w:szCs w:val="24"/>
          <w:highlight w:val="white"/>
        </w:rPr>
        <w:t>207 for those with complications</w:t>
      </w:r>
      <w:r w:rsidRPr="00932A95">
        <w:rPr>
          <w:rFonts w:ascii="Book Antiqua" w:hAnsi="Book Antiqua" w:cs="Book Antiqua"/>
          <w:color w:val="auto"/>
          <w:sz w:val="24"/>
          <w:szCs w:val="24"/>
          <w:highlight w:val="white"/>
        </w:rPr>
        <w:fldChar w:fldCharType="begin" w:fldLock="1"/>
      </w:r>
      <w:r w:rsidRPr="00932A95">
        <w:rPr>
          <w:rFonts w:ascii="Book Antiqua" w:hAnsi="Book Antiqua" w:cs="Book Antiqua"/>
          <w:color w:val="auto"/>
          <w:sz w:val="24"/>
          <w:szCs w:val="24"/>
          <w:highlight w:val="white"/>
        </w:rPr>
        <w:instrText>ADDIN CSL_CITATION {"citationItems":[{"id":"ITEM-1","itemData":{"DOI":"10.1016/j.jval.2015.12.005","ISSN":"15244733","author":[{"dropping-particle":"","family":"Adam","given":"V.","non-dropping-particle":"","parse-names":false,"suffix":""},{"dropping-particle":"","family":"Barkun","given":"A. N.","non-dropping-particle":"","parse-names":false,"suffix":""}],"container-title":"Value in Health","id":"ITEM-1","issue":"1","issued":{"date-parts":[["2008"]]},"page":"1-3","title":"Estimates of costs of hospital stay for variceal and nonvariceal upper gastrointestinal bleeding in the United States (Value in Health (2008) 11:1 (1-3))","type":"article","volume":"11"},"uris":["http://www.mendeley.com/documents/?uuid=a3cbc897-a8c6-4508-90f1-3089e74dea9b"]}],"mendeley":{"formattedCitation":"&lt;sup&gt;[16]&lt;/sup&gt;","plainTextFormattedCitation":"[16]","previouslyFormattedCitation":"&lt;sup&gt;16&lt;/sup&gt;"},"properties":{"noteIndex":0},"schema":"https://github.com/citation-style-language/schema/raw/master/csl-citation.json"}</w:instrText>
      </w:r>
      <w:r w:rsidRPr="00932A95">
        <w:rPr>
          <w:rFonts w:ascii="Book Antiqua" w:hAnsi="Book Antiqua" w:cs="Book Antiqua"/>
          <w:color w:val="auto"/>
          <w:sz w:val="24"/>
          <w:szCs w:val="24"/>
          <w:highlight w:val="white"/>
        </w:rPr>
        <w:fldChar w:fldCharType="separate"/>
      </w:r>
      <w:r w:rsidRPr="00932A95">
        <w:rPr>
          <w:rFonts w:ascii="Book Antiqua" w:hAnsi="Book Antiqua" w:cs="Book Antiqua"/>
          <w:color w:val="auto"/>
          <w:sz w:val="24"/>
          <w:szCs w:val="24"/>
          <w:highlight w:val="white"/>
          <w:vertAlign w:val="superscript"/>
        </w:rPr>
        <w:t>[16]</w:t>
      </w:r>
      <w:r w:rsidRPr="00932A95">
        <w:rPr>
          <w:rFonts w:ascii="Book Antiqua" w:hAnsi="Book Antiqua" w:cs="Book Antiqua"/>
          <w:color w:val="auto"/>
          <w:sz w:val="24"/>
          <w:szCs w:val="24"/>
          <w:highlight w:val="white"/>
        </w:rPr>
        <w:fldChar w:fldCharType="end"/>
      </w:r>
      <w:r w:rsidRPr="00932A95">
        <w:rPr>
          <w:rFonts w:ascii="Book Antiqua" w:hAnsi="Book Antiqua" w:cs="Book Antiqua"/>
          <w:color w:val="auto"/>
          <w:sz w:val="24"/>
          <w:szCs w:val="24"/>
          <w:highlight w:val="white"/>
        </w:rPr>
        <w:t>. After adjusting for geographic cost of living and patient factors, cost per case were similar across hospital type</w:t>
      </w:r>
      <w:r w:rsidRPr="00932A95">
        <w:rPr>
          <w:rFonts w:ascii="Book Antiqua" w:hAnsi="Book Antiqua" w:cs="Book Antiqua"/>
          <w:color w:val="auto"/>
          <w:sz w:val="24"/>
          <w:szCs w:val="24"/>
          <w:highlight w:val="white"/>
        </w:rPr>
        <w:fldChar w:fldCharType="begin" w:fldLock="1"/>
      </w:r>
      <w:r w:rsidRPr="00932A95">
        <w:rPr>
          <w:rFonts w:ascii="Book Antiqua" w:hAnsi="Book Antiqua" w:cs="Book Antiqua"/>
          <w:color w:val="auto"/>
          <w:sz w:val="24"/>
          <w:szCs w:val="24"/>
          <w:highlight w:val="white"/>
        </w:rPr>
        <w:instrText>ADDIN CSL_CITATION {"citationItems":[{"id":"ITEM-1","itemData":{"DOI":"10.1097/ACM.0b013e318253676a","ISBN":"1040-2446","ISSN":"10402446","PMID":"22534588","abstract":"PURPOSE: To compare the performance of U.S. teaching and nonteaching hospitals using a portfolio of contemporary, publicly reported metrics.\\n\\nMETHOD: The authors classified acute care general hospitals filing a Medicare Institutional Cost Report according to teaching intensity: nonteaching, teaching, or Council of Teaching Hospitals member. They compared aggregate results across categories for Hospital Compare process compliance, mortality, and readmission rates (acute myocardial infarction [AMI], heart failure, pneumonia); Surgical Care Improvement Project (SCIP) performance; compliance with Leapfrog standards; patient experience; patient services and key technologies; safety (computerized physician order entry, intensive care unit staffing, National Quality Forum safe practices, hospital-acquired conditions); and cost/resource utilization (Medicare-adjusted expense per case; Leapfrog efficiency and resource use standards).\\n\\nRESULTS: Availability of patient services and advanced technologies were associated with teaching intensity (P &lt; .0001), as were most hospital safety metrics. Teaching intensity was favorably associated with SCIP performance, AMI and heart failure process scores, and mortality (P &lt; .0001). It was unfavorably associated with higher AMI and pneumonia readmission rates (P &lt; .0001) and lower scores for individual patient satisfaction measures. Costs per case were similar (P = .4194) across hospital categories after correction for federally allowed adjustments (case mix, wages, and low-income patient care).\\n\\nCONCLUSIONS: Teaching hospitals offer advanced clinical capabilities, educate the next generation of providers, care for disadvantaged urban populations, and are leaders in health care research and innovation. However, many stakeholders may be unaware of an additional value-relatively higher quality and safety in many areas, with similar adjusted costs.","author":[{"dropping-particle":"","family":"Shahian","given":"David M.","non-dropping-particle":"","parse-names":false,"suffix":""},{"dropping-particle":"","family":"Nordberg","given":"Paul","non-dropping-particle":"","parse-names":false,"suffix":""},{"dropping-particle":"","family":"Meyer","given":"Gregg S.","non-dropping-particle":"","parse-names":false,"suffix":""},{"dropping-particle":"","family":"Blanchfield","given":"Bonnie B.","non-dropping-particle":"","parse-names":false,"suffix":""},{"dropping-particle":"","family":"Mort","given":"Elizabeth A.","non-dropping-particle":"","parse-names":false,"suffix":""},{"dropping-particle":"","family":"Torchiana","given":"David F.","non-dropping-particle":"","parse-names":false,"suffix":""},{"dropping-particle":"","family":"Normand","given":"Sharon Lise T","non-dropping-particle":"","parse-names":false,"suffix":""}],"container-title":"Academic Medicine","id":"ITEM-1","issue":"6","issued":{"date-parts":[["2012"]]},"page":"701-708","title":"Contemporary performance of U.S. teaching and nonteaching hospitals","type":"article-journal","volume":"87"},"uris":["http://www.mendeley.com/documents/?uuid=a1b36fcc-18a9-41bd-9b25-77d3d880f91e"]}],"mendeley":{"formattedCitation":"&lt;sup&gt;[17]&lt;/sup&gt;","plainTextFormattedCitation":"[17]","previouslyFormattedCitation":"&lt;sup&gt;17&lt;/sup&gt;"},"properties":{"noteIndex":0},"schema":"https://github.com/citation-style-language/schema/raw/master/csl-citation.json"}</w:instrText>
      </w:r>
      <w:r w:rsidRPr="00932A95">
        <w:rPr>
          <w:rFonts w:ascii="Book Antiqua" w:hAnsi="Book Antiqua" w:cs="Book Antiqua"/>
          <w:color w:val="auto"/>
          <w:sz w:val="24"/>
          <w:szCs w:val="24"/>
          <w:highlight w:val="white"/>
        </w:rPr>
        <w:fldChar w:fldCharType="separate"/>
      </w:r>
      <w:r w:rsidRPr="00932A95">
        <w:rPr>
          <w:rFonts w:ascii="Book Antiqua" w:hAnsi="Book Antiqua" w:cs="Book Antiqua"/>
          <w:color w:val="auto"/>
          <w:sz w:val="24"/>
          <w:szCs w:val="24"/>
          <w:highlight w:val="white"/>
          <w:vertAlign w:val="superscript"/>
        </w:rPr>
        <w:t>[17]</w:t>
      </w:r>
      <w:r w:rsidRPr="00932A95">
        <w:rPr>
          <w:rFonts w:ascii="Book Antiqua" w:hAnsi="Book Antiqua" w:cs="Book Antiqua"/>
          <w:color w:val="auto"/>
          <w:sz w:val="24"/>
          <w:szCs w:val="24"/>
          <w:highlight w:val="white"/>
        </w:rPr>
        <w:fldChar w:fldCharType="end"/>
      </w:r>
      <w:r w:rsidRPr="00932A95">
        <w:rPr>
          <w:rFonts w:ascii="Book Antiqua" w:hAnsi="Book Antiqua" w:cs="Book Antiqua"/>
          <w:color w:val="auto"/>
          <w:sz w:val="24"/>
          <w:szCs w:val="24"/>
          <w:highlight w:val="white"/>
        </w:rPr>
        <w:t>.</w:t>
      </w:r>
    </w:p>
    <w:p w14:paraId="09362E26"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Due to the complexity in management of esophageal variceal bleeding, one can hypothesize that teaching hospitals have lower mortality. Given the limited data on outcomes of patients with variceal bleeding in teaching versus nonteaching hospitals, our study aims to assess the differences in mortality, length of stay (LOS), and hospital costs for patients admitted for AVB among different hospital settings within the United States. </w:t>
      </w:r>
    </w:p>
    <w:p w14:paraId="7E952DC9" w14:textId="77777777" w:rsidR="0011433B" w:rsidRPr="00932A95" w:rsidRDefault="0011433B" w:rsidP="00374FC0">
      <w:pPr>
        <w:spacing w:line="360" w:lineRule="auto"/>
        <w:jc w:val="both"/>
        <w:rPr>
          <w:rFonts w:ascii="Book Antiqua" w:hAnsi="Book Antiqua" w:cs="Book Antiqua"/>
          <w:color w:val="auto"/>
          <w:sz w:val="24"/>
          <w:szCs w:val="24"/>
        </w:rPr>
      </w:pPr>
    </w:p>
    <w:p w14:paraId="3C0A6AE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Times New Roman"/>
          <w:b/>
          <w:bCs/>
          <w:color w:val="auto"/>
          <w:sz w:val="24"/>
          <w:szCs w:val="24"/>
          <w:u w:val="single"/>
          <w:lang w:val="en-US"/>
        </w:rPr>
        <w:t>MATERIALS AND METHODS</w:t>
      </w:r>
    </w:p>
    <w:p w14:paraId="76B34B79"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Data</w:t>
      </w:r>
      <w:r w:rsidR="004C4042" w:rsidRPr="00932A95">
        <w:rPr>
          <w:rFonts w:ascii="Book Antiqua" w:hAnsi="Book Antiqua" w:cs="Book Antiqua"/>
          <w:b/>
          <w:i/>
          <w:color w:val="auto"/>
          <w:sz w:val="24"/>
          <w:szCs w:val="24"/>
        </w:rPr>
        <w:t xml:space="preserve"> s</w:t>
      </w:r>
      <w:r w:rsidRPr="00932A95">
        <w:rPr>
          <w:rFonts w:ascii="Book Antiqua" w:hAnsi="Book Antiqua" w:cs="Book Antiqua"/>
          <w:b/>
          <w:i/>
          <w:color w:val="auto"/>
          <w:sz w:val="24"/>
          <w:szCs w:val="24"/>
        </w:rPr>
        <w:t>ource</w:t>
      </w:r>
    </w:p>
    <w:p w14:paraId="576345F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The National Inpatient Sample (NIS), maintained by the Healthcare Cost and Utilization Project (HCUP) of the Agency for Healthcare Research and Quality, is the largest database of inpatient hospital stays in the United States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{"citationItems":[{"id":"ITEM-1","itemData":{"URL":"www.hcup-us.ahrq.gov/nisoverview.jsp","container-title":"Agency for Healthcare Research and Quality, Rockville, MD.","id":"ITEM-1","issued":{"date-parts":[["2012"]]},"title":"HCUP National Inpatient Sample (NIS). Healthcare Cost and Utilization Project (HCUP). 2012.","type":"webpage"},"uris":["http://www.mendeley.com/documents/?uuid=9d6c52d1-eb41-41ed-90db-2c7208655e43"]}],"mendeley":{"formattedCitation":"&lt;sup&gt;[18]&lt;/sup&gt;","plainTextFormattedCitation":"[18]","previouslyFormattedCitation":"&lt;sup&gt;18&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[18]</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xml:space="preserve">. The NIS </w:t>
      </w:r>
      <w:r w:rsidRPr="00932A95">
        <w:rPr>
          <w:rFonts w:ascii="Book Antiqua" w:hAnsi="Book Antiqua" w:cs="Book Antiqua"/>
          <w:color w:val="auto"/>
          <w:sz w:val="24"/>
          <w:szCs w:val="24"/>
        </w:rPr>
        <w:lastRenderedPageBreak/>
        <w:t xml:space="preserve">collects data from a 20% stratified sample of </w:t>
      </w:r>
      <w:r w:rsidR="004C4042" w:rsidRPr="00932A95">
        <w:rPr>
          <w:rFonts w:ascii="Book Antiqua" w:hAnsi="Book Antiqua" w:cs="Book Antiqua"/>
          <w:color w:val="auto"/>
          <w:sz w:val="24"/>
          <w:szCs w:val="24"/>
        </w:rPr>
        <w:t xml:space="preserve">United States </w:t>
      </w:r>
      <w:r w:rsidRPr="00932A95">
        <w:rPr>
          <w:rFonts w:ascii="Book Antiqua" w:hAnsi="Book Antiqua" w:cs="Book Antiqua"/>
          <w:color w:val="auto"/>
          <w:sz w:val="24"/>
          <w:szCs w:val="24"/>
        </w:rPr>
        <w:t>hospitals from 37 states and has been reliably used to estimate disease burden and outcomes. Each individual hospitalization is de-identified and maintained in the NIS as a unique entry with 1 primary discharge diagnosis and up to 29 secondary diagnoses during that hospitalization depending on the year of data collection. Each entry also carried information on patient demographics including age, sex, race, insurance status, primary and secondary procedures (up to 14), hospitalization outcome, total charges, and length of stay (LOS).</w:t>
      </w:r>
    </w:p>
    <w:p w14:paraId="167FC284"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eastAsia="Times New Roman" w:hAnsi="Book Antiqua" w:cs="Book Antiqua"/>
          <w:color w:val="auto"/>
          <w:sz w:val="24"/>
          <w:szCs w:val="24"/>
        </w:rPr>
        <w:t xml:space="preserve"> </w:t>
      </w:r>
    </w:p>
    <w:p w14:paraId="3E55F4C1" w14:textId="1C0831B1"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 xml:space="preserve">Study </w:t>
      </w:r>
      <w:r w:rsidR="00F1382E" w:rsidRPr="00932A95">
        <w:rPr>
          <w:rFonts w:ascii="Book Antiqua" w:hAnsi="Book Antiqua" w:cs="Book Antiqua"/>
          <w:b/>
          <w:i/>
          <w:color w:val="auto"/>
          <w:sz w:val="24"/>
          <w:szCs w:val="24"/>
        </w:rPr>
        <w:t>s</w:t>
      </w:r>
      <w:r w:rsidRPr="00932A95">
        <w:rPr>
          <w:rFonts w:ascii="Book Antiqua" w:hAnsi="Book Antiqua" w:cs="Book Antiqua"/>
          <w:b/>
          <w:i/>
          <w:color w:val="auto"/>
          <w:sz w:val="24"/>
          <w:szCs w:val="24"/>
        </w:rPr>
        <w:t>ample</w:t>
      </w:r>
    </w:p>
    <w:p w14:paraId="029B6FC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eastAsia="Arial Unicode MS" w:hAnsi="Book Antiqua" w:cs="Book Antiqua"/>
          <w:color w:val="auto"/>
          <w:sz w:val="24"/>
          <w:szCs w:val="24"/>
        </w:rPr>
        <w:t xml:space="preserve">The International Classification of Diseases </w:t>
      </w:r>
      <w:r w:rsidRPr="00816A18">
        <w:rPr>
          <w:rFonts w:ascii="Book Antiqua" w:eastAsia="Arial Unicode MS" w:hAnsi="Book Antiqua" w:cs="Book Antiqua"/>
          <w:color w:val="auto"/>
          <w:sz w:val="24"/>
          <w:szCs w:val="24"/>
        </w:rPr>
        <w:t>9</w:t>
      </w:r>
      <w:r w:rsidRPr="00816A18">
        <w:rPr>
          <w:rFonts w:ascii="Book Antiqua" w:eastAsia="Arial Unicode MS" w:hAnsi="Book Antiqua" w:cs="Book Antiqua"/>
          <w:color w:val="auto"/>
          <w:sz w:val="24"/>
          <w:szCs w:val="24"/>
          <w:vertAlign w:val="superscript"/>
        </w:rPr>
        <w:t>th</w:t>
      </w:r>
      <w:r w:rsidRPr="00816A18">
        <w:rPr>
          <w:rFonts w:ascii="Book Antiqua" w:eastAsia="Arial Unicode MS" w:hAnsi="Book Antiqua" w:cs="Book Antiqua"/>
          <w:color w:val="auto"/>
          <w:sz w:val="24"/>
          <w:szCs w:val="24"/>
        </w:rPr>
        <w:t xml:space="preserve"> </w:t>
      </w:r>
      <w:r w:rsidRPr="00932A95">
        <w:rPr>
          <w:rFonts w:ascii="Book Antiqua" w:eastAsia="Arial Unicode MS" w:hAnsi="Book Antiqua" w:cs="Book Antiqua"/>
          <w:color w:val="auto"/>
          <w:sz w:val="24"/>
          <w:szCs w:val="24"/>
        </w:rPr>
        <w:t>Version, Clinical Modification (ICD-9 CM) diagnosis codes (456.0 and 456.2) were used to identify patients (≥</w:t>
      </w:r>
      <w:r w:rsidRPr="00932A95">
        <w:rPr>
          <w:rFonts w:ascii="Book Antiqua" w:eastAsia="Arial Unicode MS" w:hAnsi="Book Antiqua" w:cs="Book Antiqua"/>
          <w:color w:val="auto"/>
          <w:sz w:val="24"/>
          <w:szCs w:val="24"/>
          <w:lang w:val="en-US"/>
        </w:rPr>
        <w:t xml:space="preserve"> </w:t>
      </w:r>
      <w:r w:rsidRPr="00932A95">
        <w:rPr>
          <w:rFonts w:ascii="Book Antiqua" w:eastAsia="Arial Unicode MS" w:hAnsi="Book Antiqua" w:cs="Book Antiqua"/>
          <w:color w:val="auto"/>
          <w:sz w:val="24"/>
          <w:szCs w:val="24"/>
        </w:rPr>
        <w:t xml:space="preserve">18 years) hospitalized with a primary diagnosis of esophageal variceal bleeding admitted between 2008 and 2014. If a patient had any other liver related diagnosis code </w:t>
      </w:r>
      <w:r w:rsidRPr="00816A18">
        <w:rPr>
          <w:rFonts w:ascii="Book Antiqua" w:eastAsia="Arial Unicode MS" w:hAnsi="Book Antiqua" w:cs="Book Antiqua"/>
          <w:color w:val="auto"/>
          <w:sz w:val="24"/>
          <w:szCs w:val="24"/>
        </w:rPr>
        <w:t>(</w:t>
      </w:r>
      <w:r w:rsidR="00816A18" w:rsidRPr="00816A18">
        <w:rPr>
          <w:rFonts w:ascii="Book Antiqua" w:eastAsia="Arial Unicode MS" w:hAnsi="Book Antiqua" w:cs="Book Antiqua"/>
          <w:color w:val="auto"/>
          <w:sz w:val="24"/>
          <w:szCs w:val="24"/>
        </w:rPr>
        <w:t>Supplementary Table 1</w:t>
      </w:r>
      <w:r w:rsidRPr="00816A18">
        <w:rPr>
          <w:rFonts w:ascii="Book Antiqua" w:eastAsia="Arial Unicode MS" w:hAnsi="Book Antiqua" w:cs="Book Antiqua"/>
          <w:color w:val="auto"/>
          <w:sz w:val="24"/>
          <w:szCs w:val="24"/>
        </w:rPr>
        <w:t>)</w:t>
      </w:r>
      <w:r w:rsidRPr="00932A95">
        <w:rPr>
          <w:rFonts w:ascii="Book Antiqua" w:eastAsia="Arial Unicode MS" w:hAnsi="Book Antiqua" w:cs="Book Antiqua"/>
          <w:color w:val="auto"/>
          <w:sz w:val="24"/>
          <w:szCs w:val="24"/>
        </w:rPr>
        <w:t xml:space="preserve"> as their primary diagnosis they were also included. All patients that were admitted electively were excluded due to the inconsistency of elective admission and emergent nature of acute variceal bleeding. Only patients that had an EGD performed were included since endoscopy is necessary to diagnose a variceal bleed and also to exclude causes of nonvariceal upper GI bleeding. Cases that did not have mortality data or hospital teaching status were excluded.</w:t>
      </w:r>
      <w:r w:rsidRPr="00932A95">
        <w:rPr>
          <w:rFonts w:ascii="Book Antiqua" w:eastAsia="Arial Unicode MS" w:hAnsi="Book Antiqua" w:cs="Book Antiqua"/>
          <w:color w:val="auto"/>
          <w:sz w:val="24"/>
          <w:szCs w:val="24"/>
          <w:lang w:val="en-US"/>
        </w:rPr>
        <w:t xml:space="preserve"> </w:t>
      </w:r>
      <w:r w:rsidR="004C4042" w:rsidRPr="00932A95">
        <w:rPr>
          <w:rFonts w:ascii="Book Antiqua" w:eastAsia="Arial Unicode MS" w:hAnsi="Book Antiqua" w:cs="Book Antiqua"/>
          <w:color w:val="auto"/>
          <w:sz w:val="24"/>
          <w:szCs w:val="24"/>
        </w:rPr>
        <w:t>In total, 58</w:t>
      </w:r>
      <w:r w:rsidRPr="00932A95">
        <w:rPr>
          <w:rFonts w:ascii="Book Antiqua" w:eastAsia="Arial Unicode MS" w:hAnsi="Book Antiqua" w:cs="Book Antiqua"/>
          <w:color w:val="auto"/>
          <w:sz w:val="24"/>
          <w:szCs w:val="24"/>
        </w:rPr>
        <w:t>362 cases were found using the above inclusion criteria. Secondary outcome variables were LOS and cost of hospitalization.</w:t>
      </w:r>
    </w:p>
    <w:p w14:paraId="201CBD3A"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eastAsia="Times New Roman" w:hAnsi="Book Antiqua" w:cs="Book Antiqua"/>
          <w:color w:val="auto"/>
          <w:sz w:val="24"/>
          <w:szCs w:val="24"/>
        </w:rPr>
        <w:t xml:space="preserve"> </w:t>
      </w:r>
    </w:p>
    <w:p w14:paraId="099424EE"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 xml:space="preserve">Hospital </w:t>
      </w:r>
      <w:r w:rsidR="004C4042" w:rsidRPr="00932A95">
        <w:rPr>
          <w:rFonts w:ascii="Book Antiqua" w:hAnsi="Book Antiqua" w:cs="Book Antiqua"/>
          <w:b/>
          <w:i/>
          <w:color w:val="auto"/>
          <w:sz w:val="24"/>
          <w:szCs w:val="24"/>
        </w:rPr>
        <w:t>teaching status</w:t>
      </w:r>
    </w:p>
    <w:p w14:paraId="1359743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Our primary exposure variable was the teaching status of the hospital each patient was treated at. In the NIS database, this data is divided into three separate categories: rural, urban-nonteaching and urban teaching. For our study, the rural and urban-nonteaching categories were combined into one category termed non-teaching while the urban teaching category was used to delineate all teaching hospitals.</w:t>
      </w:r>
    </w:p>
    <w:p w14:paraId="69CB11FA"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eastAsia="Times New Roman" w:hAnsi="Book Antiqua" w:cs="Book Antiqua"/>
          <w:color w:val="auto"/>
          <w:sz w:val="24"/>
          <w:szCs w:val="24"/>
        </w:rPr>
        <w:lastRenderedPageBreak/>
        <w:t xml:space="preserve"> </w:t>
      </w:r>
    </w:p>
    <w:p w14:paraId="2E7D9B08"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 xml:space="preserve">Predictive </w:t>
      </w:r>
      <w:r w:rsidR="005733BD" w:rsidRPr="00932A95">
        <w:rPr>
          <w:rFonts w:ascii="Book Antiqua" w:hAnsi="Book Antiqua" w:cs="Book Antiqua"/>
          <w:b/>
          <w:i/>
          <w:color w:val="auto"/>
          <w:sz w:val="24"/>
          <w:szCs w:val="24"/>
        </w:rPr>
        <w:t>v</w:t>
      </w:r>
      <w:r w:rsidRPr="00932A95">
        <w:rPr>
          <w:rFonts w:ascii="Book Antiqua" w:hAnsi="Book Antiqua" w:cs="Book Antiqua"/>
          <w:b/>
          <w:i/>
          <w:color w:val="auto"/>
          <w:sz w:val="24"/>
          <w:szCs w:val="24"/>
        </w:rPr>
        <w:t>ariables</w:t>
      </w:r>
    </w:p>
    <w:p w14:paraId="23B15B5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Other variables that were studied included age (divided into three groups;</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 xml:space="preserve">40 years, 40-59 years and &gt; 60 years), gender, race, primary payer, hospital location, hospital bed size, and transfer status (in from another acute care hospital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not a transfer).</w:t>
      </w:r>
    </w:p>
    <w:p w14:paraId="660B20B4"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In order to assess for comorbidities, the data was extracted to include the </w:t>
      </w:r>
      <w:proofErr w:type="spellStart"/>
      <w:r w:rsidRPr="00932A95">
        <w:rPr>
          <w:rFonts w:ascii="Book Antiqua" w:hAnsi="Book Antiqua" w:cs="Book Antiqua"/>
          <w:color w:val="auto"/>
          <w:sz w:val="24"/>
          <w:szCs w:val="24"/>
        </w:rPr>
        <w:t>Elixhauser</w:t>
      </w:r>
      <w:proofErr w:type="spellEnd"/>
      <w:r w:rsidRPr="00932A95">
        <w:rPr>
          <w:rFonts w:ascii="Book Antiqua" w:hAnsi="Book Antiqua" w:cs="Book Antiqua"/>
          <w:color w:val="auto"/>
          <w:sz w:val="24"/>
          <w:szCs w:val="24"/>
        </w:rPr>
        <w:t xml:space="preserve"> comorbidity Index</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{"citationItems":[{"id":"ITEM-1","itemData":{"URL":"www.hcup-us.ahrq.gov/toolssoftware/comorbidity/comorbidity.jsp","abstract":"March 2017. Agency for Healthcare Research and Quality, Rockville, MD. ","author":[{"dropping-particle":"","family":"Healthcare Cost and Utilization Project (HCUP)","given":"","non-dropping-particle":"","parse-names":false,"suffix":""}],"container-title":"Agency for Healthcare Research and Quality","id":"ITEM-1","issued":{"date-parts":[["2017"]]},"page":"Rockville, MD","title":"HCUP Elixhauser Comorbidity Software","type":"webpage"},"uris":["http://www.mendeley.com/documents/?uuid=4781d1b2-8692-4cd9-beb8-8c50e8e50570"]}],"mendeley":{"formattedCitation":"&lt;sup&gt;[19]&lt;/sup&gt;","plainTextFormattedCitation":"[19]","previouslyFormattedCitation":"&lt;sup&gt;19&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[19]</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This is a well-validated index based on ICD-9-CM codes that is meant to be used in large administrative data to predict mortality and hospital resource use</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{"citationItems":[{"id":"ITEM-1","itemData":{"DOI":"10.1097/01.mlr.0000118861.56848.ee","ISBN":"0025-7079 (Print)\\r0025-7079 (Linking)","ISSN":"00257079","PMID":"15076812","abstract":"Background: Comorbidity risk adjustment methods have been used widely with administrative data, and the Charlson/Deyo method is perhaps the most commonly used in the literature. However, a new method defined by Elixhauser et al. has been introduced recently and could be superior, although it has not been validated widely. Objectives: We compared the Charlson/Deyo and Elixhauser methods using Canadian administrative data on patients with myocardial infarction (MI). Research Design: We conducted a historical cohort study. Subjects: We used administrative hospital discharge data from a large Canadian city for all cases with acute MI coded as most responsible diagnosis between January 1, 1995, and March 31, 2001. Measures: We used each of the 2 methods to define comorbidity variables based on the International Classification of Diseases, 9th Revision, Clinical Modification codes present in each case record. We then compared 2 models predicting in-hospital mortality based on presence or absence of the variables defined by each of the methods. Frequency tables were produced and c-statistics and changes in -2 log likelihood (-2LogL) were calculated. We also visually assessed model performance by plotting observed and expected percentages of death for increasing risk categories defined by the 2 models. Results: The Elixhauser model outperformed the Charlson/Deyo model in predicting mortality, with higher c-statistic values (0.793 vs. 0.704). Superior performance of the Elixhauser method is confirmed when plotting the expected and observed risks of death across groupings of increasing risk, in which the Elixhauser method yields a wider range of predicted and observed probabilities of death across groupings (2.5%-33%) than does the Charlson/Deyo method (5%-25%). Conclusions: The Elixhauser comorbidity measurement method performs better than the widely used Charlson/Deyo method in the Canadian acute MI cases studied.","author":[{"dropping-particle":"","family":"Southern","given":"Danielle A.","non-dropping-particle":"","parse-names":false,"suffix":""},{"dropping-particle":"","family":"Quan","given":"Hude","non-dropping-particle":"","parse-names":false,"suffix":""},{"dropping-particle":"","family":"Ghali","given":"William A.","non-dropping-particle":"","parse-names":false,"suffix":""}],"container-title":"Medical Care","id":"ITEM-1","issue":"4","issued":{"date-parts":[["2004"]]},"page":"355-360","title":"Comparison of the elixhauser and charlson/deyo methods of comorbidity measurement in administrative data","type":"article-journal","volume":"42"},"uris":["http://www.mendeley.com/documents/?uuid=2449d55d-4cc4-43a2-b94b-335d8d9879f2"]}],"mendeley":{"formattedCitation":"&lt;sup&gt;[20]&lt;/sup&gt;","plainTextFormattedCitation":"[20]","previouslyFormattedCitation":"&lt;sup&gt;20&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[20]</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The index has 30 comorbid categories that include both liver disease and coagulopathy. Due to the nature of our primary diagnosis, we excluded both of these variables from our index and therefore studied only 28 comorbidities. Since the NIS does not allow us to determine the severity of liver disease using either the Child-Pugh classification or Model for End Stage Liver Disease (MELD) score we assessed for separate conditions associated with liver decompensation. These included ascites (ICD-9-CM 789.5 and 789.59), hepatic encephalopathy (ICD-9-CM 572.2), spontaneous bacterial peritonitis (ICD-9-CM 567.23), hepatorenal syndrome (ICD-9-CM 572.4) and hepatocellular carcinoma (ICD-9-CM 155.0). Furthermore, we also separately analyzed data for patients with alcoholic cirrhosis (ICD-9-CM 571.2) as their underlying liver disease as this is one of the most common liver etiologies of variceal bleeding. Finally, common management options for esophageal variceal bleeding were also identified. These included blood transfusions (ICD-9-CM 99.00, 99.04, 99.05, 99.06, 99.07), balloon tamponade (ICD-9-CM 44.93 and 96.06), and portosystemic shunt (ICD-9-CM 39.1).</w:t>
      </w:r>
    </w:p>
    <w:p w14:paraId="53F28762"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eastAsia="Times New Roman" w:hAnsi="Book Antiqua" w:cs="Book Antiqua"/>
          <w:color w:val="auto"/>
          <w:sz w:val="24"/>
          <w:szCs w:val="24"/>
        </w:rPr>
        <w:t xml:space="preserve"> </w:t>
      </w:r>
    </w:p>
    <w:p w14:paraId="1A40AD52"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 xml:space="preserve">Statistical </w:t>
      </w:r>
      <w:r w:rsidR="005733BD" w:rsidRPr="00932A95">
        <w:rPr>
          <w:rFonts w:ascii="Book Antiqua" w:hAnsi="Book Antiqua" w:cs="Book Antiqua"/>
          <w:b/>
          <w:i/>
          <w:color w:val="auto"/>
          <w:sz w:val="24"/>
          <w:szCs w:val="24"/>
        </w:rPr>
        <w:t>a</w:t>
      </w:r>
      <w:r w:rsidRPr="00932A95">
        <w:rPr>
          <w:rFonts w:ascii="Book Antiqua" w:hAnsi="Book Antiqua" w:cs="Book Antiqua"/>
          <w:b/>
          <w:i/>
          <w:color w:val="auto"/>
          <w:sz w:val="24"/>
          <w:szCs w:val="24"/>
        </w:rPr>
        <w:t>nalysis</w:t>
      </w:r>
    </w:p>
    <w:p w14:paraId="3E45D9C9" w14:textId="1E1CCEF9"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Hospital-level discharge weights provided by NIS were used to generate national estimates. Categorical variables were compared using the chi-square, whereas indepen</w:t>
      </w:r>
      <w:r w:rsidR="001E366C">
        <w:rPr>
          <w:rFonts w:ascii="Book Antiqua" w:hAnsi="Book Antiqua" w:cs="Book Antiqua"/>
          <w:color w:val="auto"/>
          <w:sz w:val="24"/>
          <w:szCs w:val="24"/>
        </w:rPr>
        <w:t>den</w:t>
      </w:r>
      <w:r w:rsidRPr="00932A95">
        <w:rPr>
          <w:rFonts w:ascii="Book Antiqua" w:hAnsi="Book Antiqua" w:cs="Book Antiqua"/>
          <w:color w:val="auto"/>
          <w:sz w:val="24"/>
          <w:szCs w:val="24"/>
        </w:rPr>
        <w:t xml:space="preserve">t sample T test was used for continuous variables. Using binary </w:t>
      </w:r>
      <w:r w:rsidRPr="00932A95">
        <w:rPr>
          <w:rFonts w:ascii="Book Antiqua" w:hAnsi="Book Antiqua" w:cs="Book Antiqua"/>
          <w:color w:val="auto"/>
          <w:sz w:val="24"/>
          <w:szCs w:val="24"/>
        </w:rPr>
        <w:lastRenderedPageBreak/>
        <w:t xml:space="preserve">logistic regression models mortality, LOS, and cost were examined after adjusting for baseline patient demographics, hospital details, procedures, and comorbid conditions. A </w:t>
      </w:r>
      <w:r w:rsidRPr="00932A95">
        <w:rPr>
          <w:rFonts w:ascii="Book Antiqua" w:hAnsi="Book Antiqua" w:cs="Book Antiqua"/>
          <w:i/>
          <w:caps/>
          <w:color w:val="auto"/>
          <w:sz w:val="24"/>
          <w:szCs w:val="24"/>
        </w:rPr>
        <w:t>p</w:t>
      </w:r>
      <w:r w:rsidR="005733BD" w:rsidRPr="00932A95">
        <w:rPr>
          <w:rFonts w:ascii="Book Antiqua" w:hAnsi="Book Antiqua" w:cs="Book Antiqua"/>
          <w:color w:val="auto"/>
          <w:sz w:val="24"/>
          <w:szCs w:val="24"/>
        </w:rPr>
        <w:t>-</w:t>
      </w:r>
      <w:r w:rsidRPr="00932A95">
        <w:rPr>
          <w:rFonts w:ascii="Book Antiqua" w:hAnsi="Book Antiqua" w:cs="Book Antiqua"/>
          <w:color w:val="auto"/>
          <w:sz w:val="24"/>
          <w:szCs w:val="24"/>
        </w:rPr>
        <w:t>value of</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0.05 was considered significant.</w:t>
      </w:r>
    </w:p>
    <w:p w14:paraId="18C0DA4D"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Inpatient cost of hospitalization was calculated by merging data from the NIS database with cost-to-charge ratios available from the Healthcare Cost and Utilization Project of the Agency for Healthcare Research and Quality. Given total charges for each inpatient stay available in the database, costs were then calculated by multiplying the total hospital charge with cost-to-charge ratios which were used to account for the inherent variability among hospitals and regions. All costs were adjusted for inflation according to the latest consumer price index data released by the </w:t>
      </w:r>
      <w:r w:rsidR="005E2163" w:rsidRPr="00932A95">
        <w:rPr>
          <w:rFonts w:ascii="Book Antiqua" w:hAnsi="Book Antiqua" w:cs="Book Antiqua"/>
          <w:color w:val="auto"/>
          <w:sz w:val="24"/>
          <w:szCs w:val="24"/>
        </w:rPr>
        <w:t xml:space="preserve">United States </w:t>
      </w:r>
      <w:r w:rsidRPr="00932A95">
        <w:rPr>
          <w:rFonts w:ascii="Book Antiqua" w:hAnsi="Book Antiqua" w:cs="Book Antiqua"/>
          <w:color w:val="auto"/>
          <w:sz w:val="24"/>
          <w:szCs w:val="24"/>
        </w:rPr>
        <w:t>government in December of 2017.</w:t>
      </w:r>
    </w:p>
    <w:p w14:paraId="39836D20"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All analyses were performed using SPSS Statistics 23 (IBM Corp, Armonk, NY</w:t>
      </w:r>
      <w:r w:rsidR="008045CD" w:rsidRPr="00932A95">
        <w:rPr>
          <w:rFonts w:ascii="Book Antiqua" w:hAnsi="Book Antiqua" w:cs="Book Antiqua"/>
          <w:color w:val="auto"/>
          <w:sz w:val="24"/>
          <w:szCs w:val="24"/>
        </w:rPr>
        <w:t>, United States</w:t>
      </w:r>
      <w:r w:rsidRPr="00932A95">
        <w:rPr>
          <w:rFonts w:ascii="Book Antiqua" w:hAnsi="Book Antiqua" w:cs="Book Antiqua"/>
          <w:color w:val="auto"/>
          <w:sz w:val="24"/>
          <w:szCs w:val="24"/>
        </w:rPr>
        <w:t>).</w:t>
      </w:r>
    </w:p>
    <w:p w14:paraId="01FE4476" w14:textId="77777777" w:rsidR="0011433B" w:rsidRPr="00932A95" w:rsidRDefault="0011433B" w:rsidP="00374FC0">
      <w:pPr>
        <w:spacing w:after="240" w:line="360" w:lineRule="auto"/>
        <w:jc w:val="both"/>
        <w:rPr>
          <w:rFonts w:ascii="Book Antiqua" w:hAnsi="Book Antiqua" w:cs="Book Antiqua"/>
          <w:color w:val="auto"/>
          <w:sz w:val="24"/>
          <w:szCs w:val="24"/>
        </w:rPr>
      </w:pPr>
    </w:p>
    <w:p w14:paraId="1295228F" w14:textId="77777777" w:rsidR="0011433B" w:rsidRPr="00932A95" w:rsidRDefault="002F52BB" w:rsidP="00374FC0">
      <w:pPr>
        <w:spacing w:line="360" w:lineRule="auto"/>
        <w:jc w:val="both"/>
        <w:outlineLvl w:val="0"/>
        <w:rPr>
          <w:rFonts w:ascii="Book Antiqua" w:hAnsi="Book Antiqua" w:cs="Book Antiqua"/>
          <w:b/>
          <w:color w:val="auto"/>
          <w:sz w:val="24"/>
          <w:szCs w:val="24"/>
        </w:rPr>
      </w:pPr>
      <w:r w:rsidRPr="00932A95">
        <w:rPr>
          <w:rFonts w:ascii="Book Antiqua" w:hAnsi="Book Antiqua" w:cs="Times New Roman"/>
          <w:b/>
          <w:caps/>
          <w:color w:val="auto"/>
          <w:sz w:val="24"/>
          <w:szCs w:val="24"/>
          <w:u w:val="single"/>
        </w:rPr>
        <w:t>Results</w:t>
      </w:r>
    </w:p>
    <w:p w14:paraId="7E5B8A8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Betw</w:t>
      </w:r>
      <w:r w:rsidR="00115E54" w:rsidRPr="00932A95">
        <w:rPr>
          <w:rFonts w:ascii="Book Antiqua" w:hAnsi="Book Antiqua" w:cs="Book Antiqua"/>
          <w:color w:val="auto"/>
          <w:sz w:val="24"/>
          <w:szCs w:val="24"/>
        </w:rPr>
        <w:t>een 2008 and 2014 there were 58</w:t>
      </w:r>
      <w:r w:rsidRPr="00932A95">
        <w:rPr>
          <w:rFonts w:ascii="Book Antiqua" w:hAnsi="Book Antiqua" w:cs="Book Antiqua"/>
          <w:color w:val="auto"/>
          <w:sz w:val="24"/>
          <w:szCs w:val="24"/>
        </w:rPr>
        <w:t>362 admissions for esophageal variceal bleeding tha</w:t>
      </w:r>
      <w:r w:rsidR="00115E54" w:rsidRPr="00932A95">
        <w:rPr>
          <w:rFonts w:ascii="Book Antiqua" w:hAnsi="Book Antiqua" w:cs="Book Antiqua"/>
          <w:color w:val="auto"/>
          <w:sz w:val="24"/>
          <w:szCs w:val="24"/>
        </w:rPr>
        <w:t>t fit our inclusion criteria (7</w:t>
      </w:r>
      <w:r w:rsidRPr="00932A95">
        <w:rPr>
          <w:rFonts w:ascii="Book Antiqua" w:hAnsi="Book Antiqua" w:cs="Book Antiqua"/>
          <w:color w:val="auto"/>
          <w:sz w:val="24"/>
          <w:szCs w:val="24"/>
        </w:rPr>
        <w:t>295 annually based on study period).</w:t>
      </w:r>
    </w:p>
    <w:p w14:paraId="18DF9327" w14:textId="77777777" w:rsidR="0011433B" w:rsidRPr="00932A95" w:rsidRDefault="0011433B" w:rsidP="00374FC0">
      <w:pPr>
        <w:spacing w:line="360" w:lineRule="auto"/>
        <w:jc w:val="both"/>
        <w:rPr>
          <w:rFonts w:ascii="Book Antiqua" w:hAnsi="Book Antiqua" w:cs="Book Antiqua"/>
          <w:color w:val="auto"/>
          <w:sz w:val="24"/>
          <w:szCs w:val="24"/>
        </w:rPr>
      </w:pPr>
    </w:p>
    <w:p w14:paraId="541CF4BE"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Teaching</w:t>
      </w:r>
      <w:r w:rsidR="00115E54" w:rsidRPr="00932A95">
        <w:rPr>
          <w:rFonts w:ascii="Book Antiqua" w:hAnsi="Book Antiqua" w:cs="Book Antiqua"/>
          <w:b/>
          <w:i/>
          <w:color w:val="auto"/>
          <w:sz w:val="24"/>
          <w:szCs w:val="24"/>
        </w:rPr>
        <w:t xml:space="preserve"> status of hospital</w:t>
      </w:r>
    </w:p>
    <w:p w14:paraId="75E5F1F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Amongst hospital admissions for esophageal v</w:t>
      </w:r>
      <w:r w:rsidR="00115E54" w:rsidRPr="00932A95">
        <w:rPr>
          <w:rFonts w:ascii="Book Antiqua" w:hAnsi="Book Antiqua" w:cs="Book Antiqua"/>
          <w:color w:val="auto"/>
          <w:sz w:val="24"/>
          <w:szCs w:val="24"/>
        </w:rPr>
        <w:t>ariceal bleeding, a total of 30</w:t>
      </w:r>
      <w:r w:rsidRPr="00932A95">
        <w:rPr>
          <w:rFonts w:ascii="Book Antiqua" w:hAnsi="Book Antiqua" w:cs="Book Antiqua"/>
          <w:color w:val="auto"/>
          <w:sz w:val="24"/>
          <w:szCs w:val="24"/>
        </w:rPr>
        <w:t>382 took place</w:t>
      </w:r>
      <w:r w:rsidR="00115E54" w:rsidRPr="00932A95">
        <w:rPr>
          <w:rFonts w:ascii="Book Antiqua" w:hAnsi="Book Antiqua" w:cs="Book Antiqua"/>
          <w:color w:val="auto"/>
          <w:sz w:val="24"/>
          <w:szCs w:val="24"/>
        </w:rPr>
        <w:t xml:space="preserve"> in teaching hospitals while 27</w:t>
      </w:r>
      <w:r w:rsidRPr="00932A95">
        <w:rPr>
          <w:rFonts w:ascii="Book Antiqua" w:hAnsi="Book Antiqua" w:cs="Book Antiqua"/>
          <w:color w:val="auto"/>
          <w:sz w:val="24"/>
          <w:szCs w:val="24"/>
        </w:rPr>
        <w:t xml:space="preserve">979 took place in non-teaching hospitals. Demographics and hospital characteristics are provided in Table 1. The average overall age of patients presenting with variceal bleeding was 55 (SD of 12) with a male predominance. More than half of the patients were Caucasian. The primary insurance payer was Medicare for a majority of the patients. A large portion of patients were treated in large hospitals (based on hospital region) and in the southern US. Though most patients were treated as initial admissions directly to the hospital under investigation, a small portion (7.4%) were transferred in from another acute care hospital. </w:t>
      </w:r>
    </w:p>
    <w:p w14:paraId="1181765E"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 xml:space="preserve">In comparing teaching hospitals to non-teaching hospitals, the above characteristics remained true. Teaching hospitals had a higher percentage of minority patients compared to non-teaching hospitals. Teaching hospitals also had more Medicaid patients while non-teaching hospitals had more Medicare patients. A higher percentage of teaching hospitals with variceal bleeding was located in the Northeast and Midwest while a higher percentage of non-teaching hospitals was located in the South and the West. Furthermore, teaching hospitals had a greater percentage of transfers from outside acute care hospitals compared to non-teaching hospitals (11.5%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3.0% respectively).</w:t>
      </w:r>
    </w:p>
    <w:p w14:paraId="2EA6A694"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Comorbid conditions as well as management for these patients can be seen in Table 2.</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 xml:space="preserve">Amongst all patients, more than half had greater than or equal to three comorbid conditions other than their underlying liver disease as determined by the </w:t>
      </w:r>
      <w:proofErr w:type="spellStart"/>
      <w:r w:rsidRPr="00932A95">
        <w:rPr>
          <w:rFonts w:ascii="Book Antiqua" w:hAnsi="Book Antiqua" w:cs="Book Antiqua"/>
          <w:color w:val="auto"/>
          <w:sz w:val="24"/>
          <w:szCs w:val="24"/>
        </w:rPr>
        <w:t>Elixhauser</w:t>
      </w:r>
      <w:proofErr w:type="spellEnd"/>
      <w:r w:rsidRPr="00932A95">
        <w:rPr>
          <w:rFonts w:ascii="Book Antiqua" w:hAnsi="Book Antiqua" w:cs="Book Antiqua"/>
          <w:color w:val="auto"/>
          <w:sz w:val="24"/>
          <w:szCs w:val="24"/>
        </w:rPr>
        <w:t xml:space="preserve"> comorbidity index. Between group differences were not statistically significant however.</w:t>
      </w:r>
    </w:p>
    <w:p w14:paraId="4A51389B"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More importantly, teaching hospitals were more likely to admit patients with alcoholic cirrhosis (53.0%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50.6%), features of hepatic decompensation (ascites, hepatic encephalopathy), hepatorenal syndrome (4.2%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2.2%), and hepatocellular carcinoma (4.6%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2.5%) when compared to non-teaching hospitals.</w:t>
      </w:r>
    </w:p>
    <w:p w14:paraId="28F57F08"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In terms of management, non-teaching hospitals had a higher rate of transfusion (64.2%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59.9%) as compared to teaching hospitals and a lower rate of balloon tamponade (0.6%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1.2%) and portosystemic shunt (3.1%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7.9%). The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rPr>
        <w:t xml:space="preserve"> </w:t>
      </w:r>
      <w:r w:rsidR="00115E54" w:rsidRPr="00932A95">
        <w:rPr>
          <w:rFonts w:ascii="Book Antiqua" w:hAnsi="Book Antiqua" w:cs="Book Antiqua"/>
          <w:color w:val="auto"/>
          <w:sz w:val="24"/>
          <w:szCs w:val="24"/>
        </w:rPr>
        <w:t xml:space="preserve">value </w:t>
      </w:r>
      <w:r w:rsidRPr="00932A95">
        <w:rPr>
          <w:rFonts w:ascii="Book Antiqua" w:hAnsi="Book Antiqua" w:cs="Book Antiqua"/>
          <w:color w:val="auto"/>
          <w:sz w:val="24"/>
          <w:szCs w:val="24"/>
        </w:rPr>
        <w:t xml:space="preserve">was &lt; 0.001 for all comparisons. </w:t>
      </w:r>
    </w:p>
    <w:p w14:paraId="6D171EE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 </w:t>
      </w:r>
    </w:p>
    <w:p w14:paraId="2B08C129"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Mortality</w:t>
      </w:r>
    </w:p>
    <w:p w14:paraId="09E6FB8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The overall mortality for all patients presenting with esophageal variceal bleeding was 6.7% in our study population. The unadjusted mortality was higher in teaching hospitals when compared to non-teaching hospitals (8.0%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5.3% respectively,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lang w:val="en-US"/>
        </w:rPr>
        <w:t xml:space="preserve"> &lt; </w:t>
      </w:r>
      <w:r w:rsidRPr="00932A95">
        <w:rPr>
          <w:rFonts w:ascii="Book Antiqua" w:hAnsi="Book Antiqua" w:cs="Book Antiqua"/>
          <w:color w:val="auto"/>
          <w:sz w:val="24"/>
          <w:szCs w:val="24"/>
        </w:rPr>
        <w:t xml:space="preserve">0.001). Mortality was higher amongst patients that were black </w:t>
      </w:r>
      <w:r w:rsidRPr="00932A95">
        <w:rPr>
          <w:rFonts w:ascii="Book Antiqua" w:hAnsi="Book Antiqua" w:cs="Book Antiqua"/>
          <w:color w:val="auto"/>
          <w:sz w:val="24"/>
          <w:szCs w:val="24"/>
        </w:rPr>
        <w:lastRenderedPageBreak/>
        <w:t xml:space="preserve">males, older than 60 years, admitted to a large hospital, and transferred from another acute care hospital. These findings are outlined in Table 3. </w:t>
      </w:r>
    </w:p>
    <w:p w14:paraId="7D4BC493"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Furthermore, there was also a significant difference amongst hospital teaching status and mortality when comparing comorbid conditions and management decisions (Table 4). There was a higher mortality in teaching hospitals in those patients with underlying alcoholic cirrhosis when compared to non-teaching hospitals (9.2%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6.3%) though this was not statistically different. The presence of liver decompensation (ascites and hepatic encephalopathy) was also associated with higher mortality in teaching hospitals compared to non-teaching hospitals. Hepatorenal syndrome and/or hepatocellular carcinoma also portended a higher risk for mortality in teaching hospitals. As far as management, mortality was higher in teaching hospitals when blood transfusions (8.7%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6.2%) or portosystemic shunts were performed (17.1%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9.9%) compared to non-teaching hospitals.</w:t>
      </w:r>
    </w:p>
    <w:p w14:paraId="5EC1427F"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After adjustment for baseline patient characteristics including demographics, comorbid conditions, evidence of liver decompensation, management and transfer status the only significant factors that were associated with higher mortality were gender, race, transfer in from outside hospital and teaching status of hospital. Males had a higher rate of mortality when compared to females with adjusted OR 1.271 (95%CI</w:t>
      </w:r>
      <w:r w:rsidR="00374FC0" w:rsidRPr="00932A95">
        <w:rPr>
          <w:rFonts w:ascii="Book Antiqua" w:hAnsi="Book Antiqua" w:cs="Book Antiqua"/>
          <w:color w:val="auto"/>
          <w:sz w:val="24"/>
          <w:szCs w:val="24"/>
        </w:rPr>
        <w:t>:</w:t>
      </w:r>
      <w:r w:rsidRPr="00932A95">
        <w:rPr>
          <w:rFonts w:ascii="Book Antiqua" w:hAnsi="Book Antiqua" w:cs="Book Antiqua"/>
          <w:color w:val="auto"/>
          <w:sz w:val="24"/>
          <w:szCs w:val="24"/>
        </w:rPr>
        <w:t xml:space="preserve"> 1.075</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1.503) as did Blacks when compared to Whites with adjusted OR 1.607 (95%CI</w:t>
      </w:r>
      <w:r w:rsidR="00374FC0" w:rsidRPr="00932A95">
        <w:rPr>
          <w:rFonts w:ascii="Book Antiqua" w:hAnsi="Book Antiqua" w:cs="Book Antiqua"/>
          <w:color w:val="auto"/>
          <w:sz w:val="24"/>
          <w:szCs w:val="24"/>
        </w:rPr>
        <w:t>:</w:t>
      </w:r>
      <w:r w:rsidRPr="00932A95">
        <w:rPr>
          <w:rFonts w:ascii="Book Antiqua" w:hAnsi="Book Antiqua" w:cs="Book Antiqua"/>
          <w:color w:val="auto"/>
          <w:sz w:val="24"/>
          <w:szCs w:val="24"/>
        </w:rPr>
        <w:t xml:space="preserve"> 1.246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2.074). Patients that were transferred in from an acute care hospital had a higher mortality than those that did not with an adjusted OR 1.490 (95%CI</w:t>
      </w:r>
      <w:r w:rsidR="00374FC0" w:rsidRPr="00932A95">
        <w:rPr>
          <w:rFonts w:ascii="Book Antiqua" w:hAnsi="Book Antiqua" w:cs="Book Antiqua"/>
          <w:color w:val="auto"/>
          <w:sz w:val="24"/>
          <w:szCs w:val="24"/>
        </w:rPr>
        <w:t xml:space="preserve">: </w:t>
      </w:r>
      <w:r w:rsidRPr="00932A95">
        <w:rPr>
          <w:rFonts w:ascii="Book Antiqua" w:hAnsi="Book Antiqua" w:cs="Book Antiqua"/>
          <w:color w:val="auto"/>
          <w:sz w:val="24"/>
          <w:szCs w:val="24"/>
        </w:rPr>
        <w:t>1.172</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1.894). Overall, the adjusted OR of mortality in teaching hospitals compared to non-teaching hospitals was 1.249 (95%CI</w:t>
      </w:r>
      <w:r w:rsidR="00374FC0" w:rsidRPr="00932A95">
        <w:rPr>
          <w:rFonts w:ascii="Book Antiqua" w:hAnsi="Book Antiqua" w:cs="Book Antiqua"/>
          <w:color w:val="auto"/>
          <w:sz w:val="24"/>
          <w:szCs w:val="24"/>
        </w:rPr>
        <w:t>:</w:t>
      </w:r>
      <w:r w:rsidRPr="00932A95">
        <w:rPr>
          <w:rFonts w:ascii="Book Antiqua" w:hAnsi="Book Antiqua" w:cs="Book Antiqua"/>
          <w:color w:val="auto"/>
          <w:sz w:val="24"/>
          <w:szCs w:val="24"/>
        </w:rPr>
        <w:t xml:space="preserve"> 1.066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 xml:space="preserve">1.463) (Table 3). </w:t>
      </w:r>
    </w:p>
    <w:p w14:paraId="3720EF29" w14:textId="77777777" w:rsidR="0011433B" w:rsidRPr="00932A95" w:rsidRDefault="002F52BB" w:rsidP="00374FC0">
      <w:pPr>
        <w:spacing w:line="360" w:lineRule="auto"/>
        <w:jc w:val="both"/>
        <w:rPr>
          <w:rFonts w:ascii="Book Antiqua" w:hAnsi="Book Antiqua" w:cs="Book Antiqua"/>
          <w:b/>
          <w:i/>
          <w:color w:val="auto"/>
          <w:sz w:val="24"/>
          <w:szCs w:val="24"/>
        </w:rPr>
      </w:pPr>
      <w:r w:rsidRPr="00932A95">
        <w:rPr>
          <w:rFonts w:ascii="Book Antiqua" w:hAnsi="Book Antiqua" w:cs="Book Antiqua"/>
          <w:b/>
          <w:i/>
          <w:color w:val="auto"/>
          <w:sz w:val="24"/>
          <w:szCs w:val="24"/>
        </w:rPr>
        <w:t xml:space="preserve"> </w:t>
      </w:r>
    </w:p>
    <w:p w14:paraId="0583B663" w14:textId="77777777" w:rsidR="0011433B" w:rsidRPr="00932A95" w:rsidRDefault="002F52BB" w:rsidP="00374FC0">
      <w:pPr>
        <w:spacing w:line="360" w:lineRule="auto"/>
        <w:jc w:val="both"/>
        <w:outlineLvl w:val="0"/>
        <w:rPr>
          <w:rFonts w:ascii="Book Antiqua" w:hAnsi="Book Antiqua" w:cs="Book Antiqua"/>
          <w:b/>
          <w:i/>
          <w:color w:val="auto"/>
          <w:sz w:val="24"/>
          <w:szCs w:val="24"/>
        </w:rPr>
      </w:pPr>
      <w:r w:rsidRPr="00932A95">
        <w:rPr>
          <w:rFonts w:ascii="Book Antiqua" w:hAnsi="Book Antiqua" w:cs="Book Antiqua"/>
          <w:b/>
          <w:i/>
          <w:color w:val="auto"/>
          <w:sz w:val="24"/>
          <w:szCs w:val="24"/>
        </w:rPr>
        <w:t>Length of stay and cost of hospitalization</w:t>
      </w:r>
    </w:p>
    <w:p w14:paraId="28F8BA2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The median length of stay for all centers was 4 </w:t>
      </w:r>
      <w:r w:rsidRPr="00932A95">
        <w:rPr>
          <w:rFonts w:ascii="Book Antiqua" w:hAnsi="Book Antiqua" w:cs="Book Antiqua"/>
          <w:color w:val="auto"/>
          <w:sz w:val="24"/>
          <w:szCs w:val="24"/>
          <w:lang w:val="en-US"/>
        </w:rPr>
        <w:t>d</w:t>
      </w:r>
      <w:r w:rsidRPr="00932A95">
        <w:rPr>
          <w:rFonts w:ascii="Book Antiqua" w:hAnsi="Book Antiqua" w:cs="Book Antiqua"/>
          <w:color w:val="auto"/>
          <w:sz w:val="24"/>
          <w:szCs w:val="24"/>
        </w:rPr>
        <w:t xml:space="preserve"> with an interquartile range (IQR) of 3-7. Teaching hospitals had a median LOS of 5 </w:t>
      </w:r>
      <w:r w:rsidRPr="00932A95">
        <w:rPr>
          <w:rFonts w:ascii="Book Antiqua" w:hAnsi="Book Antiqua" w:cs="Book Antiqua"/>
          <w:color w:val="auto"/>
          <w:sz w:val="24"/>
          <w:szCs w:val="24"/>
          <w:lang w:val="en-US"/>
        </w:rPr>
        <w:t>d</w:t>
      </w:r>
      <w:r w:rsidRPr="00932A95">
        <w:rPr>
          <w:rFonts w:ascii="Book Antiqua" w:hAnsi="Book Antiqua" w:cs="Book Antiqua"/>
          <w:color w:val="auto"/>
          <w:sz w:val="24"/>
          <w:szCs w:val="24"/>
        </w:rPr>
        <w:t xml:space="preserve"> while non-teaching hospitals had a LOS of 4 </w:t>
      </w:r>
      <w:r w:rsidRPr="00932A95">
        <w:rPr>
          <w:rFonts w:ascii="Book Antiqua" w:hAnsi="Book Antiqua" w:cs="Book Antiqua"/>
          <w:color w:val="auto"/>
          <w:sz w:val="24"/>
          <w:szCs w:val="24"/>
          <w:lang w:val="en-US"/>
        </w:rPr>
        <w:t>d</w:t>
      </w:r>
      <w:r w:rsidRPr="00932A95">
        <w:rPr>
          <w:rFonts w:ascii="Book Antiqua" w:hAnsi="Book Antiqua" w:cs="Book Antiqua"/>
          <w:color w:val="auto"/>
          <w:sz w:val="24"/>
          <w:szCs w:val="24"/>
        </w:rPr>
        <w:t xml:space="preserve">. The cost of </w:t>
      </w:r>
      <w:r w:rsidR="00374FC0" w:rsidRPr="00932A95">
        <w:rPr>
          <w:rFonts w:ascii="Book Antiqua" w:hAnsi="Book Antiqua" w:cs="Book Antiqua"/>
          <w:color w:val="auto"/>
          <w:sz w:val="24"/>
          <w:szCs w:val="24"/>
        </w:rPr>
        <w:t>hospitalization overall was $19</w:t>
      </w:r>
      <w:r w:rsidRPr="00932A95">
        <w:rPr>
          <w:rFonts w:ascii="Book Antiqua" w:hAnsi="Book Antiqua" w:cs="Book Antiqua"/>
          <w:color w:val="auto"/>
          <w:sz w:val="24"/>
          <w:szCs w:val="24"/>
        </w:rPr>
        <w:t>049 in all centers. Teaching hospitals had a significantly higher</w:t>
      </w:r>
      <w:r w:rsidR="00374FC0" w:rsidRPr="00932A95">
        <w:rPr>
          <w:rFonts w:ascii="Book Antiqua" w:hAnsi="Book Antiqua" w:cs="Book Antiqua"/>
          <w:color w:val="auto"/>
          <w:sz w:val="24"/>
          <w:szCs w:val="24"/>
        </w:rPr>
        <w:t xml:space="preserve"> cost of hospitalization of $22</w:t>
      </w:r>
      <w:r w:rsidRPr="00932A95">
        <w:rPr>
          <w:rFonts w:ascii="Book Antiqua" w:hAnsi="Book Antiqua" w:cs="Book Antiqua"/>
          <w:color w:val="auto"/>
          <w:sz w:val="24"/>
          <w:szCs w:val="24"/>
        </w:rPr>
        <w:t xml:space="preserve">355 </w:t>
      </w:r>
      <w:r w:rsidRPr="00932A95">
        <w:rPr>
          <w:rFonts w:ascii="Book Antiqua" w:hAnsi="Book Antiqua" w:cs="Book Antiqua"/>
          <w:color w:val="auto"/>
          <w:sz w:val="24"/>
          <w:szCs w:val="24"/>
        </w:rPr>
        <w:lastRenderedPageBreak/>
        <w:t>compared t</w:t>
      </w:r>
      <w:r w:rsidR="00374FC0" w:rsidRPr="00932A95">
        <w:rPr>
          <w:rFonts w:ascii="Book Antiqua" w:hAnsi="Book Antiqua" w:cs="Book Antiqua"/>
          <w:color w:val="auto"/>
          <w:sz w:val="24"/>
          <w:szCs w:val="24"/>
        </w:rPr>
        <w:t>o non-teaching hospitals at $15</w:t>
      </w:r>
      <w:r w:rsidRPr="00932A95">
        <w:rPr>
          <w:rFonts w:ascii="Book Antiqua" w:hAnsi="Book Antiqua" w:cs="Book Antiqua"/>
          <w:color w:val="auto"/>
          <w:sz w:val="24"/>
          <w:szCs w:val="24"/>
        </w:rPr>
        <w:t>535 (Table 5). Using linear regression analysis and controlling for baseline patient demographics, hospital characteristics, liver decompensation, associated conditions and management, the LOS and cost remained higher in teaching hospitals compared to non-teaching hospitals (Table 6).</w:t>
      </w:r>
    </w:p>
    <w:p w14:paraId="690B0B64" w14:textId="77777777" w:rsidR="0011433B" w:rsidRPr="00932A95" w:rsidRDefault="0011433B" w:rsidP="00374FC0">
      <w:pPr>
        <w:spacing w:line="360" w:lineRule="auto"/>
        <w:jc w:val="both"/>
        <w:rPr>
          <w:rFonts w:ascii="Book Antiqua" w:hAnsi="Book Antiqua" w:cs="Book Antiqua"/>
          <w:color w:val="auto"/>
          <w:sz w:val="24"/>
          <w:szCs w:val="24"/>
        </w:rPr>
      </w:pPr>
    </w:p>
    <w:p w14:paraId="67C0DA4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Times New Roman"/>
          <w:b/>
          <w:caps/>
          <w:color w:val="auto"/>
          <w:sz w:val="24"/>
          <w:szCs w:val="24"/>
          <w:u w:val="single"/>
        </w:rPr>
        <w:t>Discussion</w:t>
      </w:r>
    </w:p>
    <w:p w14:paraId="6C821B7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Given the advancements in pharmacologic and endoscopic interventions, mortality rates have improved</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{"citationItems":[{"id":"ITEM-1","itemData":{"DOI":"10.1016/j.gie.2014.09.027","ISBN":"0016-5107","ISSN":"10976779","PMID":"25484324","abstract":"Background Despite major advances in upper GI hemorrhage (UGIH) treatment, UGIH mortality has been reported as unchanged for the past 50 years. Objective To measure the UGIH in-hospital mortality rate and other important outcome trends from 1989 to 2009. Design A longitudinal study of UGIH hospitalizations by using the Nationwide Inpatient Sample. Setting Acute-care hospitals. Patients All patients admitted for UGIH. Patients who bled after admission were excluded. Main Outcome Measurements UGIH in-hospital mortality rate, incidence, in-hospital endoscopy and endoscopic therapy rates, length of hospital stay, and total in-hospital charges. Results The non-variceal UGIH mortality rate decreased from 4.5% in 1989 to 2.1% in 2009. The non-variceal UGIH incidence declined from 108 to 78 cases/100,000 persons in 1994 and 2009, respectively. In-hospital upper endoscopy and endoscopic therapy rates increased from 70% and 10% in 1989 to 85% and 27% in 2009, respectively. The early endoscopy rate increased from 36% in 1989 to 54% in 2009. The median length of hospital stay decreased from 4.5 days in 1989 to 2.8 days in 2009. Median total hospitalization charges increased from $9249 in 1989 to $20,370 in 2009. At the national level, the UGIH direct in-hospital economic burden increased from $3.3 billion in 1989 to $7.6 billion in 2009. Similar trends were found for variceal UGIH. Limitations Retrospective data, administrative database. Conclusion In-hospital mortality from UGIH has been decreasing over the past 2 decades, with a concomitant increase in rate of endoscopy and endoscopic therapy. However, despite decreasing length of stay, the total economic burden of UGIH is increasing.","author":[{"dropping-particle":"","family":"Abougergi","given":"Marwan S.","non-dropping-particle":"","parse-names":false,"suffix":""},{"dropping-particle":"","family":"Travis","given":"Anne C.","non-dropping-particle":"","parse-names":false,"suffix":""},{"dropping-particle":"","family":"Saltzman","given":"John R.","non-dropping-particle":"","parse-names":false,"suffix":""}],"container-title":"Gastrointestinal Endoscopy","id":"ITEM-1","issue":"4","issued":{"date-parts":[["2015"]]},"page":"882-888","title":"The in-hospital mortality rate for upper GI hemorrhage has decreased over 2 decades in the United States: A nationwide analysis","type":"article-journal","volume":"81"},"uris":["http://www.mendeley.com/documents/?uuid=fb8f513e-c637-4106-9431-c074dd3a7165"]}],"mendeley":{"formattedCitation":"&lt;sup&gt;[21]&lt;/sup&gt;","plainTextFormattedCitation":"[21]","previouslyFormattedCitation":"&lt;sup&gt;21&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[21]</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xml:space="preserve">. Esophageal band ligation (EBL) has largely become standard of care due to its lower rate of complications, mortality and </w:t>
      </w:r>
      <w:proofErr w:type="spellStart"/>
      <w:r w:rsidRPr="00932A95">
        <w:rPr>
          <w:rFonts w:ascii="Book Antiqua" w:hAnsi="Book Antiqua" w:cs="Book Antiqua"/>
          <w:color w:val="auto"/>
          <w:sz w:val="24"/>
          <w:szCs w:val="24"/>
        </w:rPr>
        <w:t>rebleeding</w:t>
      </w:r>
      <w:proofErr w:type="spellEnd"/>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{"citationItems":[{"id":"ITEM-1","itemData":{"DOI":"10.7326/0003-4819-123-4-199508150-00007","ISBN":"0003-4819 (Print)\r0003-4819 (Linking)","ISSN":"00034819","PMID":"7611595","abstract":"PURPOSE: To compare the effect of endoscopic ligation with that of sclerotherapy in the treatment of patients with bleeding esophageal varices.\\n\\nDATA SOURCES: Strategies to identify published and unpublished research included searches of computerized bibliographic and scientific citations, review of citations in relevant primary articles, searches of services providing information on unpublished studies, contact with primary investigators and the ligation equipment manufacturer, and review of proceedings from pertinent scientific meetings.\\n\\nSTUDY SELECTION: From 158 potentially relevant articles, duplicate independent review identified 7 relevant randomized trials that compared endoscopic ligation with sclerotherapy for the treatment of patients with bleeding esophageal varices.\\n\\nDATA ABSTRACTION: Independent, duplicate data abstraction of the population, intervention, outcome, and methodologic quality of the trials was done.\\n\\nDATA SYNTHESIS: Ligation therapy compared with sclerotherapy reduced the rebleeding rate (odds ratio, 0.52 [95% CI, 0.37 to 0.74]), the mortality rate (odds ratio, 0.67 [CI, 0.46 to 0.98]), and the rate of death due to bleeding (odds ratio, 0.49 [CI, 0.24 to 0.996]). Four patients would need to be treated with ligation instead of sclerotherapy to avert one rebleeding episode, and 10 would need to be treated with ligation instead of sclerotherapy to prevent one death. Esophageal strictures occurred less frequently with ligation (odds ratio, 0.10 [CI, 0.03 to 0.29]), but no significant differences were seen between treatments for pulmonary infections or bacterial peritonitis. Additionally, the number of endoscopic treatment sessions required to achieve variceal obliteration was lower with ligation than with sclerotherapy.\\n\\nCONCLUSIONS: On the basis of lower rates of rebleeding, mortality, and complications and the need for fewer endoscopic treatments, ligation should be considered the endoscopic treatment of choice for patients with esophageal variceal bleeding.","author":[{"dropping-particle":"","family":"Laine","given":"Loren","non-dropping-particle":"","parse-names":false,"suffix":""},{"dropping-particle":"","family":"Deborah Cook","given":"M. D.","non-dropping-particle":"","parse-names":false,"suffix":""}],"container-title":"Annals of Internal Medicine","id":"ITEM-1","issue":"4","issued":{"date-parts":[["1995"]]},"page":"280-287","title":"Endoscopic ligation compared with sclerotherapy for treatment of esophageal variceal bleeding. A meta-analysis","type":"article-journal","volume":"123"},"uris":["http://www.mendeley.com/documents/?uuid=7631d211-ef1a-44b2-84a0-272faf57edf9"]}],"mendeley":{"formattedCitation":"&lt;sup&gt;[22]&lt;/sup&gt;","plainTextFormattedCitation":"[22]","previouslyFormattedCitation":"&lt;sup&gt;22&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[22]</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Though the rates of mortality due to acute variceal bleeding are steadily declining, this complication of portal hypertension still remains one of the leading causes of death in cirrhotic patients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{"citationItems":[{"id":"ITEM-1","itemData":{"DOI":"10.1002/hep.20339","ISBN":"0270-9139 (Print)\\n0270-9139 (Linking)","ISSN":"02709139","PMID":"15349904","abstract":"Over the past two decades, new treatment modalities have been introduced for the management of variceal bleeding. The aim of this retrospective study in a single center was to assess whether these treatments have improved the prognosis for cirrhotic patients with variceal bleeding. We reviewed the clinical records of all patients with cirrhosis admitted to our Liver Intensive Care Unit due to variceal bleeding during the years 1980, 1985, 1990, 1995, and 2000. Whereas balloon tamponade was still the first-line treatment in 1980, patients treated in 2000 received a vasoactive agent, an endoscopic treatment, and an antibiotic prophylaxis in, respectively, 90%, 100%, and 94% of cases. The in-hospital mortality rate steadily decreased over the study period: 42.6%, 29.9%, 25%, 16.2%, and 14.5% in 1980, 1985, 1990, 1995, and 2000, respectively (P &lt; .05). Mortality decreased from 9% in 1980 to 0% in 2000 in Child-Turcotte-Pugh class A patients, from 46% to 0% in class B patients, and from 70% to 32% in class C patients. This improved survival was associated with a decrease of rebleeding (from 47% in 1980 to 13% in 2000) and bacterial infection rates (from 38% to 14%). On multivariable analysis, endoscopic therapy and antibiotic prophylaxis were independent predictors of survival. In conclusion, in-hospital mortality of patients with cirrhosis and variceal bleeding decreased threefold over the past two decades, in concurrence with an early and combined use of pharmacological and endoscopic therapies and short-term antibiotic prophylaxis.","author":[{"dropping-particle":"","family":"Carbonell","given":"Nicolas","non-dropping-particle":"","parse-names":false,"suffix":""},{"dropping-particle":"","family":"Pauwels","given":"Arnaud","non-dropping-particle":"","parse-names":false,"suffix":""},{"dropping-particle":"","family":"Serfaty","given":"Lawrence","non-dropping-particle":"","parse-names":false,"suffix":""},{"dropping-particle":"","family":"Fourdan","given":"Olivier","non-dropping-particle":"","parse-names":false,"suffix":""},{"dropping-particle":"","family":"Lévy","given":"Victor George","non-dropping-particle":"","parse-names":false,"suffix":""},{"dropping-particle":"","family":"Poupon","given":"Raoul","non-dropping-particle":"","parse-names":false,"suffix":""}],"container-title":"Hepatology","id":"ITEM-1","issue":"3","issued":{"date-parts":[["2004"]]},"page":"652-659","title":"Improved survival after variceal bleeding in patients with cirrhosis over the past two decades","type":"article-journal","volume":"40"},"uris":["http://www.mendeley.com/documents/?uuid=5f195965-c81f-404b-a0d3-a525b36ee83b"]}],"mendeley":{"formattedCitation":"&lt;sup&gt;[1]&lt;/sup&gt;","plainTextFormattedCitation":"[1]","previouslyFormattedCitation":"&lt;sup&gt;1&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[1]</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00374FC0" w:rsidRPr="00932A95">
        <w:rPr>
          <w:rFonts w:ascii="Book Antiqua" w:hAnsi="Book Antiqua" w:cs="Book Antiqua"/>
          <w:color w:val="auto"/>
          <w:sz w:val="24"/>
          <w:szCs w:val="24"/>
        </w:rPr>
        <w:t>Our study looked at 58</w:t>
      </w:r>
      <w:r w:rsidRPr="00932A95">
        <w:rPr>
          <w:rFonts w:ascii="Book Antiqua" w:hAnsi="Book Antiqua" w:cs="Book Antiqua"/>
          <w:color w:val="auto"/>
          <w:sz w:val="24"/>
          <w:szCs w:val="24"/>
        </w:rPr>
        <w:t>362 cases of esophageal variceal bleeding in teaching and nonteaching hospitals between 2008 and 2014 and found that both mortality and length of stay was lower in non-teaching hospitals.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In our hospitalized patient population, we found that a higher proportion of patients in teaching hospitals were of non-white race and underwent more rescue procedures (portosystemic shunt insertion). However, blood transfusions were more commonly given in nonteaching hospitals.</w:t>
      </w:r>
    </w:p>
    <w:p w14:paraId="5665CB33"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While upper gastrointestinal bleeding has previously been associated with a high mortality (up to 10%)</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{"citationItems":[{"id":"ITEM-1","itemData":{"DOI":"10.1016/j.gie.2012.02.033","ISSN":"00165107","PMID":"22624808","author":[{"dropping-particle":"","family":"Hwang","given":"Joo Ha","non-dropping-particle":"","parse-names":false,"suffix":""},{"dropping-particle":"","family":"Fisher","given":"Deborah A.","non-dropping-particle":"","parse-names":false,"suffix":""},{"dropping-particle":"","family":"Ben-Menachem","given":"Tamir","non-dropping-particle":"","parse-names":false,"suffix":""},{"dropping-particle":"","family":"Chandrasekhara","given":"Vinay","non-dropping-particle":"","parse-names":false,"suffix":""},{"dropping-particle":"","family":"Chathadi","given":"Krishnavel","non-dropping-particle":"","parse-names":false,"suffix":""},{"dropping-particle":"","family":"Decker","given":"G. Anton","non-dropping-particle":"","parse-names":false,"suffix":""},{"dropping-particle":"","family":"Early","given":"Dayna S.","non-dropping-particle":"","parse-names":false,"suffix":""},{"dropping-particle":"","family":"Evans","given":"John A.","non-dropping-particle":"","parse-names":false,"suffix":""},{"dropping-particle":"","family":"Fanelli","given":"Robert D.","non-dropping-particle":"","parse-names":false,"suffix":""},{"dropping-particle":"","family":"Foley","given":"Kimberly","non-dropping-particle":"","parse-names":false,"suffix":""},{"dropping-particle":"","family":"Fukami","given":"Norio","non-dropping-particle":"","parse-names":false,"suffix":""},{"dropping-particle":"","family":"Jain","given":"Rajeev","non-dropping-particle":"","parse-names":false,"suffix":""},{"dropping-particle":"","family":"Jue","given":"Terry L.","non-dropping-particle":"","parse-names":false,"suffix":""},{"dropping-particle":"","family":"Khan","given":"Kahlid M.","non-dropping-particle":"","parse-names":false,"suffix":""},{"dropping-particle":"","family":"Lightdale","given":"Jenifer","non-dropping-particle":"","parse-names":false,"suffix":""},{"dropping-particle":"","family":"Malpas","given":"Phyllis M.","non-dropping-particle":"","parse-names":false,"suffix":""},{"dropping-particle":"","family":"Maple","given":"John T.","non-dropping-particle":"","parse-names":false,"suffix":""},{"dropping-particle":"","family":"Pasha","given":"Shabana","non-dropping-particle":"","parse-names":false,"suffix":""},{"dropping-particle":"","family":"Saltzman","given":"John","non-dropping-particle":"","parse-names":false,"suffix":""},{"dropping-particle":"","family":"Sharaf","given":"Ravi","non-dropping-particle":"","parse-names":false,"suffix":""},{"dropping-particle":"","family":"Shergill","given":"Amandeep K.","non-dropping-particle":"","parse-names":false,"suffix":""},{"dropping-particle":"","family":"Dominitz","given":"Jason A.","non-dropping-particle":"","parse-names":false,"suffix":""},{"dropping-particle":"","family":"Cash","given":"Brooks D.","non-dropping-particle":"","parse-names":false,"suffix":""}],"container-title":"Gastrointestinal Endoscopy","id":"ITEM-1","issue":"6","issued":{"date-parts":[["2012"]]},"page":"1132-1138","title":"The role of endoscopy in the management of acute non-variceal upper GI bleeding","type":"article-journal","volume":"75"},"uris":["http://www.mendeley.com/documents/?uuid=816aaa2c-c13a-4e16-9e97-0b666cbf5c3b"]},{"id":"ITEM-2","itemData":{"DOI":"10.1016/j.cgh.2006.08.018","ISBN":"1542-3565 (Print)\\r1542-3565","ISSN":"15423565","PMID":"17101296","abstract":"Background &amp; Aims: ANVUGIB is a common reason for hospital admission and has been traditionally associated with a mortality rate of 5%-10%. There have been numerous innovations in the prevention and management of ANVUGIB in recent years, although the effect of these innovations on ANVUGIB incidence and outcomes is unknown. Methods: We used the Canadian Institute of Health Information (CIHI) database, which contains data characterizing every inpatient hospital admission in Canada between 1993 and 2003. We identified admissions consistent with nonvariceal upper gastrointestinal bleeding using both a broad and narrow ICD-9/ICD-10-based definition. Data were extracted concerning patient demographics, incidence of surgery for complications of upper gastrointestinal bleeding, and overall mortality. Results: Between 1993 and 2003, ANVUGIB incidence decreased from 77.1 cases to 53.2 per 100,000/y for the broad definition, and from 52.4 to 34.3 cases per 100,000/y for the narrow definition. ANVUGIB incidence rose slightly in 2000, coincident with the introduction of COX-2 inhibitors. The proportion of ANVUGIB subjects requiring surgical intervention declined over the 10 years from 7.1% to 4.5%, although the rate of decline did not increase after the introduction of intravenous proton pump inhibitors (IV PPIs). The mortality rate remained steady at approximately 3.5%. Conclusions: The incidence of ANVUGIB and the need for operative intervention has been steadily declining since 1993. ANVUGIB-associated mortality remained constant, although at a rate lower than traditionally reported. The impact of IV PPIs on mortality and operative intervention on a population-wide basis is likely minimal. © 2006 AGA Institute.","author":[{"dropping-particle":"","family":"Targownik","given":"Laura E.","non-dropping-particle":"","parse-names":false,"suffix":""},{"dropping-particle":"","family":"Nabalamba","given":"Alice","non-dropping-particle":"","parse-names":false,"suffix":""}],"container-title":"Clinical Gastroenterology and Hepatology","id":"ITEM-2","issue":"12","issued":{"date-parts":[["2006"]]},"title":"Trends in Management and Outcomes of Acute Nonvariceal Upper Gastrointestinal Bleeding: 1993-2003","type":"article","volume":"4"},"uris":["http://www.mendeley.com/documents/?uuid=5f02e360-14f0-4cb5-83a0-93451dab5881"]}],"mendeley":{"formattedCitation":"&lt;sup&gt;[23,24]&lt;/sup&gt;","plainTextFormattedCitation":"[23,24]","previouslyFormattedCitation":"&lt;sup&gt;23,24&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[23,24]</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recent studies have shown that the mortality rate has decreased over the past 20 years to as low as 2.1%</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{"citationItems":[{"id":"ITEM-1","itemData":{"DOI":"10.1016/j.gie.2014.09.027","ISBN":"0016-5107","ISSN":"10976779","PMID":"25484324","abstract":"Background Despite major advances in upper GI hemorrhage (UGIH) treatment, UGIH mortality has been reported as unchanged for the past 50 years. Objective To measure the UGIH in-hospital mortality rate and other important outcome trends from 1989 to 2009. Design A longitudinal study of UGIH hospitalizations by using the Nationwide Inpatient Sample. Setting Acute-care hospitals. Patients All patients admitted for UGIH. Patients who bled after admission were excluded. Main Outcome Measurements UGIH in-hospital mortality rate, incidence, in-hospital endoscopy and endoscopic therapy rates, length of hospital stay, and total in-hospital charges. Results The non-variceal UGIH mortality rate decreased from 4.5% in 1989 to 2.1% in 2009. The non-variceal UGIH incidence declined from 108 to 78 cases/100,000 persons in 1994 and 2009, respectively. In-hospital upper endoscopy and endoscopic therapy rates increased from 70% and 10% in 1989 to 85% and 27% in 2009, respectively. The early endoscopy rate increased from 36% in 1989 to 54% in 2009. The median length of hospital stay decreased from 4.5 days in 1989 to 2.8 days in 2009. Median total hospitalization charges increased from $9249 in 1989 to $20,370 in 2009. At the national level, the UGIH direct in-hospital economic burden increased from $3.3 billion in 1989 to $7.6 billion in 2009. Similar trends were found for variceal UGIH. Limitations Retrospective data, administrative database. Conclusion In-hospital mortality from UGIH has been decreasing over the past 2 decades, with a concomitant increase in rate of endoscopy and endoscopic therapy. However, despite decreasing length of stay, the total economic burden of UGIH is increasing.","author":[{"dropping-particle":"","family":"Abougergi","given":"Marwan S.","non-dropping-particle":"","parse-names":false,"suffix":""},{"dropping-particle":"","family":"Travis","given":"Anne C.","non-dropping-particle":"","parse-names":false,"suffix":""},{"dropping-particle":"","family":"Saltzman","given":"John R.","non-dropping-particle":"","parse-names":false,"suffix":""}],"container-title":"Gastrointestinal Endoscopy","id":"ITEM-1","issue":"4","issued":{"date-parts":[["2015"]]},"page":"882-888","title":"The in-hospital mortality rate for upper GI hemorrhage has decreased over 2 decades in the United States: A nationwide analysis","type":"article-journal","volume":"81"},"uris":["http://www.mendeley.com/documents/?uuid=fb8f513e-c637-4106-9431-c074dd3a7165"]}],"mendeley":{"formattedCitation":"&lt;sup&gt;[21]&lt;/sup&gt;","plainTextFormattedCitation":"[21]","previouslyFormattedCitation":"&lt;sup&gt;21&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[21]</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Additionally, rates of EGD performed early in the hospital stay have been steadily increasing over the same time period</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{"citationItems":[{"id":"ITEM-1","itemData":{"DOI":"10.1016/j.gie.2014.09.027","ISBN":"0016-5107","ISSN":"10976779","PMID":"25484324","abstract":"Background Despite major advances in upper GI hemorrhage (UGIH) treatment, UGIH mortality has been reported as unchanged for the past 50 years. Objective To measure the UGIH in-hospital mortality rate and other important outcome trends from 1989 to 2009. Design A longitudinal study of UGIH hospitalizations by using the Nationwide Inpatient Sample. Setting Acute-care hospitals. Patients All patients admitted for UGIH. Patients who bled after admission were excluded. Main Outcome Measurements UGIH in-hospital mortality rate, incidence, in-hospital endoscopy and endoscopic therapy rates, length of hospital stay, and total in-hospital charges. Results The non-variceal UGIH mortality rate decreased from 4.5% in 1989 to 2.1% in 2009. The non-variceal UGIH incidence declined from 108 to 78 cases/100,000 persons in 1994 and 2009, respectively. In-hospital upper endoscopy and endoscopic therapy rates increased from 70% and 10% in 1989 to 85% and 27% in 2009, respectively. The early endoscopy rate increased from 36% in 1989 to 54% in 2009. The median length of hospital stay decreased from 4.5 days in 1989 to 2.8 days in 2009. Median total hospitalization charges increased from $9249 in 1989 to $20,370 in 2009. At the national level, the UGIH direct in-hospital economic burden increased from $3.3 billion in 1989 to $7.6 billion in 2009. Similar trends were found for variceal UGIH. Limitations Retrospective data, administrative database. Conclusion In-hospital mortality from UGIH has been decreasing over the past 2 decades, with a concomitant increase in rate of endoscopy and endoscopic therapy. However, despite decreasing length of stay, the total economic burden of UGIH is increasing.","author":[{"dropping-particle":"","family":"Abougergi","given":"Marwan S.","non-dropping-particle":"","parse-names":false,"suffix":""},{"dropping-particle":"","family":"Travis","given":"Anne C.","non-dropping-particle":"","parse-names":false,"suffix":""},{"dropping-particle":"","family":"Saltzman","given":"John R.","non-dropping-particle":"","parse-names":false,"suffix":""}],"container-title":"Gastrointestinal Endoscopy","id":"ITEM-1","issue":"4","issued":{"date-parts":[["2015"]]},"page":"882-888","title":"The in-hospital mortality rate for upper GI hemorrhage has decreased over 2 decades in the United States: A nationwide analysis","type":"article-journal","volume":"81"},"uris":["http://www.mendeley.com/documents/?uuid=fb8f513e-c637-4106-9431-c074dd3a7165"]}],"mendeley":{"formattedCitation":"&lt;sup&gt;[21]&lt;/sup&gt;","plainTextFormattedCitation":"[21]","previouslyFormattedCitation":"&lt;sup&gt;21&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[21]</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Interventions that are performed during EGD to limit bleeding, likely explain the reductions in mortality, transfusions and need for further supportive therapies such as vasopressors or ICU stays. Delays in EGD in nonteaching hospitals, may therefore, explain the higher rates of transfusions in those institutions but not the decreased mortality.</w:t>
      </w:r>
    </w:p>
    <w:p w14:paraId="1A314B4E"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Our study revealed that hospital costs were higher in teaching hospitals.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Prior studies have found that the overall cost during the hospitalization, including the cost of any procedures, were higher in patients who did not undergo early EGD</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{"citationItems":[{"id":"ITEM-1","itemData":{"DOI":"10.1055/s-0042-121665","ISSN":"2364-3722","PMID":"28512647","abstract":"Background and study aims We analyzed NIS (National Inpatient Sample) database from 2007 - 2013 to determine if early esophagogastroduodenoscopy (EGD) (24 hours) for upper gastrointestinal bleeding improved the outcomes in terms of mortality, length of stay and costs. Patients and methods Patients were classified as having upper gastrointestinal hemorrhage by querying all diagnostic codes for the ICD-9-CM codes corresponding to upper gastrointestinal bleeding. For these patients, performance of EGD during admission was determined by querying all procedural codes for the ICD-9-CM codes corresponding to EGD; early EGD was defined as having EGD performed within 24 hours of admission and late EGD was defined as having EGD performed after 24 hours of admission. Results A total of 1,789,532 subjects with UGIH were identified. Subjects who had an early EGD were less likely to have hypovolemia, acute renal failure and acute respiratory failure. On multivariable analysis, we found that subjects without EGD were 3 times more likely to die during the admission than those with early EGD. In addition, those with late EGD had 50 % higher odds of dying than those with an early EGD. Also, after adjusting for all factors in the model, hospital stay was on average 3 and 3.7 days longer for subjects with no or late EGD, respectively, then for subjects with early EGD. Conclusion Early EGD (within 24 hours) is associated with lower in-hospital mortality, morbidity, shorter length of stay and lower total hospital costs.","author":[{"dropping-particle":"","family":"Garg","given":"Sushil K","non-dropping-particle":"","parse-names":false,"suffix":""},{"dropping-particle":"","family":"Anugwom","given":"Chimaobi","non-dropping-particle":"","parse-names":false,"suffix":""},{"dropping-particle":"","family":"Campbell","given":"James","non-dropping-particle":"","parse-names":false,"suffix":""},{"dropping-particle":"","family":"Wadhwa","given":"Vaibhav","non-dropping-particle":"","parse-names":false,"suffix":""},{"dropping-particle":"","family":"Gupta","given":"Nancy","non-dropping-particle":"","parse-names":false,"suffix":""},{"dropping-particle":"","family":"Lopez","given":"Rocio","non-dropping-particle":"","parse-names":false,"suffix":""},{"dropping-particle":"","family":"Shergill","given":"Sukhman","non-dropping-particle":"","parse-names":false,"suffix":""},{"dropping-particle":"","family":"Sanaka","given":"Madhusudhan R","non-dropping-particle":"","parse-names":false,"suffix":""}],"container-title":"Endoscopy international open","id":"ITEM-1","issue":"5","issued":{"date-parts":[["2017"]]},"page":"E376-E386","title":"Early esophagogastroduodenoscopy is associated with better Outcomes in upper gastrointestinal bleeding: a nationwide study.","type":"article-journal","volume":"5"},"uris":["http://www.mendeley.com/documents/?uuid=12958344-a901-4e84-8b49-f31c3f62b529"]}],"mendeley":{"formattedCitation":"&lt;sup&gt;[25]&lt;/sup&gt;","plainTextFormattedCitation":"[25]","previouslyFormattedCitation":"&lt;sup&gt;25&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[25]</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w:t>
      </w:r>
    </w:p>
    <w:p w14:paraId="7022B8C3"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lang w:val="en-US"/>
        </w:rPr>
      </w:pPr>
      <w:r w:rsidRPr="00932A95">
        <w:rPr>
          <w:rFonts w:ascii="Book Antiqua" w:hAnsi="Book Antiqua" w:cs="Book Antiqua"/>
          <w:color w:val="auto"/>
          <w:sz w:val="24"/>
          <w:szCs w:val="24"/>
        </w:rPr>
        <w:t>A main strength of our study is that our sample size is representative of the inpatient population throughout the United States. It is unique in that it looks at the differences among teaching versus nonteaching hospitals in a study population that is nationally representative. Our study period was recent, from 2008 to 2014, and thus reflective of recent endoscopic management for esophageal variceal bleeds.</w:t>
      </w:r>
      <w:r w:rsidRPr="00932A95">
        <w:rPr>
          <w:rFonts w:ascii="Book Antiqua" w:hAnsi="Book Antiqua" w:cs="Book Antiqua"/>
          <w:color w:val="auto"/>
          <w:sz w:val="24"/>
          <w:szCs w:val="24"/>
          <w:lang w:val="en-US"/>
        </w:rPr>
        <w:t xml:space="preserve"> </w:t>
      </w:r>
    </w:p>
    <w:p w14:paraId="7F171157"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The current study has several limitations. First, the NIS is a database reliant on the delineation and coding of medical diagnoses, which if performed incorrectly can predispose to classification errors and inaccuracies. Second, a patient’s clinical acuity, preoperative and intraoperative performance status, and endoscopic procedure findings cannot be accessed within the NIS</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{"citationItems":[{"id":"ITEM-1","itemData":{"DOI":"10.1055/s-0033-1333627","ISSN":"15310043","PMID":"24436641","abstract":"Outcomes research has established itself as an integral part of surgical research as physicians and hospitals are increasingly required to demonstrate attainment of performance markers and surgical safety indicators. Large-volume and clinical and administrative databases are used to study regional practice pattern variations, health care disparities, and resource utilization. Understanding the unique strengths and limitations of these large databases is critical to performing quality surgical outcomes research. In the current work, we review the currently available large-volume databases including selection processes, modes of analyses, data application, and limitations.","author":[{"dropping-particle":"","family":"Murphy","given":"Melissa","non-dropping-particle":"","parse-names":false,"suffix":""},{"dropping-particle":"","family":"Alavi","given":"Karim","non-dropping-particle":"","parse-names":false,"suffix":""},{"dropping-particle":"","family":"Maykel","given":"Justin","non-dropping-particle":"","parse-names":false,"suffix":""}],"container-title":"Clinics in Colon and Rectal Surgery","id":"ITEM-1","issue":"1","issued":{"date-parts":[["2013"]]},"page":"5-11","title":"Working with existing databases","type":"article-journal","volume":"26"},"uris":["http://www.mendeley.com/documents/?uuid=54c742f7-e0f8-4160-adf7-06d8461add08"]}],"mendeley":{"formattedCitation":"&lt;sup&gt;[26]&lt;/sup&gt;","plainTextFormattedCitation":"[26]","previouslyFormattedCitation":"&lt;sup&gt;26&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[26]</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Third, the inherent features of the database do not allow us to fully assess a patient’s hospital course. This further limits our ability to distinguish temporal relationships between medical diagnoses and their causality with patient outcomes. Fourth, we did not include patients diagnosed with an AVB after admission to the hospital, which could have underestimated rates of mortality. Fifth, we were also unable to discern rates of re-bleeding post endoscopic intervention or if these AVB events were primary or recurrent, which if recurrent would place a patient at a higher risk of mortality</w:t>
      </w:r>
      <w:r w:rsidRPr="00932A95">
        <w:rPr>
          <w:rFonts w:ascii="Book Antiqua" w:hAnsi="Book Antiqua" w:cs="Book Antiqua"/>
          <w:color w:val="auto"/>
          <w:sz w:val="24"/>
          <w:szCs w:val="24"/>
        </w:rPr>
        <w:fldChar w:fldCharType="begin" w:fldLock="1"/>
      </w:r>
      <w:r w:rsidRPr="00932A95">
        <w:rPr>
          <w:rFonts w:ascii="Book Antiqua" w:hAnsi="Book Antiqua" w:cs="Book Antiqua"/>
          <w:color w:val="auto"/>
          <w:sz w:val="24"/>
          <w:szCs w:val="24"/>
        </w:rPr>
        <w:instrText>ADDIN CSL_CITATION {"citationItems":[{"id":"ITEM-1","itemData":{"DOI":"10.1055/s-2007-1007133","ISSN":"0272-8087","PMID":"10643630","abstract":"Continuing advances in the knowledge of the pathophysiology of portal hypertension result in the progressive expansion of the spectrum of drugs with a potential role for clinical practice, with objectives that now tend to include the prevention of the enlargement or even the development of esophageal varices. This systematic review summarizes the evidence of efficacy of drug therapy for portal hypertension and draws recommendations for clinical practice. Although there is not yet enough evidence to support the treatment for the prevention of the development or enlargement of varices, nonselective beta-blockers are the first-choice therapy to prevent the first bleeding in patients with medium or large-sized varices and rebleeding in patients surviving a bleeding episode. The clinical role of isosorbide-5-mononitrate either alone or in association with beta-blockers still remains unsettled. Vasoactive drugs are generally effective and safe in controlling acute variceal bleeding, although the evidence is not equivalent for each of them.","author":[{"dropping-particle":"","family":"D'Amico","given":"G","non-dropping-particle":"","parse-names":false,"suffix":""},{"dropping-particle":"","family":"Pagliaro","given":"L","non-dropping-particle":"","parse-names":false,"suffix":""},{"dropping-particle":"","family":"Bosch","given":"J","non-dropping-particle":"","parse-names":false,"suffix":""}],"container-title":"Seminars in liver disease","id":"ITEM-1","issue":"4","issued":{"date-parts":[["1999"]]},"page":"475-505","title":"Pharmacological treatment of portal hypertension: an evidence-based approach","type":"article-journal","volume":"19"},"uris":["http://www.mendeley.com/documents/?uuid=92771585-1367-4d2f-8e6d-ba77a455254a"]},{"id":"ITEM-2","itemData":{"DOI":"10.1016/S0140-6736(03)12778-X","ISBN":"0140-6736","ISSN":"01406736","PMID":"1349003","abstract":"Context Variceal bleeding is the most frequent severe complication of portal hypertension and a leading cause of death and liver transplantation in patients with cirrhosis. Patients surviving a variceal bleed are at high risk of rebleeding (over 60% at 1 year). Portacaval shunts and transjugular intrahepatic portasystemic shunts (TIPS) are effective for prevention of rebleeding but carry a high risk of hepatic encephalopathy. Endoscopic techniques include band ligation (EBL) and injection sclerotherapy (EIS). Drug approaches are based on non-selective β blocker with or without isosorbide-5-mononitrate (ISMN).","author":[{"dropping-particle":"","family":"Bosch","given":"Jaume","non-dropping-particle":"","parse-names":false,"suffix":""},{"dropping-particle":"","family":"García-Pagán","given":"Juan Carlos","non-dropping-particle":"","parse-names":false,"suffix":""}],"container-title":"Lancet","id":"ITEM-2","issue":"9361","issued":{"date-parts":[["2003"]]},"page":"952-954","title":"Prevention of variceal rebleeding","type":"article","volume":"361"},"uris":["http://www.mendeley.com/documents/?uuid=00a4ba94-fa36-4cd2-b8cb-d5aace007330"]}],"mendeley":{"formattedCitation":"&lt;sup&gt;[27,28]&lt;/sup&gt;","plainTextFormattedCitation":"[27,28]","previouslyFormattedCitation":"&lt;sup&gt;27,28&lt;/sup&gt;"},"properties":{"noteIndex":0},"schema":"https://github.com/citation-style-language/schema/raw/master/csl-citation.json"}</w:instrText>
      </w:r>
      <w:r w:rsidRPr="00932A95">
        <w:rPr>
          <w:rFonts w:ascii="Book Antiqua" w:hAnsi="Book Antiqua" w:cs="Book Antiqua"/>
          <w:color w:val="auto"/>
          <w:sz w:val="24"/>
          <w:szCs w:val="24"/>
        </w:rPr>
        <w:fldChar w:fldCharType="separate"/>
      </w:r>
      <w:r w:rsidRPr="00932A95">
        <w:rPr>
          <w:rFonts w:ascii="Book Antiqua" w:hAnsi="Book Antiqua" w:cs="Book Antiqua"/>
          <w:color w:val="auto"/>
          <w:sz w:val="24"/>
          <w:szCs w:val="24"/>
          <w:vertAlign w:val="superscript"/>
        </w:rPr>
        <w:t>[27,28]</w:t>
      </w:r>
      <w:r w:rsidRPr="00932A95">
        <w:rPr>
          <w:rFonts w:ascii="Book Antiqua" w:hAnsi="Book Antiqua" w:cs="Book Antiqua"/>
          <w:color w:val="auto"/>
          <w:sz w:val="24"/>
          <w:szCs w:val="24"/>
        </w:rPr>
        <w:fldChar w:fldCharType="end"/>
      </w:r>
      <w:r w:rsidRPr="00932A95">
        <w:rPr>
          <w:rFonts w:ascii="Book Antiqua" w:hAnsi="Book Antiqua" w:cs="Book Antiqua"/>
          <w:color w:val="auto"/>
          <w:sz w:val="24"/>
          <w:szCs w:val="24"/>
        </w:rPr>
        <w:t xml:space="preserve">. Moreover, pertinent variables including lab values, endoscopic findings and therapies, vital signs were missing as these are not available using the NIS database. Lastly, pharmacological therapy such as octreotide as well as prophylaxis measures with nonselective beta-blockers is not included in the NIS, which are important confounders that may have affected patient outcome between hospital settings. </w:t>
      </w:r>
    </w:p>
    <w:p w14:paraId="3301243A" w14:textId="77777777" w:rsidR="0011433B" w:rsidRPr="00932A95" w:rsidRDefault="002F52BB" w:rsidP="00374FC0">
      <w:pPr>
        <w:spacing w:line="360" w:lineRule="auto"/>
        <w:ind w:firstLineChars="100" w:firstLine="240"/>
        <w:jc w:val="both"/>
        <w:rPr>
          <w:rFonts w:ascii="Book Antiqua" w:hAnsi="Book Antiqua" w:cs="Book Antiqua"/>
          <w:color w:val="auto"/>
          <w:sz w:val="24"/>
          <w:szCs w:val="24"/>
        </w:rPr>
      </w:pPr>
      <w:r w:rsidRPr="00932A95">
        <w:rPr>
          <w:rFonts w:ascii="Book Antiqua" w:hAnsi="Book Antiqua" w:cs="Book Antiqua"/>
          <w:color w:val="auto"/>
          <w:sz w:val="24"/>
          <w:szCs w:val="24"/>
        </w:rPr>
        <w:t>Despite this, the findings are intriguing.</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Further prospective studies may need to be completed in order to determine causality and delineate whether teaching status affects patient outcomes.</w:t>
      </w:r>
    </w:p>
    <w:p w14:paraId="4DD79505" w14:textId="77777777" w:rsidR="0011433B" w:rsidRPr="00932A95" w:rsidRDefault="0011433B" w:rsidP="00374FC0">
      <w:pPr>
        <w:spacing w:line="360" w:lineRule="auto"/>
        <w:jc w:val="both"/>
        <w:rPr>
          <w:rFonts w:ascii="Book Antiqua" w:hAnsi="Book Antiqua" w:cs="Book Antiqua"/>
          <w:color w:val="auto"/>
          <w:sz w:val="24"/>
          <w:szCs w:val="24"/>
        </w:rPr>
      </w:pPr>
    </w:p>
    <w:p w14:paraId="627CB363"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color w:val="auto"/>
          <w:sz w:val="24"/>
          <w:szCs w:val="24"/>
          <w:u w:val="single"/>
        </w:rPr>
        <w:t>ARTICLE HIGHLIGHTS</w:t>
      </w:r>
    </w:p>
    <w:p w14:paraId="64FABD3F"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background</w:t>
      </w:r>
    </w:p>
    <w:p w14:paraId="023B036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Acute variceal bleeding is a major complication of portal hypertension and is a leading cause of death in patients with cirrhosis.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There is limited data on the outcomes of patients with esophageal variceal bleeding in teaching versus nonteaching hospitals.</w:t>
      </w:r>
    </w:p>
    <w:p w14:paraId="2CFDBD37" w14:textId="77777777" w:rsidR="0011433B" w:rsidRPr="00932A95" w:rsidRDefault="0011433B" w:rsidP="00374FC0">
      <w:pPr>
        <w:spacing w:line="360" w:lineRule="auto"/>
        <w:jc w:val="both"/>
        <w:rPr>
          <w:rFonts w:ascii="Book Antiqua" w:hAnsi="Book Antiqua" w:cs="Book Antiqua"/>
          <w:color w:val="auto"/>
          <w:sz w:val="24"/>
          <w:szCs w:val="24"/>
        </w:rPr>
      </w:pPr>
    </w:p>
    <w:p w14:paraId="1D50AF11"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motivation</w:t>
      </w:r>
    </w:p>
    <w:p w14:paraId="3B58DF9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To understand if the teaching status of a hospital has better or poorer outcomes in management of patients with variceal bleeding. </w:t>
      </w:r>
    </w:p>
    <w:p w14:paraId="5B876BF7" w14:textId="77777777" w:rsidR="0011433B" w:rsidRPr="00932A95" w:rsidRDefault="0011433B" w:rsidP="00374FC0">
      <w:pPr>
        <w:spacing w:line="360" w:lineRule="auto"/>
        <w:jc w:val="both"/>
        <w:rPr>
          <w:rFonts w:ascii="Book Antiqua" w:hAnsi="Book Antiqua" w:cs="Book Antiqua"/>
          <w:color w:val="auto"/>
          <w:sz w:val="24"/>
          <w:szCs w:val="24"/>
        </w:rPr>
      </w:pPr>
    </w:p>
    <w:p w14:paraId="7545CC14"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objectives</w:t>
      </w:r>
    </w:p>
    <w:p w14:paraId="11B303F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Compare outcomes of mortality, length of stay and cost of hospitalization amongst patients presenting with acute variceal bleeding in cohorts of teaching </w:t>
      </w:r>
      <w:r w:rsidRPr="00932A95">
        <w:rPr>
          <w:rFonts w:ascii="Book Antiqua" w:hAnsi="Book Antiqua" w:cs="Book Antiqua"/>
          <w:i/>
          <w:iCs/>
          <w:color w:val="auto"/>
          <w:sz w:val="24"/>
          <w:szCs w:val="24"/>
          <w:lang w:val="en-US"/>
        </w:rPr>
        <w:t>vs</w:t>
      </w:r>
      <w:r w:rsidRPr="00932A95">
        <w:rPr>
          <w:rFonts w:ascii="Book Antiqua" w:hAnsi="Book Antiqua" w:cs="Book Antiqua"/>
          <w:color w:val="auto"/>
          <w:sz w:val="24"/>
          <w:szCs w:val="24"/>
        </w:rPr>
        <w:t xml:space="preserve"> nonteaching hospitals.</w:t>
      </w:r>
    </w:p>
    <w:p w14:paraId="1BAB04F4" w14:textId="77777777" w:rsidR="0011433B" w:rsidRPr="00932A95" w:rsidRDefault="0011433B" w:rsidP="00374FC0">
      <w:pPr>
        <w:spacing w:line="360" w:lineRule="auto"/>
        <w:jc w:val="both"/>
        <w:rPr>
          <w:rFonts w:ascii="Book Antiqua" w:hAnsi="Book Antiqua" w:cs="Book Antiqua"/>
          <w:color w:val="auto"/>
          <w:sz w:val="24"/>
          <w:szCs w:val="24"/>
        </w:rPr>
      </w:pPr>
    </w:p>
    <w:p w14:paraId="0AE9B44C"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methods</w:t>
      </w:r>
    </w:p>
    <w:p w14:paraId="42B68F2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We looked at retrospective data from a large national database of patients that presented with acute variceal bleeding</w:t>
      </w:r>
    </w:p>
    <w:p w14:paraId="709F2A01" w14:textId="77777777" w:rsidR="0011433B" w:rsidRPr="00932A95" w:rsidRDefault="0011433B" w:rsidP="00374FC0">
      <w:pPr>
        <w:spacing w:line="360" w:lineRule="auto"/>
        <w:jc w:val="both"/>
        <w:rPr>
          <w:rFonts w:ascii="Book Antiqua" w:hAnsi="Book Antiqua" w:cs="Book Antiqua"/>
          <w:color w:val="auto"/>
          <w:sz w:val="24"/>
          <w:szCs w:val="24"/>
        </w:rPr>
      </w:pPr>
    </w:p>
    <w:p w14:paraId="251B49D9"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results</w:t>
      </w:r>
    </w:p>
    <w:p w14:paraId="22ECC97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The mortality, length of stay and cost of hospitalization was higher amongst patients with acute variceal bleeding that presented to a teaching hospital.</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When controlling for comorbidities and hospital characteristics this remained statistically significant.</w:t>
      </w:r>
    </w:p>
    <w:p w14:paraId="70F8FC6B" w14:textId="77777777" w:rsidR="0011433B" w:rsidRPr="00932A95" w:rsidRDefault="0011433B" w:rsidP="00374FC0">
      <w:pPr>
        <w:spacing w:line="360" w:lineRule="auto"/>
        <w:jc w:val="both"/>
        <w:rPr>
          <w:rFonts w:ascii="Book Antiqua" w:hAnsi="Book Antiqua" w:cs="Book Antiqua"/>
          <w:color w:val="auto"/>
          <w:sz w:val="24"/>
          <w:szCs w:val="24"/>
        </w:rPr>
      </w:pPr>
    </w:p>
    <w:p w14:paraId="1AF88531"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conclusions</w:t>
      </w:r>
    </w:p>
    <w:p w14:paraId="4B1A671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Teaching hospitals did worse in outcomes for patients with variceal bleeding when compared to non-teaching hospitals. Further details may need to be deciphered as to what could contribute to these findings.</w:t>
      </w:r>
    </w:p>
    <w:p w14:paraId="4EF0CED7" w14:textId="77777777" w:rsidR="0011433B" w:rsidRPr="00932A95" w:rsidRDefault="0011433B" w:rsidP="00374FC0">
      <w:pPr>
        <w:spacing w:line="360" w:lineRule="auto"/>
        <w:jc w:val="both"/>
        <w:rPr>
          <w:rFonts w:ascii="Book Antiqua" w:hAnsi="Book Antiqua" w:cs="Book Antiqua"/>
          <w:color w:val="auto"/>
          <w:sz w:val="24"/>
          <w:szCs w:val="24"/>
        </w:rPr>
      </w:pPr>
    </w:p>
    <w:p w14:paraId="073BFBE1"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b/>
          <w:i/>
          <w:color w:val="auto"/>
          <w:sz w:val="24"/>
          <w:szCs w:val="24"/>
        </w:rPr>
        <w:t>Research perspectives</w:t>
      </w:r>
    </w:p>
    <w:p w14:paraId="233A9E3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Prospective studies at teaching and non-teaching institutions when controlling for severity of illness can shed light on whether teaching hospitals need to improve their delivery of care for patients with variceal bleeding.</w:t>
      </w:r>
    </w:p>
    <w:p w14:paraId="1AD35ACD" w14:textId="77777777" w:rsidR="0011433B" w:rsidRPr="00932A95" w:rsidRDefault="0011433B" w:rsidP="00374FC0">
      <w:pPr>
        <w:spacing w:line="360" w:lineRule="auto"/>
        <w:jc w:val="both"/>
        <w:rPr>
          <w:rFonts w:ascii="Book Antiqua" w:hAnsi="Book Antiqua" w:cs="Book Antiqua"/>
          <w:color w:val="auto"/>
          <w:sz w:val="24"/>
          <w:szCs w:val="24"/>
        </w:rPr>
      </w:pPr>
    </w:p>
    <w:p w14:paraId="394F2943"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REFERENCES</w:t>
      </w:r>
    </w:p>
    <w:p w14:paraId="2CEED16C"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1 </w:t>
      </w:r>
      <w:proofErr w:type="spellStart"/>
      <w:r w:rsidRPr="00BD4EE8">
        <w:rPr>
          <w:rFonts w:ascii="Book Antiqua" w:eastAsia="SimSun" w:hAnsi="Book Antiqua" w:cs="Times New Roman"/>
          <w:b/>
          <w:color w:val="auto"/>
          <w:kern w:val="2"/>
          <w:sz w:val="24"/>
          <w:szCs w:val="24"/>
          <w:lang w:val="en-US" w:eastAsia="zh-CN"/>
        </w:rPr>
        <w:t>Carbonell</w:t>
      </w:r>
      <w:proofErr w:type="spellEnd"/>
      <w:r w:rsidRPr="00BD4EE8">
        <w:rPr>
          <w:rFonts w:ascii="Book Antiqua" w:eastAsia="SimSun" w:hAnsi="Book Antiqua" w:cs="Times New Roman"/>
          <w:b/>
          <w:color w:val="auto"/>
          <w:kern w:val="2"/>
          <w:sz w:val="24"/>
          <w:szCs w:val="24"/>
          <w:lang w:val="en-US" w:eastAsia="zh-CN"/>
        </w:rPr>
        <w:t xml:space="preserve"> N</w:t>
      </w:r>
      <w:r w:rsidRPr="00BD4EE8">
        <w:rPr>
          <w:rFonts w:ascii="Book Antiqua" w:eastAsia="SimSun" w:hAnsi="Book Antiqua" w:cs="Times New Roman"/>
          <w:color w:val="auto"/>
          <w:kern w:val="2"/>
          <w:sz w:val="24"/>
          <w:szCs w:val="24"/>
          <w:lang w:val="en-US" w:eastAsia="zh-CN"/>
        </w:rPr>
        <w:t xml:space="preserve">, Pauwels A, </w:t>
      </w:r>
      <w:proofErr w:type="spellStart"/>
      <w:r w:rsidRPr="00BD4EE8">
        <w:rPr>
          <w:rFonts w:ascii="Book Antiqua" w:eastAsia="SimSun" w:hAnsi="Book Antiqua" w:cs="Times New Roman"/>
          <w:color w:val="auto"/>
          <w:kern w:val="2"/>
          <w:sz w:val="24"/>
          <w:szCs w:val="24"/>
          <w:lang w:val="en-US" w:eastAsia="zh-CN"/>
        </w:rPr>
        <w:t>Serfaty</w:t>
      </w:r>
      <w:proofErr w:type="spellEnd"/>
      <w:r w:rsidRPr="00BD4EE8">
        <w:rPr>
          <w:rFonts w:ascii="Book Antiqua" w:eastAsia="SimSun" w:hAnsi="Book Antiqua" w:cs="Times New Roman"/>
          <w:color w:val="auto"/>
          <w:kern w:val="2"/>
          <w:sz w:val="24"/>
          <w:szCs w:val="24"/>
          <w:lang w:val="en-US" w:eastAsia="zh-CN"/>
        </w:rPr>
        <w:t xml:space="preserve"> L, </w:t>
      </w:r>
      <w:proofErr w:type="spellStart"/>
      <w:r w:rsidRPr="00BD4EE8">
        <w:rPr>
          <w:rFonts w:ascii="Book Antiqua" w:eastAsia="SimSun" w:hAnsi="Book Antiqua" w:cs="Times New Roman"/>
          <w:color w:val="auto"/>
          <w:kern w:val="2"/>
          <w:sz w:val="24"/>
          <w:szCs w:val="24"/>
          <w:lang w:val="en-US" w:eastAsia="zh-CN"/>
        </w:rPr>
        <w:t>Fourdan</w:t>
      </w:r>
      <w:proofErr w:type="spellEnd"/>
      <w:r w:rsidRPr="00BD4EE8">
        <w:rPr>
          <w:rFonts w:ascii="Book Antiqua" w:eastAsia="SimSun" w:hAnsi="Book Antiqua" w:cs="Times New Roman"/>
          <w:color w:val="auto"/>
          <w:kern w:val="2"/>
          <w:sz w:val="24"/>
          <w:szCs w:val="24"/>
          <w:lang w:val="en-US" w:eastAsia="zh-CN"/>
        </w:rPr>
        <w:t xml:space="preserve"> O, Lévy VG, </w:t>
      </w:r>
      <w:proofErr w:type="spellStart"/>
      <w:r w:rsidRPr="00BD4EE8">
        <w:rPr>
          <w:rFonts w:ascii="Book Antiqua" w:eastAsia="SimSun" w:hAnsi="Book Antiqua" w:cs="Times New Roman"/>
          <w:color w:val="auto"/>
          <w:kern w:val="2"/>
          <w:sz w:val="24"/>
          <w:szCs w:val="24"/>
          <w:lang w:val="en-US" w:eastAsia="zh-CN"/>
        </w:rPr>
        <w:t>Poupon</w:t>
      </w:r>
      <w:proofErr w:type="spellEnd"/>
      <w:r w:rsidRPr="00BD4EE8">
        <w:rPr>
          <w:rFonts w:ascii="Book Antiqua" w:eastAsia="SimSun" w:hAnsi="Book Antiqua" w:cs="Times New Roman"/>
          <w:color w:val="auto"/>
          <w:kern w:val="2"/>
          <w:sz w:val="24"/>
          <w:szCs w:val="24"/>
          <w:lang w:val="en-US" w:eastAsia="zh-CN"/>
        </w:rPr>
        <w:t xml:space="preserve"> R. Improved survival after variceal bleeding in patients with cirrhosis over the past two decades. </w:t>
      </w:r>
      <w:r w:rsidRPr="00BD4EE8">
        <w:rPr>
          <w:rFonts w:ascii="Book Antiqua" w:eastAsia="SimSun" w:hAnsi="Book Antiqua" w:cs="Times New Roman"/>
          <w:i/>
          <w:color w:val="auto"/>
          <w:kern w:val="2"/>
          <w:sz w:val="24"/>
          <w:szCs w:val="24"/>
          <w:lang w:val="en-US" w:eastAsia="zh-CN"/>
        </w:rPr>
        <w:t>Hepatology</w:t>
      </w:r>
      <w:r w:rsidRPr="00BD4EE8">
        <w:rPr>
          <w:rFonts w:ascii="Book Antiqua" w:eastAsia="SimSun" w:hAnsi="Book Antiqua" w:cs="Times New Roman"/>
          <w:color w:val="auto"/>
          <w:kern w:val="2"/>
          <w:sz w:val="24"/>
          <w:szCs w:val="24"/>
          <w:lang w:val="en-US" w:eastAsia="zh-CN"/>
        </w:rPr>
        <w:t xml:space="preserve"> 2004; </w:t>
      </w:r>
      <w:r w:rsidRPr="00BD4EE8">
        <w:rPr>
          <w:rFonts w:ascii="Book Antiqua" w:eastAsia="SimSun" w:hAnsi="Book Antiqua" w:cs="Times New Roman"/>
          <w:b/>
          <w:color w:val="auto"/>
          <w:kern w:val="2"/>
          <w:sz w:val="24"/>
          <w:szCs w:val="24"/>
          <w:lang w:val="en-US" w:eastAsia="zh-CN"/>
        </w:rPr>
        <w:t>40</w:t>
      </w:r>
      <w:r w:rsidRPr="00BD4EE8">
        <w:rPr>
          <w:rFonts w:ascii="Book Antiqua" w:eastAsia="SimSun" w:hAnsi="Book Antiqua" w:cs="Times New Roman"/>
          <w:color w:val="auto"/>
          <w:kern w:val="2"/>
          <w:sz w:val="24"/>
          <w:szCs w:val="24"/>
          <w:lang w:val="en-US" w:eastAsia="zh-CN"/>
        </w:rPr>
        <w:t>: 652-659 [PMID: 15349904 DOI: 10.1002/hep.20339]</w:t>
      </w:r>
    </w:p>
    <w:p w14:paraId="60E4ED28"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2 </w:t>
      </w:r>
      <w:r w:rsidRPr="00BD4EE8">
        <w:rPr>
          <w:rFonts w:ascii="Book Antiqua" w:eastAsia="SimSun" w:hAnsi="Book Antiqua" w:cs="Times New Roman"/>
          <w:b/>
          <w:color w:val="auto"/>
          <w:kern w:val="2"/>
          <w:sz w:val="24"/>
          <w:szCs w:val="24"/>
          <w:lang w:val="en-US" w:eastAsia="zh-CN"/>
        </w:rPr>
        <w:t>El-</w:t>
      </w:r>
      <w:proofErr w:type="spellStart"/>
      <w:r w:rsidRPr="00BD4EE8">
        <w:rPr>
          <w:rFonts w:ascii="Book Antiqua" w:eastAsia="SimSun" w:hAnsi="Book Antiqua" w:cs="Times New Roman"/>
          <w:b/>
          <w:color w:val="auto"/>
          <w:kern w:val="2"/>
          <w:sz w:val="24"/>
          <w:szCs w:val="24"/>
          <w:lang w:val="en-US" w:eastAsia="zh-CN"/>
        </w:rPr>
        <w:t>Serag</w:t>
      </w:r>
      <w:proofErr w:type="spellEnd"/>
      <w:r w:rsidRPr="00BD4EE8">
        <w:rPr>
          <w:rFonts w:ascii="Book Antiqua" w:eastAsia="SimSun" w:hAnsi="Book Antiqua" w:cs="Times New Roman"/>
          <w:b/>
          <w:color w:val="auto"/>
          <w:kern w:val="2"/>
          <w:sz w:val="24"/>
          <w:szCs w:val="24"/>
          <w:lang w:val="en-US" w:eastAsia="zh-CN"/>
        </w:rPr>
        <w:t xml:space="preserve"> HB</w:t>
      </w:r>
      <w:r w:rsidRPr="00BD4EE8">
        <w:rPr>
          <w:rFonts w:ascii="Book Antiqua" w:eastAsia="SimSun" w:hAnsi="Book Antiqua" w:cs="Times New Roman"/>
          <w:color w:val="auto"/>
          <w:kern w:val="2"/>
          <w:sz w:val="24"/>
          <w:szCs w:val="24"/>
          <w:lang w:val="en-US" w:eastAsia="zh-CN"/>
        </w:rPr>
        <w:t xml:space="preserve">, Everhart JE. Improved survival after variceal hemorrhage over an 11-year period in the Department of Veterans Affairs. </w:t>
      </w:r>
      <w:r w:rsidRPr="00BD4EE8">
        <w:rPr>
          <w:rFonts w:ascii="Book Antiqua" w:eastAsia="SimSun" w:hAnsi="Book Antiqua" w:cs="Times New Roman"/>
          <w:i/>
          <w:color w:val="auto"/>
          <w:kern w:val="2"/>
          <w:sz w:val="24"/>
          <w:szCs w:val="24"/>
          <w:lang w:val="en-US" w:eastAsia="zh-CN"/>
        </w:rPr>
        <w:t>Am J Gastroenterol</w:t>
      </w:r>
      <w:r w:rsidRPr="00BD4EE8">
        <w:rPr>
          <w:rFonts w:ascii="Book Antiqua" w:eastAsia="SimSun" w:hAnsi="Book Antiqua" w:cs="Times New Roman"/>
          <w:color w:val="auto"/>
          <w:kern w:val="2"/>
          <w:sz w:val="24"/>
          <w:szCs w:val="24"/>
          <w:lang w:val="en-US" w:eastAsia="zh-CN"/>
        </w:rPr>
        <w:t xml:space="preserve"> 2000; </w:t>
      </w:r>
      <w:r w:rsidRPr="00BD4EE8">
        <w:rPr>
          <w:rFonts w:ascii="Book Antiqua" w:eastAsia="SimSun" w:hAnsi="Book Antiqua" w:cs="Times New Roman"/>
          <w:b/>
          <w:color w:val="auto"/>
          <w:kern w:val="2"/>
          <w:sz w:val="24"/>
          <w:szCs w:val="24"/>
          <w:lang w:val="en-US" w:eastAsia="zh-CN"/>
        </w:rPr>
        <w:t>95</w:t>
      </w:r>
      <w:r w:rsidRPr="00BD4EE8">
        <w:rPr>
          <w:rFonts w:ascii="Book Antiqua" w:eastAsia="SimSun" w:hAnsi="Book Antiqua" w:cs="Times New Roman"/>
          <w:color w:val="auto"/>
          <w:kern w:val="2"/>
          <w:sz w:val="24"/>
          <w:szCs w:val="24"/>
          <w:lang w:val="en-US" w:eastAsia="zh-CN"/>
        </w:rPr>
        <w:t>: 3566-3573 [PMID: 11151893 DOI: 10.1016/S0002-9270(00)02169-9]</w:t>
      </w:r>
    </w:p>
    <w:p w14:paraId="496AF7F7"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3 </w:t>
      </w:r>
      <w:r w:rsidRPr="00BD4EE8">
        <w:rPr>
          <w:rFonts w:ascii="Book Antiqua" w:eastAsia="SimSun" w:hAnsi="Book Antiqua" w:cs="Times New Roman"/>
          <w:b/>
          <w:color w:val="auto"/>
          <w:kern w:val="2"/>
          <w:sz w:val="24"/>
          <w:szCs w:val="24"/>
          <w:lang w:val="en-US" w:eastAsia="zh-CN"/>
        </w:rPr>
        <w:t>D'Amico G</w:t>
      </w:r>
      <w:r w:rsidRPr="00BD4EE8">
        <w:rPr>
          <w:rFonts w:ascii="Book Antiqua" w:eastAsia="SimSun" w:hAnsi="Book Antiqua" w:cs="Times New Roman"/>
          <w:color w:val="auto"/>
          <w:kern w:val="2"/>
          <w:sz w:val="24"/>
          <w:szCs w:val="24"/>
          <w:lang w:val="en-US" w:eastAsia="zh-CN"/>
        </w:rPr>
        <w:t xml:space="preserve">, De </w:t>
      </w:r>
      <w:proofErr w:type="spellStart"/>
      <w:r w:rsidRPr="00BD4EE8">
        <w:rPr>
          <w:rFonts w:ascii="Book Antiqua" w:eastAsia="SimSun" w:hAnsi="Book Antiqua" w:cs="Times New Roman"/>
          <w:color w:val="auto"/>
          <w:kern w:val="2"/>
          <w:sz w:val="24"/>
          <w:szCs w:val="24"/>
          <w:lang w:val="en-US" w:eastAsia="zh-CN"/>
        </w:rPr>
        <w:t>Franchis</w:t>
      </w:r>
      <w:proofErr w:type="spellEnd"/>
      <w:r w:rsidRPr="00BD4EE8">
        <w:rPr>
          <w:rFonts w:ascii="Book Antiqua" w:eastAsia="SimSun" w:hAnsi="Book Antiqua" w:cs="Times New Roman"/>
          <w:color w:val="auto"/>
          <w:kern w:val="2"/>
          <w:sz w:val="24"/>
          <w:szCs w:val="24"/>
          <w:lang w:val="en-US" w:eastAsia="zh-CN"/>
        </w:rPr>
        <w:t xml:space="preserve"> R; Cooperative Study Group. Upper digestive bleeding in cirrhosis. Post-therapeutic outcome and prognostic indicators. </w:t>
      </w:r>
      <w:r w:rsidRPr="00BD4EE8">
        <w:rPr>
          <w:rFonts w:ascii="Book Antiqua" w:eastAsia="SimSun" w:hAnsi="Book Antiqua" w:cs="Times New Roman"/>
          <w:i/>
          <w:color w:val="auto"/>
          <w:kern w:val="2"/>
          <w:sz w:val="24"/>
          <w:szCs w:val="24"/>
          <w:lang w:val="en-US" w:eastAsia="zh-CN"/>
        </w:rPr>
        <w:t>Hepatology</w:t>
      </w:r>
      <w:r w:rsidRPr="00BD4EE8">
        <w:rPr>
          <w:rFonts w:ascii="Book Antiqua" w:eastAsia="SimSun" w:hAnsi="Book Antiqua" w:cs="Times New Roman"/>
          <w:color w:val="auto"/>
          <w:kern w:val="2"/>
          <w:sz w:val="24"/>
          <w:szCs w:val="24"/>
          <w:lang w:val="en-US" w:eastAsia="zh-CN"/>
        </w:rPr>
        <w:t xml:space="preserve"> 2003; </w:t>
      </w:r>
      <w:r w:rsidRPr="00BD4EE8">
        <w:rPr>
          <w:rFonts w:ascii="Book Antiqua" w:eastAsia="SimSun" w:hAnsi="Book Antiqua" w:cs="Times New Roman"/>
          <w:b/>
          <w:color w:val="auto"/>
          <w:kern w:val="2"/>
          <w:sz w:val="24"/>
          <w:szCs w:val="24"/>
          <w:lang w:val="en-US" w:eastAsia="zh-CN"/>
        </w:rPr>
        <w:t>38</w:t>
      </w:r>
      <w:r w:rsidRPr="00BD4EE8">
        <w:rPr>
          <w:rFonts w:ascii="Book Antiqua" w:eastAsia="SimSun" w:hAnsi="Book Antiqua" w:cs="Times New Roman"/>
          <w:color w:val="auto"/>
          <w:kern w:val="2"/>
          <w:sz w:val="24"/>
          <w:szCs w:val="24"/>
          <w:lang w:val="en-US" w:eastAsia="zh-CN"/>
        </w:rPr>
        <w:t>: 599-612 [PMID: 12939586 DOI: 10.1053/jhep.2003.50385]</w:t>
      </w:r>
    </w:p>
    <w:p w14:paraId="27B78FCE"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4 </w:t>
      </w:r>
      <w:r w:rsidRPr="00BD4EE8">
        <w:rPr>
          <w:rFonts w:ascii="Book Antiqua" w:eastAsia="SimSun" w:hAnsi="Book Antiqua" w:cs="Times New Roman"/>
          <w:b/>
          <w:color w:val="auto"/>
          <w:kern w:val="2"/>
          <w:sz w:val="24"/>
          <w:szCs w:val="24"/>
          <w:lang w:val="en-US" w:eastAsia="zh-CN"/>
        </w:rPr>
        <w:t>Chen PH</w:t>
      </w:r>
      <w:r w:rsidRPr="00BD4EE8">
        <w:rPr>
          <w:rFonts w:ascii="Book Antiqua" w:eastAsia="SimSun" w:hAnsi="Book Antiqua" w:cs="Times New Roman"/>
          <w:color w:val="auto"/>
          <w:kern w:val="2"/>
          <w:sz w:val="24"/>
          <w:szCs w:val="24"/>
          <w:lang w:val="en-US" w:eastAsia="zh-CN"/>
        </w:rPr>
        <w:t xml:space="preserve">, Chen WC, </w:t>
      </w:r>
      <w:proofErr w:type="spellStart"/>
      <w:r w:rsidRPr="00BD4EE8">
        <w:rPr>
          <w:rFonts w:ascii="Book Antiqua" w:eastAsia="SimSun" w:hAnsi="Book Antiqua" w:cs="Times New Roman"/>
          <w:color w:val="auto"/>
          <w:kern w:val="2"/>
          <w:sz w:val="24"/>
          <w:szCs w:val="24"/>
          <w:lang w:val="en-US" w:eastAsia="zh-CN"/>
        </w:rPr>
        <w:t>Hou</w:t>
      </w:r>
      <w:proofErr w:type="spellEnd"/>
      <w:r w:rsidRPr="00BD4EE8">
        <w:rPr>
          <w:rFonts w:ascii="Book Antiqua" w:eastAsia="SimSun" w:hAnsi="Book Antiqua" w:cs="Times New Roman"/>
          <w:color w:val="auto"/>
          <w:kern w:val="2"/>
          <w:sz w:val="24"/>
          <w:szCs w:val="24"/>
          <w:lang w:val="en-US" w:eastAsia="zh-CN"/>
        </w:rPr>
        <w:t xml:space="preserve"> MC, Liu TT, Chang CJ, Liao WC, Su CW, Wang HM, Lin HC, Lee FY, Lee SD. Delayed endoscopy increases re-bleeding and mortality in patients with hematemesis and active esophageal variceal bleeding: a cohort study. </w:t>
      </w:r>
      <w:r w:rsidRPr="00BD4EE8">
        <w:rPr>
          <w:rFonts w:ascii="Book Antiqua" w:eastAsia="SimSun" w:hAnsi="Book Antiqua" w:cs="Times New Roman"/>
          <w:i/>
          <w:color w:val="auto"/>
          <w:kern w:val="2"/>
          <w:sz w:val="24"/>
          <w:szCs w:val="24"/>
          <w:lang w:val="en-US" w:eastAsia="zh-CN"/>
        </w:rPr>
        <w:t xml:space="preserve">J </w:t>
      </w:r>
      <w:proofErr w:type="spellStart"/>
      <w:r w:rsidRPr="00BD4EE8">
        <w:rPr>
          <w:rFonts w:ascii="Book Antiqua" w:eastAsia="SimSun" w:hAnsi="Book Antiqua" w:cs="Times New Roman"/>
          <w:i/>
          <w:color w:val="auto"/>
          <w:kern w:val="2"/>
          <w:sz w:val="24"/>
          <w:szCs w:val="24"/>
          <w:lang w:val="en-US" w:eastAsia="zh-CN"/>
        </w:rPr>
        <w:t>Hepatol</w:t>
      </w:r>
      <w:proofErr w:type="spellEnd"/>
      <w:r w:rsidRPr="00BD4EE8">
        <w:rPr>
          <w:rFonts w:ascii="Book Antiqua" w:eastAsia="SimSun" w:hAnsi="Book Antiqua" w:cs="Times New Roman"/>
          <w:color w:val="auto"/>
          <w:kern w:val="2"/>
          <w:sz w:val="24"/>
          <w:szCs w:val="24"/>
          <w:lang w:val="en-US" w:eastAsia="zh-CN"/>
        </w:rPr>
        <w:t xml:space="preserve"> 2012; </w:t>
      </w:r>
      <w:r w:rsidRPr="00BD4EE8">
        <w:rPr>
          <w:rFonts w:ascii="Book Antiqua" w:eastAsia="SimSun" w:hAnsi="Book Antiqua" w:cs="Times New Roman"/>
          <w:b/>
          <w:color w:val="auto"/>
          <w:kern w:val="2"/>
          <w:sz w:val="24"/>
          <w:szCs w:val="24"/>
          <w:lang w:val="en-US" w:eastAsia="zh-CN"/>
        </w:rPr>
        <w:t>57</w:t>
      </w:r>
      <w:r w:rsidRPr="00BD4EE8">
        <w:rPr>
          <w:rFonts w:ascii="Book Antiqua" w:eastAsia="SimSun" w:hAnsi="Book Antiqua" w:cs="Times New Roman"/>
          <w:color w:val="auto"/>
          <w:kern w:val="2"/>
          <w:sz w:val="24"/>
          <w:szCs w:val="24"/>
          <w:lang w:val="en-US" w:eastAsia="zh-CN"/>
        </w:rPr>
        <w:t>: 1207-1213 [PMID: 22885718 DOI: 10.1016/j.jhep.2012.07.038]</w:t>
      </w:r>
    </w:p>
    <w:p w14:paraId="481499D8"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5 </w:t>
      </w:r>
      <w:r w:rsidRPr="00BD4EE8">
        <w:rPr>
          <w:rFonts w:ascii="Book Antiqua" w:eastAsia="SimSun" w:hAnsi="Book Antiqua" w:cs="Times New Roman"/>
          <w:b/>
          <w:color w:val="auto"/>
          <w:kern w:val="2"/>
          <w:sz w:val="24"/>
          <w:szCs w:val="24"/>
          <w:lang w:val="en-US" w:eastAsia="zh-CN"/>
        </w:rPr>
        <w:t>Garcia-Tsao G</w:t>
      </w:r>
      <w:r w:rsidRPr="00BD4EE8">
        <w:rPr>
          <w:rFonts w:ascii="Book Antiqua" w:eastAsia="SimSun" w:hAnsi="Book Antiqua" w:cs="Times New Roman"/>
          <w:color w:val="auto"/>
          <w:kern w:val="2"/>
          <w:sz w:val="24"/>
          <w:szCs w:val="24"/>
          <w:lang w:val="en-US" w:eastAsia="zh-CN"/>
        </w:rPr>
        <w:t xml:space="preserve">, Bosch J. Management of varices and variceal hemorrhage in cirrhosis. </w:t>
      </w:r>
      <w:r w:rsidRPr="00BD4EE8">
        <w:rPr>
          <w:rFonts w:ascii="Book Antiqua" w:eastAsia="SimSun" w:hAnsi="Book Antiqua" w:cs="Times New Roman"/>
          <w:i/>
          <w:color w:val="auto"/>
          <w:kern w:val="2"/>
          <w:sz w:val="24"/>
          <w:szCs w:val="24"/>
          <w:lang w:val="en-US" w:eastAsia="zh-CN"/>
        </w:rPr>
        <w:t xml:space="preserve">N </w:t>
      </w:r>
      <w:proofErr w:type="spellStart"/>
      <w:r w:rsidRPr="00BD4EE8">
        <w:rPr>
          <w:rFonts w:ascii="Book Antiqua" w:eastAsia="SimSun" w:hAnsi="Book Antiqua" w:cs="Times New Roman"/>
          <w:i/>
          <w:color w:val="auto"/>
          <w:kern w:val="2"/>
          <w:sz w:val="24"/>
          <w:szCs w:val="24"/>
          <w:lang w:val="en-US" w:eastAsia="zh-CN"/>
        </w:rPr>
        <w:t>Engl</w:t>
      </w:r>
      <w:proofErr w:type="spellEnd"/>
      <w:r w:rsidRPr="00BD4EE8">
        <w:rPr>
          <w:rFonts w:ascii="Book Antiqua" w:eastAsia="SimSun" w:hAnsi="Book Antiqua" w:cs="Times New Roman"/>
          <w:i/>
          <w:color w:val="auto"/>
          <w:kern w:val="2"/>
          <w:sz w:val="24"/>
          <w:szCs w:val="24"/>
          <w:lang w:val="en-US" w:eastAsia="zh-CN"/>
        </w:rPr>
        <w:t xml:space="preserve"> J Med</w:t>
      </w:r>
      <w:r w:rsidRPr="00BD4EE8">
        <w:rPr>
          <w:rFonts w:ascii="Book Antiqua" w:eastAsia="SimSun" w:hAnsi="Book Antiqua" w:cs="Times New Roman"/>
          <w:color w:val="auto"/>
          <w:kern w:val="2"/>
          <w:sz w:val="24"/>
          <w:szCs w:val="24"/>
          <w:lang w:val="en-US" w:eastAsia="zh-CN"/>
        </w:rPr>
        <w:t xml:space="preserve"> 2010; </w:t>
      </w:r>
      <w:r w:rsidRPr="00BD4EE8">
        <w:rPr>
          <w:rFonts w:ascii="Book Antiqua" w:eastAsia="SimSun" w:hAnsi="Book Antiqua" w:cs="Times New Roman"/>
          <w:b/>
          <w:color w:val="auto"/>
          <w:kern w:val="2"/>
          <w:sz w:val="24"/>
          <w:szCs w:val="24"/>
          <w:lang w:val="en-US" w:eastAsia="zh-CN"/>
        </w:rPr>
        <w:t>362</w:t>
      </w:r>
      <w:r w:rsidRPr="00BD4EE8">
        <w:rPr>
          <w:rFonts w:ascii="Book Antiqua" w:eastAsia="SimSun" w:hAnsi="Book Antiqua" w:cs="Times New Roman"/>
          <w:color w:val="auto"/>
          <w:kern w:val="2"/>
          <w:sz w:val="24"/>
          <w:szCs w:val="24"/>
          <w:lang w:val="en-US" w:eastAsia="zh-CN"/>
        </w:rPr>
        <w:t>: 823-832 [PMID: 20200386 DOI: 10.1056/NEJMra0901512]</w:t>
      </w:r>
    </w:p>
    <w:p w14:paraId="595EBC4C"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6 </w:t>
      </w:r>
      <w:r w:rsidRPr="00BD4EE8">
        <w:rPr>
          <w:rFonts w:ascii="Book Antiqua" w:eastAsia="SimSun" w:hAnsi="Book Antiqua" w:cs="Times New Roman"/>
          <w:b/>
          <w:color w:val="auto"/>
          <w:kern w:val="2"/>
          <w:sz w:val="24"/>
          <w:szCs w:val="24"/>
          <w:lang w:val="en-US" w:eastAsia="zh-CN"/>
        </w:rPr>
        <w:t xml:space="preserve">International Working Party to Promote and </w:t>
      </w:r>
      <w:proofErr w:type="spellStart"/>
      <w:r w:rsidRPr="00BD4EE8">
        <w:rPr>
          <w:rFonts w:ascii="Book Antiqua" w:eastAsia="SimSun" w:hAnsi="Book Antiqua" w:cs="Times New Roman"/>
          <w:b/>
          <w:color w:val="auto"/>
          <w:kern w:val="2"/>
          <w:sz w:val="24"/>
          <w:szCs w:val="24"/>
          <w:lang w:val="en-US" w:eastAsia="zh-CN"/>
        </w:rPr>
        <w:t>Revitalise</w:t>
      </w:r>
      <w:proofErr w:type="spellEnd"/>
      <w:r w:rsidRPr="00BD4EE8">
        <w:rPr>
          <w:rFonts w:ascii="Book Antiqua" w:eastAsia="SimSun" w:hAnsi="Book Antiqua" w:cs="Times New Roman"/>
          <w:b/>
          <w:color w:val="auto"/>
          <w:kern w:val="2"/>
          <w:sz w:val="24"/>
          <w:szCs w:val="24"/>
          <w:lang w:val="en-US" w:eastAsia="zh-CN"/>
        </w:rPr>
        <w:t xml:space="preserve"> Academic Medicine</w:t>
      </w:r>
      <w:r w:rsidRPr="00BD4EE8">
        <w:rPr>
          <w:rFonts w:ascii="Book Antiqua" w:eastAsia="SimSun" w:hAnsi="Book Antiqua" w:cs="Times New Roman"/>
          <w:color w:val="auto"/>
          <w:kern w:val="2"/>
          <w:sz w:val="24"/>
          <w:szCs w:val="24"/>
          <w:lang w:val="en-US" w:eastAsia="zh-CN"/>
        </w:rPr>
        <w:t xml:space="preserve">. Academic medicine: the evidence base. </w:t>
      </w:r>
      <w:r w:rsidRPr="00BD4EE8">
        <w:rPr>
          <w:rFonts w:ascii="Book Antiqua" w:eastAsia="SimSun" w:hAnsi="Book Antiqua" w:cs="Times New Roman"/>
          <w:i/>
          <w:color w:val="auto"/>
          <w:kern w:val="2"/>
          <w:sz w:val="24"/>
          <w:szCs w:val="24"/>
          <w:lang w:val="en-US" w:eastAsia="zh-CN"/>
        </w:rPr>
        <w:t>BMJ</w:t>
      </w:r>
      <w:r w:rsidRPr="00BD4EE8">
        <w:rPr>
          <w:rFonts w:ascii="Book Antiqua" w:eastAsia="SimSun" w:hAnsi="Book Antiqua" w:cs="Times New Roman"/>
          <w:color w:val="auto"/>
          <w:kern w:val="2"/>
          <w:sz w:val="24"/>
          <w:szCs w:val="24"/>
          <w:lang w:val="en-US" w:eastAsia="zh-CN"/>
        </w:rPr>
        <w:t xml:space="preserve"> 2004; </w:t>
      </w:r>
      <w:r w:rsidRPr="00BD4EE8">
        <w:rPr>
          <w:rFonts w:ascii="Book Antiqua" w:eastAsia="SimSun" w:hAnsi="Book Antiqua" w:cs="Times New Roman"/>
          <w:b/>
          <w:color w:val="auto"/>
          <w:kern w:val="2"/>
          <w:sz w:val="24"/>
          <w:szCs w:val="24"/>
          <w:lang w:val="en-US" w:eastAsia="zh-CN"/>
        </w:rPr>
        <w:t>329</w:t>
      </w:r>
      <w:r w:rsidRPr="00BD4EE8">
        <w:rPr>
          <w:rFonts w:ascii="Book Antiqua" w:eastAsia="SimSun" w:hAnsi="Book Antiqua" w:cs="Times New Roman"/>
          <w:color w:val="auto"/>
          <w:kern w:val="2"/>
          <w:sz w:val="24"/>
          <w:szCs w:val="24"/>
          <w:lang w:val="en-US" w:eastAsia="zh-CN"/>
        </w:rPr>
        <w:t>: 789-792 [PMID: 15459055 DOI: 10.1136/bmj.329.7469.789]</w:t>
      </w:r>
    </w:p>
    <w:p w14:paraId="226A9EBB"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lastRenderedPageBreak/>
        <w:t xml:space="preserve">7 </w:t>
      </w:r>
      <w:r w:rsidRPr="00BD4EE8">
        <w:rPr>
          <w:rFonts w:ascii="Book Antiqua" w:eastAsia="SimSun" w:hAnsi="Book Antiqua" w:cs="Times New Roman"/>
          <w:b/>
          <w:color w:val="auto"/>
          <w:kern w:val="2"/>
          <w:sz w:val="24"/>
          <w:szCs w:val="24"/>
          <w:lang w:val="en-US" w:eastAsia="zh-CN"/>
        </w:rPr>
        <w:t>Shetty KD</w:t>
      </w:r>
      <w:r w:rsidRPr="00BD4EE8">
        <w:rPr>
          <w:rFonts w:ascii="Book Antiqua" w:eastAsia="SimSun" w:hAnsi="Book Antiqua" w:cs="Times New Roman"/>
          <w:color w:val="auto"/>
          <w:kern w:val="2"/>
          <w:sz w:val="24"/>
          <w:szCs w:val="24"/>
          <w:lang w:val="en-US" w:eastAsia="zh-CN"/>
        </w:rPr>
        <w:t xml:space="preserve">, Bhattacharya J. Changes in hospital mortality associated with residency work-hour regulations. </w:t>
      </w:r>
      <w:r w:rsidRPr="00BD4EE8">
        <w:rPr>
          <w:rFonts w:ascii="Book Antiqua" w:eastAsia="SimSun" w:hAnsi="Book Antiqua" w:cs="Times New Roman"/>
          <w:i/>
          <w:color w:val="auto"/>
          <w:kern w:val="2"/>
          <w:sz w:val="24"/>
          <w:szCs w:val="24"/>
          <w:lang w:val="en-US" w:eastAsia="zh-CN"/>
        </w:rPr>
        <w:t>Ann Intern Med</w:t>
      </w:r>
      <w:r w:rsidRPr="00BD4EE8">
        <w:rPr>
          <w:rFonts w:ascii="Book Antiqua" w:eastAsia="SimSun" w:hAnsi="Book Antiqua" w:cs="Times New Roman"/>
          <w:color w:val="auto"/>
          <w:kern w:val="2"/>
          <w:sz w:val="24"/>
          <w:szCs w:val="24"/>
          <w:lang w:val="en-US" w:eastAsia="zh-CN"/>
        </w:rPr>
        <w:t xml:space="preserve"> 2007; </w:t>
      </w:r>
      <w:r w:rsidRPr="00BD4EE8">
        <w:rPr>
          <w:rFonts w:ascii="Book Antiqua" w:eastAsia="SimSun" w:hAnsi="Book Antiqua" w:cs="Times New Roman"/>
          <w:b/>
          <w:color w:val="auto"/>
          <w:kern w:val="2"/>
          <w:sz w:val="24"/>
          <w:szCs w:val="24"/>
          <w:lang w:val="en-US" w:eastAsia="zh-CN"/>
        </w:rPr>
        <w:t>147</w:t>
      </w:r>
      <w:r w:rsidRPr="00BD4EE8">
        <w:rPr>
          <w:rFonts w:ascii="Book Antiqua" w:eastAsia="SimSun" w:hAnsi="Book Antiqua" w:cs="Times New Roman"/>
          <w:color w:val="auto"/>
          <w:kern w:val="2"/>
          <w:sz w:val="24"/>
          <w:szCs w:val="24"/>
          <w:lang w:val="en-US" w:eastAsia="zh-CN"/>
        </w:rPr>
        <w:t>: 73-80 [PMID: 17548403 DOI: 10.7326/0003-4819-147-2-200707170-00161]</w:t>
      </w:r>
    </w:p>
    <w:p w14:paraId="6F582DB8"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8 </w:t>
      </w:r>
      <w:r w:rsidRPr="00BD4EE8">
        <w:rPr>
          <w:rFonts w:ascii="Book Antiqua" w:eastAsia="SimSun" w:hAnsi="Book Antiqua" w:cs="Times New Roman"/>
          <w:b/>
          <w:color w:val="auto"/>
          <w:kern w:val="2"/>
          <w:sz w:val="24"/>
          <w:szCs w:val="24"/>
          <w:lang w:val="en-US" w:eastAsia="zh-CN"/>
        </w:rPr>
        <w:t>Shelton J</w:t>
      </w:r>
      <w:r w:rsidRPr="00BD4EE8">
        <w:rPr>
          <w:rFonts w:ascii="Book Antiqua" w:eastAsia="SimSun" w:hAnsi="Book Antiqua" w:cs="Times New Roman"/>
          <w:color w:val="auto"/>
          <w:kern w:val="2"/>
          <w:sz w:val="24"/>
          <w:szCs w:val="24"/>
          <w:lang w:val="en-US" w:eastAsia="zh-CN"/>
        </w:rPr>
        <w:t xml:space="preserve">, </w:t>
      </w:r>
      <w:proofErr w:type="spellStart"/>
      <w:r w:rsidRPr="00BD4EE8">
        <w:rPr>
          <w:rFonts w:ascii="Book Antiqua" w:eastAsia="SimSun" w:hAnsi="Book Antiqua" w:cs="Times New Roman"/>
          <w:color w:val="auto"/>
          <w:kern w:val="2"/>
          <w:sz w:val="24"/>
          <w:szCs w:val="24"/>
          <w:lang w:val="en-US" w:eastAsia="zh-CN"/>
        </w:rPr>
        <w:t>Kummerow</w:t>
      </w:r>
      <w:proofErr w:type="spellEnd"/>
      <w:r w:rsidRPr="00BD4EE8">
        <w:rPr>
          <w:rFonts w:ascii="Book Antiqua" w:eastAsia="SimSun" w:hAnsi="Book Antiqua" w:cs="Times New Roman"/>
          <w:color w:val="auto"/>
          <w:kern w:val="2"/>
          <w:sz w:val="24"/>
          <w:szCs w:val="24"/>
          <w:lang w:val="en-US" w:eastAsia="zh-CN"/>
        </w:rPr>
        <w:t xml:space="preserve"> K, Phillips S, Arbogast PG, Griffin M, Holzman MD, Nealon W, </w:t>
      </w:r>
      <w:proofErr w:type="spellStart"/>
      <w:r w:rsidRPr="00BD4EE8">
        <w:rPr>
          <w:rFonts w:ascii="Book Antiqua" w:eastAsia="SimSun" w:hAnsi="Book Antiqua" w:cs="Times New Roman"/>
          <w:color w:val="auto"/>
          <w:kern w:val="2"/>
          <w:sz w:val="24"/>
          <w:szCs w:val="24"/>
          <w:lang w:val="en-US" w:eastAsia="zh-CN"/>
        </w:rPr>
        <w:t>Poulose</w:t>
      </w:r>
      <w:proofErr w:type="spellEnd"/>
      <w:r w:rsidRPr="00BD4EE8">
        <w:rPr>
          <w:rFonts w:ascii="Book Antiqua" w:eastAsia="SimSun" w:hAnsi="Book Antiqua" w:cs="Times New Roman"/>
          <w:color w:val="auto"/>
          <w:kern w:val="2"/>
          <w:sz w:val="24"/>
          <w:szCs w:val="24"/>
          <w:lang w:val="en-US" w:eastAsia="zh-CN"/>
        </w:rPr>
        <w:t xml:space="preserve"> BK. Patient safety in the era of the 80-hour workweek. </w:t>
      </w:r>
      <w:r w:rsidRPr="00BD4EE8">
        <w:rPr>
          <w:rFonts w:ascii="Book Antiqua" w:eastAsia="SimSun" w:hAnsi="Book Antiqua" w:cs="Times New Roman"/>
          <w:i/>
          <w:color w:val="auto"/>
          <w:kern w:val="2"/>
          <w:sz w:val="24"/>
          <w:szCs w:val="24"/>
          <w:lang w:val="en-US" w:eastAsia="zh-CN"/>
        </w:rPr>
        <w:t xml:space="preserve">J </w:t>
      </w:r>
      <w:proofErr w:type="spellStart"/>
      <w:r w:rsidRPr="00BD4EE8">
        <w:rPr>
          <w:rFonts w:ascii="Book Antiqua" w:eastAsia="SimSun" w:hAnsi="Book Antiqua" w:cs="Times New Roman"/>
          <w:i/>
          <w:color w:val="auto"/>
          <w:kern w:val="2"/>
          <w:sz w:val="24"/>
          <w:szCs w:val="24"/>
          <w:lang w:val="en-US" w:eastAsia="zh-CN"/>
        </w:rPr>
        <w:t>Surg</w:t>
      </w:r>
      <w:proofErr w:type="spellEnd"/>
      <w:r w:rsidRPr="00BD4EE8">
        <w:rPr>
          <w:rFonts w:ascii="Book Antiqua" w:eastAsia="SimSun" w:hAnsi="Book Antiqua" w:cs="Times New Roman"/>
          <w:i/>
          <w:color w:val="auto"/>
          <w:kern w:val="2"/>
          <w:sz w:val="24"/>
          <w:szCs w:val="24"/>
          <w:lang w:val="en-US" w:eastAsia="zh-CN"/>
        </w:rPr>
        <w:t xml:space="preserve"> </w:t>
      </w:r>
      <w:proofErr w:type="spellStart"/>
      <w:r w:rsidRPr="00BD4EE8">
        <w:rPr>
          <w:rFonts w:ascii="Book Antiqua" w:eastAsia="SimSun" w:hAnsi="Book Antiqua" w:cs="Times New Roman"/>
          <w:i/>
          <w:color w:val="auto"/>
          <w:kern w:val="2"/>
          <w:sz w:val="24"/>
          <w:szCs w:val="24"/>
          <w:lang w:val="en-US" w:eastAsia="zh-CN"/>
        </w:rPr>
        <w:t>Educ</w:t>
      </w:r>
      <w:proofErr w:type="spellEnd"/>
      <w:r w:rsidRPr="00BD4EE8">
        <w:rPr>
          <w:rFonts w:ascii="Book Antiqua" w:eastAsia="SimSun" w:hAnsi="Book Antiqua" w:cs="Times New Roman"/>
          <w:color w:val="auto"/>
          <w:kern w:val="2"/>
          <w:sz w:val="24"/>
          <w:szCs w:val="24"/>
          <w:lang w:val="en-US" w:eastAsia="zh-CN"/>
        </w:rPr>
        <w:t xml:space="preserve"> 2014; </w:t>
      </w:r>
      <w:r w:rsidRPr="00BD4EE8">
        <w:rPr>
          <w:rFonts w:ascii="Book Antiqua" w:eastAsia="SimSun" w:hAnsi="Book Antiqua" w:cs="Times New Roman"/>
          <w:b/>
          <w:color w:val="auto"/>
          <w:kern w:val="2"/>
          <w:sz w:val="24"/>
          <w:szCs w:val="24"/>
          <w:lang w:val="en-US" w:eastAsia="zh-CN"/>
        </w:rPr>
        <w:t>71</w:t>
      </w:r>
      <w:r w:rsidRPr="00BD4EE8">
        <w:rPr>
          <w:rFonts w:ascii="Book Antiqua" w:eastAsia="SimSun" w:hAnsi="Book Antiqua" w:cs="Times New Roman"/>
          <w:color w:val="auto"/>
          <w:kern w:val="2"/>
          <w:sz w:val="24"/>
          <w:szCs w:val="24"/>
          <w:lang w:val="en-US" w:eastAsia="zh-CN"/>
        </w:rPr>
        <w:t>: 551-559 [PMID: 24776874 DOI: 10.1016/j.jsurg.2013.12.011]</w:t>
      </w:r>
    </w:p>
    <w:p w14:paraId="24DED81E"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9 </w:t>
      </w:r>
      <w:r w:rsidRPr="00BD4EE8">
        <w:rPr>
          <w:rFonts w:ascii="Book Antiqua" w:eastAsia="SimSun" w:hAnsi="Book Antiqua" w:cs="Times New Roman"/>
          <w:b/>
          <w:color w:val="auto"/>
          <w:kern w:val="2"/>
          <w:sz w:val="24"/>
          <w:szCs w:val="24"/>
          <w:lang w:val="en-US" w:eastAsia="zh-CN"/>
        </w:rPr>
        <w:t>Au AG</w:t>
      </w:r>
      <w:r w:rsidRPr="00BD4EE8">
        <w:rPr>
          <w:rFonts w:ascii="Book Antiqua" w:eastAsia="SimSun" w:hAnsi="Book Antiqua" w:cs="Times New Roman"/>
          <w:color w:val="auto"/>
          <w:kern w:val="2"/>
          <w:sz w:val="24"/>
          <w:szCs w:val="24"/>
          <w:lang w:val="en-US" w:eastAsia="zh-CN"/>
        </w:rPr>
        <w:t xml:space="preserve">, Padwal RS, Majumdar SR, McAlister FA. Patient outcomes in teaching versus nonteaching general internal medicine services: a systematic review and meta-analysis. </w:t>
      </w:r>
      <w:proofErr w:type="spellStart"/>
      <w:r w:rsidRPr="00BD4EE8">
        <w:rPr>
          <w:rFonts w:ascii="Book Antiqua" w:eastAsia="SimSun" w:hAnsi="Book Antiqua" w:cs="Times New Roman"/>
          <w:i/>
          <w:color w:val="auto"/>
          <w:kern w:val="2"/>
          <w:sz w:val="24"/>
          <w:szCs w:val="24"/>
          <w:lang w:val="en-US" w:eastAsia="zh-CN"/>
        </w:rPr>
        <w:t>Acad</w:t>
      </w:r>
      <w:proofErr w:type="spellEnd"/>
      <w:r w:rsidRPr="00BD4EE8">
        <w:rPr>
          <w:rFonts w:ascii="Book Antiqua" w:eastAsia="SimSun" w:hAnsi="Book Antiqua" w:cs="Times New Roman"/>
          <w:i/>
          <w:color w:val="auto"/>
          <w:kern w:val="2"/>
          <w:sz w:val="24"/>
          <w:szCs w:val="24"/>
          <w:lang w:val="en-US" w:eastAsia="zh-CN"/>
        </w:rPr>
        <w:t xml:space="preserve"> Med</w:t>
      </w:r>
      <w:r w:rsidRPr="00BD4EE8">
        <w:rPr>
          <w:rFonts w:ascii="Book Antiqua" w:eastAsia="SimSun" w:hAnsi="Book Antiqua" w:cs="Times New Roman"/>
          <w:color w:val="auto"/>
          <w:kern w:val="2"/>
          <w:sz w:val="24"/>
          <w:szCs w:val="24"/>
          <w:lang w:val="en-US" w:eastAsia="zh-CN"/>
        </w:rPr>
        <w:t xml:space="preserve"> 2014; </w:t>
      </w:r>
      <w:r w:rsidRPr="00BD4EE8">
        <w:rPr>
          <w:rFonts w:ascii="Book Antiqua" w:eastAsia="SimSun" w:hAnsi="Book Antiqua" w:cs="Times New Roman"/>
          <w:b/>
          <w:color w:val="auto"/>
          <w:kern w:val="2"/>
          <w:sz w:val="24"/>
          <w:szCs w:val="24"/>
          <w:lang w:val="en-US" w:eastAsia="zh-CN"/>
        </w:rPr>
        <w:t>89</w:t>
      </w:r>
      <w:r w:rsidRPr="00BD4EE8">
        <w:rPr>
          <w:rFonts w:ascii="Book Antiqua" w:eastAsia="SimSun" w:hAnsi="Book Antiqua" w:cs="Times New Roman"/>
          <w:color w:val="auto"/>
          <w:kern w:val="2"/>
          <w:sz w:val="24"/>
          <w:szCs w:val="24"/>
          <w:lang w:val="en-US" w:eastAsia="zh-CN"/>
        </w:rPr>
        <w:t>: 517-523 [PMID: 24448044 DOI: 10.1097/ACM.0000000000000154]</w:t>
      </w:r>
    </w:p>
    <w:p w14:paraId="1415BC83"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10 </w:t>
      </w:r>
      <w:proofErr w:type="spellStart"/>
      <w:r w:rsidRPr="00BD4EE8">
        <w:rPr>
          <w:rFonts w:ascii="Book Antiqua" w:eastAsia="SimSun" w:hAnsi="Book Antiqua" w:cs="Times New Roman"/>
          <w:b/>
          <w:color w:val="auto"/>
          <w:kern w:val="2"/>
          <w:sz w:val="24"/>
          <w:szCs w:val="24"/>
          <w:lang w:val="en-US" w:eastAsia="zh-CN"/>
        </w:rPr>
        <w:t>Papanikolaou</w:t>
      </w:r>
      <w:proofErr w:type="spellEnd"/>
      <w:r w:rsidRPr="00BD4EE8">
        <w:rPr>
          <w:rFonts w:ascii="Book Antiqua" w:eastAsia="SimSun" w:hAnsi="Book Antiqua" w:cs="Times New Roman"/>
          <w:b/>
          <w:color w:val="auto"/>
          <w:kern w:val="2"/>
          <w:sz w:val="24"/>
          <w:szCs w:val="24"/>
          <w:lang w:val="en-US" w:eastAsia="zh-CN"/>
        </w:rPr>
        <w:t xml:space="preserve"> PN</w:t>
      </w:r>
      <w:r w:rsidRPr="00BD4EE8">
        <w:rPr>
          <w:rFonts w:ascii="Book Antiqua" w:eastAsia="SimSun" w:hAnsi="Book Antiqua" w:cs="Times New Roman"/>
          <w:color w:val="auto"/>
          <w:kern w:val="2"/>
          <w:sz w:val="24"/>
          <w:szCs w:val="24"/>
          <w:lang w:val="en-US" w:eastAsia="zh-CN"/>
        </w:rPr>
        <w:t xml:space="preserve">, </w:t>
      </w:r>
      <w:proofErr w:type="spellStart"/>
      <w:r w:rsidRPr="00BD4EE8">
        <w:rPr>
          <w:rFonts w:ascii="Book Antiqua" w:eastAsia="SimSun" w:hAnsi="Book Antiqua" w:cs="Times New Roman"/>
          <w:color w:val="auto"/>
          <w:kern w:val="2"/>
          <w:sz w:val="24"/>
          <w:szCs w:val="24"/>
          <w:lang w:val="en-US" w:eastAsia="zh-CN"/>
        </w:rPr>
        <w:t>Christidi</w:t>
      </w:r>
      <w:proofErr w:type="spellEnd"/>
      <w:r w:rsidRPr="00BD4EE8">
        <w:rPr>
          <w:rFonts w:ascii="Book Antiqua" w:eastAsia="SimSun" w:hAnsi="Book Antiqua" w:cs="Times New Roman"/>
          <w:color w:val="auto"/>
          <w:kern w:val="2"/>
          <w:sz w:val="24"/>
          <w:szCs w:val="24"/>
          <w:lang w:val="en-US" w:eastAsia="zh-CN"/>
        </w:rPr>
        <w:t xml:space="preserve"> GD, Ioannidis JP. Patient outcomes with teaching versus nonteaching healthcare: a systematic review. </w:t>
      </w:r>
      <w:proofErr w:type="spellStart"/>
      <w:r w:rsidRPr="00BD4EE8">
        <w:rPr>
          <w:rFonts w:ascii="Book Antiqua" w:eastAsia="SimSun" w:hAnsi="Book Antiqua" w:cs="Times New Roman"/>
          <w:i/>
          <w:color w:val="auto"/>
          <w:kern w:val="2"/>
          <w:sz w:val="24"/>
          <w:szCs w:val="24"/>
          <w:lang w:val="en-US" w:eastAsia="zh-CN"/>
        </w:rPr>
        <w:t>PLoS</w:t>
      </w:r>
      <w:proofErr w:type="spellEnd"/>
      <w:r w:rsidRPr="00BD4EE8">
        <w:rPr>
          <w:rFonts w:ascii="Book Antiqua" w:eastAsia="SimSun" w:hAnsi="Book Antiqua" w:cs="Times New Roman"/>
          <w:i/>
          <w:color w:val="auto"/>
          <w:kern w:val="2"/>
          <w:sz w:val="24"/>
          <w:szCs w:val="24"/>
          <w:lang w:val="en-US" w:eastAsia="zh-CN"/>
        </w:rPr>
        <w:t xml:space="preserve"> Med</w:t>
      </w:r>
      <w:r w:rsidRPr="00BD4EE8">
        <w:rPr>
          <w:rFonts w:ascii="Book Antiqua" w:eastAsia="SimSun" w:hAnsi="Book Antiqua" w:cs="Times New Roman"/>
          <w:color w:val="auto"/>
          <w:kern w:val="2"/>
          <w:sz w:val="24"/>
          <w:szCs w:val="24"/>
          <w:lang w:val="en-US" w:eastAsia="zh-CN"/>
        </w:rPr>
        <w:t xml:space="preserve"> 2006; </w:t>
      </w:r>
      <w:r w:rsidRPr="00BD4EE8">
        <w:rPr>
          <w:rFonts w:ascii="Book Antiqua" w:eastAsia="SimSun" w:hAnsi="Book Antiqua" w:cs="Times New Roman"/>
          <w:b/>
          <w:color w:val="auto"/>
          <w:kern w:val="2"/>
          <w:sz w:val="24"/>
          <w:szCs w:val="24"/>
          <w:lang w:val="en-US" w:eastAsia="zh-CN"/>
        </w:rPr>
        <w:t>3</w:t>
      </w:r>
      <w:r w:rsidRPr="00BD4EE8">
        <w:rPr>
          <w:rFonts w:ascii="Book Antiqua" w:eastAsia="SimSun" w:hAnsi="Book Antiqua" w:cs="Times New Roman"/>
          <w:color w:val="auto"/>
          <w:kern w:val="2"/>
          <w:sz w:val="24"/>
          <w:szCs w:val="24"/>
          <w:lang w:val="en-US" w:eastAsia="zh-CN"/>
        </w:rPr>
        <w:t>: e341 [PMID: 16968119 DOI: 10.1371/journal.pmed.0030341]</w:t>
      </w:r>
    </w:p>
    <w:p w14:paraId="20ED9741"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11 </w:t>
      </w:r>
      <w:r w:rsidRPr="00BD4EE8">
        <w:rPr>
          <w:rFonts w:ascii="Book Antiqua" w:eastAsia="SimSun" w:hAnsi="Book Antiqua" w:cs="Times New Roman"/>
          <w:b/>
          <w:color w:val="auto"/>
          <w:kern w:val="2"/>
          <w:sz w:val="24"/>
          <w:szCs w:val="24"/>
          <w:lang w:val="en-US" w:eastAsia="zh-CN"/>
        </w:rPr>
        <w:t>Mueller SK</w:t>
      </w:r>
      <w:r w:rsidRPr="00BD4EE8">
        <w:rPr>
          <w:rFonts w:ascii="Book Antiqua" w:eastAsia="SimSun" w:hAnsi="Book Antiqua" w:cs="Times New Roman"/>
          <w:color w:val="auto"/>
          <w:kern w:val="2"/>
          <w:sz w:val="24"/>
          <w:szCs w:val="24"/>
          <w:lang w:val="en-US" w:eastAsia="zh-CN"/>
        </w:rPr>
        <w:t xml:space="preserve">, Lipsitz S, Hicks LS. Impact of hospital teaching intensity on quality of care and patient outcomes. </w:t>
      </w:r>
      <w:r w:rsidRPr="00BD4EE8">
        <w:rPr>
          <w:rFonts w:ascii="Book Antiqua" w:eastAsia="SimSun" w:hAnsi="Book Antiqua" w:cs="Times New Roman"/>
          <w:i/>
          <w:color w:val="auto"/>
          <w:kern w:val="2"/>
          <w:sz w:val="24"/>
          <w:szCs w:val="24"/>
          <w:lang w:val="en-US" w:eastAsia="zh-CN"/>
        </w:rPr>
        <w:t>Med Care</w:t>
      </w:r>
      <w:r w:rsidRPr="00BD4EE8">
        <w:rPr>
          <w:rFonts w:ascii="Book Antiqua" w:eastAsia="SimSun" w:hAnsi="Book Antiqua" w:cs="Times New Roman"/>
          <w:color w:val="auto"/>
          <w:kern w:val="2"/>
          <w:sz w:val="24"/>
          <w:szCs w:val="24"/>
          <w:lang w:val="en-US" w:eastAsia="zh-CN"/>
        </w:rPr>
        <w:t xml:space="preserve"> 2013; </w:t>
      </w:r>
      <w:r w:rsidRPr="00BD4EE8">
        <w:rPr>
          <w:rFonts w:ascii="Book Antiqua" w:eastAsia="SimSun" w:hAnsi="Book Antiqua" w:cs="Times New Roman"/>
          <w:b/>
          <w:color w:val="auto"/>
          <w:kern w:val="2"/>
          <w:sz w:val="24"/>
          <w:szCs w:val="24"/>
          <w:lang w:val="en-US" w:eastAsia="zh-CN"/>
        </w:rPr>
        <w:t>51</w:t>
      </w:r>
      <w:r w:rsidRPr="00BD4EE8">
        <w:rPr>
          <w:rFonts w:ascii="Book Antiqua" w:eastAsia="SimSun" w:hAnsi="Book Antiqua" w:cs="Times New Roman"/>
          <w:color w:val="auto"/>
          <w:kern w:val="2"/>
          <w:sz w:val="24"/>
          <w:szCs w:val="24"/>
          <w:lang w:val="en-US" w:eastAsia="zh-CN"/>
        </w:rPr>
        <w:t>: 567-574 [PMID: 23604017 DOI: 10.1097/MLR.0b013e3182902151]</w:t>
      </w:r>
    </w:p>
    <w:p w14:paraId="55D04BCA"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12 </w:t>
      </w:r>
      <w:r w:rsidRPr="00BD4EE8">
        <w:rPr>
          <w:rFonts w:ascii="Book Antiqua" w:eastAsia="SimSun" w:hAnsi="Book Antiqua" w:cs="Times New Roman"/>
          <w:b/>
          <w:color w:val="auto"/>
          <w:kern w:val="2"/>
          <w:sz w:val="24"/>
          <w:szCs w:val="24"/>
          <w:lang w:val="en-US" w:eastAsia="zh-CN"/>
        </w:rPr>
        <w:t>John J</w:t>
      </w:r>
      <w:r w:rsidRPr="00BD4EE8">
        <w:rPr>
          <w:rFonts w:ascii="Book Antiqua" w:eastAsia="SimSun" w:hAnsi="Book Antiqua" w:cs="Times New Roman"/>
          <w:color w:val="auto"/>
          <w:kern w:val="2"/>
          <w:sz w:val="24"/>
          <w:szCs w:val="24"/>
          <w:lang w:val="en-US" w:eastAsia="zh-CN"/>
        </w:rPr>
        <w:t xml:space="preserve">, </w:t>
      </w:r>
      <w:proofErr w:type="spellStart"/>
      <w:r w:rsidRPr="00BD4EE8">
        <w:rPr>
          <w:rFonts w:ascii="Book Antiqua" w:eastAsia="SimSun" w:hAnsi="Book Antiqua" w:cs="Times New Roman"/>
          <w:color w:val="auto"/>
          <w:kern w:val="2"/>
          <w:sz w:val="24"/>
          <w:szCs w:val="24"/>
          <w:lang w:val="en-US" w:eastAsia="zh-CN"/>
        </w:rPr>
        <w:t>Seifi</w:t>
      </w:r>
      <w:proofErr w:type="spellEnd"/>
      <w:r w:rsidRPr="00BD4EE8">
        <w:rPr>
          <w:rFonts w:ascii="Book Antiqua" w:eastAsia="SimSun" w:hAnsi="Book Antiqua" w:cs="Times New Roman"/>
          <w:color w:val="auto"/>
          <w:kern w:val="2"/>
          <w:sz w:val="24"/>
          <w:szCs w:val="24"/>
          <w:lang w:val="en-US" w:eastAsia="zh-CN"/>
        </w:rPr>
        <w:t xml:space="preserve"> A. Incidence of iatrogenic pneumothorax in the United States in teaching vs. non-teaching hospitals from 2000 to 2012. </w:t>
      </w:r>
      <w:r w:rsidRPr="00BD4EE8">
        <w:rPr>
          <w:rFonts w:ascii="Book Antiqua" w:eastAsia="SimSun" w:hAnsi="Book Antiqua" w:cs="Times New Roman"/>
          <w:i/>
          <w:color w:val="auto"/>
          <w:kern w:val="2"/>
          <w:sz w:val="24"/>
          <w:szCs w:val="24"/>
          <w:lang w:val="en-US" w:eastAsia="zh-CN"/>
        </w:rPr>
        <w:t xml:space="preserve">J </w:t>
      </w:r>
      <w:proofErr w:type="spellStart"/>
      <w:r w:rsidRPr="00BD4EE8">
        <w:rPr>
          <w:rFonts w:ascii="Book Antiqua" w:eastAsia="SimSun" w:hAnsi="Book Antiqua" w:cs="Times New Roman"/>
          <w:i/>
          <w:color w:val="auto"/>
          <w:kern w:val="2"/>
          <w:sz w:val="24"/>
          <w:szCs w:val="24"/>
          <w:lang w:val="en-US" w:eastAsia="zh-CN"/>
        </w:rPr>
        <w:t>Crit</w:t>
      </w:r>
      <w:proofErr w:type="spellEnd"/>
      <w:r w:rsidRPr="00BD4EE8">
        <w:rPr>
          <w:rFonts w:ascii="Book Antiqua" w:eastAsia="SimSun" w:hAnsi="Book Antiqua" w:cs="Times New Roman"/>
          <w:i/>
          <w:color w:val="auto"/>
          <w:kern w:val="2"/>
          <w:sz w:val="24"/>
          <w:szCs w:val="24"/>
          <w:lang w:val="en-US" w:eastAsia="zh-CN"/>
        </w:rPr>
        <w:t xml:space="preserve"> Care</w:t>
      </w:r>
      <w:r w:rsidRPr="00BD4EE8">
        <w:rPr>
          <w:rFonts w:ascii="Book Antiqua" w:eastAsia="SimSun" w:hAnsi="Book Antiqua" w:cs="Times New Roman"/>
          <w:color w:val="auto"/>
          <w:kern w:val="2"/>
          <w:sz w:val="24"/>
          <w:szCs w:val="24"/>
          <w:lang w:val="en-US" w:eastAsia="zh-CN"/>
        </w:rPr>
        <w:t xml:space="preserve"> 2016; </w:t>
      </w:r>
      <w:r w:rsidRPr="00BD4EE8">
        <w:rPr>
          <w:rFonts w:ascii="Book Antiqua" w:eastAsia="SimSun" w:hAnsi="Book Antiqua" w:cs="Times New Roman"/>
          <w:b/>
          <w:color w:val="auto"/>
          <w:kern w:val="2"/>
          <w:sz w:val="24"/>
          <w:szCs w:val="24"/>
          <w:lang w:val="en-US" w:eastAsia="zh-CN"/>
        </w:rPr>
        <w:t>34</w:t>
      </w:r>
      <w:r w:rsidRPr="00BD4EE8">
        <w:rPr>
          <w:rFonts w:ascii="Book Antiqua" w:eastAsia="SimSun" w:hAnsi="Book Antiqua" w:cs="Times New Roman"/>
          <w:color w:val="auto"/>
          <w:kern w:val="2"/>
          <w:sz w:val="24"/>
          <w:szCs w:val="24"/>
          <w:lang w:val="en-US" w:eastAsia="zh-CN"/>
        </w:rPr>
        <w:t>: 66-68 [PMID: 27288612 DOI: 10.1016/j.jcrc.2016.03.013]</w:t>
      </w:r>
    </w:p>
    <w:p w14:paraId="32F8608C"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13 </w:t>
      </w:r>
      <w:r w:rsidRPr="00BD4EE8">
        <w:rPr>
          <w:rFonts w:ascii="Book Antiqua" w:eastAsia="SimSun" w:hAnsi="Book Antiqua" w:cs="Times New Roman"/>
          <w:b/>
          <w:color w:val="auto"/>
          <w:kern w:val="2"/>
          <w:sz w:val="24"/>
          <w:szCs w:val="24"/>
          <w:lang w:val="en-US" w:eastAsia="zh-CN"/>
        </w:rPr>
        <w:t>Singh S</w:t>
      </w:r>
      <w:r w:rsidRPr="00BD4EE8">
        <w:rPr>
          <w:rFonts w:ascii="Book Antiqua" w:eastAsia="SimSun" w:hAnsi="Book Antiqua" w:cs="Times New Roman"/>
          <w:color w:val="auto"/>
          <w:kern w:val="2"/>
          <w:sz w:val="24"/>
          <w:szCs w:val="24"/>
          <w:lang w:val="en-US" w:eastAsia="zh-CN"/>
        </w:rPr>
        <w:t xml:space="preserve">, Purohit T, Aoun E, Patel Y, Carleton N, </w:t>
      </w:r>
      <w:proofErr w:type="spellStart"/>
      <w:r w:rsidRPr="00BD4EE8">
        <w:rPr>
          <w:rFonts w:ascii="Book Antiqua" w:eastAsia="SimSun" w:hAnsi="Book Antiqua" w:cs="Times New Roman"/>
          <w:color w:val="auto"/>
          <w:kern w:val="2"/>
          <w:sz w:val="24"/>
          <w:szCs w:val="24"/>
          <w:lang w:val="en-US" w:eastAsia="zh-CN"/>
        </w:rPr>
        <w:t>Mitre</w:t>
      </w:r>
      <w:proofErr w:type="spellEnd"/>
      <w:r w:rsidRPr="00BD4EE8">
        <w:rPr>
          <w:rFonts w:ascii="Book Antiqua" w:eastAsia="SimSun" w:hAnsi="Book Antiqua" w:cs="Times New Roman"/>
          <w:color w:val="auto"/>
          <w:kern w:val="2"/>
          <w:sz w:val="24"/>
          <w:szCs w:val="24"/>
          <w:lang w:val="en-US" w:eastAsia="zh-CN"/>
        </w:rPr>
        <w:t xml:space="preserve"> M, Morrissey S, Dhawan M, Thakkar S. Comparison of the outcomes of endoscopic ultrasound based on community hospital versus tertiary academic center settings. </w:t>
      </w:r>
      <w:r w:rsidRPr="00BD4EE8">
        <w:rPr>
          <w:rFonts w:ascii="Book Antiqua" w:eastAsia="SimSun" w:hAnsi="Book Antiqua" w:cs="Times New Roman"/>
          <w:i/>
          <w:color w:val="auto"/>
          <w:kern w:val="2"/>
          <w:sz w:val="24"/>
          <w:szCs w:val="24"/>
          <w:lang w:val="en-US" w:eastAsia="zh-CN"/>
        </w:rPr>
        <w:t>Dig Dis Sci</w:t>
      </w:r>
      <w:r w:rsidRPr="00BD4EE8">
        <w:rPr>
          <w:rFonts w:ascii="Book Antiqua" w:eastAsia="SimSun" w:hAnsi="Book Antiqua" w:cs="Times New Roman"/>
          <w:color w:val="auto"/>
          <w:kern w:val="2"/>
          <w:sz w:val="24"/>
          <w:szCs w:val="24"/>
          <w:lang w:val="en-US" w:eastAsia="zh-CN"/>
        </w:rPr>
        <w:t xml:space="preserve"> 2014; </w:t>
      </w:r>
      <w:r w:rsidRPr="00BD4EE8">
        <w:rPr>
          <w:rFonts w:ascii="Book Antiqua" w:eastAsia="SimSun" w:hAnsi="Book Antiqua" w:cs="Times New Roman"/>
          <w:b/>
          <w:color w:val="auto"/>
          <w:kern w:val="2"/>
          <w:sz w:val="24"/>
          <w:szCs w:val="24"/>
          <w:lang w:val="en-US" w:eastAsia="zh-CN"/>
        </w:rPr>
        <w:t>59</w:t>
      </w:r>
      <w:r w:rsidRPr="00BD4EE8">
        <w:rPr>
          <w:rFonts w:ascii="Book Antiqua" w:eastAsia="SimSun" w:hAnsi="Book Antiqua" w:cs="Times New Roman"/>
          <w:color w:val="auto"/>
          <w:kern w:val="2"/>
          <w:sz w:val="24"/>
          <w:szCs w:val="24"/>
          <w:lang w:val="en-US" w:eastAsia="zh-CN"/>
        </w:rPr>
        <w:t>: 1925-1930 [PMID: 24573718 DOI: 10.1007/s10620-014-3075-9]</w:t>
      </w:r>
    </w:p>
    <w:p w14:paraId="7D9C9E5E"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14 </w:t>
      </w:r>
      <w:proofErr w:type="spellStart"/>
      <w:r w:rsidRPr="00BD4EE8">
        <w:rPr>
          <w:rFonts w:ascii="Book Antiqua" w:eastAsia="SimSun" w:hAnsi="Book Antiqua" w:cs="Times New Roman"/>
          <w:b/>
          <w:color w:val="auto"/>
          <w:kern w:val="2"/>
          <w:sz w:val="24"/>
          <w:szCs w:val="24"/>
          <w:lang w:val="en-US" w:eastAsia="zh-CN"/>
        </w:rPr>
        <w:t>Surgenor</w:t>
      </w:r>
      <w:proofErr w:type="spellEnd"/>
      <w:r w:rsidRPr="00BD4EE8">
        <w:rPr>
          <w:rFonts w:ascii="Book Antiqua" w:eastAsia="SimSun" w:hAnsi="Book Antiqua" w:cs="Times New Roman"/>
          <w:b/>
          <w:color w:val="auto"/>
          <w:kern w:val="2"/>
          <w:sz w:val="24"/>
          <w:szCs w:val="24"/>
          <w:lang w:val="en-US" w:eastAsia="zh-CN"/>
        </w:rPr>
        <w:t xml:space="preserve"> SD</w:t>
      </w:r>
      <w:r w:rsidRPr="00BD4EE8">
        <w:rPr>
          <w:rFonts w:ascii="Book Antiqua" w:eastAsia="SimSun" w:hAnsi="Book Antiqua" w:cs="Times New Roman"/>
          <w:color w:val="auto"/>
          <w:kern w:val="2"/>
          <w:sz w:val="24"/>
          <w:szCs w:val="24"/>
          <w:lang w:val="en-US" w:eastAsia="zh-CN"/>
        </w:rPr>
        <w:t xml:space="preserve">, Corwin HL, </w:t>
      </w:r>
      <w:proofErr w:type="spellStart"/>
      <w:r w:rsidRPr="00BD4EE8">
        <w:rPr>
          <w:rFonts w:ascii="Book Antiqua" w:eastAsia="SimSun" w:hAnsi="Book Antiqua" w:cs="Times New Roman"/>
          <w:color w:val="auto"/>
          <w:kern w:val="2"/>
          <w:sz w:val="24"/>
          <w:szCs w:val="24"/>
          <w:lang w:val="en-US" w:eastAsia="zh-CN"/>
        </w:rPr>
        <w:t>Clerico</w:t>
      </w:r>
      <w:proofErr w:type="spellEnd"/>
      <w:r w:rsidRPr="00BD4EE8">
        <w:rPr>
          <w:rFonts w:ascii="Book Antiqua" w:eastAsia="SimSun" w:hAnsi="Book Antiqua" w:cs="Times New Roman"/>
          <w:color w:val="auto"/>
          <w:kern w:val="2"/>
          <w:sz w:val="24"/>
          <w:szCs w:val="24"/>
          <w:lang w:val="en-US" w:eastAsia="zh-CN"/>
        </w:rPr>
        <w:t xml:space="preserve"> T. Survival of patients transferred to tertiary intensive care from rural community hospitals. </w:t>
      </w:r>
      <w:proofErr w:type="spellStart"/>
      <w:r w:rsidRPr="00BD4EE8">
        <w:rPr>
          <w:rFonts w:ascii="Book Antiqua" w:eastAsia="SimSun" w:hAnsi="Book Antiqua" w:cs="Times New Roman"/>
          <w:i/>
          <w:color w:val="auto"/>
          <w:kern w:val="2"/>
          <w:sz w:val="24"/>
          <w:szCs w:val="24"/>
          <w:lang w:val="en-US" w:eastAsia="zh-CN"/>
        </w:rPr>
        <w:t>Crit</w:t>
      </w:r>
      <w:proofErr w:type="spellEnd"/>
      <w:r w:rsidRPr="00BD4EE8">
        <w:rPr>
          <w:rFonts w:ascii="Book Antiqua" w:eastAsia="SimSun" w:hAnsi="Book Antiqua" w:cs="Times New Roman"/>
          <w:i/>
          <w:color w:val="auto"/>
          <w:kern w:val="2"/>
          <w:sz w:val="24"/>
          <w:szCs w:val="24"/>
          <w:lang w:val="en-US" w:eastAsia="zh-CN"/>
        </w:rPr>
        <w:t xml:space="preserve"> Care</w:t>
      </w:r>
      <w:r w:rsidRPr="00BD4EE8">
        <w:rPr>
          <w:rFonts w:ascii="Book Antiqua" w:eastAsia="SimSun" w:hAnsi="Book Antiqua" w:cs="Times New Roman"/>
          <w:color w:val="auto"/>
          <w:kern w:val="2"/>
          <w:sz w:val="24"/>
          <w:szCs w:val="24"/>
          <w:lang w:val="en-US" w:eastAsia="zh-CN"/>
        </w:rPr>
        <w:t xml:space="preserve"> 2001; </w:t>
      </w:r>
      <w:r w:rsidRPr="00BD4EE8">
        <w:rPr>
          <w:rFonts w:ascii="Book Antiqua" w:eastAsia="SimSun" w:hAnsi="Book Antiqua" w:cs="Times New Roman"/>
          <w:b/>
          <w:color w:val="auto"/>
          <w:kern w:val="2"/>
          <w:sz w:val="24"/>
          <w:szCs w:val="24"/>
          <w:lang w:val="en-US" w:eastAsia="zh-CN"/>
        </w:rPr>
        <w:t>5</w:t>
      </w:r>
      <w:r w:rsidRPr="00BD4EE8">
        <w:rPr>
          <w:rFonts w:ascii="Book Antiqua" w:eastAsia="SimSun" w:hAnsi="Book Antiqua" w:cs="Times New Roman"/>
          <w:color w:val="auto"/>
          <w:kern w:val="2"/>
          <w:sz w:val="24"/>
          <w:szCs w:val="24"/>
          <w:lang w:val="en-US" w:eastAsia="zh-CN"/>
        </w:rPr>
        <w:t>: 100-104 [PMID: 11299068 DOI: 10.1186/cc993]</w:t>
      </w:r>
    </w:p>
    <w:p w14:paraId="7C746F3C"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15 </w:t>
      </w:r>
      <w:proofErr w:type="spellStart"/>
      <w:r w:rsidRPr="00BD4EE8">
        <w:rPr>
          <w:rFonts w:ascii="Book Antiqua" w:eastAsia="SimSun" w:hAnsi="Book Antiqua" w:cs="Times New Roman"/>
          <w:b/>
          <w:color w:val="auto"/>
          <w:kern w:val="2"/>
          <w:sz w:val="24"/>
          <w:szCs w:val="24"/>
          <w:lang w:val="en-US" w:eastAsia="zh-CN"/>
        </w:rPr>
        <w:t>Caveney</w:t>
      </w:r>
      <w:proofErr w:type="spellEnd"/>
      <w:r w:rsidRPr="00BD4EE8">
        <w:rPr>
          <w:rFonts w:ascii="Book Antiqua" w:eastAsia="SimSun" w:hAnsi="Book Antiqua" w:cs="Times New Roman"/>
          <w:b/>
          <w:color w:val="auto"/>
          <w:kern w:val="2"/>
          <w:sz w:val="24"/>
          <w:szCs w:val="24"/>
          <w:lang w:val="en-US" w:eastAsia="zh-CN"/>
        </w:rPr>
        <w:t xml:space="preserve"> AF</w:t>
      </w:r>
      <w:r w:rsidRPr="00BD4EE8">
        <w:rPr>
          <w:rFonts w:ascii="Book Antiqua" w:eastAsia="SimSun" w:hAnsi="Book Antiqua" w:cs="Times New Roman"/>
          <w:color w:val="auto"/>
          <w:kern w:val="2"/>
          <w:sz w:val="24"/>
          <w:szCs w:val="24"/>
          <w:lang w:val="en-US" w:eastAsia="zh-CN"/>
        </w:rPr>
        <w:t xml:space="preserve">, </w:t>
      </w:r>
      <w:proofErr w:type="spellStart"/>
      <w:r w:rsidRPr="00BD4EE8">
        <w:rPr>
          <w:rFonts w:ascii="Book Antiqua" w:eastAsia="SimSun" w:hAnsi="Book Antiqua" w:cs="Times New Roman"/>
          <w:color w:val="auto"/>
          <w:kern w:val="2"/>
          <w:sz w:val="24"/>
          <w:szCs w:val="24"/>
          <w:lang w:val="en-US" w:eastAsia="zh-CN"/>
        </w:rPr>
        <w:t>Silbergleit</w:t>
      </w:r>
      <w:proofErr w:type="spellEnd"/>
      <w:r w:rsidRPr="00BD4EE8">
        <w:rPr>
          <w:rFonts w:ascii="Book Antiqua" w:eastAsia="SimSun" w:hAnsi="Book Antiqua" w:cs="Times New Roman"/>
          <w:color w:val="auto"/>
          <w:kern w:val="2"/>
          <w:sz w:val="24"/>
          <w:szCs w:val="24"/>
          <w:lang w:val="en-US" w:eastAsia="zh-CN"/>
        </w:rPr>
        <w:t xml:space="preserve"> R, Frederiksen S, </w:t>
      </w:r>
      <w:proofErr w:type="spellStart"/>
      <w:r w:rsidRPr="00BD4EE8">
        <w:rPr>
          <w:rFonts w:ascii="Book Antiqua" w:eastAsia="SimSun" w:hAnsi="Book Antiqua" w:cs="Times New Roman"/>
          <w:color w:val="auto"/>
          <w:kern w:val="2"/>
          <w:sz w:val="24"/>
          <w:szCs w:val="24"/>
          <w:lang w:val="en-US" w:eastAsia="zh-CN"/>
        </w:rPr>
        <w:t>Meurer</w:t>
      </w:r>
      <w:proofErr w:type="spellEnd"/>
      <w:r w:rsidRPr="00BD4EE8">
        <w:rPr>
          <w:rFonts w:ascii="Book Antiqua" w:eastAsia="SimSun" w:hAnsi="Book Antiqua" w:cs="Times New Roman"/>
          <w:color w:val="auto"/>
          <w:kern w:val="2"/>
          <w:sz w:val="24"/>
          <w:szCs w:val="24"/>
          <w:lang w:val="en-US" w:eastAsia="zh-CN"/>
        </w:rPr>
        <w:t xml:space="preserve"> WJ, </w:t>
      </w:r>
      <w:proofErr w:type="spellStart"/>
      <w:r w:rsidRPr="00BD4EE8">
        <w:rPr>
          <w:rFonts w:ascii="Book Antiqua" w:eastAsia="SimSun" w:hAnsi="Book Antiqua" w:cs="Times New Roman"/>
          <w:color w:val="auto"/>
          <w:kern w:val="2"/>
          <w:sz w:val="24"/>
          <w:szCs w:val="24"/>
          <w:lang w:val="en-US" w:eastAsia="zh-CN"/>
        </w:rPr>
        <w:t>Hickenbottom</w:t>
      </w:r>
      <w:proofErr w:type="spellEnd"/>
      <w:r w:rsidRPr="00BD4EE8">
        <w:rPr>
          <w:rFonts w:ascii="Book Antiqua" w:eastAsia="SimSun" w:hAnsi="Book Antiqua" w:cs="Times New Roman"/>
          <w:color w:val="auto"/>
          <w:kern w:val="2"/>
          <w:sz w:val="24"/>
          <w:szCs w:val="24"/>
          <w:lang w:val="en-US" w:eastAsia="zh-CN"/>
        </w:rPr>
        <w:t xml:space="preserve"> SL, Smith RW, Scott PA. Resource utilization and outcome at a university versus a community teaching hospital in </w:t>
      </w:r>
      <w:proofErr w:type="spellStart"/>
      <w:r w:rsidRPr="00BD4EE8">
        <w:rPr>
          <w:rFonts w:ascii="Book Antiqua" w:eastAsia="SimSun" w:hAnsi="Book Antiqua" w:cs="Times New Roman"/>
          <w:color w:val="auto"/>
          <w:kern w:val="2"/>
          <w:sz w:val="24"/>
          <w:szCs w:val="24"/>
          <w:lang w:val="en-US" w:eastAsia="zh-CN"/>
        </w:rPr>
        <w:t>tPA</w:t>
      </w:r>
      <w:proofErr w:type="spellEnd"/>
      <w:r w:rsidRPr="00BD4EE8">
        <w:rPr>
          <w:rFonts w:ascii="Book Antiqua" w:eastAsia="SimSun" w:hAnsi="Book Antiqua" w:cs="Times New Roman"/>
          <w:color w:val="auto"/>
          <w:kern w:val="2"/>
          <w:sz w:val="24"/>
          <w:szCs w:val="24"/>
          <w:lang w:val="en-US" w:eastAsia="zh-CN"/>
        </w:rPr>
        <w:t xml:space="preserve"> treated stroke patients: a retrospective cohort study. </w:t>
      </w:r>
      <w:r w:rsidRPr="00BD4EE8">
        <w:rPr>
          <w:rFonts w:ascii="Book Antiqua" w:eastAsia="SimSun" w:hAnsi="Book Antiqua" w:cs="Times New Roman"/>
          <w:i/>
          <w:color w:val="auto"/>
          <w:kern w:val="2"/>
          <w:sz w:val="24"/>
          <w:szCs w:val="24"/>
          <w:lang w:val="en-US" w:eastAsia="zh-CN"/>
        </w:rPr>
        <w:t xml:space="preserve">BMC Health </w:t>
      </w:r>
      <w:proofErr w:type="spellStart"/>
      <w:r w:rsidRPr="00BD4EE8">
        <w:rPr>
          <w:rFonts w:ascii="Book Antiqua" w:eastAsia="SimSun" w:hAnsi="Book Antiqua" w:cs="Times New Roman"/>
          <w:i/>
          <w:color w:val="auto"/>
          <w:kern w:val="2"/>
          <w:sz w:val="24"/>
          <w:szCs w:val="24"/>
          <w:lang w:val="en-US" w:eastAsia="zh-CN"/>
        </w:rPr>
        <w:t>Serv</w:t>
      </w:r>
      <w:proofErr w:type="spellEnd"/>
      <w:r w:rsidRPr="00BD4EE8">
        <w:rPr>
          <w:rFonts w:ascii="Book Antiqua" w:eastAsia="SimSun" w:hAnsi="Book Antiqua" w:cs="Times New Roman"/>
          <w:i/>
          <w:color w:val="auto"/>
          <w:kern w:val="2"/>
          <w:sz w:val="24"/>
          <w:szCs w:val="24"/>
          <w:lang w:val="en-US" w:eastAsia="zh-CN"/>
        </w:rPr>
        <w:t xml:space="preserve"> Res</w:t>
      </w:r>
      <w:r w:rsidRPr="00BD4EE8">
        <w:rPr>
          <w:rFonts w:ascii="Book Antiqua" w:eastAsia="SimSun" w:hAnsi="Book Antiqua" w:cs="Times New Roman"/>
          <w:color w:val="auto"/>
          <w:kern w:val="2"/>
          <w:sz w:val="24"/>
          <w:szCs w:val="24"/>
          <w:lang w:val="en-US" w:eastAsia="zh-CN"/>
        </w:rPr>
        <w:t xml:space="preserve"> 2010; </w:t>
      </w:r>
      <w:r w:rsidRPr="00BD4EE8">
        <w:rPr>
          <w:rFonts w:ascii="Book Antiqua" w:eastAsia="SimSun" w:hAnsi="Book Antiqua" w:cs="Times New Roman"/>
          <w:b/>
          <w:color w:val="auto"/>
          <w:kern w:val="2"/>
          <w:sz w:val="24"/>
          <w:szCs w:val="24"/>
          <w:lang w:val="en-US" w:eastAsia="zh-CN"/>
        </w:rPr>
        <w:t>10</w:t>
      </w:r>
      <w:r w:rsidRPr="00BD4EE8">
        <w:rPr>
          <w:rFonts w:ascii="Book Antiqua" w:eastAsia="SimSun" w:hAnsi="Book Antiqua" w:cs="Times New Roman"/>
          <w:color w:val="auto"/>
          <w:kern w:val="2"/>
          <w:sz w:val="24"/>
          <w:szCs w:val="24"/>
          <w:lang w:val="en-US" w:eastAsia="zh-CN"/>
        </w:rPr>
        <w:t>: 44 [PMID: 20170487 DOI: 10.1186/1472-6963-</w:t>
      </w:r>
      <w:r w:rsidRPr="00BD4EE8">
        <w:rPr>
          <w:rFonts w:ascii="Book Antiqua" w:eastAsia="SimSun" w:hAnsi="Book Antiqua" w:cs="Times New Roman"/>
          <w:color w:val="auto"/>
          <w:kern w:val="2"/>
          <w:sz w:val="24"/>
          <w:szCs w:val="24"/>
          <w:lang w:val="en-US" w:eastAsia="zh-CN"/>
        </w:rPr>
        <w:lastRenderedPageBreak/>
        <w:t>10-44]</w:t>
      </w:r>
    </w:p>
    <w:p w14:paraId="19DC5100"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16 </w:t>
      </w:r>
      <w:r w:rsidRPr="00BD4EE8">
        <w:rPr>
          <w:rFonts w:ascii="Book Antiqua" w:eastAsia="SimSun" w:hAnsi="Book Antiqua" w:cs="Times New Roman"/>
          <w:b/>
          <w:color w:val="auto"/>
          <w:kern w:val="2"/>
          <w:sz w:val="24"/>
          <w:szCs w:val="24"/>
          <w:lang w:val="en-US" w:eastAsia="zh-CN"/>
        </w:rPr>
        <w:t>Adam V</w:t>
      </w:r>
      <w:r w:rsidRPr="00BD4EE8">
        <w:rPr>
          <w:rFonts w:ascii="Book Antiqua" w:eastAsia="SimSun" w:hAnsi="Book Antiqua" w:cs="Times New Roman"/>
          <w:color w:val="auto"/>
          <w:kern w:val="2"/>
          <w:sz w:val="24"/>
          <w:szCs w:val="24"/>
          <w:lang w:val="en-US" w:eastAsia="zh-CN"/>
        </w:rPr>
        <w:t xml:space="preserve">, </w:t>
      </w:r>
      <w:proofErr w:type="spellStart"/>
      <w:r w:rsidRPr="00BD4EE8">
        <w:rPr>
          <w:rFonts w:ascii="Book Antiqua" w:eastAsia="SimSun" w:hAnsi="Book Antiqua" w:cs="Times New Roman"/>
          <w:color w:val="auto"/>
          <w:kern w:val="2"/>
          <w:sz w:val="24"/>
          <w:szCs w:val="24"/>
          <w:lang w:val="en-US" w:eastAsia="zh-CN"/>
        </w:rPr>
        <w:t>Barkun</w:t>
      </w:r>
      <w:proofErr w:type="spellEnd"/>
      <w:r w:rsidRPr="00BD4EE8">
        <w:rPr>
          <w:rFonts w:ascii="Book Antiqua" w:eastAsia="SimSun" w:hAnsi="Book Antiqua" w:cs="Times New Roman"/>
          <w:color w:val="auto"/>
          <w:kern w:val="2"/>
          <w:sz w:val="24"/>
          <w:szCs w:val="24"/>
          <w:lang w:val="en-US" w:eastAsia="zh-CN"/>
        </w:rPr>
        <w:t xml:space="preserve"> AN. Estimates of costs of hospital stay for variceal and nonvariceal upper gastrointestinal bleeding in the United States. </w:t>
      </w:r>
      <w:r w:rsidRPr="00BD4EE8">
        <w:rPr>
          <w:rFonts w:ascii="Book Antiqua" w:eastAsia="SimSun" w:hAnsi="Book Antiqua" w:cs="Times New Roman"/>
          <w:i/>
          <w:color w:val="auto"/>
          <w:kern w:val="2"/>
          <w:sz w:val="24"/>
          <w:szCs w:val="24"/>
          <w:lang w:val="en-US" w:eastAsia="zh-CN"/>
        </w:rPr>
        <w:t>Value Health</w:t>
      </w:r>
      <w:r w:rsidRPr="00BD4EE8">
        <w:rPr>
          <w:rFonts w:ascii="Book Antiqua" w:eastAsia="SimSun" w:hAnsi="Book Antiqua" w:cs="Times New Roman"/>
          <w:color w:val="auto"/>
          <w:kern w:val="2"/>
          <w:sz w:val="24"/>
          <w:szCs w:val="24"/>
          <w:lang w:val="en-US" w:eastAsia="zh-CN"/>
        </w:rPr>
        <w:t xml:space="preserve"> 2008; </w:t>
      </w:r>
      <w:r w:rsidRPr="00BD4EE8">
        <w:rPr>
          <w:rFonts w:ascii="Book Antiqua" w:eastAsia="SimSun" w:hAnsi="Book Antiqua" w:cs="Times New Roman"/>
          <w:b/>
          <w:color w:val="auto"/>
          <w:kern w:val="2"/>
          <w:sz w:val="24"/>
          <w:szCs w:val="24"/>
          <w:lang w:val="en-US" w:eastAsia="zh-CN"/>
        </w:rPr>
        <w:t>11</w:t>
      </w:r>
      <w:r w:rsidRPr="00BD4EE8">
        <w:rPr>
          <w:rFonts w:ascii="Book Antiqua" w:eastAsia="SimSun" w:hAnsi="Book Antiqua" w:cs="Times New Roman"/>
          <w:color w:val="auto"/>
          <w:kern w:val="2"/>
          <w:sz w:val="24"/>
          <w:szCs w:val="24"/>
          <w:lang w:val="en-US" w:eastAsia="zh-CN"/>
        </w:rPr>
        <w:t>: 1-3 [PMID: 18237354 DOI: 10.1111/j.1524-4733.2007.00208.x]</w:t>
      </w:r>
    </w:p>
    <w:p w14:paraId="341C3EBF"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17 </w:t>
      </w:r>
      <w:proofErr w:type="spellStart"/>
      <w:r w:rsidRPr="00BD4EE8">
        <w:rPr>
          <w:rFonts w:ascii="Book Antiqua" w:eastAsia="SimSun" w:hAnsi="Book Antiqua" w:cs="Times New Roman"/>
          <w:b/>
          <w:color w:val="auto"/>
          <w:kern w:val="2"/>
          <w:sz w:val="24"/>
          <w:szCs w:val="24"/>
          <w:lang w:val="en-US" w:eastAsia="zh-CN"/>
        </w:rPr>
        <w:t>Shahian</w:t>
      </w:r>
      <w:proofErr w:type="spellEnd"/>
      <w:r w:rsidRPr="00BD4EE8">
        <w:rPr>
          <w:rFonts w:ascii="Book Antiqua" w:eastAsia="SimSun" w:hAnsi="Book Antiqua" w:cs="Times New Roman"/>
          <w:b/>
          <w:color w:val="auto"/>
          <w:kern w:val="2"/>
          <w:sz w:val="24"/>
          <w:szCs w:val="24"/>
          <w:lang w:val="en-US" w:eastAsia="zh-CN"/>
        </w:rPr>
        <w:t xml:space="preserve"> DM</w:t>
      </w:r>
      <w:r w:rsidRPr="00BD4EE8">
        <w:rPr>
          <w:rFonts w:ascii="Book Antiqua" w:eastAsia="SimSun" w:hAnsi="Book Antiqua" w:cs="Times New Roman"/>
          <w:color w:val="auto"/>
          <w:kern w:val="2"/>
          <w:sz w:val="24"/>
          <w:szCs w:val="24"/>
          <w:lang w:val="en-US" w:eastAsia="zh-CN"/>
        </w:rPr>
        <w:t xml:space="preserve">, Nordberg P, Meyer GS, </w:t>
      </w:r>
      <w:proofErr w:type="spellStart"/>
      <w:r w:rsidRPr="00BD4EE8">
        <w:rPr>
          <w:rFonts w:ascii="Book Antiqua" w:eastAsia="SimSun" w:hAnsi="Book Antiqua" w:cs="Times New Roman"/>
          <w:color w:val="auto"/>
          <w:kern w:val="2"/>
          <w:sz w:val="24"/>
          <w:szCs w:val="24"/>
          <w:lang w:val="en-US" w:eastAsia="zh-CN"/>
        </w:rPr>
        <w:t>Blanchfield</w:t>
      </w:r>
      <w:proofErr w:type="spellEnd"/>
      <w:r w:rsidRPr="00BD4EE8">
        <w:rPr>
          <w:rFonts w:ascii="Book Antiqua" w:eastAsia="SimSun" w:hAnsi="Book Antiqua" w:cs="Times New Roman"/>
          <w:color w:val="auto"/>
          <w:kern w:val="2"/>
          <w:sz w:val="24"/>
          <w:szCs w:val="24"/>
          <w:lang w:val="en-US" w:eastAsia="zh-CN"/>
        </w:rPr>
        <w:t xml:space="preserve"> BB, Mort EA, </w:t>
      </w:r>
      <w:proofErr w:type="spellStart"/>
      <w:r w:rsidRPr="00BD4EE8">
        <w:rPr>
          <w:rFonts w:ascii="Book Antiqua" w:eastAsia="SimSun" w:hAnsi="Book Antiqua" w:cs="Times New Roman"/>
          <w:color w:val="auto"/>
          <w:kern w:val="2"/>
          <w:sz w:val="24"/>
          <w:szCs w:val="24"/>
          <w:lang w:val="en-US" w:eastAsia="zh-CN"/>
        </w:rPr>
        <w:t>Torchiana</w:t>
      </w:r>
      <w:proofErr w:type="spellEnd"/>
      <w:r w:rsidRPr="00BD4EE8">
        <w:rPr>
          <w:rFonts w:ascii="Book Antiqua" w:eastAsia="SimSun" w:hAnsi="Book Antiqua" w:cs="Times New Roman"/>
          <w:color w:val="auto"/>
          <w:kern w:val="2"/>
          <w:sz w:val="24"/>
          <w:szCs w:val="24"/>
          <w:lang w:val="en-US" w:eastAsia="zh-CN"/>
        </w:rPr>
        <w:t xml:space="preserve"> DF, Normand SL. Contemporary performance of U.S. teaching and nonteaching hospitals. </w:t>
      </w:r>
      <w:proofErr w:type="spellStart"/>
      <w:r w:rsidRPr="00BD4EE8">
        <w:rPr>
          <w:rFonts w:ascii="Book Antiqua" w:eastAsia="SimSun" w:hAnsi="Book Antiqua" w:cs="Times New Roman"/>
          <w:i/>
          <w:color w:val="auto"/>
          <w:kern w:val="2"/>
          <w:sz w:val="24"/>
          <w:szCs w:val="24"/>
          <w:lang w:val="en-US" w:eastAsia="zh-CN"/>
        </w:rPr>
        <w:t>Acad</w:t>
      </w:r>
      <w:proofErr w:type="spellEnd"/>
      <w:r w:rsidRPr="00BD4EE8">
        <w:rPr>
          <w:rFonts w:ascii="Book Antiqua" w:eastAsia="SimSun" w:hAnsi="Book Antiqua" w:cs="Times New Roman"/>
          <w:i/>
          <w:color w:val="auto"/>
          <w:kern w:val="2"/>
          <w:sz w:val="24"/>
          <w:szCs w:val="24"/>
          <w:lang w:val="en-US" w:eastAsia="zh-CN"/>
        </w:rPr>
        <w:t xml:space="preserve"> Med</w:t>
      </w:r>
      <w:r w:rsidRPr="00BD4EE8">
        <w:rPr>
          <w:rFonts w:ascii="Book Antiqua" w:eastAsia="SimSun" w:hAnsi="Book Antiqua" w:cs="Times New Roman"/>
          <w:color w:val="auto"/>
          <w:kern w:val="2"/>
          <w:sz w:val="24"/>
          <w:szCs w:val="24"/>
          <w:lang w:val="en-US" w:eastAsia="zh-CN"/>
        </w:rPr>
        <w:t xml:space="preserve"> 2012; </w:t>
      </w:r>
      <w:r w:rsidRPr="00BD4EE8">
        <w:rPr>
          <w:rFonts w:ascii="Book Antiqua" w:eastAsia="SimSun" w:hAnsi="Book Antiqua" w:cs="Times New Roman"/>
          <w:b/>
          <w:color w:val="auto"/>
          <w:kern w:val="2"/>
          <w:sz w:val="24"/>
          <w:szCs w:val="24"/>
          <w:lang w:val="en-US" w:eastAsia="zh-CN"/>
        </w:rPr>
        <w:t>87</w:t>
      </w:r>
      <w:r w:rsidRPr="00BD4EE8">
        <w:rPr>
          <w:rFonts w:ascii="Book Antiqua" w:eastAsia="SimSun" w:hAnsi="Book Antiqua" w:cs="Times New Roman"/>
          <w:color w:val="auto"/>
          <w:kern w:val="2"/>
          <w:sz w:val="24"/>
          <w:szCs w:val="24"/>
          <w:lang w:val="en-US" w:eastAsia="zh-CN"/>
        </w:rPr>
        <w:t>: 701-708 [PMID: 22534588 DOI: 10.1097/ACM.0b013e318253676a]</w:t>
      </w:r>
    </w:p>
    <w:p w14:paraId="3AA005BF" w14:textId="523CEAB7" w:rsidR="00BD4EE8" w:rsidRPr="00C04F63"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C04F63">
        <w:rPr>
          <w:rFonts w:ascii="Book Antiqua" w:eastAsia="SimSun" w:hAnsi="Book Antiqua" w:cs="Times New Roman"/>
          <w:color w:val="auto"/>
          <w:kern w:val="2"/>
          <w:sz w:val="24"/>
          <w:szCs w:val="24"/>
          <w:lang w:val="en-US" w:eastAsia="zh-CN"/>
        </w:rPr>
        <w:t xml:space="preserve">18 </w:t>
      </w:r>
      <w:r w:rsidRPr="00C04F63">
        <w:rPr>
          <w:rFonts w:ascii="Book Antiqua" w:eastAsia="SimSun" w:hAnsi="Book Antiqua" w:cs="Times New Roman"/>
          <w:b/>
          <w:color w:val="auto"/>
          <w:kern w:val="2"/>
          <w:sz w:val="24"/>
          <w:szCs w:val="24"/>
          <w:lang w:val="en-US" w:eastAsia="zh-CN"/>
        </w:rPr>
        <w:t>HCUP National Inpatient Sample (NIS)</w:t>
      </w:r>
      <w:r w:rsidRPr="00C04F63">
        <w:rPr>
          <w:rFonts w:ascii="Book Antiqua" w:eastAsia="SimSun" w:hAnsi="Book Antiqua" w:cs="Times New Roman"/>
          <w:color w:val="auto"/>
          <w:kern w:val="2"/>
          <w:sz w:val="24"/>
          <w:szCs w:val="24"/>
          <w:lang w:val="en-US" w:eastAsia="zh-CN"/>
        </w:rPr>
        <w:t xml:space="preserve">. Healthcare Cost and Utilization Project (HCUP). 2012. [Internet]. Agency </w:t>
      </w:r>
      <w:proofErr w:type="spellStart"/>
      <w:r w:rsidRPr="00C04F63">
        <w:rPr>
          <w:rFonts w:ascii="Book Antiqua" w:eastAsia="SimSun" w:hAnsi="Book Antiqua" w:cs="Times New Roman"/>
          <w:color w:val="auto"/>
          <w:kern w:val="2"/>
          <w:sz w:val="24"/>
          <w:szCs w:val="24"/>
          <w:lang w:val="en-US" w:eastAsia="zh-CN"/>
        </w:rPr>
        <w:t>Healthc</w:t>
      </w:r>
      <w:proofErr w:type="spellEnd"/>
      <w:r w:rsidRPr="00C04F63">
        <w:rPr>
          <w:rFonts w:ascii="Book Antiqua" w:eastAsia="SimSun" w:hAnsi="Book Antiqua" w:cs="Times New Roman"/>
          <w:color w:val="auto"/>
          <w:kern w:val="2"/>
          <w:sz w:val="24"/>
          <w:szCs w:val="24"/>
          <w:lang w:val="en-US" w:eastAsia="zh-CN"/>
        </w:rPr>
        <w:t>. Res. Qual. Rockville, MD. 2012</w:t>
      </w:r>
      <w:r w:rsidR="001E366C">
        <w:rPr>
          <w:rFonts w:ascii="Book Antiqua" w:eastAsia="SimSun" w:hAnsi="Book Antiqua" w:cs="Times New Roman"/>
          <w:color w:val="auto"/>
          <w:kern w:val="2"/>
          <w:sz w:val="24"/>
          <w:szCs w:val="24"/>
          <w:lang w:val="en-US" w:eastAsia="zh-CN"/>
        </w:rPr>
        <w:t>.</w:t>
      </w:r>
      <w:r w:rsidRPr="00C04F63">
        <w:rPr>
          <w:rFonts w:ascii="Book Antiqua" w:eastAsia="SimSun" w:hAnsi="Book Antiqua" w:cs="Times New Roman"/>
          <w:color w:val="auto"/>
          <w:kern w:val="2"/>
          <w:sz w:val="24"/>
          <w:szCs w:val="24"/>
          <w:lang w:val="en-US" w:eastAsia="zh-CN"/>
        </w:rPr>
        <w:t xml:space="preserve"> Available from: </w:t>
      </w:r>
      <w:hyperlink r:id="rId9" w:history="1">
        <w:r w:rsidRPr="00C04F63">
          <w:rPr>
            <w:rFonts w:ascii="Book Antiqua" w:eastAsia="SimSun" w:hAnsi="Book Antiqua" w:cs="Times New Roman"/>
            <w:color w:val="auto"/>
            <w:kern w:val="2"/>
            <w:sz w:val="24"/>
            <w:szCs w:val="24"/>
            <w:u w:val="single"/>
            <w:lang w:val="en-US" w:eastAsia="zh-CN"/>
          </w:rPr>
          <w:t>www.hcup-us.ahrq.gov/nisoverview.jsp</w:t>
        </w:r>
      </w:hyperlink>
      <w:r w:rsidRPr="00C04F63">
        <w:rPr>
          <w:rFonts w:ascii="Book Antiqua" w:eastAsia="SimSun" w:hAnsi="Book Antiqua" w:cs="Times New Roman"/>
          <w:color w:val="auto"/>
          <w:kern w:val="2"/>
          <w:sz w:val="24"/>
          <w:szCs w:val="24"/>
          <w:lang w:val="en-US" w:eastAsia="zh-CN"/>
        </w:rPr>
        <w:t xml:space="preserve"> </w:t>
      </w:r>
    </w:p>
    <w:p w14:paraId="28093A7E" w14:textId="06055A88"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C04F63">
        <w:rPr>
          <w:rFonts w:ascii="Book Antiqua" w:eastAsia="SimSun" w:hAnsi="Book Antiqua" w:cs="Times New Roman"/>
          <w:color w:val="auto"/>
          <w:kern w:val="2"/>
          <w:sz w:val="24"/>
          <w:szCs w:val="24"/>
          <w:lang w:val="en-US" w:eastAsia="zh-CN"/>
        </w:rPr>
        <w:t xml:space="preserve">19 </w:t>
      </w:r>
      <w:r w:rsidRPr="00C04F63">
        <w:rPr>
          <w:rFonts w:ascii="Book Antiqua" w:eastAsia="SimSun" w:hAnsi="Book Antiqua" w:cs="Times New Roman"/>
          <w:b/>
          <w:color w:val="auto"/>
          <w:kern w:val="2"/>
          <w:sz w:val="24"/>
          <w:szCs w:val="24"/>
          <w:lang w:val="en-US" w:eastAsia="zh-CN"/>
        </w:rPr>
        <w:t>Healthcare Cost and Utilization Project (HCUP)</w:t>
      </w:r>
      <w:r w:rsidRPr="00C04F63">
        <w:rPr>
          <w:rFonts w:ascii="Book Antiqua" w:eastAsia="SimSun" w:hAnsi="Book Antiqua" w:cs="Times New Roman"/>
          <w:color w:val="auto"/>
          <w:kern w:val="2"/>
          <w:sz w:val="24"/>
          <w:szCs w:val="24"/>
          <w:lang w:val="en-US" w:eastAsia="zh-CN"/>
        </w:rPr>
        <w:t xml:space="preserve">. HCUP </w:t>
      </w:r>
      <w:proofErr w:type="spellStart"/>
      <w:r w:rsidRPr="00C04F63">
        <w:rPr>
          <w:rFonts w:ascii="Book Antiqua" w:eastAsia="SimSun" w:hAnsi="Book Antiqua" w:cs="Times New Roman"/>
          <w:color w:val="auto"/>
          <w:kern w:val="2"/>
          <w:sz w:val="24"/>
          <w:szCs w:val="24"/>
          <w:lang w:val="en-US" w:eastAsia="zh-CN"/>
        </w:rPr>
        <w:t>Elixhauser</w:t>
      </w:r>
      <w:proofErr w:type="spellEnd"/>
      <w:r w:rsidRPr="00C04F63">
        <w:rPr>
          <w:rFonts w:ascii="Book Antiqua" w:eastAsia="SimSun" w:hAnsi="Book Antiqua" w:cs="Times New Roman"/>
          <w:color w:val="auto"/>
          <w:kern w:val="2"/>
          <w:sz w:val="24"/>
          <w:szCs w:val="24"/>
          <w:lang w:val="en-US" w:eastAsia="zh-CN"/>
        </w:rPr>
        <w:t xml:space="preserve"> Comorbidity Software, Version 3.7 [Internet]. Agency </w:t>
      </w:r>
      <w:proofErr w:type="spellStart"/>
      <w:r w:rsidRPr="00C04F63">
        <w:rPr>
          <w:rFonts w:ascii="Book Antiqua" w:eastAsia="SimSun" w:hAnsi="Book Antiqua" w:cs="Times New Roman"/>
          <w:color w:val="auto"/>
          <w:kern w:val="2"/>
          <w:sz w:val="24"/>
          <w:szCs w:val="24"/>
          <w:lang w:val="en-US" w:eastAsia="zh-CN"/>
        </w:rPr>
        <w:t>Healthc</w:t>
      </w:r>
      <w:proofErr w:type="spellEnd"/>
      <w:r w:rsidRPr="00C04F63">
        <w:rPr>
          <w:rFonts w:ascii="Book Antiqua" w:eastAsia="SimSun" w:hAnsi="Book Antiqua" w:cs="Times New Roman"/>
          <w:color w:val="auto"/>
          <w:kern w:val="2"/>
          <w:sz w:val="24"/>
          <w:szCs w:val="24"/>
          <w:lang w:val="en-US" w:eastAsia="zh-CN"/>
        </w:rPr>
        <w:t>. Res. Qual. 2017; Rockville, MD. 2017</w:t>
      </w:r>
      <w:r w:rsidR="001E366C">
        <w:rPr>
          <w:rFonts w:ascii="Book Antiqua" w:eastAsia="SimSun" w:hAnsi="Book Antiqua" w:cs="Times New Roman"/>
          <w:color w:val="auto"/>
          <w:kern w:val="2"/>
          <w:sz w:val="24"/>
          <w:szCs w:val="24"/>
          <w:lang w:val="en-US" w:eastAsia="zh-CN"/>
        </w:rPr>
        <w:t>.</w:t>
      </w:r>
      <w:bookmarkStart w:id="2" w:name="_GoBack"/>
      <w:bookmarkEnd w:id="2"/>
      <w:r w:rsidRPr="00C04F63">
        <w:rPr>
          <w:rFonts w:ascii="Book Antiqua" w:eastAsia="SimSun" w:hAnsi="Book Antiqua" w:cs="Times New Roman"/>
          <w:color w:val="auto"/>
          <w:kern w:val="2"/>
          <w:sz w:val="24"/>
          <w:szCs w:val="24"/>
          <w:lang w:val="en-US" w:eastAsia="zh-CN"/>
        </w:rPr>
        <w:t xml:space="preserve"> Available from: </w:t>
      </w:r>
      <w:hyperlink r:id="rId10" w:history="1">
        <w:r w:rsidRPr="00C04F63">
          <w:rPr>
            <w:rFonts w:ascii="Book Antiqua" w:eastAsia="SimSun" w:hAnsi="Book Antiqua" w:cs="Times New Roman"/>
            <w:color w:val="auto"/>
            <w:kern w:val="2"/>
            <w:sz w:val="24"/>
            <w:szCs w:val="24"/>
            <w:u w:val="single"/>
            <w:lang w:val="en-US" w:eastAsia="zh-CN"/>
          </w:rPr>
          <w:t>www.hcup-us.ahrq.gov/toolssoftware/comorbidity/comorbidity.jsp</w:t>
        </w:r>
      </w:hyperlink>
    </w:p>
    <w:p w14:paraId="0515BFE8"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20 </w:t>
      </w:r>
      <w:r w:rsidRPr="00BD4EE8">
        <w:rPr>
          <w:rFonts w:ascii="Book Antiqua" w:eastAsia="SimSun" w:hAnsi="Book Antiqua" w:cs="Times New Roman"/>
          <w:b/>
          <w:color w:val="auto"/>
          <w:kern w:val="2"/>
          <w:sz w:val="24"/>
          <w:szCs w:val="24"/>
          <w:lang w:val="en-US" w:eastAsia="zh-CN"/>
        </w:rPr>
        <w:t>Southern DA</w:t>
      </w:r>
      <w:r w:rsidRPr="00BD4EE8">
        <w:rPr>
          <w:rFonts w:ascii="Book Antiqua" w:eastAsia="SimSun" w:hAnsi="Book Antiqua" w:cs="Times New Roman"/>
          <w:color w:val="auto"/>
          <w:kern w:val="2"/>
          <w:sz w:val="24"/>
          <w:szCs w:val="24"/>
          <w:lang w:val="en-US" w:eastAsia="zh-CN"/>
        </w:rPr>
        <w:t xml:space="preserve">, Quan H, </w:t>
      </w:r>
      <w:proofErr w:type="spellStart"/>
      <w:r w:rsidRPr="00BD4EE8">
        <w:rPr>
          <w:rFonts w:ascii="Book Antiqua" w:eastAsia="SimSun" w:hAnsi="Book Antiqua" w:cs="Times New Roman"/>
          <w:color w:val="auto"/>
          <w:kern w:val="2"/>
          <w:sz w:val="24"/>
          <w:szCs w:val="24"/>
          <w:lang w:val="en-US" w:eastAsia="zh-CN"/>
        </w:rPr>
        <w:t>Ghali</w:t>
      </w:r>
      <w:proofErr w:type="spellEnd"/>
      <w:r w:rsidRPr="00BD4EE8">
        <w:rPr>
          <w:rFonts w:ascii="Book Antiqua" w:eastAsia="SimSun" w:hAnsi="Book Antiqua" w:cs="Times New Roman"/>
          <w:color w:val="auto"/>
          <w:kern w:val="2"/>
          <w:sz w:val="24"/>
          <w:szCs w:val="24"/>
          <w:lang w:val="en-US" w:eastAsia="zh-CN"/>
        </w:rPr>
        <w:t xml:space="preserve"> WA. Comparison of the </w:t>
      </w:r>
      <w:proofErr w:type="spellStart"/>
      <w:r w:rsidRPr="00BD4EE8">
        <w:rPr>
          <w:rFonts w:ascii="Book Antiqua" w:eastAsia="SimSun" w:hAnsi="Book Antiqua" w:cs="Times New Roman"/>
          <w:color w:val="auto"/>
          <w:kern w:val="2"/>
          <w:sz w:val="24"/>
          <w:szCs w:val="24"/>
          <w:lang w:val="en-US" w:eastAsia="zh-CN"/>
        </w:rPr>
        <w:t>Elixhauser</w:t>
      </w:r>
      <w:proofErr w:type="spellEnd"/>
      <w:r w:rsidRPr="00BD4EE8">
        <w:rPr>
          <w:rFonts w:ascii="Book Antiqua" w:eastAsia="SimSun" w:hAnsi="Book Antiqua" w:cs="Times New Roman"/>
          <w:color w:val="auto"/>
          <w:kern w:val="2"/>
          <w:sz w:val="24"/>
          <w:szCs w:val="24"/>
          <w:lang w:val="en-US" w:eastAsia="zh-CN"/>
        </w:rPr>
        <w:t xml:space="preserve"> and </w:t>
      </w:r>
      <w:proofErr w:type="spellStart"/>
      <w:r w:rsidRPr="00BD4EE8">
        <w:rPr>
          <w:rFonts w:ascii="Book Antiqua" w:eastAsia="SimSun" w:hAnsi="Book Antiqua" w:cs="Times New Roman"/>
          <w:color w:val="auto"/>
          <w:kern w:val="2"/>
          <w:sz w:val="24"/>
          <w:szCs w:val="24"/>
          <w:lang w:val="en-US" w:eastAsia="zh-CN"/>
        </w:rPr>
        <w:t>Charlson</w:t>
      </w:r>
      <w:proofErr w:type="spellEnd"/>
      <w:r w:rsidRPr="00BD4EE8">
        <w:rPr>
          <w:rFonts w:ascii="Book Antiqua" w:eastAsia="SimSun" w:hAnsi="Book Antiqua" w:cs="Times New Roman"/>
          <w:color w:val="auto"/>
          <w:kern w:val="2"/>
          <w:sz w:val="24"/>
          <w:szCs w:val="24"/>
          <w:lang w:val="en-US" w:eastAsia="zh-CN"/>
        </w:rPr>
        <w:t>/</w:t>
      </w:r>
      <w:proofErr w:type="spellStart"/>
      <w:r w:rsidRPr="00BD4EE8">
        <w:rPr>
          <w:rFonts w:ascii="Book Antiqua" w:eastAsia="SimSun" w:hAnsi="Book Antiqua" w:cs="Times New Roman"/>
          <w:color w:val="auto"/>
          <w:kern w:val="2"/>
          <w:sz w:val="24"/>
          <w:szCs w:val="24"/>
          <w:lang w:val="en-US" w:eastAsia="zh-CN"/>
        </w:rPr>
        <w:t>Deyo</w:t>
      </w:r>
      <w:proofErr w:type="spellEnd"/>
      <w:r w:rsidRPr="00BD4EE8">
        <w:rPr>
          <w:rFonts w:ascii="Book Antiqua" w:eastAsia="SimSun" w:hAnsi="Book Antiqua" w:cs="Times New Roman"/>
          <w:color w:val="auto"/>
          <w:kern w:val="2"/>
          <w:sz w:val="24"/>
          <w:szCs w:val="24"/>
          <w:lang w:val="en-US" w:eastAsia="zh-CN"/>
        </w:rPr>
        <w:t xml:space="preserve"> methods of comorbidity measurement in administrative data. </w:t>
      </w:r>
      <w:r w:rsidRPr="00BD4EE8">
        <w:rPr>
          <w:rFonts w:ascii="Book Antiqua" w:eastAsia="SimSun" w:hAnsi="Book Antiqua" w:cs="Times New Roman"/>
          <w:i/>
          <w:color w:val="auto"/>
          <w:kern w:val="2"/>
          <w:sz w:val="24"/>
          <w:szCs w:val="24"/>
          <w:lang w:val="en-US" w:eastAsia="zh-CN"/>
        </w:rPr>
        <w:t>Med Care</w:t>
      </w:r>
      <w:r w:rsidRPr="00BD4EE8">
        <w:rPr>
          <w:rFonts w:ascii="Book Antiqua" w:eastAsia="SimSun" w:hAnsi="Book Antiqua" w:cs="Times New Roman"/>
          <w:color w:val="auto"/>
          <w:kern w:val="2"/>
          <w:sz w:val="24"/>
          <w:szCs w:val="24"/>
          <w:lang w:val="en-US" w:eastAsia="zh-CN"/>
        </w:rPr>
        <w:t xml:space="preserve"> 2004; </w:t>
      </w:r>
      <w:r w:rsidRPr="00BD4EE8">
        <w:rPr>
          <w:rFonts w:ascii="Book Antiqua" w:eastAsia="SimSun" w:hAnsi="Book Antiqua" w:cs="Times New Roman"/>
          <w:b/>
          <w:color w:val="auto"/>
          <w:kern w:val="2"/>
          <w:sz w:val="24"/>
          <w:szCs w:val="24"/>
          <w:lang w:val="en-US" w:eastAsia="zh-CN"/>
        </w:rPr>
        <w:t>42</w:t>
      </w:r>
      <w:r w:rsidRPr="00BD4EE8">
        <w:rPr>
          <w:rFonts w:ascii="Book Antiqua" w:eastAsia="SimSun" w:hAnsi="Book Antiqua" w:cs="Times New Roman"/>
          <w:color w:val="auto"/>
          <w:kern w:val="2"/>
          <w:sz w:val="24"/>
          <w:szCs w:val="24"/>
          <w:lang w:val="en-US" w:eastAsia="zh-CN"/>
        </w:rPr>
        <w:t>: 355-360 [PMID: 15076812 DOI: 10.1097/01.mlr.0000118861.56848.ee]</w:t>
      </w:r>
    </w:p>
    <w:p w14:paraId="2E6FC960"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21 </w:t>
      </w:r>
      <w:proofErr w:type="spellStart"/>
      <w:r w:rsidRPr="00BD4EE8">
        <w:rPr>
          <w:rFonts w:ascii="Book Antiqua" w:eastAsia="SimSun" w:hAnsi="Book Antiqua" w:cs="Times New Roman"/>
          <w:b/>
          <w:color w:val="auto"/>
          <w:kern w:val="2"/>
          <w:sz w:val="24"/>
          <w:szCs w:val="24"/>
          <w:lang w:val="en-US" w:eastAsia="zh-CN"/>
        </w:rPr>
        <w:t>Abougergi</w:t>
      </w:r>
      <w:proofErr w:type="spellEnd"/>
      <w:r w:rsidRPr="00BD4EE8">
        <w:rPr>
          <w:rFonts w:ascii="Book Antiqua" w:eastAsia="SimSun" w:hAnsi="Book Antiqua" w:cs="Times New Roman"/>
          <w:b/>
          <w:color w:val="auto"/>
          <w:kern w:val="2"/>
          <w:sz w:val="24"/>
          <w:szCs w:val="24"/>
          <w:lang w:val="en-US" w:eastAsia="zh-CN"/>
        </w:rPr>
        <w:t xml:space="preserve"> MS</w:t>
      </w:r>
      <w:r w:rsidRPr="00BD4EE8">
        <w:rPr>
          <w:rFonts w:ascii="Book Antiqua" w:eastAsia="SimSun" w:hAnsi="Book Antiqua" w:cs="Times New Roman"/>
          <w:color w:val="auto"/>
          <w:kern w:val="2"/>
          <w:sz w:val="24"/>
          <w:szCs w:val="24"/>
          <w:lang w:val="en-US" w:eastAsia="zh-CN"/>
        </w:rPr>
        <w:t xml:space="preserve">, Travis AC, Saltzman JR. The in-hospital mortality rate for upper GI hemorrhage has decreased over 2 decades in the United States: a nationwide analysis. </w:t>
      </w:r>
      <w:proofErr w:type="spellStart"/>
      <w:r w:rsidRPr="00BD4EE8">
        <w:rPr>
          <w:rFonts w:ascii="Book Antiqua" w:eastAsia="SimSun" w:hAnsi="Book Antiqua" w:cs="Times New Roman"/>
          <w:i/>
          <w:color w:val="auto"/>
          <w:kern w:val="2"/>
          <w:sz w:val="24"/>
          <w:szCs w:val="24"/>
          <w:lang w:val="en-US" w:eastAsia="zh-CN"/>
        </w:rPr>
        <w:t>Gastrointest</w:t>
      </w:r>
      <w:proofErr w:type="spellEnd"/>
      <w:r w:rsidRPr="00BD4EE8">
        <w:rPr>
          <w:rFonts w:ascii="Book Antiqua" w:eastAsia="SimSun" w:hAnsi="Book Antiqua" w:cs="Times New Roman"/>
          <w:i/>
          <w:color w:val="auto"/>
          <w:kern w:val="2"/>
          <w:sz w:val="24"/>
          <w:szCs w:val="24"/>
          <w:lang w:val="en-US" w:eastAsia="zh-CN"/>
        </w:rPr>
        <w:t xml:space="preserve"> </w:t>
      </w:r>
      <w:proofErr w:type="spellStart"/>
      <w:r w:rsidRPr="00BD4EE8">
        <w:rPr>
          <w:rFonts w:ascii="Book Antiqua" w:eastAsia="SimSun" w:hAnsi="Book Antiqua" w:cs="Times New Roman"/>
          <w:i/>
          <w:color w:val="auto"/>
          <w:kern w:val="2"/>
          <w:sz w:val="24"/>
          <w:szCs w:val="24"/>
          <w:lang w:val="en-US" w:eastAsia="zh-CN"/>
        </w:rPr>
        <w:t>Endosc</w:t>
      </w:r>
      <w:proofErr w:type="spellEnd"/>
      <w:r w:rsidRPr="00BD4EE8">
        <w:rPr>
          <w:rFonts w:ascii="Book Antiqua" w:eastAsia="SimSun" w:hAnsi="Book Antiqua" w:cs="Times New Roman"/>
          <w:color w:val="auto"/>
          <w:kern w:val="2"/>
          <w:sz w:val="24"/>
          <w:szCs w:val="24"/>
          <w:lang w:val="en-US" w:eastAsia="zh-CN"/>
        </w:rPr>
        <w:t xml:space="preserve"> 2015; </w:t>
      </w:r>
      <w:r w:rsidRPr="00BD4EE8">
        <w:rPr>
          <w:rFonts w:ascii="Book Antiqua" w:eastAsia="SimSun" w:hAnsi="Book Antiqua" w:cs="Times New Roman"/>
          <w:b/>
          <w:color w:val="auto"/>
          <w:kern w:val="2"/>
          <w:sz w:val="24"/>
          <w:szCs w:val="24"/>
          <w:lang w:val="en-US" w:eastAsia="zh-CN"/>
        </w:rPr>
        <w:t>81</w:t>
      </w:r>
      <w:r w:rsidRPr="00BD4EE8">
        <w:rPr>
          <w:rFonts w:ascii="Book Antiqua" w:eastAsia="SimSun" w:hAnsi="Book Antiqua" w:cs="Times New Roman"/>
          <w:color w:val="auto"/>
          <w:kern w:val="2"/>
          <w:sz w:val="24"/>
          <w:szCs w:val="24"/>
          <w:lang w:val="en-US" w:eastAsia="zh-CN"/>
        </w:rPr>
        <w:t>: 882-888.e1 [PMID: 25484324 DOI: 10.1016/j.gie.2014.09.027]</w:t>
      </w:r>
    </w:p>
    <w:p w14:paraId="118D3428"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22 </w:t>
      </w:r>
      <w:r w:rsidRPr="00BD4EE8">
        <w:rPr>
          <w:rFonts w:ascii="Book Antiqua" w:eastAsia="SimSun" w:hAnsi="Book Antiqua" w:cs="Times New Roman"/>
          <w:b/>
          <w:color w:val="auto"/>
          <w:kern w:val="2"/>
          <w:sz w:val="24"/>
          <w:szCs w:val="24"/>
          <w:lang w:val="en-US" w:eastAsia="zh-CN"/>
        </w:rPr>
        <w:t>Laine L</w:t>
      </w:r>
      <w:r w:rsidRPr="00BD4EE8">
        <w:rPr>
          <w:rFonts w:ascii="Book Antiqua" w:eastAsia="SimSun" w:hAnsi="Book Antiqua" w:cs="Times New Roman"/>
          <w:color w:val="auto"/>
          <w:kern w:val="2"/>
          <w:sz w:val="24"/>
          <w:szCs w:val="24"/>
          <w:lang w:val="en-US" w:eastAsia="zh-CN"/>
        </w:rPr>
        <w:t xml:space="preserve">, Cook D. Endoscopic ligation compared with sclerotherapy for treatment of esophageal variceal bleeding. A meta-analysis. </w:t>
      </w:r>
      <w:r w:rsidRPr="00BD4EE8">
        <w:rPr>
          <w:rFonts w:ascii="Book Antiqua" w:eastAsia="SimSun" w:hAnsi="Book Antiqua" w:cs="Times New Roman"/>
          <w:i/>
          <w:color w:val="auto"/>
          <w:kern w:val="2"/>
          <w:sz w:val="24"/>
          <w:szCs w:val="24"/>
          <w:lang w:val="en-US" w:eastAsia="zh-CN"/>
        </w:rPr>
        <w:t>Ann Intern Med</w:t>
      </w:r>
      <w:r w:rsidRPr="00BD4EE8">
        <w:rPr>
          <w:rFonts w:ascii="Book Antiqua" w:eastAsia="SimSun" w:hAnsi="Book Antiqua" w:cs="Times New Roman"/>
          <w:color w:val="auto"/>
          <w:kern w:val="2"/>
          <w:sz w:val="24"/>
          <w:szCs w:val="24"/>
          <w:lang w:val="en-US" w:eastAsia="zh-CN"/>
        </w:rPr>
        <w:t xml:space="preserve"> 1995; </w:t>
      </w:r>
      <w:r w:rsidRPr="00BD4EE8">
        <w:rPr>
          <w:rFonts w:ascii="Book Antiqua" w:eastAsia="SimSun" w:hAnsi="Book Antiqua" w:cs="Times New Roman"/>
          <w:b/>
          <w:color w:val="auto"/>
          <w:kern w:val="2"/>
          <w:sz w:val="24"/>
          <w:szCs w:val="24"/>
          <w:lang w:val="en-US" w:eastAsia="zh-CN"/>
        </w:rPr>
        <w:t>123</w:t>
      </w:r>
      <w:r w:rsidRPr="00BD4EE8">
        <w:rPr>
          <w:rFonts w:ascii="Book Antiqua" w:eastAsia="SimSun" w:hAnsi="Book Antiqua" w:cs="Times New Roman"/>
          <w:color w:val="auto"/>
          <w:kern w:val="2"/>
          <w:sz w:val="24"/>
          <w:szCs w:val="24"/>
          <w:lang w:val="en-US" w:eastAsia="zh-CN"/>
        </w:rPr>
        <w:t>: 280-287 [PMID: 7611595 DOI: 10.7326/0003-4819-123-4-199508150-00007]</w:t>
      </w:r>
    </w:p>
    <w:p w14:paraId="7116928F"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23 </w:t>
      </w:r>
      <w:r w:rsidRPr="00BD4EE8">
        <w:rPr>
          <w:rFonts w:ascii="Book Antiqua" w:eastAsia="SimSun" w:hAnsi="Book Antiqua" w:cs="Times New Roman"/>
          <w:b/>
          <w:color w:val="auto"/>
          <w:kern w:val="2"/>
          <w:sz w:val="24"/>
          <w:szCs w:val="24"/>
          <w:lang w:val="en-US" w:eastAsia="zh-CN"/>
        </w:rPr>
        <w:t>Hwang JH</w:t>
      </w:r>
      <w:r w:rsidRPr="00BD4EE8">
        <w:rPr>
          <w:rFonts w:ascii="Book Antiqua" w:eastAsia="SimSun" w:hAnsi="Book Antiqua" w:cs="Times New Roman"/>
          <w:color w:val="auto"/>
          <w:kern w:val="2"/>
          <w:sz w:val="24"/>
          <w:szCs w:val="24"/>
          <w:lang w:val="en-US" w:eastAsia="zh-CN"/>
        </w:rPr>
        <w:t xml:space="preserve">, Fisher DA, Ben-Menachem T, Chandrasekhara V, </w:t>
      </w:r>
      <w:proofErr w:type="spellStart"/>
      <w:r w:rsidRPr="00BD4EE8">
        <w:rPr>
          <w:rFonts w:ascii="Book Antiqua" w:eastAsia="SimSun" w:hAnsi="Book Antiqua" w:cs="Times New Roman"/>
          <w:color w:val="auto"/>
          <w:kern w:val="2"/>
          <w:sz w:val="24"/>
          <w:szCs w:val="24"/>
          <w:lang w:val="en-US" w:eastAsia="zh-CN"/>
        </w:rPr>
        <w:t>Chathadi</w:t>
      </w:r>
      <w:proofErr w:type="spellEnd"/>
      <w:r w:rsidRPr="00BD4EE8">
        <w:rPr>
          <w:rFonts w:ascii="Book Antiqua" w:eastAsia="SimSun" w:hAnsi="Book Antiqua" w:cs="Times New Roman"/>
          <w:color w:val="auto"/>
          <w:kern w:val="2"/>
          <w:sz w:val="24"/>
          <w:szCs w:val="24"/>
          <w:lang w:val="en-US" w:eastAsia="zh-CN"/>
        </w:rPr>
        <w:t xml:space="preserve"> K, Decker GA, Early DS, Evans JA, Fanelli RD, Foley K, </w:t>
      </w:r>
      <w:proofErr w:type="spellStart"/>
      <w:r w:rsidRPr="00BD4EE8">
        <w:rPr>
          <w:rFonts w:ascii="Book Antiqua" w:eastAsia="SimSun" w:hAnsi="Book Antiqua" w:cs="Times New Roman"/>
          <w:color w:val="auto"/>
          <w:kern w:val="2"/>
          <w:sz w:val="24"/>
          <w:szCs w:val="24"/>
          <w:lang w:val="en-US" w:eastAsia="zh-CN"/>
        </w:rPr>
        <w:t>Fukami</w:t>
      </w:r>
      <w:proofErr w:type="spellEnd"/>
      <w:r w:rsidRPr="00BD4EE8">
        <w:rPr>
          <w:rFonts w:ascii="Book Antiqua" w:eastAsia="SimSun" w:hAnsi="Book Antiqua" w:cs="Times New Roman"/>
          <w:color w:val="auto"/>
          <w:kern w:val="2"/>
          <w:sz w:val="24"/>
          <w:szCs w:val="24"/>
          <w:lang w:val="en-US" w:eastAsia="zh-CN"/>
        </w:rPr>
        <w:t xml:space="preserve"> N, Jain R, </w:t>
      </w:r>
      <w:proofErr w:type="spellStart"/>
      <w:r w:rsidRPr="00BD4EE8">
        <w:rPr>
          <w:rFonts w:ascii="Book Antiqua" w:eastAsia="SimSun" w:hAnsi="Book Antiqua" w:cs="Times New Roman"/>
          <w:color w:val="auto"/>
          <w:kern w:val="2"/>
          <w:sz w:val="24"/>
          <w:szCs w:val="24"/>
          <w:lang w:val="en-US" w:eastAsia="zh-CN"/>
        </w:rPr>
        <w:t>Jue</w:t>
      </w:r>
      <w:proofErr w:type="spellEnd"/>
      <w:r w:rsidRPr="00BD4EE8">
        <w:rPr>
          <w:rFonts w:ascii="Book Antiqua" w:eastAsia="SimSun" w:hAnsi="Book Antiqua" w:cs="Times New Roman"/>
          <w:color w:val="auto"/>
          <w:kern w:val="2"/>
          <w:sz w:val="24"/>
          <w:szCs w:val="24"/>
          <w:lang w:val="en-US" w:eastAsia="zh-CN"/>
        </w:rPr>
        <w:t xml:space="preserve"> TL, Khan KM, </w:t>
      </w:r>
      <w:proofErr w:type="spellStart"/>
      <w:r w:rsidRPr="00BD4EE8">
        <w:rPr>
          <w:rFonts w:ascii="Book Antiqua" w:eastAsia="SimSun" w:hAnsi="Book Antiqua" w:cs="Times New Roman"/>
          <w:color w:val="auto"/>
          <w:kern w:val="2"/>
          <w:sz w:val="24"/>
          <w:szCs w:val="24"/>
          <w:lang w:val="en-US" w:eastAsia="zh-CN"/>
        </w:rPr>
        <w:t>Lightdale</w:t>
      </w:r>
      <w:proofErr w:type="spellEnd"/>
      <w:r w:rsidRPr="00BD4EE8">
        <w:rPr>
          <w:rFonts w:ascii="Book Antiqua" w:eastAsia="SimSun" w:hAnsi="Book Antiqua" w:cs="Times New Roman"/>
          <w:color w:val="auto"/>
          <w:kern w:val="2"/>
          <w:sz w:val="24"/>
          <w:szCs w:val="24"/>
          <w:lang w:val="en-US" w:eastAsia="zh-CN"/>
        </w:rPr>
        <w:t xml:space="preserve"> J, Malpas PM, Maple JT, Pasha S, Saltzman J, Sharaf R, </w:t>
      </w:r>
      <w:proofErr w:type="spellStart"/>
      <w:r w:rsidRPr="00BD4EE8">
        <w:rPr>
          <w:rFonts w:ascii="Book Antiqua" w:eastAsia="SimSun" w:hAnsi="Book Antiqua" w:cs="Times New Roman"/>
          <w:color w:val="auto"/>
          <w:kern w:val="2"/>
          <w:sz w:val="24"/>
          <w:szCs w:val="24"/>
          <w:lang w:val="en-US" w:eastAsia="zh-CN"/>
        </w:rPr>
        <w:t>Shergill</w:t>
      </w:r>
      <w:proofErr w:type="spellEnd"/>
      <w:r w:rsidRPr="00BD4EE8">
        <w:rPr>
          <w:rFonts w:ascii="Book Antiqua" w:eastAsia="SimSun" w:hAnsi="Book Antiqua" w:cs="Times New Roman"/>
          <w:color w:val="auto"/>
          <w:kern w:val="2"/>
          <w:sz w:val="24"/>
          <w:szCs w:val="24"/>
          <w:lang w:val="en-US" w:eastAsia="zh-CN"/>
        </w:rPr>
        <w:t xml:space="preserve"> AK, </w:t>
      </w:r>
      <w:proofErr w:type="spellStart"/>
      <w:r w:rsidRPr="00BD4EE8">
        <w:rPr>
          <w:rFonts w:ascii="Book Antiqua" w:eastAsia="SimSun" w:hAnsi="Book Antiqua" w:cs="Times New Roman"/>
          <w:color w:val="auto"/>
          <w:kern w:val="2"/>
          <w:sz w:val="24"/>
          <w:szCs w:val="24"/>
          <w:lang w:val="en-US" w:eastAsia="zh-CN"/>
        </w:rPr>
        <w:t>Dominitz</w:t>
      </w:r>
      <w:proofErr w:type="spellEnd"/>
      <w:r w:rsidRPr="00BD4EE8">
        <w:rPr>
          <w:rFonts w:ascii="Book Antiqua" w:eastAsia="SimSun" w:hAnsi="Book Antiqua" w:cs="Times New Roman"/>
          <w:color w:val="auto"/>
          <w:kern w:val="2"/>
          <w:sz w:val="24"/>
          <w:szCs w:val="24"/>
          <w:lang w:val="en-US" w:eastAsia="zh-CN"/>
        </w:rPr>
        <w:t xml:space="preserve"> JA, Cash BD; Standards of Practice Committee of the </w:t>
      </w:r>
      <w:r w:rsidRPr="00BD4EE8">
        <w:rPr>
          <w:rFonts w:ascii="Book Antiqua" w:eastAsia="SimSun" w:hAnsi="Book Antiqua" w:cs="Times New Roman"/>
          <w:color w:val="auto"/>
          <w:kern w:val="2"/>
          <w:sz w:val="24"/>
          <w:szCs w:val="24"/>
          <w:lang w:val="en-US" w:eastAsia="zh-CN"/>
        </w:rPr>
        <w:lastRenderedPageBreak/>
        <w:t xml:space="preserve">American Society for Gastrointestinal Endoscopy. The role of endoscopy in the management of acute non-variceal upper GI bleeding. </w:t>
      </w:r>
      <w:proofErr w:type="spellStart"/>
      <w:r w:rsidRPr="00BD4EE8">
        <w:rPr>
          <w:rFonts w:ascii="Book Antiqua" w:eastAsia="SimSun" w:hAnsi="Book Antiqua" w:cs="Times New Roman"/>
          <w:i/>
          <w:color w:val="auto"/>
          <w:kern w:val="2"/>
          <w:sz w:val="24"/>
          <w:szCs w:val="24"/>
          <w:lang w:val="en-US" w:eastAsia="zh-CN"/>
        </w:rPr>
        <w:t>Gastrointest</w:t>
      </w:r>
      <w:proofErr w:type="spellEnd"/>
      <w:r w:rsidRPr="00BD4EE8">
        <w:rPr>
          <w:rFonts w:ascii="Book Antiqua" w:eastAsia="SimSun" w:hAnsi="Book Antiqua" w:cs="Times New Roman"/>
          <w:i/>
          <w:color w:val="auto"/>
          <w:kern w:val="2"/>
          <w:sz w:val="24"/>
          <w:szCs w:val="24"/>
          <w:lang w:val="en-US" w:eastAsia="zh-CN"/>
        </w:rPr>
        <w:t xml:space="preserve"> </w:t>
      </w:r>
      <w:proofErr w:type="spellStart"/>
      <w:r w:rsidRPr="00BD4EE8">
        <w:rPr>
          <w:rFonts w:ascii="Book Antiqua" w:eastAsia="SimSun" w:hAnsi="Book Antiqua" w:cs="Times New Roman"/>
          <w:i/>
          <w:color w:val="auto"/>
          <w:kern w:val="2"/>
          <w:sz w:val="24"/>
          <w:szCs w:val="24"/>
          <w:lang w:val="en-US" w:eastAsia="zh-CN"/>
        </w:rPr>
        <w:t>Endosc</w:t>
      </w:r>
      <w:proofErr w:type="spellEnd"/>
      <w:r w:rsidRPr="00BD4EE8">
        <w:rPr>
          <w:rFonts w:ascii="Book Antiqua" w:eastAsia="SimSun" w:hAnsi="Book Antiqua" w:cs="Times New Roman"/>
          <w:color w:val="auto"/>
          <w:kern w:val="2"/>
          <w:sz w:val="24"/>
          <w:szCs w:val="24"/>
          <w:lang w:val="en-US" w:eastAsia="zh-CN"/>
        </w:rPr>
        <w:t xml:space="preserve"> 2012; </w:t>
      </w:r>
      <w:r w:rsidRPr="00BD4EE8">
        <w:rPr>
          <w:rFonts w:ascii="Book Antiqua" w:eastAsia="SimSun" w:hAnsi="Book Antiqua" w:cs="Times New Roman"/>
          <w:b/>
          <w:color w:val="auto"/>
          <w:kern w:val="2"/>
          <w:sz w:val="24"/>
          <w:szCs w:val="24"/>
          <w:lang w:val="en-US" w:eastAsia="zh-CN"/>
        </w:rPr>
        <w:t>75</w:t>
      </w:r>
      <w:r w:rsidRPr="00BD4EE8">
        <w:rPr>
          <w:rFonts w:ascii="Book Antiqua" w:eastAsia="SimSun" w:hAnsi="Book Antiqua" w:cs="Times New Roman"/>
          <w:color w:val="auto"/>
          <w:kern w:val="2"/>
          <w:sz w:val="24"/>
          <w:szCs w:val="24"/>
          <w:lang w:val="en-US" w:eastAsia="zh-CN"/>
        </w:rPr>
        <w:t>: 1132-1138 [PMID: 22624808 DOI: 10.1016/j.gie.2012.02.033]</w:t>
      </w:r>
    </w:p>
    <w:p w14:paraId="0A01625A"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24 </w:t>
      </w:r>
      <w:proofErr w:type="spellStart"/>
      <w:r w:rsidRPr="00BD4EE8">
        <w:rPr>
          <w:rFonts w:ascii="Book Antiqua" w:eastAsia="SimSun" w:hAnsi="Book Antiqua" w:cs="Times New Roman"/>
          <w:b/>
          <w:color w:val="auto"/>
          <w:kern w:val="2"/>
          <w:sz w:val="24"/>
          <w:szCs w:val="24"/>
          <w:lang w:val="en-US" w:eastAsia="zh-CN"/>
        </w:rPr>
        <w:t>Targownik</w:t>
      </w:r>
      <w:proofErr w:type="spellEnd"/>
      <w:r w:rsidRPr="00BD4EE8">
        <w:rPr>
          <w:rFonts w:ascii="Book Antiqua" w:eastAsia="SimSun" w:hAnsi="Book Antiqua" w:cs="Times New Roman"/>
          <w:b/>
          <w:color w:val="auto"/>
          <w:kern w:val="2"/>
          <w:sz w:val="24"/>
          <w:szCs w:val="24"/>
          <w:lang w:val="en-US" w:eastAsia="zh-CN"/>
        </w:rPr>
        <w:t xml:space="preserve"> LE</w:t>
      </w:r>
      <w:r w:rsidRPr="00BD4EE8">
        <w:rPr>
          <w:rFonts w:ascii="Book Antiqua" w:eastAsia="SimSun" w:hAnsi="Book Antiqua" w:cs="Times New Roman"/>
          <w:color w:val="auto"/>
          <w:kern w:val="2"/>
          <w:sz w:val="24"/>
          <w:szCs w:val="24"/>
          <w:lang w:val="en-US" w:eastAsia="zh-CN"/>
        </w:rPr>
        <w:t xml:space="preserve">, </w:t>
      </w:r>
      <w:proofErr w:type="spellStart"/>
      <w:r w:rsidRPr="00BD4EE8">
        <w:rPr>
          <w:rFonts w:ascii="Book Antiqua" w:eastAsia="SimSun" w:hAnsi="Book Antiqua" w:cs="Times New Roman"/>
          <w:color w:val="auto"/>
          <w:kern w:val="2"/>
          <w:sz w:val="24"/>
          <w:szCs w:val="24"/>
          <w:lang w:val="en-US" w:eastAsia="zh-CN"/>
        </w:rPr>
        <w:t>Nabalamba</w:t>
      </w:r>
      <w:proofErr w:type="spellEnd"/>
      <w:r w:rsidRPr="00BD4EE8">
        <w:rPr>
          <w:rFonts w:ascii="Book Antiqua" w:eastAsia="SimSun" w:hAnsi="Book Antiqua" w:cs="Times New Roman"/>
          <w:color w:val="auto"/>
          <w:kern w:val="2"/>
          <w:sz w:val="24"/>
          <w:szCs w:val="24"/>
          <w:lang w:val="en-US" w:eastAsia="zh-CN"/>
        </w:rPr>
        <w:t xml:space="preserve"> A. Trends in management and outcomes of acute nonvariceal upper gastrointestinal bleeding: 1993-2003. </w:t>
      </w:r>
      <w:proofErr w:type="spellStart"/>
      <w:r w:rsidRPr="00BD4EE8">
        <w:rPr>
          <w:rFonts w:ascii="Book Antiqua" w:eastAsia="SimSun" w:hAnsi="Book Antiqua" w:cs="Times New Roman"/>
          <w:i/>
          <w:color w:val="auto"/>
          <w:kern w:val="2"/>
          <w:sz w:val="24"/>
          <w:szCs w:val="24"/>
          <w:lang w:val="en-US" w:eastAsia="zh-CN"/>
        </w:rPr>
        <w:t>Clin</w:t>
      </w:r>
      <w:proofErr w:type="spellEnd"/>
      <w:r w:rsidRPr="00BD4EE8">
        <w:rPr>
          <w:rFonts w:ascii="Book Antiqua" w:eastAsia="SimSun" w:hAnsi="Book Antiqua" w:cs="Times New Roman"/>
          <w:i/>
          <w:color w:val="auto"/>
          <w:kern w:val="2"/>
          <w:sz w:val="24"/>
          <w:szCs w:val="24"/>
          <w:lang w:val="en-US" w:eastAsia="zh-CN"/>
        </w:rPr>
        <w:t xml:space="preserve"> Gastroenterol </w:t>
      </w:r>
      <w:proofErr w:type="spellStart"/>
      <w:r w:rsidRPr="00BD4EE8">
        <w:rPr>
          <w:rFonts w:ascii="Book Antiqua" w:eastAsia="SimSun" w:hAnsi="Book Antiqua" w:cs="Times New Roman"/>
          <w:i/>
          <w:color w:val="auto"/>
          <w:kern w:val="2"/>
          <w:sz w:val="24"/>
          <w:szCs w:val="24"/>
          <w:lang w:val="en-US" w:eastAsia="zh-CN"/>
        </w:rPr>
        <w:t>Hepatol</w:t>
      </w:r>
      <w:proofErr w:type="spellEnd"/>
      <w:r w:rsidRPr="00BD4EE8">
        <w:rPr>
          <w:rFonts w:ascii="Book Antiqua" w:eastAsia="SimSun" w:hAnsi="Book Antiqua" w:cs="Times New Roman"/>
          <w:color w:val="auto"/>
          <w:kern w:val="2"/>
          <w:sz w:val="24"/>
          <w:szCs w:val="24"/>
          <w:lang w:val="en-US" w:eastAsia="zh-CN"/>
        </w:rPr>
        <w:t xml:space="preserve"> 2006; </w:t>
      </w:r>
      <w:r w:rsidRPr="00BD4EE8">
        <w:rPr>
          <w:rFonts w:ascii="Book Antiqua" w:eastAsia="SimSun" w:hAnsi="Book Antiqua" w:cs="Times New Roman"/>
          <w:b/>
          <w:color w:val="auto"/>
          <w:kern w:val="2"/>
          <w:sz w:val="24"/>
          <w:szCs w:val="24"/>
          <w:lang w:val="en-US" w:eastAsia="zh-CN"/>
        </w:rPr>
        <w:t>4</w:t>
      </w:r>
      <w:r w:rsidRPr="00BD4EE8">
        <w:rPr>
          <w:rFonts w:ascii="Book Antiqua" w:eastAsia="SimSun" w:hAnsi="Book Antiqua" w:cs="Times New Roman"/>
          <w:color w:val="auto"/>
          <w:kern w:val="2"/>
          <w:sz w:val="24"/>
          <w:szCs w:val="24"/>
          <w:lang w:val="en-US" w:eastAsia="zh-CN"/>
        </w:rPr>
        <w:t>: 1459-1466 [PMID: 17101296 DOI: 10.1016/j.cgh.2006.08.018]</w:t>
      </w:r>
    </w:p>
    <w:p w14:paraId="7226C779"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25 </w:t>
      </w:r>
      <w:r w:rsidRPr="00BD4EE8">
        <w:rPr>
          <w:rFonts w:ascii="Book Antiqua" w:eastAsia="SimSun" w:hAnsi="Book Antiqua" w:cs="Times New Roman"/>
          <w:b/>
          <w:color w:val="auto"/>
          <w:kern w:val="2"/>
          <w:sz w:val="24"/>
          <w:szCs w:val="24"/>
          <w:lang w:val="en-US" w:eastAsia="zh-CN"/>
        </w:rPr>
        <w:t>Garg SK</w:t>
      </w:r>
      <w:r w:rsidRPr="00BD4EE8">
        <w:rPr>
          <w:rFonts w:ascii="Book Antiqua" w:eastAsia="SimSun" w:hAnsi="Book Antiqua" w:cs="Times New Roman"/>
          <w:color w:val="auto"/>
          <w:kern w:val="2"/>
          <w:sz w:val="24"/>
          <w:szCs w:val="24"/>
          <w:lang w:val="en-US" w:eastAsia="zh-CN"/>
        </w:rPr>
        <w:t xml:space="preserve">, </w:t>
      </w:r>
      <w:proofErr w:type="spellStart"/>
      <w:r w:rsidRPr="00BD4EE8">
        <w:rPr>
          <w:rFonts w:ascii="Book Antiqua" w:eastAsia="SimSun" w:hAnsi="Book Antiqua" w:cs="Times New Roman"/>
          <w:color w:val="auto"/>
          <w:kern w:val="2"/>
          <w:sz w:val="24"/>
          <w:szCs w:val="24"/>
          <w:lang w:val="en-US" w:eastAsia="zh-CN"/>
        </w:rPr>
        <w:t>Anugwom</w:t>
      </w:r>
      <w:proofErr w:type="spellEnd"/>
      <w:r w:rsidRPr="00BD4EE8">
        <w:rPr>
          <w:rFonts w:ascii="Book Antiqua" w:eastAsia="SimSun" w:hAnsi="Book Antiqua" w:cs="Times New Roman"/>
          <w:color w:val="auto"/>
          <w:kern w:val="2"/>
          <w:sz w:val="24"/>
          <w:szCs w:val="24"/>
          <w:lang w:val="en-US" w:eastAsia="zh-CN"/>
        </w:rPr>
        <w:t xml:space="preserve"> C, Campbell J, Wadhwa V, Gupta N, Lopez R, </w:t>
      </w:r>
      <w:proofErr w:type="spellStart"/>
      <w:r w:rsidRPr="00BD4EE8">
        <w:rPr>
          <w:rFonts w:ascii="Book Antiqua" w:eastAsia="SimSun" w:hAnsi="Book Antiqua" w:cs="Times New Roman"/>
          <w:color w:val="auto"/>
          <w:kern w:val="2"/>
          <w:sz w:val="24"/>
          <w:szCs w:val="24"/>
          <w:lang w:val="en-US" w:eastAsia="zh-CN"/>
        </w:rPr>
        <w:t>Shergill</w:t>
      </w:r>
      <w:proofErr w:type="spellEnd"/>
      <w:r w:rsidRPr="00BD4EE8">
        <w:rPr>
          <w:rFonts w:ascii="Book Antiqua" w:eastAsia="SimSun" w:hAnsi="Book Antiqua" w:cs="Times New Roman"/>
          <w:color w:val="auto"/>
          <w:kern w:val="2"/>
          <w:sz w:val="24"/>
          <w:szCs w:val="24"/>
          <w:lang w:val="en-US" w:eastAsia="zh-CN"/>
        </w:rPr>
        <w:t xml:space="preserve"> S, </w:t>
      </w:r>
      <w:proofErr w:type="spellStart"/>
      <w:r w:rsidRPr="00BD4EE8">
        <w:rPr>
          <w:rFonts w:ascii="Book Antiqua" w:eastAsia="SimSun" w:hAnsi="Book Antiqua" w:cs="Times New Roman"/>
          <w:color w:val="auto"/>
          <w:kern w:val="2"/>
          <w:sz w:val="24"/>
          <w:szCs w:val="24"/>
          <w:lang w:val="en-US" w:eastAsia="zh-CN"/>
        </w:rPr>
        <w:t>Sanaka</w:t>
      </w:r>
      <w:proofErr w:type="spellEnd"/>
      <w:r w:rsidRPr="00BD4EE8">
        <w:rPr>
          <w:rFonts w:ascii="Book Antiqua" w:eastAsia="SimSun" w:hAnsi="Book Antiqua" w:cs="Times New Roman"/>
          <w:color w:val="auto"/>
          <w:kern w:val="2"/>
          <w:sz w:val="24"/>
          <w:szCs w:val="24"/>
          <w:lang w:val="en-US" w:eastAsia="zh-CN"/>
        </w:rPr>
        <w:t xml:space="preserve"> MR. Early esophagogastroduodenoscopy is associated with better Outcomes in upper gastrointestinal bleeding: a nationwide study. </w:t>
      </w:r>
      <w:proofErr w:type="spellStart"/>
      <w:r w:rsidRPr="00BD4EE8">
        <w:rPr>
          <w:rFonts w:ascii="Book Antiqua" w:eastAsia="SimSun" w:hAnsi="Book Antiqua" w:cs="Times New Roman"/>
          <w:i/>
          <w:color w:val="auto"/>
          <w:kern w:val="2"/>
          <w:sz w:val="24"/>
          <w:szCs w:val="24"/>
          <w:lang w:val="en-US" w:eastAsia="zh-CN"/>
        </w:rPr>
        <w:t>Endosc</w:t>
      </w:r>
      <w:proofErr w:type="spellEnd"/>
      <w:r w:rsidRPr="00BD4EE8">
        <w:rPr>
          <w:rFonts w:ascii="Book Antiqua" w:eastAsia="SimSun" w:hAnsi="Book Antiqua" w:cs="Times New Roman"/>
          <w:i/>
          <w:color w:val="auto"/>
          <w:kern w:val="2"/>
          <w:sz w:val="24"/>
          <w:szCs w:val="24"/>
          <w:lang w:val="en-US" w:eastAsia="zh-CN"/>
        </w:rPr>
        <w:t xml:space="preserve"> </w:t>
      </w:r>
      <w:proofErr w:type="spellStart"/>
      <w:r w:rsidRPr="00BD4EE8">
        <w:rPr>
          <w:rFonts w:ascii="Book Antiqua" w:eastAsia="SimSun" w:hAnsi="Book Antiqua" w:cs="Times New Roman"/>
          <w:i/>
          <w:color w:val="auto"/>
          <w:kern w:val="2"/>
          <w:sz w:val="24"/>
          <w:szCs w:val="24"/>
          <w:lang w:val="en-US" w:eastAsia="zh-CN"/>
        </w:rPr>
        <w:t>Int</w:t>
      </w:r>
      <w:proofErr w:type="spellEnd"/>
      <w:r w:rsidRPr="00BD4EE8">
        <w:rPr>
          <w:rFonts w:ascii="Book Antiqua" w:eastAsia="SimSun" w:hAnsi="Book Antiqua" w:cs="Times New Roman"/>
          <w:i/>
          <w:color w:val="auto"/>
          <w:kern w:val="2"/>
          <w:sz w:val="24"/>
          <w:szCs w:val="24"/>
          <w:lang w:val="en-US" w:eastAsia="zh-CN"/>
        </w:rPr>
        <w:t xml:space="preserve"> Open</w:t>
      </w:r>
      <w:r w:rsidRPr="00BD4EE8">
        <w:rPr>
          <w:rFonts w:ascii="Book Antiqua" w:eastAsia="SimSun" w:hAnsi="Book Antiqua" w:cs="Times New Roman"/>
          <w:color w:val="auto"/>
          <w:kern w:val="2"/>
          <w:sz w:val="24"/>
          <w:szCs w:val="24"/>
          <w:lang w:val="en-US" w:eastAsia="zh-CN"/>
        </w:rPr>
        <w:t xml:space="preserve"> 2017; </w:t>
      </w:r>
      <w:r w:rsidRPr="00BD4EE8">
        <w:rPr>
          <w:rFonts w:ascii="Book Antiqua" w:eastAsia="SimSun" w:hAnsi="Book Antiqua" w:cs="Times New Roman"/>
          <w:b/>
          <w:color w:val="auto"/>
          <w:kern w:val="2"/>
          <w:sz w:val="24"/>
          <w:szCs w:val="24"/>
          <w:lang w:val="en-US" w:eastAsia="zh-CN"/>
        </w:rPr>
        <w:t>5</w:t>
      </w:r>
      <w:r w:rsidRPr="00BD4EE8">
        <w:rPr>
          <w:rFonts w:ascii="Book Antiqua" w:eastAsia="SimSun" w:hAnsi="Book Antiqua" w:cs="Times New Roman"/>
          <w:color w:val="auto"/>
          <w:kern w:val="2"/>
          <w:sz w:val="24"/>
          <w:szCs w:val="24"/>
          <w:lang w:val="en-US" w:eastAsia="zh-CN"/>
        </w:rPr>
        <w:t>: E376-E386 [PMID: 28512647 DOI: 10.1055/s-0042-121665]</w:t>
      </w:r>
    </w:p>
    <w:p w14:paraId="54BF5050"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26 </w:t>
      </w:r>
      <w:r w:rsidRPr="00BD4EE8">
        <w:rPr>
          <w:rFonts w:ascii="Book Antiqua" w:eastAsia="SimSun" w:hAnsi="Book Antiqua" w:cs="Times New Roman"/>
          <w:b/>
          <w:color w:val="auto"/>
          <w:kern w:val="2"/>
          <w:sz w:val="24"/>
          <w:szCs w:val="24"/>
          <w:lang w:val="en-US" w:eastAsia="zh-CN"/>
        </w:rPr>
        <w:t>Murphy M</w:t>
      </w:r>
      <w:r w:rsidRPr="00BD4EE8">
        <w:rPr>
          <w:rFonts w:ascii="Book Antiqua" w:eastAsia="SimSun" w:hAnsi="Book Antiqua" w:cs="Times New Roman"/>
          <w:color w:val="auto"/>
          <w:kern w:val="2"/>
          <w:sz w:val="24"/>
          <w:szCs w:val="24"/>
          <w:lang w:val="en-US" w:eastAsia="zh-CN"/>
        </w:rPr>
        <w:t xml:space="preserve">, </w:t>
      </w:r>
      <w:proofErr w:type="spellStart"/>
      <w:r w:rsidRPr="00BD4EE8">
        <w:rPr>
          <w:rFonts w:ascii="Book Antiqua" w:eastAsia="SimSun" w:hAnsi="Book Antiqua" w:cs="Times New Roman"/>
          <w:color w:val="auto"/>
          <w:kern w:val="2"/>
          <w:sz w:val="24"/>
          <w:szCs w:val="24"/>
          <w:lang w:val="en-US" w:eastAsia="zh-CN"/>
        </w:rPr>
        <w:t>Alavi</w:t>
      </w:r>
      <w:proofErr w:type="spellEnd"/>
      <w:r w:rsidRPr="00BD4EE8">
        <w:rPr>
          <w:rFonts w:ascii="Book Antiqua" w:eastAsia="SimSun" w:hAnsi="Book Antiqua" w:cs="Times New Roman"/>
          <w:color w:val="auto"/>
          <w:kern w:val="2"/>
          <w:sz w:val="24"/>
          <w:szCs w:val="24"/>
          <w:lang w:val="en-US" w:eastAsia="zh-CN"/>
        </w:rPr>
        <w:t xml:space="preserve"> K, </w:t>
      </w:r>
      <w:proofErr w:type="spellStart"/>
      <w:r w:rsidRPr="00BD4EE8">
        <w:rPr>
          <w:rFonts w:ascii="Book Antiqua" w:eastAsia="SimSun" w:hAnsi="Book Antiqua" w:cs="Times New Roman"/>
          <w:color w:val="auto"/>
          <w:kern w:val="2"/>
          <w:sz w:val="24"/>
          <w:szCs w:val="24"/>
          <w:lang w:val="en-US" w:eastAsia="zh-CN"/>
        </w:rPr>
        <w:t>Maykel</w:t>
      </w:r>
      <w:proofErr w:type="spellEnd"/>
      <w:r w:rsidRPr="00BD4EE8">
        <w:rPr>
          <w:rFonts w:ascii="Book Antiqua" w:eastAsia="SimSun" w:hAnsi="Book Antiqua" w:cs="Times New Roman"/>
          <w:color w:val="auto"/>
          <w:kern w:val="2"/>
          <w:sz w:val="24"/>
          <w:szCs w:val="24"/>
          <w:lang w:val="en-US" w:eastAsia="zh-CN"/>
        </w:rPr>
        <w:t xml:space="preserve"> J. Working with existing databases. </w:t>
      </w:r>
      <w:proofErr w:type="spellStart"/>
      <w:r w:rsidRPr="00BD4EE8">
        <w:rPr>
          <w:rFonts w:ascii="Book Antiqua" w:eastAsia="SimSun" w:hAnsi="Book Antiqua" w:cs="Times New Roman"/>
          <w:i/>
          <w:color w:val="auto"/>
          <w:kern w:val="2"/>
          <w:sz w:val="24"/>
          <w:szCs w:val="24"/>
          <w:lang w:val="en-US" w:eastAsia="zh-CN"/>
        </w:rPr>
        <w:t>Clin</w:t>
      </w:r>
      <w:proofErr w:type="spellEnd"/>
      <w:r w:rsidRPr="00BD4EE8">
        <w:rPr>
          <w:rFonts w:ascii="Book Antiqua" w:eastAsia="SimSun" w:hAnsi="Book Antiqua" w:cs="Times New Roman"/>
          <w:i/>
          <w:color w:val="auto"/>
          <w:kern w:val="2"/>
          <w:sz w:val="24"/>
          <w:szCs w:val="24"/>
          <w:lang w:val="en-US" w:eastAsia="zh-CN"/>
        </w:rPr>
        <w:t xml:space="preserve"> Colon Rectal </w:t>
      </w:r>
      <w:proofErr w:type="spellStart"/>
      <w:r w:rsidRPr="00BD4EE8">
        <w:rPr>
          <w:rFonts w:ascii="Book Antiqua" w:eastAsia="SimSun" w:hAnsi="Book Antiqua" w:cs="Times New Roman"/>
          <w:i/>
          <w:color w:val="auto"/>
          <w:kern w:val="2"/>
          <w:sz w:val="24"/>
          <w:szCs w:val="24"/>
          <w:lang w:val="en-US" w:eastAsia="zh-CN"/>
        </w:rPr>
        <w:t>Surg</w:t>
      </w:r>
      <w:proofErr w:type="spellEnd"/>
      <w:r w:rsidRPr="00BD4EE8">
        <w:rPr>
          <w:rFonts w:ascii="Book Antiqua" w:eastAsia="SimSun" w:hAnsi="Book Antiqua" w:cs="Times New Roman"/>
          <w:color w:val="auto"/>
          <w:kern w:val="2"/>
          <w:sz w:val="24"/>
          <w:szCs w:val="24"/>
          <w:lang w:val="en-US" w:eastAsia="zh-CN"/>
        </w:rPr>
        <w:t xml:space="preserve"> 2013; </w:t>
      </w:r>
      <w:r w:rsidRPr="00BD4EE8">
        <w:rPr>
          <w:rFonts w:ascii="Book Antiqua" w:eastAsia="SimSun" w:hAnsi="Book Antiqua" w:cs="Times New Roman"/>
          <w:b/>
          <w:color w:val="auto"/>
          <w:kern w:val="2"/>
          <w:sz w:val="24"/>
          <w:szCs w:val="24"/>
          <w:lang w:val="en-US" w:eastAsia="zh-CN"/>
        </w:rPr>
        <w:t>26</w:t>
      </w:r>
      <w:r w:rsidRPr="00BD4EE8">
        <w:rPr>
          <w:rFonts w:ascii="Book Antiqua" w:eastAsia="SimSun" w:hAnsi="Book Antiqua" w:cs="Times New Roman"/>
          <w:color w:val="auto"/>
          <w:kern w:val="2"/>
          <w:sz w:val="24"/>
          <w:szCs w:val="24"/>
          <w:lang w:val="en-US" w:eastAsia="zh-CN"/>
        </w:rPr>
        <w:t>: 5-11 [PMID: 24436641 DOI: 10.1055/s-0033-1333627]</w:t>
      </w:r>
    </w:p>
    <w:p w14:paraId="4A78E182"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27 </w:t>
      </w:r>
      <w:r w:rsidRPr="00BD4EE8">
        <w:rPr>
          <w:rFonts w:ascii="Book Antiqua" w:eastAsia="SimSun" w:hAnsi="Book Antiqua" w:cs="Times New Roman"/>
          <w:b/>
          <w:color w:val="auto"/>
          <w:kern w:val="2"/>
          <w:sz w:val="24"/>
          <w:szCs w:val="24"/>
          <w:lang w:val="en-US" w:eastAsia="zh-CN"/>
        </w:rPr>
        <w:t>D'Amico G</w:t>
      </w:r>
      <w:r w:rsidRPr="00BD4EE8">
        <w:rPr>
          <w:rFonts w:ascii="Book Antiqua" w:eastAsia="SimSun" w:hAnsi="Book Antiqua" w:cs="Times New Roman"/>
          <w:color w:val="auto"/>
          <w:kern w:val="2"/>
          <w:sz w:val="24"/>
          <w:szCs w:val="24"/>
          <w:lang w:val="en-US" w:eastAsia="zh-CN"/>
        </w:rPr>
        <w:t xml:space="preserve">, Pagliaro L, Bosch J. Pharmacological treatment of portal hypertension: an evidence-based approach. </w:t>
      </w:r>
      <w:proofErr w:type="spellStart"/>
      <w:r w:rsidRPr="00BD4EE8">
        <w:rPr>
          <w:rFonts w:ascii="Book Antiqua" w:eastAsia="SimSun" w:hAnsi="Book Antiqua" w:cs="Times New Roman"/>
          <w:i/>
          <w:color w:val="auto"/>
          <w:kern w:val="2"/>
          <w:sz w:val="24"/>
          <w:szCs w:val="24"/>
          <w:lang w:val="en-US" w:eastAsia="zh-CN"/>
        </w:rPr>
        <w:t>Semin</w:t>
      </w:r>
      <w:proofErr w:type="spellEnd"/>
      <w:r w:rsidRPr="00BD4EE8">
        <w:rPr>
          <w:rFonts w:ascii="Book Antiqua" w:eastAsia="SimSun" w:hAnsi="Book Antiqua" w:cs="Times New Roman"/>
          <w:i/>
          <w:color w:val="auto"/>
          <w:kern w:val="2"/>
          <w:sz w:val="24"/>
          <w:szCs w:val="24"/>
          <w:lang w:val="en-US" w:eastAsia="zh-CN"/>
        </w:rPr>
        <w:t xml:space="preserve"> Liver Dis</w:t>
      </w:r>
      <w:r w:rsidRPr="00BD4EE8">
        <w:rPr>
          <w:rFonts w:ascii="Book Antiqua" w:eastAsia="SimSun" w:hAnsi="Book Antiqua" w:cs="Times New Roman"/>
          <w:color w:val="auto"/>
          <w:kern w:val="2"/>
          <w:sz w:val="24"/>
          <w:szCs w:val="24"/>
          <w:lang w:val="en-US" w:eastAsia="zh-CN"/>
        </w:rPr>
        <w:t xml:space="preserve"> 1999; </w:t>
      </w:r>
      <w:r w:rsidRPr="00BD4EE8">
        <w:rPr>
          <w:rFonts w:ascii="Book Antiqua" w:eastAsia="SimSun" w:hAnsi="Book Antiqua" w:cs="Times New Roman"/>
          <w:b/>
          <w:color w:val="auto"/>
          <w:kern w:val="2"/>
          <w:sz w:val="24"/>
          <w:szCs w:val="24"/>
          <w:lang w:val="en-US" w:eastAsia="zh-CN"/>
        </w:rPr>
        <w:t>19</w:t>
      </w:r>
      <w:r w:rsidRPr="00BD4EE8">
        <w:rPr>
          <w:rFonts w:ascii="Book Antiqua" w:eastAsia="SimSun" w:hAnsi="Book Antiqua" w:cs="Times New Roman"/>
          <w:color w:val="auto"/>
          <w:kern w:val="2"/>
          <w:sz w:val="24"/>
          <w:szCs w:val="24"/>
          <w:lang w:val="en-US" w:eastAsia="zh-CN"/>
        </w:rPr>
        <w:t>: 475-505 [PMID: 10643630 DOI: 10.1055/s-2007-1007133]</w:t>
      </w:r>
    </w:p>
    <w:p w14:paraId="1A7006E7" w14:textId="77777777" w:rsidR="00BD4EE8" w:rsidRPr="00BD4EE8" w:rsidRDefault="00BD4EE8" w:rsidP="00BD4EE8">
      <w:pPr>
        <w:widowControl w:val="0"/>
        <w:snapToGrid w:val="0"/>
        <w:spacing w:line="360" w:lineRule="auto"/>
        <w:jc w:val="both"/>
        <w:rPr>
          <w:rFonts w:ascii="Book Antiqua" w:eastAsia="SimSun" w:hAnsi="Book Antiqua" w:cs="Times New Roman"/>
          <w:color w:val="auto"/>
          <w:kern w:val="2"/>
          <w:sz w:val="24"/>
          <w:szCs w:val="24"/>
          <w:lang w:val="en-US" w:eastAsia="zh-CN"/>
        </w:rPr>
      </w:pPr>
      <w:r w:rsidRPr="00BD4EE8">
        <w:rPr>
          <w:rFonts w:ascii="Book Antiqua" w:eastAsia="SimSun" w:hAnsi="Book Antiqua" w:cs="Times New Roman"/>
          <w:color w:val="auto"/>
          <w:kern w:val="2"/>
          <w:sz w:val="24"/>
          <w:szCs w:val="24"/>
          <w:lang w:val="en-US" w:eastAsia="zh-CN"/>
        </w:rPr>
        <w:t xml:space="preserve">28 </w:t>
      </w:r>
      <w:r w:rsidRPr="00BD4EE8">
        <w:rPr>
          <w:rFonts w:ascii="Book Antiqua" w:eastAsia="SimSun" w:hAnsi="Book Antiqua" w:cs="Times New Roman"/>
          <w:b/>
          <w:color w:val="auto"/>
          <w:kern w:val="2"/>
          <w:sz w:val="24"/>
          <w:szCs w:val="24"/>
          <w:lang w:val="en-US" w:eastAsia="zh-CN"/>
        </w:rPr>
        <w:t>Bosch J</w:t>
      </w:r>
      <w:r w:rsidRPr="00BD4EE8">
        <w:rPr>
          <w:rFonts w:ascii="Book Antiqua" w:eastAsia="SimSun" w:hAnsi="Book Antiqua" w:cs="Times New Roman"/>
          <w:color w:val="auto"/>
          <w:kern w:val="2"/>
          <w:sz w:val="24"/>
          <w:szCs w:val="24"/>
          <w:lang w:val="en-US" w:eastAsia="zh-CN"/>
        </w:rPr>
        <w:t>, García-</w:t>
      </w:r>
      <w:proofErr w:type="spellStart"/>
      <w:r w:rsidRPr="00BD4EE8">
        <w:rPr>
          <w:rFonts w:ascii="Book Antiqua" w:eastAsia="SimSun" w:hAnsi="Book Antiqua" w:cs="Times New Roman"/>
          <w:color w:val="auto"/>
          <w:kern w:val="2"/>
          <w:sz w:val="24"/>
          <w:szCs w:val="24"/>
          <w:lang w:val="en-US" w:eastAsia="zh-CN"/>
        </w:rPr>
        <w:t>Pagán</w:t>
      </w:r>
      <w:proofErr w:type="spellEnd"/>
      <w:r w:rsidRPr="00BD4EE8">
        <w:rPr>
          <w:rFonts w:ascii="Book Antiqua" w:eastAsia="SimSun" w:hAnsi="Book Antiqua" w:cs="Times New Roman"/>
          <w:color w:val="auto"/>
          <w:kern w:val="2"/>
          <w:sz w:val="24"/>
          <w:szCs w:val="24"/>
          <w:lang w:val="en-US" w:eastAsia="zh-CN"/>
        </w:rPr>
        <w:t xml:space="preserve"> JC. Prevention of variceal </w:t>
      </w:r>
      <w:proofErr w:type="spellStart"/>
      <w:r w:rsidRPr="00BD4EE8">
        <w:rPr>
          <w:rFonts w:ascii="Book Antiqua" w:eastAsia="SimSun" w:hAnsi="Book Antiqua" w:cs="Times New Roman"/>
          <w:color w:val="auto"/>
          <w:kern w:val="2"/>
          <w:sz w:val="24"/>
          <w:szCs w:val="24"/>
          <w:lang w:val="en-US" w:eastAsia="zh-CN"/>
        </w:rPr>
        <w:t>rebleeding</w:t>
      </w:r>
      <w:proofErr w:type="spellEnd"/>
      <w:r w:rsidRPr="00BD4EE8">
        <w:rPr>
          <w:rFonts w:ascii="Book Antiqua" w:eastAsia="SimSun" w:hAnsi="Book Antiqua" w:cs="Times New Roman"/>
          <w:color w:val="auto"/>
          <w:kern w:val="2"/>
          <w:sz w:val="24"/>
          <w:szCs w:val="24"/>
          <w:lang w:val="en-US" w:eastAsia="zh-CN"/>
        </w:rPr>
        <w:t xml:space="preserve">. </w:t>
      </w:r>
      <w:r w:rsidRPr="00BD4EE8">
        <w:rPr>
          <w:rFonts w:ascii="Book Antiqua" w:eastAsia="SimSun" w:hAnsi="Book Antiqua" w:cs="Times New Roman"/>
          <w:i/>
          <w:color w:val="auto"/>
          <w:kern w:val="2"/>
          <w:sz w:val="24"/>
          <w:szCs w:val="24"/>
          <w:lang w:val="en-US" w:eastAsia="zh-CN"/>
        </w:rPr>
        <w:t>Lancet</w:t>
      </w:r>
      <w:r w:rsidRPr="00BD4EE8">
        <w:rPr>
          <w:rFonts w:ascii="Book Antiqua" w:eastAsia="SimSun" w:hAnsi="Book Antiqua" w:cs="Times New Roman"/>
          <w:color w:val="auto"/>
          <w:kern w:val="2"/>
          <w:sz w:val="24"/>
          <w:szCs w:val="24"/>
          <w:lang w:val="en-US" w:eastAsia="zh-CN"/>
        </w:rPr>
        <w:t xml:space="preserve"> 2003; </w:t>
      </w:r>
      <w:r w:rsidRPr="00BD4EE8">
        <w:rPr>
          <w:rFonts w:ascii="Book Antiqua" w:eastAsia="SimSun" w:hAnsi="Book Antiqua" w:cs="Times New Roman"/>
          <w:b/>
          <w:color w:val="auto"/>
          <w:kern w:val="2"/>
          <w:sz w:val="24"/>
          <w:szCs w:val="24"/>
          <w:lang w:val="en-US" w:eastAsia="zh-CN"/>
        </w:rPr>
        <w:t>361</w:t>
      </w:r>
      <w:r w:rsidRPr="00BD4EE8">
        <w:rPr>
          <w:rFonts w:ascii="Book Antiqua" w:eastAsia="SimSun" w:hAnsi="Book Antiqua" w:cs="Times New Roman"/>
          <w:color w:val="auto"/>
          <w:kern w:val="2"/>
          <w:sz w:val="24"/>
          <w:szCs w:val="24"/>
          <w:lang w:val="en-US" w:eastAsia="zh-CN"/>
        </w:rPr>
        <w:t>: 952-954 [PMID: 12648985 DOI: 10.1016/S0140-6736(03)12778-X]</w:t>
      </w:r>
    </w:p>
    <w:p w14:paraId="56C59B1E" w14:textId="77777777" w:rsidR="0011433B" w:rsidRPr="00932A95" w:rsidRDefault="0011433B" w:rsidP="00374FC0">
      <w:pPr>
        <w:spacing w:line="360" w:lineRule="auto"/>
        <w:jc w:val="both"/>
        <w:rPr>
          <w:rFonts w:ascii="Book Antiqua" w:hAnsi="Book Antiqua" w:cs="Book Antiqua"/>
          <w:color w:val="auto"/>
          <w:sz w:val="24"/>
          <w:szCs w:val="24"/>
        </w:rPr>
      </w:pPr>
    </w:p>
    <w:p w14:paraId="75DCA782" w14:textId="77777777" w:rsidR="00FD6B59" w:rsidRPr="00932A95" w:rsidRDefault="00FD6B59">
      <w:pPr>
        <w:spacing w:line="240" w:lineRule="auto"/>
        <w:rPr>
          <w:rFonts w:ascii="Book Antiqua" w:hAnsi="Book Antiqua" w:cs="Times New Roman"/>
          <w:b/>
          <w:color w:val="auto"/>
          <w:sz w:val="24"/>
          <w:szCs w:val="24"/>
        </w:rPr>
      </w:pPr>
      <w:r w:rsidRPr="00932A95">
        <w:rPr>
          <w:rFonts w:ascii="Book Antiqua" w:hAnsi="Book Antiqua" w:cs="Times New Roman"/>
          <w:b/>
          <w:color w:val="auto"/>
          <w:sz w:val="24"/>
          <w:szCs w:val="24"/>
        </w:rPr>
        <w:br w:type="page"/>
      </w:r>
    </w:p>
    <w:p w14:paraId="2D132FB9" w14:textId="77777777" w:rsidR="0011433B" w:rsidRPr="00932A95" w:rsidRDefault="002F52BB" w:rsidP="00374FC0">
      <w:pPr>
        <w:snapToGrid w:val="0"/>
        <w:spacing w:line="360" w:lineRule="auto"/>
        <w:jc w:val="both"/>
        <w:rPr>
          <w:rFonts w:ascii="Book Antiqua" w:hAnsi="Book Antiqua" w:cs="Times New Roman"/>
          <w:b/>
          <w:color w:val="auto"/>
          <w:sz w:val="24"/>
          <w:szCs w:val="24"/>
        </w:rPr>
      </w:pPr>
      <w:r w:rsidRPr="00932A95">
        <w:rPr>
          <w:rFonts w:ascii="Book Antiqua" w:hAnsi="Book Antiqua" w:cs="Times New Roman"/>
          <w:b/>
          <w:color w:val="auto"/>
          <w:sz w:val="24"/>
          <w:szCs w:val="24"/>
        </w:rPr>
        <w:lastRenderedPageBreak/>
        <w:t>Footnotes</w:t>
      </w:r>
    </w:p>
    <w:p w14:paraId="541A8BAC" w14:textId="77777777" w:rsidR="0011433B" w:rsidRPr="00932A95" w:rsidRDefault="002F52BB" w:rsidP="00374FC0">
      <w:pPr>
        <w:snapToGrid w:val="0"/>
        <w:spacing w:line="360" w:lineRule="auto"/>
        <w:jc w:val="both"/>
        <w:rPr>
          <w:rFonts w:ascii="Book Antiqua" w:hAnsi="Book Antiqua" w:cs="Times New Roman"/>
          <w:color w:val="auto"/>
          <w:sz w:val="24"/>
          <w:szCs w:val="24"/>
          <w:lang w:val="en-US"/>
        </w:rPr>
      </w:pPr>
      <w:r w:rsidRPr="00932A95">
        <w:rPr>
          <w:rFonts w:ascii="Book Antiqua" w:hAnsi="Book Antiqua" w:cs="Times New Roman"/>
          <w:b/>
          <w:color w:val="auto"/>
          <w:sz w:val="24"/>
          <w:szCs w:val="24"/>
        </w:rPr>
        <w:t>Institutional review board statement</w:t>
      </w:r>
      <w:r w:rsidRPr="00932A95">
        <w:rPr>
          <w:rFonts w:ascii="Book Antiqua" w:hAnsi="Book Antiqua" w:cs="Times New Roman"/>
          <w:color w:val="auto"/>
          <w:sz w:val="24"/>
          <w:szCs w:val="24"/>
        </w:rPr>
        <w:t xml:space="preserve">: </w:t>
      </w:r>
      <w:r w:rsidRPr="00932A95">
        <w:rPr>
          <w:rFonts w:ascii="Book Antiqua" w:hAnsi="Book Antiqua" w:cs="Book Antiqua"/>
          <w:color w:val="auto"/>
          <w:sz w:val="24"/>
          <w:szCs w:val="24"/>
        </w:rPr>
        <w:t>This study did not require IRB approval due since the database is representative of nationally acquired data</w:t>
      </w:r>
      <w:r w:rsidRPr="00932A95">
        <w:rPr>
          <w:rFonts w:ascii="Book Antiqua" w:hAnsi="Book Antiqua" w:cs="Book Antiqua"/>
          <w:color w:val="auto"/>
          <w:sz w:val="24"/>
          <w:szCs w:val="24"/>
          <w:lang w:val="en-US"/>
        </w:rPr>
        <w:t>.</w:t>
      </w:r>
    </w:p>
    <w:p w14:paraId="196D198E" w14:textId="77777777" w:rsidR="0011433B" w:rsidRDefault="0011433B" w:rsidP="00374FC0">
      <w:pPr>
        <w:snapToGrid w:val="0"/>
        <w:spacing w:line="360" w:lineRule="auto"/>
        <w:jc w:val="both"/>
        <w:rPr>
          <w:rFonts w:ascii="Book Antiqua" w:hAnsi="Book Antiqua" w:cs="Times New Roman"/>
          <w:color w:val="auto"/>
          <w:sz w:val="24"/>
          <w:szCs w:val="24"/>
          <w:lang w:val="en-US"/>
        </w:rPr>
      </w:pPr>
    </w:p>
    <w:p w14:paraId="00515576" w14:textId="7B1DDBA9" w:rsidR="004C75C6" w:rsidRDefault="004C75C6" w:rsidP="00374FC0">
      <w:pPr>
        <w:snapToGrid w:val="0"/>
        <w:spacing w:line="360" w:lineRule="auto"/>
        <w:jc w:val="both"/>
        <w:rPr>
          <w:rFonts w:ascii="Book Antiqua" w:hAnsi="Book Antiqua" w:cs="Times New Roman"/>
          <w:color w:val="auto"/>
          <w:sz w:val="24"/>
          <w:szCs w:val="24"/>
          <w:lang w:val="en-US"/>
        </w:rPr>
      </w:pPr>
      <w:r w:rsidRPr="004C75C6">
        <w:rPr>
          <w:rFonts w:ascii="Book Antiqua" w:hAnsi="Book Antiqua" w:cs="Times New Roman"/>
          <w:b/>
          <w:color w:val="auto"/>
          <w:sz w:val="24"/>
          <w:szCs w:val="24"/>
          <w:lang w:val="en-US"/>
        </w:rPr>
        <w:t>Informed consent statement:</w:t>
      </w:r>
      <w:r>
        <w:rPr>
          <w:rFonts w:ascii="Book Antiqua" w:hAnsi="Book Antiqua" w:cs="Times New Roman"/>
          <w:color w:val="auto"/>
          <w:sz w:val="24"/>
          <w:szCs w:val="24"/>
          <w:lang w:val="en-US"/>
        </w:rPr>
        <w:t xml:space="preserve"> </w:t>
      </w:r>
      <w:r w:rsidRPr="004C75C6">
        <w:rPr>
          <w:rFonts w:ascii="Book Antiqua" w:hAnsi="Book Antiqua" w:cs="Times New Roman"/>
          <w:color w:val="auto"/>
          <w:sz w:val="24"/>
          <w:szCs w:val="24"/>
          <w:lang w:val="en-US"/>
        </w:rPr>
        <w:t>Due to the retrospective nature of this study as well as the using of a national database no human information was made available to authors.</w:t>
      </w:r>
      <w:r w:rsidR="0012014D">
        <w:rPr>
          <w:rFonts w:ascii="Book Antiqua" w:hAnsi="Book Antiqua" w:cs="Times New Roman"/>
          <w:color w:val="auto"/>
          <w:sz w:val="24"/>
          <w:szCs w:val="24"/>
          <w:lang w:val="en-US"/>
        </w:rPr>
        <w:t xml:space="preserve"> </w:t>
      </w:r>
      <w:r w:rsidRPr="004C75C6">
        <w:rPr>
          <w:rFonts w:ascii="Book Antiqua" w:hAnsi="Book Antiqua" w:cs="Times New Roman"/>
          <w:color w:val="auto"/>
          <w:sz w:val="24"/>
          <w:szCs w:val="24"/>
          <w:lang w:val="en-US"/>
        </w:rPr>
        <w:t>Therefore, informed consent was not needed to write this manuscript.</w:t>
      </w:r>
    </w:p>
    <w:p w14:paraId="0FE29E67" w14:textId="77777777" w:rsidR="004C75C6" w:rsidRPr="00932A95" w:rsidRDefault="004C75C6" w:rsidP="00374FC0">
      <w:pPr>
        <w:snapToGrid w:val="0"/>
        <w:spacing w:line="360" w:lineRule="auto"/>
        <w:jc w:val="both"/>
        <w:rPr>
          <w:rFonts w:ascii="Book Antiqua" w:hAnsi="Book Antiqua" w:cs="Times New Roman"/>
          <w:color w:val="auto"/>
          <w:sz w:val="24"/>
          <w:szCs w:val="24"/>
          <w:lang w:val="en-US"/>
        </w:rPr>
      </w:pPr>
    </w:p>
    <w:p w14:paraId="097A2EC9" w14:textId="77777777" w:rsidR="0011433B" w:rsidRPr="00932A95" w:rsidRDefault="002F52BB" w:rsidP="00374FC0">
      <w:pPr>
        <w:snapToGrid w:val="0"/>
        <w:spacing w:line="360" w:lineRule="auto"/>
        <w:jc w:val="both"/>
        <w:rPr>
          <w:rFonts w:ascii="Book Antiqua" w:hAnsi="Book Antiqua" w:cs="Times New Roman"/>
          <w:color w:val="auto"/>
          <w:sz w:val="24"/>
          <w:szCs w:val="24"/>
          <w:lang w:val="en-US"/>
        </w:rPr>
      </w:pPr>
      <w:r w:rsidRPr="00932A95">
        <w:rPr>
          <w:rFonts w:ascii="Book Antiqua" w:hAnsi="Book Antiqua" w:cs="Times New Roman"/>
          <w:b/>
          <w:color w:val="auto"/>
          <w:sz w:val="24"/>
          <w:szCs w:val="24"/>
        </w:rPr>
        <w:t>Conflict-of-interest statement</w:t>
      </w:r>
      <w:r w:rsidRPr="00932A95">
        <w:rPr>
          <w:rFonts w:ascii="Book Antiqua" w:hAnsi="Book Antiqua" w:cs="Times New Roman"/>
          <w:color w:val="auto"/>
          <w:sz w:val="24"/>
          <w:szCs w:val="24"/>
        </w:rPr>
        <w:t xml:space="preserve">: </w:t>
      </w:r>
      <w:r w:rsidRPr="00932A95">
        <w:rPr>
          <w:rFonts w:ascii="Book Antiqua" w:hAnsi="Book Antiqua" w:cs="Book Antiqua"/>
          <w:color w:val="auto"/>
          <w:sz w:val="24"/>
          <w:szCs w:val="24"/>
        </w:rPr>
        <w:t>Authors declare no conflict of interest for this article</w:t>
      </w:r>
      <w:r w:rsidRPr="00932A95">
        <w:rPr>
          <w:rFonts w:ascii="Book Antiqua" w:hAnsi="Book Antiqua" w:cs="Book Antiqua"/>
          <w:color w:val="auto"/>
          <w:sz w:val="24"/>
          <w:szCs w:val="24"/>
          <w:lang w:val="en-US"/>
        </w:rPr>
        <w:t>.</w:t>
      </w:r>
    </w:p>
    <w:p w14:paraId="2F619276" w14:textId="77777777" w:rsidR="0011433B" w:rsidRPr="00932A95" w:rsidRDefault="0011433B" w:rsidP="00374FC0">
      <w:pPr>
        <w:snapToGrid w:val="0"/>
        <w:spacing w:line="360" w:lineRule="auto"/>
        <w:jc w:val="both"/>
        <w:rPr>
          <w:rFonts w:ascii="Book Antiqua" w:hAnsi="Book Antiqua" w:cs="Times New Roman"/>
          <w:color w:val="auto"/>
          <w:sz w:val="24"/>
          <w:szCs w:val="24"/>
        </w:rPr>
      </w:pPr>
    </w:p>
    <w:p w14:paraId="4D3C909C" w14:textId="77777777" w:rsidR="0011433B" w:rsidRPr="00932A95" w:rsidRDefault="002F52BB" w:rsidP="00374FC0">
      <w:pPr>
        <w:snapToGrid w:val="0"/>
        <w:spacing w:line="360" w:lineRule="auto"/>
        <w:jc w:val="both"/>
        <w:rPr>
          <w:rFonts w:ascii="Book Antiqua" w:hAnsi="Book Antiqua" w:cs="Times New Roman"/>
          <w:color w:val="auto"/>
          <w:sz w:val="24"/>
          <w:szCs w:val="24"/>
          <w:lang w:val="en-US"/>
        </w:rPr>
      </w:pPr>
      <w:r w:rsidRPr="00932A95">
        <w:rPr>
          <w:rFonts w:ascii="Book Antiqua" w:hAnsi="Book Antiqua" w:cs="Times New Roman"/>
          <w:b/>
          <w:color w:val="auto"/>
          <w:sz w:val="24"/>
          <w:szCs w:val="24"/>
        </w:rPr>
        <w:t>Data sharing statement</w:t>
      </w:r>
      <w:r w:rsidRPr="00932A95">
        <w:rPr>
          <w:rFonts w:ascii="Book Antiqua" w:hAnsi="Book Antiqua" w:cs="Times New Roman"/>
          <w:color w:val="auto"/>
          <w:sz w:val="24"/>
          <w:szCs w:val="24"/>
        </w:rPr>
        <w:t xml:space="preserve">: </w:t>
      </w:r>
      <w:r w:rsidRPr="00932A95">
        <w:rPr>
          <w:rFonts w:ascii="Book Antiqua" w:hAnsi="Book Antiqua" w:cs="Book Antiqua"/>
          <w:color w:val="auto"/>
          <w:sz w:val="24"/>
          <w:szCs w:val="24"/>
        </w:rPr>
        <w:t>No additional data are available</w:t>
      </w:r>
      <w:r w:rsidRPr="00932A95">
        <w:rPr>
          <w:rFonts w:ascii="Book Antiqua" w:hAnsi="Book Antiqua" w:cs="Book Antiqua"/>
          <w:color w:val="auto"/>
          <w:sz w:val="24"/>
          <w:szCs w:val="24"/>
          <w:lang w:val="en-US"/>
        </w:rPr>
        <w:t>.</w:t>
      </w:r>
    </w:p>
    <w:p w14:paraId="27847F0C" w14:textId="77777777" w:rsidR="0011433B" w:rsidRPr="00932A95" w:rsidRDefault="0011433B" w:rsidP="00374FC0">
      <w:pPr>
        <w:spacing w:line="360" w:lineRule="auto"/>
        <w:jc w:val="both"/>
        <w:rPr>
          <w:rFonts w:ascii="Book Antiqua" w:hAnsi="Book Antiqua" w:cs="Book Antiqua"/>
          <w:color w:val="auto"/>
          <w:sz w:val="24"/>
          <w:szCs w:val="24"/>
        </w:rPr>
      </w:pPr>
    </w:p>
    <w:p w14:paraId="210AC90D" w14:textId="77777777" w:rsidR="0011433B" w:rsidRPr="00932A95" w:rsidRDefault="002F52BB" w:rsidP="00374FC0">
      <w:pPr>
        <w:autoSpaceDE w:val="0"/>
        <w:autoSpaceDN w:val="0"/>
        <w:adjustRightInd w:val="0"/>
        <w:spacing w:line="360" w:lineRule="auto"/>
        <w:jc w:val="both"/>
        <w:rPr>
          <w:rFonts w:ascii="Book Antiqua" w:hAnsi="Book Antiqua" w:cs="Book Antiqua"/>
          <w:color w:val="auto"/>
          <w:sz w:val="24"/>
          <w:szCs w:val="24"/>
        </w:rPr>
      </w:pPr>
      <w:r w:rsidRPr="00932A95">
        <w:rPr>
          <w:rFonts w:ascii="Book Antiqua" w:hAnsi="Book Antiqua" w:cs="Book Antiqua"/>
          <w:b/>
          <w:caps/>
          <w:color w:val="auto"/>
          <w:sz w:val="24"/>
          <w:szCs w:val="24"/>
        </w:rPr>
        <w:t>Strobe</w:t>
      </w:r>
      <w:r w:rsidRPr="00932A95">
        <w:rPr>
          <w:rFonts w:ascii="Book Antiqua" w:hAnsi="Book Antiqua" w:cs="Book Antiqua"/>
          <w:b/>
          <w:color w:val="auto"/>
          <w:sz w:val="24"/>
          <w:szCs w:val="24"/>
        </w:rPr>
        <w:t xml:space="preserve"> statement:</w:t>
      </w:r>
      <w:r w:rsidRPr="00932A95">
        <w:rPr>
          <w:rFonts w:ascii="Book Antiqua" w:hAnsi="Book Antiqua" w:cs="Book Antiqua"/>
          <w:color w:val="auto"/>
          <w:sz w:val="24"/>
          <w:szCs w:val="24"/>
        </w:rPr>
        <w:t xml:space="preserve"> </w:t>
      </w:r>
      <w:r w:rsidRPr="00932A95">
        <w:rPr>
          <w:rFonts w:ascii="Book Antiqua" w:eastAsia="Times New Roman" w:hAnsi="Book Antiqua" w:cs="Book Antiqua"/>
          <w:color w:val="auto"/>
          <w:sz w:val="24"/>
          <w:szCs w:val="24"/>
        </w:rPr>
        <w:t>The authors have read the STROBE Statement—checklist of items, and</w:t>
      </w:r>
      <w:r w:rsidRPr="00932A95">
        <w:rPr>
          <w:rFonts w:ascii="Book Antiqua" w:hAnsi="Book Antiqua" w:cs="Book Antiqua"/>
          <w:color w:val="auto"/>
          <w:sz w:val="24"/>
          <w:szCs w:val="24"/>
        </w:rPr>
        <w:t xml:space="preserve"> </w:t>
      </w:r>
      <w:r w:rsidRPr="00932A95">
        <w:rPr>
          <w:rFonts w:ascii="Book Antiqua" w:eastAsia="Times New Roman" w:hAnsi="Book Antiqua" w:cs="Book Antiqua"/>
          <w:color w:val="auto"/>
          <w:sz w:val="24"/>
          <w:szCs w:val="24"/>
        </w:rPr>
        <w:t>the manuscript was prepared and revised according to the STROBE Statement—checklist of items.</w:t>
      </w:r>
    </w:p>
    <w:p w14:paraId="35CFBB75" w14:textId="77777777" w:rsidR="0011433B" w:rsidRPr="00932A95" w:rsidRDefault="0011433B" w:rsidP="00374FC0">
      <w:pPr>
        <w:spacing w:line="360" w:lineRule="auto"/>
        <w:jc w:val="both"/>
        <w:rPr>
          <w:rFonts w:ascii="Book Antiqua" w:hAnsi="Book Antiqua" w:cs="Book Antiqua"/>
          <w:color w:val="auto"/>
          <w:sz w:val="24"/>
          <w:szCs w:val="24"/>
        </w:rPr>
      </w:pPr>
    </w:p>
    <w:p w14:paraId="7D575922" w14:textId="77777777" w:rsidR="0011433B" w:rsidRPr="00932A95" w:rsidRDefault="002F52BB" w:rsidP="00374FC0">
      <w:pPr>
        <w:spacing w:line="360" w:lineRule="auto"/>
        <w:jc w:val="both"/>
        <w:rPr>
          <w:rFonts w:ascii="Book Antiqua" w:hAnsi="Book Antiqua"/>
          <w:color w:val="auto"/>
          <w:sz w:val="24"/>
          <w:szCs w:val="24"/>
        </w:rPr>
      </w:pPr>
      <w:r w:rsidRPr="00932A95">
        <w:rPr>
          <w:rFonts w:ascii="Book Antiqua" w:hAnsi="Book Antiqua"/>
          <w:b/>
          <w:color w:val="auto"/>
          <w:sz w:val="24"/>
          <w:szCs w:val="24"/>
        </w:rPr>
        <w:t>Open-Access:</w:t>
      </w:r>
      <w:r w:rsidRPr="00932A95">
        <w:rPr>
          <w:rFonts w:ascii="Book Antiqua" w:hAnsi="Book Antiqua"/>
          <w:color w:val="auto"/>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932A95">
        <w:rPr>
          <w:rFonts w:ascii="Book Antiqua" w:hAnsi="Book Antiqua"/>
          <w:color w:val="auto"/>
          <w:sz w:val="24"/>
          <w:szCs w:val="24"/>
        </w:rPr>
        <w:t>NonCommercial</w:t>
      </w:r>
      <w:proofErr w:type="spellEnd"/>
      <w:r w:rsidRPr="00932A95">
        <w:rPr>
          <w:rFonts w:ascii="Book Antiqua" w:hAnsi="Book Antiqua"/>
          <w:color w:val="auto"/>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036131" w14:textId="77777777" w:rsidR="0011433B" w:rsidRPr="00932A95" w:rsidRDefault="0011433B" w:rsidP="00374FC0">
      <w:pPr>
        <w:pStyle w:val="CommentText"/>
        <w:spacing w:line="360" w:lineRule="auto"/>
        <w:jc w:val="both"/>
        <w:rPr>
          <w:rFonts w:ascii="Book Antiqua" w:eastAsia="SimSun" w:hAnsi="Book Antiqua" w:cs="Times New Roman"/>
          <w:bCs/>
          <w:color w:val="auto"/>
          <w:sz w:val="24"/>
          <w:szCs w:val="24"/>
        </w:rPr>
      </w:pPr>
    </w:p>
    <w:p w14:paraId="6BB467BE" w14:textId="77777777" w:rsidR="0011433B" w:rsidRPr="00932A95" w:rsidRDefault="002F52BB" w:rsidP="00374FC0">
      <w:pPr>
        <w:adjustRightInd w:val="0"/>
        <w:snapToGrid w:val="0"/>
        <w:spacing w:line="360" w:lineRule="auto"/>
        <w:jc w:val="both"/>
        <w:rPr>
          <w:rFonts w:ascii="Book Antiqua" w:hAnsi="Book Antiqua"/>
          <w:bCs/>
          <w:color w:val="auto"/>
          <w:sz w:val="24"/>
          <w:szCs w:val="24"/>
        </w:rPr>
      </w:pPr>
      <w:r w:rsidRPr="00932A95">
        <w:rPr>
          <w:rFonts w:ascii="Book Antiqua" w:hAnsi="Book Antiqua"/>
          <w:b/>
          <w:bCs/>
          <w:color w:val="auto"/>
          <w:sz w:val="24"/>
          <w:szCs w:val="24"/>
          <w:lang w:eastAsia="pl-PL"/>
        </w:rPr>
        <w:t>Manuscript source:</w:t>
      </w:r>
      <w:r w:rsidRPr="00932A95">
        <w:rPr>
          <w:rFonts w:ascii="Book Antiqua" w:hAnsi="Book Antiqua"/>
          <w:b/>
          <w:bCs/>
          <w:color w:val="auto"/>
          <w:sz w:val="24"/>
          <w:szCs w:val="24"/>
        </w:rPr>
        <w:t xml:space="preserve"> </w:t>
      </w:r>
      <w:r w:rsidRPr="00932A95">
        <w:rPr>
          <w:rFonts w:ascii="Book Antiqua" w:hAnsi="Book Antiqua"/>
          <w:bCs/>
          <w:color w:val="auto"/>
          <w:sz w:val="24"/>
          <w:szCs w:val="24"/>
          <w:lang w:eastAsia="pl-PL"/>
        </w:rPr>
        <w:t>Invited manuscript</w:t>
      </w:r>
    </w:p>
    <w:p w14:paraId="02FCE727" w14:textId="77777777" w:rsidR="0011433B" w:rsidRPr="00932A95" w:rsidRDefault="0011433B" w:rsidP="00374FC0">
      <w:pPr>
        <w:adjustRightInd w:val="0"/>
        <w:snapToGrid w:val="0"/>
        <w:spacing w:line="360" w:lineRule="auto"/>
        <w:jc w:val="both"/>
        <w:rPr>
          <w:rFonts w:ascii="Book Antiqua" w:hAnsi="Book Antiqua"/>
          <w:b/>
          <w:bCs/>
          <w:color w:val="auto"/>
          <w:sz w:val="24"/>
          <w:szCs w:val="24"/>
        </w:rPr>
      </w:pPr>
    </w:p>
    <w:p w14:paraId="3B3C71D9" w14:textId="77777777" w:rsidR="0011433B" w:rsidRPr="00932A95" w:rsidRDefault="002F52BB" w:rsidP="00374FC0">
      <w:pPr>
        <w:spacing w:line="360" w:lineRule="auto"/>
        <w:jc w:val="both"/>
        <w:rPr>
          <w:rFonts w:ascii="Book Antiqua" w:eastAsia="SimSun" w:hAnsi="Book Antiqua"/>
          <w:b/>
          <w:color w:val="auto"/>
          <w:sz w:val="24"/>
          <w:szCs w:val="24"/>
        </w:rPr>
      </w:pPr>
      <w:r w:rsidRPr="00932A95">
        <w:rPr>
          <w:rFonts w:ascii="Book Antiqua" w:hAnsi="Book Antiqua"/>
          <w:b/>
          <w:color w:val="auto"/>
          <w:sz w:val="24"/>
          <w:szCs w:val="24"/>
        </w:rPr>
        <w:t>Peer-review started:</w:t>
      </w:r>
      <w:r w:rsidRPr="00932A95">
        <w:rPr>
          <w:rFonts w:ascii="Book Antiqua" w:eastAsia="SimSun" w:hAnsi="Book Antiqua"/>
          <w:b/>
          <w:color w:val="auto"/>
          <w:sz w:val="24"/>
          <w:szCs w:val="24"/>
        </w:rPr>
        <w:t xml:space="preserve"> </w:t>
      </w:r>
      <w:r w:rsidRPr="00932A95">
        <w:rPr>
          <w:rFonts w:ascii="Book Antiqua" w:eastAsia="SimSun" w:hAnsi="Book Antiqua" w:cs="Times New Roman"/>
          <w:color w:val="auto"/>
          <w:sz w:val="24"/>
          <w:szCs w:val="24"/>
          <w:lang w:val="en-US"/>
        </w:rPr>
        <w:t>January</w:t>
      </w:r>
      <w:r w:rsidRPr="00932A95">
        <w:rPr>
          <w:rFonts w:ascii="Book Antiqua" w:eastAsia="SimSun" w:hAnsi="Book Antiqua" w:cs="Times New Roman" w:hint="eastAsia"/>
          <w:color w:val="auto"/>
          <w:sz w:val="24"/>
          <w:szCs w:val="24"/>
          <w:lang w:val="en-US" w:eastAsia="zh-CN"/>
        </w:rPr>
        <w:t xml:space="preserve"> 6</w:t>
      </w:r>
      <w:r w:rsidRPr="00932A95">
        <w:rPr>
          <w:rFonts w:ascii="Book Antiqua" w:eastAsia="SimSun" w:hAnsi="Book Antiqua" w:cs="Times New Roman"/>
          <w:color w:val="auto"/>
          <w:sz w:val="24"/>
          <w:szCs w:val="24"/>
          <w:lang w:val="en-US"/>
        </w:rPr>
        <w:t>, 20</w:t>
      </w:r>
      <w:r w:rsidRPr="00932A95">
        <w:rPr>
          <w:rFonts w:ascii="Book Antiqua" w:eastAsia="SimSun" w:hAnsi="Book Antiqua" w:cs="Times New Roman" w:hint="eastAsia"/>
          <w:color w:val="auto"/>
          <w:sz w:val="24"/>
          <w:szCs w:val="24"/>
          <w:lang w:val="en-US" w:eastAsia="zh-CN"/>
        </w:rPr>
        <w:t>20</w:t>
      </w:r>
    </w:p>
    <w:p w14:paraId="18E871E5" w14:textId="77777777" w:rsidR="0011433B" w:rsidRPr="00932A95" w:rsidRDefault="002F52BB" w:rsidP="00374FC0">
      <w:pPr>
        <w:spacing w:line="360" w:lineRule="auto"/>
        <w:jc w:val="both"/>
        <w:rPr>
          <w:rFonts w:ascii="Book Antiqua" w:eastAsia="SimSun" w:hAnsi="Book Antiqua"/>
          <w:b/>
          <w:color w:val="auto"/>
          <w:sz w:val="24"/>
          <w:szCs w:val="24"/>
        </w:rPr>
      </w:pPr>
      <w:r w:rsidRPr="00932A95">
        <w:rPr>
          <w:rFonts w:ascii="Book Antiqua" w:hAnsi="Book Antiqua"/>
          <w:b/>
          <w:color w:val="auto"/>
          <w:sz w:val="24"/>
          <w:szCs w:val="24"/>
        </w:rPr>
        <w:t>First decision:</w:t>
      </w:r>
      <w:r w:rsidRPr="00932A95">
        <w:rPr>
          <w:rFonts w:ascii="Book Antiqua" w:eastAsia="SimSun" w:hAnsi="Book Antiqua"/>
          <w:b/>
          <w:color w:val="auto"/>
          <w:sz w:val="24"/>
          <w:szCs w:val="24"/>
        </w:rPr>
        <w:t xml:space="preserve"> </w:t>
      </w:r>
      <w:r w:rsidRPr="00932A95">
        <w:rPr>
          <w:rFonts w:ascii="Book Antiqua" w:eastAsia="SimSun" w:hAnsi="Book Antiqua"/>
          <w:color w:val="auto"/>
          <w:sz w:val="24"/>
          <w:szCs w:val="24"/>
        </w:rPr>
        <w:t>March</w:t>
      </w:r>
      <w:r w:rsidRPr="00932A95">
        <w:rPr>
          <w:rFonts w:ascii="Book Antiqua" w:eastAsia="SimSun" w:hAnsi="Book Antiqua"/>
          <w:color w:val="auto"/>
          <w:sz w:val="24"/>
          <w:szCs w:val="24"/>
          <w:lang w:val="en-US"/>
        </w:rPr>
        <w:t xml:space="preserve"> </w:t>
      </w:r>
      <w:r w:rsidRPr="00932A95">
        <w:rPr>
          <w:rFonts w:ascii="Book Antiqua" w:eastAsia="SimSun" w:hAnsi="Book Antiqua"/>
          <w:color w:val="auto"/>
          <w:sz w:val="24"/>
          <w:szCs w:val="24"/>
        </w:rPr>
        <w:t>1</w:t>
      </w:r>
      <w:r w:rsidRPr="00932A95">
        <w:rPr>
          <w:rFonts w:ascii="Book Antiqua" w:eastAsia="SimSun" w:hAnsi="Book Antiqua"/>
          <w:color w:val="auto"/>
          <w:sz w:val="24"/>
          <w:szCs w:val="24"/>
          <w:lang w:val="en-US"/>
        </w:rPr>
        <w:t>5</w:t>
      </w:r>
      <w:r w:rsidRPr="00932A95">
        <w:rPr>
          <w:rFonts w:ascii="Book Antiqua" w:eastAsia="SimSun" w:hAnsi="Book Antiqua"/>
          <w:color w:val="auto"/>
          <w:sz w:val="24"/>
          <w:szCs w:val="24"/>
        </w:rPr>
        <w:t>, 2020</w:t>
      </w:r>
    </w:p>
    <w:p w14:paraId="2866236D" w14:textId="77777777" w:rsidR="0011433B" w:rsidRPr="00932A95" w:rsidRDefault="002F52BB" w:rsidP="00374FC0">
      <w:pPr>
        <w:spacing w:line="360" w:lineRule="auto"/>
        <w:jc w:val="both"/>
        <w:rPr>
          <w:rFonts w:ascii="Book Antiqua" w:hAnsi="Book Antiqua"/>
          <w:b/>
          <w:color w:val="auto"/>
          <w:sz w:val="24"/>
          <w:szCs w:val="24"/>
        </w:rPr>
      </w:pPr>
      <w:r w:rsidRPr="00932A95">
        <w:rPr>
          <w:rFonts w:ascii="Book Antiqua" w:hAnsi="Book Antiqua"/>
          <w:b/>
          <w:color w:val="auto"/>
          <w:sz w:val="24"/>
          <w:szCs w:val="24"/>
        </w:rPr>
        <w:t>Article in press:</w:t>
      </w:r>
    </w:p>
    <w:p w14:paraId="7169E024" w14:textId="77777777" w:rsidR="0011433B" w:rsidRPr="00932A95" w:rsidRDefault="0011433B" w:rsidP="00374FC0">
      <w:pPr>
        <w:spacing w:line="360" w:lineRule="auto"/>
        <w:jc w:val="both"/>
        <w:rPr>
          <w:rFonts w:ascii="Book Antiqua" w:eastAsia="SimSun" w:hAnsi="Book Antiqua"/>
          <w:color w:val="auto"/>
          <w:sz w:val="24"/>
          <w:szCs w:val="24"/>
        </w:rPr>
      </w:pPr>
    </w:p>
    <w:p w14:paraId="05C8B33A" w14:textId="77777777" w:rsidR="0011433B" w:rsidRPr="00932A95" w:rsidRDefault="002F52BB" w:rsidP="00374FC0">
      <w:pPr>
        <w:widowControl w:val="0"/>
        <w:adjustRightInd w:val="0"/>
        <w:snapToGrid w:val="0"/>
        <w:spacing w:line="360" w:lineRule="auto"/>
        <w:jc w:val="both"/>
        <w:rPr>
          <w:rFonts w:ascii="Book Antiqua" w:eastAsia="Microsoft YaHei" w:hAnsi="Book Antiqua" w:cs="SimSun"/>
          <w:color w:val="auto"/>
          <w:sz w:val="24"/>
          <w:szCs w:val="24"/>
        </w:rPr>
      </w:pPr>
      <w:r w:rsidRPr="00932A95">
        <w:rPr>
          <w:rFonts w:ascii="Book Antiqua" w:hAnsi="Book Antiqua" w:cs="SimSun"/>
          <w:b/>
          <w:color w:val="auto"/>
          <w:sz w:val="24"/>
          <w:szCs w:val="24"/>
        </w:rPr>
        <w:t xml:space="preserve">Specialty type: </w:t>
      </w:r>
      <w:r w:rsidRPr="00932A95">
        <w:rPr>
          <w:rFonts w:ascii="Book Antiqua" w:eastAsia="Microsoft YaHei" w:hAnsi="Book Antiqua" w:cs="SimSun"/>
          <w:color w:val="auto"/>
          <w:sz w:val="24"/>
          <w:szCs w:val="24"/>
        </w:rPr>
        <w:t xml:space="preserve">Gastroenterology and </w:t>
      </w:r>
      <w:r w:rsidR="00B52589" w:rsidRPr="00932A95">
        <w:rPr>
          <w:rFonts w:ascii="Book Antiqua" w:eastAsia="Microsoft YaHei" w:hAnsi="Book Antiqua" w:cs="SimSun"/>
          <w:color w:val="auto"/>
          <w:sz w:val="24"/>
          <w:szCs w:val="24"/>
        </w:rPr>
        <w:t>h</w:t>
      </w:r>
      <w:r w:rsidRPr="00932A95">
        <w:rPr>
          <w:rFonts w:ascii="Book Antiqua" w:eastAsia="Microsoft YaHei" w:hAnsi="Book Antiqua" w:cs="SimSun"/>
          <w:color w:val="auto"/>
          <w:sz w:val="24"/>
          <w:szCs w:val="24"/>
        </w:rPr>
        <w:t>epatology</w:t>
      </w:r>
    </w:p>
    <w:p w14:paraId="7F906C24" w14:textId="77777777" w:rsidR="0011433B" w:rsidRPr="00932A95" w:rsidRDefault="002F52BB" w:rsidP="00374FC0">
      <w:pPr>
        <w:widowControl w:val="0"/>
        <w:adjustRightInd w:val="0"/>
        <w:snapToGrid w:val="0"/>
        <w:spacing w:line="360" w:lineRule="auto"/>
        <w:jc w:val="both"/>
        <w:rPr>
          <w:rFonts w:ascii="Book Antiqua" w:hAnsi="Book Antiqua" w:cs="SimSun"/>
          <w:bCs/>
          <w:color w:val="auto"/>
          <w:sz w:val="24"/>
          <w:szCs w:val="24"/>
        </w:rPr>
      </w:pPr>
      <w:r w:rsidRPr="00932A95">
        <w:rPr>
          <w:rFonts w:ascii="Book Antiqua" w:eastAsia="SimSun" w:hAnsi="Book Antiqua" w:cs="Helvetica"/>
          <w:b/>
          <w:color w:val="auto"/>
          <w:sz w:val="24"/>
          <w:szCs w:val="24"/>
        </w:rPr>
        <w:t>Country/Territory</w:t>
      </w:r>
      <w:r w:rsidRPr="00932A95">
        <w:rPr>
          <w:rFonts w:ascii="Book Antiqua" w:hAnsi="Book Antiqua" w:cs="SimSun"/>
          <w:b/>
          <w:color w:val="auto"/>
          <w:sz w:val="24"/>
          <w:szCs w:val="24"/>
        </w:rPr>
        <w:t xml:space="preserve"> of origin: </w:t>
      </w:r>
      <w:r w:rsidRPr="00932A95">
        <w:rPr>
          <w:rFonts w:ascii="Book Antiqua" w:hAnsi="Book Antiqua" w:cs="SimSun"/>
          <w:bCs/>
          <w:color w:val="auto"/>
          <w:sz w:val="24"/>
          <w:szCs w:val="24"/>
        </w:rPr>
        <w:t>United States</w:t>
      </w:r>
    </w:p>
    <w:p w14:paraId="6291AA7F" w14:textId="77777777" w:rsidR="0011433B" w:rsidRPr="00932A95" w:rsidRDefault="002F52BB" w:rsidP="00374FC0">
      <w:pPr>
        <w:widowControl w:val="0"/>
        <w:adjustRightInd w:val="0"/>
        <w:snapToGrid w:val="0"/>
        <w:spacing w:line="360" w:lineRule="auto"/>
        <w:jc w:val="both"/>
        <w:rPr>
          <w:rFonts w:ascii="Book Antiqua" w:hAnsi="Book Antiqua" w:cs="SimSun"/>
          <w:b/>
          <w:color w:val="auto"/>
          <w:sz w:val="24"/>
          <w:szCs w:val="24"/>
        </w:rPr>
      </w:pPr>
      <w:r w:rsidRPr="00932A95">
        <w:rPr>
          <w:rFonts w:ascii="Book Antiqua" w:hAnsi="Book Antiqua" w:cs="SimSun"/>
          <w:b/>
          <w:color w:val="auto"/>
          <w:sz w:val="24"/>
          <w:szCs w:val="24"/>
        </w:rPr>
        <w:t>Peer-review report’s scientific quality classification</w:t>
      </w:r>
    </w:p>
    <w:p w14:paraId="0946A913" w14:textId="77777777" w:rsidR="0011433B" w:rsidRPr="00932A95" w:rsidRDefault="002F52BB" w:rsidP="00374FC0">
      <w:pPr>
        <w:widowControl w:val="0"/>
        <w:adjustRightInd w:val="0"/>
        <w:snapToGrid w:val="0"/>
        <w:spacing w:line="360" w:lineRule="auto"/>
        <w:jc w:val="both"/>
        <w:rPr>
          <w:rFonts w:ascii="Book Antiqua" w:hAnsi="Book Antiqua" w:cs="SimSun"/>
          <w:color w:val="auto"/>
          <w:sz w:val="24"/>
          <w:szCs w:val="24"/>
        </w:rPr>
      </w:pPr>
      <w:r w:rsidRPr="00932A95">
        <w:rPr>
          <w:rFonts w:ascii="Book Antiqua" w:hAnsi="Book Antiqua" w:cs="SimSun"/>
          <w:color w:val="auto"/>
          <w:sz w:val="24"/>
          <w:szCs w:val="24"/>
        </w:rPr>
        <w:t xml:space="preserve">Grade A (Excellent): </w:t>
      </w:r>
      <w:r w:rsidRPr="00932A95">
        <w:rPr>
          <w:rFonts w:ascii="Book Antiqua" w:hAnsi="Book Antiqua" w:cs="SimSun"/>
          <w:color w:val="auto"/>
          <w:sz w:val="24"/>
          <w:szCs w:val="24"/>
          <w:lang w:val="en-US"/>
        </w:rPr>
        <w:t>0</w:t>
      </w:r>
    </w:p>
    <w:p w14:paraId="76D0F6B2" w14:textId="77777777" w:rsidR="0011433B" w:rsidRPr="00932A95" w:rsidRDefault="002F52BB" w:rsidP="00374FC0">
      <w:pPr>
        <w:widowControl w:val="0"/>
        <w:adjustRightInd w:val="0"/>
        <w:snapToGrid w:val="0"/>
        <w:spacing w:line="360" w:lineRule="auto"/>
        <w:jc w:val="both"/>
        <w:rPr>
          <w:rFonts w:ascii="Book Antiqua" w:eastAsia="SimSun" w:hAnsi="Book Antiqua" w:cs="SimSun"/>
          <w:color w:val="auto"/>
          <w:sz w:val="24"/>
          <w:szCs w:val="24"/>
        </w:rPr>
      </w:pPr>
      <w:r w:rsidRPr="00932A95">
        <w:rPr>
          <w:rFonts w:ascii="Book Antiqua" w:hAnsi="Book Antiqua" w:cs="SimSun"/>
          <w:color w:val="auto"/>
          <w:sz w:val="24"/>
          <w:szCs w:val="24"/>
        </w:rPr>
        <w:t xml:space="preserve">Grade B (Very good): </w:t>
      </w:r>
      <w:r w:rsidRPr="00932A95">
        <w:rPr>
          <w:rFonts w:ascii="Book Antiqua" w:eastAsia="SimSun" w:hAnsi="Book Antiqua" w:cs="SimSun"/>
          <w:color w:val="auto"/>
          <w:sz w:val="24"/>
          <w:szCs w:val="24"/>
          <w:lang w:val="en-US"/>
        </w:rPr>
        <w:t>0</w:t>
      </w:r>
    </w:p>
    <w:p w14:paraId="4994FEBA" w14:textId="77777777" w:rsidR="0011433B" w:rsidRPr="00932A95" w:rsidRDefault="002F52BB" w:rsidP="00374FC0">
      <w:pPr>
        <w:widowControl w:val="0"/>
        <w:adjustRightInd w:val="0"/>
        <w:snapToGrid w:val="0"/>
        <w:spacing w:line="360" w:lineRule="auto"/>
        <w:jc w:val="both"/>
        <w:rPr>
          <w:rFonts w:ascii="Book Antiqua" w:hAnsi="Book Antiqua" w:cs="SimSun"/>
          <w:color w:val="auto"/>
          <w:sz w:val="24"/>
          <w:szCs w:val="24"/>
        </w:rPr>
      </w:pPr>
      <w:r w:rsidRPr="00932A95">
        <w:rPr>
          <w:rFonts w:ascii="Book Antiqua" w:hAnsi="Book Antiqua" w:cs="SimSun"/>
          <w:color w:val="auto"/>
          <w:sz w:val="24"/>
          <w:szCs w:val="24"/>
        </w:rPr>
        <w:t xml:space="preserve">Grade C (Good): </w:t>
      </w:r>
      <w:r w:rsidRPr="00932A95">
        <w:rPr>
          <w:rFonts w:ascii="Book Antiqua" w:hAnsi="Book Antiqua" w:cs="SimSun"/>
          <w:color w:val="auto"/>
          <w:sz w:val="24"/>
          <w:szCs w:val="24"/>
          <w:lang w:val="en-US"/>
        </w:rPr>
        <w:t>C</w:t>
      </w:r>
    </w:p>
    <w:p w14:paraId="73FD0D58" w14:textId="77777777" w:rsidR="0011433B" w:rsidRPr="00932A95" w:rsidRDefault="002F52BB" w:rsidP="00374FC0">
      <w:pPr>
        <w:widowControl w:val="0"/>
        <w:adjustRightInd w:val="0"/>
        <w:snapToGrid w:val="0"/>
        <w:spacing w:line="360" w:lineRule="auto"/>
        <w:jc w:val="both"/>
        <w:rPr>
          <w:rFonts w:ascii="Book Antiqua" w:hAnsi="Book Antiqua" w:cs="SimSun"/>
          <w:color w:val="auto"/>
          <w:sz w:val="24"/>
          <w:szCs w:val="24"/>
        </w:rPr>
      </w:pPr>
      <w:r w:rsidRPr="00932A95">
        <w:rPr>
          <w:rFonts w:ascii="Book Antiqua" w:hAnsi="Book Antiqua" w:cs="SimSun"/>
          <w:color w:val="auto"/>
          <w:sz w:val="24"/>
          <w:szCs w:val="24"/>
        </w:rPr>
        <w:t xml:space="preserve">Grade D (Fair): </w:t>
      </w:r>
      <w:r w:rsidRPr="00932A95">
        <w:rPr>
          <w:rFonts w:ascii="Book Antiqua" w:hAnsi="Book Antiqua" w:cs="SimSun"/>
          <w:color w:val="auto"/>
          <w:sz w:val="24"/>
          <w:szCs w:val="24"/>
          <w:lang w:val="en-US"/>
        </w:rPr>
        <w:t>D</w:t>
      </w:r>
    </w:p>
    <w:p w14:paraId="4DF5D8C3" w14:textId="77777777" w:rsidR="0011433B" w:rsidRPr="00932A95" w:rsidRDefault="002F52BB" w:rsidP="00374FC0">
      <w:pPr>
        <w:widowControl w:val="0"/>
        <w:adjustRightInd w:val="0"/>
        <w:snapToGrid w:val="0"/>
        <w:spacing w:line="360" w:lineRule="auto"/>
        <w:jc w:val="both"/>
        <w:rPr>
          <w:rFonts w:ascii="Book Antiqua" w:eastAsia="DengXian" w:hAnsi="Book Antiqua"/>
          <w:color w:val="auto"/>
          <w:kern w:val="2"/>
          <w:sz w:val="24"/>
          <w:szCs w:val="24"/>
          <w:lang w:val="hu-HU"/>
        </w:rPr>
      </w:pPr>
      <w:r w:rsidRPr="00932A95">
        <w:rPr>
          <w:rFonts w:ascii="Book Antiqua" w:hAnsi="Book Antiqua" w:cs="SimSun"/>
          <w:color w:val="auto"/>
          <w:sz w:val="24"/>
          <w:szCs w:val="24"/>
        </w:rPr>
        <w:t>Grade E (Poor): 0</w:t>
      </w:r>
    </w:p>
    <w:p w14:paraId="6B898AFA" w14:textId="77777777" w:rsidR="0011433B" w:rsidRPr="00932A95" w:rsidRDefault="0011433B" w:rsidP="00374FC0">
      <w:pPr>
        <w:spacing w:line="360" w:lineRule="auto"/>
        <w:jc w:val="both"/>
        <w:rPr>
          <w:rFonts w:ascii="Book Antiqua" w:eastAsia="SimSun" w:hAnsi="Book Antiqua"/>
          <w:b/>
          <w:color w:val="auto"/>
          <w:sz w:val="24"/>
          <w:szCs w:val="24"/>
          <w:lang w:val="hu-HU"/>
        </w:rPr>
      </w:pPr>
    </w:p>
    <w:p w14:paraId="16A5865E" w14:textId="77777777" w:rsidR="0011433B" w:rsidRPr="00932A95" w:rsidRDefault="002F52BB" w:rsidP="00374FC0">
      <w:pPr>
        <w:spacing w:line="360" w:lineRule="auto"/>
        <w:jc w:val="both"/>
        <w:rPr>
          <w:rFonts w:ascii="Book Antiqua" w:eastAsia="SimSun" w:hAnsi="Book Antiqua"/>
          <w:b/>
          <w:color w:val="auto"/>
          <w:sz w:val="24"/>
          <w:szCs w:val="24"/>
        </w:rPr>
      </w:pPr>
      <w:r w:rsidRPr="00932A95">
        <w:rPr>
          <w:rFonts w:ascii="Book Antiqua" w:hAnsi="Book Antiqua"/>
          <w:b/>
          <w:color w:val="auto"/>
          <w:sz w:val="24"/>
          <w:szCs w:val="24"/>
        </w:rPr>
        <w:t>P- Reviewer:</w:t>
      </w:r>
      <w:r w:rsidRPr="00932A95">
        <w:rPr>
          <w:rFonts w:ascii="Book Antiqua" w:eastAsia="SimSun" w:hAnsi="Book Antiqua"/>
          <w:b/>
          <w:color w:val="auto"/>
          <w:sz w:val="24"/>
          <w:szCs w:val="24"/>
          <w:lang w:val="en-US"/>
        </w:rPr>
        <w:t xml:space="preserve"> </w:t>
      </w:r>
      <w:r w:rsidRPr="00932A95">
        <w:rPr>
          <w:rFonts w:ascii="Book Antiqua" w:hAnsi="Book Antiqua" w:cs="SimSun"/>
          <w:color w:val="auto"/>
          <w:sz w:val="24"/>
          <w:szCs w:val="24"/>
        </w:rPr>
        <w:t>Huang</w:t>
      </w:r>
      <w:r w:rsidRPr="00932A95">
        <w:rPr>
          <w:rFonts w:ascii="Book Antiqua" w:hAnsi="Book Antiqua" w:cs="SimSun"/>
          <w:color w:val="auto"/>
          <w:sz w:val="24"/>
          <w:szCs w:val="24"/>
          <w:lang w:val="en-US"/>
        </w:rPr>
        <w:t xml:space="preserve"> </w:t>
      </w:r>
      <w:r w:rsidRPr="00932A95">
        <w:rPr>
          <w:rFonts w:ascii="Book Antiqua" w:hAnsi="Book Antiqua" w:cs="SimSun"/>
          <w:color w:val="auto"/>
          <w:sz w:val="24"/>
          <w:szCs w:val="24"/>
        </w:rPr>
        <w:t>CH,</w:t>
      </w:r>
      <w:r w:rsidRPr="00932A95">
        <w:rPr>
          <w:rFonts w:ascii="Book Antiqua" w:hAnsi="Book Antiqua" w:cs="SimSun"/>
          <w:color w:val="auto"/>
          <w:sz w:val="24"/>
          <w:szCs w:val="24"/>
          <w:lang w:val="en-US"/>
        </w:rPr>
        <w:t xml:space="preserve"> </w:t>
      </w:r>
      <w:r w:rsidRPr="00932A95">
        <w:rPr>
          <w:rFonts w:ascii="Book Antiqua" w:hAnsi="Book Antiqua" w:cs="SimSun"/>
          <w:color w:val="auto"/>
          <w:sz w:val="24"/>
          <w:szCs w:val="24"/>
        </w:rPr>
        <w:t>Jun</w:t>
      </w:r>
      <w:r w:rsidRPr="00932A95">
        <w:rPr>
          <w:rFonts w:ascii="Book Antiqua" w:hAnsi="Book Antiqua" w:cs="SimSun"/>
          <w:color w:val="auto"/>
          <w:sz w:val="24"/>
          <w:szCs w:val="24"/>
          <w:lang w:val="en-US"/>
        </w:rPr>
        <w:t xml:space="preserve"> </w:t>
      </w:r>
      <w:r w:rsidRPr="00932A95">
        <w:rPr>
          <w:rFonts w:ascii="Book Antiqua" w:hAnsi="Book Antiqua" w:cs="SimSun"/>
          <w:color w:val="auto"/>
          <w:sz w:val="24"/>
          <w:szCs w:val="24"/>
        </w:rPr>
        <w:t>CH</w:t>
      </w:r>
      <w:r w:rsidRPr="00932A95">
        <w:rPr>
          <w:rFonts w:ascii="Book Antiqua" w:hAnsi="Book Antiqua" w:cs="SimSun"/>
          <w:color w:val="auto"/>
          <w:sz w:val="24"/>
          <w:szCs w:val="24"/>
          <w:lang w:val="en-US"/>
        </w:rPr>
        <w:t xml:space="preserve"> </w:t>
      </w:r>
      <w:r w:rsidRPr="00932A95">
        <w:rPr>
          <w:rFonts w:ascii="Book Antiqua" w:hAnsi="Book Antiqua"/>
          <w:b/>
          <w:color w:val="auto"/>
          <w:sz w:val="24"/>
          <w:szCs w:val="24"/>
        </w:rPr>
        <w:t>S- Editor:</w:t>
      </w:r>
      <w:r w:rsidRPr="00932A95">
        <w:rPr>
          <w:rFonts w:ascii="Book Antiqua" w:hAnsi="Book Antiqua"/>
          <w:color w:val="auto"/>
          <w:sz w:val="24"/>
          <w:szCs w:val="24"/>
        </w:rPr>
        <w:t xml:space="preserve"> </w:t>
      </w:r>
      <w:r w:rsidRPr="00932A95">
        <w:rPr>
          <w:rFonts w:ascii="Book Antiqua" w:eastAsia="SimSun" w:hAnsi="Book Antiqua" w:cs="Times New Roman"/>
          <w:bCs/>
          <w:color w:val="auto"/>
          <w:sz w:val="24"/>
          <w:szCs w:val="24"/>
          <w:lang w:val="en-US"/>
        </w:rPr>
        <w:t>Gong ZM</w:t>
      </w:r>
      <w:r w:rsidRPr="00932A95">
        <w:rPr>
          <w:rFonts w:ascii="Book Antiqua" w:hAnsi="Book Antiqua"/>
          <w:b/>
          <w:color w:val="auto"/>
          <w:sz w:val="24"/>
          <w:szCs w:val="24"/>
        </w:rPr>
        <w:t xml:space="preserve"> L- Editor:</w:t>
      </w:r>
      <w:r w:rsidRPr="00932A95">
        <w:rPr>
          <w:rFonts w:ascii="Book Antiqua" w:hAnsi="Book Antiqua"/>
          <w:color w:val="auto"/>
          <w:sz w:val="24"/>
          <w:szCs w:val="24"/>
        </w:rPr>
        <w:t xml:space="preserve"> </w:t>
      </w:r>
      <w:r w:rsidRPr="00932A95">
        <w:rPr>
          <w:rFonts w:ascii="Book Antiqua" w:hAnsi="Book Antiqua"/>
          <w:b/>
          <w:color w:val="auto"/>
          <w:sz w:val="24"/>
          <w:szCs w:val="24"/>
        </w:rPr>
        <w:t>E- Editor:</w:t>
      </w:r>
    </w:p>
    <w:p w14:paraId="67208D34" w14:textId="77777777" w:rsidR="0011433B" w:rsidRPr="00932A95" w:rsidRDefault="0011433B" w:rsidP="00374FC0">
      <w:pPr>
        <w:spacing w:line="360" w:lineRule="auto"/>
        <w:jc w:val="both"/>
        <w:rPr>
          <w:rFonts w:ascii="Book Antiqua" w:hAnsi="Book Antiqua" w:cs="Book Antiqua"/>
          <w:color w:val="auto"/>
          <w:sz w:val="24"/>
          <w:szCs w:val="24"/>
        </w:rPr>
      </w:pPr>
    </w:p>
    <w:p w14:paraId="66D5E18D"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eastAsia="Times New Roman" w:hAnsi="Book Antiqua" w:cs="Book Antiqua"/>
          <w:color w:val="auto"/>
          <w:sz w:val="24"/>
          <w:szCs w:val="24"/>
        </w:rPr>
        <w:br w:type="page"/>
      </w:r>
    </w:p>
    <w:p w14:paraId="363ABA0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b/>
          <w:color w:val="auto"/>
          <w:sz w:val="24"/>
          <w:szCs w:val="24"/>
        </w:rPr>
        <w:lastRenderedPageBreak/>
        <w:t>Table 1</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Patient demographics and hospital characteristics</w:t>
      </w:r>
    </w:p>
    <w:tbl>
      <w:tblPr>
        <w:tblStyle w:val="Style11"/>
        <w:tblW w:w="10255" w:type="dxa"/>
        <w:tblInd w:w="-567" w:type="dxa"/>
        <w:tblBorders>
          <w:top w:val="single" w:sz="4" w:space="0" w:color="auto"/>
          <w:bottom w:val="single" w:sz="4" w:space="0" w:color="auto"/>
        </w:tblBorders>
        <w:tblLayout w:type="fixed"/>
        <w:tblLook w:val="04A0" w:firstRow="1" w:lastRow="0" w:firstColumn="1" w:lastColumn="0" w:noHBand="0" w:noVBand="1"/>
      </w:tblPr>
      <w:tblGrid>
        <w:gridCol w:w="3346"/>
        <w:gridCol w:w="1631"/>
        <w:gridCol w:w="1710"/>
        <w:gridCol w:w="1975"/>
        <w:gridCol w:w="1593"/>
      </w:tblGrid>
      <w:tr w:rsidR="00932A95" w:rsidRPr="00932A95" w14:paraId="0D8785D4" w14:textId="77777777" w:rsidTr="0096655F">
        <w:trPr>
          <w:trHeight w:val="460"/>
        </w:trPr>
        <w:tc>
          <w:tcPr>
            <w:tcW w:w="3346" w:type="dxa"/>
            <w:tcBorders>
              <w:top w:val="single" w:sz="4" w:space="0" w:color="auto"/>
              <w:bottom w:val="single" w:sz="4" w:space="0" w:color="auto"/>
            </w:tcBorders>
            <w:shd w:val="clear" w:color="auto" w:fill="auto"/>
            <w:tcMar>
              <w:top w:w="100" w:type="dxa"/>
              <w:left w:w="100" w:type="dxa"/>
              <w:bottom w:w="100" w:type="dxa"/>
              <w:right w:w="100" w:type="dxa"/>
            </w:tcMar>
          </w:tcPr>
          <w:p w14:paraId="05FECC20" w14:textId="77777777" w:rsidR="0011433B" w:rsidRPr="00932A95" w:rsidRDefault="002F52BB" w:rsidP="00374FC0">
            <w:pPr>
              <w:spacing w:line="360" w:lineRule="auto"/>
              <w:ind w:left="-20"/>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1631" w:type="dxa"/>
            <w:tcBorders>
              <w:top w:val="single" w:sz="4" w:space="0" w:color="auto"/>
              <w:bottom w:val="single" w:sz="4" w:space="0" w:color="auto"/>
            </w:tcBorders>
            <w:shd w:val="clear" w:color="auto" w:fill="auto"/>
            <w:tcMar>
              <w:top w:w="100" w:type="dxa"/>
              <w:left w:w="100" w:type="dxa"/>
              <w:bottom w:w="100" w:type="dxa"/>
              <w:right w:w="100" w:type="dxa"/>
            </w:tcMar>
          </w:tcPr>
          <w:p w14:paraId="1AE9A299" w14:textId="5156FF3C" w:rsidR="0011433B" w:rsidRPr="00932A95" w:rsidRDefault="00FD6B59" w:rsidP="007C7E07">
            <w:pPr>
              <w:spacing w:line="360" w:lineRule="auto"/>
              <w:jc w:val="center"/>
              <w:rPr>
                <w:rFonts w:ascii="Book Antiqua" w:hAnsi="Book Antiqua" w:cs="Book Antiqua"/>
                <w:b/>
                <w:color w:val="auto"/>
                <w:sz w:val="24"/>
                <w:szCs w:val="24"/>
              </w:rPr>
            </w:pPr>
            <w:r w:rsidRPr="00932A95">
              <w:rPr>
                <w:rFonts w:ascii="Book Antiqua" w:hAnsi="Book Antiqua" w:cs="Book Antiqua"/>
                <w:b/>
                <w:color w:val="auto"/>
                <w:sz w:val="24"/>
                <w:szCs w:val="24"/>
              </w:rPr>
              <w:t>All</w:t>
            </w:r>
            <w:r w:rsidR="007C7E07">
              <w:rPr>
                <w:rFonts w:ascii="Book Antiqua" w:hAnsi="Book Antiqua" w:cs="Book Antiqua"/>
                <w:b/>
                <w:color w:val="auto"/>
                <w:sz w:val="24"/>
                <w:szCs w:val="24"/>
              </w:rPr>
              <w:t xml:space="preserve"> </w:t>
            </w:r>
            <w:r w:rsidRPr="00932A95">
              <w:rPr>
                <w:rFonts w:ascii="Book Antiqua" w:hAnsi="Book Antiqua" w:cs="Book Antiqua"/>
                <w:b/>
                <w:color w:val="auto"/>
                <w:sz w:val="24"/>
                <w:szCs w:val="24"/>
              </w:rPr>
              <w:t>(58</w:t>
            </w:r>
            <w:r w:rsidR="002F52BB" w:rsidRPr="00932A95">
              <w:rPr>
                <w:rFonts w:ascii="Book Antiqua" w:hAnsi="Book Antiqua" w:cs="Book Antiqua"/>
                <w:b/>
                <w:color w:val="auto"/>
                <w:sz w:val="24"/>
                <w:szCs w:val="24"/>
              </w:rPr>
              <w:t>362)</w:t>
            </w:r>
          </w:p>
        </w:tc>
        <w:tc>
          <w:tcPr>
            <w:tcW w:w="1710" w:type="dxa"/>
            <w:tcBorders>
              <w:top w:val="single" w:sz="4" w:space="0" w:color="auto"/>
              <w:bottom w:val="single" w:sz="4" w:space="0" w:color="auto"/>
            </w:tcBorders>
            <w:shd w:val="clear" w:color="auto" w:fill="auto"/>
            <w:tcMar>
              <w:top w:w="100" w:type="dxa"/>
              <w:left w:w="100" w:type="dxa"/>
              <w:bottom w:w="100" w:type="dxa"/>
              <w:right w:w="100" w:type="dxa"/>
            </w:tcMar>
          </w:tcPr>
          <w:p w14:paraId="100F7930" w14:textId="6646B4CD" w:rsidR="0011433B" w:rsidRPr="00932A95" w:rsidRDefault="00FD6B59" w:rsidP="0096655F">
            <w:pPr>
              <w:spacing w:line="360" w:lineRule="auto"/>
              <w:jc w:val="center"/>
              <w:rPr>
                <w:rFonts w:ascii="Book Antiqua" w:hAnsi="Book Antiqua" w:cs="Book Antiqua"/>
                <w:b/>
                <w:color w:val="auto"/>
                <w:sz w:val="24"/>
                <w:szCs w:val="24"/>
              </w:rPr>
            </w:pPr>
            <w:r w:rsidRPr="00932A95">
              <w:rPr>
                <w:rFonts w:ascii="Book Antiqua" w:hAnsi="Book Antiqua" w:cs="Book Antiqua"/>
                <w:b/>
                <w:color w:val="auto"/>
                <w:sz w:val="24"/>
                <w:szCs w:val="24"/>
              </w:rPr>
              <w:t>T</w:t>
            </w:r>
            <w:r w:rsidR="007C7E07">
              <w:rPr>
                <w:rFonts w:ascii="Book Antiqua" w:hAnsi="Book Antiqua" w:cs="Book Antiqua"/>
                <w:b/>
                <w:color w:val="auto"/>
                <w:sz w:val="24"/>
                <w:szCs w:val="24"/>
              </w:rPr>
              <w:t xml:space="preserve">eaching </w:t>
            </w:r>
            <w:r w:rsidRPr="00932A95">
              <w:rPr>
                <w:rFonts w:ascii="Book Antiqua" w:hAnsi="Book Antiqua" w:cs="Book Antiqua"/>
                <w:b/>
                <w:color w:val="auto"/>
                <w:sz w:val="24"/>
                <w:szCs w:val="24"/>
              </w:rPr>
              <w:t>(30</w:t>
            </w:r>
            <w:r w:rsidR="002F52BB" w:rsidRPr="00932A95">
              <w:rPr>
                <w:rFonts w:ascii="Book Antiqua" w:hAnsi="Book Antiqua" w:cs="Book Antiqua"/>
                <w:b/>
                <w:color w:val="auto"/>
                <w:sz w:val="24"/>
                <w:szCs w:val="24"/>
              </w:rPr>
              <w:t>382</w:t>
            </w:r>
            <w:r w:rsidR="0096655F">
              <w:rPr>
                <w:rFonts w:ascii="Book Antiqua" w:hAnsi="Book Antiqua" w:cs="Book Antiqua"/>
                <w:b/>
                <w:color w:val="auto"/>
                <w:sz w:val="24"/>
                <w:szCs w:val="24"/>
              </w:rPr>
              <w:t>)</w:t>
            </w:r>
          </w:p>
        </w:tc>
        <w:tc>
          <w:tcPr>
            <w:tcW w:w="1975" w:type="dxa"/>
            <w:tcBorders>
              <w:top w:val="single" w:sz="4" w:space="0" w:color="auto"/>
              <w:bottom w:val="single" w:sz="4" w:space="0" w:color="auto"/>
            </w:tcBorders>
            <w:shd w:val="clear" w:color="auto" w:fill="auto"/>
            <w:tcMar>
              <w:top w:w="100" w:type="dxa"/>
              <w:left w:w="100" w:type="dxa"/>
              <w:bottom w:w="100" w:type="dxa"/>
              <w:right w:w="100" w:type="dxa"/>
            </w:tcMar>
          </w:tcPr>
          <w:p w14:paraId="3CA8E35B" w14:textId="3CC47B04" w:rsidR="0011433B" w:rsidRPr="00932A95" w:rsidRDefault="007C7E07" w:rsidP="0096655F">
            <w:pPr>
              <w:spacing w:line="360" w:lineRule="auto"/>
              <w:jc w:val="center"/>
              <w:rPr>
                <w:rFonts w:ascii="Book Antiqua" w:hAnsi="Book Antiqua" w:cs="Book Antiqua"/>
                <w:b/>
                <w:color w:val="auto"/>
                <w:sz w:val="24"/>
                <w:szCs w:val="24"/>
              </w:rPr>
            </w:pPr>
            <w:r>
              <w:rPr>
                <w:rFonts w:ascii="Book Antiqua" w:hAnsi="Book Antiqua" w:cs="Book Antiqua"/>
                <w:b/>
                <w:color w:val="auto"/>
                <w:sz w:val="24"/>
                <w:szCs w:val="24"/>
              </w:rPr>
              <w:t xml:space="preserve">Non-teaching </w:t>
            </w:r>
            <w:r w:rsidR="00FD6B59" w:rsidRPr="00932A95">
              <w:rPr>
                <w:rFonts w:ascii="Book Antiqua" w:hAnsi="Book Antiqua" w:cs="Book Antiqua"/>
                <w:b/>
                <w:color w:val="auto"/>
                <w:sz w:val="24"/>
                <w:szCs w:val="24"/>
              </w:rPr>
              <w:t>(27</w:t>
            </w:r>
            <w:r w:rsidR="002F52BB" w:rsidRPr="00932A95">
              <w:rPr>
                <w:rFonts w:ascii="Book Antiqua" w:hAnsi="Book Antiqua" w:cs="Book Antiqua"/>
                <w:b/>
                <w:color w:val="auto"/>
                <w:sz w:val="24"/>
                <w:szCs w:val="24"/>
              </w:rPr>
              <w:t>979)</w:t>
            </w:r>
          </w:p>
        </w:tc>
        <w:tc>
          <w:tcPr>
            <w:tcW w:w="1593" w:type="dxa"/>
            <w:tcBorders>
              <w:top w:val="single" w:sz="4" w:space="0" w:color="auto"/>
              <w:bottom w:val="single" w:sz="4" w:space="0" w:color="auto"/>
            </w:tcBorders>
            <w:shd w:val="clear" w:color="auto" w:fill="auto"/>
            <w:tcMar>
              <w:top w:w="100" w:type="dxa"/>
              <w:left w:w="100" w:type="dxa"/>
              <w:bottom w:w="100" w:type="dxa"/>
              <w:right w:w="100" w:type="dxa"/>
            </w:tcMar>
          </w:tcPr>
          <w:p w14:paraId="3626E763" w14:textId="77777777" w:rsidR="0011433B" w:rsidRPr="00932A95" w:rsidRDefault="002F52BB" w:rsidP="0096655F">
            <w:pPr>
              <w:spacing w:line="360" w:lineRule="auto"/>
              <w:jc w:val="center"/>
              <w:rPr>
                <w:rFonts w:ascii="Book Antiqua" w:hAnsi="Book Antiqua" w:cs="Book Antiqua"/>
                <w:b/>
                <w:color w:val="auto"/>
                <w:sz w:val="24"/>
                <w:szCs w:val="24"/>
              </w:rPr>
            </w:pPr>
            <w:r w:rsidRPr="00932A95">
              <w:rPr>
                <w:rFonts w:ascii="Book Antiqua" w:hAnsi="Book Antiqua" w:cs="Book Antiqua"/>
                <w:b/>
                <w:i/>
                <w:iCs/>
                <w:color w:val="auto"/>
                <w:sz w:val="24"/>
                <w:szCs w:val="24"/>
              </w:rPr>
              <w:t>P</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value</w:t>
            </w:r>
          </w:p>
        </w:tc>
      </w:tr>
      <w:tr w:rsidR="00932A95" w:rsidRPr="00932A95" w14:paraId="222C5B1E" w14:textId="77777777" w:rsidTr="0096655F">
        <w:trPr>
          <w:trHeight w:val="81"/>
        </w:trPr>
        <w:tc>
          <w:tcPr>
            <w:tcW w:w="3346" w:type="dxa"/>
            <w:tcBorders>
              <w:top w:val="single" w:sz="4" w:space="0" w:color="auto"/>
            </w:tcBorders>
            <w:shd w:val="clear" w:color="auto" w:fill="auto"/>
            <w:tcMar>
              <w:top w:w="100" w:type="dxa"/>
              <w:left w:w="100" w:type="dxa"/>
              <w:bottom w:w="100" w:type="dxa"/>
              <w:right w:w="100" w:type="dxa"/>
            </w:tcMar>
            <w:vAlign w:val="bottom"/>
          </w:tcPr>
          <w:p w14:paraId="2325C6B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Patient age (</w:t>
            </w:r>
            <w:proofErr w:type="spellStart"/>
            <w:r w:rsidRPr="00932A95">
              <w:rPr>
                <w:rFonts w:ascii="Book Antiqua" w:hAnsi="Book Antiqua" w:cs="Book Antiqua"/>
                <w:color w:val="auto"/>
                <w:sz w:val="24"/>
                <w:szCs w:val="24"/>
                <w:lang w:val="en-US"/>
              </w:rPr>
              <w:t>yr</w:t>
            </w:r>
            <w:proofErr w:type="spellEnd"/>
            <w:r w:rsidRPr="00932A95">
              <w:rPr>
                <w:rFonts w:ascii="Book Antiqua" w:hAnsi="Book Antiqua" w:cs="Book Antiqua"/>
                <w:color w:val="auto"/>
                <w:sz w:val="24"/>
                <w:szCs w:val="24"/>
              </w:rPr>
              <w:t>)</w:t>
            </w:r>
          </w:p>
        </w:tc>
        <w:tc>
          <w:tcPr>
            <w:tcW w:w="1631" w:type="dxa"/>
            <w:tcBorders>
              <w:top w:val="single" w:sz="4" w:space="0" w:color="auto"/>
            </w:tcBorders>
            <w:shd w:val="clear" w:color="auto" w:fill="auto"/>
            <w:tcMar>
              <w:top w:w="100" w:type="dxa"/>
              <w:left w:w="100" w:type="dxa"/>
              <w:bottom w:w="100" w:type="dxa"/>
              <w:right w:w="100" w:type="dxa"/>
            </w:tcMar>
            <w:vAlign w:val="bottom"/>
          </w:tcPr>
          <w:p w14:paraId="7B455D3A"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tcBorders>
              <w:top w:val="single" w:sz="4" w:space="0" w:color="auto"/>
            </w:tcBorders>
            <w:shd w:val="clear" w:color="auto" w:fill="auto"/>
            <w:tcMar>
              <w:top w:w="100" w:type="dxa"/>
              <w:left w:w="100" w:type="dxa"/>
              <w:bottom w:w="100" w:type="dxa"/>
              <w:right w:w="100" w:type="dxa"/>
            </w:tcMar>
            <w:vAlign w:val="bottom"/>
          </w:tcPr>
          <w:p w14:paraId="2F1678DA"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tcBorders>
              <w:top w:val="single" w:sz="4" w:space="0" w:color="auto"/>
            </w:tcBorders>
            <w:shd w:val="clear" w:color="auto" w:fill="auto"/>
            <w:tcMar>
              <w:top w:w="100" w:type="dxa"/>
              <w:left w:w="100" w:type="dxa"/>
              <w:bottom w:w="100" w:type="dxa"/>
              <w:right w:w="100" w:type="dxa"/>
            </w:tcMar>
            <w:vAlign w:val="bottom"/>
          </w:tcPr>
          <w:p w14:paraId="0C27039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tcBorders>
              <w:top w:val="single" w:sz="4" w:space="0" w:color="auto"/>
            </w:tcBorders>
            <w:shd w:val="clear" w:color="auto" w:fill="auto"/>
            <w:tcMar>
              <w:top w:w="100" w:type="dxa"/>
              <w:left w:w="100" w:type="dxa"/>
              <w:bottom w:w="100" w:type="dxa"/>
              <w:right w:w="100" w:type="dxa"/>
            </w:tcMar>
            <w:vAlign w:val="bottom"/>
          </w:tcPr>
          <w:p w14:paraId="4FC05FE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43703FC1" w14:textId="77777777" w:rsidTr="0096655F">
        <w:trPr>
          <w:trHeight w:val="119"/>
        </w:trPr>
        <w:tc>
          <w:tcPr>
            <w:tcW w:w="3346" w:type="dxa"/>
            <w:shd w:val="clear" w:color="auto" w:fill="auto"/>
            <w:tcMar>
              <w:top w:w="100" w:type="dxa"/>
              <w:left w:w="100" w:type="dxa"/>
              <w:bottom w:w="100" w:type="dxa"/>
              <w:right w:w="100" w:type="dxa"/>
            </w:tcMar>
            <w:vAlign w:val="bottom"/>
          </w:tcPr>
          <w:p w14:paraId="1AB04FD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Median, (SD)</w:t>
            </w:r>
          </w:p>
        </w:tc>
        <w:tc>
          <w:tcPr>
            <w:tcW w:w="1631" w:type="dxa"/>
            <w:shd w:val="clear" w:color="auto" w:fill="auto"/>
            <w:tcMar>
              <w:top w:w="100" w:type="dxa"/>
              <w:left w:w="100" w:type="dxa"/>
              <w:bottom w:w="100" w:type="dxa"/>
              <w:right w:w="100" w:type="dxa"/>
            </w:tcMar>
            <w:vAlign w:val="bottom"/>
          </w:tcPr>
          <w:p w14:paraId="78F3989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55 (12.05)</w:t>
            </w:r>
          </w:p>
        </w:tc>
        <w:tc>
          <w:tcPr>
            <w:tcW w:w="1710" w:type="dxa"/>
            <w:shd w:val="clear" w:color="auto" w:fill="auto"/>
            <w:tcMar>
              <w:top w:w="100" w:type="dxa"/>
              <w:left w:w="100" w:type="dxa"/>
              <w:bottom w:w="100" w:type="dxa"/>
              <w:right w:w="100" w:type="dxa"/>
            </w:tcMar>
            <w:vAlign w:val="bottom"/>
          </w:tcPr>
          <w:p w14:paraId="3431962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54 (11.83)</w:t>
            </w:r>
          </w:p>
        </w:tc>
        <w:tc>
          <w:tcPr>
            <w:tcW w:w="1975" w:type="dxa"/>
            <w:shd w:val="clear" w:color="auto" w:fill="auto"/>
            <w:tcMar>
              <w:top w:w="100" w:type="dxa"/>
              <w:left w:w="100" w:type="dxa"/>
              <w:bottom w:w="100" w:type="dxa"/>
              <w:right w:w="100" w:type="dxa"/>
            </w:tcMar>
            <w:vAlign w:val="bottom"/>
          </w:tcPr>
          <w:p w14:paraId="6D59F9C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55 (12.21)</w:t>
            </w:r>
          </w:p>
        </w:tc>
        <w:tc>
          <w:tcPr>
            <w:tcW w:w="1593" w:type="dxa"/>
            <w:shd w:val="clear" w:color="auto" w:fill="auto"/>
            <w:tcMar>
              <w:top w:w="100" w:type="dxa"/>
              <w:left w:w="100" w:type="dxa"/>
              <w:bottom w:w="100" w:type="dxa"/>
              <w:right w:w="100" w:type="dxa"/>
            </w:tcMar>
            <w:vAlign w:val="bottom"/>
          </w:tcPr>
          <w:p w14:paraId="2FCF6C08"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A66405D" w14:textId="77777777" w:rsidTr="0096655F">
        <w:trPr>
          <w:trHeight w:val="43"/>
        </w:trPr>
        <w:tc>
          <w:tcPr>
            <w:tcW w:w="3346" w:type="dxa"/>
            <w:shd w:val="clear" w:color="auto" w:fill="auto"/>
            <w:tcMar>
              <w:top w:w="100" w:type="dxa"/>
              <w:left w:w="100" w:type="dxa"/>
              <w:bottom w:w="100" w:type="dxa"/>
              <w:right w:w="100" w:type="dxa"/>
            </w:tcMar>
            <w:vAlign w:val="bottom"/>
          </w:tcPr>
          <w:p w14:paraId="444AA89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Sex</w:t>
            </w:r>
          </w:p>
        </w:tc>
        <w:tc>
          <w:tcPr>
            <w:tcW w:w="1631" w:type="dxa"/>
            <w:shd w:val="clear" w:color="auto" w:fill="auto"/>
            <w:tcMar>
              <w:top w:w="100" w:type="dxa"/>
              <w:left w:w="100" w:type="dxa"/>
              <w:bottom w:w="100" w:type="dxa"/>
              <w:right w:w="100" w:type="dxa"/>
            </w:tcMar>
            <w:vAlign w:val="bottom"/>
          </w:tcPr>
          <w:p w14:paraId="7F320AF5"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3DDB470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203F975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429E350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0.650</w:t>
            </w:r>
          </w:p>
        </w:tc>
      </w:tr>
      <w:tr w:rsidR="00932A95" w:rsidRPr="00932A95" w14:paraId="1F944408" w14:textId="77777777" w:rsidTr="0096655F">
        <w:trPr>
          <w:trHeight w:val="223"/>
        </w:trPr>
        <w:tc>
          <w:tcPr>
            <w:tcW w:w="3346" w:type="dxa"/>
            <w:shd w:val="clear" w:color="auto" w:fill="auto"/>
            <w:tcMar>
              <w:top w:w="100" w:type="dxa"/>
              <w:left w:w="100" w:type="dxa"/>
              <w:bottom w:w="100" w:type="dxa"/>
              <w:right w:w="100" w:type="dxa"/>
            </w:tcMar>
            <w:vAlign w:val="bottom"/>
          </w:tcPr>
          <w:p w14:paraId="4FC0074D"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Female</w:t>
            </w:r>
          </w:p>
        </w:tc>
        <w:tc>
          <w:tcPr>
            <w:tcW w:w="1631" w:type="dxa"/>
            <w:shd w:val="clear" w:color="auto" w:fill="auto"/>
            <w:tcMar>
              <w:top w:w="100" w:type="dxa"/>
              <w:left w:w="100" w:type="dxa"/>
              <w:bottom w:w="100" w:type="dxa"/>
              <w:right w:w="100" w:type="dxa"/>
            </w:tcMar>
            <w:vAlign w:val="bottom"/>
          </w:tcPr>
          <w:p w14:paraId="14E4F4CF" w14:textId="19469C62"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18550 (31.8)</w:t>
            </w:r>
          </w:p>
        </w:tc>
        <w:tc>
          <w:tcPr>
            <w:tcW w:w="1710" w:type="dxa"/>
            <w:shd w:val="clear" w:color="auto" w:fill="auto"/>
            <w:tcMar>
              <w:top w:w="100" w:type="dxa"/>
              <w:left w:w="100" w:type="dxa"/>
              <w:bottom w:w="100" w:type="dxa"/>
              <w:right w:w="100" w:type="dxa"/>
            </w:tcMar>
            <w:vAlign w:val="bottom"/>
          </w:tcPr>
          <w:p w14:paraId="2E9068E4" w14:textId="6908FDE5" w:rsidR="008B04D1"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9601 (</w:t>
            </w:r>
            <w:r w:rsidR="002F52BB" w:rsidRPr="00932A95">
              <w:rPr>
                <w:rFonts w:ascii="Book Antiqua" w:hAnsi="Book Antiqua" w:cs="Book Antiqua"/>
                <w:color w:val="auto"/>
                <w:sz w:val="24"/>
                <w:szCs w:val="24"/>
              </w:rPr>
              <w:t>31.6</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7514B570" w14:textId="4510E21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8953 (</w:t>
            </w:r>
            <w:r w:rsidR="002F52BB" w:rsidRPr="00932A95">
              <w:rPr>
                <w:rFonts w:ascii="Book Antiqua" w:hAnsi="Book Antiqua" w:cs="Book Antiqua"/>
                <w:color w:val="auto"/>
                <w:sz w:val="24"/>
                <w:szCs w:val="24"/>
              </w:rPr>
              <w:t>32.0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368175E3"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7A7C4ADA" w14:textId="77777777" w:rsidTr="0096655F">
        <w:trPr>
          <w:trHeight w:val="25"/>
        </w:trPr>
        <w:tc>
          <w:tcPr>
            <w:tcW w:w="3346" w:type="dxa"/>
            <w:shd w:val="clear" w:color="auto" w:fill="auto"/>
            <w:tcMar>
              <w:top w:w="100" w:type="dxa"/>
              <w:left w:w="100" w:type="dxa"/>
              <w:bottom w:w="100" w:type="dxa"/>
              <w:right w:w="100" w:type="dxa"/>
            </w:tcMar>
            <w:vAlign w:val="bottom"/>
          </w:tcPr>
          <w:p w14:paraId="1602B41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Male</w:t>
            </w:r>
          </w:p>
        </w:tc>
        <w:tc>
          <w:tcPr>
            <w:tcW w:w="1631" w:type="dxa"/>
            <w:shd w:val="clear" w:color="auto" w:fill="auto"/>
            <w:tcMar>
              <w:top w:w="100" w:type="dxa"/>
              <w:left w:w="100" w:type="dxa"/>
              <w:bottom w:w="100" w:type="dxa"/>
              <w:right w:w="100" w:type="dxa"/>
            </w:tcMar>
            <w:vAlign w:val="bottom"/>
          </w:tcPr>
          <w:p w14:paraId="00C366EB" w14:textId="1FB14492"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39803 (68.2)</w:t>
            </w:r>
          </w:p>
        </w:tc>
        <w:tc>
          <w:tcPr>
            <w:tcW w:w="1710" w:type="dxa"/>
            <w:shd w:val="clear" w:color="auto" w:fill="auto"/>
            <w:tcMar>
              <w:top w:w="100" w:type="dxa"/>
              <w:left w:w="100" w:type="dxa"/>
              <w:bottom w:w="100" w:type="dxa"/>
              <w:right w:w="100" w:type="dxa"/>
            </w:tcMar>
            <w:vAlign w:val="bottom"/>
          </w:tcPr>
          <w:p w14:paraId="634FFE51" w14:textId="50CEB3B4"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20781 (</w:t>
            </w:r>
            <w:r w:rsidR="002F52BB" w:rsidRPr="00932A95">
              <w:rPr>
                <w:rFonts w:ascii="Book Antiqua" w:hAnsi="Book Antiqua" w:cs="Book Antiqua"/>
                <w:color w:val="auto"/>
                <w:sz w:val="24"/>
                <w:szCs w:val="24"/>
              </w:rPr>
              <w:t>68.4</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0EDC4511" w14:textId="31DE3F74"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19026 (</w:t>
            </w:r>
            <w:r w:rsidR="002F52BB" w:rsidRPr="00932A95">
              <w:rPr>
                <w:rFonts w:ascii="Book Antiqua" w:hAnsi="Book Antiqua" w:cs="Book Antiqua"/>
                <w:color w:val="auto"/>
                <w:sz w:val="24"/>
                <w:szCs w:val="24"/>
              </w:rPr>
              <w:t>68.0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335261BC"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69AB2E17" w14:textId="77777777" w:rsidTr="0096655F">
        <w:trPr>
          <w:trHeight w:val="25"/>
        </w:trPr>
        <w:tc>
          <w:tcPr>
            <w:tcW w:w="3346" w:type="dxa"/>
            <w:shd w:val="clear" w:color="auto" w:fill="auto"/>
            <w:tcMar>
              <w:top w:w="100" w:type="dxa"/>
              <w:left w:w="100" w:type="dxa"/>
              <w:bottom w:w="100" w:type="dxa"/>
              <w:right w:w="100" w:type="dxa"/>
            </w:tcMar>
            <w:vAlign w:val="bottom"/>
          </w:tcPr>
          <w:p w14:paraId="0D507A1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Race</w:t>
            </w:r>
          </w:p>
        </w:tc>
        <w:tc>
          <w:tcPr>
            <w:tcW w:w="1631" w:type="dxa"/>
            <w:shd w:val="clear" w:color="auto" w:fill="auto"/>
            <w:tcMar>
              <w:top w:w="100" w:type="dxa"/>
              <w:left w:w="100" w:type="dxa"/>
              <w:bottom w:w="100" w:type="dxa"/>
              <w:right w:w="100" w:type="dxa"/>
            </w:tcMar>
            <w:vAlign w:val="bottom"/>
          </w:tcPr>
          <w:p w14:paraId="6367B52A"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1C9E080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75A7442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2CEF0BF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58C3DA8D" w14:textId="77777777" w:rsidTr="0096655F">
        <w:trPr>
          <w:trHeight w:val="25"/>
        </w:trPr>
        <w:tc>
          <w:tcPr>
            <w:tcW w:w="3346" w:type="dxa"/>
            <w:shd w:val="clear" w:color="auto" w:fill="auto"/>
            <w:tcMar>
              <w:top w:w="100" w:type="dxa"/>
              <w:left w:w="100" w:type="dxa"/>
              <w:bottom w:w="100" w:type="dxa"/>
              <w:right w:w="100" w:type="dxa"/>
            </w:tcMar>
            <w:vAlign w:val="bottom"/>
          </w:tcPr>
          <w:p w14:paraId="67141201"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White</w:t>
            </w:r>
          </w:p>
        </w:tc>
        <w:tc>
          <w:tcPr>
            <w:tcW w:w="1631" w:type="dxa"/>
            <w:shd w:val="clear" w:color="auto" w:fill="auto"/>
            <w:tcMar>
              <w:top w:w="100" w:type="dxa"/>
              <w:left w:w="100" w:type="dxa"/>
              <w:bottom w:w="100" w:type="dxa"/>
              <w:right w:w="100" w:type="dxa"/>
            </w:tcMar>
            <w:vAlign w:val="bottom"/>
          </w:tcPr>
          <w:p w14:paraId="08038E8D" w14:textId="55E9CA43"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35192 (60.3)</w:t>
            </w:r>
          </w:p>
        </w:tc>
        <w:tc>
          <w:tcPr>
            <w:tcW w:w="1710" w:type="dxa"/>
            <w:shd w:val="clear" w:color="auto" w:fill="auto"/>
            <w:tcMar>
              <w:top w:w="100" w:type="dxa"/>
              <w:left w:w="100" w:type="dxa"/>
              <w:bottom w:w="100" w:type="dxa"/>
              <w:right w:w="100" w:type="dxa"/>
            </w:tcMar>
            <w:vAlign w:val="bottom"/>
          </w:tcPr>
          <w:p w14:paraId="0B807711" w14:textId="30DECDCF"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17166 (</w:t>
            </w:r>
            <w:r w:rsidR="002F52BB" w:rsidRPr="00932A95">
              <w:rPr>
                <w:rFonts w:ascii="Book Antiqua" w:hAnsi="Book Antiqua" w:cs="Book Antiqua"/>
                <w:color w:val="auto"/>
                <w:sz w:val="24"/>
                <w:szCs w:val="24"/>
              </w:rPr>
              <w:t>56.5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5A64715C" w14:textId="45215B2B"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18018 (</w:t>
            </w:r>
            <w:r w:rsidR="002F52BB" w:rsidRPr="00932A95">
              <w:rPr>
                <w:rFonts w:ascii="Book Antiqua" w:hAnsi="Book Antiqua" w:cs="Book Antiqua"/>
                <w:color w:val="auto"/>
                <w:sz w:val="24"/>
                <w:szCs w:val="24"/>
              </w:rPr>
              <w:t>64.4</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5A5DBA60"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105B3A9E" w14:textId="77777777" w:rsidTr="0096655F">
        <w:trPr>
          <w:trHeight w:val="25"/>
        </w:trPr>
        <w:tc>
          <w:tcPr>
            <w:tcW w:w="3346" w:type="dxa"/>
            <w:shd w:val="clear" w:color="auto" w:fill="auto"/>
            <w:tcMar>
              <w:top w:w="100" w:type="dxa"/>
              <w:left w:w="100" w:type="dxa"/>
              <w:bottom w:w="100" w:type="dxa"/>
              <w:right w:w="100" w:type="dxa"/>
            </w:tcMar>
            <w:vAlign w:val="bottom"/>
          </w:tcPr>
          <w:p w14:paraId="6CA43FB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Black</w:t>
            </w:r>
          </w:p>
        </w:tc>
        <w:tc>
          <w:tcPr>
            <w:tcW w:w="1631" w:type="dxa"/>
            <w:shd w:val="clear" w:color="auto" w:fill="auto"/>
            <w:tcMar>
              <w:top w:w="100" w:type="dxa"/>
              <w:left w:w="100" w:type="dxa"/>
              <w:bottom w:w="100" w:type="dxa"/>
              <w:right w:w="100" w:type="dxa"/>
            </w:tcMar>
            <w:vAlign w:val="bottom"/>
          </w:tcPr>
          <w:p w14:paraId="742D5048" w14:textId="725BBC83"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4202 (</w:t>
            </w:r>
            <w:r w:rsidR="002F52BB" w:rsidRPr="00932A95">
              <w:rPr>
                <w:rFonts w:ascii="Book Antiqua" w:hAnsi="Book Antiqua" w:cs="Book Antiqua"/>
                <w:color w:val="auto"/>
                <w:sz w:val="24"/>
                <w:szCs w:val="24"/>
              </w:rPr>
              <w:t>7.2</w:t>
            </w:r>
            <w:r>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096DBD4A" w14:textId="45BB470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2917 (</w:t>
            </w:r>
            <w:r w:rsidR="002F52BB" w:rsidRPr="00932A95">
              <w:rPr>
                <w:rFonts w:ascii="Book Antiqua" w:hAnsi="Book Antiqua" w:cs="Book Antiqua"/>
                <w:color w:val="auto"/>
                <w:sz w:val="24"/>
                <w:szCs w:val="24"/>
              </w:rPr>
              <w:t>9.6</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52037F59" w14:textId="0726660B"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1287 (</w:t>
            </w:r>
            <w:r w:rsidR="002F52BB" w:rsidRPr="00932A95">
              <w:rPr>
                <w:rFonts w:ascii="Book Antiqua" w:hAnsi="Book Antiqua" w:cs="Book Antiqua"/>
                <w:color w:val="auto"/>
                <w:sz w:val="24"/>
                <w:szCs w:val="24"/>
              </w:rPr>
              <w:t>4.6</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6B394D66"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2CFDD3D8" w14:textId="77777777" w:rsidTr="0096655F">
        <w:trPr>
          <w:trHeight w:val="25"/>
        </w:trPr>
        <w:tc>
          <w:tcPr>
            <w:tcW w:w="3346" w:type="dxa"/>
            <w:shd w:val="clear" w:color="auto" w:fill="auto"/>
            <w:tcMar>
              <w:top w:w="100" w:type="dxa"/>
              <w:left w:w="100" w:type="dxa"/>
              <w:bottom w:w="100" w:type="dxa"/>
              <w:right w:w="100" w:type="dxa"/>
            </w:tcMar>
            <w:vAlign w:val="bottom"/>
          </w:tcPr>
          <w:p w14:paraId="16E47CEB"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Hispanic</w:t>
            </w:r>
          </w:p>
        </w:tc>
        <w:tc>
          <w:tcPr>
            <w:tcW w:w="1631" w:type="dxa"/>
            <w:shd w:val="clear" w:color="auto" w:fill="auto"/>
            <w:tcMar>
              <w:top w:w="100" w:type="dxa"/>
              <w:left w:w="100" w:type="dxa"/>
              <w:bottom w:w="100" w:type="dxa"/>
              <w:right w:w="100" w:type="dxa"/>
            </w:tcMar>
            <w:vAlign w:val="bottom"/>
          </w:tcPr>
          <w:p w14:paraId="5698FBB7" w14:textId="4BE5EBE6"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11030 (</w:t>
            </w:r>
            <w:r w:rsidR="002F52BB" w:rsidRPr="00932A95">
              <w:rPr>
                <w:rFonts w:ascii="Book Antiqua" w:hAnsi="Book Antiqua" w:cs="Book Antiqua"/>
                <w:color w:val="auto"/>
                <w:sz w:val="24"/>
                <w:szCs w:val="24"/>
              </w:rPr>
              <w:t>18.9</w:t>
            </w:r>
            <w:r>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45FD8C19" w14:textId="1EC8037B"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5924 (1</w:t>
            </w:r>
            <w:r w:rsidR="002F52BB" w:rsidRPr="00932A95">
              <w:rPr>
                <w:rFonts w:ascii="Book Antiqua" w:hAnsi="Book Antiqua" w:cs="Book Antiqua"/>
                <w:color w:val="auto"/>
                <w:sz w:val="24"/>
                <w:szCs w:val="24"/>
              </w:rPr>
              <w:t>9.5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2AF47526" w14:textId="172D451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5092 (</w:t>
            </w:r>
            <w:r w:rsidR="002F52BB" w:rsidRPr="00932A95">
              <w:rPr>
                <w:rFonts w:ascii="Book Antiqua" w:hAnsi="Book Antiqua" w:cs="Book Antiqua"/>
                <w:color w:val="auto"/>
                <w:sz w:val="24"/>
                <w:szCs w:val="24"/>
              </w:rPr>
              <w:t>18.2</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F3EF304"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37921E3E" w14:textId="77777777" w:rsidTr="0096655F">
        <w:trPr>
          <w:trHeight w:val="25"/>
        </w:trPr>
        <w:tc>
          <w:tcPr>
            <w:tcW w:w="3346" w:type="dxa"/>
            <w:shd w:val="clear" w:color="auto" w:fill="auto"/>
            <w:tcMar>
              <w:top w:w="100" w:type="dxa"/>
              <w:left w:w="100" w:type="dxa"/>
              <w:bottom w:w="100" w:type="dxa"/>
              <w:right w:w="100" w:type="dxa"/>
            </w:tcMar>
            <w:vAlign w:val="bottom"/>
          </w:tcPr>
          <w:p w14:paraId="20B4D4D2"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Asian or Pacific Islander</w:t>
            </w:r>
          </w:p>
        </w:tc>
        <w:tc>
          <w:tcPr>
            <w:tcW w:w="1631" w:type="dxa"/>
            <w:shd w:val="clear" w:color="auto" w:fill="auto"/>
            <w:tcMar>
              <w:top w:w="100" w:type="dxa"/>
              <w:left w:w="100" w:type="dxa"/>
              <w:bottom w:w="100" w:type="dxa"/>
              <w:right w:w="100" w:type="dxa"/>
            </w:tcMar>
            <w:vAlign w:val="bottom"/>
          </w:tcPr>
          <w:p w14:paraId="54553D7A" w14:textId="16144258" w:rsidR="0011433B" w:rsidRPr="00932A95" w:rsidRDefault="0096655F"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1167 (</w:t>
            </w:r>
            <w:r w:rsidR="002F52BB" w:rsidRPr="00932A95">
              <w:rPr>
                <w:rFonts w:ascii="Book Antiqua" w:hAnsi="Book Antiqua" w:cs="Book Antiqua"/>
                <w:color w:val="auto"/>
                <w:sz w:val="24"/>
                <w:szCs w:val="24"/>
              </w:rPr>
              <w:t>2.0</w:t>
            </w:r>
            <w:r>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65244C35" w14:textId="55EAC21A"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668 (</w:t>
            </w:r>
            <w:r w:rsidR="002F52BB" w:rsidRPr="00932A95">
              <w:rPr>
                <w:rFonts w:ascii="Book Antiqua" w:hAnsi="Book Antiqua" w:cs="Book Antiqua"/>
                <w:color w:val="auto"/>
                <w:sz w:val="24"/>
                <w:szCs w:val="24"/>
              </w:rPr>
              <w:t>2.2</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3C8C73C2" w14:textId="04EC8FF0"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532 (</w:t>
            </w:r>
            <w:r w:rsidR="002F52BB" w:rsidRPr="00932A95">
              <w:rPr>
                <w:rFonts w:ascii="Book Antiqua" w:hAnsi="Book Antiqua" w:cs="Book Antiqua"/>
                <w:color w:val="auto"/>
                <w:sz w:val="24"/>
                <w:szCs w:val="24"/>
              </w:rPr>
              <w:t>1.90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3419F88"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6564B491" w14:textId="77777777" w:rsidTr="0096655F">
        <w:trPr>
          <w:trHeight w:val="25"/>
        </w:trPr>
        <w:tc>
          <w:tcPr>
            <w:tcW w:w="3346" w:type="dxa"/>
            <w:shd w:val="clear" w:color="auto" w:fill="auto"/>
            <w:tcMar>
              <w:top w:w="100" w:type="dxa"/>
              <w:left w:w="100" w:type="dxa"/>
              <w:bottom w:w="100" w:type="dxa"/>
              <w:right w:w="100" w:type="dxa"/>
            </w:tcMar>
            <w:vAlign w:val="bottom"/>
          </w:tcPr>
          <w:p w14:paraId="7B9EF17C"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Native American</w:t>
            </w:r>
          </w:p>
        </w:tc>
        <w:tc>
          <w:tcPr>
            <w:tcW w:w="1631" w:type="dxa"/>
            <w:shd w:val="clear" w:color="auto" w:fill="auto"/>
            <w:tcMar>
              <w:top w:w="100" w:type="dxa"/>
              <w:left w:w="100" w:type="dxa"/>
              <w:bottom w:w="100" w:type="dxa"/>
              <w:right w:w="100" w:type="dxa"/>
            </w:tcMar>
            <w:vAlign w:val="bottom"/>
          </w:tcPr>
          <w:p w14:paraId="1BA30E65" w14:textId="438FFF8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875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1.5</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596C0558" w14:textId="2A253949"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486 (</w:t>
            </w:r>
            <w:r w:rsidR="002F52BB" w:rsidRPr="00932A95">
              <w:rPr>
                <w:rFonts w:ascii="Book Antiqua" w:hAnsi="Book Antiqua" w:cs="Book Antiqua"/>
                <w:color w:val="auto"/>
                <w:sz w:val="24"/>
                <w:szCs w:val="24"/>
              </w:rPr>
              <w:t>1.6</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2015D3D7" w14:textId="5A5A54C0"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392 (</w:t>
            </w:r>
            <w:r w:rsidR="002F52BB" w:rsidRPr="00932A95">
              <w:rPr>
                <w:rFonts w:ascii="Book Antiqua" w:hAnsi="Book Antiqua" w:cs="Book Antiqua"/>
                <w:color w:val="auto"/>
                <w:sz w:val="24"/>
                <w:szCs w:val="24"/>
              </w:rPr>
              <w:t>1.40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006CB4E7"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BC044DE" w14:textId="77777777" w:rsidTr="0096655F">
        <w:trPr>
          <w:trHeight w:val="25"/>
        </w:trPr>
        <w:tc>
          <w:tcPr>
            <w:tcW w:w="3346" w:type="dxa"/>
            <w:shd w:val="clear" w:color="auto" w:fill="auto"/>
            <w:tcMar>
              <w:top w:w="100" w:type="dxa"/>
              <w:left w:w="100" w:type="dxa"/>
              <w:bottom w:w="100" w:type="dxa"/>
              <w:right w:w="100" w:type="dxa"/>
            </w:tcMar>
            <w:vAlign w:val="bottom"/>
          </w:tcPr>
          <w:p w14:paraId="637016C9"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Other</w:t>
            </w:r>
          </w:p>
        </w:tc>
        <w:tc>
          <w:tcPr>
            <w:tcW w:w="1631" w:type="dxa"/>
            <w:shd w:val="clear" w:color="auto" w:fill="auto"/>
            <w:tcMar>
              <w:top w:w="100" w:type="dxa"/>
              <w:left w:w="100" w:type="dxa"/>
              <w:bottom w:w="100" w:type="dxa"/>
              <w:right w:w="100" w:type="dxa"/>
            </w:tcMar>
            <w:vAlign w:val="bottom"/>
          </w:tcPr>
          <w:p w14:paraId="5E2708D7" w14:textId="0649E1D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1751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3.0</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1A8B088F" w14:textId="7A3A4093"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1063 (</w:t>
            </w:r>
            <w:r w:rsidR="002F52BB" w:rsidRPr="00932A95">
              <w:rPr>
                <w:rFonts w:ascii="Book Antiqua" w:hAnsi="Book Antiqua" w:cs="Book Antiqua"/>
                <w:color w:val="auto"/>
                <w:sz w:val="24"/>
                <w:szCs w:val="24"/>
              </w:rPr>
              <w:t>3.5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62D4115E" w14:textId="2389D1D8"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699 (</w:t>
            </w:r>
            <w:r w:rsidR="002F52BB" w:rsidRPr="00932A95">
              <w:rPr>
                <w:rFonts w:ascii="Book Antiqua" w:hAnsi="Book Antiqua" w:cs="Book Antiqua"/>
                <w:color w:val="auto"/>
                <w:sz w:val="24"/>
                <w:szCs w:val="24"/>
              </w:rPr>
              <w:t>2.50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CAB1E8F"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4617D58" w14:textId="77777777" w:rsidTr="0096655F">
        <w:trPr>
          <w:trHeight w:val="25"/>
        </w:trPr>
        <w:tc>
          <w:tcPr>
            <w:tcW w:w="3346" w:type="dxa"/>
            <w:shd w:val="clear" w:color="auto" w:fill="auto"/>
            <w:tcMar>
              <w:top w:w="100" w:type="dxa"/>
              <w:left w:w="100" w:type="dxa"/>
              <w:bottom w:w="100" w:type="dxa"/>
              <w:right w:w="100" w:type="dxa"/>
            </w:tcMar>
            <w:vAlign w:val="bottom"/>
          </w:tcPr>
          <w:p w14:paraId="2A1EC84D"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Missing</w:t>
            </w:r>
          </w:p>
        </w:tc>
        <w:tc>
          <w:tcPr>
            <w:tcW w:w="1631" w:type="dxa"/>
            <w:shd w:val="clear" w:color="auto" w:fill="auto"/>
            <w:tcMar>
              <w:top w:w="100" w:type="dxa"/>
              <w:left w:w="100" w:type="dxa"/>
              <w:bottom w:w="100" w:type="dxa"/>
              <w:right w:w="100" w:type="dxa"/>
            </w:tcMar>
            <w:vAlign w:val="bottom"/>
          </w:tcPr>
          <w:p w14:paraId="79F6E8AB" w14:textId="5B68BC42"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4144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7.1</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1048D8E4" w14:textId="27CC3EC4"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2188 (</w:t>
            </w:r>
            <w:r w:rsidR="002F52BB" w:rsidRPr="00932A95">
              <w:rPr>
                <w:rFonts w:ascii="Book Antiqua" w:hAnsi="Book Antiqua" w:cs="Book Antiqua"/>
                <w:color w:val="auto"/>
                <w:sz w:val="24"/>
                <w:szCs w:val="24"/>
              </w:rPr>
              <w:t>7.2</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55B5648A" w14:textId="2769E9EC"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1959 (</w:t>
            </w:r>
            <w:r w:rsidR="002F52BB" w:rsidRPr="00932A95">
              <w:rPr>
                <w:rFonts w:ascii="Book Antiqua" w:hAnsi="Book Antiqua" w:cs="Book Antiqua"/>
                <w:color w:val="auto"/>
                <w:sz w:val="24"/>
                <w:szCs w:val="24"/>
              </w:rPr>
              <w:t>7.0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2ADEE770"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6144B944" w14:textId="77777777" w:rsidTr="0096655F">
        <w:trPr>
          <w:trHeight w:val="25"/>
        </w:trPr>
        <w:tc>
          <w:tcPr>
            <w:tcW w:w="3346" w:type="dxa"/>
            <w:shd w:val="clear" w:color="auto" w:fill="auto"/>
            <w:tcMar>
              <w:top w:w="100" w:type="dxa"/>
              <w:left w:w="100" w:type="dxa"/>
              <w:bottom w:w="100" w:type="dxa"/>
              <w:right w:w="100" w:type="dxa"/>
            </w:tcMar>
            <w:vAlign w:val="bottom"/>
          </w:tcPr>
          <w:p w14:paraId="6B1261A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Primary payer</w:t>
            </w:r>
          </w:p>
        </w:tc>
        <w:tc>
          <w:tcPr>
            <w:tcW w:w="1631" w:type="dxa"/>
            <w:shd w:val="clear" w:color="auto" w:fill="auto"/>
            <w:tcMar>
              <w:top w:w="100" w:type="dxa"/>
              <w:left w:w="100" w:type="dxa"/>
              <w:bottom w:w="100" w:type="dxa"/>
              <w:right w:w="100" w:type="dxa"/>
            </w:tcMar>
            <w:vAlign w:val="bottom"/>
          </w:tcPr>
          <w:p w14:paraId="3B38FE7D"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1487CB84"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38975315"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205B151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1014B28F" w14:textId="77777777" w:rsidTr="0096655F">
        <w:trPr>
          <w:trHeight w:val="25"/>
        </w:trPr>
        <w:tc>
          <w:tcPr>
            <w:tcW w:w="3346" w:type="dxa"/>
            <w:shd w:val="clear" w:color="auto" w:fill="auto"/>
            <w:tcMar>
              <w:top w:w="100" w:type="dxa"/>
              <w:left w:w="100" w:type="dxa"/>
              <w:bottom w:w="100" w:type="dxa"/>
              <w:right w:w="100" w:type="dxa"/>
            </w:tcMar>
            <w:vAlign w:val="bottom"/>
          </w:tcPr>
          <w:p w14:paraId="2484627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Medicare</w:t>
            </w:r>
          </w:p>
        </w:tc>
        <w:tc>
          <w:tcPr>
            <w:tcW w:w="1631" w:type="dxa"/>
            <w:shd w:val="clear" w:color="auto" w:fill="auto"/>
            <w:tcMar>
              <w:top w:w="100" w:type="dxa"/>
              <w:left w:w="100" w:type="dxa"/>
              <w:bottom w:w="100" w:type="dxa"/>
              <w:right w:w="100" w:type="dxa"/>
            </w:tcMar>
            <w:vAlign w:val="bottom"/>
          </w:tcPr>
          <w:p w14:paraId="05C20CE8" w14:textId="5C0B05B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18442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31.6</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0075D110" w14:textId="6190A65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8720 (</w:t>
            </w:r>
            <w:r w:rsidR="002F52BB" w:rsidRPr="00932A95">
              <w:rPr>
                <w:rFonts w:ascii="Book Antiqua" w:hAnsi="Book Antiqua" w:cs="Book Antiqua"/>
                <w:color w:val="auto"/>
                <w:sz w:val="24"/>
                <w:szCs w:val="24"/>
              </w:rPr>
              <w:t>28.7</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42E20FCE" w14:textId="27CF9846"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9709 (</w:t>
            </w:r>
            <w:r w:rsidR="002F52BB" w:rsidRPr="00932A95">
              <w:rPr>
                <w:rFonts w:ascii="Book Antiqua" w:hAnsi="Book Antiqua" w:cs="Book Antiqua"/>
                <w:color w:val="auto"/>
                <w:sz w:val="24"/>
                <w:szCs w:val="24"/>
              </w:rPr>
              <w:t>34.7</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5852621"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71C43D3" w14:textId="77777777" w:rsidTr="0096655F">
        <w:trPr>
          <w:trHeight w:val="25"/>
        </w:trPr>
        <w:tc>
          <w:tcPr>
            <w:tcW w:w="3346" w:type="dxa"/>
            <w:shd w:val="clear" w:color="auto" w:fill="auto"/>
            <w:tcMar>
              <w:top w:w="100" w:type="dxa"/>
              <w:left w:w="100" w:type="dxa"/>
              <w:bottom w:w="100" w:type="dxa"/>
              <w:right w:w="100" w:type="dxa"/>
            </w:tcMar>
            <w:vAlign w:val="bottom"/>
          </w:tcPr>
          <w:p w14:paraId="0512C11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Medicaid</w:t>
            </w:r>
          </w:p>
        </w:tc>
        <w:tc>
          <w:tcPr>
            <w:tcW w:w="1631" w:type="dxa"/>
            <w:shd w:val="clear" w:color="auto" w:fill="auto"/>
            <w:tcMar>
              <w:top w:w="100" w:type="dxa"/>
              <w:left w:w="100" w:type="dxa"/>
              <w:bottom w:w="100" w:type="dxa"/>
              <w:right w:w="100" w:type="dxa"/>
            </w:tcMar>
            <w:vAlign w:val="bottom"/>
          </w:tcPr>
          <w:p w14:paraId="3B86381E" w14:textId="2DE64FB6"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13540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23.2</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2723A98C" w14:textId="05494559"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7869 (</w:t>
            </w:r>
            <w:r w:rsidR="002F52BB" w:rsidRPr="00932A95">
              <w:rPr>
                <w:rFonts w:ascii="Book Antiqua" w:hAnsi="Book Antiqua" w:cs="Book Antiqua"/>
                <w:color w:val="auto"/>
                <w:sz w:val="24"/>
                <w:szCs w:val="24"/>
              </w:rPr>
              <w:t>25.9</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E2C20C0" w14:textId="3FA74EEA"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5680 (</w:t>
            </w:r>
            <w:r w:rsidR="002F52BB" w:rsidRPr="00932A95">
              <w:rPr>
                <w:rFonts w:ascii="Book Antiqua" w:hAnsi="Book Antiqua" w:cs="Book Antiqua"/>
                <w:color w:val="auto"/>
                <w:sz w:val="24"/>
                <w:szCs w:val="24"/>
              </w:rPr>
              <w:t>20.3</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1DF124C4"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3EE2B52" w14:textId="77777777" w:rsidTr="0096655F">
        <w:trPr>
          <w:trHeight w:val="25"/>
        </w:trPr>
        <w:tc>
          <w:tcPr>
            <w:tcW w:w="3346" w:type="dxa"/>
            <w:shd w:val="clear" w:color="auto" w:fill="auto"/>
            <w:tcMar>
              <w:top w:w="100" w:type="dxa"/>
              <w:left w:w="100" w:type="dxa"/>
              <w:bottom w:w="100" w:type="dxa"/>
              <w:right w:w="100" w:type="dxa"/>
            </w:tcMar>
            <w:vAlign w:val="bottom"/>
          </w:tcPr>
          <w:p w14:paraId="2262E094" w14:textId="77777777" w:rsidR="0011433B" w:rsidRPr="00932A95" w:rsidRDefault="002F52BB" w:rsidP="00374FC0">
            <w:pPr>
              <w:spacing w:line="360" w:lineRule="auto"/>
              <w:ind w:left="800" w:hanging="260"/>
              <w:jc w:val="both"/>
              <w:rPr>
                <w:rFonts w:ascii="Book Antiqua" w:hAnsi="Book Antiqua" w:cs="Book Antiqua"/>
                <w:color w:val="auto"/>
                <w:sz w:val="24"/>
                <w:szCs w:val="24"/>
              </w:rPr>
            </w:pPr>
            <w:r w:rsidRPr="00932A95">
              <w:rPr>
                <w:rFonts w:ascii="Book Antiqua" w:hAnsi="Book Antiqua" w:cs="Book Antiqua"/>
                <w:color w:val="auto"/>
                <w:sz w:val="24"/>
                <w:szCs w:val="24"/>
              </w:rPr>
              <w:t>Private and HMO</w:t>
            </w:r>
          </w:p>
        </w:tc>
        <w:tc>
          <w:tcPr>
            <w:tcW w:w="1631" w:type="dxa"/>
            <w:shd w:val="clear" w:color="auto" w:fill="auto"/>
            <w:tcMar>
              <w:top w:w="100" w:type="dxa"/>
              <w:left w:w="100" w:type="dxa"/>
              <w:bottom w:w="100" w:type="dxa"/>
              <w:right w:w="100" w:type="dxa"/>
            </w:tcMar>
            <w:vAlign w:val="bottom"/>
          </w:tcPr>
          <w:p w14:paraId="464E48F5" w14:textId="778CCEFB"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14824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25.4</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4451CBE0" w14:textId="66F62B97"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7960 (</w:t>
            </w:r>
            <w:r w:rsidR="002F52BB" w:rsidRPr="00932A95">
              <w:rPr>
                <w:rFonts w:ascii="Book Antiqua" w:hAnsi="Book Antiqua" w:cs="Book Antiqua"/>
                <w:color w:val="auto"/>
                <w:sz w:val="24"/>
                <w:szCs w:val="24"/>
              </w:rPr>
              <w:t>26.2</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107274C" w14:textId="2FB48A9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6855 (</w:t>
            </w:r>
            <w:r w:rsidR="002F52BB" w:rsidRPr="00932A95">
              <w:rPr>
                <w:rFonts w:ascii="Book Antiqua" w:hAnsi="Book Antiqua" w:cs="Book Antiqua"/>
                <w:color w:val="auto"/>
                <w:sz w:val="24"/>
                <w:szCs w:val="24"/>
              </w:rPr>
              <w:t>24.5</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5A7B36B2"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3D6920CA" w14:textId="77777777" w:rsidTr="0096655F">
        <w:trPr>
          <w:trHeight w:val="25"/>
        </w:trPr>
        <w:tc>
          <w:tcPr>
            <w:tcW w:w="3346" w:type="dxa"/>
            <w:shd w:val="clear" w:color="auto" w:fill="auto"/>
            <w:tcMar>
              <w:top w:w="100" w:type="dxa"/>
              <w:left w:w="100" w:type="dxa"/>
              <w:bottom w:w="100" w:type="dxa"/>
              <w:right w:w="100" w:type="dxa"/>
            </w:tcMar>
            <w:vAlign w:val="bottom"/>
          </w:tcPr>
          <w:p w14:paraId="2300CEC5"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Self-pay</w:t>
            </w:r>
          </w:p>
        </w:tc>
        <w:tc>
          <w:tcPr>
            <w:tcW w:w="1631" w:type="dxa"/>
            <w:shd w:val="clear" w:color="auto" w:fill="auto"/>
            <w:tcMar>
              <w:top w:w="100" w:type="dxa"/>
              <w:left w:w="100" w:type="dxa"/>
              <w:bottom w:w="100" w:type="dxa"/>
              <w:right w:w="100" w:type="dxa"/>
            </w:tcMar>
            <w:vAlign w:val="bottom"/>
          </w:tcPr>
          <w:p w14:paraId="71091735" w14:textId="6FED7987"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7587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13.0</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04CC3C93" w14:textId="0CF32BE8"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3767 (</w:t>
            </w:r>
            <w:r w:rsidR="002F52BB" w:rsidRPr="00932A95">
              <w:rPr>
                <w:rFonts w:ascii="Book Antiqua" w:hAnsi="Book Antiqua" w:cs="Book Antiqua"/>
                <w:color w:val="auto"/>
                <w:sz w:val="24"/>
                <w:szCs w:val="24"/>
              </w:rPr>
              <w:t>12.4</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2A3C91AB" w14:textId="5EEEA921"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3805 (</w:t>
            </w:r>
            <w:r w:rsidR="002F52BB" w:rsidRPr="00932A95">
              <w:rPr>
                <w:rFonts w:ascii="Book Antiqua" w:hAnsi="Book Antiqua" w:cs="Book Antiqua"/>
                <w:color w:val="auto"/>
                <w:sz w:val="24"/>
                <w:szCs w:val="24"/>
              </w:rPr>
              <w:t>13.6</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0AD24C9"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2FC9F5B9" w14:textId="77777777" w:rsidTr="0096655F">
        <w:trPr>
          <w:trHeight w:val="25"/>
        </w:trPr>
        <w:tc>
          <w:tcPr>
            <w:tcW w:w="3346" w:type="dxa"/>
            <w:shd w:val="clear" w:color="auto" w:fill="auto"/>
            <w:tcMar>
              <w:top w:w="100" w:type="dxa"/>
              <w:left w:w="100" w:type="dxa"/>
              <w:bottom w:w="100" w:type="dxa"/>
              <w:right w:w="100" w:type="dxa"/>
            </w:tcMar>
            <w:vAlign w:val="bottom"/>
          </w:tcPr>
          <w:p w14:paraId="051BC34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No charge</w:t>
            </w:r>
          </w:p>
        </w:tc>
        <w:tc>
          <w:tcPr>
            <w:tcW w:w="1631" w:type="dxa"/>
            <w:shd w:val="clear" w:color="auto" w:fill="auto"/>
            <w:tcMar>
              <w:top w:w="100" w:type="dxa"/>
              <w:left w:w="100" w:type="dxa"/>
              <w:bottom w:w="100" w:type="dxa"/>
              <w:right w:w="100" w:type="dxa"/>
            </w:tcMar>
            <w:vAlign w:val="bottom"/>
          </w:tcPr>
          <w:p w14:paraId="151EF866" w14:textId="045C241C"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700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1.2</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602C1BB9" w14:textId="67E813E8"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425 (</w:t>
            </w:r>
            <w:r w:rsidR="002F52BB" w:rsidRPr="00932A95">
              <w:rPr>
                <w:rFonts w:ascii="Book Antiqua" w:hAnsi="Book Antiqua" w:cs="Book Antiqua"/>
                <w:color w:val="auto"/>
                <w:sz w:val="24"/>
                <w:szCs w:val="24"/>
              </w:rPr>
              <w:t>1.4</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7306AAA" w14:textId="00CA274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308 (</w:t>
            </w:r>
            <w:r w:rsidR="002F52BB" w:rsidRPr="00932A95">
              <w:rPr>
                <w:rFonts w:ascii="Book Antiqua" w:hAnsi="Book Antiqua" w:cs="Book Antiqua"/>
                <w:color w:val="auto"/>
                <w:sz w:val="24"/>
                <w:szCs w:val="24"/>
              </w:rPr>
              <w:t>1.1</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3778C929"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58B26920" w14:textId="77777777" w:rsidTr="0096655F">
        <w:trPr>
          <w:trHeight w:val="25"/>
        </w:trPr>
        <w:tc>
          <w:tcPr>
            <w:tcW w:w="3346" w:type="dxa"/>
            <w:shd w:val="clear" w:color="auto" w:fill="auto"/>
            <w:tcMar>
              <w:top w:w="100" w:type="dxa"/>
              <w:left w:w="100" w:type="dxa"/>
              <w:bottom w:w="100" w:type="dxa"/>
              <w:right w:w="100" w:type="dxa"/>
            </w:tcMar>
            <w:vAlign w:val="bottom"/>
          </w:tcPr>
          <w:p w14:paraId="71E48D2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Other</w:t>
            </w:r>
          </w:p>
        </w:tc>
        <w:tc>
          <w:tcPr>
            <w:tcW w:w="1631" w:type="dxa"/>
            <w:shd w:val="clear" w:color="auto" w:fill="auto"/>
            <w:tcMar>
              <w:top w:w="100" w:type="dxa"/>
              <w:left w:w="100" w:type="dxa"/>
              <w:bottom w:w="100" w:type="dxa"/>
              <w:right w:w="100" w:type="dxa"/>
            </w:tcMar>
            <w:vAlign w:val="bottom"/>
          </w:tcPr>
          <w:p w14:paraId="6807EDED" w14:textId="5DE20795"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3268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5.6</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133F9882" w14:textId="4D50A71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1671 (</w:t>
            </w:r>
            <w:r w:rsidR="002F52BB" w:rsidRPr="00932A95">
              <w:rPr>
                <w:rFonts w:ascii="Book Antiqua" w:hAnsi="Book Antiqua" w:cs="Book Antiqua"/>
                <w:color w:val="auto"/>
                <w:sz w:val="24"/>
                <w:szCs w:val="24"/>
              </w:rPr>
              <w:t>5.5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09CA6CED" w14:textId="1E15C402"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1539 (</w:t>
            </w:r>
            <w:r w:rsidR="002F52BB" w:rsidRPr="00932A95">
              <w:rPr>
                <w:rFonts w:ascii="Book Antiqua" w:hAnsi="Book Antiqua" w:cs="Book Antiqua"/>
                <w:color w:val="auto"/>
                <w:sz w:val="24"/>
                <w:szCs w:val="24"/>
              </w:rPr>
              <w:t>5.5</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35C16E54"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3AFBCD9" w14:textId="77777777" w:rsidTr="0096655F">
        <w:trPr>
          <w:trHeight w:val="25"/>
        </w:trPr>
        <w:tc>
          <w:tcPr>
            <w:tcW w:w="3346" w:type="dxa"/>
            <w:shd w:val="clear" w:color="auto" w:fill="auto"/>
            <w:tcMar>
              <w:top w:w="100" w:type="dxa"/>
              <w:left w:w="100" w:type="dxa"/>
              <w:bottom w:w="100" w:type="dxa"/>
              <w:right w:w="100" w:type="dxa"/>
            </w:tcMar>
            <w:vAlign w:val="bottom"/>
          </w:tcPr>
          <w:p w14:paraId="4F77DDF2" w14:textId="77777777" w:rsidR="0011433B" w:rsidRPr="00932A95" w:rsidRDefault="002F52BB" w:rsidP="00374FC0">
            <w:pPr>
              <w:spacing w:line="360" w:lineRule="auto"/>
              <w:ind w:hanging="20"/>
              <w:jc w:val="both"/>
              <w:rPr>
                <w:rFonts w:ascii="Book Antiqua" w:hAnsi="Book Antiqua" w:cs="Book Antiqua"/>
                <w:color w:val="auto"/>
                <w:sz w:val="24"/>
                <w:szCs w:val="24"/>
              </w:rPr>
            </w:pPr>
            <w:r w:rsidRPr="00932A95">
              <w:rPr>
                <w:rFonts w:ascii="Book Antiqua" w:hAnsi="Book Antiqua" w:cs="Book Antiqua"/>
                <w:color w:val="auto"/>
                <w:sz w:val="24"/>
                <w:szCs w:val="24"/>
              </w:rPr>
              <w:t>Hospital bed size</w:t>
            </w:r>
          </w:p>
        </w:tc>
        <w:tc>
          <w:tcPr>
            <w:tcW w:w="1631" w:type="dxa"/>
            <w:shd w:val="clear" w:color="auto" w:fill="auto"/>
            <w:tcMar>
              <w:top w:w="100" w:type="dxa"/>
              <w:left w:w="100" w:type="dxa"/>
              <w:bottom w:w="100" w:type="dxa"/>
              <w:right w:w="100" w:type="dxa"/>
            </w:tcMar>
            <w:vAlign w:val="bottom"/>
          </w:tcPr>
          <w:p w14:paraId="448A6747"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0CA8EAE2"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47479CA5"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215136C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64F0120A" w14:textId="77777777" w:rsidTr="0096655F">
        <w:trPr>
          <w:trHeight w:val="25"/>
        </w:trPr>
        <w:tc>
          <w:tcPr>
            <w:tcW w:w="3346" w:type="dxa"/>
            <w:shd w:val="clear" w:color="auto" w:fill="auto"/>
            <w:tcMar>
              <w:top w:w="100" w:type="dxa"/>
              <w:left w:w="100" w:type="dxa"/>
              <w:bottom w:w="100" w:type="dxa"/>
              <w:right w:w="100" w:type="dxa"/>
            </w:tcMar>
            <w:vAlign w:val="bottom"/>
          </w:tcPr>
          <w:p w14:paraId="47ECA60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Small</w:t>
            </w:r>
          </w:p>
        </w:tc>
        <w:tc>
          <w:tcPr>
            <w:tcW w:w="1631" w:type="dxa"/>
            <w:shd w:val="clear" w:color="auto" w:fill="auto"/>
            <w:tcMar>
              <w:top w:w="100" w:type="dxa"/>
              <w:left w:w="100" w:type="dxa"/>
              <w:bottom w:w="100" w:type="dxa"/>
              <w:right w:w="100" w:type="dxa"/>
            </w:tcMar>
            <w:vAlign w:val="bottom"/>
          </w:tcPr>
          <w:p w14:paraId="5CAA222C" w14:textId="4349CEEC"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6245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10.7</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05EDE4B4" w14:textId="2A25ED5A"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4102 (</w:t>
            </w:r>
            <w:r w:rsidR="002F52BB" w:rsidRPr="00932A95">
              <w:rPr>
                <w:rFonts w:ascii="Book Antiqua" w:hAnsi="Book Antiqua" w:cs="Book Antiqua"/>
                <w:color w:val="auto"/>
                <w:sz w:val="24"/>
                <w:szCs w:val="24"/>
              </w:rPr>
              <w:t>13.5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26B8464" w14:textId="3732232E"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2182 (</w:t>
            </w:r>
            <w:r w:rsidR="002F52BB" w:rsidRPr="00932A95">
              <w:rPr>
                <w:rFonts w:ascii="Book Antiqua" w:hAnsi="Book Antiqua" w:cs="Book Antiqua"/>
                <w:color w:val="auto"/>
                <w:sz w:val="24"/>
                <w:szCs w:val="24"/>
              </w:rPr>
              <w:t>7.8</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41C2B03E"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EE4BA6E" w14:textId="77777777" w:rsidTr="0096655F">
        <w:trPr>
          <w:trHeight w:val="25"/>
        </w:trPr>
        <w:tc>
          <w:tcPr>
            <w:tcW w:w="3346" w:type="dxa"/>
            <w:shd w:val="clear" w:color="auto" w:fill="auto"/>
            <w:tcMar>
              <w:top w:w="100" w:type="dxa"/>
              <w:left w:w="100" w:type="dxa"/>
              <w:bottom w:w="100" w:type="dxa"/>
              <w:right w:w="100" w:type="dxa"/>
            </w:tcMar>
            <w:vAlign w:val="bottom"/>
          </w:tcPr>
          <w:p w14:paraId="68F0E97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Medium</w:t>
            </w:r>
          </w:p>
        </w:tc>
        <w:tc>
          <w:tcPr>
            <w:tcW w:w="1631" w:type="dxa"/>
            <w:shd w:val="clear" w:color="auto" w:fill="auto"/>
            <w:tcMar>
              <w:top w:w="100" w:type="dxa"/>
              <w:left w:w="100" w:type="dxa"/>
              <w:bottom w:w="100" w:type="dxa"/>
              <w:right w:w="100" w:type="dxa"/>
            </w:tcMar>
            <w:vAlign w:val="bottom"/>
          </w:tcPr>
          <w:p w14:paraId="7D396048" w14:textId="01940DE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15408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26.4</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1D2F9322" w14:textId="0C0F55B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8051 (</w:t>
            </w:r>
            <w:r w:rsidR="002F52BB" w:rsidRPr="00932A95">
              <w:rPr>
                <w:rFonts w:ascii="Book Antiqua" w:hAnsi="Book Antiqua" w:cs="Book Antiqua"/>
                <w:color w:val="auto"/>
                <w:sz w:val="24"/>
                <w:szCs w:val="24"/>
              </w:rPr>
              <w:t>26.5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452C4542" w14:textId="018D4FE0"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7386 (</w:t>
            </w:r>
            <w:r w:rsidR="002F52BB" w:rsidRPr="00932A95">
              <w:rPr>
                <w:rFonts w:ascii="Book Antiqua" w:hAnsi="Book Antiqua" w:cs="Book Antiqua"/>
                <w:color w:val="auto"/>
                <w:sz w:val="24"/>
                <w:szCs w:val="24"/>
              </w:rPr>
              <w:t>26.4</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4E69E0DF"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7AB26E2A" w14:textId="77777777" w:rsidTr="0096655F">
        <w:trPr>
          <w:trHeight w:val="25"/>
        </w:trPr>
        <w:tc>
          <w:tcPr>
            <w:tcW w:w="3346" w:type="dxa"/>
            <w:shd w:val="clear" w:color="auto" w:fill="auto"/>
            <w:tcMar>
              <w:top w:w="100" w:type="dxa"/>
              <w:left w:w="100" w:type="dxa"/>
              <w:bottom w:w="100" w:type="dxa"/>
              <w:right w:w="100" w:type="dxa"/>
            </w:tcMar>
            <w:vAlign w:val="bottom"/>
          </w:tcPr>
          <w:p w14:paraId="37D0EB9F"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Large</w:t>
            </w:r>
          </w:p>
        </w:tc>
        <w:tc>
          <w:tcPr>
            <w:tcW w:w="1631" w:type="dxa"/>
            <w:shd w:val="clear" w:color="auto" w:fill="auto"/>
            <w:tcMar>
              <w:top w:w="100" w:type="dxa"/>
              <w:left w:w="100" w:type="dxa"/>
              <w:bottom w:w="100" w:type="dxa"/>
              <w:right w:w="100" w:type="dxa"/>
            </w:tcMar>
            <w:vAlign w:val="bottom"/>
          </w:tcPr>
          <w:p w14:paraId="64EC0E8C" w14:textId="27E5118F"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36710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62.9</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4EF6FE41" w14:textId="4356F90F"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18229 (</w:t>
            </w:r>
            <w:r w:rsidR="002F52BB" w:rsidRPr="00932A95">
              <w:rPr>
                <w:rFonts w:ascii="Book Antiqua" w:hAnsi="Book Antiqua" w:cs="Book Antiqua"/>
                <w:color w:val="auto"/>
                <w:sz w:val="24"/>
                <w:szCs w:val="24"/>
              </w:rPr>
              <w:t>60.0</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7484E4F1" w14:textId="6B396EFB"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18410 (</w:t>
            </w:r>
            <w:r w:rsidR="002F52BB" w:rsidRPr="00932A95">
              <w:rPr>
                <w:rFonts w:ascii="Book Antiqua" w:hAnsi="Book Antiqua" w:cs="Book Antiqua"/>
                <w:color w:val="auto"/>
                <w:sz w:val="24"/>
                <w:szCs w:val="24"/>
              </w:rPr>
              <w:t>65.8</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294FEFE2"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3E09B124" w14:textId="77777777" w:rsidTr="0096655F">
        <w:trPr>
          <w:trHeight w:val="25"/>
        </w:trPr>
        <w:tc>
          <w:tcPr>
            <w:tcW w:w="3346" w:type="dxa"/>
            <w:shd w:val="clear" w:color="auto" w:fill="auto"/>
            <w:tcMar>
              <w:top w:w="100" w:type="dxa"/>
              <w:left w:w="100" w:type="dxa"/>
              <w:bottom w:w="100" w:type="dxa"/>
              <w:right w:w="100" w:type="dxa"/>
            </w:tcMar>
            <w:vAlign w:val="bottom"/>
          </w:tcPr>
          <w:p w14:paraId="2A3942E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Hospital region</w:t>
            </w:r>
          </w:p>
        </w:tc>
        <w:tc>
          <w:tcPr>
            <w:tcW w:w="1631" w:type="dxa"/>
            <w:shd w:val="clear" w:color="auto" w:fill="auto"/>
            <w:tcMar>
              <w:top w:w="100" w:type="dxa"/>
              <w:left w:w="100" w:type="dxa"/>
              <w:bottom w:w="100" w:type="dxa"/>
              <w:right w:w="100" w:type="dxa"/>
            </w:tcMar>
            <w:vAlign w:val="bottom"/>
          </w:tcPr>
          <w:p w14:paraId="71C7BB3B"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1666AC3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7BE87AAF"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20B7963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274D725A" w14:textId="77777777" w:rsidTr="0096655F">
        <w:trPr>
          <w:trHeight w:val="25"/>
        </w:trPr>
        <w:tc>
          <w:tcPr>
            <w:tcW w:w="3346" w:type="dxa"/>
            <w:shd w:val="clear" w:color="auto" w:fill="auto"/>
            <w:tcMar>
              <w:top w:w="100" w:type="dxa"/>
              <w:left w:w="100" w:type="dxa"/>
              <w:bottom w:w="100" w:type="dxa"/>
              <w:right w:w="100" w:type="dxa"/>
            </w:tcMar>
            <w:vAlign w:val="bottom"/>
          </w:tcPr>
          <w:p w14:paraId="14DD75AB"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Northeast</w:t>
            </w:r>
          </w:p>
        </w:tc>
        <w:tc>
          <w:tcPr>
            <w:tcW w:w="1631" w:type="dxa"/>
            <w:shd w:val="clear" w:color="auto" w:fill="auto"/>
            <w:tcMar>
              <w:top w:w="100" w:type="dxa"/>
              <w:left w:w="100" w:type="dxa"/>
              <w:bottom w:w="100" w:type="dxa"/>
              <w:right w:w="100" w:type="dxa"/>
            </w:tcMar>
            <w:vAlign w:val="bottom"/>
          </w:tcPr>
          <w:p w14:paraId="0EF7CE75" w14:textId="19DF63DC"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10564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18.1</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53B80DDC" w14:textId="7A9D9028"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6988 (</w:t>
            </w:r>
            <w:r w:rsidR="002F52BB" w:rsidRPr="00932A95">
              <w:rPr>
                <w:rFonts w:ascii="Book Antiqua" w:hAnsi="Book Antiqua" w:cs="Book Antiqua"/>
                <w:color w:val="auto"/>
                <w:sz w:val="24"/>
                <w:szCs w:val="24"/>
              </w:rPr>
              <w:t>23.0</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56F882F8" w14:textId="2CD8364C"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3581 (</w:t>
            </w:r>
            <w:r w:rsidR="002F52BB" w:rsidRPr="00932A95">
              <w:rPr>
                <w:rFonts w:ascii="Book Antiqua" w:hAnsi="Book Antiqua" w:cs="Book Antiqua"/>
                <w:color w:val="auto"/>
                <w:sz w:val="24"/>
                <w:szCs w:val="24"/>
              </w:rPr>
              <w:t>12.8</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16C539F7"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270909DF" w14:textId="77777777" w:rsidTr="0096655F">
        <w:trPr>
          <w:trHeight w:val="25"/>
        </w:trPr>
        <w:tc>
          <w:tcPr>
            <w:tcW w:w="3346" w:type="dxa"/>
            <w:shd w:val="clear" w:color="auto" w:fill="auto"/>
            <w:tcMar>
              <w:top w:w="100" w:type="dxa"/>
              <w:left w:w="100" w:type="dxa"/>
              <w:bottom w:w="100" w:type="dxa"/>
              <w:right w:w="100" w:type="dxa"/>
            </w:tcMar>
            <w:vAlign w:val="bottom"/>
          </w:tcPr>
          <w:p w14:paraId="6128B452"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Midwest</w:t>
            </w:r>
          </w:p>
        </w:tc>
        <w:tc>
          <w:tcPr>
            <w:tcW w:w="1631" w:type="dxa"/>
            <w:shd w:val="clear" w:color="auto" w:fill="auto"/>
            <w:tcMar>
              <w:top w:w="100" w:type="dxa"/>
              <w:left w:w="100" w:type="dxa"/>
              <w:bottom w:w="100" w:type="dxa"/>
              <w:right w:w="100" w:type="dxa"/>
            </w:tcMar>
            <w:vAlign w:val="bottom"/>
          </w:tcPr>
          <w:p w14:paraId="719A8E85" w14:textId="2A06A3C9"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9571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16.4</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515A7143" w14:textId="09B05B53"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5621 (</w:t>
            </w:r>
            <w:r w:rsidR="002F52BB" w:rsidRPr="00932A95">
              <w:rPr>
                <w:rFonts w:ascii="Book Antiqua" w:hAnsi="Book Antiqua" w:cs="Book Antiqua"/>
                <w:color w:val="auto"/>
                <w:sz w:val="24"/>
                <w:szCs w:val="24"/>
              </w:rPr>
              <w:t>18.5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5B7F561" w14:textId="72113C9E"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3917 (</w:t>
            </w:r>
            <w:r w:rsidR="002F52BB" w:rsidRPr="00932A95">
              <w:rPr>
                <w:rFonts w:ascii="Book Antiqua" w:hAnsi="Book Antiqua" w:cs="Book Antiqua"/>
                <w:color w:val="auto"/>
                <w:sz w:val="24"/>
                <w:szCs w:val="24"/>
              </w:rPr>
              <w:t>14.0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4D4D3C24"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098B66E8" w14:textId="77777777" w:rsidTr="0096655F">
        <w:trPr>
          <w:trHeight w:val="25"/>
        </w:trPr>
        <w:tc>
          <w:tcPr>
            <w:tcW w:w="3346" w:type="dxa"/>
            <w:shd w:val="clear" w:color="auto" w:fill="auto"/>
            <w:tcMar>
              <w:top w:w="100" w:type="dxa"/>
              <w:left w:w="100" w:type="dxa"/>
              <w:bottom w:w="100" w:type="dxa"/>
              <w:right w:w="100" w:type="dxa"/>
            </w:tcMar>
            <w:vAlign w:val="bottom"/>
          </w:tcPr>
          <w:p w14:paraId="20CC6CDB"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South</w:t>
            </w:r>
          </w:p>
        </w:tc>
        <w:tc>
          <w:tcPr>
            <w:tcW w:w="1631" w:type="dxa"/>
            <w:shd w:val="clear" w:color="auto" w:fill="auto"/>
            <w:tcMar>
              <w:top w:w="100" w:type="dxa"/>
              <w:left w:w="100" w:type="dxa"/>
              <w:bottom w:w="100" w:type="dxa"/>
              <w:right w:w="100" w:type="dxa"/>
            </w:tcMar>
            <w:vAlign w:val="bottom"/>
          </w:tcPr>
          <w:p w14:paraId="5D78D3EA" w14:textId="5BC62255"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23170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39.7</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7F66A759" w14:textId="4DAC3E5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11636 (</w:t>
            </w:r>
            <w:r w:rsidR="002F52BB" w:rsidRPr="00932A95">
              <w:rPr>
                <w:rFonts w:ascii="Book Antiqua" w:hAnsi="Book Antiqua" w:cs="Book Antiqua"/>
                <w:color w:val="auto"/>
                <w:sz w:val="24"/>
                <w:szCs w:val="24"/>
              </w:rPr>
              <w:t>38.3</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202EFE64" w14:textId="14BCE4D2"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11555 (</w:t>
            </w:r>
            <w:r w:rsidR="002F52BB" w:rsidRPr="00932A95">
              <w:rPr>
                <w:rFonts w:ascii="Book Antiqua" w:hAnsi="Book Antiqua" w:cs="Book Antiqua"/>
                <w:color w:val="auto"/>
                <w:sz w:val="24"/>
                <w:szCs w:val="24"/>
              </w:rPr>
              <w:t>41.3</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45E1FBF3"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0594D00" w14:textId="77777777" w:rsidTr="0096655F">
        <w:trPr>
          <w:trHeight w:val="25"/>
        </w:trPr>
        <w:tc>
          <w:tcPr>
            <w:tcW w:w="3346" w:type="dxa"/>
            <w:shd w:val="clear" w:color="auto" w:fill="auto"/>
            <w:tcMar>
              <w:top w:w="100" w:type="dxa"/>
              <w:left w:w="100" w:type="dxa"/>
              <w:bottom w:w="100" w:type="dxa"/>
              <w:right w:w="100" w:type="dxa"/>
            </w:tcMar>
            <w:vAlign w:val="bottom"/>
          </w:tcPr>
          <w:p w14:paraId="43F78CA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West</w:t>
            </w:r>
          </w:p>
        </w:tc>
        <w:tc>
          <w:tcPr>
            <w:tcW w:w="1631" w:type="dxa"/>
            <w:shd w:val="clear" w:color="auto" w:fill="auto"/>
            <w:tcMar>
              <w:top w:w="100" w:type="dxa"/>
              <w:left w:w="100" w:type="dxa"/>
              <w:bottom w:w="100" w:type="dxa"/>
              <w:right w:w="100" w:type="dxa"/>
            </w:tcMar>
            <w:vAlign w:val="bottom"/>
          </w:tcPr>
          <w:p w14:paraId="0ADBA941" w14:textId="5B2003F0"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15057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25.8</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27F8DA23" w14:textId="63DF87FC"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6137 (</w:t>
            </w:r>
            <w:r w:rsidR="002F52BB" w:rsidRPr="00932A95">
              <w:rPr>
                <w:rFonts w:ascii="Book Antiqua" w:hAnsi="Book Antiqua" w:cs="Book Antiqua"/>
                <w:color w:val="auto"/>
                <w:sz w:val="24"/>
                <w:szCs w:val="24"/>
              </w:rPr>
              <w:t>20.2</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10D53B0C" w14:textId="6A10BE02"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8925 (</w:t>
            </w:r>
            <w:r w:rsidR="002F52BB" w:rsidRPr="00932A95">
              <w:rPr>
                <w:rFonts w:ascii="Book Antiqua" w:hAnsi="Book Antiqua" w:cs="Book Antiqua"/>
                <w:color w:val="auto"/>
                <w:sz w:val="24"/>
                <w:szCs w:val="24"/>
              </w:rPr>
              <w:t>31.9</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5F46F607"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6556A7A7" w14:textId="77777777" w:rsidTr="0096655F">
        <w:trPr>
          <w:trHeight w:val="25"/>
        </w:trPr>
        <w:tc>
          <w:tcPr>
            <w:tcW w:w="3346" w:type="dxa"/>
            <w:shd w:val="clear" w:color="auto" w:fill="auto"/>
            <w:tcMar>
              <w:top w:w="100" w:type="dxa"/>
              <w:left w:w="100" w:type="dxa"/>
              <w:bottom w:w="100" w:type="dxa"/>
              <w:right w:w="100" w:type="dxa"/>
            </w:tcMar>
            <w:vAlign w:val="bottom"/>
          </w:tcPr>
          <w:p w14:paraId="3CEBC66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Transfer in from acute care hospital</w:t>
            </w:r>
          </w:p>
        </w:tc>
        <w:tc>
          <w:tcPr>
            <w:tcW w:w="1631" w:type="dxa"/>
            <w:shd w:val="clear" w:color="auto" w:fill="auto"/>
            <w:tcMar>
              <w:top w:w="100" w:type="dxa"/>
              <w:left w:w="100" w:type="dxa"/>
              <w:bottom w:w="100" w:type="dxa"/>
              <w:right w:w="100" w:type="dxa"/>
            </w:tcMar>
            <w:vAlign w:val="bottom"/>
          </w:tcPr>
          <w:p w14:paraId="3C27293F"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10" w:type="dxa"/>
            <w:shd w:val="clear" w:color="auto" w:fill="auto"/>
            <w:tcMar>
              <w:top w:w="100" w:type="dxa"/>
              <w:left w:w="100" w:type="dxa"/>
              <w:bottom w:w="100" w:type="dxa"/>
              <w:right w:w="100" w:type="dxa"/>
            </w:tcMar>
            <w:vAlign w:val="bottom"/>
          </w:tcPr>
          <w:p w14:paraId="456628D5"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75" w:type="dxa"/>
            <w:shd w:val="clear" w:color="auto" w:fill="auto"/>
            <w:tcMar>
              <w:top w:w="100" w:type="dxa"/>
              <w:left w:w="100" w:type="dxa"/>
              <w:bottom w:w="100" w:type="dxa"/>
              <w:right w:w="100" w:type="dxa"/>
            </w:tcMar>
            <w:vAlign w:val="bottom"/>
          </w:tcPr>
          <w:p w14:paraId="7B395023"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3" w:type="dxa"/>
            <w:shd w:val="clear" w:color="auto" w:fill="auto"/>
            <w:tcMar>
              <w:top w:w="100" w:type="dxa"/>
              <w:left w:w="100" w:type="dxa"/>
              <w:bottom w:w="100" w:type="dxa"/>
              <w:right w:w="100" w:type="dxa"/>
            </w:tcMar>
            <w:vAlign w:val="bottom"/>
          </w:tcPr>
          <w:p w14:paraId="60C449F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17EF56EA" w14:textId="77777777" w:rsidTr="0096655F">
        <w:trPr>
          <w:trHeight w:val="25"/>
        </w:trPr>
        <w:tc>
          <w:tcPr>
            <w:tcW w:w="3346" w:type="dxa"/>
            <w:shd w:val="clear" w:color="auto" w:fill="auto"/>
            <w:tcMar>
              <w:top w:w="100" w:type="dxa"/>
              <w:left w:w="100" w:type="dxa"/>
              <w:bottom w:w="100" w:type="dxa"/>
              <w:right w:w="100" w:type="dxa"/>
            </w:tcMar>
            <w:vAlign w:val="bottom"/>
          </w:tcPr>
          <w:p w14:paraId="486A9579"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Yes</w:t>
            </w:r>
          </w:p>
        </w:tc>
        <w:tc>
          <w:tcPr>
            <w:tcW w:w="1631" w:type="dxa"/>
            <w:shd w:val="clear" w:color="auto" w:fill="auto"/>
            <w:tcMar>
              <w:top w:w="100" w:type="dxa"/>
              <w:left w:w="100" w:type="dxa"/>
              <w:bottom w:w="100" w:type="dxa"/>
              <w:right w:w="100" w:type="dxa"/>
            </w:tcMar>
            <w:vAlign w:val="bottom"/>
          </w:tcPr>
          <w:p w14:paraId="3BF51AB3" w14:textId="7643E34E"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4319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7.4</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450E1367" w14:textId="1170B13B"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3494 (</w:t>
            </w:r>
            <w:r w:rsidR="002F52BB" w:rsidRPr="00932A95">
              <w:rPr>
                <w:rFonts w:ascii="Book Antiqua" w:hAnsi="Book Antiqua" w:cs="Book Antiqua"/>
                <w:color w:val="auto"/>
                <w:sz w:val="24"/>
                <w:szCs w:val="24"/>
              </w:rPr>
              <w:t>11.5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480B301B" w14:textId="3F9167F0"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839 (</w:t>
            </w:r>
            <w:r w:rsidR="002F52BB" w:rsidRPr="00932A95">
              <w:rPr>
                <w:rFonts w:ascii="Book Antiqua" w:hAnsi="Book Antiqua" w:cs="Book Antiqua"/>
                <w:color w:val="auto"/>
                <w:sz w:val="24"/>
                <w:szCs w:val="24"/>
              </w:rPr>
              <w:t>3.0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704165E8"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0A6A453F" w14:textId="77777777" w:rsidTr="0096655F">
        <w:trPr>
          <w:trHeight w:val="25"/>
        </w:trPr>
        <w:tc>
          <w:tcPr>
            <w:tcW w:w="3346" w:type="dxa"/>
            <w:shd w:val="clear" w:color="auto" w:fill="auto"/>
            <w:tcMar>
              <w:top w:w="100" w:type="dxa"/>
              <w:left w:w="100" w:type="dxa"/>
              <w:bottom w:w="100" w:type="dxa"/>
              <w:right w:w="100" w:type="dxa"/>
            </w:tcMar>
            <w:vAlign w:val="bottom"/>
          </w:tcPr>
          <w:p w14:paraId="53E61C8F"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No</w:t>
            </w:r>
          </w:p>
        </w:tc>
        <w:tc>
          <w:tcPr>
            <w:tcW w:w="1631" w:type="dxa"/>
            <w:shd w:val="clear" w:color="auto" w:fill="auto"/>
            <w:tcMar>
              <w:top w:w="100" w:type="dxa"/>
              <w:left w:w="100" w:type="dxa"/>
              <w:bottom w:w="100" w:type="dxa"/>
              <w:right w:w="100" w:type="dxa"/>
            </w:tcMar>
            <w:vAlign w:val="bottom"/>
          </w:tcPr>
          <w:p w14:paraId="3DE273B7" w14:textId="25740E5D"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 xml:space="preserve">54043 </w:t>
            </w:r>
            <w:r w:rsidR="0096655F">
              <w:rPr>
                <w:rFonts w:ascii="Book Antiqua" w:hAnsi="Book Antiqua" w:cs="Book Antiqua"/>
                <w:color w:val="auto"/>
                <w:sz w:val="24"/>
                <w:szCs w:val="24"/>
              </w:rPr>
              <w:t>(</w:t>
            </w:r>
            <w:r w:rsidR="002F52BB" w:rsidRPr="00932A95">
              <w:rPr>
                <w:rFonts w:ascii="Book Antiqua" w:hAnsi="Book Antiqua" w:cs="Book Antiqua"/>
                <w:color w:val="auto"/>
                <w:sz w:val="24"/>
                <w:szCs w:val="24"/>
              </w:rPr>
              <w:t>92.6</w:t>
            </w:r>
            <w:r w:rsidR="0096655F">
              <w:rPr>
                <w:rFonts w:ascii="Book Antiqua" w:hAnsi="Book Antiqua" w:cs="Book Antiqua"/>
                <w:color w:val="auto"/>
                <w:sz w:val="24"/>
                <w:szCs w:val="24"/>
              </w:rPr>
              <w:t>)</w:t>
            </w:r>
          </w:p>
        </w:tc>
        <w:tc>
          <w:tcPr>
            <w:tcW w:w="1710" w:type="dxa"/>
            <w:shd w:val="clear" w:color="auto" w:fill="auto"/>
            <w:tcMar>
              <w:top w:w="100" w:type="dxa"/>
              <w:left w:w="100" w:type="dxa"/>
              <w:bottom w:w="100" w:type="dxa"/>
              <w:right w:w="100" w:type="dxa"/>
            </w:tcMar>
            <w:vAlign w:val="bottom"/>
          </w:tcPr>
          <w:p w14:paraId="337DFE2F" w14:textId="2B4BE061" w:rsidR="0011433B" w:rsidRPr="00932A95" w:rsidRDefault="008B04D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26888 (</w:t>
            </w:r>
            <w:r w:rsidR="002F52BB" w:rsidRPr="00932A95">
              <w:rPr>
                <w:rFonts w:ascii="Book Antiqua" w:hAnsi="Book Antiqua" w:cs="Book Antiqua"/>
                <w:color w:val="auto"/>
                <w:sz w:val="24"/>
                <w:szCs w:val="24"/>
              </w:rPr>
              <w:t>88.5</w:t>
            </w:r>
            <w:r>
              <w:rPr>
                <w:rFonts w:ascii="Book Antiqua" w:hAnsi="Book Antiqua" w:cs="Book Antiqua"/>
                <w:color w:val="auto"/>
                <w:sz w:val="24"/>
                <w:szCs w:val="24"/>
              </w:rPr>
              <w:t>)</w:t>
            </w:r>
          </w:p>
        </w:tc>
        <w:tc>
          <w:tcPr>
            <w:tcW w:w="1975" w:type="dxa"/>
            <w:shd w:val="clear" w:color="auto" w:fill="auto"/>
            <w:tcMar>
              <w:top w:w="100" w:type="dxa"/>
              <w:left w:w="100" w:type="dxa"/>
              <w:bottom w:w="100" w:type="dxa"/>
              <w:right w:w="100" w:type="dxa"/>
            </w:tcMar>
            <w:vAlign w:val="bottom"/>
          </w:tcPr>
          <w:p w14:paraId="038D2E97" w14:textId="27DA7556"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27140 (</w:t>
            </w:r>
            <w:r w:rsidR="002F52BB" w:rsidRPr="00932A95">
              <w:rPr>
                <w:rFonts w:ascii="Book Antiqua" w:hAnsi="Book Antiqua" w:cs="Book Antiqua"/>
                <w:color w:val="auto"/>
                <w:sz w:val="24"/>
                <w:szCs w:val="24"/>
              </w:rPr>
              <w:t>97.0</w:t>
            </w:r>
            <w:r>
              <w:rPr>
                <w:rFonts w:ascii="Book Antiqua" w:hAnsi="Book Antiqua" w:cs="Book Antiqua"/>
                <w:color w:val="auto"/>
                <w:sz w:val="24"/>
                <w:szCs w:val="24"/>
              </w:rPr>
              <w:t>)</w:t>
            </w:r>
          </w:p>
        </w:tc>
        <w:tc>
          <w:tcPr>
            <w:tcW w:w="1593" w:type="dxa"/>
            <w:shd w:val="clear" w:color="auto" w:fill="auto"/>
            <w:tcMar>
              <w:top w:w="100" w:type="dxa"/>
              <w:left w:w="100" w:type="dxa"/>
              <w:bottom w:w="100" w:type="dxa"/>
              <w:right w:w="100" w:type="dxa"/>
            </w:tcMar>
            <w:vAlign w:val="bottom"/>
          </w:tcPr>
          <w:p w14:paraId="5A40FE57" w14:textId="77777777" w:rsidR="0011433B" w:rsidRPr="00932A95" w:rsidRDefault="0011433B" w:rsidP="00374FC0">
            <w:pPr>
              <w:spacing w:line="360" w:lineRule="auto"/>
              <w:jc w:val="both"/>
              <w:rPr>
                <w:rFonts w:ascii="Book Antiqua" w:hAnsi="Book Antiqua" w:cs="Book Antiqua"/>
                <w:color w:val="auto"/>
                <w:sz w:val="24"/>
                <w:szCs w:val="24"/>
              </w:rPr>
            </w:pPr>
          </w:p>
        </w:tc>
      </w:tr>
    </w:tbl>
    <w:p w14:paraId="29EF3C1C" w14:textId="77777777" w:rsidR="0011433B" w:rsidRPr="00932A95" w:rsidRDefault="0011433B" w:rsidP="00374FC0">
      <w:pPr>
        <w:spacing w:line="360" w:lineRule="auto"/>
        <w:jc w:val="both"/>
        <w:rPr>
          <w:rFonts w:ascii="Book Antiqua" w:hAnsi="Book Antiqua" w:cs="Book Antiqua"/>
          <w:color w:val="auto"/>
          <w:sz w:val="24"/>
          <w:szCs w:val="24"/>
        </w:rPr>
      </w:pPr>
    </w:p>
    <w:p w14:paraId="59E1B6D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432F560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b/>
          <w:color w:val="auto"/>
          <w:sz w:val="24"/>
          <w:szCs w:val="24"/>
        </w:rPr>
        <w:lastRenderedPageBreak/>
        <w:t>Table 2</w:t>
      </w:r>
      <w:r w:rsidRPr="00932A95">
        <w:rPr>
          <w:rFonts w:ascii="Book Antiqua" w:eastAsia="SimSun" w:hAnsi="Book Antiqua" w:cs="Book Antiqua" w:hint="eastAsia"/>
          <w:b/>
          <w:color w:val="auto"/>
          <w:sz w:val="24"/>
          <w:szCs w:val="24"/>
          <w:lang w:val="en-US" w:eastAsia="zh-CN"/>
        </w:rPr>
        <w:t xml:space="preserve"> </w:t>
      </w:r>
      <w:r w:rsidRPr="00932A95">
        <w:rPr>
          <w:rFonts w:ascii="Book Antiqua" w:hAnsi="Book Antiqua" w:cs="Book Antiqua"/>
          <w:b/>
          <w:color w:val="auto"/>
          <w:sz w:val="24"/>
          <w:szCs w:val="24"/>
        </w:rPr>
        <w:t>Patient comorbidities and management</w:t>
      </w:r>
    </w:p>
    <w:tbl>
      <w:tblPr>
        <w:tblStyle w:val="Style12"/>
        <w:tblW w:w="9276" w:type="dxa"/>
        <w:tblInd w:w="-426" w:type="dxa"/>
        <w:tblBorders>
          <w:top w:val="single" w:sz="4" w:space="0" w:color="auto"/>
          <w:bottom w:val="single" w:sz="4" w:space="0" w:color="auto"/>
        </w:tblBorders>
        <w:tblLayout w:type="fixed"/>
        <w:tblLook w:val="04A0" w:firstRow="1" w:lastRow="0" w:firstColumn="1" w:lastColumn="0" w:noHBand="0" w:noVBand="1"/>
      </w:tblPr>
      <w:tblGrid>
        <w:gridCol w:w="3871"/>
        <w:gridCol w:w="1595"/>
        <w:gridCol w:w="1786"/>
        <w:gridCol w:w="2024"/>
      </w:tblGrid>
      <w:tr w:rsidR="00932A95" w:rsidRPr="00932A95" w14:paraId="130A231F" w14:textId="77777777" w:rsidTr="00F239AF">
        <w:trPr>
          <w:trHeight w:val="434"/>
        </w:trPr>
        <w:tc>
          <w:tcPr>
            <w:tcW w:w="3871"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0A0520AB"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159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01C301D6" w14:textId="77777777" w:rsidR="0011433B" w:rsidRPr="00932A95" w:rsidRDefault="007D535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All (58</w:t>
            </w:r>
            <w:r w:rsidR="002F52BB" w:rsidRPr="00932A95">
              <w:rPr>
                <w:rFonts w:ascii="Book Antiqua" w:hAnsi="Book Antiqua" w:cs="Book Antiqua"/>
                <w:b/>
                <w:color w:val="auto"/>
                <w:sz w:val="24"/>
                <w:szCs w:val="24"/>
              </w:rPr>
              <w:t>362)</w:t>
            </w:r>
          </w:p>
        </w:tc>
        <w:tc>
          <w:tcPr>
            <w:tcW w:w="1786"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12A2DAF" w14:textId="77777777" w:rsidR="0011433B" w:rsidRPr="00932A95" w:rsidRDefault="007D535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Teaching (30</w:t>
            </w:r>
            <w:r w:rsidR="002F52BB" w:rsidRPr="00932A95">
              <w:rPr>
                <w:rFonts w:ascii="Book Antiqua" w:hAnsi="Book Antiqua" w:cs="Book Antiqua"/>
                <w:b/>
                <w:color w:val="auto"/>
                <w:sz w:val="24"/>
                <w:szCs w:val="24"/>
              </w:rPr>
              <w:t>382)</w:t>
            </w:r>
          </w:p>
        </w:tc>
        <w:tc>
          <w:tcPr>
            <w:tcW w:w="2024"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A275C3B" w14:textId="77777777" w:rsidR="0011433B" w:rsidRPr="00932A95" w:rsidRDefault="007D535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Non-teaching (27</w:t>
            </w:r>
            <w:r w:rsidR="002F52BB" w:rsidRPr="00932A95">
              <w:rPr>
                <w:rFonts w:ascii="Book Antiqua" w:hAnsi="Book Antiqua" w:cs="Book Antiqua"/>
                <w:b/>
                <w:color w:val="auto"/>
                <w:sz w:val="24"/>
                <w:szCs w:val="24"/>
              </w:rPr>
              <w:t>979)</w:t>
            </w:r>
          </w:p>
        </w:tc>
      </w:tr>
      <w:tr w:rsidR="00932A95" w:rsidRPr="00932A95" w14:paraId="25F4D983" w14:textId="77777777" w:rsidTr="003E2A8D">
        <w:trPr>
          <w:trHeight w:val="447"/>
        </w:trPr>
        <w:tc>
          <w:tcPr>
            <w:tcW w:w="3871" w:type="dxa"/>
            <w:vMerge/>
            <w:tcBorders>
              <w:top w:val="nil"/>
              <w:bottom w:val="single" w:sz="4" w:space="0" w:color="auto"/>
            </w:tcBorders>
            <w:shd w:val="clear" w:color="auto" w:fill="auto"/>
            <w:tcMar>
              <w:top w:w="100" w:type="dxa"/>
              <w:left w:w="100" w:type="dxa"/>
              <w:bottom w:w="100" w:type="dxa"/>
              <w:right w:w="100" w:type="dxa"/>
            </w:tcMar>
          </w:tcPr>
          <w:p w14:paraId="06F20E05"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595" w:type="dxa"/>
            <w:vMerge/>
            <w:tcBorders>
              <w:top w:val="nil"/>
              <w:bottom w:val="single" w:sz="4" w:space="0" w:color="auto"/>
            </w:tcBorders>
            <w:shd w:val="clear" w:color="auto" w:fill="auto"/>
            <w:tcMar>
              <w:top w:w="100" w:type="dxa"/>
              <w:left w:w="100" w:type="dxa"/>
              <w:bottom w:w="100" w:type="dxa"/>
              <w:right w:w="100" w:type="dxa"/>
            </w:tcMar>
          </w:tcPr>
          <w:p w14:paraId="0F107A4F"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786" w:type="dxa"/>
            <w:vMerge/>
            <w:tcBorders>
              <w:top w:val="nil"/>
              <w:bottom w:val="single" w:sz="4" w:space="0" w:color="auto"/>
            </w:tcBorders>
            <w:shd w:val="clear" w:color="auto" w:fill="auto"/>
            <w:tcMar>
              <w:top w:w="100" w:type="dxa"/>
              <w:left w:w="100" w:type="dxa"/>
              <w:bottom w:w="100" w:type="dxa"/>
              <w:right w:w="100" w:type="dxa"/>
            </w:tcMar>
          </w:tcPr>
          <w:p w14:paraId="0630EDC9"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024" w:type="dxa"/>
            <w:vMerge/>
            <w:tcBorders>
              <w:top w:val="nil"/>
              <w:bottom w:val="single" w:sz="4" w:space="0" w:color="auto"/>
            </w:tcBorders>
            <w:shd w:val="clear" w:color="auto" w:fill="auto"/>
            <w:tcMar>
              <w:top w:w="100" w:type="dxa"/>
              <w:left w:w="100" w:type="dxa"/>
              <w:bottom w:w="100" w:type="dxa"/>
              <w:right w:w="100" w:type="dxa"/>
            </w:tcMar>
          </w:tcPr>
          <w:p w14:paraId="1E1EFDA1"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932A95" w:rsidRPr="00932A95" w14:paraId="22C7DD07" w14:textId="77777777" w:rsidTr="00F239AF">
        <w:trPr>
          <w:trHeight w:val="167"/>
        </w:trPr>
        <w:tc>
          <w:tcPr>
            <w:tcW w:w="3871" w:type="dxa"/>
            <w:tcBorders>
              <w:top w:val="single" w:sz="4" w:space="0" w:color="auto"/>
            </w:tcBorders>
            <w:shd w:val="clear" w:color="auto" w:fill="auto"/>
            <w:tcMar>
              <w:top w:w="100" w:type="dxa"/>
              <w:left w:w="100" w:type="dxa"/>
              <w:bottom w:w="100" w:type="dxa"/>
              <w:right w:w="100" w:type="dxa"/>
            </w:tcMar>
            <w:vAlign w:val="bottom"/>
          </w:tcPr>
          <w:p w14:paraId="3D495021" w14:textId="77777777" w:rsidR="0011433B" w:rsidRPr="00932A95" w:rsidRDefault="002F52BB" w:rsidP="00374FC0">
            <w:pPr>
              <w:spacing w:line="360" w:lineRule="auto"/>
              <w:jc w:val="both"/>
              <w:rPr>
                <w:rFonts w:ascii="Book Antiqua" w:hAnsi="Book Antiqua" w:cs="Book Antiqua"/>
                <w:color w:val="auto"/>
                <w:sz w:val="24"/>
                <w:szCs w:val="24"/>
                <w:vertAlign w:val="superscript"/>
              </w:rPr>
            </w:pPr>
            <w:proofErr w:type="spellStart"/>
            <w:r w:rsidRPr="00932A95">
              <w:rPr>
                <w:rFonts w:ascii="Book Antiqua" w:hAnsi="Book Antiqua" w:cs="Book Antiqua"/>
                <w:color w:val="auto"/>
                <w:sz w:val="24"/>
                <w:szCs w:val="24"/>
              </w:rPr>
              <w:t>Elixhauser</w:t>
            </w:r>
            <w:proofErr w:type="spellEnd"/>
            <w:r w:rsidRPr="00932A95">
              <w:rPr>
                <w:rFonts w:ascii="Book Antiqua" w:hAnsi="Book Antiqua" w:cs="Book Antiqua"/>
                <w:color w:val="auto"/>
                <w:sz w:val="24"/>
                <w:szCs w:val="24"/>
              </w:rPr>
              <w:t xml:space="preserve"> </w:t>
            </w:r>
            <w:proofErr w:type="spellStart"/>
            <w:r w:rsidRPr="00932A95">
              <w:rPr>
                <w:rFonts w:ascii="Book Antiqua" w:hAnsi="Book Antiqua" w:cs="Book Antiqua"/>
                <w:color w:val="auto"/>
                <w:sz w:val="24"/>
                <w:szCs w:val="24"/>
              </w:rPr>
              <w:t>comorbidities</w:t>
            </w:r>
            <w:r w:rsidRPr="00932A95">
              <w:rPr>
                <w:rFonts w:ascii="Book Antiqua" w:hAnsi="Book Antiqua" w:cs="Book Antiqua"/>
                <w:color w:val="auto"/>
                <w:sz w:val="24"/>
                <w:szCs w:val="24"/>
                <w:vertAlign w:val="superscript"/>
              </w:rPr>
              <w:t>a</w:t>
            </w:r>
            <w:proofErr w:type="spellEnd"/>
          </w:p>
        </w:tc>
        <w:tc>
          <w:tcPr>
            <w:tcW w:w="1595" w:type="dxa"/>
            <w:tcBorders>
              <w:top w:val="single" w:sz="4" w:space="0" w:color="auto"/>
            </w:tcBorders>
            <w:shd w:val="clear" w:color="auto" w:fill="auto"/>
            <w:tcMar>
              <w:top w:w="100" w:type="dxa"/>
              <w:left w:w="100" w:type="dxa"/>
              <w:bottom w:w="100" w:type="dxa"/>
              <w:right w:w="100" w:type="dxa"/>
            </w:tcMar>
            <w:vAlign w:val="bottom"/>
          </w:tcPr>
          <w:p w14:paraId="4093DE26"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86" w:type="dxa"/>
            <w:tcBorders>
              <w:top w:val="single" w:sz="4" w:space="0" w:color="auto"/>
            </w:tcBorders>
            <w:shd w:val="clear" w:color="auto" w:fill="auto"/>
            <w:tcMar>
              <w:top w:w="100" w:type="dxa"/>
              <w:left w:w="100" w:type="dxa"/>
              <w:bottom w:w="100" w:type="dxa"/>
              <w:right w:w="100" w:type="dxa"/>
            </w:tcMar>
            <w:vAlign w:val="bottom"/>
          </w:tcPr>
          <w:p w14:paraId="03BE41AF"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024" w:type="dxa"/>
            <w:tcBorders>
              <w:top w:val="single" w:sz="4" w:space="0" w:color="auto"/>
            </w:tcBorders>
            <w:shd w:val="clear" w:color="auto" w:fill="auto"/>
            <w:tcMar>
              <w:top w:w="100" w:type="dxa"/>
              <w:left w:w="100" w:type="dxa"/>
              <w:bottom w:w="100" w:type="dxa"/>
              <w:right w:w="100" w:type="dxa"/>
            </w:tcMar>
            <w:vAlign w:val="bottom"/>
          </w:tcPr>
          <w:p w14:paraId="34EA7CF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932A95" w:rsidRPr="00932A95" w14:paraId="5876B87C" w14:textId="77777777" w:rsidTr="00F239AF">
        <w:trPr>
          <w:trHeight w:val="25"/>
        </w:trPr>
        <w:tc>
          <w:tcPr>
            <w:tcW w:w="3871" w:type="dxa"/>
            <w:shd w:val="clear" w:color="auto" w:fill="auto"/>
            <w:tcMar>
              <w:top w:w="100" w:type="dxa"/>
              <w:left w:w="100" w:type="dxa"/>
              <w:bottom w:w="100" w:type="dxa"/>
              <w:right w:w="100" w:type="dxa"/>
            </w:tcMar>
            <w:vAlign w:val="bottom"/>
          </w:tcPr>
          <w:p w14:paraId="6877273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0</w:t>
            </w:r>
          </w:p>
        </w:tc>
        <w:tc>
          <w:tcPr>
            <w:tcW w:w="1595" w:type="dxa"/>
            <w:shd w:val="clear" w:color="auto" w:fill="auto"/>
            <w:tcMar>
              <w:top w:w="100" w:type="dxa"/>
              <w:left w:w="100" w:type="dxa"/>
              <w:bottom w:w="100" w:type="dxa"/>
              <w:right w:w="100" w:type="dxa"/>
            </w:tcMar>
            <w:vAlign w:val="bottom"/>
          </w:tcPr>
          <w:p w14:paraId="3E28425F" w14:textId="5F17FC94"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2568 (</w:t>
            </w:r>
            <w:r w:rsidR="002F52BB" w:rsidRPr="00932A95">
              <w:rPr>
                <w:rFonts w:ascii="Book Antiqua" w:hAnsi="Book Antiqua" w:cs="Book Antiqua"/>
                <w:color w:val="auto"/>
                <w:sz w:val="24"/>
                <w:szCs w:val="24"/>
              </w:rPr>
              <w:t>4.4</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298704BD" w14:textId="21505A6E"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1398 (</w:t>
            </w:r>
            <w:r w:rsidR="002F52BB" w:rsidRPr="00932A95">
              <w:rPr>
                <w:rFonts w:ascii="Book Antiqua" w:hAnsi="Book Antiqua" w:cs="Book Antiqua"/>
                <w:color w:val="auto"/>
                <w:sz w:val="24"/>
                <w:szCs w:val="24"/>
              </w:rPr>
              <w:t>4.6</w:t>
            </w:r>
            <w:r>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3BCD926A" w14:textId="4EF65604"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1175 (</w:t>
            </w:r>
            <w:r w:rsidR="002F52BB" w:rsidRPr="00932A95">
              <w:rPr>
                <w:rFonts w:ascii="Book Antiqua" w:hAnsi="Book Antiqua" w:cs="Book Antiqua"/>
                <w:color w:val="auto"/>
                <w:sz w:val="24"/>
                <w:szCs w:val="24"/>
              </w:rPr>
              <w:t>4.2</w:t>
            </w:r>
            <w:r>
              <w:rPr>
                <w:rFonts w:ascii="Book Antiqua" w:hAnsi="Book Antiqua" w:cs="Book Antiqua"/>
                <w:color w:val="auto"/>
                <w:sz w:val="24"/>
                <w:szCs w:val="24"/>
              </w:rPr>
              <w:t>)</w:t>
            </w:r>
          </w:p>
        </w:tc>
      </w:tr>
      <w:tr w:rsidR="00932A95" w:rsidRPr="00932A95" w14:paraId="149297B6" w14:textId="77777777" w:rsidTr="00F239AF">
        <w:trPr>
          <w:trHeight w:val="25"/>
        </w:trPr>
        <w:tc>
          <w:tcPr>
            <w:tcW w:w="3871" w:type="dxa"/>
            <w:shd w:val="clear" w:color="auto" w:fill="auto"/>
            <w:tcMar>
              <w:top w:w="100" w:type="dxa"/>
              <w:left w:w="100" w:type="dxa"/>
              <w:bottom w:w="100" w:type="dxa"/>
              <w:right w:w="100" w:type="dxa"/>
            </w:tcMar>
            <w:vAlign w:val="bottom"/>
          </w:tcPr>
          <w:p w14:paraId="5D904DED"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1</w:t>
            </w:r>
          </w:p>
        </w:tc>
        <w:tc>
          <w:tcPr>
            <w:tcW w:w="1595" w:type="dxa"/>
            <w:shd w:val="clear" w:color="auto" w:fill="auto"/>
            <w:tcMar>
              <w:top w:w="100" w:type="dxa"/>
              <w:left w:w="100" w:type="dxa"/>
              <w:bottom w:w="100" w:type="dxa"/>
              <w:right w:w="100" w:type="dxa"/>
            </w:tcMar>
            <w:vAlign w:val="bottom"/>
          </w:tcPr>
          <w:p w14:paraId="040A77FC" w14:textId="5970B20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8929 (</w:t>
            </w:r>
            <w:r w:rsidR="002F52BB" w:rsidRPr="00932A95">
              <w:rPr>
                <w:rFonts w:ascii="Book Antiqua" w:hAnsi="Book Antiqua" w:cs="Book Antiqua"/>
                <w:color w:val="auto"/>
                <w:sz w:val="24"/>
                <w:szCs w:val="24"/>
              </w:rPr>
              <w:t>15.3</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20A9ADD4" w14:textId="4F9299D2"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4679 (</w:t>
            </w:r>
            <w:r w:rsidR="002F52BB" w:rsidRPr="00932A95">
              <w:rPr>
                <w:rFonts w:ascii="Book Antiqua" w:hAnsi="Book Antiqua" w:cs="Book Antiqua"/>
                <w:color w:val="auto"/>
                <w:sz w:val="24"/>
                <w:szCs w:val="24"/>
              </w:rPr>
              <w:t>15.4</w:t>
            </w:r>
            <w:r>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287E6918" w14:textId="5B4EBB2E"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4281 (</w:t>
            </w:r>
            <w:r w:rsidR="002F52BB" w:rsidRPr="00932A95">
              <w:rPr>
                <w:rFonts w:ascii="Book Antiqua" w:hAnsi="Book Antiqua" w:cs="Book Antiqua"/>
                <w:color w:val="auto"/>
                <w:sz w:val="24"/>
                <w:szCs w:val="24"/>
              </w:rPr>
              <w:t>15.3</w:t>
            </w:r>
            <w:r>
              <w:rPr>
                <w:rFonts w:ascii="Book Antiqua" w:hAnsi="Book Antiqua" w:cs="Book Antiqua"/>
                <w:color w:val="auto"/>
                <w:sz w:val="24"/>
                <w:szCs w:val="24"/>
              </w:rPr>
              <w:t>)</w:t>
            </w:r>
          </w:p>
        </w:tc>
      </w:tr>
      <w:tr w:rsidR="00932A95" w:rsidRPr="00932A95" w14:paraId="73638DF1" w14:textId="77777777" w:rsidTr="00F239AF">
        <w:trPr>
          <w:trHeight w:val="25"/>
        </w:trPr>
        <w:tc>
          <w:tcPr>
            <w:tcW w:w="3871" w:type="dxa"/>
            <w:shd w:val="clear" w:color="auto" w:fill="auto"/>
            <w:tcMar>
              <w:top w:w="100" w:type="dxa"/>
              <w:left w:w="100" w:type="dxa"/>
              <w:bottom w:w="100" w:type="dxa"/>
              <w:right w:w="100" w:type="dxa"/>
            </w:tcMar>
            <w:vAlign w:val="bottom"/>
          </w:tcPr>
          <w:p w14:paraId="56D2DA5D"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2</w:t>
            </w:r>
          </w:p>
        </w:tc>
        <w:tc>
          <w:tcPr>
            <w:tcW w:w="1595" w:type="dxa"/>
            <w:shd w:val="clear" w:color="auto" w:fill="auto"/>
            <w:tcMar>
              <w:top w:w="100" w:type="dxa"/>
              <w:left w:w="100" w:type="dxa"/>
              <w:bottom w:w="100" w:type="dxa"/>
              <w:right w:w="100" w:type="dxa"/>
            </w:tcMar>
            <w:vAlign w:val="bottom"/>
          </w:tcPr>
          <w:p w14:paraId="720FF2EE" w14:textId="66C91DE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14707 (</w:t>
            </w:r>
            <w:r w:rsidR="002F52BB" w:rsidRPr="00932A95">
              <w:rPr>
                <w:rFonts w:ascii="Book Antiqua" w:hAnsi="Book Antiqua" w:cs="Book Antiqua"/>
                <w:color w:val="auto"/>
                <w:sz w:val="24"/>
                <w:szCs w:val="24"/>
              </w:rPr>
              <w:t>25.2</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68E789CC" w14:textId="4623FFA1"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7565 (</w:t>
            </w:r>
            <w:r w:rsidR="002F52BB" w:rsidRPr="00932A95">
              <w:rPr>
                <w:rFonts w:ascii="Book Antiqua" w:hAnsi="Book Antiqua" w:cs="Book Antiqua"/>
                <w:color w:val="auto"/>
                <w:sz w:val="24"/>
                <w:szCs w:val="24"/>
              </w:rPr>
              <w:t>24.9</w:t>
            </w:r>
            <w:r>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159E4256" w14:textId="766FCAD8"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7135 (</w:t>
            </w:r>
            <w:r w:rsidR="002F52BB" w:rsidRPr="00932A95">
              <w:rPr>
                <w:rFonts w:ascii="Book Antiqua" w:hAnsi="Book Antiqua" w:cs="Book Antiqua"/>
                <w:color w:val="auto"/>
                <w:sz w:val="24"/>
                <w:szCs w:val="24"/>
              </w:rPr>
              <w:t>25.5</w:t>
            </w:r>
            <w:r>
              <w:rPr>
                <w:rFonts w:ascii="Book Antiqua" w:hAnsi="Book Antiqua" w:cs="Book Antiqua"/>
                <w:color w:val="auto"/>
                <w:sz w:val="24"/>
                <w:szCs w:val="24"/>
              </w:rPr>
              <w:t>)</w:t>
            </w:r>
          </w:p>
        </w:tc>
      </w:tr>
      <w:tr w:rsidR="00932A95" w:rsidRPr="00932A95" w14:paraId="7064B403" w14:textId="77777777" w:rsidTr="00F239AF">
        <w:trPr>
          <w:trHeight w:val="25"/>
        </w:trPr>
        <w:tc>
          <w:tcPr>
            <w:tcW w:w="3871" w:type="dxa"/>
            <w:shd w:val="clear" w:color="auto" w:fill="auto"/>
            <w:tcMar>
              <w:top w:w="100" w:type="dxa"/>
              <w:left w:w="100" w:type="dxa"/>
              <w:bottom w:w="100" w:type="dxa"/>
              <w:right w:w="100" w:type="dxa"/>
            </w:tcMar>
            <w:vAlign w:val="bottom"/>
          </w:tcPr>
          <w:p w14:paraId="4D49594D"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eastAsia="Arial Unicode MS" w:hAnsi="Book Antiqua" w:cs="Book Antiqua"/>
                <w:color w:val="auto"/>
                <w:sz w:val="24"/>
                <w:szCs w:val="24"/>
              </w:rPr>
              <w:t>≥ 3</w:t>
            </w:r>
          </w:p>
        </w:tc>
        <w:tc>
          <w:tcPr>
            <w:tcW w:w="1595" w:type="dxa"/>
            <w:shd w:val="clear" w:color="auto" w:fill="auto"/>
            <w:tcMar>
              <w:top w:w="100" w:type="dxa"/>
              <w:left w:w="100" w:type="dxa"/>
              <w:bottom w:w="100" w:type="dxa"/>
              <w:right w:w="100" w:type="dxa"/>
            </w:tcMar>
            <w:vAlign w:val="bottom"/>
          </w:tcPr>
          <w:p w14:paraId="11F3B777" w14:textId="2D7C3CC7"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32157 (</w:t>
            </w:r>
            <w:r w:rsidR="002F52BB" w:rsidRPr="00932A95">
              <w:rPr>
                <w:rFonts w:ascii="Book Antiqua" w:hAnsi="Book Antiqua" w:cs="Book Antiqua"/>
                <w:color w:val="auto"/>
                <w:sz w:val="24"/>
                <w:szCs w:val="24"/>
              </w:rPr>
              <w:t>55.1</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4DD21790" w14:textId="6E12A45E"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16740 (</w:t>
            </w:r>
            <w:r w:rsidR="002F52BB" w:rsidRPr="00932A95">
              <w:rPr>
                <w:rFonts w:ascii="Book Antiqua" w:hAnsi="Book Antiqua" w:cs="Book Antiqua"/>
                <w:color w:val="auto"/>
                <w:sz w:val="24"/>
                <w:szCs w:val="24"/>
              </w:rPr>
              <w:t>55.1</w:t>
            </w:r>
            <w:r>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0FDEC628" w14:textId="39C5B954"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15388 (</w:t>
            </w:r>
            <w:r w:rsidR="002F52BB" w:rsidRPr="00932A95">
              <w:rPr>
                <w:rFonts w:ascii="Book Antiqua" w:hAnsi="Book Antiqua" w:cs="Book Antiqua"/>
                <w:color w:val="auto"/>
                <w:sz w:val="24"/>
                <w:szCs w:val="24"/>
              </w:rPr>
              <w:t>55.0</w:t>
            </w:r>
            <w:r>
              <w:rPr>
                <w:rFonts w:ascii="Book Antiqua" w:hAnsi="Book Antiqua" w:cs="Book Antiqua"/>
                <w:color w:val="auto"/>
                <w:sz w:val="24"/>
                <w:szCs w:val="24"/>
              </w:rPr>
              <w:t>)</w:t>
            </w:r>
          </w:p>
        </w:tc>
      </w:tr>
      <w:tr w:rsidR="00932A95" w:rsidRPr="00932A95" w14:paraId="1955A715" w14:textId="77777777" w:rsidTr="00F239AF">
        <w:trPr>
          <w:trHeight w:val="440"/>
        </w:trPr>
        <w:tc>
          <w:tcPr>
            <w:tcW w:w="3871" w:type="dxa"/>
            <w:shd w:val="clear" w:color="auto" w:fill="auto"/>
            <w:tcMar>
              <w:top w:w="100" w:type="dxa"/>
              <w:left w:w="100" w:type="dxa"/>
              <w:bottom w:w="100" w:type="dxa"/>
              <w:right w:w="100" w:type="dxa"/>
            </w:tcMar>
            <w:vAlign w:val="bottom"/>
          </w:tcPr>
          <w:p w14:paraId="625ABBD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Liver comorbidities</w:t>
            </w:r>
          </w:p>
        </w:tc>
        <w:tc>
          <w:tcPr>
            <w:tcW w:w="1595" w:type="dxa"/>
            <w:shd w:val="clear" w:color="auto" w:fill="auto"/>
            <w:tcMar>
              <w:top w:w="100" w:type="dxa"/>
              <w:left w:w="100" w:type="dxa"/>
              <w:bottom w:w="100" w:type="dxa"/>
              <w:right w:w="100" w:type="dxa"/>
            </w:tcMar>
            <w:vAlign w:val="bottom"/>
          </w:tcPr>
          <w:p w14:paraId="4DE61953"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86" w:type="dxa"/>
            <w:shd w:val="clear" w:color="auto" w:fill="auto"/>
            <w:tcMar>
              <w:top w:w="100" w:type="dxa"/>
              <w:left w:w="100" w:type="dxa"/>
              <w:bottom w:w="100" w:type="dxa"/>
              <w:right w:w="100" w:type="dxa"/>
            </w:tcMar>
            <w:vAlign w:val="bottom"/>
          </w:tcPr>
          <w:p w14:paraId="0F6671A7"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024" w:type="dxa"/>
            <w:shd w:val="clear" w:color="auto" w:fill="auto"/>
            <w:tcMar>
              <w:top w:w="100" w:type="dxa"/>
              <w:left w:w="100" w:type="dxa"/>
              <w:bottom w:w="100" w:type="dxa"/>
              <w:right w:w="100" w:type="dxa"/>
            </w:tcMar>
            <w:vAlign w:val="bottom"/>
          </w:tcPr>
          <w:p w14:paraId="6822C7B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932A95" w:rsidRPr="00932A95" w14:paraId="63E58C18" w14:textId="77777777" w:rsidTr="00F239AF">
        <w:trPr>
          <w:trHeight w:val="25"/>
        </w:trPr>
        <w:tc>
          <w:tcPr>
            <w:tcW w:w="3871" w:type="dxa"/>
            <w:shd w:val="clear" w:color="auto" w:fill="auto"/>
            <w:tcMar>
              <w:top w:w="100" w:type="dxa"/>
              <w:left w:w="100" w:type="dxa"/>
              <w:bottom w:w="100" w:type="dxa"/>
              <w:right w:w="100" w:type="dxa"/>
            </w:tcMar>
            <w:vAlign w:val="bottom"/>
          </w:tcPr>
          <w:p w14:paraId="05F7890E"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Alcoholic cirrhosis</w:t>
            </w:r>
          </w:p>
        </w:tc>
        <w:tc>
          <w:tcPr>
            <w:tcW w:w="1595" w:type="dxa"/>
            <w:shd w:val="clear" w:color="auto" w:fill="auto"/>
            <w:tcMar>
              <w:top w:w="100" w:type="dxa"/>
              <w:left w:w="100" w:type="dxa"/>
              <w:bottom w:w="100" w:type="dxa"/>
              <w:right w:w="100" w:type="dxa"/>
            </w:tcMar>
            <w:vAlign w:val="bottom"/>
          </w:tcPr>
          <w:p w14:paraId="045188F3" w14:textId="436408CA"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30232 (</w:t>
            </w:r>
            <w:r w:rsidR="002F52BB" w:rsidRPr="00932A95">
              <w:rPr>
                <w:rFonts w:ascii="Book Antiqua" w:hAnsi="Book Antiqua" w:cs="Book Antiqua"/>
                <w:color w:val="auto"/>
                <w:sz w:val="24"/>
                <w:szCs w:val="24"/>
              </w:rPr>
              <w:t>51.8</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46FF81DB" w14:textId="5C38A508"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16102 (</w:t>
            </w:r>
            <w:r w:rsidR="002F52BB" w:rsidRPr="00932A95">
              <w:rPr>
                <w:rFonts w:ascii="Book Antiqua" w:hAnsi="Book Antiqua" w:cs="Book Antiqua"/>
                <w:color w:val="auto"/>
                <w:sz w:val="24"/>
                <w:szCs w:val="24"/>
              </w:rPr>
              <w:t>53.0</w:t>
            </w:r>
            <w:r>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53259582" w14:textId="7163A4E7"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14157 (</w:t>
            </w:r>
            <w:r w:rsidR="002F52BB" w:rsidRPr="00932A95">
              <w:rPr>
                <w:rFonts w:ascii="Book Antiqua" w:hAnsi="Book Antiqua" w:cs="Book Antiqua"/>
                <w:color w:val="auto"/>
                <w:sz w:val="24"/>
                <w:szCs w:val="24"/>
              </w:rPr>
              <w:t>50.6</w:t>
            </w:r>
            <w:r>
              <w:rPr>
                <w:rFonts w:ascii="Book Antiqua" w:hAnsi="Book Antiqua" w:cs="Book Antiqua"/>
                <w:color w:val="auto"/>
                <w:sz w:val="24"/>
                <w:szCs w:val="24"/>
              </w:rPr>
              <w:t>)</w:t>
            </w:r>
          </w:p>
        </w:tc>
      </w:tr>
      <w:tr w:rsidR="00932A95" w:rsidRPr="00932A95" w14:paraId="7FC3FF46" w14:textId="77777777" w:rsidTr="00F239AF">
        <w:trPr>
          <w:trHeight w:val="25"/>
        </w:trPr>
        <w:tc>
          <w:tcPr>
            <w:tcW w:w="3871" w:type="dxa"/>
            <w:shd w:val="clear" w:color="auto" w:fill="auto"/>
            <w:tcMar>
              <w:top w:w="100" w:type="dxa"/>
              <w:left w:w="100" w:type="dxa"/>
              <w:bottom w:w="100" w:type="dxa"/>
              <w:right w:w="100" w:type="dxa"/>
            </w:tcMar>
            <w:vAlign w:val="bottom"/>
          </w:tcPr>
          <w:p w14:paraId="783C55D3"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Ascites</w:t>
            </w:r>
          </w:p>
        </w:tc>
        <w:tc>
          <w:tcPr>
            <w:tcW w:w="1595" w:type="dxa"/>
            <w:shd w:val="clear" w:color="auto" w:fill="auto"/>
            <w:tcMar>
              <w:top w:w="100" w:type="dxa"/>
              <w:left w:w="100" w:type="dxa"/>
              <w:bottom w:w="100" w:type="dxa"/>
              <w:right w:w="100" w:type="dxa"/>
            </w:tcMar>
            <w:vAlign w:val="bottom"/>
          </w:tcPr>
          <w:p w14:paraId="3DB56914" w14:textId="54AF291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19551 (</w:t>
            </w:r>
            <w:r w:rsidR="002F52BB" w:rsidRPr="00932A95">
              <w:rPr>
                <w:rFonts w:ascii="Book Antiqua" w:hAnsi="Book Antiqua" w:cs="Book Antiqua"/>
                <w:color w:val="auto"/>
                <w:sz w:val="24"/>
                <w:szCs w:val="24"/>
              </w:rPr>
              <w:t>33.5</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738CED9E" w14:textId="24E7198B"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10998 (</w:t>
            </w:r>
            <w:r w:rsidR="002F52BB" w:rsidRPr="00932A95">
              <w:rPr>
                <w:rFonts w:ascii="Book Antiqua" w:hAnsi="Book Antiqua" w:cs="Book Antiqua"/>
                <w:color w:val="auto"/>
                <w:sz w:val="24"/>
                <w:szCs w:val="24"/>
              </w:rPr>
              <w:t>36.2</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0084BFF0" w14:textId="16BA2682"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8534 (</w:t>
            </w:r>
            <w:r w:rsidR="002F52BB" w:rsidRPr="00932A95">
              <w:rPr>
                <w:rFonts w:ascii="Book Antiqua" w:hAnsi="Book Antiqua" w:cs="Book Antiqua"/>
                <w:color w:val="auto"/>
                <w:sz w:val="24"/>
                <w:szCs w:val="24"/>
              </w:rPr>
              <w:t>30.5</w:t>
            </w:r>
            <w:r>
              <w:rPr>
                <w:rFonts w:ascii="Book Antiqua" w:hAnsi="Book Antiqua" w:cs="Book Antiqua"/>
                <w:color w:val="auto"/>
                <w:sz w:val="24"/>
                <w:szCs w:val="24"/>
              </w:rPr>
              <w:t>)</w:t>
            </w:r>
          </w:p>
        </w:tc>
      </w:tr>
      <w:tr w:rsidR="00932A95" w:rsidRPr="00932A95" w14:paraId="42A78494" w14:textId="77777777" w:rsidTr="00F239AF">
        <w:trPr>
          <w:trHeight w:val="25"/>
        </w:trPr>
        <w:tc>
          <w:tcPr>
            <w:tcW w:w="3871" w:type="dxa"/>
            <w:shd w:val="clear" w:color="auto" w:fill="auto"/>
            <w:tcMar>
              <w:top w:w="100" w:type="dxa"/>
              <w:left w:w="100" w:type="dxa"/>
              <w:bottom w:w="100" w:type="dxa"/>
              <w:right w:w="100" w:type="dxa"/>
            </w:tcMar>
            <w:vAlign w:val="bottom"/>
          </w:tcPr>
          <w:p w14:paraId="1D251D44"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Hepatic encephalopathy</w:t>
            </w:r>
          </w:p>
        </w:tc>
        <w:tc>
          <w:tcPr>
            <w:tcW w:w="1595" w:type="dxa"/>
            <w:shd w:val="clear" w:color="auto" w:fill="auto"/>
            <w:tcMar>
              <w:top w:w="100" w:type="dxa"/>
              <w:left w:w="100" w:type="dxa"/>
              <w:bottom w:w="100" w:type="dxa"/>
              <w:right w:w="100" w:type="dxa"/>
            </w:tcMar>
            <w:vAlign w:val="bottom"/>
          </w:tcPr>
          <w:p w14:paraId="33E069E2" w14:textId="4C98BCC9"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9280 (</w:t>
            </w:r>
            <w:r w:rsidR="002F52BB" w:rsidRPr="00932A95">
              <w:rPr>
                <w:rFonts w:ascii="Book Antiqua" w:hAnsi="Book Antiqua" w:cs="Book Antiqua"/>
                <w:color w:val="auto"/>
                <w:sz w:val="24"/>
                <w:szCs w:val="24"/>
              </w:rPr>
              <w:t>15.9</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434AD513" w14:textId="50CBB732"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5286 (</w:t>
            </w:r>
            <w:r w:rsidR="002F52BB" w:rsidRPr="00932A95">
              <w:rPr>
                <w:rFonts w:ascii="Book Antiqua" w:hAnsi="Book Antiqua" w:cs="Book Antiqua"/>
                <w:color w:val="auto"/>
                <w:sz w:val="24"/>
                <w:szCs w:val="24"/>
              </w:rPr>
              <w:t>17.4</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28DD08CE" w14:textId="7E6414FA"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4001 (</w:t>
            </w:r>
            <w:r w:rsidR="002F52BB" w:rsidRPr="00932A95">
              <w:rPr>
                <w:rFonts w:ascii="Book Antiqua" w:hAnsi="Book Antiqua" w:cs="Book Antiqua"/>
                <w:color w:val="auto"/>
                <w:sz w:val="24"/>
                <w:szCs w:val="24"/>
              </w:rPr>
              <w:t>14.3</w:t>
            </w:r>
            <w:r>
              <w:rPr>
                <w:rFonts w:ascii="Book Antiqua" w:hAnsi="Book Antiqua" w:cs="Book Antiqua"/>
                <w:color w:val="auto"/>
                <w:sz w:val="24"/>
                <w:szCs w:val="24"/>
              </w:rPr>
              <w:t>)</w:t>
            </w:r>
          </w:p>
        </w:tc>
      </w:tr>
      <w:tr w:rsidR="00932A95" w:rsidRPr="00932A95" w14:paraId="4154BF40" w14:textId="77777777" w:rsidTr="00F239AF">
        <w:trPr>
          <w:trHeight w:val="25"/>
        </w:trPr>
        <w:tc>
          <w:tcPr>
            <w:tcW w:w="3871" w:type="dxa"/>
            <w:shd w:val="clear" w:color="auto" w:fill="auto"/>
            <w:tcMar>
              <w:top w:w="100" w:type="dxa"/>
              <w:left w:w="100" w:type="dxa"/>
              <w:bottom w:w="100" w:type="dxa"/>
              <w:right w:w="100" w:type="dxa"/>
            </w:tcMar>
            <w:vAlign w:val="bottom"/>
          </w:tcPr>
          <w:p w14:paraId="2F95EF05"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SBP</w:t>
            </w:r>
          </w:p>
        </w:tc>
        <w:tc>
          <w:tcPr>
            <w:tcW w:w="1595" w:type="dxa"/>
            <w:shd w:val="clear" w:color="auto" w:fill="auto"/>
            <w:tcMar>
              <w:top w:w="100" w:type="dxa"/>
              <w:left w:w="100" w:type="dxa"/>
              <w:bottom w:w="100" w:type="dxa"/>
              <w:right w:w="100" w:type="dxa"/>
            </w:tcMar>
            <w:vAlign w:val="bottom"/>
          </w:tcPr>
          <w:p w14:paraId="25FF50B6" w14:textId="0C867129"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1109 (</w:t>
            </w:r>
            <w:r w:rsidR="002F52BB" w:rsidRPr="00932A95">
              <w:rPr>
                <w:rFonts w:ascii="Book Antiqua" w:hAnsi="Book Antiqua" w:cs="Book Antiqua"/>
                <w:color w:val="auto"/>
                <w:sz w:val="24"/>
                <w:szCs w:val="24"/>
              </w:rPr>
              <w:t>1.9</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4EC80AF1" w14:textId="323FE0DE"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760 (</w:t>
            </w:r>
            <w:r w:rsidR="002F52BB" w:rsidRPr="00932A95">
              <w:rPr>
                <w:rFonts w:ascii="Book Antiqua" w:hAnsi="Book Antiqua" w:cs="Book Antiqua"/>
                <w:color w:val="auto"/>
                <w:sz w:val="24"/>
                <w:szCs w:val="24"/>
              </w:rPr>
              <w:t>2.5</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6B589B8F" w14:textId="6085AD29"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336 (</w:t>
            </w:r>
            <w:r w:rsidR="002F52BB" w:rsidRPr="00932A95">
              <w:rPr>
                <w:rFonts w:ascii="Book Antiqua" w:hAnsi="Book Antiqua" w:cs="Book Antiqua"/>
                <w:color w:val="auto"/>
                <w:sz w:val="24"/>
                <w:szCs w:val="24"/>
              </w:rPr>
              <w:t>1.2</w:t>
            </w:r>
            <w:r>
              <w:rPr>
                <w:rFonts w:ascii="Book Antiqua" w:hAnsi="Book Antiqua" w:cs="Book Antiqua"/>
                <w:color w:val="auto"/>
                <w:sz w:val="24"/>
                <w:szCs w:val="24"/>
              </w:rPr>
              <w:t>)</w:t>
            </w:r>
          </w:p>
        </w:tc>
      </w:tr>
      <w:tr w:rsidR="00932A95" w:rsidRPr="00932A95" w14:paraId="5996B2A4" w14:textId="77777777" w:rsidTr="00F239AF">
        <w:trPr>
          <w:trHeight w:val="25"/>
        </w:trPr>
        <w:tc>
          <w:tcPr>
            <w:tcW w:w="3871" w:type="dxa"/>
            <w:shd w:val="clear" w:color="auto" w:fill="auto"/>
            <w:tcMar>
              <w:top w:w="100" w:type="dxa"/>
              <w:left w:w="100" w:type="dxa"/>
              <w:bottom w:w="100" w:type="dxa"/>
              <w:right w:w="100" w:type="dxa"/>
            </w:tcMar>
            <w:vAlign w:val="bottom"/>
          </w:tcPr>
          <w:p w14:paraId="6B39CF4B"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Hepatorenal syndrome</w:t>
            </w:r>
          </w:p>
        </w:tc>
        <w:tc>
          <w:tcPr>
            <w:tcW w:w="1595" w:type="dxa"/>
            <w:shd w:val="clear" w:color="auto" w:fill="auto"/>
            <w:tcMar>
              <w:top w:w="100" w:type="dxa"/>
              <w:left w:w="100" w:type="dxa"/>
              <w:bottom w:w="100" w:type="dxa"/>
              <w:right w:w="100" w:type="dxa"/>
            </w:tcMar>
            <w:vAlign w:val="bottom"/>
          </w:tcPr>
          <w:p w14:paraId="23D2504E" w14:textId="03A9B029"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1868 (</w:t>
            </w:r>
            <w:r w:rsidR="002F52BB" w:rsidRPr="00932A95">
              <w:rPr>
                <w:rFonts w:ascii="Book Antiqua" w:hAnsi="Book Antiqua" w:cs="Book Antiqua"/>
                <w:color w:val="auto"/>
                <w:sz w:val="24"/>
                <w:szCs w:val="24"/>
              </w:rPr>
              <w:t>3.2</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565F9514" w14:textId="57A2671C"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1276 (</w:t>
            </w:r>
            <w:r w:rsidR="002F52BB" w:rsidRPr="00932A95">
              <w:rPr>
                <w:rFonts w:ascii="Book Antiqua" w:hAnsi="Book Antiqua" w:cs="Book Antiqua"/>
                <w:color w:val="auto"/>
                <w:sz w:val="24"/>
                <w:szCs w:val="24"/>
              </w:rPr>
              <w:t>4.2</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2BE70AD1" w14:textId="0350DEEE"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616 (</w:t>
            </w:r>
            <w:r w:rsidR="002F52BB" w:rsidRPr="00932A95">
              <w:rPr>
                <w:rFonts w:ascii="Book Antiqua" w:hAnsi="Book Antiqua" w:cs="Book Antiqua"/>
                <w:color w:val="auto"/>
                <w:sz w:val="24"/>
                <w:szCs w:val="24"/>
              </w:rPr>
              <w:t>2.2</w:t>
            </w:r>
            <w:r>
              <w:rPr>
                <w:rFonts w:ascii="Book Antiqua" w:hAnsi="Book Antiqua" w:cs="Book Antiqua"/>
                <w:color w:val="auto"/>
                <w:sz w:val="24"/>
                <w:szCs w:val="24"/>
              </w:rPr>
              <w:t>)</w:t>
            </w:r>
          </w:p>
        </w:tc>
      </w:tr>
      <w:tr w:rsidR="00932A95" w:rsidRPr="00932A95" w14:paraId="4BB78711" w14:textId="77777777" w:rsidTr="00F239AF">
        <w:trPr>
          <w:trHeight w:val="25"/>
        </w:trPr>
        <w:tc>
          <w:tcPr>
            <w:tcW w:w="3871" w:type="dxa"/>
            <w:shd w:val="clear" w:color="auto" w:fill="auto"/>
            <w:tcMar>
              <w:top w:w="100" w:type="dxa"/>
              <w:left w:w="100" w:type="dxa"/>
              <w:bottom w:w="100" w:type="dxa"/>
              <w:right w:w="100" w:type="dxa"/>
            </w:tcMar>
            <w:vAlign w:val="bottom"/>
          </w:tcPr>
          <w:p w14:paraId="055018B2" w14:textId="77777777" w:rsidR="0011433B" w:rsidRPr="00932A95" w:rsidRDefault="002F52BB" w:rsidP="00374FC0">
            <w:pPr>
              <w:spacing w:line="360" w:lineRule="auto"/>
              <w:ind w:firstLine="520"/>
              <w:jc w:val="both"/>
              <w:rPr>
                <w:rFonts w:ascii="Book Antiqua" w:hAnsi="Book Antiqua" w:cs="Book Antiqua"/>
                <w:color w:val="auto"/>
                <w:sz w:val="24"/>
                <w:szCs w:val="24"/>
                <w:vertAlign w:val="superscript"/>
              </w:rPr>
            </w:pPr>
            <w:proofErr w:type="spellStart"/>
            <w:r w:rsidRPr="00932A95">
              <w:rPr>
                <w:rFonts w:ascii="Book Antiqua" w:hAnsi="Book Antiqua" w:cs="Book Antiqua"/>
                <w:color w:val="auto"/>
                <w:sz w:val="24"/>
                <w:szCs w:val="24"/>
              </w:rPr>
              <w:t>Coagulopathy</w:t>
            </w:r>
            <w:r w:rsidRPr="00932A95">
              <w:rPr>
                <w:rFonts w:ascii="Book Antiqua" w:hAnsi="Book Antiqua" w:cs="Book Antiqua"/>
                <w:color w:val="auto"/>
                <w:sz w:val="24"/>
                <w:szCs w:val="24"/>
                <w:vertAlign w:val="superscript"/>
              </w:rPr>
              <w:t>a</w:t>
            </w:r>
            <w:proofErr w:type="spellEnd"/>
          </w:p>
        </w:tc>
        <w:tc>
          <w:tcPr>
            <w:tcW w:w="1595" w:type="dxa"/>
            <w:shd w:val="clear" w:color="auto" w:fill="auto"/>
            <w:tcMar>
              <w:top w:w="100" w:type="dxa"/>
              <w:left w:w="100" w:type="dxa"/>
              <w:bottom w:w="100" w:type="dxa"/>
              <w:right w:w="100" w:type="dxa"/>
            </w:tcMar>
            <w:vAlign w:val="bottom"/>
          </w:tcPr>
          <w:p w14:paraId="6CD01358" w14:textId="3623A8DB"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27255 (</w:t>
            </w:r>
            <w:r w:rsidR="002F52BB" w:rsidRPr="00932A95">
              <w:rPr>
                <w:rFonts w:ascii="Book Antiqua" w:hAnsi="Book Antiqua" w:cs="Book Antiqua"/>
                <w:color w:val="auto"/>
                <w:sz w:val="24"/>
                <w:szCs w:val="24"/>
              </w:rPr>
              <w:t>46.7</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0582F708" w14:textId="0C5A7B6F"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14340 (</w:t>
            </w:r>
            <w:r w:rsidR="002F52BB" w:rsidRPr="00932A95">
              <w:rPr>
                <w:rFonts w:ascii="Book Antiqua" w:hAnsi="Book Antiqua" w:cs="Book Antiqua"/>
                <w:color w:val="auto"/>
                <w:sz w:val="24"/>
                <w:szCs w:val="24"/>
              </w:rPr>
              <w:t>47.2</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0C4B9C4A" w14:textId="50850C8E"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12870 (</w:t>
            </w:r>
            <w:r w:rsidR="002F52BB" w:rsidRPr="00932A95">
              <w:rPr>
                <w:rFonts w:ascii="Book Antiqua" w:hAnsi="Book Antiqua" w:cs="Book Antiqua"/>
                <w:color w:val="auto"/>
                <w:sz w:val="24"/>
                <w:szCs w:val="24"/>
              </w:rPr>
              <w:t>46.0</w:t>
            </w:r>
            <w:r>
              <w:rPr>
                <w:rFonts w:ascii="Book Antiqua" w:hAnsi="Book Antiqua" w:cs="Book Antiqua"/>
                <w:color w:val="auto"/>
                <w:sz w:val="24"/>
                <w:szCs w:val="24"/>
              </w:rPr>
              <w:t>)</w:t>
            </w:r>
          </w:p>
        </w:tc>
      </w:tr>
      <w:tr w:rsidR="00932A95" w:rsidRPr="00932A95" w14:paraId="10BC6051" w14:textId="77777777" w:rsidTr="00F239AF">
        <w:trPr>
          <w:trHeight w:val="25"/>
        </w:trPr>
        <w:tc>
          <w:tcPr>
            <w:tcW w:w="3871" w:type="dxa"/>
            <w:shd w:val="clear" w:color="auto" w:fill="auto"/>
            <w:tcMar>
              <w:top w:w="100" w:type="dxa"/>
              <w:left w:w="100" w:type="dxa"/>
              <w:bottom w:w="100" w:type="dxa"/>
              <w:right w:w="100" w:type="dxa"/>
            </w:tcMar>
            <w:vAlign w:val="bottom"/>
          </w:tcPr>
          <w:p w14:paraId="5AC57C41"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Hepatocellular carcinoma</w:t>
            </w:r>
          </w:p>
        </w:tc>
        <w:tc>
          <w:tcPr>
            <w:tcW w:w="1595" w:type="dxa"/>
            <w:shd w:val="clear" w:color="auto" w:fill="auto"/>
            <w:tcMar>
              <w:top w:w="100" w:type="dxa"/>
              <w:left w:w="100" w:type="dxa"/>
              <w:bottom w:w="100" w:type="dxa"/>
              <w:right w:w="100" w:type="dxa"/>
            </w:tcMar>
            <w:vAlign w:val="bottom"/>
          </w:tcPr>
          <w:p w14:paraId="653CA4B9" w14:textId="7406D8DD"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2101 (</w:t>
            </w:r>
            <w:r w:rsidR="002F52BB" w:rsidRPr="00932A95">
              <w:rPr>
                <w:rFonts w:ascii="Book Antiqua" w:hAnsi="Book Antiqua" w:cs="Book Antiqua"/>
                <w:color w:val="auto"/>
                <w:sz w:val="24"/>
                <w:szCs w:val="24"/>
              </w:rPr>
              <w:t>3.6</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6288489D" w14:textId="063E1823"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1398 (</w:t>
            </w:r>
            <w:r w:rsidR="002F52BB" w:rsidRPr="00932A95">
              <w:rPr>
                <w:rFonts w:ascii="Book Antiqua" w:hAnsi="Book Antiqua" w:cs="Book Antiqua"/>
                <w:color w:val="auto"/>
                <w:sz w:val="24"/>
                <w:szCs w:val="24"/>
              </w:rPr>
              <w:t>4.6</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21568F18" w14:textId="1B3F70FE"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699 (</w:t>
            </w:r>
            <w:r w:rsidR="002F52BB" w:rsidRPr="00932A95">
              <w:rPr>
                <w:rFonts w:ascii="Book Antiqua" w:hAnsi="Book Antiqua" w:cs="Book Antiqua"/>
                <w:color w:val="auto"/>
                <w:sz w:val="24"/>
                <w:szCs w:val="24"/>
              </w:rPr>
              <w:t>2.5</w:t>
            </w:r>
            <w:r>
              <w:rPr>
                <w:rFonts w:ascii="Book Antiqua" w:hAnsi="Book Antiqua" w:cs="Book Antiqua"/>
                <w:color w:val="auto"/>
                <w:sz w:val="24"/>
                <w:szCs w:val="24"/>
              </w:rPr>
              <w:t>)</w:t>
            </w:r>
          </w:p>
        </w:tc>
      </w:tr>
      <w:tr w:rsidR="00932A95" w:rsidRPr="00932A95" w14:paraId="409C72AF" w14:textId="77777777" w:rsidTr="00F239AF">
        <w:trPr>
          <w:trHeight w:val="25"/>
        </w:trPr>
        <w:tc>
          <w:tcPr>
            <w:tcW w:w="3871" w:type="dxa"/>
            <w:shd w:val="clear" w:color="auto" w:fill="auto"/>
            <w:tcMar>
              <w:top w:w="100" w:type="dxa"/>
              <w:left w:w="100" w:type="dxa"/>
              <w:bottom w:w="100" w:type="dxa"/>
              <w:right w:w="100" w:type="dxa"/>
            </w:tcMar>
            <w:vAlign w:val="bottom"/>
          </w:tcPr>
          <w:p w14:paraId="25C7B9A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Management</w:t>
            </w:r>
          </w:p>
        </w:tc>
        <w:tc>
          <w:tcPr>
            <w:tcW w:w="1595" w:type="dxa"/>
            <w:shd w:val="clear" w:color="auto" w:fill="auto"/>
            <w:tcMar>
              <w:top w:w="100" w:type="dxa"/>
              <w:left w:w="100" w:type="dxa"/>
              <w:bottom w:w="100" w:type="dxa"/>
              <w:right w:w="100" w:type="dxa"/>
            </w:tcMar>
            <w:vAlign w:val="bottom"/>
          </w:tcPr>
          <w:p w14:paraId="7A2AE8CD"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786" w:type="dxa"/>
            <w:shd w:val="clear" w:color="auto" w:fill="auto"/>
            <w:tcMar>
              <w:top w:w="100" w:type="dxa"/>
              <w:left w:w="100" w:type="dxa"/>
              <w:bottom w:w="100" w:type="dxa"/>
              <w:right w:w="100" w:type="dxa"/>
            </w:tcMar>
            <w:vAlign w:val="bottom"/>
          </w:tcPr>
          <w:p w14:paraId="5B320133"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024" w:type="dxa"/>
            <w:shd w:val="clear" w:color="auto" w:fill="auto"/>
            <w:tcMar>
              <w:top w:w="100" w:type="dxa"/>
              <w:left w:w="100" w:type="dxa"/>
              <w:bottom w:w="100" w:type="dxa"/>
              <w:right w:w="100" w:type="dxa"/>
            </w:tcMar>
            <w:vAlign w:val="bottom"/>
          </w:tcPr>
          <w:p w14:paraId="2864DDC4"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932A95" w:rsidRPr="00932A95" w14:paraId="5256D984" w14:textId="77777777" w:rsidTr="00F239AF">
        <w:trPr>
          <w:trHeight w:val="25"/>
        </w:trPr>
        <w:tc>
          <w:tcPr>
            <w:tcW w:w="3871" w:type="dxa"/>
            <w:shd w:val="clear" w:color="auto" w:fill="auto"/>
            <w:tcMar>
              <w:top w:w="100" w:type="dxa"/>
              <w:left w:w="100" w:type="dxa"/>
              <w:bottom w:w="100" w:type="dxa"/>
              <w:right w:w="100" w:type="dxa"/>
            </w:tcMar>
            <w:vAlign w:val="bottom"/>
          </w:tcPr>
          <w:p w14:paraId="4CE86C2E"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Blood transfusion</w:t>
            </w:r>
          </w:p>
        </w:tc>
        <w:tc>
          <w:tcPr>
            <w:tcW w:w="1595" w:type="dxa"/>
            <w:shd w:val="clear" w:color="auto" w:fill="auto"/>
            <w:tcMar>
              <w:top w:w="100" w:type="dxa"/>
              <w:left w:w="100" w:type="dxa"/>
              <w:bottom w:w="100" w:type="dxa"/>
              <w:right w:w="100" w:type="dxa"/>
            </w:tcMar>
            <w:vAlign w:val="bottom"/>
          </w:tcPr>
          <w:p w14:paraId="0B8AFAEE" w14:textId="4219D943"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36184 (</w:t>
            </w:r>
            <w:r w:rsidR="002F52BB" w:rsidRPr="00932A95">
              <w:rPr>
                <w:rFonts w:ascii="Book Antiqua" w:hAnsi="Book Antiqua" w:cs="Book Antiqua"/>
                <w:color w:val="auto"/>
                <w:sz w:val="24"/>
                <w:szCs w:val="24"/>
              </w:rPr>
              <w:t>62.0</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6DC9243F" w14:textId="17309CC8"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18199 (</w:t>
            </w:r>
            <w:r w:rsidR="002F52BB" w:rsidRPr="00932A95">
              <w:rPr>
                <w:rFonts w:ascii="Book Antiqua" w:hAnsi="Book Antiqua" w:cs="Book Antiqua"/>
                <w:color w:val="auto"/>
                <w:sz w:val="24"/>
                <w:szCs w:val="24"/>
              </w:rPr>
              <w:t>59.9</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58807008" w14:textId="6BDE7CBD"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17963 (</w:t>
            </w:r>
            <w:r w:rsidR="002F52BB" w:rsidRPr="00932A95">
              <w:rPr>
                <w:rFonts w:ascii="Book Antiqua" w:hAnsi="Book Antiqua" w:cs="Book Antiqua"/>
                <w:color w:val="auto"/>
                <w:sz w:val="24"/>
                <w:szCs w:val="24"/>
              </w:rPr>
              <w:t>64.2</w:t>
            </w:r>
            <w:r>
              <w:rPr>
                <w:rFonts w:ascii="Book Antiqua" w:hAnsi="Book Antiqua" w:cs="Book Antiqua"/>
                <w:color w:val="auto"/>
                <w:sz w:val="24"/>
                <w:szCs w:val="24"/>
              </w:rPr>
              <w:t>)</w:t>
            </w:r>
          </w:p>
        </w:tc>
      </w:tr>
      <w:tr w:rsidR="00932A95" w:rsidRPr="00932A95" w14:paraId="2C7B51E7" w14:textId="77777777" w:rsidTr="00F239AF">
        <w:trPr>
          <w:trHeight w:val="25"/>
        </w:trPr>
        <w:tc>
          <w:tcPr>
            <w:tcW w:w="3871" w:type="dxa"/>
            <w:shd w:val="clear" w:color="auto" w:fill="auto"/>
            <w:tcMar>
              <w:top w:w="100" w:type="dxa"/>
              <w:left w:w="100" w:type="dxa"/>
              <w:bottom w:w="100" w:type="dxa"/>
              <w:right w:w="100" w:type="dxa"/>
            </w:tcMar>
            <w:vAlign w:val="bottom"/>
          </w:tcPr>
          <w:p w14:paraId="68E38B65"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Balloon tamponade</w:t>
            </w:r>
          </w:p>
        </w:tc>
        <w:tc>
          <w:tcPr>
            <w:tcW w:w="1595" w:type="dxa"/>
            <w:shd w:val="clear" w:color="auto" w:fill="auto"/>
            <w:tcMar>
              <w:top w:w="100" w:type="dxa"/>
              <w:left w:w="100" w:type="dxa"/>
              <w:bottom w:w="100" w:type="dxa"/>
              <w:right w:w="100" w:type="dxa"/>
            </w:tcMar>
            <w:vAlign w:val="bottom"/>
          </w:tcPr>
          <w:p w14:paraId="7C6797DA" w14:textId="14A8BBD4"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525 (</w:t>
            </w:r>
            <w:r w:rsidR="002F52BB" w:rsidRPr="00932A95">
              <w:rPr>
                <w:rFonts w:ascii="Book Antiqua" w:hAnsi="Book Antiqua" w:cs="Book Antiqua"/>
                <w:color w:val="auto"/>
                <w:sz w:val="24"/>
                <w:szCs w:val="24"/>
              </w:rPr>
              <w:t>0.9</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2D397132" w14:textId="3EFB629F"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365 (</w:t>
            </w:r>
            <w:r w:rsidR="002F52BB" w:rsidRPr="00932A95">
              <w:rPr>
                <w:rFonts w:ascii="Book Antiqua" w:hAnsi="Book Antiqua" w:cs="Book Antiqua"/>
                <w:color w:val="auto"/>
                <w:sz w:val="24"/>
                <w:szCs w:val="24"/>
              </w:rPr>
              <w:t>1.2</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0FB84D54" w14:textId="51644EE7"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168 (</w:t>
            </w:r>
            <w:r w:rsidR="002F52BB" w:rsidRPr="00932A95">
              <w:rPr>
                <w:rFonts w:ascii="Book Antiqua" w:hAnsi="Book Antiqua" w:cs="Book Antiqua"/>
                <w:color w:val="auto"/>
                <w:sz w:val="24"/>
                <w:szCs w:val="24"/>
              </w:rPr>
              <w:t>0.6</w:t>
            </w:r>
            <w:r>
              <w:rPr>
                <w:rFonts w:ascii="Book Antiqua" w:hAnsi="Book Antiqua" w:cs="Book Antiqua"/>
                <w:color w:val="auto"/>
                <w:sz w:val="24"/>
                <w:szCs w:val="24"/>
              </w:rPr>
              <w:t>)</w:t>
            </w:r>
          </w:p>
        </w:tc>
      </w:tr>
      <w:tr w:rsidR="00932A95" w:rsidRPr="00932A95" w14:paraId="5ED06467" w14:textId="77777777" w:rsidTr="00F239AF">
        <w:trPr>
          <w:trHeight w:val="25"/>
        </w:trPr>
        <w:tc>
          <w:tcPr>
            <w:tcW w:w="3871" w:type="dxa"/>
            <w:shd w:val="clear" w:color="auto" w:fill="auto"/>
            <w:tcMar>
              <w:top w:w="100" w:type="dxa"/>
              <w:left w:w="100" w:type="dxa"/>
              <w:bottom w:w="100" w:type="dxa"/>
              <w:right w:w="100" w:type="dxa"/>
            </w:tcMar>
            <w:vAlign w:val="bottom"/>
          </w:tcPr>
          <w:p w14:paraId="1201E236"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Portosystemic shunt</w:t>
            </w:r>
          </w:p>
        </w:tc>
        <w:tc>
          <w:tcPr>
            <w:tcW w:w="1595" w:type="dxa"/>
            <w:shd w:val="clear" w:color="auto" w:fill="auto"/>
            <w:tcMar>
              <w:top w:w="100" w:type="dxa"/>
              <w:left w:w="100" w:type="dxa"/>
              <w:bottom w:w="100" w:type="dxa"/>
              <w:right w:w="100" w:type="dxa"/>
            </w:tcMar>
            <w:vAlign w:val="bottom"/>
          </w:tcPr>
          <w:p w14:paraId="6D4FFC8B" w14:textId="112432FD" w:rsidR="0011433B" w:rsidRPr="00932A95" w:rsidRDefault="00D21952"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3268 (</w:t>
            </w:r>
            <w:r w:rsidR="002F52BB" w:rsidRPr="00932A95">
              <w:rPr>
                <w:rFonts w:ascii="Book Antiqua" w:hAnsi="Book Antiqua" w:cs="Book Antiqua"/>
                <w:color w:val="auto"/>
                <w:sz w:val="24"/>
                <w:szCs w:val="24"/>
              </w:rPr>
              <w:t>5.6</w:t>
            </w:r>
            <w:r>
              <w:rPr>
                <w:rFonts w:ascii="Book Antiqua" w:hAnsi="Book Antiqua" w:cs="Book Antiqua"/>
                <w:color w:val="auto"/>
                <w:sz w:val="24"/>
                <w:szCs w:val="24"/>
              </w:rPr>
              <w:t>)</w:t>
            </w:r>
          </w:p>
        </w:tc>
        <w:tc>
          <w:tcPr>
            <w:tcW w:w="1786" w:type="dxa"/>
            <w:shd w:val="clear" w:color="auto" w:fill="auto"/>
            <w:tcMar>
              <w:top w:w="100" w:type="dxa"/>
              <w:left w:w="100" w:type="dxa"/>
              <w:bottom w:w="100" w:type="dxa"/>
              <w:right w:w="100" w:type="dxa"/>
            </w:tcMar>
            <w:vAlign w:val="bottom"/>
          </w:tcPr>
          <w:p w14:paraId="309852EA" w14:textId="4D034FEB"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2400 (</w:t>
            </w:r>
            <w:r w:rsidR="002F52BB" w:rsidRPr="00932A95">
              <w:rPr>
                <w:rFonts w:ascii="Book Antiqua" w:hAnsi="Book Antiqua" w:cs="Book Antiqua"/>
                <w:color w:val="auto"/>
                <w:sz w:val="24"/>
                <w:szCs w:val="24"/>
              </w:rPr>
              <w:t>7.9</w:t>
            </w:r>
            <w:r w:rsidR="00D21952">
              <w:rPr>
                <w:rFonts w:ascii="Book Antiqua" w:hAnsi="Book Antiqua" w:cs="Book Antiqua"/>
                <w:color w:val="auto"/>
                <w:sz w:val="24"/>
                <w:szCs w:val="24"/>
              </w:rPr>
              <w:t>)</w:t>
            </w:r>
          </w:p>
        </w:tc>
        <w:tc>
          <w:tcPr>
            <w:tcW w:w="2024" w:type="dxa"/>
            <w:shd w:val="clear" w:color="auto" w:fill="auto"/>
            <w:tcMar>
              <w:top w:w="100" w:type="dxa"/>
              <w:left w:w="100" w:type="dxa"/>
              <w:bottom w:w="100" w:type="dxa"/>
              <w:right w:w="100" w:type="dxa"/>
            </w:tcMar>
            <w:vAlign w:val="bottom"/>
          </w:tcPr>
          <w:p w14:paraId="5EB19C92" w14:textId="1033D1A8"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867 (</w:t>
            </w:r>
            <w:r w:rsidR="002F52BB" w:rsidRPr="00932A95">
              <w:rPr>
                <w:rFonts w:ascii="Book Antiqua" w:hAnsi="Book Antiqua" w:cs="Book Antiqua"/>
                <w:color w:val="auto"/>
                <w:sz w:val="24"/>
                <w:szCs w:val="24"/>
              </w:rPr>
              <w:t>3.1</w:t>
            </w:r>
            <w:r>
              <w:rPr>
                <w:rFonts w:ascii="Book Antiqua" w:hAnsi="Book Antiqua" w:cs="Book Antiqua"/>
                <w:color w:val="auto"/>
                <w:sz w:val="24"/>
                <w:szCs w:val="24"/>
              </w:rPr>
              <w:t>)</w:t>
            </w:r>
          </w:p>
        </w:tc>
      </w:tr>
    </w:tbl>
    <w:p w14:paraId="7BA8BBAD" w14:textId="77777777" w:rsidR="0011433B" w:rsidRPr="00932A95" w:rsidRDefault="002F52BB" w:rsidP="00374FC0">
      <w:pPr>
        <w:spacing w:line="360" w:lineRule="auto"/>
        <w:jc w:val="both"/>
        <w:rPr>
          <w:rFonts w:ascii="Book Antiqua" w:hAnsi="Book Antiqua" w:cs="Book Antiqua"/>
          <w:color w:val="auto"/>
          <w:sz w:val="24"/>
          <w:szCs w:val="24"/>
          <w:lang w:val="en-US"/>
        </w:rPr>
      </w:pPr>
      <w:proofErr w:type="spellStart"/>
      <w:r w:rsidRPr="00932A95">
        <w:rPr>
          <w:rFonts w:ascii="Book Antiqua" w:hAnsi="Book Antiqua" w:cs="Book Antiqua"/>
          <w:color w:val="auto"/>
          <w:sz w:val="24"/>
          <w:szCs w:val="24"/>
          <w:vertAlign w:val="superscript"/>
        </w:rPr>
        <w:lastRenderedPageBreak/>
        <w:t>a</w:t>
      </w:r>
      <w:r w:rsidRPr="00932A95">
        <w:rPr>
          <w:rFonts w:ascii="Book Antiqua" w:hAnsi="Book Antiqua" w:cs="Book Antiqua"/>
          <w:i/>
          <w:iCs/>
          <w:color w:val="auto"/>
          <w:sz w:val="24"/>
          <w:szCs w:val="24"/>
        </w:rPr>
        <w:t>P</w:t>
      </w:r>
      <w:proofErr w:type="spellEnd"/>
      <w:r w:rsidRPr="00932A95">
        <w:rPr>
          <w:rFonts w:ascii="Book Antiqua" w:hAnsi="Book Antiqua" w:cs="Book Antiqua"/>
          <w:color w:val="auto"/>
          <w:sz w:val="24"/>
          <w:szCs w:val="24"/>
        </w:rPr>
        <w:t xml:space="preserve"> &gt; 0.05 in comparison between groups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All data are proportions [</w:t>
      </w:r>
      <w:r w:rsidR="007D535B" w:rsidRPr="00932A95">
        <w:rPr>
          <w:rFonts w:ascii="Book Antiqua" w:hAnsi="Book Antiqua" w:cs="Book Antiqua"/>
          <w:i/>
          <w:color w:val="auto"/>
          <w:sz w:val="24"/>
          <w:szCs w:val="24"/>
        </w:rPr>
        <w:t>n</w:t>
      </w:r>
      <w:r w:rsidRPr="00932A95">
        <w:rPr>
          <w:rFonts w:ascii="Book Antiqua" w:hAnsi="Book Antiqua" w:cs="Book Antiqua"/>
          <w:color w:val="auto"/>
          <w:sz w:val="24"/>
          <w:szCs w:val="24"/>
        </w:rPr>
        <w:t xml:space="preserve"> (</w:t>
      </w:r>
      <w:r w:rsidR="007D535B" w:rsidRPr="00932A95">
        <w:rPr>
          <w:rFonts w:ascii="Book Antiqua" w:hAnsi="Book Antiqua" w:cs="Book Antiqua"/>
          <w:color w:val="auto"/>
          <w:sz w:val="24"/>
          <w:szCs w:val="24"/>
        </w:rPr>
        <w:t>%</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 xml:space="preserve">Comparisons between groups made with </w:t>
      </w:r>
      <w:r w:rsidRPr="00932A95">
        <w:rPr>
          <w:rFonts w:ascii="Book Antiqua" w:hAnsi="Book Antiqua" w:cs="Book Antiqua"/>
          <w:i/>
          <w:color w:val="auto"/>
          <w:sz w:val="24"/>
          <w:szCs w:val="24"/>
        </w:rPr>
        <w:t>χ</w:t>
      </w:r>
      <w:r w:rsidRPr="00932A95">
        <w:rPr>
          <w:rFonts w:ascii="Book Antiqua" w:hAnsi="Book Antiqua" w:cs="Book Antiqua"/>
          <w:i/>
          <w:color w:val="auto"/>
          <w:sz w:val="24"/>
          <w:szCs w:val="24"/>
          <w:vertAlign w:val="superscript"/>
        </w:rPr>
        <w:t>2</w:t>
      </w:r>
      <w:r w:rsidRPr="00932A95">
        <w:rPr>
          <w:rFonts w:ascii="Book Antiqua" w:hAnsi="Book Antiqua" w:cs="Book Antiqua"/>
          <w:color w:val="auto"/>
          <w:sz w:val="24"/>
          <w:szCs w:val="24"/>
        </w:rPr>
        <w:t xml:space="preserve"> test. All comparisons had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rPr>
        <w:t xml:space="preserve"> &lt; 0.001 between groups unless otherwise stated</w:t>
      </w:r>
      <w:r w:rsidRPr="00932A95">
        <w:rPr>
          <w:rFonts w:ascii="Book Antiqua" w:hAnsi="Book Antiqua" w:cs="Book Antiqua"/>
          <w:color w:val="auto"/>
          <w:sz w:val="24"/>
          <w:szCs w:val="24"/>
          <w:lang w:val="en-US"/>
        </w:rPr>
        <w:t>.</w:t>
      </w:r>
    </w:p>
    <w:p w14:paraId="1334CA2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6B3BAF4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b/>
          <w:color w:val="auto"/>
          <w:sz w:val="24"/>
          <w:szCs w:val="24"/>
        </w:rPr>
        <w:lastRenderedPageBreak/>
        <w:t>Table 3</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Mortality associated with patient demographics and hospital characteristics</w:t>
      </w:r>
    </w:p>
    <w:tbl>
      <w:tblPr>
        <w:tblStyle w:val="Style13"/>
        <w:tblW w:w="10202" w:type="dxa"/>
        <w:tblInd w:w="-426" w:type="dxa"/>
        <w:tblBorders>
          <w:top w:val="single" w:sz="4" w:space="0" w:color="auto"/>
          <w:bottom w:val="single" w:sz="4" w:space="0" w:color="auto"/>
        </w:tblBorders>
        <w:tblLayout w:type="fixed"/>
        <w:tblLook w:val="04A0" w:firstRow="1" w:lastRow="0" w:firstColumn="1" w:lastColumn="0" w:noHBand="0" w:noVBand="1"/>
      </w:tblPr>
      <w:tblGrid>
        <w:gridCol w:w="3327"/>
        <w:gridCol w:w="1205"/>
        <w:gridCol w:w="2410"/>
        <w:gridCol w:w="2126"/>
        <w:gridCol w:w="1134"/>
      </w:tblGrid>
      <w:tr w:rsidR="00932A95" w:rsidRPr="00932A95" w14:paraId="5599CBCA" w14:textId="77777777" w:rsidTr="00F239AF">
        <w:trPr>
          <w:trHeight w:val="434"/>
        </w:trPr>
        <w:tc>
          <w:tcPr>
            <w:tcW w:w="3327"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6BC11036"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120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6897CF8A" w14:textId="77777777" w:rsidR="0011433B" w:rsidRPr="00932A95" w:rsidRDefault="002F52BB" w:rsidP="00374FC0">
            <w:pPr>
              <w:spacing w:line="360" w:lineRule="auto"/>
              <w:jc w:val="both"/>
              <w:rPr>
                <w:rFonts w:ascii="Book Antiqua" w:hAnsi="Book Antiqua" w:cs="Book Antiqua"/>
                <w:b/>
                <w:color w:val="auto"/>
                <w:sz w:val="24"/>
                <w:szCs w:val="24"/>
                <w:vertAlign w:val="superscript"/>
              </w:rPr>
            </w:pPr>
            <w:r w:rsidRPr="00932A95">
              <w:rPr>
                <w:rFonts w:ascii="Book Antiqua" w:hAnsi="Book Antiqua" w:cs="Book Antiqua"/>
                <w:b/>
                <w:color w:val="auto"/>
                <w:sz w:val="24"/>
                <w:szCs w:val="24"/>
              </w:rPr>
              <w:t>Mortality (%)</w:t>
            </w:r>
            <w:r w:rsidRPr="00932A95">
              <w:rPr>
                <w:rFonts w:ascii="Book Antiqua" w:hAnsi="Book Antiqua" w:cs="Book Antiqua"/>
                <w:b/>
                <w:color w:val="auto"/>
                <w:sz w:val="24"/>
                <w:szCs w:val="24"/>
                <w:vertAlign w:val="superscript"/>
              </w:rPr>
              <w:t>a</w:t>
            </w:r>
          </w:p>
        </w:tc>
        <w:tc>
          <w:tcPr>
            <w:tcW w:w="2410"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2301DEF1"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Unadjusted OR (95%CI)</w:t>
            </w:r>
          </w:p>
        </w:tc>
        <w:tc>
          <w:tcPr>
            <w:tcW w:w="2126"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19D2760E" w14:textId="77777777" w:rsidR="0011433B" w:rsidRPr="00932A95" w:rsidRDefault="002F52BB" w:rsidP="00374FC0">
            <w:pPr>
              <w:spacing w:line="360" w:lineRule="auto"/>
              <w:jc w:val="both"/>
              <w:rPr>
                <w:rFonts w:ascii="Book Antiqua" w:hAnsi="Book Antiqua" w:cs="Book Antiqua"/>
                <w:b/>
                <w:color w:val="auto"/>
                <w:sz w:val="24"/>
                <w:szCs w:val="24"/>
                <w:vertAlign w:val="superscript"/>
              </w:rPr>
            </w:pPr>
            <w:r w:rsidRPr="00932A95">
              <w:rPr>
                <w:rFonts w:ascii="Book Antiqua" w:hAnsi="Book Antiqua" w:cs="Book Antiqua"/>
                <w:b/>
                <w:color w:val="auto"/>
                <w:sz w:val="24"/>
                <w:szCs w:val="24"/>
              </w:rPr>
              <w:t>Adjusted OR (95%CI)</w:t>
            </w:r>
            <w:r w:rsidR="009540CB" w:rsidRPr="00932A95">
              <w:rPr>
                <w:rFonts w:ascii="Book Antiqua" w:hAnsi="Book Antiqua" w:cs="Book Antiqua"/>
                <w:b/>
                <w:color w:val="auto"/>
                <w:sz w:val="24"/>
                <w:szCs w:val="24"/>
                <w:vertAlign w:val="superscript"/>
              </w:rPr>
              <w:t>1</w:t>
            </w:r>
          </w:p>
        </w:tc>
        <w:tc>
          <w:tcPr>
            <w:tcW w:w="1134"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A07BAE6"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i/>
                <w:iCs/>
                <w:color w:val="auto"/>
                <w:sz w:val="24"/>
                <w:szCs w:val="24"/>
              </w:rPr>
              <w:t>P</w:t>
            </w:r>
            <w:r w:rsidRPr="00932A95">
              <w:rPr>
                <w:rFonts w:ascii="Book Antiqua" w:eastAsia="SimSun" w:hAnsi="Book Antiqua" w:cs="Book Antiqua" w:hint="eastAsia"/>
                <w:b/>
                <w:i/>
                <w:iCs/>
                <w:color w:val="auto"/>
                <w:sz w:val="24"/>
                <w:szCs w:val="24"/>
                <w:lang w:val="en-US" w:eastAsia="zh-CN"/>
              </w:rPr>
              <w:t xml:space="preserve"> </w:t>
            </w:r>
            <w:r w:rsidRPr="00932A95">
              <w:rPr>
                <w:rFonts w:ascii="Book Antiqua" w:hAnsi="Book Antiqua" w:cs="Book Antiqua"/>
                <w:b/>
                <w:color w:val="auto"/>
                <w:sz w:val="24"/>
                <w:szCs w:val="24"/>
              </w:rPr>
              <w:t>value</w:t>
            </w:r>
          </w:p>
        </w:tc>
      </w:tr>
      <w:tr w:rsidR="00932A95" w:rsidRPr="00932A95" w14:paraId="3D8CDC75" w14:textId="77777777" w:rsidTr="00F239AF">
        <w:trPr>
          <w:trHeight w:val="447"/>
        </w:trPr>
        <w:tc>
          <w:tcPr>
            <w:tcW w:w="3327" w:type="dxa"/>
            <w:vMerge/>
            <w:tcBorders>
              <w:top w:val="nil"/>
              <w:bottom w:val="single" w:sz="4" w:space="0" w:color="auto"/>
            </w:tcBorders>
            <w:shd w:val="clear" w:color="auto" w:fill="auto"/>
            <w:tcMar>
              <w:top w:w="100" w:type="dxa"/>
              <w:left w:w="100" w:type="dxa"/>
              <w:bottom w:w="100" w:type="dxa"/>
              <w:right w:w="100" w:type="dxa"/>
            </w:tcMar>
          </w:tcPr>
          <w:p w14:paraId="082BF41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205" w:type="dxa"/>
            <w:vMerge/>
            <w:tcBorders>
              <w:top w:val="nil"/>
              <w:bottom w:val="single" w:sz="4" w:space="0" w:color="auto"/>
            </w:tcBorders>
            <w:shd w:val="clear" w:color="auto" w:fill="auto"/>
            <w:tcMar>
              <w:top w:w="100" w:type="dxa"/>
              <w:left w:w="100" w:type="dxa"/>
              <w:bottom w:w="100" w:type="dxa"/>
              <w:right w:w="100" w:type="dxa"/>
            </w:tcMar>
          </w:tcPr>
          <w:p w14:paraId="19405C9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410" w:type="dxa"/>
            <w:vMerge/>
            <w:tcBorders>
              <w:top w:val="nil"/>
              <w:bottom w:val="single" w:sz="4" w:space="0" w:color="auto"/>
            </w:tcBorders>
            <w:shd w:val="clear" w:color="auto" w:fill="auto"/>
            <w:tcMar>
              <w:top w:w="100" w:type="dxa"/>
              <w:left w:w="100" w:type="dxa"/>
              <w:bottom w:w="100" w:type="dxa"/>
              <w:right w:w="100" w:type="dxa"/>
            </w:tcMar>
          </w:tcPr>
          <w:p w14:paraId="552DE4B3"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vMerge/>
            <w:tcBorders>
              <w:top w:val="nil"/>
              <w:bottom w:val="single" w:sz="4" w:space="0" w:color="auto"/>
            </w:tcBorders>
            <w:shd w:val="clear" w:color="auto" w:fill="auto"/>
            <w:tcMar>
              <w:top w:w="100" w:type="dxa"/>
              <w:left w:w="100" w:type="dxa"/>
              <w:bottom w:w="100" w:type="dxa"/>
              <w:right w:w="100" w:type="dxa"/>
            </w:tcMar>
          </w:tcPr>
          <w:p w14:paraId="5CAB95E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vMerge/>
            <w:tcBorders>
              <w:top w:val="nil"/>
              <w:bottom w:val="single" w:sz="4" w:space="0" w:color="auto"/>
            </w:tcBorders>
            <w:shd w:val="clear" w:color="auto" w:fill="auto"/>
            <w:tcMar>
              <w:top w:w="100" w:type="dxa"/>
              <w:left w:w="100" w:type="dxa"/>
              <w:bottom w:w="100" w:type="dxa"/>
              <w:right w:w="100" w:type="dxa"/>
            </w:tcMar>
          </w:tcPr>
          <w:p w14:paraId="3DA351F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932A95" w:rsidRPr="00932A95" w14:paraId="57C85D3B" w14:textId="77777777" w:rsidTr="00F239AF">
        <w:trPr>
          <w:trHeight w:val="360"/>
        </w:trPr>
        <w:tc>
          <w:tcPr>
            <w:tcW w:w="3327" w:type="dxa"/>
            <w:tcBorders>
              <w:top w:val="single" w:sz="4" w:space="0" w:color="auto"/>
            </w:tcBorders>
            <w:shd w:val="clear" w:color="auto" w:fill="auto"/>
            <w:tcMar>
              <w:top w:w="100" w:type="dxa"/>
              <w:left w:w="100" w:type="dxa"/>
              <w:bottom w:w="100" w:type="dxa"/>
              <w:right w:w="100" w:type="dxa"/>
            </w:tcMar>
            <w:vAlign w:val="bottom"/>
          </w:tcPr>
          <w:p w14:paraId="5FF238E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Patient age (</w:t>
            </w:r>
            <w:proofErr w:type="spellStart"/>
            <w:r w:rsidRPr="00932A95">
              <w:rPr>
                <w:rFonts w:ascii="Book Antiqua" w:hAnsi="Book Antiqua" w:cs="Book Antiqua"/>
                <w:color w:val="auto"/>
                <w:sz w:val="24"/>
                <w:szCs w:val="24"/>
                <w:lang w:val="en-US"/>
              </w:rPr>
              <w:t>yr</w:t>
            </w:r>
            <w:proofErr w:type="spellEnd"/>
            <w:r w:rsidRPr="00932A95">
              <w:rPr>
                <w:rFonts w:ascii="Book Antiqua" w:hAnsi="Book Antiqua" w:cs="Book Antiqua"/>
                <w:color w:val="auto"/>
                <w:sz w:val="24"/>
                <w:szCs w:val="24"/>
              </w:rPr>
              <w:t>)</w:t>
            </w:r>
          </w:p>
        </w:tc>
        <w:tc>
          <w:tcPr>
            <w:tcW w:w="1205" w:type="dxa"/>
            <w:tcBorders>
              <w:top w:val="single" w:sz="4" w:space="0" w:color="auto"/>
            </w:tcBorders>
            <w:shd w:val="clear" w:color="auto" w:fill="auto"/>
            <w:tcMar>
              <w:top w:w="100" w:type="dxa"/>
              <w:left w:w="100" w:type="dxa"/>
              <w:bottom w:w="100" w:type="dxa"/>
              <w:right w:w="100" w:type="dxa"/>
            </w:tcMar>
            <w:vAlign w:val="bottom"/>
          </w:tcPr>
          <w:p w14:paraId="6A7E3CA0"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tcBorders>
              <w:top w:val="single" w:sz="4" w:space="0" w:color="auto"/>
            </w:tcBorders>
            <w:shd w:val="clear" w:color="auto" w:fill="auto"/>
            <w:tcMar>
              <w:top w:w="100" w:type="dxa"/>
              <w:left w:w="100" w:type="dxa"/>
              <w:bottom w:w="100" w:type="dxa"/>
              <w:right w:w="100" w:type="dxa"/>
            </w:tcMar>
            <w:vAlign w:val="bottom"/>
          </w:tcPr>
          <w:p w14:paraId="07E8BB3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tcBorders>
              <w:top w:val="single" w:sz="4" w:space="0" w:color="auto"/>
            </w:tcBorders>
            <w:shd w:val="clear" w:color="auto" w:fill="auto"/>
            <w:tcMar>
              <w:top w:w="100" w:type="dxa"/>
              <w:left w:w="100" w:type="dxa"/>
              <w:bottom w:w="100" w:type="dxa"/>
              <w:right w:w="100" w:type="dxa"/>
            </w:tcMar>
            <w:vAlign w:val="bottom"/>
          </w:tcPr>
          <w:p w14:paraId="0663E955"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tcBorders>
              <w:top w:val="single" w:sz="4" w:space="0" w:color="auto"/>
            </w:tcBorders>
            <w:shd w:val="clear" w:color="auto" w:fill="auto"/>
            <w:tcMar>
              <w:top w:w="100" w:type="dxa"/>
              <w:left w:w="100" w:type="dxa"/>
              <w:bottom w:w="100" w:type="dxa"/>
              <w:right w:w="100" w:type="dxa"/>
            </w:tcMar>
            <w:vAlign w:val="bottom"/>
          </w:tcPr>
          <w:p w14:paraId="41FB110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0.226</w:t>
            </w:r>
          </w:p>
        </w:tc>
      </w:tr>
      <w:tr w:rsidR="00932A95" w:rsidRPr="00932A95" w14:paraId="7E12D554" w14:textId="77777777" w:rsidTr="00F239AF">
        <w:trPr>
          <w:trHeight w:val="360"/>
        </w:trPr>
        <w:tc>
          <w:tcPr>
            <w:tcW w:w="3327" w:type="dxa"/>
            <w:shd w:val="clear" w:color="auto" w:fill="auto"/>
            <w:tcMar>
              <w:top w:w="100" w:type="dxa"/>
              <w:left w:w="100" w:type="dxa"/>
              <w:bottom w:w="100" w:type="dxa"/>
              <w:right w:w="100" w:type="dxa"/>
            </w:tcMar>
            <w:vAlign w:val="bottom"/>
          </w:tcPr>
          <w:p w14:paraId="3CAD82AA" w14:textId="61E221BD" w:rsidR="0011433B" w:rsidRPr="00932A95" w:rsidRDefault="002F52BB" w:rsidP="00B35D0C">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Age &lt; 40</w:t>
            </w:r>
          </w:p>
        </w:tc>
        <w:tc>
          <w:tcPr>
            <w:tcW w:w="1205" w:type="dxa"/>
            <w:shd w:val="clear" w:color="auto" w:fill="auto"/>
            <w:tcMar>
              <w:top w:w="100" w:type="dxa"/>
              <w:left w:w="100" w:type="dxa"/>
              <w:bottom w:w="100" w:type="dxa"/>
              <w:right w:w="100" w:type="dxa"/>
            </w:tcMar>
            <w:vAlign w:val="bottom"/>
          </w:tcPr>
          <w:p w14:paraId="677A929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5.5%</w:t>
            </w:r>
          </w:p>
        </w:tc>
        <w:tc>
          <w:tcPr>
            <w:tcW w:w="2410" w:type="dxa"/>
            <w:shd w:val="clear" w:color="auto" w:fill="auto"/>
            <w:tcMar>
              <w:top w:w="100" w:type="dxa"/>
              <w:left w:w="100" w:type="dxa"/>
              <w:bottom w:w="100" w:type="dxa"/>
              <w:right w:w="100" w:type="dxa"/>
            </w:tcMar>
            <w:vAlign w:val="bottom"/>
          </w:tcPr>
          <w:p w14:paraId="64578F9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0E2C65A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5845852C"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5D38BC85" w14:textId="77777777" w:rsidTr="00F239AF">
        <w:trPr>
          <w:trHeight w:val="360"/>
        </w:trPr>
        <w:tc>
          <w:tcPr>
            <w:tcW w:w="3327" w:type="dxa"/>
            <w:shd w:val="clear" w:color="auto" w:fill="auto"/>
            <w:tcMar>
              <w:top w:w="100" w:type="dxa"/>
              <w:left w:w="100" w:type="dxa"/>
              <w:bottom w:w="100" w:type="dxa"/>
              <w:right w:w="100" w:type="dxa"/>
            </w:tcMar>
            <w:vAlign w:val="bottom"/>
          </w:tcPr>
          <w:p w14:paraId="338EEA62" w14:textId="3B35479F" w:rsidR="0011433B" w:rsidRPr="00932A95" w:rsidRDefault="002F52BB" w:rsidP="00B35D0C">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Age 40-59</w:t>
            </w:r>
          </w:p>
        </w:tc>
        <w:tc>
          <w:tcPr>
            <w:tcW w:w="1205" w:type="dxa"/>
            <w:shd w:val="clear" w:color="auto" w:fill="auto"/>
            <w:tcMar>
              <w:top w:w="100" w:type="dxa"/>
              <w:left w:w="100" w:type="dxa"/>
              <w:bottom w:w="100" w:type="dxa"/>
              <w:right w:w="100" w:type="dxa"/>
            </w:tcMar>
            <w:vAlign w:val="bottom"/>
          </w:tcPr>
          <w:p w14:paraId="0CC2769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6.7%</w:t>
            </w:r>
          </w:p>
        </w:tc>
        <w:tc>
          <w:tcPr>
            <w:tcW w:w="2410" w:type="dxa"/>
            <w:shd w:val="clear" w:color="auto" w:fill="auto"/>
            <w:tcMar>
              <w:top w:w="100" w:type="dxa"/>
              <w:left w:w="100" w:type="dxa"/>
              <w:bottom w:w="100" w:type="dxa"/>
              <w:right w:w="100" w:type="dxa"/>
            </w:tcMar>
            <w:vAlign w:val="bottom"/>
          </w:tcPr>
          <w:p w14:paraId="1B4D23A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1.226 (0.900</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1.669)</w:t>
            </w:r>
          </w:p>
        </w:tc>
        <w:tc>
          <w:tcPr>
            <w:tcW w:w="2126" w:type="dxa"/>
            <w:shd w:val="clear" w:color="auto" w:fill="auto"/>
            <w:tcMar>
              <w:top w:w="100" w:type="dxa"/>
              <w:left w:w="100" w:type="dxa"/>
              <w:bottom w:w="100" w:type="dxa"/>
              <w:right w:w="100" w:type="dxa"/>
            </w:tcMar>
            <w:vAlign w:val="bottom"/>
          </w:tcPr>
          <w:p w14:paraId="795E77FD" w14:textId="77777777" w:rsidR="0011433B" w:rsidRPr="00932A95" w:rsidRDefault="002F52BB" w:rsidP="004A0F33">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1.182 (0.858</w:t>
            </w:r>
            <w:r w:rsidR="004A0F33" w:rsidRPr="00932A95">
              <w:rPr>
                <w:rFonts w:ascii="Book Antiqua" w:hAnsi="Book Antiqua" w:cs="Book Antiqua"/>
                <w:color w:val="auto"/>
                <w:sz w:val="24"/>
                <w:szCs w:val="24"/>
              </w:rPr>
              <w:t>-</w:t>
            </w:r>
            <w:r w:rsidRPr="00932A95">
              <w:rPr>
                <w:rFonts w:ascii="Book Antiqua" w:hAnsi="Book Antiqua" w:cs="Book Antiqua"/>
                <w:color w:val="auto"/>
                <w:sz w:val="24"/>
                <w:szCs w:val="24"/>
              </w:rPr>
              <w:t>1.628)</w:t>
            </w:r>
          </w:p>
        </w:tc>
        <w:tc>
          <w:tcPr>
            <w:tcW w:w="1134" w:type="dxa"/>
            <w:shd w:val="clear" w:color="auto" w:fill="auto"/>
            <w:tcMar>
              <w:top w:w="100" w:type="dxa"/>
              <w:left w:w="100" w:type="dxa"/>
              <w:bottom w:w="100" w:type="dxa"/>
              <w:right w:w="100" w:type="dxa"/>
            </w:tcMar>
            <w:vAlign w:val="bottom"/>
          </w:tcPr>
          <w:p w14:paraId="382E247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0.196</w:t>
            </w:r>
          </w:p>
        </w:tc>
      </w:tr>
      <w:tr w:rsidR="00932A95" w:rsidRPr="00932A95" w14:paraId="394997C9" w14:textId="77777777" w:rsidTr="00F239AF">
        <w:trPr>
          <w:trHeight w:val="360"/>
        </w:trPr>
        <w:tc>
          <w:tcPr>
            <w:tcW w:w="3327" w:type="dxa"/>
            <w:shd w:val="clear" w:color="auto" w:fill="auto"/>
            <w:tcMar>
              <w:top w:w="100" w:type="dxa"/>
              <w:left w:w="100" w:type="dxa"/>
              <w:bottom w:w="100" w:type="dxa"/>
              <w:right w:w="100" w:type="dxa"/>
            </w:tcMar>
            <w:vAlign w:val="bottom"/>
          </w:tcPr>
          <w:p w14:paraId="64A5205E" w14:textId="68F8FC9C" w:rsidR="0011433B" w:rsidRPr="00932A95" w:rsidRDefault="00B35D0C" w:rsidP="00B35D0C">
            <w:pPr>
              <w:spacing w:line="360" w:lineRule="auto"/>
              <w:ind w:firstLine="520"/>
              <w:jc w:val="both"/>
              <w:rPr>
                <w:rFonts w:ascii="Book Antiqua" w:hAnsi="Book Antiqua" w:cs="Book Antiqua"/>
                <w:color w:val="auto"/>
                <w:sz w:val="24"/>
                <w:szCs w:val="24"/>
              </w:rPr>
            </w:pPr>
            <w:r>
              <w:rPr>
                <w:rFonts w:ascii="Book Antiqua" w:hAnsi="Book Antiqua" w:cs="Book Antiqua"/>
                <w:color w:val="auto"/>
                <w:sz w:val="24"/>
                <w:szCs w:val="24"/>
              </w:rPr>
              <w:t>Age &gt; 60</w:t>
            </w:r>
          </w:p>
        </w:tc>
        <w:tc>
          <w:tcPr>
            <w:tcW w:w="1205" w:type="dxa"/>
            <w:shd w:val="clear" w:color="auto" w:fill="auto"/>
            <w:tcMar>
              <w:top w:w="100" w:type="dxa"/>
              <w:left w:w="100" w:type="dxa"/>
              <w:bottom w:w="100" w:type="dxa"/>
              <w:right w:w="100" w:type="dxa"/>
            </w:tcMar>
            <w:vAlign w:val="bottom"/>
          </w:tcPr>
          <w:p w14:paraId="2DD79F2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7.1%</w:t>
            </w:r>
          </w:p>
        </w:tc>
        <w:tc>
          <w:tcPr>
            <w:tcW w:w="2410" w:type="dxa"/>
            <w:shd w:val="clear" w:color="auto" w:fill="auto"/>
            <w:tcMar>
              <w:top w:w="100" w:type="dxa"/>
              <w:left w:w="100" w:type="dxa"/>
              <w:bottom w:w="100" w:type="dxa"/>
              <w:right w:w="100" w:type="dxa"/>
            </w:tcMar>
            <w:vAlign w:val="bottom"/>
          </w:tcPr>
          <w:p w14:paraId="4400547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1.312 (0.955</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1.801)</w:t>
            </w:r>
          </w:p>
        </w:tc>
        <w:tc>
          <w:tcPr>
            <w:tcW w:w="2126" w:type="dxa"/>
            <w:shd w:val="clear" w:color="auto" w:fill="auto"/>
            <w:tcMar>
              <w:top w:w="100" w:type="dxa"/>
              <w:left w:w="100" w:type="dxa"/>
              <w:bottom w:w="100" w:type="dxa"/>
              <w:right w:w="100" w:type="dxa"/>
            </w:tcMar>
            <w:vAlign w:val="bottom"/>
          </w:tcPr>
          <w:p w14:paraId="5BB4F16E" w14:textId="77777777" w:rsidR="0011433B" w:rsidRPr="00932A95" w:rsidRDefault="004A0F33"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1.397 (0.989-</w:t>
            </w:r>
            <w:r w:rsidR="002F52BB" w:rsidRPr="00932A95">
              <w:rPr>
                <w:rFonts w:ascii="Book Antiqua" w:hAnsi="Book Antiqua" w:cs="Book Antiqua"/>
                <w:color w:val="auto"/>
                <w:sz w:val="24"/>
                <w:szCs w:val="24"/>
              </w:rPr>
              <w:t>1.974)</w:t>
            </w:r>
          </w:p>
        </w:tc>
        <w:tc>
          <w:tcPr>
            <w:tcW w:w="1134" w:type="dxa"/>
            <w:shd w:val="clear" w:color="auto" w:fill="auto"/>
            <w:tcMar>
              <w:top w:w="100" w:type="dxa"/>
              <w:left w:w="100" w:type="dxa"/>
              <w:bottom w:w="100" w:type="dxa"/>
              <w:right w:w="100" w:type="dxa"/>
            </w:tcMar>
            <w:vAlign w:val="bottom"/>
          </w:tcPr>
          <w:p w14:paraId="479EFC8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0.094</w:t>
            </w:r>
          </w:p>
        </w:tc>
      </w:tr>
      <w:tr w:rsidR="00932A95" w:rsidRPr="00932A95" w14:paraId="0F76BBDA" w14:textId="77777777" w:rsidTr="00F239AF">
        <w:trPr>
          <w:trHeight w:val="25"/>
        </w:trPr>
        <w:tc>
          <w:tcPr>
            <w:tcW w:w="3327" w:type="dxa"/>
            <w:shd w:val="clear" w:color="auto" w:fill="auto"/>
            <w:tcMar>
              <w:top w:w="100" w:type="dxa"/>
              <w:left w:w="100" w:type="dxa"/>
              <w:bottom w:w="100" w:type="dxa"/>
              <w:right w:w="100" w:type="dxa"/>
            </w:tcMar>
            <w:vAlign w:val="bottom"/>
          </w:tcPr>
          <w:p w14:paraId="5750D95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Sex</w:t>
            </w:r>
          </w:p>
        </w:tc>
        <w:tc>
          <w:tcPr>
            <w:tcW w:w="1205" w:type="dxa"/>
            <w:shd w:val="clear" w:color="auto" w:fill="auto"/>
            <w:tcMar>
              <w:top w:w="100" w:type="dxa"/>
              <w:left w:w="100" w:type="dxa"/>
              <w:bottom w:w="100" w:type="dxa"/>
              <w:right w:w="100" w:type="dxa"/>
            </w:tcMar>
            <w:vAlign w:val="bottom"/>
          </w:tcPr>
          <w:p w14:paraId="53AE4727"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5FEC82A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0F5C1DB4"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5BEC333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0.001</w:t>
            </w:r>
          </w:p>
        </w:tc>
      </w:tr>
      <w:tr w:rsidR="00932A95" w:rsidRPr="00932A95" w14:paraId="02CB7650" w14:textId="77777777" w:rsidTr="00F239AF">
        <w:trPr>
          <w:trHeight w:val="25"/>
        </w:trPr>
        <w:tc>
          <w:tcPr>
            <w:tcW w:w="3327" w:type="dxa"/>
            <w:shd w:val="clear" w:color="auto" w:fill="auto"/>
            <w:tcMar>
              <w:top w:w="100" w:type="dxa"/>
              <w:left w:w="100" w:type="dxa"/>
              <w:bottom w:w="100" w:type="dxa"/>
              <w:right w:w="100" w:type="dxa"/>
            </w:tcMar>
            <w:vAlign w:val="bottom"/>
          </w:tcPr>
          <w:p w14:paraId="59114401"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Female</w:t>
            </w:r>
          </w:p>
        </w:tc>
        <w:tc>
          <w:tcPr>
            <w:tcW w:w="1205" w:type="dxa"/>
            <w:shd w:val="clear" w:color="auto" w:fill="auto"/>
            <w:tcMar>
              <w:top w:w="100" w:type="dxa"/>
              <w:left w:w="100" w:type="dxa"/>
              <w:bottom w:w="100" w:type="dxa"/>
              <w:right w:w="100" w:type="dxa"/>
            </w:tcMar>
            <w:vAlign w:val="bottom"/>
          </w:tcPr>
          <w:p w14:paraId="066AC1D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5.6%</w:t>
            </w:r>
          </w:p>
        </w:tc>
        <w:tc>
          <w:tcPr>
            <w:tcW w:w="2410" w:type="dxa"/>
            <w:shd w:val="clear" w:color="auto" w:fill="auto"/>
            <w:tcMar>
              <w:top w:w="100" w:type="dxa"/>
              <w:left w:w="100" w:type="dxa"/>
              <w:bottom w:w="100" w:type="dxa"/>
              <w:right w:w="100" w:type="dxa"/>
            </w:tcMar>
            <w:vAlign w:val="bottom"/>
          </w:tcPr>
          <w:p w14:paraId="489B290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0381B5C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22286585"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455A0588" w14:textId="77777777" w:rsidTr="00F239AF">
        <w:trPr>
          <w:trHeight w:val="25"/>
        </w:trPr>
        <w:tc>
          <w:tcPr>
            <w:tcW w:w="3327" w:type="dxa"/>
            <w:shd w:val="clear" w:color="auto" w:fill="auto"/>
            <w:tcMar>
              <w:top w:w="100" w:type="dxa"/>
              <w:left w:w="100" w:type="dxa"/>
              <w:bottom w:w="100" w:type="dxa"/>
              <w:right w:w="100" w:type="dxa"/>
            </w:tcMar>
            <w:vAlign w:val="bottom"/>
          </w:tcPr>
          <w:p w14:paraId="52868A1E"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Male</w:t>
            </w:r>
          </w:p>
        </w:tc>
        <w:tc>
          <w:tcPr>
            <w:tcW w:w="1205" w:type="dxa"/>
            <w:shd w:val="clear" w:color="auto" w:fill="auto"/>
            <w:tcMar>
              <w:top w:w="100" w:type="dxa"/>
              <w:left w:w="100" w:type="dxa"/>
              <w:bottom w:w="100" w:type="dxa"/>
              <w:right w:w="100" w:type="dxa"/>
            </w:tcMar>
            <w:vAlign w:val="bottom"/>
          </w:tcPr>
          <w:p w14:paraId="0E6D7D7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7.3%</w:t>
            </w:r>
          </w:p>
        </w:tc>
        <w:tc>
          <w:tcPr>
            <w:tcW w:w="2410" w:type="dxa"/>
            <w:shd w:val="clear" w:color="auto" w:fill="auto"/>
            <w:tcMar>
              <w:top w:w="100" w:type="dxa"/>
              <w:left w:w="100" w:type="dxa"/>
              <w:bottom w:w="100" w:type="dxa"/>
              <w:right w:w="100" w:type="dxa"/>
            </w:tcMar>
            <w:vAlign w:val="bottom"/>
          </w:tcPr>
          <w:p w14:paraId="197208A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1.323 (1.126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1.555)</w:t>
            </w:r>
          </w:p>
        </w:tc>
        <w:tc>
          <w:tcPr>
            <w:tcW w:w="2126" w:type="dxa"/>
            <w:shd w:val="clear" w:color="auto" w:fill="auto"/>
            <w:tcMar>
              <w:top w:w="100" w:type="dxa"/>
              <w:left w:w="100" w:type="dxa"/>
              <w:bottom w:w="100" w:type="dxa"/>
              <w:right w:w="100" w:type="dxa"/>
            </w:tcMar>
            <w:vAlign w:val="bottom"/>
          </w:tcPr>
          <w:p w14:paraId="46C3D0A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1.271 (1.075</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1.503)</w:t>
            </w:r>
          </w:p>
        </w:tc>
        <w:tc>
          <w:tcPr>
            <w:tcW w:w="1134" w:type="dxa"/>
            <w:shd w:val="clear" w:color="auto" w:fill="auto"/>
            <w:tcMar>
              <w:top w:w="100" w:type="dxa"/>
              <w:left w:w="100" w:type="dxa"/>
              <w:bottom w:w="100" w:type="dxa"/>
              <w:right w:w="100" w:type="dxa"/>
            </w:tcMar>
            <w:vAlign w:val="bottom"/>
          </w:tcPr>
          <w:p w14:paraId="61278D0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0.005</w:t>
            </w:r>
          </w:p>
        </w:tc>
      </w:tr>
      <w:tr w:rsidR="00932A95" w:rsidRPr="00932A95" w14:paraId="3212C388" w14:textId="77777777" w:rsidTr="00F239AF">
        <w:trPr>
          <w:trHeight w:val="25"/>
        </w:trPr>
        <w:tc>
          <w:tcPr>
            <w:tcW w:w="3327" w:type="dxa"/>
            <w:shd w:val="clear" w:color="auto" w:fill="auto"/>
            <w:tcMar>
              <w:top w:w="100" w:type="dxa"/>
              <w:left w:w="100" w:type="dxa"/>
              <w:bottom w:w="100" w:type="dxa"/>
              <w:right w:w="100" w:type="dxa"/>
            </w:tcMar>
            <w:vAlign w:val="bottom"/>
          </w:tcPr>
          <w:p w14:paraId="299310E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Race</w:t>
            </w:r>
          </w:p>
        </w:tc>
        <w:tc>
          <w:tcPr>
            <w:tcW w:w="1205" w:type="dxa"/>
            <w:shd w:val="clear" w:color="auto" w:fill="auto"/>
            <w:tcMar>
              <w:top w:w="100" w:type="dxa"/>
              <w:left w:w="100" w:type="dxa"/>
              <w:bottom w:w="100" w:type="dxa"/>
              <w:right w:w="100" w:type="dxa"/>
            </w:tcMar>
            <w:vAlign w:val="bottom"/>
          </w:tcPr>
          <w:p w14:paraId="09FBD68B"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1D62529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60061D67"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65A2D00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0.001</w:t>
            </w:r>
          </w:p>
        </w:tc>
      </w:tr>
      <w:tr w:rsidR="00932A95" w:rsidRPr="00932A95" w14:paraId="56578720" w14:textId="77777777" w:rsidTr="00F239AF">
        <w:trPr>
          <w:trHeight w:val="25"/>
        </w:trPr>
        <w:tc>
          <w:tcPr>
            <w:tcW w:w="3327" w:type="dxa"/>
            <w:shd w:val="clear" w:color="auto" w:fill="auto"/>
            <w:tcMar>
              <w:top w:w="100" w:type="dxa"/>
              <w:left w:w="100" w:type="dxa"/>
              <w:bottom w:w="100" w:type="dxa"/>
              <w:right w:w="100" w:type="dxa"/>
            </w:tcMar>
            <w:vAlign w:val="bottom"/>
          </w:tcPr>
          <w:p w14:paraId="14E3F3FA"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White</w:t>
            </w:r>
          </w:p>
        </w:tc>
        <w:tc>
          <w:tcPr>
            <w:tcW w:w="1205" w:type="dxa"/>
            <w:shd w:val="clear" w:color="auto" w:fill="auto"/>
            <w:tcMar>
              <w:top w:w="100" w:type="dxa"/>
              <w:left w:w="100" w:type="dxa"/>
              <w:bottom w:w="100" w:type="dxa"/>
              <w:right w:w="100" w:type="dxa"/>
            </w:tcMar>
            <w:vAlign w:val="bottom"/>
          </w:tcPr>
          <w:p w14:paraId="081380C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6.4%</w:t>
            </w:r>
          </w:p>
        </w:tc>
        <w:tc>
          <w:tcPr>
            <w:tcW w:w="2410" w:type="dxa"/>
            <w:shd w:val="clear" w:color="auto" w:fill="auto"/>
            <w:tcMar>
              <w:top w:w="100" w:type="dxa"/>
              <w:left w:w="100" w:type="dxa"/>
              <w:bottom w:w="100" w:type="dxa"/>
              <w:right w:w="100" w:type="dxa"/>
            </w:tcMar>
            <w:vAlign w:val="bottom"/>
          </w:tcPr>
          <w:p w14:paraId="6F41478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36613CE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4B6AAC0F"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6CCCDF47" w14:textId="77777777" w:rsidTr="00F239AF">
        <w:trPr>
          <w:trHeight w:val="25"/>
        </w:trPr>
        <w:tc>
          <w:tcPr>
            <w:tcW w:w="3327" w:type="dxa"/>
            <w:shd w:val="clear" w:color="auto" w:fill="auto"/>
            <w:tcMar>
              <w:top w:w="100" w:type="dxa"/>
              <w:left w:w="100" w:type="dxa"/>
              <w:bottom w:w="100" w:type="dxa"/>
              <w:right w:w="100" w:type="dxa"/>
            </w:tcMar>
            <w:vAlign w:val="bottom"/>
          </w:tcPr>
          <w:p w14:paraId="76E7C1FF"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Black</w:t>
            </w:r>
          </w:p>
        </w:tc>
        <w:tc>
          <w:tcPr>
            <w:tcW w:w="1205" w:type="dxa"/>
            <w:shd w:val="clear" w:color="auto" w:fill="auto"/>
            <w:tcMar>
              <w:top w:w="100" w:type="dxa"/>
              <w:left w:w="100" w:type="dxa"/>
              <w:bottom w:w="100" w:type="dxa"/>
              <w:right w:w="100" w:type="dxa"/>
            </w:tcMar>
            <w:vAlign w:val="bottom"/>
          </w:tcPr>
          <w:p w14:paraId="340A38A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10.2%</w:t>
            </w:r>
          </w:p>
        </w:tc>
        <w:tc>
          <w:tcPr>
            <w:tcW w:w="2410" w:type="dxa"/>
            <w:shd w:val="clear" w:color="auto" w:fill="auto"/>
            <w:tcMar>
              <w:top w:w="100" w:type="dxa"/>
              <w:left w:w="100" w:type="dxa"/>
              <w:bottom w:w="100" w:type="dxa"/>
              <w:right w:w="100" w:type="dxa"/>
            </w:tcMar>
            <w:vAlign w:val="bottom"/>
          </w:tcPr>
          <w:p w14:paraId="072BBFB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1.664 (1.308</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2.118)</w:t>
            </w:r>
          </w:p>
        </w:tc>
        <w:tc>
          <w:tcPr>
            <w:tcW w:w="2126" w:type="dxa"/>
            <w:shd w:val="clear" w:color="auto" w:fill="auto"/>
            <w:tcMar>
              <w:top w:w="100" w:type="dxa"/>
              <w:left w:w="100" w:type="dxa"/>
              <w:bottom w:w="100" w:type="dxa"/>
              <w:right w:w="100" w:type="dxa"/>
            </w:tcMar>
            <w:vAlign w:val="bottom"/>
          </w:tcPr>
          <w:p w14:paraId="3466F55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1.607 (1.246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2.074)</w:t>
            </w:r>
          </w:p>
        </w:tc>
        <w:tc>
          <w:tcPr>
            <w:tcW w:w="1134" w:type="dxa"/>
            <w:shd w:val="clear" w:color="auto" w:fill="auto"/>
            <w:tcMar>
              <w:top w:w="100" w:type="dxa"/>
              <w:left w:w="100" w:type="dxa"/>
              <w:bottom w:w="100" w:type="dxa"/>
              <w:right w:w="100" w:type="dxa"/>
            </w:tcMar>
            <w:vAlign w:val="bottom"/>
          </w:tcPr>
          <w:p w14:paraId="6CE01D3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6DA63172" w14:textId="77777777" w:rsidTr="00F239AF">
        <w:trPr>
          <w:trHeight w:val="25"/>
        </w:trPr>
        <w:tc>
          <w:tcPr>
            <w:tcW w:w="3327" w:type="dxa"/>
            <w:shd w:val="clear" w:color="auto" w:fill="auto"/>
            <w:tcMar>
              <w:top w:w="100" w:type="dxa"/>
              <w:left w:w="100" w:type="dxa"/>
              <w:bottom w:w="100" w:type="dxa"/>
              <w:right w:w="100" w:type="dxa"/>
            </w:tcMar>
            <w:vAlign w:val="bottom"/>
          </w:tcPr>
          <w:p w14:paraId="0A9E9803"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Hispanic</w:t>
            </w:r>
          </w:p>
        </w:tc>
        <w:tc>
          <w:tcPr>
            <w:tcW w:w="1205" w:type="dxa"/>
            <w:shd w:val="clear" w:color="auto" w:fill="auto"/>
            <w:tcMar>
              <w:top w:w="100" w:type="dxa"/>
              <w:left w:w="100" w:type="dxa"/>
              <w:bottom w:w="100" w:type="dxa"/>
              <w:right w:w="100" w:type="dxa"/>
            </w:tcMar>
            <w:vAlign w:val="bottom"/>
          </w:tcPr>
          <w:p w14:paraId="013A704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6.1%</w:t>
            </w:r>
          </w:p>
        </w:tc>
        <w:tc>
          <w:tcPr>
            <w:tcW w:w="2410" w:type="dxa"/>
            <w:shd w:val="clear" w:color="auto" w:fill="auto"/>
            <w:tcMar>
              <w:top w:w="100" w:type="dxa"/>
              <w:left w:w="100" w:type="dxa"/>
              <w:bottom w:w="100" w:type="dxa"/>
              <w:right w:w="100" w:type="dxa"/>
            </w:tcMar>
            <w:vAlign w:val="bottom"/>
          </w:tcPr>
          <w:p w14:paraId="39F113D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0.948 (0.778</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1.155)</w:t>
            </w:r>
          </w:p>
        </w:tc>
        <w:tc>
          <w:tcPr>
            <w:tcW w:w="2126" w:type="dxa"/>
            <w:shd w:val="clear" w:color="auto" w:fill="auto"/>
            <w:tcMar>
              <w:top w:w="100" w:type="dxa"/>
              <w:left w:w="100" w:type="dxa"/>
              <w:bottom w:w="100" w:type="dxa"/>
              <w:right w:w="100" w:type="dxa"/>
            </w:tcMar>
            <w:vAlign w:val="bottom"/>
          </w:tcPr>
          <w:p w14:paraId="709277E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0.942 (0.766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1.157)</w:t>
            </w:r>
          </w:p>
        </w:tc>
        <w:tc>
          <w:tcPr>
            <w:tcW w:w="1134" w:type="dxa"/>
            <w:shd w:val="clear" w:color="auto" w:fill="auto"/>
            <w:tcMar>
              <w:top w:w="100" w:type="dxa"/>
              <w:left w:w="100" w:type="dxa"/>
              <w:bottom w:w="100" w:type="dxa"/>
              <w:right w:w="100" w:type="dxa"/>
            </w:tcMar>
            <w:vAlign w:val="bottom"/>
          </w:tcPr>
          <w:p w14:paraId="3E0F57C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0.567</w:t>
            </w:r>
          </w:p>
        </w:tc>
      </w:tr>
      <w:tr w:rsidR="00932A95" w:rsidRPr="00932A95" w14:paraId="0D38DE27" w14:textId="77777777" w:rsidTr="00F239AF">
        <w:trPr>
          <w:trHeight w:val="25"/>
        </w:trPr>
        <w:tc>
          <w:tcPr>
            <w:tcW w:w="3327" w:type="dxa"/>
            <w:shd w:val="clear" w:color="auto" w:fill="auto"/>
            <w:tcMar>
              <w:top w:w="100" w:type="dxa"/>
              <w:left w:w="100" w:type="dxa"/>
              <w:bottom w:w="100" w:type="dxa"/>
              <w:right w:w="100" w:type="dxa"/>
            </w:tcMar>
            <w:vAlign w:val="bottom"/>
          </w:tcPr>
          <w:p w14:paraId="1BC3D44F"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Asian or Pacific Islander</w:t>
            </w:r>
          </w:p>
        </w:tc>
        <w:tc>
          <w:tcPr>
            <w:tcW w:w="1205" w:type="dxa"/>
            <w:shd w:val="clear" w:color="auto" w:fill="auto"/>
            <w:tcMar>
              <w:top w:w="100" w:type="dxa"/>
              <w:left w:w="100" w:type="dxa"/>
              <w:bottom w:w="100" w:type="dxa"/>
              <w:right w:w="100" w:type="dxa"/>
            </w:tcMar>
            <w:vAlign w:val="bottom"/>
          </w:tcPr>
          <w:p w14:paraId="42B491C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6.6%</w:t>
            </w:r>
          </w:p>
        </w:tc>
        <w:tc>
          <w:tcPr>
            <w:tcW w:w="2410" w:type="dxa"/>
            <w:shd w:val="clear" w:color="auto" w:fill="auto"/>
            <w:tcMar>
              <w:top w:w="100" w:type="dxa"/>
              <w:left w:w="100" w:type="dxa"/>
              <w:bottom w:w="100" w:type="dxa"/>
              <w:right w:w="100" w:type="dxa"/>
            </w:tcMar>
            <w:vAlign w:val="bottom"/>
          </w:tcPr>
          <w:p w14:paraId="24491FD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1.040 (0.621</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1.742)</w:t>
            </w:r>
          </w:p>
        </w:tc>
        <w:tc>
          <w:tcPr>
            <w:tcW w:w="2126" w:type="dxa"/>
            <w:shd w:val="clear" w:color="auto" w:fill="auto"/>
            <w:tcMar>
              <w:top w:w="100" w:type="dxa"/>
              <w:left w:w="100" w:type="dxa"/>
              <w:bottom w:w="100" w:type="dxa"/>
              <w:right w:w="100" w:type="dxa"/>
            </w:tcMar>
            <w:vAlign w:val="bottom"/>
          </w:tcPr>
          <w:p w14:paraId="245641F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1.046 (0.619</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1.768)</w:t>
            </w:r>
          </w:p>
        </w:tc>
        <w:tc>
          <w:tcPr>
            <w:tcW w:w="1134" w:type="dxa"/>
            <w:shd w:val="clear" w:color="auto" w:fill="auto"/>
            <w:tcMar>
              <w:top w:w="100" w:type="dxa"/>
              <w:left w:w="100" w:type="dxa"/>
              <w:bottom w:w="100" w:type="dxa"/>
              <w:right w:w="100" w:type="dxa"/>
            </w:tcMar>
            <w:vAlign w:val="bottom"/>
          </w:tcPr>
          <w:p w14:paraId="1C2D343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0.867</w:t>
            </w:r>
          </w:p>
        </w:tc>
      </w:tr>
      <w:tr w:rsidR="00932A95" w:rsidRPr="00932A95" w14:paraId="0AFF0298" w14:textId="77777777" w:rsidTr="00F239AF">
        <w:trPr>
          <w:trHeight w:val="25"/>
        </w:trPr>
        <w:tc>
          <w:tcPr>
            <w:tcW w:w="3327" w:type="dxa"/>
            <w:shd w:val="clear" w:color="auto" w:fill="auto"/>
            <w:tcMar>
              <w:top w:w="100" w:type="dxa"/>
              <w:left w:w="100" w:type="dxa"/>
              <w:bottom w:w="100" w:type="dxa"/>
              <w:right w:w="100" w:type="dxa"/>
            </w:tcMar>
            <w:vAlign w:val="bottom"/>
          </w:tcPr>
          <w:p w14:paraId="59AF2C2C"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t>Native American</w:t>
            </w:r>
          </w:p>
        </w:tc>
        <w:tc>
          <w:tcPr>
            <w:tcW w:w="1205" w:type="dxa"/>
            <w:shd w:val="clear" w:color="auto" w:fill="auto"/>
            <w:tcMar>
              <w:top w:w="100" w:type="dxa"/>
              <w:left w:w="100" w:type="dxa"/>
              <w:bottom w:w="100" w:type="dxa"/>
              <w:right w:w="100" w:type="dxa"/>
            </w:tcMar>
            <w:vAlign w:val="bottom"/>
          </w:tcPr>
          <w:p w14:paraId="303E820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6.7%</w:t>
            </w:r>
          </w:p>
        </w:tc>
        <w:tc>
          <w:tcPr>
            <w:tcW w:w="2410" w:type="dxa"/>
            <w:shd w:val="clear" w:color="auto" w:fill="auto"/>
            <w:tcMar>
              <w:top w:w="100" w:type="dxa"/>
              <w:left w:w="100" w:type="dxa"/>
              <w:bottom w:w="100" w:type="dxa"/>
              <w:right w:w="100" w:type="dxa"/>
            </w:tcMar>
            <w:vAlign w:val="bottom"/>
          </w:tcPr>
          <w:p w14:paraId="6910266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1.062 (0.587</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1.922)</w:t>
            </w:r>
          </w:p>
        </w:tc>
        <w:tc>
          <w:tcPr>
            <w:tcW w:w="2126" w:type="dxa"/>
            <w:shd w:val="clear" w:color="auto" w:fill="auto"/>
            <w:tcMar>
              <w:top w:w="100" w:type="dxa"/>
              <w:left w:w="100" w:type="dxa"/>
              <w:bottom w:w="100" w:type="dxa"/>
              <w:right w:w="100" w:type="dxa"/>
            </w:tcMar>
            <w:vAlign w:val="bottom"/>
          </w:tcPr>
          <w:p w14:paraId="2B9E3D0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1.071 (0.572</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2.002)</w:t>
            </w:r>
          </w:p>
        </w:tc>
        <w:tc>
          <w:tcPr>
            <w:tcW w:w="1134" w:type="dxa"/>
            <w:shd w:val="clear" w:color="auto" w:fill="auto"/>
            <w:tcMar>
              <w:top w:w="100" w:type="dxa"/>
              <w:left w:w="100" w:type="dxa"/>
              <w:bottom w:w="100" w:type="dxa"/>
              <w:right w:w="100" w:type="dxa"/>
            </w:tcMar>
            <w:vAlign w:val="bottom"/>
          </w:tcPr>
          <w:p w14:paraId="7097CF7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0.831</w:t>
            </w:r>
          </w:p>
        </w:tc>
      </w:tr>
      <w:tr w:rsidR="00932A95" w:rsidRPr="00932A95" w14:paraId="1353C1F2" w14:textId="77777777" w:rsidTr="00F239AF">
        <w:trPr>
          <w:trHeight w:val="25"/>
        </w:trPr>
        <w:tc>
          <w:tcPr>
            <w:tcW w:w="3327" w:type="dxa"/>
            <w:shd w:val="clear" w:color="auto" w:fill="auto"/>
            <w:tcMar>
              <w:top w:w="100" w:type="dxa"/>
              <w:left w:w="100" w:type="dxa"/>
              <w:bottom w:w="100" w:type="dxa"/>
              <w:right w:w="100" w:type="dxa"/>
            </w:tcMar>
            <w:vAlign w:val="bottom"/>
          </w:tcPr>
          <w:p w14:paraId="74132628"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Other</w:t>
            </w:r>
          </w:p>
        </w:tc>
        <w:tc>
          <w:tcPr>
            <w:tcW w:w="1205" w:type="dxa"/>
            <w:shd w:val="clear" w:color="auto" w:fill="auto"/>
            <w:tcMar>
              <w:top w:w="100" w:type="dxa"/>
              <w:left w:w="100" w:type="dxa"/>
              <w:bottom w:w="100" w:type="dxa"/>
              <w:right w:w="100" w:type="dxa"/>
            </w:tcMar>
            <w:vAlign w:val="bottom"/>
          </w:tcPr>
          <w:p w14:paraId="1DABBB6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7.6%</w:t>
            </w:r>
          </w:p>
        </w:tc>
        <w:tc>
          <w:tcPr>
            <w:tcW w:w="2410" w:type="dxa"/>
            <w:shd w:val="clear" w:color="auto" w:fill="auto"/>
            <w:tcMar>
              <w:top w:w="100" w:type="dxa"/>
              <w:left w:w="100" w:type="dxa"/>
              <w:bottom w:w="100" w:type="dxa"/>
              <w:right w:w="100" w:type="dxa"/>
            </w:tcMar>
            <w:vAlign w:val="bottom"/>
          </w:tcPr>
          <w:p w14:paraId="604217D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1.214 (0.971</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1.518)</w:t>
            </w:r>
          </w:p>
        </w:tc>
        <w:tc>
          <w:tcPr>
            <w:tcW w:w="2126" w:type="dxa"/>
            <w:shd w:val="clear" w:color="auto" w:fill="auto"/>
            <w:tcMar>
              <w:top w:w="100" w:type="dxa"/>
              <w:left w:w="100" w:type="dxa"/>
              <w:bottom w:w="100" w:type="dxa"/>
              <w:right w:w="100" w:type="dxa"/>
            </w:tcMar>
            <w:vAlign w:val="bottom"/>
          </w:tcPr>
          <w:p w14:paraId="62998BB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1.131 (0.895</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1.429)</w:t>
            </w:r>
          </w:p>
        </w:tc>
        <w:tc>
          <w:tcPr>
            <w:tcW w:w="1134" w:type="dxa"/>
            <w:shd w:val="clear" w:color="auto" w:fill="auto"/>
            <w:tcMar>
              <w:top w:w="100" w:type="dxa"/>
              <w:left w:w="100" w:type="dxa"/>
              <w:bottom w:w="100" w:type="dxa"/>
              <w:right w:w="100" w:type="dxa"/>
            </w:tcMar>
            <w:vAlign w:val="bottom"/>
          </w:tcPr>
          <w:p w14:paraId="3792BC6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0.304</w:t>
            </w:r>
          </w:p>
        </w:tc>
      </w:tr>
      <w:tr w:rsidR="00932A95" w:rsidRPr="00932A95" w14:paraId="2FBB6788" w14:textId="77777777" w:rsidTr="00F239AF">
        <w:trPr>
          <w:trHeight w:val="25"/>
        </w:trPr>
        <w:tc>
          <w:tcPr>
            <w:tcW w:w="3327" w:type="dxa"/>
            <w:shd w:val="clear" w:color="auto" w:fill="auto"/>
            <w:tcMar>
              <w:top w:w="100" w:type="dxa"/>
              <w:left w:w="100" w:type="dxa"/>
              <w:bottom w:w="100" w:type="dxa"/>
              <w:right w:w="100" w:type="dxa"/>
            </w:tcMar>
            <w:vAlign w:val="bottom"/>
          </w:tcPr>
          <w:p w14:paraId="0F442FA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Primary payer</w:t>
            </w:r>
          </w:p>
        </w:tc>
        <w:tc>
          <w:tcPr>
            <w:tcW w:w="1205" w:type="dxa"/>
            <w:shd w:val="clear" w:color="auto" w:fill="auto"/>
            <w:tcMar>
              <w:top w:w="100" w:type="dxa"/>
              <w:left w:w="100" w:type="dxa"/>
              <w:bottom w:w="100" w:type="dxa"/>
              <w:right w:w="100" w:type="dxa"/>
            </w:tcMar>
            <w:vAlign w:val="bottom"/>
          </w:tcPr>
          <w:p w14:paraId="45E562ED"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0C10F398"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015DCB5D"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064F6AA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0.001</w:t>
            </w:r>
          </w:p>
        </w:tc>
      </w:tr>
      <w:tr w:rsidR="00932A95" w:rsidRPr="00932A95" w14:paraId="5307FAC3" w14:textId="77777777" w:rsidTr="00F239AF">
        <w:trPr>
          <w:trHeight w:val="25"/>
        </w:trPr>
        <w:tc>
          <w:tcPr>
            <w:tcW w:w="3327" w:type="dxa"/>
            <w:shd w:val="clear" w:color="auto" w:fill="auto"/>
            <w:tcMar>
              <w:top w:w="100" w:type="dxa"/>
              <w:left w:w="100" w:type="dxa"/>
              <w:bottom w:w="100" w:type="dxa"/>
              <w:right w:w="100" w:type="dxa"/>
            </w:tcMar>
            <w:vAlign w:val="bottom"/>
          </w:tcPr>
          <w:p w14:paraId="437F89BB"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Medicare</w:t>
            </w:r>
          </w:p>
        </w:tc>
        <w:tc>
          <w:tcPr>
            <w:tcW w:w="1205" w:type="dxa"/>
            <w:shd w:val="clear" w:color="auto" w:fill="auto"/>
            <w:tcMar>
              <w:top w:w="100" w:type="dxa"/>
              <w:left w:w="100" w:type="dxa"/>
              <w:bottom w:w="100" w:type="dxa"/>
              <w:right w:w="100" w:type="dxa"/>
            </w:tcMar>
            <w:vAlign w:val="bottom"/>
          </w:tcPr>
          <w:p w14:paraId="0ED3A3C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6.7%</w:t>
            </w:r>
          </w:p>
        </w:tc>
        <w:tc>
          <w:tcPr>
            <w:tcW w:w="2410" w:type="dxa"/>
            <w:shd w:val="clear" w:color="auto" w:fill="auto"/>
            <w:tcMar>
              <w:top w:w="100" w:type="dxa"/>
              <w:left w:w="100" w:type="dxa"/>
              <w:bottom w:w="100" w:type="dxa"/>
              <w:right w:w="100" w:type="dxa"/>
            </w:tcMar>
            <w:vAlign w:val="bottom"/>
          </w:tcPr>
          <w:p w14:paraId="683E434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37A914E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6C92B3C8"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224B5D5B" w14:textId="77777777" w:rsidTr="00F239AF">
        <w:trPr>
          <w:trHeight w:val="25"/>
        </w:trPr>
        <w:tc>
          <w:tcPr>
            <w:tcW w:w="3327" w:type="dxa"/>
            <w:shd w:val="clear" w:color="auto" w:fill="auto"/>
            <w:tcMar>
              <w:top w:w="100" w:type="dxa"/>
              <w:left w:w="100" w:type="dxa"/>
              <w:bottom w:w="100" w:type="dxa"/>
              <w:right w:w="100" w:type="dxa"/>
            </w:tcMar>
            <w:vAlign w:val="bottom"/>
          </w:tcPr>
          <w:p w14:paraId="742BF576"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Medicaid</w:t>
            </w:r>
          </w:p>
        </w:tc>
        <w:tc>
          <w:tcPr>
            <w:tcW w:w="1205" w:type="dxa"/>
            <w:shd w:val="clear" w:color="auto" w:fill="auto"/>
            <w:tcMar>
              <w:top w:w="100" w:type="dxa"/>
              <w:left w:w="100" w:type="dxa"/>
              <w:bottom w:w="100" w:type="dxa"/>
              <w:right w:w="100" w:type="dxa"/>
            </w:tcMar>
            <w:vAlign w:val="bottom"/>
          </w:tcPr>
          <w:p w14:paraId="55749BE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7.9%</w:t>
            </w:r>
          </w:p>
        </w:tc>
        <w:tc>
          <w:tcPr>
            <w:tcW w:w="2410" w:type="dxa"/>
            <w:shd w:val="clear" w:color="auto" w:fill="auto"/>
            <w:tcMar>
              <w:top w:w="100" w:type="dxa"/>
              <w:left w:w="100" w:type="dxa"/>
              <w:bottom w:w="100" w:type="dxa"/>
              <w:right w:w="100" w:type="dxa"/>
            </w:tcMar>
            <w:vAlign w:val="bottom"/>
          </w:tcPr>
          <w:p w14:paraId="758E372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1.180 (0.978</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1.423)</w:t>
            </w:r>
          </w:p>
        </w:tc>
        <w:tc>
          <w:tcPr>
            <w:tcW w:w="2126" w:type="dxa"/>
            <w:shd w:val="clear" w:color="auto" w:fill="auto"/>
            <w:tcMar>
              <w:top w:w="100" w:type="dxa"/>
              <w:left w:w="100" w:type="dxa"/>
              <w:bottom w:w="100" w:type="dxa"/>
              <w:right w:w="100" w:type="dxa"/>
            </w:tcMar>
            <w:vAlign w:val="bottom"/>
          </w:tcPr>
          <w:p w14:paraId="6BE6902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1.027 (0.844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1.250)</w:t>
            </w:r>
          </w:p>
        </w:tc>
        <w:tc>
          <w:tcPr>
            <w:tcW w:w="1134" w:type="dxa"/>
            <w:shd w:val="clear" w:color="auto" w:fill="auto"/>
            <w:tcMar>
              <w:top w:w="100" w:type="dxa"/>
              <w:left w:w="100" w:type="dxa"/>
              <w:bottom w:w="100" w:type="dxa"/>
              <w:right w:w="100" w:type="dxa"/>
            </w:tcMar>
            <w:vAlign w:val="bottom"/>
          </w:tcPr>
          <w:p w14:paraId="0735495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0.789</w:t>
            </w:r>
          </w:p>
        </w:tc>
      </w:tr>
      <w:tr w:rsidR="00932A95" w:rsidRPr="00932A95" w14:paraId="3D4AA464" w14:textId="77777777" w:rsidTr="00F239AF">
        <w:trPr>
          <w:trHeight w:val="25"/>
        </w:trPr>
        <w:tc>
          <w:tcPr>
            <w:tcW w:w="3327" w:type="dxa"/>
            <w:shd w:val="clear" w:color="auto" w:fill="auto"/>
            <w:tcMar>
              <w:top w:w="100" w:type="dxa"/>
              <w:left w:w="100" w:type="dxa"/>
              <w:bottom w:w="100" w:type="dxa"/>
              <w:right w:w="100" w:type="dxa"/>
            </w:tcMar>
            <w:vAlign w:val="bottom"/>
          </w:tcPr>
          <w:p w14:paraId="4049423A" w14:textId="77777777" w:rsidR="0011433B" w:rsidRPr="00932A95" w:rsidRDefault="002F52BB" w:rsidP="00374FC0">
            <w:pPr>
              <w:spacing w:line="360" w:lineRule="auto"/>
              <w:ind w:left="520"/>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Private and HMO</w:t>
            </w:r>
          </w:p>
        </w:tc>
        <w:tc>
          <w:tcPr>
            <w:tcW w:w="1205" w:type="dxa"/>
            <w:shd w:val="clear" w:color="auto" w:fill="auto"/>
            <w:tcMar>
              <w:top w:w="100" w:type="dxa"/>
              <w:left w:w="100" w:type="dxa"/>
              <w:bottom w:w="100" w:type="dxa"/>
              <w:right w:w="100" w:type="dxa"/>
            </w:tcMar>
            <w:vAlign w:val="bottom"/>
          </w:tcPr>
          <w:p w14:paraId="557E809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6.0%</w:t>
            </w:r>
          </w:p>
        </w:tc>
        <w:tc>
          <w:tcPr>
            <w:tcW w:w="2410" w:type="dxa"/>
            <w:shd w:val="clear" w:color="auto" w:fill="auto"/>
            <w:tcMar>
              <w:top w:w="100" w:type="dxa"/>
              <w:left w:w="100" w:type="dxa"/>
              <w:bottom w:w="100" w:type="dxa"/>
              <w:right w:w="100" w:type="dxa"/>
            </w:tcMar>
            <w:vAlign w:val="bottom"/>
          </w:tcPr>
          <w:p w14:paraId="7116F7D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0.887 (0.729</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1.078)</w:t>
            </w:r>
          </w:p>
        </w:tc>
        <w:tc>
          <w:tcPr>
            <w:tcW w:w="2126" w:type="dxa"/>
            <w:shd w:val="clear" w:color="auto" w:fill="auto"/>
            <w:tcMar>
              <w:top w:w="100" w:type="dxa"/>
              <w:left w:w="100" w:type="dxa"/>
              <w:bottom w:w="100" w:type="dxa"/>
              <w:right w:w="100" w:type="dxa"/>
            </w:tcMar>
            <w:vAlign w:val="bottom"/>
          </w:tcPr>
          <w:p w14:paraId="192DEF2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0.837 (0.683</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1.026)</w:t>
            </w:r>
          </w:p>
        </w:tc>
        <w:tc>
          <w:tcPr>
            <w:tcW w:w="1134" w:type="dxa"/>
            <w:shd w:val="clear" w:color="auto" w:fill="auto"/>
            <w:tcMar>
              <w:top w:w="100" w:type="dxa"/>
              <w:left w:w="100" w:type="dxa"/>
              <w:bottom w:w="100" w:type="dxa"/>
              <w:right w:w="100" w:type="dxa"/>
            </w:tcMar>
            <w:vAlign w:val="bottom"/>
          </w:tcPr>
          <w:p w14:paraId="123CB07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0.087</w:t>
            </w:r>
          </w:p>
        </w:tc>
      </w:tr>
      <w:tr w:rsidR="00932A95" w:rsidRPr="00932A95" w14:paraId="68767BF8" w14:textId="77777777" w:rsidTr="00F239AF">
        <w:trPr>
          <w:trHeight w:val="25"/>
        </w:trPr>
        <w:tc>
          <w:tcPr>
            <w:tcW w:w="3327" w:type="dxa"/>
            <w:shd w:val="clear" w:color="auto" w:fill="auto"/>
            <w:tcMar>
              <w:top w:w="100" w:type="dxa"/>
              <w:left w:w="100" w:type="dxa"/>
              <w:bottom w:w="100" w:type="dxa"/>
              <w:right w:w="100" w:type="dxa"/>
            </w:tcMar>
            <w:vAlign w:val="bottom"/>
          </w:tcPr>
          <w:p w14:paraId="73915E07"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Self-pay</w:t>
            </w:r>
          </w:p>
        </w:tc>
        <w:tc>
          <w:tcPr>
            <w:tcW w:w="1205" w:type="dxa"/>
            <w:shd w:val="clear" w:color="auto" w:fill="auto"/>
            <w:tcMar>
              <w:top w:w="100" w:type="dxa"/>
              <w:left w:w="100" w:type="dxa"/>
              <w:bottom w:w="100" w:type="dxa"/>
              <w:right w:w="100" w:type="dxa"/>
            </w:tcMar>
            <w:vAlign w:val="bottom"/>
          </w:tcPr>
          <w:p w14:paraId="2AD11A3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7.2%</w:t>
            </w:r>
          </w:p>
        </w:tc>
        <w:tc>
          <w:tcPr>
            <w:tcW w:w="2410" w:type="dxa"/>
            <w:shd w:val="clear" w:color="auto" w:fill="auto"/>
            <w:tcMar>
              <w:top w:w="100" w:type="dxa"/>
              <w:left w:w="100" w:type="dxa"/>
              <w:bottom w:w="100" w:type="dxa"/>
              <w:right w:w="100" w:type="dxa"/>
            </w:tcMar>
            <w:vAlign w:val="bottom"/>
          </w:tcPr>
          <w:p w14:paraId="32E8A55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1.069 (0.849</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1.346)</w:t>
            </w:r>
          </w:p>
        </w:tc>
        <w:tc>
          <w:tcPr>
            <w:tcW w:w="2126" w:type="dxa"/>
            <w:shd w:val="clear" w:color="auto" w:fill="auto"/>
            <w:tcMar>
              <w:top w:w="100" w:type="dxa"/>
              <w:left w:w="100" w:type="dxa"/>
              <w:bottom w:w="100" w:type="dxa"/>
              <w:right w:w="100" w:type="dxa"/>
            </w:tcMar>
            <w:vAlign w:val="bottom"/>
          </w:tcPr>
          <w:p w14:paraId="221C259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1.098 (0.864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1.395)</w:t>
            </w:r>
          </w:p>
        </w:tc>
        <w:tc>
          <w:tcPr>
            <w:tcW w:w="1134" w:type="dxa"/>
            <w:shd w:val="clear" w:color="auto" w:fill="auto"/>
            <w:tcMar>
              <w:top w:w="100" w:type="dxa"/>
              <w:left w:w="100" w:type="dxa"/>
              <w:bottom w:w="100" w:type="dxa"/>
              <w:right w:w="100" w:type="dxa"/>
            </w:tcMar>
            <w:vAlign w:val="bottom"/>
          </w:tcPr>
          <w:p w14:paraId="2CDAFF0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0.445</w:t>
            </w:r>
          </w:p>
        </w:tc>
      </w:tr>
      <w:tr w:rsidR="00932A95" w:rsidRPr="00932A95" w14:paraId="176DC2AB" w14:textId="77777777" w:rsidTr="00F239AF">
        <w:trPr>
          <w:trHeight w:val="25"/>
        </w:trPr>
        <w:tc>
          <w:tcPr>
            <w:tcW w:w="3327" w:type="dxa"/>
            <w:shd w:val="clear" w:color="auto" w:fill="auto"/>
            <w:tcMar>
              <w:top w:w="100" w:type="dxa"/>
              <w:left w:w="100" w:type="dxa"/>
              <w:bottom w:w="100" w:type="dxa"/>
              <w:right w:w="100" w:type="dxa"/>
            </w:tcMar>
            <w:vAlign w:val="bottom"/>
          </w:tcPr>
          <w:p w14:paraId="247EBD6D"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No charge</w:t>
            </w:r>
          </w:p>
        </w:tc>
        <w:tc>
          <w:tcPr>
            <w:tcW w:w="1205" w:type="dxa"/>
            <w:shd w:val="clear" w:color="auto" w:fill="auto"/>
            <w:tcMar>
              <w:top w:w="100" w:type="dxa"/>
              <w:left w:w="100" w:type="dxa"/>
              <w:bottom w:w="100" w:type="dxa"/>
              <w:right w:w="100" w:type="dxa"/>
            </w:tcMar>
            <w:vAlign w:val="bottom"/>
          </w:tcPr>
          <w:p w14:paraId="2D35BA6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4.0%</w:t>
            </w:r>
          </w:p>
        </w:tc>
        <w:tc>
          <w:tcPr>
            <w:tcW w:w="2410" w:type="dxa"/>
            <w:shd w:val="clear" w:color="auto" w:fill="auto"/>
            <w:tcMar>
              <w:top w:w="100" w:type="dxa"/>
              <w:left w:w="100" w:type="dxa"/>
              <w:bottom w:w="100" w:type="dxa"/>
              <w:right w:w="100" w:type="dxa"/>
            </w:tcMar>
            <w:vAlign w:val="bottom"/>
          </w:tcPr>
          <w:p w14:paraId="013C663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0.580 (0.254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1.326)</w:t>
            </w:r>
          </w:p>
        </w:tc>
        <w:tc>
          <w:tcPr>
            <w:tcW w:w="2126" w:type="dxa"/>
            <w:shd w:val="clear" w:color="auto" w:fill="auto"/>
            <w:tcMar>
              <w:top w:w="100" w:type="dxa"/>
              <w:left w:w="100" w:type="dxa"/>
              <w:bottom w:w="100" w:type="dxa"/>
              <w:right w:w="100" w:type="dxa"/>
            </w:tcMar>
            <w:vAlign w:val="bottom"/>
          </w:tcPr>
          <w:p w14:paraId="052A4EA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0.517 (0.214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1.247)</w:t>
            </w:r>
          </w:p>
        </w:tc>
        <w:tc>
          <w:tcPr>
            <w:tcW w:w="1134" w:type="dxa"/>
            <w:shd w:val="clear" w:color="auto" w:fill="auto"/>
            <w:tcMar>
              <w:top w:w="100" w:type="dxa"/>
              <w:left w:w="100" w:type="dxa"/>
              <w:bottom w:w="100" w:type="dxa"/>
              <w:right w:w="100" w:type="dxa"/>
            </w:tcMar>
            <w:vAlign w:val="bottom"/>
          </w:tcPr>
          <w:p w14:paraId="4318547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0.142</w:t>
            </w:r>
          </w:p>
        </w:tc>
      </w:tr>
      <w:tr w:rsidR="00932A95" w:rsidRPr="00932A95" w14:paraId="7B1CD5EA" w14:textId="77777777" w:rsidTr="00F239AF">
        <w:trPr>
          <w:trHeight w:val="360"/>
        </w:trPr>
        <w:tc>
          <w:tcPr>
            <w:tcW w:w="3327" w:type="dxa"/>
            <w:shd w:val="clear" w:color="auto" w:fill="auto"/>
            <w:tcMar>
              <w:top w:w="100" w:type="dxa"/>
              <w:left w:w="100" w:type="dxa"/>
              <w:bottom w:w="100" w:type="dxa"/>
              <w:right w:w="100" w:type="dxa"/>
            </w:tcMar>
            <w:vAlign w:val="bottom"/>
          </w:tcPr>
          <w:p w14:paraId="68D1D563"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Other</w:t>
            </w:r>
          </w:p>
        </w:tc>
        <w:tc>
          <w:tcPr>
            <w:tcW w:w="1205" w:type="dxa"/>
            <w:shd w:val="clear" w:color="auto" w:fill="auto"/>
            <w:tcMar>
              <w:top w:w="100" w:type="dxa"/>
              <w:left w:w="100" w:type="dxa"/>
              <w:bottom w:w="100" w:type="dxa"/>
              <w:right w:w="100" w:type="dxa"/>
            </w:tcMar>
            <w:vAlign w:val="bottom"/>
          </w:tcPr>
          <w:p w14:paraId="54F42AC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4.9%</w:t>
            </w:r>
          </w:p>
        </w:tc>
        <w:tc>
          <w:tcPr>
            <w:tcW w:w="2410" w:type="dxa"/>
            <w:shd w:val="clear" w:color="auto" w:fill="auto"/>
            <w:tcMar>
              <w:top w:w="100" w:type="dxa"/>
              <w:left w:w="100" w:type="dxa"/>
              <w:bottom w:w="100" w:type="dxa"/>
              <w:right w:w="100" w:type="dxa"/>
            </w:tcMar>
            <w:vAlign w:val="bottom"/>
          </w:tcPr>
          <w:p w14:paraId="361AF3A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0.706 (0.487</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1.025)</w:t>
            </w:r>
          </w:p>
        </w:tc>
        <w:tc>
          <w:tcPr>
            <w:tcW w:w="2126" w:type="dxa"/>
            <w:shd w:val="clear" w:color="auto" w:fill="auto"/>
            <w:tcMar>
              <w:top w:w="100" w:type="dxa"/>
              <w:left w:w="100" w:type="dxa"/>
              <w:bottom w:w="100" w:type="dxa"/>
              <w:right w:w="100" w:type="dxa"/>
            </w:tcMar>
            <w:vAlign w:val="bottom"/>
          </w:tcPr>
          <w:p w14:paraId="43015CA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0.671 (0.456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0.988)</w:t>
            </w:r>
          </w:p>
        </w:tc>
        <w:tc>
          <w:tcPr>
            <w:tcW w:w="1134" w:type="dxa"/>
            <w:shd w:val="clear" w:color="auto" w:fill="auto"/>
            <w:tcMar>
              <w:top w:w="100" w:type="dxa"/>
              <w:left w:w="100" w:type="dxa"/>
              <w:bottom w:w="100" w:type="dxa"/>
              <w:right w:w="100" w:type="dxa"/>
            </w:tcMar>
            <w:vAlign w:val="bottom"/>
          </w:tcPr>
          <w:p w14:paraId="264D35F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0.043</w:t>
            </w:r>
          </w:p>
        </w:tc>
      </w:tr>
      <w:tr w:rsidR="00932A95" w:rsidRPr="00932A95" w14:paraId="463C35D4" w14:textId="77777777" w:rsidTr="00F239AF">
        <w:trPr>
          <w:trHeight w:val="25"/>
        </w:trPr>
        <w:tc>
          <w:tcPr>
            <w:tcW w:w="3327" w:type="dxa"/>
            <w:shd w:val="clear" w:color="auto" w:fill="auto"/>
            <w:tcMar>
              <w:top w:w="100" w:type="dxa"/>
              <w:left w:w="100" w:type="dxa"/>
              <w:bottom w:w="100" w:type="dxa"/>
              <w:right w:w="100" w:type="dxa"/>
            </w:tcMar>
            <w:vAlign w:val="bottom"/>
          </w:tcPr>
          <w:p w14:paraId="1C477C41" w14:textId="77777777" w:rsidR="0011433B" w:rsidRPr="00932A95" w:rsidRDefault="002F52BB" w:rsidP="00374FC0">
            <w:pPr>
              <w:spacing w:line="360" w:lineRule="auto"/>
              <w:ind w:hanging="20"/>
              <w:jc w:val="both"/>
              <w:rPr>
                <w:rFonts w:ascii="Book Antiqua" w:hAnsi="Book Antiqua" w:cs="Book Antiqua"/>
                <w:color w:val="auto"/>
                <w:sz w:val="24"/>
                <w:szCs w:val="24"/>
              </w:rPr>
            </w:pPr>
            <w:r w:rsidRPr="00932A95">
              <w:rPr>
                <w:rFonts w:ascii="Book Antiqua" w:hAnsi="Book Antiqua" w:cs="Book Antiqua"/>
                <w:color w:val="auto"/>
                <w:sz w:val="24"/>
                <w:szCs w:val="24"/>
              </w:rPr>
              <w:t>Hospital bed size</w:t>
            </w:r>
          </w:p>
        </w:tc>
        <w:tc>
          <w:tcPr>
            <w:tcW w:w="1205" w:type="dxa"/>
            <w:shd w:val="clear" w:color="auto" w:fill="auto"/>
            <w:tcMar>
              <w:top w:w="100" w:type="dxa"/>
              <w:left w:w="100" w:type="dxa"/>
              <w:bottom w:w="100" w:type="dxa"/>
              <w:right w:w="100" w:type="dxa"/>
            </w:tcMar>
            <w:vAlign w:val="bottom"/>
          </w:tcPr>
          <w:p w14:paraId="7D768208"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4667647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07870BB8"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62D9526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0.001</w:t>
            </w:r>
          </w:p>
        </w:tc>
      </w:tr>
      <w:tr w:rsidR="00932A95" w:rsidRPr="00932A95" w14:paraId="1CDE60AE" w14:textId="77777777" w:rsidTr="00F239AF">
        <w:trPr>
          <w:trHeight w:val="25"/>
        </w:trPr>
        <w:tc>
          <w:tcPr>
            <w:tcW w:w="3327" w:type="dxa"/>
            <w:shd w:val="clear" w:color="auto" w:fill="auto"/>
            <w:tcMar>
              <w:top w:w="100" w:type="dxa"/>
              <w:left w:w="100" w:type="dxa"/>
              <w:bottom w:w="100" w:type="dxa"/>
              <w:right w:w="100" w:type="dxa"/>
            </w:tcMar>
            <w:vAlign w:val="bottom"/>
          </w:tcPr>
          <w:p w14:paraId="0EE9E720"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Small</w:t>
            </w:r>
          </w:p>
        </w:tc>
        <w:tc>
          <w:tcPr>
            <w:tcW w:w="1205" w:type="dxa"/>
            <w:shd w:val="clear" w:color="auto" w:fill="auto"/>
            <w:tcMar>
              <w:top w:w="100" w:type="dxa"/>
              <w:left w:w="100" w:type="dxa"/>
              <w:bottom w:w="100" w:type="dxa"/>
              <w:right w:w="100" w:type="dxa"/>
            </w:tcMar>
            <w:vAlign w:val="bottom"/>
          </w:tcPr>
          <w:p w14:paraId="3E5479B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5.2%</w:t>
            </w:r>
          </w:p>
        </w:tc>
        <w:tc>
          <w:tcPr>
            <w:tcW w:w="2410" w:type="dxa"/>
            <w:shd w:val="clear" w:color="auto" w:fill="auto"/>
            <w:tcMar>
              <w:top w:w="100" w:type="dxa"/>
              <w:left w:w="100" w:type="dxa"/>
              <w:bottom w:w="100" w:type="dxa"/>
              <w:right w:w="100" w:type="dxa"/>
            </w:tcMar>
            <w:vAlign w:val="bottom"/>
          </w:tcPr>
          <w:p w14:paraId="49CD1E3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5D0D168B"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5A26C848"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7D21CEC6" w14:textId="77777777" w:rsidTr="00F239AF">
        <w:trPr>
          <w:trHeight w:val="25"/>
        </w:trPr>
        <w:tc>
          <w:tcPr>
            <w:tcW w:w="3327" w:type="dxa"/>
            <w:shd w:val="clear" w:color="auto" w:fill="auto"/>
            <w:tcMar>
              <w:top w:w="100" w:type="dxa"/>
              <w:left w:w="100" w:type="dxa"/>
              <w:bottom w:w="100" w:type="dxa"/>
              <w:right w:w="100" w:type="dxa"/>
            </w:tcMar>
            <w:vAlign w:val="bottom"/>
          </w:tcPr>
          <w:p w14:paraId="1A2FA39E"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Medium</w:t>
            </w:r>
          </w:p>
        </w:tc>
        <w:tc>
          <w:tcPr>
            <w:tcW w:w="1205" w:type="dxa"/>
            <w:shd w:val="clear" w:color="auto" w:fill="auto"/>
            <w:tcMar>
              <w:top w:w="100" w:type="dxa"/>
              <w:left w:w="100" w:type="dxa"/>
              <w:bottom w:w="100" w:type="dxa"/>
              <w:right w:w="100" w:type="dxa"/>
            </w:tcMar>
            <w:vAlign w:val="bottom"/>
          </w:tcPr>
          <w:p w14:paraId="30A4A4EA" w14:textId="77777777" w:rsidR="0011433B" w:rsidRPr="00932A95" w:rsidRDefault="002F52BB" w:rsidP="00374FC0">
            <w:pPr>
              <w:spacing w:line="360" w:lineRule="auto"/>
              <w:ind w:left="-20"/>
              <w:jc w:val="both"/>
              <w:rPr>
                <w:rFonts w:ascii="Book Antiqua" w:hAnsi="Book Antiqua" w:cs="Book Antiqua"/>
                <w:color w:val="auto"/>
                <w:sz w:val="24"/>
                <w:szCs w:val="24"/>
              </w:rPr>
            </w:pPr>
            <w:r w:rsidRPr="00932A95">
              <w:rPr>
                <w:rFonts w:ascii="Book Antiqua" w:hAnsi="Book Antiqua" w:cs="Book Antiqua"/>
                <w:color w:val="auto"/>
                <w:sz w:val="24"/>
                <w:szCs w:val="24"/>
              </w:rPr>
              <w:t>5.8%</w:t>
            </w:r>
          </w:p>
        </w:tc>
        <w:tc>
          <w:tcPr>
            <w:tcW w:w="2410" w:type="dxa"/>
            <w:shd w:val="clear" w:color="auto" w:fill="auto"/>
            <w:tcMar>
              <w:top w:w="100" w:type="dxa"/>
              <w:left w:w="100" w:type="dxa"/>
              <w:bottom w:w="100" w:type="dxa"/>
              <w:right w:w="100" w:type="dxa"/>
            </w:tcMar>
            <w:vAlign w:val="bottom"/>
          </w:tcPr>
          <w:p w14:paraId="3757678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1.115 (0.836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1.486)</w:t>
            </w:r>
          </w:p>
        </w:tc>
        <w:tc>
          <w:tcPr>
            <w:tcW w:w="2126" w:type="dxa"/>
            <w:shd w:val="clear" w:color="auto" w:fill="auto"/>
            <w:tcMar>
              <w:top w:w="100" w:type="dxa"/>
              <w:left w:w="100" w:type="dxa"/>
              <w:bottom w:w="100" w:type="dxa"/>
              <w:right w:w="100" w:type="dxa"/>
            </w:tcMar>
            <w:vAlign w:val="bottom"/>
          </w:tcPr>
          <w:p w14:paraId="2F2C24B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1.094 (0.814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1.470)</w:t>
            </w:r>
          </w:p>
        </w:tc>
        <w:tc>
          <w:tcPr>
            <w:tcW w:w="1134" w:type="dxa"/>
            <w:shd w:val="clear" w:color="auto" w:fill="auto"/>
            <w:tcMar>
              <w:top w:w="100" w:type="dxa"/>
              <w:left w:w="100" w:type="dxa"/>
              <w:bottom w:w="100" w:type="dxa"/>
              <w:right w:w="100" w:type="dxa"/>
            </w:tcMar>
            <w:vAlign w:val="bottom"/>
          </w:tcPr>
          <w:p w14:paraId="4B89B64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0.551</w:t>
            </w:r>
          </w:p>
        </w:tc>
      </w:tr>
      <w:tr w:rsidR="00932A95" w:rsidRPr="00932A95" w14:paraId="7E3894A6" w14:textId="77777777" w:rsidTr="00F239AF">
        <w:trPr>
          <w:trHeight w:val="25"/>
        </w:trPr>
        <w:tc>
          <w:tcPr>
            <w:tcW w:w="3327" w:type="dxa"/>
            <w:shd w:val="clear" w:color="auto" w:fill="auto"/>
            <w:tcMar>
              <w:top w:w="100" w:type="dxa"/>
              <w:left w:w="100" w:type="dxa"/>
              <w:bottom w:w="100" w:type="dxa"/>
              <w:right w:w="100" w:type="dxa"/>
            </w:tcMar>
            <w:vAlign w:val="bottom"/>
          </w:tcPr>
          <w:p w14:paraId="1506891A" w14:textId="77777777" w:rsidR="0011433B" w:rsidRPr="00932A95" w:rsidRDefault="002F52BB" w:rsidP="00374FC0">
            <w:pPr>
              <w:spacing w:line="360" w:lineRule="auto"/>
              <w:ind w:firstLine="520"/>
              <w:jc w:val="both"/>
              <w:rPr>
                <w:rFonts w:ascii="Book Antiqua" w:hAnsi="Book Antiqua" w:cs="Book Antiqua"/>
                <w:color w:val="auto"/>
                <w:sz w:val="24"/>
                <w:szCs w:val="24"/>
              </w:rPr>
            </w:pPr>
            <w:r w:rsidRPr="00932A95">
              <w:rPr>
                <w:rFonts w:ascii="Book Antiqua" w:hAnsi="Book Antiqua" w:cs="Book Antiqua"/>
                <w:color w:val="auto"/>
                <w:sz w:val="24"/>
                <w:szCs w:val="24"/>
              </w:rPr>
              <w:t>Large</w:t>
            </w:r>
          </w:p>
        </w:tc>
        <w:tc>
          <w:tcPr>
            <w:tcW w:w="1205" w:type="dxa"/>
            <w:shd w:val="clear" w:color="auto" w:fill="auto"/>
            <w:tcMar>
              <w:top w:w="100" w:type="dxa"/>
              <w:left w:w="100" w:type="dxa"/>
              <w:bottom w:w="100" w:type="dxa"/>
              <w:right w:w="100" w:type="dxa"/>
            </w:tcMar>
            <w:vAlign w:val="bottom"/>
          </w:tcPr>
          <w:p w14:paraId="36C677F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7.4%</w:t>
            </w:r>
          </w:p>
        </w:tc>
        <w:tc>
          <w:tcPr>
            <w:tcW w:w="2410" w:type="dxa"/>
            <w:shd w:val="clear" w:color="auto" w:fill="auto"/>
            <w:tcMar>
              <w:top w:w="100" w:type="dxa"/>
              <w:left w:w="100" w:type="dxa"/>
              <w:bottom w:w="100" w:type="dxa"/>
              <w:right w:w="100" w:type="dxa"/>
            </w:tcMar>
            <w:vAlign w:val="bottom"/>
          </w:tcPr>
          <w:p w14:paraId="76F64B6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1.458 (1.123</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1.892)</w:t>
            </w:r>
          </w:p>
        </w:tc>
        <w:tc>
          <w:tcPr>
            <w:tcW w:w="2126" w:type="dxa"/>
            <w:shd w:val="clear" w:color="auto" w:fill="auto"/>
            <w:tcMar>
              <w:top w:w="100" w:type="dxa"/>
              <w:left w:w="100" w:type="dxa"/>
              <w:bottom w:w="100" w:type="dxa"/>
              <w:right w:w="100" w:type="dxa"/>
            </w:tcMar>
            <w:vAlign w:val="bottom"/>
          </w:tcPr>
          <w:p w14:paraId="61B7791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1.272 (0.970</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1.668)</w:t>
            </w:r>
          </w:p>
        </w:tc>
        <w:tc>
          <w:tcPr>
            <w:tcW w:w="1134" w:type="dxa"/>
            <w:shd w:val="clear" w:color="auto" w:fill="auto"/>
            <w:tcMar>
              <w:top w:w="100" w:type="dxa"/>
              <w:left w:w="100" w:type="dxa"/>
              <w:bottom w:w="100" w:type="dxa"/>
              <w:right w:w="100" w:type="dxa"/>
            </w:tcMar>
            <w:vAlign w:val="bottom"/>
          </w:tcPr>
          <w:p w14:paraId="56AE77D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0.082</w:t>
            </w:r>
          </w:p>
        </w:tc>
      </w:tr>
      <w:tr w:rsidR="00932A95" w:rsidRPr="00932A95" w14:paraId="32C45710" w14:textId="77777777" w:rsidTr="00F239AF">
        <w:trPr>
          <w:trHeight w:val="25"/>
        </w:trPr>
        <w:tc>
          <w:tcPr>
            <w:tcW w:w="3327" w:type="dxa"/>
            <w:shd w:val="clear" w:color="auto" w:fill="auto"/>
            <w:tcMar>
              <w:top w:w="100" w:type="dxa"/>
              <w:left w:w="100" w:type="dxa"/>
              <w:bottom w:w="100" w:type="dxa"/>
              <w:right w:w="100" w:type="dxa"/>
            </w:tcMar>
            <w:vAlign w:val="bottom"/>
          </w:tcPr>
          <w:p w14:paraId="5BAB95D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Hospital region</w:t>
            </w:r>
          </w:p>
        </w:tc>
        <w:tc>
          <w:tcPr>
            <w:tcW w:w="1205" w:type="dxa"/>
            <w:shd w:val="clear" w:color="auto" w:fill="auto"/>
            <w:tcMar>
              <w:top w:w="100" w:type="dxa"/>
              <w:left w:w="100" w:type="dxa"/>
              <w:bottom w:w="100" w:type="dxa"/>
              <w:right w:w="100" w:type="dxa"/>
            </w:tcMar>
            <w:vAlign w:val="bottom"/>
          </w:tcPr>
          <w:p w14:paraId="609F7A52"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61247E3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500C0449"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780D56B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0.143</w:t>
            </w:r>
          </w:p>
        </w:tc>
      </w:tr>
      <w:tr w:rsidR="00932A95" w:rsidRPr="00932A95" w14:paraId="34D7E3C2" w14:textId="77777777" w:rsidTr="00F239AF">
        <w:trPr>
          <w:trHeight w:val="25"/>
        </w:trPr>
        <w:tc>
          <w:tcPr>
            <w:tcW w:w="3327" w:type="dxa"/>
            <w:shd w:val="clear" w:color="auto" w:fill="auto"/>
            <w:tcMar>
              <w:top w:w="100" w:type="dxa"/>
              <w:left w:w="100" w:type="dxa"/>
              <w:bottom w:w="100" w:type="dxa"/>
              <w:right w:w="100" w:type="dxa"/>
            </w:tcMar>
            <w:vAlign w:val="bottom"/>
          </w:tcPr>
          <w:p w14:paraId="314CDDA6"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Northeast</w:t>
            </w:r>
          </w:p>
        </w:tc>
        <w:tc>
          <w:tcPr>
            <w:tcW w:w="1205" w:type="dxa"/>
            <w:shd w:val="clear" w:color="auto" w:fill="auto"/>
            <w:tcMar>
              <w:top w:w="100" w:type="dxa"/>
              <w:left w:w="100" w:type="dxa"/>
              <w:bottom w:w="100" w:type="dxa"/>
              <w:right w:w="100" w:type="dxa"/>
            </w:tcMar>
            <w:vAlign w:val="bottom"/>
          </w:tcPr>
          <w:p w14:paraId="6CE0052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7.4%</w:t>
            </w:r>
          </w:p>
        </w:tc>
        <w:tc>
          <w:tcPr>
            <w:tcW w:w="2410" w:type="dxa"/>
            <w:shd w:val="clear" w:color="auto" w:fill="auto"/>
            <w:tcMar>
              <w:top w:w="100" w:type="dxa"/>
              <w:left w:w="100" w:type="dxa"/>
              <w:bottom w:w="100" w:type="dxa"/>
              <w:right w:w="100" w:type="dxa"/>
            </w:tcMar>
            <w:vAlign w:val="bottom"/>
          </w:tcPr>
          <w:p w14:paraId="6933109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6711810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259088AC"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333FFCFA" w14:textId="77777777" w:rsidTr="00F239AF">
        <w:trPr>
          <w:trHeight w:val="25"/>
        </w:trPr>
        <w:tc>
          <w:tcPr>
            <w:tcW w:w="3327" w:type="dxa"/>
            <w:shd w:val="clear" w:color="auto" w:fill="auto"/>
            <w:tcMar>
              <w:top w:w="100" w:type="dxa"/>
              <w:left w:w="100" w:type="dxa"/>
              <w:bottom w:w="100" w:type="dxa"/>
              <w:right w:w="100" w:type="dxa"/>
            </w:tcMar>
            <w:vAlign w:val="bottom"/>
          </w:tcPr>
          <w:p w14:paraId="594968EF"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Midwest</w:t>
            </w:r>
          </w:p>
        </w:tc>
        <w:tc>
          <w:tcPr>
            <w:tcW w:w="1205" w:type="dxa"/>
            <w:shd w:val="clear" w:color="auto" w:fill="auto"/>
            <w:tcMar>
              <w:top w:w="100" w:type="dxa"/>
              <w:left w:w="100" w:type="dxa"/>
              <w:bottom w:w="100" w:type="dxa"/>
              <w:right w:w="100" w:type="dxa"/>
            </w:tcMar>
            <w:vAlign w:val="bottom"/>
          </w:tcPr>
          <w:p w14:paraId="704B826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7.1%</w:t>
            </w:r>
          </w:p>
        </w:tc>
        <w:tc>
          <w:tcPr>
            <w:tcW w:w="2410" w:type="dxa"/>
            <w:shd w:val="clear" w:color="auto" w:fill="auto"/>
            <w:tcMar>
              <w:top w:w="100" w:type="dxa"/>
              <w:left w:w="100" w:type="dxa"/>
              <w:bottom w:w="100" w:type="dxa"/>
              <w:right w:w="100" w:type="dxa"/>
            </w:tcMar>
            <w:vAlign w:val="bottom"/>
          </w:tcPr>
          <w:p w14:paraId="1BD65A4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0.961 (0.760</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1.216)</w:t>
            </w:r>
          </w:p>
        </w:tc>
        <w:tc>
          <w:tcPr>
            <w:tcW w:w="2126" w:type="dxa"/>
            <w:shd w:val="clear" w:color="auto" w:fill="auto"/>
            <w:tcMar>
              <w:top w:w="100" w:type="dxa"/>
              <w:left w:w="100" w:type="dxa"/>
              <w:bottom w:w="100" w:type="dxa"/>
              <w:right w:w="100" w:type="dxa"/>
            </w:tcMar>
            <w:vAlign w:val="bottom"/>
          </w:tcPr>
          <w:p w14:paraId="0951F36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0.960 (0.744</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1.238)</w:t>
            </w:r>
          </w:p>
        </w:tc>
        <w:tc>
          <w:tcPr>
            <w:tcW w:w="1134" w:type="dxa"/>
            <w:shd w:val="clear" w:color="auto" w:fill="auto"/>
            <w:tcMar>
              <w:top w:w="100" w:type="dxa"/>
              <w:left w:w="100" w:type="dxa"/>
              <w:bottom w:w="100" w:type="dxa"/>
              <w:right w:w="100" w:type="dxa"/>
            </w:tcMar>
            <w:vAlign w:val="bottom"/>
          </w:tcPr>
          <w:p w14:paraId="27F3138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0.752</w:t>
            </w:r>
          </w:p>
        </w:tc>
      </w:tr>
      <w:tr w:rsidR="00932A95" w:rsidRPr="00932A95" w14:paraId="290B6782" w14:textId="77777777" w:rsidTr="00F239AF">
        <w:trPr>
          <w:trHeight w:val="25"/>
        </w:trPr>
        <w:tc>
          <w:tcPr>
            <w:tcW w:w="3327" w:type="dxa"/>
            <w:shd w:val="clear" w:color="auto" w:fill="auto"/>
            <w:tcMar>
              <w:top w:w="100" w:type="dxa"/>
              <w:left w:w="100" w:type="dxa"/>
              <w:bottom w:w="100" w:type="dxa"/>
              <w:right w:w="100" w:type="dxa"/>
            </w:tcMar>
            <w:vAlign w:val="bottom"/>
          </w:tcPr>
          <w:p w14:paraId="38D8D6BE"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South</w:t>
            </w:r>
          </w:p>
        </w:tc>
        <w:tc>
          <w:tcPr>
            <w:tcW w:w="1205" w:type="dxa"/>
            <w:shd w:val="clear" w:color="auto" w:fill="auto"/>
            <w:tcMar>
              <w:top w:w="100" w:type="dxa"/>
              <w:left w:w="100" w:type="dxa"/>
              <w:bottom w:w="100" w:type="dxa"/>
              <w:right w:w="100" w:type="dxa"/>
            </w:tcMar>
            <w:vAlign w:val="bottom"/>
          </w:tcPr>
          <w:p w14:paraId="71B2FB4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6.1%</w:t>
            </w:r>
          </w:p>
        </w:tc>
        <w:tc>
          <w:tcPr>
            <w:tcW w:w="2410" w:type="dxa"/>
            <w:shd w:val="clear" w:color="auto" w:fill="auto"/>
            <w:tcMar>
              <w:top w:w="100" w:type="dxa"/>
              <w:left w:w="100" w:type="dxa"/>
              <w:bottom w:w="100" w:type="dxa"/>
              <w:right w:w="100" w:type="dxa"/>
            </w:tcMar>
            <w:vAlign w:val="bottom"/>
          </w:tcPr>
          <w:p w14:paraId="7A5EE53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0.814 (0.667</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0.994)</w:t>
            </w:r>
          </w:p>
        </w:tc>
        <w:tc>
          <w:tcPr>
            <w:tcW w:w="2126" w:type="dxa"/>
            <w:shd w:val="clear" w:color="auto" w:fill="auto"/>
            <w:tcMar>
              <w:top w:w="100" w:type="dxa"/>
              <w:left w:w="100" w:type="dxa"/>
              <w:bottom w:w="100" w:type="dxa"/>
              <w:right w:w="100" w:type="dxa"/>
            </w:tcMar>
            <w:vAlign w:val="bottom"/>
          </w:tcPr>
          <w:p w14:paraId="258BD30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0.914 (0.740</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1.129)</w:t>
            </w:r>
          </w:p>
        </w:tc>
        <w:tc>
          <w:tcPr>
            <w:tcW w:w="1134" w:type="dxa"/>
            <w:shd w:val="clear" w:color="auto" w:fill="auto"/>
            <w:tcMar>
              <w:top w:w="100" w:type="dxa"/>
              <w:left w:w="100" w:type="dxa"/>
              <w:bottom w:w="100" w:type="dxa"/>
              <w:right w:w="100" w:type="dxa"/>
            </w:tcMar>
            <w:vAlign w:val="bottom"/>
          </w:tcPr>
          <w:p w14:paraId="002BBD57"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0.403</w:t>
            </w:r>
          </w:p>
        </w:tc>
      </w:tr>
      <w:tr w:rsidR="00932A95" w:rsidRPr="00932A95" w14:paraId="50FB99D2" w14:textId="77777777" w:rsidTr="00F239AF">
        <w:trPr>
          <w:trHeight w:val="25"/>
        </w:trPr>
        <w:tc>
          <w:tcPr>
            <w:tcW w:w="3327" w:type="dxa"/>
            <w:shd w:val="clear" w:color="auto" w:fill="auto"/>
            <w:tcMar>
              <w:top w:w="100" w:type="dxa"/>
              <w:left w:w="100" w:type="dxa"/>
              <w:bottom w:w="100" w:type="dxa"/>
              <w:right w:w="100" w:type="dxa"/>
            </w:tcMar>
            <w:vAlign w:val="bottom"/>
          </w:tcPr>
          <w:p w14:paraId="358EA2D9"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West</w:t>
            </w:r>
          </w:p>
        </w:tc>
        <w:tc>
          <w:tcPr>
            <w:tcW w:w="1205" w:type="dxa"/>
            <w:shd w:val="clear" w:color="auto" w:fill="auto"/>
            <w:tcMar>
              <w:top w:w="100" w:type="dxa"/>
              <w:left w:w="100" w:type="dxa"/>
              <w:bottom w:w="100" w:type="dxa"/>
              <w:right w:w="100" w:type="dxa"/>
            </w:tcMar>
            <w:vAlign w:val="bottom"/>
          </w:tcPr>
          <w:p w14:paraId="3C0A1EA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7.0%</w:t>
            </w:r>
          </w:p>
        </w:tc>
        <w:tc>
          <w:tcPr>
            <w:tcW w:w="2410" w:type="dxa"/>
            <w:shd w:val="clear" w:color="auto" w:fill="auto"/>
            <w:tcMar>
              <w:top w:w="100" w:type="dxa"/>
              <w:left w:w="100" w:type="dxa"/>
              <w:bottom w:w="100" w:type="dxa"/>
              <w:right w:w="100" w:type="dxa"/>
            </w:tcMar>
            <w:vAlign w:val="bottom"/>
          </w:tcPr>
          <w:p w14:paraId="6B477D0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0.946 (0.766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1.169)</w:t>
            </w:r>
          </w:p>
        </w:tc>
        <w:tc>
          <w:tcPr>
            <w:tcW w:w="2126" w:type="dxa"/>
            <w:shd w:val="clear" w:color="auto" w:fill="auto"/>
            <w:tcMar>
              <w:top w:w="100" w:type="dxa"/>
              <w:left w:w="100" w:type="dxa"/>
              <w:bottom w:w="100" w:type="dxa"/>
              <w:right w:w="100" w:type="dxa"/>
            </w:tcMar>
            <w:vAlign w:val="bottom"/>
          </w:tcPr>
          <w:p w14:paraId="30947FD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1.110 (0.882</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1.397)</w:t>
            </w:r>
          </w:p>
        </w:tc>
        <w:tc>
          <w:tcPr>
            <w:tcW w:w="1134" w:type="dxa"/>
            <w:shd w:val="clear" w:color="auto" w:fill="auto"/>
            <w:tcMar>
              <w:top w:w="100" w:type="dxa"/>
              <w:left w:w="100" w:type="dxa"/>
              <w:bottom w:w="100" w:type="dxa"/>
              <w:right w:w="100" w:type="dxa"/>
            </w:tcMar>
            <w:vAlign w:val="bottom"/>
          </w:tcPr>
          <w:p w14:paraId="4BFA00C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0.372</w:t>
            </w:r>
          </w:p>
        </w:tc>
      </w:tr>
      <w:tr w:rsidR="00932A95" w:rsidRPr="00932A95" w14:paraId="3E458219" w14:textId="77777777" w:rsidTr="00F239AF">
        <w:trPr>
          <w:trHeight w:val="422"/>
        </w:trPr>
        <w:tc>
          <w:tcPr>
            <w:tcW w:w="3327" w:type="dxa"/>
            <w:shd w:val="clear" w:color="auto" w:fill="auto"/>
            <w:tcMar>
              <w:top w:w="100" w:type="dxa"/>
              <w:left w:w="100" w:type="dxa"/>
              <w:bottom w:w="100" w:type="dxa"/>
              <w:right w:w="100" w:type="dxa"/>
            </w:tcMar>
            <w:vAlign w:val="bottom"/>
          </w:tcPr>
          <w:p w14:paraId="5F48DF7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Transfer in from acute care hospital</w:t>
            </w:r>
          </w:p>
        </w:tc>
        <w:tc>
          <w:tcPr>
            <w:tcW w:w="1205" w:type="dxa"/>
            <w:shd w:val="clear" w:color="auto" w:fill="auto"/>
            <w:tcMar>
              <w:top w:w="100" w:type="dxa"/>
              <w:left w:w="100" w:type="dxa"/>
              <w:bottom w:w="100" w:type="dxa"/>
              <w:right w:w="100" w:type="dxa"/>
            </w:tcMar>
            <w:vAlign w:val="bottom"/>
          </w:tcPr>
          <w:p w14:paraId="09B27BDB"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1F4631F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62F6929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2861780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7A63CEC2" w14:textId="77777777" w:rsidTr="00F239AF">
        <w:trPr>
          <w:trHeight w:val="25"/>
        </w:trPr>
        <w:tc>
          <w:tcPr>
            <w:tcW w:w="3327" w:type="dxa"/>
            <w:shd w:val="clear" w:color="auto" w:fill="auto"/>
            <w:tcMar>
              <w:top w:w="100" w:type="dxa"/>
              <w:left w:w="100" w:type="dxa"/>
              <w:bottom w:w="100" w:type="dxa"/>
              <w:right w:w="100" w:type="dxa"/>
            </w:tcMar>
            <w:vAlign w:val="bottom"/>
          </w:tcPr>
          <w:p w14:paraId="0B9CDAB8"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No</w:t>
            </w:r>
          </w:p>
        </w:tc>
        <w:tc>
          <w:tcPr>
            <w:tcW w:w="1205" w:type="dxa"/>
            <w:shd w:val="clear" w:color="auto" w:fill="auto"/>
            <w:tcMar>
              <w:top w:w="100" w:type="dxa"/>
              <w:left w:w="100" w:type="dxa"/>
              <w:bottom w:w="100" w:type="dxa"/>
              <w:right w:w="100" w:type="dxa"/>
            </w:tcMar>
            <w:vAlign w:val="bottom"/>
          </w:tcPr>
          <w:p w14:paraId="1B7F6BF5"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6.2%</w:t>
            </w:r>
          </w:p>
        </w:tc>
        <w:tc>
          <w:tcPr>
            <w:tcW w:w="2410" w:type="dxa"/>
            <w:shd w:val="clear" w:color="auto" w:fill="auto"/>
            <w:tcMar>
              <w:top w:w="100" w:type="dxa"/>
              <w:left w:w="100" w:type="dxa"/>
              <w:bottom w:w="100" w:type="dxa"/>
              <w:right w:w="100" w:type="dxa"/>
            </w:tcMar>
            <w:vAlign w:val="bottom"/>
          </w:tcPr>
          <w:p w14:paraId="025D68C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548A4F4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5910F3BF" w14:textId="77777777" w:rsidR="0011433B" w:rsidRPr="00932A95" w:rsidRDefault="0011433B" w:rsidP="00374FC0">
            <w:pPr>
              <w:spacing w:line="360" w:lineRule="auto"/>
              <w:jc w:val="both"/>
              <w:rPr>
                <w:rFonts w:ascii="Book Antiqua" w:hAnsi="Book Antiqua" w:cs="Book Antiqua"/>
                <w:color w:val="auto"/>
                <w:sz w:val="24"/>
                <w:szCs w:val="24"/>
              </w:rPr>
            </w:pPr>
          </w:p>
        </w:tc>
      </w:tr>
      <w:tr w:rsidR="00932A95" w:rsidRPr="00932A95" w14:paraId="079B8BE1" w14:textId="77777777" w:rsidTr="00F239AF">
        <w:trPr>
          <w:trHeight w:val="25"/>
        </w:trPr>
        <w:tc>
          <w:tcPr>
            <w:tcW w:w="3327" w:type="dxa"/>
            <w:shd w:val="clear" w:color="auto" w:fill="auto"/>
            <w:tcMar>
              <w:top w:w="100" w:type="dxa"/>
              <w:left w:w="100" w:type="dxa"/>
              <w:bottom w:w="100" w:type="dxa"/>
              <w:right w:w="100" w:type="dxa"/>
            </w:tcMar>
            <w:vAlign w:val="bottom"/>
          </w:tcPr>
          <w:p w14:paraId="61FFE9A7"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Yes</w:t>
            </w:r>
          </w:p>
        </w:tc>
        <w:tc>
          <w:tcPr>
            <w:tcW w:w="1205" w:type="dxa"/>
            <w:shd w:val="clear" w:color="auto" w:fill="auto"/>
            <w:tcMar>
              <w:top w:w="100" w:type="dxa"/>
              <w:left w:w="100" w:type="dxa"/>
              <w:bottom w:w="100" w:type="dxa"/>
              <w:right w:w="100" w:type="dxa"/>
            </w:tcMar>
            <w:vAlign w:val="bottom"/>
          </w:tcPr>
          <w:p w14:paraId="31B38B3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11.9%</w:t>
            </w:r>
          </w:p>
        </w:tc>
        <w:tc>
          <w:tcPr>
            <w:tcW w:w="2410" w:type="dxa"/>
            <w:shd w:val="clear" w:color="auto" w:fill="auto"/>
            <w:tcMar>
              <w:top w:w="100" w:type="dxa"/>
              <w:left w:w="100" w:type="dxa"/>
              <w:bottom w:w="100" w:type="dxa"/>
              <w:right w:w="100" w:type="dxa"/>
            </w:tcMar>
            <w:vAlign w:val="bottom"/>
          </w:tcPr>
          <w:p w14:paraId="4FF0141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2.041 (1.643</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2.536)</w:t>
            </w:r>
          </w:p>
        </w:tc>
        <w:tc>
          <w:tcPr>
            <w:tcW w:w="2126" w:type="dxa"/>
            <w:shd w:val="clear" w:color="auto" w:fill="auto"/>
            <w:tcMar>
              <w:top w:w="100" w:type="dxa"/>
              <w:left w:w="100" w:type="dxa"/>
              <w:bottom w:w="100" w:type="dxa"/>
              <w:right w:w="100" w:type="dxa"/>
            </w:tcMar>
            <w:vAlign w:val="bottom"/>
          </w:tcPr>
          <w:p w14:paraId="483EC9A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1.490 (1.172</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1.894)</w:t>
            </w:r>
          </w:p>
        </w:tc>
        <w:tc>
          <w:tcPr>
            <w:tcW w:w="1134" w:type="dxa"/>
            <w:shd w:val="clear" w:color="auto" w:fill="auto"/>
            <w:tcMar>
              <w:top w:w="100" w:type="dxa"/>
              <w:left w:w="100" w:type="dxa"/>
              <w:bottom w:w="100" w:type="dxa"/>
              <w:right w:w="100" w:type="dxa"/>
            </w:tcMar>
            <w:vAlign w:val="bottom"/>
          </w:tcPr>
          <w:p w14:paraId="2BCA368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0.001</w:t>
            </w:r>
          </w:p>
        </w:tc>
      </w:tr>
      <w:tr w:rsidR="00932A95" w:rsidRPr="00932A95" w14:paraId="00BA2FD5" w14:textId="77777777" w:rsidTr="00F239AF">
        <w:trPr>
          <w:trHeight w:val="25"/>
        </w:trPr>
        <w:tc>
          <w:tcPr>
            <w:tcW w:w="3327" w:type="dxa"/>
            <w:shd w:val="clear" w:color="auto" w:fill="auto"/>
            <w:tcMar>
              <w:top w:w="100" w:type="dxa"/>
              <w:left w:w="100" w:type="dxa"/>
              <w:bottom w:w="100" w:type="dxa"/>
              <w:right w:w="100" w:type="dxa"/>
            </w:tcMar>
            <w:vAlign w:val="bottom"/>
          </w:tcPr>
          <w:p w14:paraId="7551E33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Hospital teaching status</w:t>
            </w:r>
          </w:p>
        </w:tc>
        <w:tc>
          <w:tcPr>
            <w:tcW w:w="1205" w:type="dxa"/>
            <w:shd w:val="clear" w:color="auto" w:fill="auto"/>
            <w:tcMar>
              <w:top w:w="100" w:type="dxa"/>
              <w:left w:w="100" w:type="dxa"/>
              <w:bottom w:w="100" w:type="dxa"/>
              <w:right w:w="100" w:type="dxa"/>
            </w:tcMar>
            <w:vAlign w:val="bottom"/>
          </w:tcPr>
          <w:p w14:paraId="6187BDAE"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410" w:type="dxa"/>
            <w:shd w:val="clear" w:color="auto" w:fill="auto"/>
            <w:tcMar>
              <w:top w:w="100" w:type="dxa"/>
              <w:left w:w="100" w:type="dxa"/>
              <w:bottom w:w="100" w:type="dxa"/>
              <w:right w:w="100" w:type="dxa"/>
            </w:tcMar>
            <w:vAlign w:val="bottom"/>
          </w:tcPr>
          <w:p w14:paraId="2F84954D"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126" w:type="dxa"/>
            <w:shd w:val="clear" w:color="auto" w:fill="auto"/>
            <w:tcMar>
              <w:top w:w="100" w:type="dxa"/>
              <w:left w:w="100" w:type="dxa"/>
              <w:bottom w:w="100" w:type="dxa"/>
              <w:right w:w="100" w:type="dxa"/>
            </w:tcMar>
            <w:vAlign w:val="bottom"/>
          </w:tcPr>
          <w:p w14:paraId="0C6083B1"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134" w:type="dxa"/>
            <w:shd w:val="clear" w:color="auto" w:fill="auto"/>
            <w:tcMar>
              <w:top w:w="100" w:type="dxa"/>
              <w:left w:w="100" w:type="dxa"/>
              <w:bottom w:w="100" w:type="dxa"/>
              <w:right w:w="100" w:type="dxa"/>
            </w:tcMar>
            <w:vAlign w:val="bottom"/>
          </w:tcPr>
          <w:p w14:paraId="6DA8D32C"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932A95" w:rsidRPr="00932A95" w14:paraId="224B64B6" w14:textId="77777777" w:rsidTr="00F239AF">
        <w:trPr>
          <w:trHeight w:val="25"/>
        </w:trPr>
        <w:tc>
          <w:tcPr>
            <w:tcW w:w="3327" w:type="dxa"/>
            <w:shd w:val="clear" w:color="auto" w:fill="auto"/>
            <w:tcMar>
              <w:top w:w="100" w:type="dxa"/>
              <w:left w:w="100" w:type="dxa"/>
              <w:bottom w:w="100" w:type="dxa"/>
              <w:right w:w="100" w:type="dxa"/>
            </w:tcMar>
            <w:vAlign w:val="bottom"/>
          </w:tcPr>
          <w:p w14:paraId="01C9A0C6"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Teaching</w:t>
            </w:r>
          </w:p>
        </w:tc>
        <w:tc>
          <w:tcPr>
            <w:tcW w:w="1205" w:type="dxa"/>
            <w:shd w:val="clear" w:color="auto" w:fill="auto"/>
            <w:tcMar>
              <w:top w:w="100" w:type="dxa"/>
              <w:left w:w="100" w:type="dxa"/>
              <w:bottom w:w="100" w:type="dxa"/>
              <w:right w:w="100" w:type="dxa"/>
            </w:tcMar>
            <w:vAlign w:val="bottom"/>
          </w:tcPr>
          <w:p w14:paraId="2F298DB8"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8.0%</w:t>
            </w:r>
          </w:p>
        </w:tc>
        <w:tc>
          <w:tcPr>
            <w:tcW w:w="2410" w:type="dxa"/>
            <w:shd w:val="clear" w:color="auto" w:fill="auto"/>
            <w:tcMar>
              <w:top w:w="100" w:type="dxa"/>
              <w:left w:w="100" w:type="dxa"/>
              <w:bottom w:w="100" w:type="dxa"/>
              <w:right w:w="100" w:type="dxa"/>
            </w:tcMar>
            <w:vAlign w:val="bottom"/>
          </w:tcPr>
          <w:p w14:paraId="682E9D4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1.557 (1.345</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1.803)</w:t>
            </w:r>
          </w:p>
        </w:tc>
        <w:tc>
          <w:tcPr>
            <w:tcW w:w="2126" w:type="dxa"/>
            <w:shd w:val="clear" w:color="auto" w:fill="auto"/>
            <w:tcMar>
              <w:top w:w="100" w:type="dxa"/>
              <w:left w:w="100" w:type="dxa"/>
              <w:bottom w:w="100" w:type="dxa"/>
              <w:right w:w="100" w:type="dxa"/>
            </w:tcMar>
            <w:vAlign w:val="bottom"/>
          </w:tcPr>
          <w:p w14:paraId="5F5383C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1.249 (1.066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1.463)</w:t>
            </w:r>
          </w:p>
        </w:tc>
        <w:tc>
          <w:tcPr>
            <w:tcW w:w="1134" w:type="dxa"/>
            <w:shd w:val="clear" w:color="auto" w:fill="auto"/>
            <w:tcMar>
              <w:top w:w="100" w:type="dxa"/>
              <w:left w:w="100" w:type="dxa"/>
              <w:bottom w:w="100" w:type="dxa"/>
              <w:right w:w="100" w:type="dxa"/>
            </w:tcMar>
            <w:vAlign w:val="bottom"/>
          </w:tcPr>
          <w:p w14:paraId="21F3D55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0.006</w:t>
            </w:r>
          </w:p>
        </w:tc>
      </w:tr>
      <w:tr w:rsidR="00932A95" w:rsidRPr="00932A95" w14:paraId="44130A2B" w14:textId="77777777" w:rsidTr="00F239AF">
        <w:trPr>
          <w:trHeight w:val="25"/>
        </w:trPr>
        <w:tc>
          <w:tcPr>
            <w:tcW w:w="3327" w:type="dxa"/>
            <w:shd w:val="clear" w:color="auto" w:fill="auto"/>
            <w:tcMar>
              <w:top w:w="100" w:type="dxa"/>
              <w:left w:w="100" w:type="dxa"/>
              <w:bottom w:w="100" w:type="dxa"/>
              <w:right w:w="100" w:type="dxa"/>
            </w:tcMar>
            <w:vAlign w:val="bottom"/>
          </w:tcPr>
          <w:p w14:paraId="41635D41" w14:textId="77777777" w:rsidR="0011433B" w:rsidRPr="00932A95" w:rsidRDefault="002F52BB" w:rsidP="00374FC0">
            <w:pPr>
              <w:spacing w:line="360" w:lineRule="auto"/>
              <w:ind w:firstLine="620"/>
              <w:jc w:val="both"/>
              <w:rPr>
                <w:rFonts w:ascii="Book Antiqua" w:hAnsi="Book Antiqua" w:cs="Book Antiqua"/>
                <w:color w:val="auto"/>
                <w:sz w:val="24"/>
                <w:szCs w:val="24"/>
              </w:rPr>
            </w:pPr>
            <w:r w:rsidRPr="00932A95">
              <w:rPr>
                <w:rFonts w:ascii="Book Antiqua" w:hAnsi="Book Antiqua" w:cs="Book Antiqua"/>
                <w:color w:val="auto"/>
                <w:sz w:val="24"/>
                <w:szCs w:val="24"/>
              </w:rPr>
              <w:t>Non-teaching</w:t>
            </w:r>
          </w:p>
        </w:tc>
        <w:tc>
          <w:tcPr>
            <w:tcW w:w="1205" w:type="dxa"/>
            <w:shd w:val="clear" w:color="auto" w:fill="auto"/>
            <w:tcMar>
              <w:top w:w="100" w:type="dxa"/>
              <w:left w:w="100" w:type="dxa"/>
              <w:bottom w:w="100" w:type="dxa"/>
              <w:right w:w="100" w:type="dxa"/>
            </w:tcMar>
            <w:vAlign w:val="bottom"/>
          </w:tcPr>
          <w:p w14:paraId="1BFD56D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5.3%</w:t>
            </w:r>
          </w:p>
        </w:tc>
        <w:tc>
          <w:tcPr>
            <w:tcW w:w="2410" w:type="dxa"/>
            <w:shd w:val="clear" w:color="auto" w:fill="auto"/>
            <w:tcMar>
              <w:top w:w="100" w:type="dxa"/>
              <w:left w:w="100" w:type="dxa"/>
              <w:bottom w:w="100" w:type="dxa"/>
              <w:right w:w="100" w:type="dxa"/>
            </w:tcMar>
            <w:vAlign w:val="bottom"/>
          </w:tcPr>
          <w:p w14:paraId="60FA245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2126" w:type="dxa"/>
            <w:shd w:val="clear" w:color="auto" w:fill="auto"/>
            <w:tcMar>
              <w:top w:w="100" w:type="dxa"/>
              <w:left w:w="100" w:type="dxa"/>
              <w:bottom w:w="100" w:type="dxa"/>
              <w:right w:w="100" w:type="dxa"/>
            </w:tcMar>
            <w:vAlign w:val="bottom"/>
          </w:tcPr>
          <w:p w14:paraId="7751F9F2"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1.0</w:t>
            </w:r>
          </w:p>
        </w:tc>
        <w:tc>
          <w:tcPr>
            <w:tcW w:w="1134" w:type="dxa"/>
            <w:shd w:val="clear" w:color="auto" w:fill="auto"/>
            <w:tcMar>
              <w:top w:w="100" w:type="dxa"/>
              <w:left w:w="100" w:type="dxa"/>
              <w:bottom w:w="100" w:type="dxa"/>
              <w:right w:w="100" w:type="dxa"/>
            </w:tcMar>
            <w:vAlign w:val="bottom"/>
          </w:tcPr>
          <w:p w14:paraId="1EEEA3EA" w14:textId="77777777" w:rsidR="0011433B" w:rsidRPr="00932A95" w:rsidRDefault="0011433B" w:rsidP="00374FC0">
            <w:pPr>
              <w:spacing w:line="360" w:lineRule="auto"/>
              <w:jc w:val="both"/>
              <w:rPr>
                <w:rFonts w:ascii="Book Antiqua" w:hAnsi="Book Antiqua" w:cs="Book Antiqua"/>
                <w:color w:val="auto"/>
                <w:sz w:val="24"/>
                <w:szCs w:val="24"/>
              </w:rPr>
            </w:pPr>
          </w:p>
        </w:tc>
      </w:tr>
    </w:tbl>
    <w:p w14:paraId="2979FC5F" w14:textId="77777777" w:rsidR="0011433B" w:rsidRPr="00932A95" w:rsidRDefault="002F52BB" w:rsidP="007A6A12">
      <w:pPr>
        <w:spacing w:after="240" w:line="360" w:lineRule="auto"/>
        <w:jc w:val="both"/>
        <w:rPr>
          <w:rFonts w:ascii="Book Antiqua" w:hAnsi="Book Antiqua" w:cs="Book Antiqua"/>
          <w:color w:val="auto"/>
          <w:sz w:val="24"/>
          <w:szCs w:val="24"/>
        </w:rPr>
      </w:pPr>
      <w:proofErr w:type="spellStart"/>
      <w:r w:rsidRPr="00932A95">
        <w:rPr>
          <w:rFonts w:ascii="Book Antiqua" w:hAnsi="Book Antiqua" w:cs="Book Antiqua"/>
          <w:color w:val="auto"/>
          <w:sz w:val="24"/>
          <w:szCs w:val="24"/>
          <w:vertAlign w:val="superscript"/>
        </w:rPr>
        <w:lastRenderedPageBreak/>
        <w:t>a</w:t>
      </w:r>
      <w:r w:rsidRPr="00932A95">
        <w:rPr>
          <w:rFonts w:ascii="Book Antiqua" w:hAnsi="Book Antiqua" w:cs="Book Antiqua"/>
          <w:i/>
          <w:color w:val="auto"/>
          <w:sz w:val="24"/>
          <w:szCs w:val="24"/>
        </w:rPr>
        <w:t>P</w:t>
      </w:r>
      <w:proofErr w:type="spellEnd"/>
      <w:r w:rsidRPr="00932A95">
        <w:rPr>
          <w:rFonts w:ascii="Book Antiqua" w:hAnsi="Book Antiqua" w:cs="Book Antiqua"/>
          <w:i/>
          <w:color w:val="auto"/>
          <w:sz w:val="24"/>
          <w:szCs w:val="24"/>
          <w:lang w:val="en-US"/>
        </w:rPr>
        <w:t xml:space="preserve"> </w:t>
      </w:r>
      <w:r w:rsidRPr="00932A95">
        <w:rPr>
          <w:rFonts w:ascii="Book Antiqua" w:hAnsi="Book Antiqua" w:cs="Book Antiqua"/>
          <w:color w:val="auto"/>
          <w:sz w:val="24"/>
          <w:szCs w:val="24"/>
        </w:rPr>
        <w:t xml:space="preserve">&lt; 0.001 for all comparisons of crude mortality between groups in bivariate </w:t>
      </w:r>
      <w:r w:rsidRPr="00975859">
        <w:rPr>
          <w:rFonts w:ascii="Book Antiqua" w:hAnsi="Book Antiqua" w:cs="Book Antiqua"/>
          <w:i/>
          <w:color w:val="auto"/>
          <w:sz w:val="24"/>
          <w:szCs w:val="24"/>
        </w:rPr>
        <w:t>χ</w:t>
      </w:r>
      <w:r w:rsidRPr="00975859">
        <w:rPr>
          <w:rFonts w:ascii="Book Antiqua" w:hAnsi="Book Antiqua" w:cs="Book Antiqua"/>
          <w:i/>
          <w:color w:val="auto"/>
          <w:sz w:val="24"/>
          <w:szCs w:val="24"/>
          <w:vertAlign w:val="superscript"/>
        </w:rPr>
        <w:t>2</w:t>
      </w:r>
      <w:r w:rsidRPr="00932A95">
        <w:rPr>
          <w:rFonts w:ascii="Book Antiqua" w:hAnsi="Book Antiqua" w:cs="Book Antiqua"/>
          <w:color w:val="auto"/>
          <w:sz w:val="24"/>
          <w:szCs w:val="24"/>
        </w:rPr>
        <w:t xml:space="preserve"> analyses</w:t>
      </w:r>
      <w:r w:rsidRPr="00932A95">
        <w:rPr>
          <w:rFonts w:ascii="Book Antiqua" w:hAnsi="Book Antiqua" w:cs="Book Antiqua"/>
          <w:color w:val="auto"/>
          <w:sz w:val="24"/>
          <w:szCs w:val="24"/>
          <w:lang w:val="en-US"/>
        </w:rPr>
        <w:t xml:space="preserve">. </w:t>
      </w:r>
      <w:r w:rsidR="009540CB" w:rsidRPr="00932A95">
        <w:rPr>
          <w:rFonts w:ascii="Book Antiqua" w:hAnsi="Book Antiqua" w:cs="Book Antiqua"/>
          <w:color w:val="auto"/>
          <w:sz w:val="24"/>
          <w:szCs w:val="24"/>
          <w:vertAlign w:val="superscript"/>
        </w:rPr>
        <w:t>1</w:t>
      </w:r>
      <w:r w:rsidRPr="00932A95">
        <w:rPr>
          <w:rFonts w:ascii="Book Antiqua" w:hAnsi="Book Antiqua" w:cs="Book Antiqua"/>
          <w:color w:val="auto"/>
          <w:sz w:val="24"/>
          <w:szCs w:val="24"/>
        </w:rPr>
        <w:t>Adjusted for age, sex, race, primary insurance, hospital bed size, region, transfer status, features of hepatic decompensation, and management</w:t>
      </w:r>
      <w:r w:rsidR="009540CB" w:rsidRPr="00932A95">
        <w:rPr>
          <w:rFonts w:ascii="Book Antiqua" w:hAnsi="Book Antiqua" w:cs="Book Antiqua"/>
          <w:color w:val="auto"/>
          <w:sz w:val="24"/>
          <w:szCs w:val="24"/>
        </w:rPr>
        <w:t>.</w:t>
      </w:r>
    </w:p>
    <w:p w14:paraId="47D39FCE"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1CA66CC4" w14:textId="77777777" w:rsidR="0011433B" w:rsidRPr="00932A95" w:rsidRDefault="002F52BB" w:rsidP="00374FC0">
      <w:pPr>
        <w:spacing w:line="360" w:lineRule="auto"/>
        <w:jc w:val="both"/>
        <w:rPr>
          <w:rFonts w:ascii="Book Antiqua" w:eastAsia="Times New Roman" w:hAnsi="Book Antiqua" w:cs="Book Antiqua"/>
          <w:color w:val="auto"/>
          <w:sz w:val="24"/>
          <w:szCs w:val="24"/>
        </w:rPr>
      </w:pPr>
      <w:r w:rsidRPr="00932A95">
        <w:rPr>
          <w:rFonts w:ascii="Book Antiqua" w:hAnsi="Book Antiqua" w:cs="Book Antiqua"/>
          <w:b/>
          <w:color w:val="auto"/>
          <w:sz w:val="24"/>
          <w:szCs w:val="24"/>
        </w:rPr>
        <w:lastRenderedPageBreak/>
        <w:t>Table 4</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Patient comorbidities and management with associated mortality</w:t>
      </w:r>
    </w:p>
    <w:tbl>
      <w:tblPr>
        <w:tblStyle w:val="Style14"/>
        <w:tblW w:w="9105" w:type="dxa"/>
        <w:tblInd w:w="100" w:type="dxa"/>
        <w:tblBorders>
          <w:top w:val="single" w:sz="4" w:space="0" w:color="auto"/>
          <w:bottom w:val="single" w:sz="4" w:space="0" w:color="auto"/>
        </w:tblBorders>
        <w:tblLayout w:type="fixed"/>
        <w:tblLook w:val="04A0" w:firstRow="1" w:lastRow="0" w:firstColumn="1" w:lastColumn="0" w:noHBand="0" w:noVBand="1"/>
      </w:tblPr>
      <w:tblGrid>
        <w:gridCol w:w="3075"/>
        <w:gridCol w:w="1815"/>
        <w:gridCol w:w="2250"/>
        <w:gridCol w:w="1965"/>
      </w:tblGrid>
      <w:tr w:rsidR="00167764" w:rsidRPr="00932A95" w14:paraId="5B677DC8" w14:textId="77777777" w:rsidTr="00167764">
        <w:trPr>
          <w:trHeight w:val="434"/>
        </w:trPr>
        <w:tc>
          <w:tcPr>
            <w:tcW w:w="307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7A76742"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181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2C311077" w14:textId="11A6FA56" w:rsidR="0011433B" w:rsidRPr="00932A95" w:rsidRDefault="00167764"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Mortality overall (</w:t>
            </w:r>
            <w:r w:rsidR="000F16F1" w:rsidRPr="000F16F1">
              <w:rPr>
                <w:rFonts w:ascii="Book Antiqua" w:hAnsi="Book Antiqua" w:cs="Book Antiqua"/>
                <w:b/>
                <w:i/>
                <w:color w:val="auto"/>
                <w:sz w:val="24"/>
                <w:szCs w:val="24"/>
              </w:rPr>
              <w:t>n</w:t>
            </w:r>
            <w:r w:rsidR="000F16F1">
              <w:rPr>
                <w:rFonts w:ascii="Book Antiqua" w:hAnsi="Book Antiqua" w:cs="Book Antiqua"/>
                <w:b/>
                <w:color w:val="auto"/>
                <w:sz w:val="24"/>
                <w:szCs w:val="24"/>
              </w:rPr>
              <w:t xml:space="preserve"> = </w:t>
            </w:r>
            <w:r>
              <w:rPr>
                <w:rFonts w:ascii="Book Antiqua" w:hAnsi="Book Antiqua" w:cs="Book Antiqua"/>
                <w:b/>
                <w:color w:val="auto"/>
                <w:sz w:val="24"/>
                <w:szCs w:val="24"/>
              </w:rPr>
              <w:t>58</w:t>
            </w:r>
            <w:r w:rsidR="002F52BB" w:rsidRPr="00932A95">
              <w:rPr>
                <w:rFonts w:ascii="Book Antiqua" w:hAnsi="Book Antiqua" w:cs="Book Antiqua"/>
                <w:b/>
                <w:color w:val="auto"/>
                <w:sz w:val="24"/>
                <w:szCs w:val="24"/>
              </w:rPr>
              <w:t>362)</w:t>
            </w:r>
          </w:p>
        </w:tc>
        <w:tc>
          <w:tcPr>
            <w:tcW w:w="2250"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715175A0" w14:textId="3FE162B7" w:rsidR="0011433B" w:rsidRPr="00932A95" w:rsidRDefault="00167764"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Mortality teaching (</w:t>
            </w:r>
            <w:r w:rsidR="000F16F1" w:rsidRPr="000F16F1">
              <w:rPr>
                <w:rFonts w:ascii="Book Antiqua" w:hAnsi="Book Antiqua" w:cs="Book Antiqua"/>
                <w:b/>
                <w:i/>
                <w:color w:val="auto"/>
                <w:sz w:val="24"/>
                <w:szCs w:val="24"/>
              </w:rPr>
              <w:t>n</w:t>
            </w:r>
            <w:r w:rsidR="000F16F1">
              <w:rPr>
                <w:rFonts w:ascii="Book Antiqua" w:hAnsi="Book Antiqua" w:cs="Book Antiqua"/>
                <w:b/>
                <w:color w:val="auto"/>
                <w:sz w:val="24"/>
                <w:szCs w:val="24"/>
              </w:rPr>
              <w:t xml:space="preserve"> = </w:t>
            </w:r>
            <w:r>
              <w:rPr>
                <w:rFonts w:ascii="Book Antiqua" w:hAnsi="Book Antiqua" w:cs="Book Antiqua"/>
                <w:b/>
                <w:color w:val="auto"/>
                <w:sz w:val="24"/>
                <w:szCs w:val="24"/>
              </w:rPr>
              <w:t>30</w:t>
            </w:r>
            <w:r w:rsidR="002F52BB" w:rsidRPr="00932A95">
              <w:rPr>
                <w:rFonts w:ascii="Book Antiqua" w:hAnsi="Book Antiqua" w:cs="Book Antiqua"/>
                <w:b/>
                <w:color w:val="auto"/>
                <w:sz w:val="24"/>
                <w:szCs w:val="24"/>
              </w:rPr>
              <w:t>382)</w:t>
            </w:r>
          </w:p>
        </w:tc>
        <w:tc>
          <w:tcPr>
            <w:tcW w:w="196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5D1A7781" w14:textId="1DE1A1CD" w:rsidR="0011433B" w:rsidRPr="00932A95" w:rsidRDefault="00167764"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Mortality non-teaching (</w:t>
            </w:r>
            <w:r w:rsidR="000F16F1" w:rsidRPr="000F16F1">
              <w:rPr>
                <w:rFonts w:ascii="Book Antiqua" w:hAnsi="Book Antiqua" w:cs="Book Antiqua"/>
                <w:b/>
                <w:i/>
                <w:color w:val="auto"/>
                <w:sz w:val="24"/>
                <w:szCs w:val="24"/>
              </w:rPr>
              <w:t>n</w:t>
            </w:r>
            <w:r w:rsidR="000F16F1">
              <w:rPr>
                <w:rFonts w:ascii="Book Antiqua" w:hAnsi="Book Antiqua" w:cs="Book Antiqua"/>
                <w:b/>
                <w:color w:val="auto"/>
                <w:sz w:val="24"/>
                <w:szCs w:val="24"/>
              </w:rPr>
              <w:t xml:space="preserve"> = </w:t>
            </w:r>
            <w:r>
              <w:rPr>
                <w:rFonts w:ascii="Book Antiqua" w:hAnsi="Book Antiqua" w:cs="Book Antiqua"/>
                <w:b/>
                <w:color w:val="auto"/>
                <w:sz w:val="24"/>
                <w:szCs w:val="24"/>
              </w:rPr>
              <w:t>27</w:t>
            </w:r>
            <w:r w:rsidR="002F52BB" w:rsidRPr="00932A95">
              <w:rPr>
                <w:rFonts w:ascii="Book Antiqua" w:hAnsi="Book Antiqua" w:cs="Book Antiqua"/>
                <w:b/>
                <w:color w:val="auto"/>
                <w:sz w:val="24"/>
                <w:szCs w:val="24"/>
              </w:rPr>
              <w:t>979)</w:t>
            </w:r>
          </w:p>
        </w:tc>
      </w:tr>
      <w:tr w:rsidR="00167764" w:rsidRPr="00932A95" w14:paraId="451F0BA5" w14:textId="77777777" w:rsidTr="00167764">
        <w:trPr>
          <w:trHeight w:val="447"/>
        </w:trPr>
        <w:tc>
          <w:tcPr>
            <w:tcW w:w="3075" w:type="dxa"/>
            <w:vMerge/>
            <w:tcBorders>
              <w:top w:val="nil"/>
              <w:bottom w:val="single" w:sz="4" w:space="0" w:color="auto"/>
            </w:tcBorders>
            <w:shd w:val="clear" w:color="auto" w:fill="auto"/>
            <w:tcMar>
              <w:top w:w="100" w:type="dxa"/>
              <w:left w:w="100" w:type="dxa"/>
              <w:bottom w:w="100" w:type="dxa"/>
              <w:right w:w="100" w:type="dxa"/>
            </w:tcMar>
          </w:tcPr>
          <w:p w14:paraId="2C514D68"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815" w:type="dxa"/>
            <w:vMerge/>
            <w:tcBorders>
              <w:top w:val="nil"/>
              <w:bottom w:val="single" w:sz="4" w:space="0" w:color="auto"/>
            </w:tcBorders>
            <w:shd w:val="clear" w:color="auto" w:fill="auto"/>
            <w:tcMar>
              <w:top w:w="100" w:type="dxa"/>
              <w:left w:w="100" w:type="dxa"/>
              <w:bottom w:w="100" w:type="dxa"/>
              <w:right w:w="100" w:type="dxa"/>
            </w:tcMar>
          </w:tcPr>
          <w:p w14:paraId="461349E6"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2250" w:type="dxa"/>
            <w:vMerge/>
            <w:tcBorders>
              <w:top w:val="nil"/>
              <w:bottom w:val="single" w:sz="4" w:space="0" w:color="auto"/>
            </w:tcBorders>
            <w:shd w:val="clear" w:color="auto" w:fill="auto"/>
            <w:tcMar>
              <w:top w:w="100" w:type="dxa"/>
              <w:left w:w="100" w:type="dxa"/>
              <w:bottom w:w="100" w:type="dxa"/>
              <w:right w:w="100" w:type="dxa"/>
            </w:tcMar>
          </w:tcPr>
          <w:p w14:paraId="6D06E274"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vMerge/>
            <w:tcBorders>
              <w:top w:val="nil"/>
              <w:bottom w:val="single" w:sz="4" w:space="0" w:color="auto"/>
            </w:tcBorders>
            <w:shd w:val="clear" w:color="auto" w:fill="auto"/>
            <w:tcMar>
              <w:top w:w="100" w:type="dxa"/>
              <w:left w:w="100" w:type="dxa"/>
              <w:bottom w:w="100" w:type="dxa"/>
              <w:right w:w="100" w:type="dxa"/>
            </w:tcMar>
          </w:tcPr>
          <w:p w14:paraId="3C2A7D8B"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167764" w:rsidRPr="00932A95" w14:paraId="446AF238" w14:textId="77777777" w:rsidTr="00167764">
        <w:trPr>
          <w:trHeight w:val="25"/>
        </w:trPr>
        <w:tc>
          <w:tcPr>
            <w:tcW w:w="3075" w:type="dxa"/>
            <w:tcBorders>
              <w:top w:val="single" w:sz="4" w:space="0" w:color="auto"/>
            </w:tcBorders>
            <w:shd w:val="clear" w:color="auto" w:fill="auto"/>
            <w:tcMar>
              <w:top w:w="100" w:type="dxa"/>
              <w:left w:w="100" w:type="dxa"/>
              <w:bottom w:w="100" w:type="dxa"/>
              <w:right w:w="100" w:type="dxa"/>
            </w:tcMar>
            <w:vAlign w:val="bottom"/>
          </w:tcPr>
          <w:p w14:paraId="530EA417" w14:textId="77777777" w:rsidR="0011433B" w:rsidRPr="00932A95" w:rsidRDefault="002F52BB" w:rsidP="00374FC0">
            <w:pPr>
              <w:spacing w:line="360" w:lineRule="auto"/>
              <w:jc w:val="both"/>
              <w:rPr>
                <w:rFonts w:ascii="Book Antiqua" w:hAnsi="Book Antiqua" w:cs="Book Antiqua"/>
                <w:color w:val="auto"/>
                <w:sz w:val="24"/>
                <w:szCs w:val="24"/>
                <w:vertAlign w:val="superscript"/>
              </w:rPr>
            </w:pPr>
            <w:proofErr w:type="spellStart"/>
            <w:r w:rsidRPr="00932A95">
              <w:rPr>
                <w:rFonts w:ascii="Book Antiqua" w:hAnsi="Book Antiqua" w:cs="Book Antiqua"/>
                <w:color w:val="auto"/>
                <w:sz w:val="24"/>
                <w:szCs w:val="24"/>
              </w:rPr>
              <w:t>Elixhauser</w:t>
            </w:r>
            <w:proofErr w:type="spellEnd"/>
            <w:r w:rsidRPr="00932A95">
              <w:rPr>
                <w:rFonts w:ascii="Book Antiqua" w:hAnsi="Book Antiqua" w:cs="Book Antiqua"/>
                <w:color w:val="auto"/>
                <w:sz w:val="24"/>
                <w:szCs w:val="24"/>
              </w:rPr>
              <w:t xml:space="preserve"> comorbidities</w:t>
            </w:r>
          </w:p>
        </w:tc>
        <w:tc>
          <w:tcPr>
            <w:tcW w:w="1815" w:type="dxa"/>
            <w:tcBorders>
              <w:top w:val="single" w:sz="4" w:space="0" w:color="auto"/>
            </w:tcBorders>
            <w:shd w:val="clear" w:color="auto" w:fill="auto"/>
            <w:tcMar>
              <w:top w:w="100" w:type="dxa"/>
              <w:left w:w="100" w:type="dxa"/>
              <w:bottom w:w="100" w:type="dxa"/>
              <w:right w:w="100" w:type="dxa"/>
            </w:tcMar>
            <w:vAlign w:val="bottom"/>
          </w:tcPr>
          <w:p w14:paraId="73B9D673"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250" w:type="dxa"/>
            <w:tcBorders>
              <w:top w:val="single" w:sz="4" w:space="0" w:color="auto"/>
            </w:tcBorders>
            <w:shd w:val="clear" w:color="auto" w:fill="auto"/>
            <w:tcMar>
              <w:top w:w="100" w:type="dxa"/>
              <w:left w:w="100" w:type="dxa"/>
              <w:bottom w:w="100" w:type="dxa"/>
              <w:right w:w="100" w:type="dxa"/>
            </w:tcMar>
            <w:vAlign w:val="bottom"/>
          </w:tcPr>
          <w:p w14:paraId="3B6500A6"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tcBorders>
              <w:top w:val="single" w:sz="4" w:space="0" w:color="auto"/>
            </w:tcBorders>
            <w:shd w:val="clear" w:color="auto" w:fill="auto"/>
            <w:tcMar>
              <w:top w:w="100" w:type="dxa"/>
              <w:left w:w="100" w:type="dxa"/>
              <w:bottom w:w="100" w:type="dxa"/>
              <w:right w:w="100" w:type="dxa"/>
            </w:tcMar>
            <w:vAlign w:val="bottom"/>
          </w:tcPr>
          <w:p w14:paraId="2CD6B859"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167764" w:rsidRPr="00932A95" w14:paraId="2B504227" w14:textId="77777777" w:rsidTr="00167764">
        <w:trPr>
          <w:trHeight w:val="193"/>
        </w:trPr>
        <w:tc>
          <w:tcPr>
            <w:tcW w:w="3075" w:type="dxa"/>
            <w:shd w:val="clear" w:color="auto" w:fill="auto"/>
            <w:tcMar>
              <w:top w:w="100" w:type="dxa"/>
              <w:left w:w="100" w:type="dxa"/>
              <w:bottom w:w="100" w:type="dxa"/>
              <w:right w:w="100" w:type="dxa"/>
            </w:tcMar>
            <w:vAlign w:val="bottom"/>
          </w:tcPr>
          <w:p w14:paraId="55DB178C"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0</w:t>
            </w:r>
          </w:p>
        </w:tc>
        <w:tc>
          <w:tcPr>
            <w:tcW w:w="1815" w:type="dxa"/>
            <w:shd w:val="clear" w:color="auto" w:fill="auto"/>
            <w:tcMar>
              <w:top w:w="100" w:type="dxa"/>
              <w:left w:w="100" w:type="dxa"/>
              <w:bottom w:w="100" w:type="dxa"/>
              <w:right w:w="100" w:type="dxa"/>
            </w:tcMar>
            <w:vAlign w:val="bottom"/>
          </w:tcPr>
          <w:p w14:paraId="51234175" w14:textId="5AE4600A"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4202</w:t>
            </w:r>
            <w:r w:rsidR="00176861">
              <w:rPr>
                <w:rFonts w:ascii="Book Antiqua" w:hAnsi="Book Antiqua" w:cs="Book Antiqua"/>
                <w:color w:val="auto"/>
                <w:sz w:val="24"/>
                <w:szCs w:val="24"/>
              </w:rPr>
              <w:t xml:space="preserve"> (</w:t>
            </w:r>
            <w:r w:rsidR="002F52BB" w:rsidRPr="00932A95">
              <w:rPr>
                <w:rFonts w:ascii="Book Antiqua" w:hAnsi="Book Antiqua" w:cs="Book Antiqua"/>
                <w:color w:val="auto"/>
                <w:sz w:val="24"/>
                <w:szCs w:val="24"/>
              </w:rPr>
              <w:t>7.2</w:t>
            </w:r>
            <w:r w:rsidR="00176861">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5092F90C" w14:textId="4AE50606"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3008 (</w:t>
            </w:r>
            <w:r w:rsidR="002F52BB" w:rsidRPr="00932A95">
              <w:rPr>
                <w:rFonts w:ascii="Book Antiqua" w:hAnsi="Book Antiqua" w:cs="Book Antiqua"/>
                <w:color w:val="auto"/>
                <w:sz w:val="24"/>
                <w:szCs w:val="24"/>
              </w:rPr>
              <w:t>9.9</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31692F81" w14:textId="5BFE3CC2"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1455 (</w:t>
            </w:r>
            <w:r w:rsidR="002F52BB" w:rsidRPr="00932A95">
              <w:rPr>
                <w:rFonts w:ascii="Book Antiqua" w:hAnsi="Book Antiqua" w:cs="Book Antiqua"/>
                <w:color w:val="auto"/>
                <w:sz w:val="24"/>
                <w:szCs w:val="24"/>
              </w:rPr>
              <w:t>5.2</w:t>
            </w:r>
            <w:r w:rsidR="00176861">
              <w:rPr>
                <w:rFonts w:ascii="Book Antiqua" w:hAnsi="Book Antiqua" w:cs="Book Antiqua"/>
                <w:color w:val="auto"/>
                <w:sz w:val="24"/>
                <w:szCs w:val="24"/>
              </w:rPr>
              <w:t>)</w:t>
            </w:r>
          </w:p>
        </w:tc>
      </w:tr>
      <w:tr w:rsidR="00167764" w:rsidRPr="00932A95" w14:paraId="75A68A15" w14:textId="77777777" w:rsidTr="00167764">
        <w:trPr>
          <w:trHeight w:val="25"/>
        </w:trPr>
        <w:tc>
          <w:tcPr>
            <w:tcW w:w="3075" w:type="dxa"/>
            <w:shd w:val="clear" w:color="auto" w:fill="auto"/>
            <w:tcMar>
              <w:top w:w="100" w:type="dxa"/>
              <w:left w:w="100" w:type="dxa"/>
              <w:bottom w:w="100" w:type="dxa"/>
              <w:right w:w="100" w:type="dxa"/>
            </w:tcMar>
            <w:vAlign w:val="bottom"/>
          </w:tcPr>
          <w:p w14:paraId="4106A749"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1</w:t>
            </w:r>
          </w:p>
        </w:tc>
        <w:tc>
          <w:tcPr>
            <w:tcW w:w="1815" w:type="dxa"/>
            <w:shd w:val="clear" w:color="auto" w:fill="auto"/>
            <w:tcMar>
              <w:top w:w="100" w:type="dxa"/>
              <w:left w:w="100" w:type="dxa"/>
              <w:bottom w:w="100" w:type="dxa"/>
              <w:right w:w="100" w:type="dxa"/>
            </w:tcMar>
            <w:vAlign w:val="bottom"/>
          </w:tcPr>
          <w:p w14:paraId="374C828C" w14:textId="1BE401E1"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4085</w:t>
            </w:r>
            <w:r w:rsidR="00176861">
              <w:rPr>
                <w:rFonts w:ascii="Book Antiqua" w:hAnsi="Book Antiqua" w:cs="Book Antiqua"/>
                <w:color w:val="auto"/>
                <w:sz w:val="24"/>
                <w:szCs w:val="24"/>
              </w:rPr>
              <w:t xml:space="preserve"> (</w:t>
            </w:r>
            <w:r w:rsidR="002F52BB" w:rsidRPr="00932A95">
              <w:rPr>
                <w:rFonts w:ascii="Book Antiqua" w:hAnsi="Book Antiqua" w:cs="Book Antiqua"/>
                <w:color w:val="auto"/>
                <w:sz w:val="24"/>
                <w:szCs w:val="24"/>
              </w:rPr>
              <w:t>7.0</w:t>
            </w:r>
            <w:r w:rsidR="00176861">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0D390556" w14:textId="6A230185"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2734 (</w:t>
            </w:r>
            <w:r w:rsidR="002F52BB" w:rsidRPr="00932A95">
              <w:rPr>
                <w:rFonts w:ascii="Book Antiqua" w:hAnsi="Book Antiqua" w:cs="Book Antiqua"/>
                <w:color w:val="auto"/>
                <w:sz w:val="24"/>
                <w:szCs w:val="24"/>
              </w:rPr>
              <w:t>9.0</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5F8E6ADD" w14:textId="436DB877"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1287 (</w:t>
            </w:r>
            <w:r w:rsidR="002F52BB" w:rsidRPr="00932A95">
              <w:rPr>
                <w:rFonts w:ascii="Book Antiqua" w:hAnsi="Book Antiqua" w:cs="Book Antiqua"/>
                <w:color w:val="auto"/>
                <w:sz w:val="24"/>
                <w:szCs w:val="24"/>
              </w:rPr>
              <w:t>4.6</w:t>
            </w:r>
            <w:r w:rsidR="00176861">
              <w:rPr>
                <w:rFonts w:ascii="Book Antiqua" w:hAnsi="Book Antiqua" w:cs="Book Antiqua"/>
                <w:color w:val="auto"/>
                <w:sz w:val="24"/>
                <w:szCs w:val="24"/>
              </w:rPr>
              <w:t>)</w:t>
            </w:r>
          </w:p>
        </w:tc>
      </w:tr>
      <w:tr w:rsidR="00167764" w:rsidRPr="00932A95" w14:paraId="6C4C7FE7" w14:textId="77777777" w:rsidTr="00167764">
        <w:trPr>
          <w:trHeight w:val="25"/>
        </w:trPr>
        <w:tc>
          <w:tcPr>
            <w:tcW w:w="3075" w:type="dxa"/>
            <w:shd w:val="clear" w:color="auto" w:fill="auto"/>
            <w:tcMar>
              <w:top w:w="100" w:type="dxa"/>
              <w:left w:w="100" w:type="dxa"/>
              <w:bottom w:w="100" w:type="dxa"/>
              <w:right w:w="100" w:type="dxa"/>
            </w:tcMar>
            <w:vAlign w:val="bottom"/>
          </w:tcPr>
          <w:p w14:paraId="110C33C1"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2</w:t>
            </w:r>
          </w:p>
        </w:tc>
        <w:tc>
          <w:tcPr>
            <w:tcW w:w="1815" w:type="dxa"/>
            <w:shd w:val="clear" w:color="auto" w:fill="auto"/>
            <w:tcMar>
              <w:top w:w="100" w:type="dxa"/>
              <w:left w:w="100" w:type="dxa"/>
              <w:bottom w:w="100" w:type="dxa"/>
              <w:right w:w="100" w:type="dxa"/>
            </w:tcMar>
            <w:vAlign w:val="bottom"/>
          </w:tcPr>
          <w:p w14:paraId="1C2A2ACA" w14:textId="495A4B95"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4144 (</w:t>
            </w:r>
            <w:r w:rsidR="002F52BB" w:rsidRPr="00932A95">
              <w:rPr>
                <w:rFonts w:ascii="Book Antiqua" w:hAnsi="Book Antiqua" w:cs="Book Antiqua"/>
                <w:color w:val="auto"/>
                <w:sz w:val="24"/>
                <w:szCs w:val="24"/>
              </w:rPr>
              <w:t>7.1</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18B8394A" w14:textId="4B28D824"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2886 (</w:t>
            </w:r>
            <w:r w:rsidR="002F52BB" w:rsidRPr="00932A95">
              <w:rPr>
                <w:rFonts w:ascii="Book Antiqua" w:hAnsi="Book Antiqua" w:cs="Book Antiqua"/>
                <w:color w:val="auto"/>
                <w:sz w:val="24"/>
                <w:szCs w:val="24"/>
              </w:rPr>
              <w:t>9.5</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6E7A7E4F" w14:textId="634A8CD6"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1371 (</w:t>
            </w:r>
            <w:r w:rsidR="002F52BB" w:rsidRPr="00932A95">
              <w:rPr>
                <w:rFonts w:ascii="Book Antiqua" w:hAnsi="Book Antiqua" w:cs="Book Antiqua"/>
                <w:color w:val="auto"/>
                <w:sz w:val="24"/>
                <w:szCs w:val="24"/>
              </w:rPr>
              <w:t>4.9</w:t>
            </w:r>
            <w:r w:rsidR="00176861">
              <w:rPr>
                <w:rFonts w:ascii="Book Antiqua" w:hAnsi="Book Antiqua" w:cs="Book Antiqua"/>
                <w:color w:val="auto"/>
                <w:sz w:val="24"/>
                <w:szCs w:val="24"/>
              </w:rPr>
              <w:t>)</w:t>
            </w:r>
          </w:p>
        </w:tc>
      </w:tr>
      <w:tr w:rsidR="00167764" w:rsidRPr="00932A95" w14:paraId="403A0658" w14:textId="77777777" w:rsidTr="00167764">
        <w:trPr>
          <w:trHeight w:val="25"/>
        </w:trPr>
        <w:tc>
          <w:tcPr>
            <w:tcW w:w="3075" w:type="dxa"/>
            <w:shd w:val="clear" w:color="auto" w:fill="auto"/>
            <w:tcMar>
              <w:top w:w="100" w:type="dxa"/>
              <w:left w:w="100" w:type="dxa"/>
              <w:bottom w:w="100" w:type="dxa"/>
              <w:right w:w="100" w:type="dxa"/>
            </w:tcMar>
            <w:vAlign w:val="bottom"/>
          </w:tcPr>
          <w:p w14:paraId="4DD3ADA3"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eastAsia="Arial Unicode MS" w:hAnsi="Book Antiqua" w:cs="Book Antiqua"/>
                <w:color w:val="auto"/>
                <w:sz w:val="24"/>
                <w:szCs w:val="24"/>
              </w:rPr>
              <w:t>≥ 3</w:t>
            </w:r>
          </w:p>
        </w:tc>
        <w:tc>
          <w:tcPr>
            <w:tcW w:w="1815" w:type="dxa"/>
            <w:shd w:val="clear" w:color="auto" w:fill="auto"/>
            <w:tcMar>
              <w:top w:w="100" w:type="dxa"/>
              <w:left w:w="100" w:type="dxa"/>
              <w:bottom w:w="100" w:type="dxa"/>
              <w:right w:w="100" w:type="dxa"/>
            </w:tcMar>
            <w:vAlign w:val="bottom"/>
          </w:tcPr>
          <w:p w14:paraId="4CB935A2" w14:textId="28127E5A"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3794 (</w:t>
            </w:r>
            <w:r w:rsidR="002F52BB" w:rsidRPr="00932A95">
              <w:rPr>
                <w:rFonts w:ascii="Book Antiqua" w:hAnsi="Book Antiqua" w:cs="Book Antiqua"/>
                <w:color w:val="auto"/>
                <w:sz w:val="24"/>
                <w:szCs w:val="24"/>
              </w:rPr>
              <w:t>6.5</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784B6582" w14:textId="5C8C7DAB"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2157 (</w:t>
            </w:r>
            <w:r w:rsidR="002F52BB" w:rsidRPr="00932A95">
              <w:rPr>
                <w:rFonts w:ascii="Book Antiqua" w:hAnsi="Book Antiqua" w:cs="Book Antiqua"/>
                <w:color w:val="auto"/>
                <w:sz w:val="24"/>
                <w:szCs w:val="24"/>
              </w:rPr>
              <w:t>7.1</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7F822E60" w14:textId="3E09E541"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1567 (</w:t>
            </w:r>
            <w:r w:rsidR="002F52BB" w:rsidRPr="00932A95">
              <w:rPr>
                <w:rFonts w:ascii="Book Antiqua" w:hAnsi="Book Antiqua" w:cs="Book Antiqua"/>
                <w:color w:val="auto"/>
                <w:sz w:val="24"/>
                <w:szCs w:val="24"/>
              </w:rPr>
              <w:t>5.6</w:t>
            </w:r>
            <w:r w:rsidR="00176861">
              <w:rPr>
                <w:rFonts w:ascii="Book Antiqua" w:hAnsi="Book Antiqua" w:cs="Book Antiqua"/>
                <w:color w:val="auto"/>
                <w:sz w:val="24"/>
                <w:szCs w:val="24"/>
              </w:rPr>
              <w:t>)</w:t>
            </w:r>
          </w:p>
        </w:tc>
      </w:tr>
      <w:tr w:rsidR="00167764" w:rsidRPr="00932A95" w14:paraId="6FEB5D47" w14:textId="77777777" w:rsidTr="00167764">
        <w:trPr>
          <w:trHeight w:val="25"/>
        </w:trPr>
        <w:tc>
          <w:tcPr>
            <w:tcW w:w="3075" w:type="dxa"/>
            <w:shd w:val="clear" w:color="auto" w:fill="auto"/>
            <w:tcMar>
              <w:top w:w="100" w:type="dxa"/>
              <w:left w:w="100" w:type="dxa"/>
              <w:bottom w:w="100" w:type="dxa"/>
              <w:right w:w="100" w:type="dxa"/>
            </w:tcMar>
            <w:vAlign w:val="bottom"/>
          </w:tcPr>
          <w:p w14:paraId="0D12465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Liver comorbidities</w:t>
            </w:r>
          </w:p>
        </w:tc>
        <w:tc>
          <w:tcPr>
            <w:tcW w:w="1815" w:type="dxa"/>
            <w:shd w:val="clear" w:color="auto" w:fill="auto"/>
            <w:tcMar>
              <w:top w:w="100" w:type="dxa"/>
              <w:left w:w="100" w:type="dxa"/>
              <w:bottom w:w="100" w:type="dxa"/>
              <w:right w:w="100" w:type="dxa"/>
            </w:tcMar>
            <w:vAlign w:val="bottom"/>
          </w:tcPr>
          <w:p w14:paraId="112178C9"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250" w:type="dxa"/>
            <w:shd w:val="clear" w:color="auto" w:fill="auto"/>
            <w:tcMar>
              <w:top w:w="100" w:type="dxa"/>
              <w:left w:w="100" w:type="dxa"/>
              <w:bottom w:w="100" w:type="dxa"/>
              <w:right w:w="100" w:type="dxa"/>
            </w:tcMar>
            <w:vAlign w:val="bottom"/>
          </w:tcPr>
          <w:p w14:paraId="4C237030"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shd w:val="clear" w:color="auto" w:fill="auto"/>
            <w:tcMar>
              <w:top w:w="100" w:type="dxa"/>
              <w:left w:w="100" w:type="dxa"/>
              <w:bottom w:w="100" w:type="dxa"/>
              <w:right w:w="100" w:type="dxa"/>
            </w:tcMar>
            <w:vAlign w:val="bottom"/>
          </w:tcPr>
          <w:p w14:paraId="0693D1FC"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167764" w:rsidRPr="00932A95" w14:paraId="65E230CB" w14:textId="77777777" w:rsidTr="00167764">
        <w:trPr>
          <w:trHeight w:val="25"/>
        </w:trPr>
        <w:tc>
          <w:tcPr>
            <w:tcW w:w="3075" w:type="dxa"/>
            <w:shd w:val="clear" w:color="auto" w:fill="auto"/>
            <w:tcMar>
              <w:top w:w="100" w:type="dxa"/>
              <w:left w:w="100" w:type="dxa"/>
              <w:bottom w:w="100" w:type="dxa"/>
              <w:right w:w="100" w:type="dxa"/>
            </w:tcMar>
            <w:vAlign w:val="bottom"/>
          </w:tcPr>
          <w:p w14:paraId="3366577E"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Alcoholic </w:t>
            </w:r>
            <w:proofErr w:type="spellStart"/>
            <w:r w:rsidRPr="00932A95">
              <w:rPr>
                <w:rFonts w:ascii="Book Antiqua" w:hAnsi="Book Antiqua" w:cs="Book Antiqua"/>
                <w:color w:val="auto"/>
                <w:sz w:val="24"/>
                <w:szCs w:val="24"/>
              </w:rPr>
              <w:t>cirrhosis</w:t>
            </w:r>
            <w:r w:rsidRPr="00932A95">
              <w:rPr>
                <w:rFonts w:ascii="Book Antiqua" w:hAnsi="Book Antiqua" w:cs="Book Antiqua"/>
                <w:color w:val="auto"/>
                <w:sz w:val="24"/>
                <w:szCs w:val="24"/>
                <w:vertAlign w:val="superscript"/>
              </w:rPr>
              <w:t>a</w:t>
            </w:r>
            <w:proofErr w:type="spellEnd"/>
          </w:p>
        </w:tc>
        <w:tc>
          <w:tcPr>
            <w:tcW w:w="1815" w:type="dxa"/>
            <w:shd w:val="clear" w:color="auto" w:fill="auto"/>
            <w:tcMar>
              <w:top w:w="100" w:type="dxa"/>
              <w:left w:w="100" w:type="dxa"/>
              <w:bottom w:w="100" w:type="dxa"/>
              <w:right w:w="100" w:type="dxa"/>
            </w:tcMar>
            <w:vAlign w:val="bottom"/>
          </w:tcPr>
          <w:p w14:paraId="7837496C" w14:textId="688619C3"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4494 (</w:t>
            </w:r>
            <w:r w:rsidR="002F52BB" w:rsidRPr="00932A95">
              <w:rPr>
                <w:rFonts w:ascii="Book Antiqua" w:hAnsi="Book Antiqua" w:cs="Book Antiqua"/>
                <w:color w:val="auto"/>
                <w:sz w:val="24"/>
                <w:szCs w:val="24"/>
              </w:rPr>
              <w:t>7.7</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7C08AD77" w14:textId="1CACBD97"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2795 (</w:t>
            </w:r>
            <w:r w:rsidR="002F52BB" w:rsidRPr="00932A95">
              <w:rPr>
                <w:rFonts w:ascii="Book Antiqua" w:hAnsi="Book Antiqua" w:cs="Book Antiqua"/>
                <w:color w:val="auto"/>
                <w:sz w:val="24"/>
                <w:szCs w:val="24"/>
              </w:rPr>
              <w:t>9.2</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73F3AA89" w14:textId="687F5C18"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1763 (</w:t>
            </w:r>
            <w:r w:rsidR="002F52BB" w:rsidRPr="00932A95">
              <w:rPr>
                <w:rFonts w:ascii="Book Antiqua" w:hAnsi="Book Antiqua" w:cs="Book Antiqua"/>
                <w:color w:val="auto"/>
                <w:sz w:val="24"/>
                <w:szCs w:val="24"/>
              </w:rPr>
              <w:t>6.3</w:t>
            </w:r>
            <w:r w:rsidR="00176861">
              <w:rPr>
                <w:rFonts w:ascii="Book Antiqua" w:hAnsi="Book Antiqua" w:cs="Book Antiqua"/>
                <w:color w:val="auto"/>
                <w:sz w:val="24"/>
                <w:szCs w:val="24"/>
              </w:rPr>
              <w:t>)</w:t>
            </w:r>
          </w:p>
        </w:tc>
      </w:tr>
      <w:tr w:rsidR="00167764" w:rsidRPr="00932A95" w14:paraId="5ED45354" w14:textId="77777777" w:rsidTr="00167764">
        <w:trPr>
          <w:trHeight w:val="25"/>
        </w:trPr>
        <w:tc>
          <w:tcPr>
            <w:tcW w:w="3075" w:type="dxa"/>
            <w:shd w:val="clear" w:color="auto" w:fill="auto"/>
            <w:tcMar>
              <w:top w:w="100" w:type="dxa"/>
              <w:left w:w="100" w:type="dxa"/>
              <w:bottom w:w="100" w:type="dxa"/>
              <w:right w:w="100" w:type="dxa"/>
            </w:tcMar>
            <w:vAlign w:val="bottom"/>
          </w:tcPr>
          <w:p w14:paraId="3176D2A9"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Ascites</w:t>
            </w:r>
          </w:p>
        </w:tc>
        <w:tc>
          <w:tcPr>
            <w:tcW w:w="1815" w:type="dxa"/>
            <w:shd w:val="clear" w:color="auto" w:fill="auto"/>
            <w:tcMar>
              <w:top w:w="100" w:type="dxa"/>
              <w:left w:w="100" w:type="dxa"/>
              <w:bottom w:w="100" w:type="dxa"/>
              <w:right w:w="100" w:type="dxa"/>
            </w:tcMar>
            <w:vAlign w:val="bottom"/>
          </w:tcPr>
          <w:p w14:paraId="367C5AFD" w14:textId="7B972A39"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5953 (</w:t>
            </w:r>
            <w:r w:rsidR="002F52BB" w:rsidRPr="00932A95">
              <w:rPr>
                <w:rFonts w:ascii="Book Antiqua" w:hAnsi="Book Antiqua" w:cs="Book Antiqua"/>
                <w:color w:val="auto"/>
                <w:sz w:val="24"/>
                <w:szCs w:val="24"/>
              </w:rPr>
              <w:t>10.2</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5BBB5B39" w14:textId="29F20E91"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3585 (</w:t>
            </w:r>
            <w:r w:rsidR="002F52BB" w:rsidRPr="00932A95">
              <w:rPr>
                <w:rFonts w:ascii="Book Antiqua" w:hAnsi="Book Antiqua" w:cs="Book Antiqua"/>
                <w:color w:val="auto"/>
                <w:sz w:val="24"/>
                <w:szCs w:val="24"/>
              </w:rPr>
              <w:t>11.8</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3DA78634" w14:textId="78FCF362"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2266 (</w:t>
            </w:r>
            <w:r w:rsidR="002F52BB" w:rsidRPr="00932A95">
              <w:rPr>
                <w:rFonts w:ascii="Book Antiqua" w:hAnsi="Book Antiqua" w:cs="Book Antiqua"/>
                <w:color w:val="auto"/>
                <w:sz w:val="24"/>
                <w:szCs w:val="24"/>
              </w:rPr>
              <w:t>8.1</w:t>
            </w:r>
            <w:r w:rsidR="00176861">
              <w:rPr>
                <w:rFonts w:ascii="Book Antiqua" w:hAnsi="Book Antiqua" w:cs="Book Antiqua"/>
                <w:color w:val="auto"/>
                <w:sz w:val="24"/>
                <w:szCs w:val="24"/>
              </w:rPr>
              <w:t>)</w:t>
            </w:r>
          </w:p>
        </w:tc>
      </w:tr>
      <w:tr w:rsidR="00167764" w:rsidRPr="00932A95" w14:paraId="0DF9F761" w14:textId="77777777" w:rsidTr="00167764">
        <w:trPr>
          <w:trHeight w:val="25"/>
        </w:trPr>
        <w:tc>
          <w:tcPr>
            <w:tcW w:w="3075" w:type="dxa"/>
            <w:shd w:val="clear" w:color="auto" w:fill="auto"/>
            <w:tcMar>
              <w:top w:w="100" w:type="dxa"/>
              <w:left w:w="100" w:type="dxa"/>
              <w:bottom w:w="100" w:type="dxa"/>
              <w:right w:w="100" w:type="dxa"/>
            </w:tcMar>
            <w:vAlign w:val="bottom"/>
          </w:tcPr>
          <w:p w14:paraId="128DA093"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Hepatic encephalopathy</w:t>
            </w:r>
          </w:p>
        </w:tc>
        <w:tc>
          <w:tcPr>
            <w:tcW w:w="1815" w:type="dxa"/>
            <w:shd w:val="clear" w:color="auto" w:fill="auto"/>
            <w:tcMar>
              <w:top w:w="100" w:type="dxa"/>
              <w:left w:w="100" w:type="dxa"/>
              <w:bottom w:w="100" w:type="dxa"/>
              <w:right w:w="100" w:type="dxa"/>
            </w:tcMar>
            <w:vAlign w:val="bottom"/>
          </w:tcPr>
          <w:p w14:paraId="5E55DFD2" w14:textId="713BCB7C"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9338 (</w:t>
            </w:r>
            <w:r w:rsidR="002F52BB" w:rsidRPr="00932A95">
              <w:rPr>
                <w:rFonts w:ascii="Book Antiqua" w:hAnsi="Book Antiqua" w:cs="Book Antiqua"/>
                <w:color w:val="auto"/>
                <w:sz w:val="24"/>
                <w:szCs w:val="24"/>
              </w:rPr>
              <w:t>16.0</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1F7872E0" w14:textId="462599CE"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5165 (</w:t>
            </w:r>
            <w:r w:rsidR="002F52BB" w:rsidRPr="00932A95">
              <w:rPr>
                <w:rFonts w:ascii="Book Antiqua" w:hAnsi="Book Antiqua" w:cs="Book Antiqua"/>
                <w:color w:val="auto"/>
                <w:sz w:val="24"/>
                <w:szCs w:val="24"/>
              </w:rPr>
              <w:t>17.0</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6ADBD151" w14:textId="1B1201AC"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3973 (</w:t>
            </w:r>
            <w:r w:rsidR="002F52BB" w:rsidRPr="00932A95">
              <w:rPr>
                <w:rFonts w:ascii="Book Antiqua" w:hAnsi="Book Antiqua" w:cs="Book Antiqua"/>
                <w:color w:val="auto"/>
                <w:sz w:val="24"/>
                <w:szCs w:val="24"/>
              </w:rPr>
              <w:t>14.2</w:t>
            </w:r>
            <w:r w:rsidR="00176861">
              <w:rPr>
                <w:rFonts w:ascii="Book Antiqua" w:hAnsi="Book Antiqua" w:cs="Book Antiqua"/>
                <w:color w:val="auto"/>
                <w:sz w:val="24"/>
                <w:szCs w:val="24"/>
              </w:rPr>
              <w:t>)</w:t>
            </w:r>
          </w:p>
        </w:tc>
      </w:tr>
      <w:tr w:rsidR="00167764" w:rsidRPr="00932A95" w14:paraId="5F253152" w14:textId="77777777" w:rsidTr="00167764">
        <w:trPr>
          <w:trHeight w:val="25"/>
        </w:trPr>
        <w:tc>
          <w:tcPr>
            <w:tcW w:w="3075" w:type="dxa"/>
            <w:shd w:val="clear" w:color="auto" w:fill="auto"/>
            <w:tcMar>
              <w:top w:w="100" w:type="dxa"/>
              <w:left w:w="100" w:type="dxa"/>
              <w:bottom w:w="100" w:type="dxa"/>
              <w:right w:w="100" w:type="dxa"/>
            </w:tcMar>
            <w:vAlign w:val="bottom"/>
          </w:tcPr>
          <w:p w14:paraId="49940DE4"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SBP</w:t>
            </w:r>
          </w:p>
        </w:tc>
        <w:tc>
          <w:tcPr>
            <w:tcW w:w="1815" w:type="dxa"/>
            <w:shd w:val="clear" w:color="auto" w:fill="auto"/>
            <w:tcMar>
              <w:top w:w="100" w:type="dxa"/>
              <w:left w:w="100" w:type="dxa"/>
              <w:bottom w:w="100" w:type="dxa"/>
              <w:right w:w="100" w:type="dxa"/>
            </w:tcMar>
            <w:vAlign w:val="bottom"/>
          </w:tcPr>
          <w:p w14:paraId="4FE5D2DF" w14:textId="23AD98F8"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11322 (</w:t>
            </w:r>
            <w:r w:rsidR="002F52BB" w:rsidRPr="00932A95">
              <w:rPr>
                <w:rFonts w:ascii="Book Antiqua" w:hAnsi="Book Antiqua" w:cs="Book Antiqua"/>
                <w:color w:val="auto"/>
                <w:sz w:val="24"/>
                <w:szCs w:val="24"/>
              </w:rPr>
              <w:t>19.4</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3ED79632" w14:textId="2B8A5877"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8294 (</w:t>
            </w:r>
            <w:r w:rsidR="002F52BB" w:rsidRPr="00932A95">
              <w:rPr>
                <w:rFonts w:ascii="Book Antiqua" w:hAnsi="Book Antiqua" w:cs="Book Antiqua"/>
                <w:color w:val="auto"/>
                <w:sz w:val="24"/>
                <w:szCs w:val="24"/>
              </w:rPr>
              <w:t>27.3</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6FA9C631" w14:textId="1CD6DBC2" w:rsidR="0011433B" w:rsidRPr="00932A95" w:rsidRDefault="00C04F63" w:rsidP="00374FC0">
            <w:pPr>
              <w:spacing w:line="360" w:lineRule="auto"/>
              <w:jc w:val="both"/>
              <w:rPr>
                <w:rFonts w:ascii="Book Antiqua" w:hAnsi="Book Antiqua" w:cs="Book Antiqua"/>
                <w:color w:val="auto"/>
                <w:sz w:val="24"/>
                <w:szCs w:val="24"/>
                <w:vertAlign w:val="superscript"/>
              </w:rPr>
            </w:pPr>
            <w:r>
              <w:rPr>
                <w:rFonts w:ascii="Book Antiqua" w:hAnsi="Book Antiqua" w:cs="Book Antiqua"/>
                <w:color w:val="auto"/>
                <w:sz w:val="24"/>
                <w:szCs w:val="24"/>
              </w:rPr>
              <w:t>1567 (</w:t>
            </w:r>
            <w:r w:rsidR="002F52BB" w:rsidRPr="00932A95">
              <w:rPr>
                <w:rFonts w:ascii="Book Antiqua" w:hAnsi="Book Antiqua" w:cs="Book Antiqua"/>
                <w:color w:val="auto"/>
                <w:sz w:val="24"/>
                <w:szCs w:val="24"/>
              </w:rPr>
              <w:t>5.6</w:t>
            </w:r>
            <w:r w:rsidR="00176861">
              <w:rPr>
                <w:rFonts w:ascii="Book Antiqua" w:hAnsi="Book Antiqua" w:cs="Book Antiqua"/>
                <w:color w:val="auto"/>
                <w:sz w:val="24"/>
                <w:szCs w:val="24"/>
              </w:rPr>
              <w:t>)</w:t>
            </w:r>
          </w:p>
        </w:tc>
      </w:tr>
      <w:tr w:rsidR="00167764" w:rsidRPr="00932A95" w14:paraId="20553520" w14:textId="77777777" w:rsidTr="00167764">
        <w:trPr>
          <w:trHeight w:val="25"/>
        </w:trPr>
        <w:tc>
          <w:tcPr>
            <w:tcW w:w="3075" w:type="dxa"/>
            <w:shd w:val="clear" w:color="auto" w:fill="auto"/>
            <w:tcMar>
              <w:top w:w="100" w:type="dxa"/>
              <w:left w:w="100" w:type="dxa"/>
              <w:bottom w:w="100" w:type="dxa"/>
              <w:right w:w="100" w:type="dxa"/>
            </w:tcMar>
            <w:vAlign w:val="bottom"/>
          </w:tcPr>
          <w:p w14:paraId="30E209CE"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Hepatorenal syndrome</w:t>
            </w:r>
          </w:p>
        </w:tc>
        <w:tc>
          <w:tcPr>
            <w:tcW w:w="1815" w:type="dxa"/>
            <w:shd w:val="clear" w:color="auto" w:fill="auto"/>
            <w:tcMar>
              <w:top w:w="100" w:type="dxa"/>
              <w:left w:w="100" w:type="dxa"/>
              <w:bottom w:w="100" w:type="dxa"/>
              <w:right w:w="100" w:type="dxa"/>
            </w:tcMar>
            <w:vAlign w:val="bottom"/>
          </w:tcPr>
          <w:p w14:paraId="6A9EF6B4" w14:textId="55D2302B"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23695 (</w:t>
            </w:r>
            <w:r w:rsidR="002F52BB" w:rsidRPr="00932A95">
              <w:rPr>
                <w:rFonts w:ascii="Book Antiqua" w:hAnsi="Book Antiqua" w:cs="Book Antiqua"/>
                <w:color w:val="auto"/>
                <w:sz w:val="24"/>
                <w:szCs w:val="24"/>
              </w:rPr>
              <w:t>40.6</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6F6B538B" w14:textId="7570A4E5"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12335 (</w:t>
            </w:r>
            <w:r w:rsidR="002F52BB" w:rsidRPr="00932A95">
              <w:rPr>
                <w:rFonts w:ascii="Book Antiqua" w:hAnsi="Book Antiqua" w:cs="Book Antiqua"/>
                <w:color w:val="auto"/>
                <w:sz w:val="24"/>
                <w:szCs w:val="24"/>
              </w:rPr>
              <w:t>40.6</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0370FAE1" w14:textId="79B964C2"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11415 (</w:t>
            </w:r>
            <w:r w:rsidR="002F52BB" w:rsidRPr="00932A95">
              <w:rPr>
                <w:rFonts w:ascii="Book Antiqua" w:hAnsi="Book Antiqua" w:cs="Book Antiqua"/>
                <w:color w:val="auto"/>
                <w:sz w:val="24"/>
                <w:szCs w:val="24"/>
              </w:rPr>
              <w:t>40.8</w:t>
            </w:r>
            <w:r w:rsidR="00176861">
              <w:rPr>
                <w:rFonts w:ascii="Book Antiqua" w:hAnsi="Book Antiqua" w:cs="Book Antiqua"/>
                <w:color w:val="auto"/>
                <w:sz w:val="24"/>
                <w:szCs w:val="24"/>
              </w:rPr>
              <w:t>)</w:t>
            </w:r>
          </w:p>
        </w:tc>
      </w:tr>
      <w:tr w:rsidR="00167764" w:rsidRPr="00932A95" w14:paraId="5ABE34EB" w14:textId="77777777" w:rsidTr="00167764">
        <w:trPr>
          <w:trHeight w:val="25"/>
        </w:trPr>
        <w:tc>
          <w:tcPr>
            <w:tcW w:w="3075" w:type="dxa"/>
            <w:shd w:val="clear" w:color="auto" w:fill="auto"/>
            <w:tcMar>
              <w:top w:w="100" w:type="dxa"/>
              <w:left w:w="100" w:type="dxa"/>
              <w:bottom w:w="100" w:type="dxa"/>
              <w:right w:w="100" w:type="dxa"/>
            </w:tcMar>
            <w:vAlign w:val="bottom"/>
          </w:tcPr>
          <w:p w14:paraId="7FE3C69E"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Coagulopathy</w:t>
            </w:r>
          </w:p>
        </w:tc>
        <w:tc>
          <w:tcPr>
            <w:tcW w:w="1815" w:type="dxa"/>
            <w:shd w:val="clear" w:color="auto" w:fill="auto"/>
            <w:tcMar>
              <w:top w:w="100" w:type="dxa"/>
              <w:left w:w="100" w:type="dxa"/>
              <w:bottom w:w="100" w:type="dxa"/>
              <w:right w:w="100" w:type="dxa"/>
            </w:tcMar>
            <w:vAlign w:val="bottom"/>
          </w:tcPr>
          <w:p w14:paraId="60478BDD" w14:textId="7B8EC5CC"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4844 (</w:t>
            </w:r>
            <w:r w:rsidR="002F52BB" w:rsidRPr="00932A95">
              <w:rPr>
                <w:rFonts w:ascii="Book Antiqua" w:hAnsi="Book Antiqua" w:cs="Book Antiqua"/>
                <w:color w:val="auto"/>
                <w:sz w:val="24"/>
                <w:szCs w:val="24"/>
              </w:rPr>
              <w:t>8.3</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33CD8FDA" w14:textId="7D72D2F5"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2917 (</w:t>
            </w:r>
            <w:r w:rsidR="002F52BB" w:rsidRPr="00932A95">
              <w:rPr>
                <w:rFonts w:ascii="Book Antiqua" w:hAnsi="Book Antiqua" w:cs="Book Antiqua"/>
                <w:color w:val="auto"/>
                <w:sz w:val="24"/>
                <w:szCs w:val="24"/>
              </w:rPr>
              <w:t>9.6</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70146D9E" w14:textId="585B6B06"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1931 (</w:t>
            </w:r>
            <w:r w:rsidR="002F52BB" w:rsidRPr="00932A95">
              <w:rPr>
                <w:rFonts w:ascii="Book Antiqua" w:hAnsi="Book Antiqua" w:cs="Book Antiqua"/>
                <w:color w:val="auto"/>
                <w:sz w:val="24"/>
                <w:szCs w:val="24"/>
              </w:rPr>
              <w:t>6.9</w:t>
            </w:r>
            <w:r w:rsidR="00176861">
              <w:rPr>
                <w:rFonts w:ascii="Book Antiqua" w:hAnsi="Book Antiqua" w:cs="Book Antiqua"/>
                <w:color w:val="auto"/>
                <w:sz w:val="24"/>
                <w:szCs w:val="24"/>
              </w:rPr>
              <w:t>)</w:t>
            </w:r>
          </w:p>
        </w:tc>
      </w:tr>
      <w:tr w:rsidR="00167764" w:rsidRPr="00932A95" w14:paraId="7A639305" w14:textId="77777777" w:rsidTr="00167764">
        <w:trPr>
          <w:trHeight w:val="25"/>
        </w:trPr>
        <w:tc>
          <w:tcPr>
            <w:tcW w:w="3075" w:type="dxa"/>
            <w:shd w:val="clear" w:color="auto" w:fill="auto"/>
            <w:tcMar>
              <w:top w:w="100" w:type="dxa"/>
              <w:left w:w="100" w:type="dxa"/>
              <w:bottom w:w="100" w:type="dxa"/>
              <w:right w:w="100" w:type="dxa"/>
            </w:tcMar>
            <w:vAlign w:val="bottom"/>
          </w:tcPr>
          <w:p w14:paraId="4E00F236"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Hepatocellular carcinoma</w:t>
            </w:r>
          </w:p>
        </w:tc>
        <w:tc>
          <w:tcPr>
            <w:tcW w:w="1815" w:type="dxa"/>
            <w:shd w:val="clear" w:color="auto" w:fill="auto"/>
            <w:tcMar>
              <w:top w:w="100" w:type="dxa"/>
              <w:left w:w="100" w:type="dxa"/>
              <w:bottom w:w="100" w:type="dxa"/>
              <w:right w:w="100" w:type="dxa"/>
            </w:tcMar>
            <w:vAlign w:val="bottom"/>
          </w:tcPr>
          <w:p w14:paraId="1558EF77" w14:textId="2F471DB2"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7821 (</w:t>
            </w:r>
            <w:r w:rsidR="002F52BB" w:rsidRPr="00932A95">
              <w:rPr>
                <w:rFonts w:ascii="Book Antiqua" w:hAnsi="Book Antiqua" w:cs="Book Antiqua"/>
                <w:color w:val="auto"/>
                <w:sz w:val="24"/>
                <w:szCs w:val="24"/>
              </w:rPr>
              <w:t>13.4</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0FE766A6" w14:textId="39140541"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4770 (</w:t>
            </w:r>
            <w:r w:rsidR="002F52BB" w:rsidRPr="00932A95">
              <w:rPr>
                <w:rFonts w:ascii="Book Antiqua" w:hAnsi="Book Antiqua" w:cs="Book Antiqua"/>
                <w:color w:val="auto"/>
                <w:sz w:val="24"/>
                <w:szCs w:val="24"/>
              </w:rPr>
              <w:t>15.7</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3B59AD8B" w14:textId="4625AB75"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2266 (</w:t>
            </w:r>
            <w:r w:rsidR="002F52BB" w:rsidRPr="00932A95">
              <w:rPr>
                <w:rFonts w:ascii="Book Antiqua" w:hAnsi="Book Antiqua" w:cs="Book Antiqua"/>
                <w:color w:val="auto"/>
                <w:sz w:val="24"/>
                <w:szCs w:val="24"/>
              </w:rPr>
              <w:t>8.1</w:t>
            </w:r>
            <w:r w:rsidR="00176861">
              <w:rPr>
                <w:rFonts w:ascii="Book Antiqua" w:hAnsi="Book Antiqua" w:cs="Book Antiqua"/>
                <w:color w:val="auto"/>
                <w:sz w:val="24"/>
                <w:szCs w:val="24"/>
              </w:rPr>
              <w:t>)</w:t>
            </w:r>
          </w:p>
        </w:tc>
      </w:tr>
      <w:tr w:rsidR="00167764" w:rsidRPr="00932A95" w14:paraId="3A40CD6F" w14:textId="77777777" w:rsidTr="00167764">
        <w:trPr>
          <w:trHeight w:val="25"/>
        </w:trPr>
        <w:tc>
          <w:tcPr>
            <w:tcW w:w="3075" w:type="dxa"/>
            <w:shd w:val="clear" w:color="auto" w:fill="auto"/>
            <w:tcMar>
              <w:top w:w="100" w:type="dxa"/>
              <w:left w:w="100" w:type="dxa"/>
              <w:bottom w:w="100" w:type="dxa"/>
              <w:right w:w="100" w:type="dxa"/>
            </w:tcMar>
            <w:vAlign w:val="bottom"/>
          </w:tcPr>
          <w:p w14:paraId="590C2BB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Management</w:t>
            </w:r>
          </w:p>
        </w:tc>
        <w:tc>
          <w:tcPr>
            <w:tcW w:w="1815" w:type="dxa"/>
            <w:shd w:val="clear" w:color="auto" w:fill="auto"/>
            <w:tcMar>
              <w:top w:w="100" w:type="dxa"/>
              <w:left w:w="100" w:type="dxa"/>
              <w:bottom w:w="100" w:type="dxa"/>
              <w:right w:w="100" w:type="dxa"/>
            </w:tcMar>
            <w:vAlign w:val="bottom"/>
          </w:tcPr>
          <w:p w14:paraId="42F6D47E" w14:textId="77777777" w:rsidR="0011433B" w:rsidRPr="00932A95" w:rsidRDefault="0011433B" w:rsidP="00374FC0">
            <w:pPr>
              <w:spacing w:line="360" w:lineRule="auto"/>
              <w:jc w:val="both"/>
              <w:rPr>
                <w:rFonts w:ascii="Book Antiqua" w:hAnsi="Book Antiqua" w:cs="Book Antiqua"/>
                <w:color w:val="auto"/>
                <w:sz w:val="24"/>
                <w:szCs w:val="24"/>
              </w:rPr>
            </w:pPr>
          </w:p>
        </w:tc>
        <w:tc>
          <w:tcPr>
            <w:tcW w:w="2250" w:type="dxa"/>
            <w:shd w:val="clear" w:color="auto" w:fill="auto"/>
            <w:tcMar>
              <w:top w:w="100" w:type="dxa"/>
              <w:left w:w="100" w:type="dxa"/>
              <w:bottom w:w="100" w:type="dxa"/>
              <w:right w:w="100" w:type="dxa"/>
            </w:tcMar>
            <w:vAlign w:val="bottom"/>
          </w:tcPr>
          <w:p w14:paraId="1242AFA8"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shd w:val="clear" w:color="auto" w:fill="auto"/>
            <w:tcMar>
              <w:top w:w="100" w:type="dxa"/>
              <w:left w:w="100" w:type="dxa"/>
              <w:bottom w:w="100" w:type="dxa"/>
              <w:right w:w="100" w:type="dxa"/>
            </w:tcMar>
            <w:vAlign w:val="bottom"/>
          </w:tcPr>
          <w:p w14:paraId="23597741"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167764" w:rsidRPr="00932A95" w14:paraId="720077A9" w14:textId="77777777" w:rsidTr="00167764">
        <w:trPr>
          <w:trHeight w:val="25"/>
        </w:trPr>
        <w:tc>
          <w:tcPr>
            <w:tcW w:w="3075" w:type="dxa"/>
            <w:shd w:val="clear" w:color="auto" w:fill="auto"/>
            <w:tcMar>
              <w:top w:w="100" w:type="dxa"/>
              <w:left w:w="100" w:type="dxa"/>
              <w:bottom w:w="100" w:type="dxa"/>
              <w:right w:w="100" w:type="dxa"/>
            </w:tcMar>
            <w:vAlign w:val="bottom"/>
          </w:tcPr>
          <w:p w14:paraId="6315E67A"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Blood transfusion</w:t>
            </w:r>
          </w:p>
        </w:tc>
        <w:tc>
          <w:tcPr>
            <w:tcW w:w="1815" w:type="dxa"/>
            <w:shd w:val="clear" w:color="auto" w:fill="auto"/>
            <w:tcMar>
              <w:top w:w="100" w:type="dxa"/>
              <w:left w:w="100" w:type="dxa"/>
              <w:bottom w:w="100" w:type="dxa"/>
              <w:right w:w="100" w:type="dxa"/>
            </w:tcMar>
            <w:vAlign w:val="bottom"/>
          </w:tcPr>
          <w:p w14:paraId="5A37B747" w14:textId="564AEF6F"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4319 (</w:t>
            </w:r>
            <w:r w:rsidR="002F52BB" w:rsidRPr="00932A95">
              <w:rPr>
                <w:rFonts w:ascii="Book Antiqua" w:hAnsi="Book Antiqua" w:cs="Book Antiqua"/>
                <w:color w:val="auto"/>
                <w:sz w:val="24"/>
                <w:szCs w:val="24"/>
              </w:rPr>
              <w:t>7.4</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267EFA48" w14:textId="501A5904"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2643 (</w:t>
            </w:r>
            <w:r w:rsidR="002F52BB" w:rsidRPr="00932A95">
              <w:rPr>
                <w:rFonts w:ascii="Book Antiqua" w:hAnsi="Book Antiqua" w:cs="Book Antiqua"/>
                <w:color w:val="auto"/>
                <w:sz w:val="24"/>
                <w:szCs w:val="24"/>
              </w:rPr>
              <w:t>8.7</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70546DAD" w14:textId="2E2F7F06"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1735 (</w:t>
            </w:r>
            <w:r w:rsidR="002F52BB" w:rsidRPr="00932A95">
              <w:rPr>
                <w:rFonts w:ascii="Book Antiqua" w:hAnsi="Book Antiqua" w:cs="Book Antiqua"/>
                <w:color w:val="auto"/>
                <w:sz w:val="24"/>
                <w:szCs w:val="24"/>
              </w:rPr>
              <w:t>6.2</w:t>
            </w:r>
            <w:r w:rsidR="00176861">
              <w:rPr>
                <w:rFonts w:ascii="Book Antiqua" w:hAnsi="Book Antiqua" w:cs="Book Antiqua"/>
                <w:color w:val="auto"/>
                <w:sz w:val="24"/>
                <w:szCs w:val="24"/>
              </w:rPr>
              <w:t>)</w:t>
            </w:r>
          </w:p>
        </w:tc>
      </w:tr>
      <w:tr w:rsidR="00167764" w:rsidRPr="00932A95" w14:paraId="715A9492" w14:textId="77777777" w:rsidTr="00167764">
        <w:trPr>
          <w:trHeight w:val="25"/>
        </w:trPr>
        <w:tc>
          <w:tcPr>
            <w:tcW w:w="3075" w:type="dxa"/>
            <w:shd w:val="clear" w:color="auto" w:fill="auto"/>
            <w:tcMar>
              <w:top w:w="100" w:type="dxa"/>
              <w:left w:w="100" w:type="dxa"/>
              <w:bottom w:w="100" w:type="dxa"/>
              <w:right w:w="100" w:type="dxa"/>
            </w:tcMar>
            <w:vAlign w:val="bottom"/>
          </w:tcPr>
          <w:p w14:paraId="16FB8B4E"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lastRenderedPageBreak/>
              <w:t>Balloon tamponade</w:t>
            </w:r>
          </w:p>
        </w:tc>
        <w:tc>
          <w:tcPr>
            <w:tcW w:w="1815" w:type="dxa"/>
            <w:shd w:val="clear" w:color="auto" w:fill="auto"/>
            <w:tcMar>
              <w:top w:w="100" w:type="dxa"/>
              <w:left w:w="100" w:type="dxa"/>
              <w:bottom w:w="100" w:type="dxa"/>
              <w:right w:w="100" w:type="dxa"/>
            </w:tcMar>
            <w:vAlign w:val="bottom"/>
          </w:tcPr>
          <w:p w14:paraId="4B1BDB05" w14:textId="2916F9AF"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30290 (</w:t>
            </w:r>
            <w:r w:rsidR="002F52BB" w:rsidRPr="00932A95">
              <w:rPr>
                <w:rFonts w:ascii="Book Antiqua" w:hAnsi="Book Antiqua" w:cs="Book Antiqua"/>
                <w:color w:val="auto"/>
                <w:sz w:val="24"/>
                <w:szCs w:val="24"/>
              </w:rPr>
              <w:t>51.9</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06AE24B0" w14:textId="1DD5D675"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15616 (</w:t>
            </w:r>
            <w:r w:rsidR="002F52BB" w:rsidRPr="00932A95">
              <w:rPr>
                <w:rFonts w:ascii="Book Antiqua" w:hAnsi="Book Antiqua" w:cs="Book Antiqua"/>
                <w:color w:val="auto"/>
                <w:sz w:val="24"/>
                <w:szCs w:val="24"/>
              </w:rPr>
              <w:t>51.4</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61C22D8E" w14:textId="6F28C2A6"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14857 (</w:t>
            </w:r>
            <w:r w:rsidR="002F52BB" w:rsidRPr="00932A95">
              <w:rPr>
                <w:rFonts w:ascii="Book Antiqua" w:hAnsi="Book Antiqua" w:cs="Book Antiqua"/>
                <w:color w:val="auto"/>
                <w:sz w:val="24"/>
                <w:szCs w:val="24"/>
              </w:rPr>
              <w:t>53.1</w:t>
            </w:r>
            <w:r w:rsidR="00176861">
              <w:rPr>
                <w:rFonts w:ascii="Book Antiqua" w:hAnsi="Book Antiqua" w:cs="Book Antiqua"/>
                <w:color w:val="auto"/>
                <w:sz w:val="24"/>
                <w:szCs w:val="24"/>
              </w:rPr>
              <w:t>)</w:t>
            </w:r>
          </w:p>
        </w:tc>
      </w:tr>
      <w:tr w:rsidR="00167764" w:rsidRPr="00932A95" w14:paraId="59D89E35" w14:textId="77777777" w:rsidTr="00167764">
        <w:trPr>
          <w:trHeight w:val="25"/>
        </w:trPr>
        <w:tc>
          <w:tcPr>
            <w:tcW w:w="3075" w:type="dxa"/>
            <w:shd w:val="clear" w:color="auto" w:fill="auto"/>
            <w:tcMar>
              <w:top w:w="100" w:type="dxa"/>
              <w:left w:w="100" w:type="dxa"/>
              <w:bottom w:w="100" w:type="dxa"/>
              <w:right w:w="100" w:type="dxa"/>
            </w:tcMar>
            <w:vAlign w:val="bottom"/>
          </w:tcPr>
          <w:p w14:paraId="3B02AC23" w14:textId="77777777" w:rsidR="0011433B" w:rsidRPr="00932A95" w:rsidRDefault="002F52BB" w:rsidP="00374FC0">
            <w:pPr>
              <w:spacing w:line="360" w:lineRule="auto"/>
              <w:ind w:firstLine="340"/>
              <w:jc w:val="both"/>
              <w:rPr>
                <w:rFonts w:ascii="Book Antiqua" w:hAnsi="Book Antiqua" w:cs="Book Antiqua"/>
                <w:color w:val="auto"/>
                <w:sz w:val="24"/>
                <w:szCs w:val="24"/>
              </w:rPr>
            </w:pPr>
            <w:r w:rsidRPr="00932A95">
              <w:rPr>
                <w:rFonts w:ascii="Book Antiqua" w:hAnsi="Book Antiqua" w:cs="Book Antiqua"/>
                <w:color w:val="auto"/>
                <w:sz w:val="24"/>
                <w:szCs w:val="24"/>
              </w:rPr>
              <w:t>Portosystemic shunt</w:t>
            </w:r>
          </w:p>
        </w:tc>
        <w:tc>
          <w:tcPr>
            <w:tcW w:w="1815" w:type="dxa"/>
            <w:shd w:val="clear" w:color="auto" w:fill="auto"/>
            <w:tcMar>
              <w:top w:w="100" w:type="dxa"/>
              <w:left w:w="100" w:type="dxa"/>
              <w:bottom w:w="100" w:type="dxa"/>
              <w:right w:w="100" w:type="dxa"/>
            </w:tcMar>
            <w:vAlign w:val="bottom"/>
          </w:tcPr>
          <w:p w14:paraId="7092815F" w14:textId="7A90CC15" w:rsidR="0011433B" w:rsidRPr="00932A95" w:rsidRDefault="00176861"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8871 (</w:t>
            </w:r>
            <w:r w:rsidR="002F52BB" w:rsidRPr="00932A95">
              <w:rPr>
                <w:rFonts w:ascii="Book Antiqua" w:hAnsi="Book Antiqua" w:cs="Book Antiqua"/>
                <w:color w:val="auto"/>
                <w:sz w:val="24"/>
                <w:szCs w:val="24"/>
              </w:rPr>
              <w:t>15.2</w:t>
            </w:r>
            <w:r>
              <w:rPr>
                <w:rFonts w:ascii="Book Antiqua" w:hAnsi="Book Antiqua" w:cs="Book Antiqua"/>
                <w:color w:val="auto"/>
                <w:sz w:val="24"/>
                <w:szCs w:val="24"/>
              </w:rPr>
              <w:t>)</w:t>
            </w:r>
          </w:p>
        </w:tc>
        <w:tc>
          <w:tcPr>
            <w:tcW w:w="2250" w:type="dxa"/>
            <w:shd w:val="clear" w:color="auto" w:fill="auto"/>
            <w:tcMar>
              <w:top w:w="100" w:type="dxa"/>
              <w:left w:w="100" w:type="dxa"/>
              <w:bottom w:w="100" w:type="dxa"/>
              <w:right w:w="100" w:type="dxa"/>
            </w:tcMar>
            <w:vAlign w:val="bottom"/>
          </w:tcPr>
          <w:p w14:paraId="3F79FE5E" w14:textId="2F90FE7A"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5195 (</w:t>
            </w:r>
            <w:r w:rsidR="002F52BB" w:rsidRPr="00932A95">
              <w:rPr>
                <w:rFonts w:ascii="Book Antiqua" w:hAnsi="Book Antiqua" w:cs="Book Antiqua"/>
                <w:color w:val="auto"/>
                <w:sz w:val="24"/>
                <w:szCs w:val="24"/>
              </w:rPr>
              <w:t>17.1</w:t>
            </w:r>
            <w:r w:rsidR="00176861">
              <w:rPr>
                <w:rFonts w:ascii="Book Antiqua" w:hAnsi="Book Antiqua" w:cs="Book Antiqua"/>
                <w:color w:val="auto"/>
                <w:sz w:val="24"/>
                <w:szCs w:val="24"/>
              </w:rPr>
              <w:t>)</w:t>
            </w:r>
          </w:p>
        </w:tc>
        <w:tc>
          <w:tcPr>
            <w:tcW w:w="1965" w:type="dxa"/>
            <w:shd w:val="clear" w:color="auto" w:fill="auto"/>
            <w:tcMar>
              <w:top w:w="100" w:type="dxa"/>
              <w:left w:w="100" w:type="dxa"/>
              <w:bottom w:w="100" w:type="dxa"/>
              <w:right w:w="100" w:type="dxa"/>
            </w:tcMar>
            <w:vAlign w:val="bottom"/>
          </w:tcPr>
          <w:p w14:paraId="46202282" w14:textId="09C0405C" w:rsidR="0011433B" w:rsidRPr="00932A95" w:rsidRDefault="00C04F63"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2770 (</w:t>
            </w:r>
            <w:r w:rsidR="002F52BB" w:rsidRPr="00932A95">
              <w:rPr>
                <w:rFonts w:ascii="Book Antiqua" w:hAnsi="Book Antiqua" w:cs="Book Antiqua"/>
                <w:color w:val="auto"/>
                <w:sz w:val="24"/>
                <w:szCs w:val="24"/>
              </w:rPr>
              <w:t>9.9</w:t>
            </w:r>
            <w:r w:rsidR="00176861">
              <w:rPr>
                <w:rFonts w:ascii="Book Antiqua" w:hAnsi="Book Antiqua" w:cs="Book Antiqua"/>
                <w:color w:val="auto"/>
                <w:sz w:val="24"/>
                <w:szCs w:val="24"/>
              </w:rPr>
              <w:t>)</w:t>
            </w:r>
          </w:p>
        </w:tc>
      </w:tr>
    </w:tbl>
    <w:p w14:paraId="663A2DF2" w14:textId="1F8724C0" w:rsidR="0011433B" w:rsidRPr="00932A95" w:rsidRDefault="002F52BB" w:rsidP="00374FC0">
      <w:pPr>
        <w:spacing w:line="360" w:lineRule="auto"/>
        <w:jc w:val="both"/>
        <w:rPr>
          <w:rFonts w:ascii="Book Antiqua" w:hAnsi="Book Antiqua" w:cs="Book Antiqua"/>
          <w:color w:val="auto"/>
          <w:sz w:val="24"/>
          <w:szCs w:val="24"/>
          <w:lang w:val="en-US"/>
        </w:rPr>
      </w:pPr>
      <w:proofErr w:type="spellStart"/>
      <w:r w:rsidRPr="00932A95">
        <w:rPr>
          <w:rFonts w:ascii="Book Antiqua" w:hAnsi="Book Antiqua" w:cs="Book Antiqua"/>
          <w:color w:val="auto"/>
          <w:sz w:val="24"/>
          <w:szCs w:val="24"/>
          <w:vertAlign w:val="superscript"/>
        </w:rPr>
        <w:t>a</w:t>
      </w:r>
      <w:r w:rsidRPr="00932A95">
        <w:rPr>
          <w:rFonts w:ascii="Book Antiqua" w:hAnsi="Book Antiqua" w:cs="Book Antiqua"/>
          <w:i/>
          <w:iCs/>
          <w:color w:val="auto"/>
          <w:sz w:val="24"/>
          <w:szCs w:val="24"/>
        </w:rPr>
        <w:t>P</w:t>
      </w:r>
      <w:proofErr w:type="spellEnd"/>
      <w:r w:rsidRPr="00932A95">
        <w:rPr>
          <w:rFonts w:ascii="Book Antiqua" w:hAnsi="Book Antiqua" w:cs="Book Antiqua"/>
          <w:color w:val="auto"/>
          <w:sz w:val="24"/>
          <w:szCs w:val="24"/>
        </w:rPr>
        <w:t xml:space="preserve"> &gt; 0.05 in comparison between groups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All data are proportions [</w:t>
      </w:r>
      <w:r w:rsidR="0043179C" w:rsidRPr="00932A95">
        <w:rPr>
          <w:rFonts w:ascii="Book Antiqua" w:hAnsi="Book Antiqua" w:cs="Book Antiqua"/>
          <w:i/>
          <w:iCs/>
          <w:color w:val="auto"/>
          <w:sz w:val="24"/>
          <w:szCs w:val="24"/>
        </w:rPr>
        <w:t>n</w:t>
      </w:r>
      <w:r w:rsidR="00C37401">
        <w:rPr>
          <w:rFonts w:ascii="Book Antiqua" w:hAnsi="Book Antiqua" w:cs="Book Antiqua"/>
          <w:color w:val="auto"/>
          <w:sz w:val="24"/>
          <w:szCs w:val="24"/>
        </w:rPr>
        <w:t xml:space="preserve"> </w:t>
      </w:r>
      <w:r w:rsidRPr="00932A95">
        <w:rPr>
          <w:rFonts w:ascii="Book Antiqua" w:hAnsi="Book Antiqua" w:cs="Book Antiqua"/>
          <w:color w:val="auto"/>
          <w:sz w:val="24"/>
          <w:szCs w:val="24"/>
        </w:rPr>
        <w:t>(</w:t>
      </w:r>
      <w:r w:rsidR="0043179C" w:rsidRPr="00932A95">
        <w:rPr>
          <w:rFonts w:ascii="Book Antiqua" w:hAnsi="Book Antiqua" w:cs="Book Antiqua"/>
          <w:color w:val="auto"/>
          <w:sz w:val="24"/>
          <w:szCs w:val="24"/>
        </w:rPr>
        <w:t>%</w:t>
      </w:r>
      <w:r w:rsidRPr="00932A95">
        <w:rPr>
          <w:rFonts w:ascii="Book Antiqua" w:hAnsi="Book Antiqua" w:cs="Book Antiqua"/>
          <w:color w:val="auto"/>
          <w:sz w:val="24"/>
          <w:szCs w:val="24"/>
        </w:rPr>
        <w:t>)].</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 xml:space="preserve">Comparisons between groups made with </w:t>
      </w:r>
      <w:r w:rsidRPr="00850974">
        <w:rPr>
          <w:rFonts w:ascii="Book Antiqua" w:hAnsi="Book Antiqua" w:cs="Book Antiqua"/>
          <w:i/>
          <w:color w:val="auto"/>
          <w:sz w:val="24"/>
          <w:szCs w:val="24"/>
        </w:rPr>
        <w:t>χ</w:t>
      </w:r>
      <w:r w:rsidRPr="00850974">
        <w:rPr>
          <w:rFonts w:ascii="Book Antiqua" w:hAnsi="Book Antiqua" w:cs="Book Antiqua"/>
          <w:i/>
          <w:color w:val="auto"/>
          <w:sz w:val="24"/>
          <w:szCs w:val="24"/>
          <w:vertAlign w:val="superscript"/>
        </w:rPr>
        <w:t>2</w:t>
      </w:r>
      <w:r w:rsidRPr="00932A95">
        <w:rPr>
          <w:rFonts w:ascii="Book Antiqua" w:hAnsi="Book Antiqua" w:cs="Book Antiqua"/>
          <w:color w:val="auto"/>
          <w:sz w:val="24"/>
          <w:szCs w:val="24"/>
        </w:rPr>
        <w:t xml:space="preserve"> test. All comparisons had </w:t>
      </w:r>
      <w:r w:rsidRPr="00932A95">
        <w:rPr>
          <w:rFonts w:ascii="Book Antiqua" w:hAnsi="Book Antiqua" w:cs="Book Antiqua"/>
          <w:i/>
          <w:iCs/>
          <w:color w:val="auto"/>
          <w:sz w:val="24"/>
          <w:szCs w:val="24"/>
        </w:rPr>
        <w:t>P</w:t>
      </w:r>
      <w:r w:rsidRPr="00932A95">
        <w:rPr>
          <w:rFonts w:ascii="Book Antiqua" w:hAnsi="Book Antiqua" w:cs="Book Antiqua"/>
          <w:color w:val="auto"/>
          <w:sz w:val="24"/>
          <w:szCs w:val="24"/>
        </w:rPr>
        <w:t xml:space="preserve"> &lt; 0.001 between groups unless otherwise stated</w:t>
      </w:r>
      <w:r w:rsidRPr="00932A95">
        <w:rPr>
          <w:rFonts w:ascii="Book Antiqua" w:hAnsi="Book Antiqua" w:cs="Book Antiqua"/>
          <w:color w:val="auto"/>
          <w:sz w:val="24"/>
          <w:szCs w:val="24"/>
          <w:lang w:val="en-US"/>
        </w:rPr>
        <w:t>.</w:t>
      </w:r>
    </w:p>
    <w:p w14:paraId="61017CD2" w14:textId="77777777" w:rsidR="0011433B" w:rsidRPr="00932A95" w:rsidRDefault="0011433B" w:rsidP="00374FC0">
      <w:pPr>
        <w:spacing w:line="360" w:lineRule="auto"/>
        <w:jc w:val="both"/>
        <w:rPr>
          <w:rFonts w:ascii="Book Antiqua" w:hAnsi="Book Antiqua" w:cs="Book Antiqua"/>
          <w:color w:val="auto"/>
          <w:sz w:val="24"/>
          <w:szCs w:val="24"/>
        </w:rPr>
      </w:pPr>
    </w:p>
    <w:p w14:paraId="111E715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57EDC88D" w14:textId="77777777" w:rsidR="0011433B" w:rsidRPr="00932A95" w:rsidRDefault="002F52BB" w:rsidP="00374FC0">
      <w:pPr>
        <w:spacing w:line="360" w:lineRule="auto"/>
        <w:jc w:val="both"/>
        <w:outlineLvl w:val="0"/>
        <w:rPr>
          <w:rFonts w:ascii="Book Antiqua" w:hAnsi="Book Antiqua" w:cs="Book Antiqua"/>
          <w:color w:val="auto"/>
          <w:sz w:val="24"/>
          <w:szCs w:val="24"/>
        </w:rPr>
      </w:pPr>
      <w:r w:rsidRPr="00932A95">
        <w:rPr>
          <w:rFonts w:ascii="Book Antiqua" w:hAnsi="Book Antiqua" w:cs="Book Antiqua"/>
          <w:b/>
          <w:color w:val="auto"/>
          <w:sz w:val="24"/>
          <w:szCs w:val="24"/>
        </w:rPr>
        <w:lastRenderedPageBreak/>
        <w:t>Table 5</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Length of stay</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and cost of hospitalization</w:t>
      </w:r>
    </w:p>
    <w:tbl>
      <w:tblPr>
        <w:tblStyle w:val="Style15"/>
        <w:tblW w:w="9470" w:type="dxa"/>
        <w:tblInd w:w="100" w:type="dxa"/>
        <w:tblBorders>
          <w:top w:val="single" w:sz="4" w:space="0" w:color="auto"/>
          <w:bottom w:val="single" w:sz="4" w:space="0" w:color="auto"/>
        </w:tblBorders>
        <w:tblLayout w:type="fixed"/>
        <w:tblLook w:val="04A0" w:firstRow="1" w:lastRow="0" w:firstColumn="1" w:lastColumn="0" w:noHBand="0" w:noVBand="1"/>
      </w:tblPr>
      <w:tblGrid>
        <w:gridCol w:w="2813"/>
        <w:gridCol w:w="1921"/>
        <w:gridCol w:w="1802"/>
        <w:gridCol w:w="1965"/>
        <w:gridCol w:w="969"/>
      </w:tblGrid>
      <w:tr w:rsidR="00F67DE8" w:rsidRPr="00932A95" w14:paraId="09A7016E" w14:textId="77777777" w:rsidTr="00F67DE8">
        <w:trPr>
          <w:trHeight w:val="460"/>
        </w:trPr>
        <w:tc>
          <w:tcPr>
            <w:tcW w:w="2813"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5833B5CB" w14:textId="77777777" w:rsidR="0011433B" w:rsidRPr="00932A95" w:rsidRDefault="002F52BB" w:rsidP="00374FC0">
            <w:pPr>
              <w:spacing w:line="360" w:lineRule="auto"/>
              <w:ind w:left="-20"/>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1921"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52D20E27" w14:textId="77777777" w:rsidR="0011433B" w:rsidRPr="00932A95" w:rsidRDefault="00F67DE8"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All (58</w:t>
            </w:r>
            <w:r w:rsidR="002F52BB" w:rsidRPr="00932A95">
              <w:rPr>
                <w:rFonts w:ascii="Book Antiqua" w:hAnsi="Book Antiqua" w:cs="Book Antiqua"/>
                <w:b/>
                <w:color w:val="auto"/>
                <w:sz w:val="24"/>
                <w:szCs w:val="24"/>
              </w:rPr>
              <w:t>362)</w:t>
            </w:r>
          </w:p>
        </w:tc>
        <w:tc>
          <w:tcPr>
            <w:tcW w:w="1802"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5F75CD1A" w14:textId="77777777" w:rsidR="0011433B" w:rsidRPr="00932A95" w:rsidRDefault="00F67DE8"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Teaching (30</w:t>
            </w:r>
            <w:r w:rsidR="002F52BB" w:rsidRPr="00932A95">
              <w:rPr>
                <w:rFonts w:ascii="Book Antiqua" w:hAnsi="Book Antiqua" w:cs="Book Antiqua"/>
                <w:b/>
                <w:color w:val="auto"/>
                <w:sz w:val="24"/>
                <w:szCs w:val="24"/>
              </w:rPr>
              <w:t>382)</w:t>
            </w:r>
          </w:p>
        </w:tc>
        <w:tc>
          <w:tcPr>
            <w:tcW w:w="1965"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454A3D9B" w14:textId="77777777" w:rsidR="0011433B" w:rsidRPr="00932A95" w:rsidRDefault="00F67DE8" w:rsidP="00374FC0">
            <w:pPr>
              <w:spacing w:line="360" w:lineRule="auto"/>
              <w:jc w:val="both"/>
              <w:rPr>
                <w:rFonts w:ascii="Book Antiqua" w:hAnsi="Book Antiqua" w:cs="Book Antiqua"/>
                <w:b/>
                <w:color w:val="auto"/>
                <w:sz w:val="24"/>
                <w:szCs w:val="24"/>
              </w:rPr>
            </w:pPr>
            <w:r>
              <w:rPr>
                <w:rFonts w:ascii="Book Antiqua" w:hAnsi="Book Antiqua" w:cs="Book Antiqua"/>
                <w:b/>
                <w:color w:val="auto"/>
                <w:sz w:val="24"/>
                <w:szCs w:val="24"/>
              </w:rPr>
              <w:t>Non-teaching (27</w:t>
            </w:r>
            <w:r w:rsidR="002F52BB" w:rsidRPr="00932A95">
              <w:rPr>
                <w:rFonts w:ascii="Book Antiqua" w:hAnsi="Book Antiqua" w:cs="Book Antiqua"/>
                <w:b/>
                <w:color w:val="auto"/>
                <w:sz w:val="24"/>
                <w:szCs w:val="24"/>
              </w:rPr>
              <w:t>979)</w:t>
            </w:r>
          </w:p>
        </w:tc>
        <w:tc>
          <w:tcPr>
            <w:tcW w:w="969"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4C2A3102" w14:textId="77777777" w:rsidR="0011433B" w:rsidRPr="00932A95" w:rsidRDefault="002F52BB" w:rsidP="00374FC0">
            <w:pPr>
              <w:spacing w:line="360" w:lineRule="auto"/>
              <w:jc w:val="both"/>
              <w:rPr>
                <w:rFonts w:ascii="Book Antiqua" w:hAnsi="Book Antiqua" w:cs="Book Antiqua"/>
                <w:b/>
                <w:color w:val="auto"/>
                <w:sz w:val="24"/>
                <w:szCs w:val="24"/>
              </w:rPr>
            </w:pPr>
            <w:r w:rsidRPr="00932A95">
              <w:rPr>
                <w:rFonts w:ascii="Book Antiqua" w:hAnsi="Book Antiqua" w:cs="Book Antiqua"/>
                <w:b/>
                <w:i/>
                <w:iCs/>
                <w:color w:val="auto"/>
                <w:sz w:val="24"/>
                <w:szCs w:val="24"/>
              </w:rPr>
              <w:t>P</w:t>
            </w:r>
            <w:r w:rsidRPr="00932A95">
              <w:rPr>
                <w:rFonts w:ascii="Book Antiqua" w:hAnsi="Book Antiqua" w:cs="Book Antiqua"/>
                <w:b/>
                <w:i/>
                <w:iCs/>
                <w:color w:val="auto"/>
                <w:sz w:val="24"/>
                <w:szCs w:val="24"/>
                <w:lang w:val="en-US"/>
              </w:rPr>
              <w:t xml:space="preserve"> </w:t>
            </w:r>
            <w:r w:rsidRPr="00932A95">
              <w:rPr>
                <w:rFonts w:ascii="Book Antiqua" w:hAnsi="Book Antiqua" w:cs="Book Antiqua"/>
                <w:b/>
                <w:color w:val="auto"/>
                <w:sz w:val="24"/>
                <w:szCs w:val="24"/>
              </w:rPr>
              <w:t>value</w:t>
            </w:r>
          </w:p>
        </w:tc>
      </w:tr>
      <w:tr w:rsidR="00F67DE8" w:rsidRPr="00932A95" w14:paraId="39A0E7DF" w14:textId="77777777" w:rsidTr="00F67DE8">
        <w:trPr>
          <w:trHeight w:val="447"/>
        </w:trPr>
        <w:tc>
          <w:tcPr>
            <w:tcW w:w="2813" w:type="dxa"/>
            <w:vMerge/>
            <w:tcBorders>
              <w:top w:val="nil"/>
              <w:bottom w:val="single" w:sz="4" w:space="0" w:color="auto"/>
            </w:tcBorders>
            <w:shd w:val="clear" w:color="auto" w:fill="auto"/>
            <w:tcMar>
              <w:top w:w="100" w:type="dxa"/>
              <w:left w:w="100" w:type="dxa"/>
              <w:bottom w:w="100" w:type="dxa"/>
              <w:right w:w="100" w:type="dxa"/>
            </w:tcMar>
          </w:tcPr>
          <w:p w14:paraId="66EE9B6C"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21" w:type="dxa"/>
            <w:vMerge/>
            <w:tcBorders>
              <w:top w:val="nil"/>
              <w:bottom w:val="single" w:sz="4" w:space="0" w:color="auto"/>
            </w:tcBorders>
            <w:shd w:val="clear" w:color="auto" w:fill="auto"/>
            <w:tcMar>
              <w:top w:w="100" w:type="dxa"/>
              <w:left w:w="100" w:type="dxa"/>
              <w:bottom w:w="100" w:type="dxa"/>
              <w:right w:w="100" w:type="dxa"/>
            </w:tcMar>
          </w:tcPr>
          <w:p w14:paraId="6ACD5C7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802" w:type="dxa"/>
            <w:vMerge/>
            <w:tcBorders>
              <w:top w:val="nil"/>
              <w:bottom w:val="single" w:sz="4" w:space="0" w:color="auto"/>
            </w:tcBorders>
            <w:shd w:val="clear" w:color="auto" w:fill="auto"/>
            <w:tcMar>
              <w:top w:w="100" w:type="dxa"/>
              <w:left w:w="100" w:type="dxa"/>
              <w:bottom w:w="100" w:type="dxa"/>
              <w:right w:w="100" w:type="dxa"/>
            </w:tcMar>
          </w:tcPr>
          <w:p w14:paraId="63623AF1"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vMerge/>
            <w:tcBorders>
              <w:top w:val="nil"/>
              <w:bottom w:val="single" w:sz="4" w:space="0" w:color="auto"/>
            </w:tcBorders>
            <w:shd w:val="clear" w:color="auto" w:fill="auto"/>
            <w:tcMar>
              <w:top w:w="100" w:type="dxa"/>
              <w:left w:w="100" w:type="dxa"/>
              <w:bottom w:w="100" w:type="dxa"/>
              <w:right w:w="100" w:type="dxa"/>
            </w:tcMar>
          </w:tcPr>
          <w:p w14:paraId="4A7C226A"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969" w:type="dxa"/>
            <w:vMerge/>
            <w:tcBorders>
              <w:top w:val="nil"/>
              <w:bottom w:val="single" w:sz="4" w:space="0" w:color="auto"/>
            </w:tcBorders>
            <w:shd w:val="clear" w:color="auto" w:fill="auto"/>
            <w:tcMar>
              <w:top w:w="100" w:type="dxa"/>
              <w:left w:w="100" w:type="dxa"/>
              <w:bottom w:w="100" w:type="dxa"/>
              <w:right w:w="100" w:type="dxa"/>
            </w:tcMar>
          </w:tcPr>
          <w:p w14:paraId="174127CF"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r>
      <w:tr w:rsidR="00F67DE8" w:rsidRPr="00932A95" w14:paraId="1A3D2CFF" w14:textId="77777777" w:rsidTr="00F67DE8">
        <w:trPr>
          <w:trHeight w:val="25"/>
        </w:trPr>
        <w:tc>
          <w:tcPr>
            <w:tcW w:w="2813" w:type="dxa"/>
            <w:tcBorders>
              <w:top w:val="single" w:sz="4" w:space="0" w:color="auto"/>
            </w:tcBorders>
            <w:shd w:val="clear" w:color="auto" w:fill="auto"/>
            <w:tcMar>
              <w:top w:w="100" w:type="dxa"/>
              <w:left w:w="100" w:type="dxa"/>
              <w:bottom w:w="100" w:type="dxa"/>
              <w:right w:w="100" w:type="dxa"/>
            </w:tcMar>
            <w:vAlign w:val="bottom"/>
          </w:tcPr>
          <w:p w14:paraId="6CEC2E46"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Length of stay</w:t>
            </w:r>
          </w:p>
        </w:tc>
        <w:tc>
          <w:tcPr>
            <w:tcW w:w="1921" w:type="dxa"/>
            <w:tcBorders>
              <w:top w:val="single" w:sz="4" w:space="0" w:color="auto"/>
            </w:tcBorders>
            <w:shd w:val="clear" w:color="auto" w:fill="auto"/>
            <w:tcMar>
              <w:top w:w="100" w:type="dxa"/>
              <w:left w:w="100" w:type="dxa"/>
              <w:bottom w:w="100" w:type="dxa"/>
              <w:right w:w="100" w:type="dxa"/>
            </w:tcMar>
            <w:vAlign w:val="bottom"/>
          </w:tcPr>
          <w:p w14:paraId="3BB83295"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802" w:type="dxa"/>
            <w:tcBorders>
              <w:top w:val="single" w:sz="4" w:space="0" w:color="auto"/>
            </w:tcBorders>
            <w:shd w:val="clear" w:color="auto" w:fill="auto"/>
            <w:tcMar>
              <w:top w:w="100" w:type="dxa"/>
              <w:left w:w="100" w:type="dxa"/>
              <w:bottom w:w="100" w:type="dxa"/>
              <w:right w:w="100" w:type="dxa"/>
            </w:tcMar>
            <w:vAlign w:val="bottom"/>
          </w:tcPr>
          <w:p w14:paraId="24796169"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tcBorders>
              <w:top w:val="single" w:sz="4" w:space="0" w:color="auto"/>
            </w:tcBorders>
            <w:shd w:val="clear" w:color="auto" w:fill="auto"/>
            <w:tcMar>
              <w:top w:w="100" w:type="dxa"/>
              <w:left w:w="100" w:type="dxa"/>
              <w:bottom w:w="100" w:type="dxa"/>
              <w:right w:w="100" w:type="dxa"/>
            </w:tcMar>
            <w:vAlign w:val="bottom"/>
          </w:tcPr>
          <w:p w14:paraId="5F9AC678"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969" w:type="dxa"/>
            <w:tcBorders>
              <w:top w:val="single" w:sz="4" w:space="0" w:color="auto"/>
            </w:tcBorders>
            <w:shd w:val="clear" w:color="auto" w:fill="auto"/>
            <w:tcMar>
              <w:top w:w="100" w:type="dxa"/>
              <w:left w:w="100" w:type="dxa"/>
              <w:bottom w:w="100" w:type="dxa"/>
              <w:right w:w="100" w:type="dxa"/>
            </w:tcMar>
            <w:vAlign w:val="bottom"/>
          </w:tcPr>
          <w:p w14:paraId="4FBCD4D1"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F67DE8" w:rsidRPr="00932A95" w14:paraId="29702CBF" w14:textId="77777777" w:rsidTr="00F67DE8">
        <w:trPr>
          <w:trHeight w:val="25"/>
        </w:trPr>
        <w:tc>
          <w:tcPr>
            <w:tcW w:w="2813" w:type="dxa"/>
            <w:shd w:val="clear" w:color="auto" w:fill="auto"/>
            <w:tcMar>
              <w:top w:w="100" w:type="dxa"/>
              <w:left w:w="100" w:type="dxa"/>
              <w:bottom w:w="100" w:type="dxa"/>
              <w:right w:w="100" w:type="dxa"/>
            </w:tcMar>
            <w:vAlign w:val="bottom"/>
          </w:tcPr>
          <w:p w14:paraId="37F3E8A9" w14:textId="77777777" w:rsidR="0011433B" w:rsidRPr="00932A95" w:rsidRDefault="002F52BB" w:rsidP="00F67DE8">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Median (IQR) in days</w:t>
            </w:r>
          </w:p>
        </w:tc>
        <w:tc>
          <w:tcPr>
            <w:tcW w:w="1921" w:type="dxa"/>
            <w:shd w:val="clear" w:color="auto" w:fill="auto"/>
            <w:tcMar>
              <w:top w:w="100" w:type="dxa"/>
              <w:left w:w="100" w:type="dxa"/>
              <w:bottom w:w="100" w:type="dxa"/>
              <w:right w:w="100" w:type="dxa"/>
            </w:tcMar>
            <w:vAlign w:val="bottom"/>
          </w:tcPr>
          <w:p w14:paraId="233173D0"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4 (3-7)</w:t>
            </w:r>
          </w:p>
        </w:tc>
        <w:tc>
          <w:tcPr>
            <w:tcW w:w="1802" w:type="dxa"/>
            <w:shd w:val="clear" w:color="auto" w:fill="auto"/>
            <w:tcMar>
              <w:top w:w="100" w:type="dxa"/>
              <w:left w:w="100" w:type="dxa"/>
              <w:bottom w:w="100" w:type="dxa"/>
              <w:right w:w="100" w:type="dxa"/>
            </w:tcMar>
            <w:vAlign w:val="bottom"/>
          </w:tcPr>
          <w:p w14:paraId="3B34B2ED"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5 (3-8)</w:t>
            </w:r>
          </w:p>
        </w:tc>
        <w:tc>
          <w:tcPr>
            <w:tcW w:w="1965" w:type="dxa"/>
            <w:shd w:val="clear" w:color="auto" w:fill="auto"/>
            <w:tcMar>
              <w:top w:w="100" w:type="dxa"/>
              <w:left w:w="100" w:type="dxa"/>
              <w:bottom w:w="100" w:type="dxa"/>
              <w:right w:w="100" w:type="dxa"/>
            </w:tcMar>
            <w:vAlign w:val="bottom"/>
          </w:tcPr>
          <w:p w14:paraId="6FC1090F"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4 (3-6)</w:t>
            </w:r>
          </w:p>
        </w:tc>
        <w:tc>
          <w:tcPr>
            <w:tcW w:w="969" w:type="dxa"/>
            <w:shd w:val="clear" w:color="auto" w:fill="auto"/>
            <w:tcMar>
              <w:top w:w="100" w:type="dxa"/>
              <w:left w:w="100" w:type="dxa"/>
              <w:bottom w:w="100" w:type="dxa"/>
              <w:right w:w="100" w:type="dxa"/>
            </w:tcMar>
            <w:vAlign w:val="bottom"/>
          </w:tcPr>
          <w:p w14:paraId="5B8571EB" w14:textId="77777777" w:rsidR="0011433B" w:rsidRPr="00932A95" w:rsidRDefault="0011433B" w:rsidP="00374FC0">
            <w:pPr>
              <w:spacing w:line="360" w:lineRule="auto"/>
              <w:jc w:val="both"/>
              <w:rPr>
                <w:rFonts w:ascii="Book Antiqua" w:hAnsi="Book Antiqua" w:cs="Book Antiqua"/>
                <w:color w:val="auto"/>
                <w:sz w:val="24"/>
                <w:szCs w:val="24"/>
              </w:rPr>
            </w:pPr>
          </w:p>
        </w:tc>
      </w:tr>
      <w:tr w:rsidR="00F67DE8" w:rsidRPr="00932A95" w14:paraId="5019797C" w14:textId="77777777" w:rsidTr="003508C1">
        <w:trPr>
          <w:trHeight w:val="99"/>
        </w:trPr>
        <w:tc>
          <w:tcPr>
            <w:tcW w:w="2813" w:type="dxa"/>
            <w:shd w:val="clear" w:color="auto" w:fill="auto"/>
            <w:tcMar>
              <w:top w:w="100" w:type="dxa"/>
              <w:left w:w="100" w:type="dxa"/>
              <w:bottom w:w="100" w:type="dxa"/>
              <w:right w:w="100" w:type="dxa"/>
            </w:tcMar>
            <w:vAlign w:val="bottom"/>
          </w:tcPr>
          <w:p w14:paraId="4F717633"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Cost of hospitalization</w:t>
            </w:r>
          </w:p>
        </w:tc>
        <w:tc>
          <w:tcPr>
            <w:tcW w:w="1921" w:type="dxa"/>
            <w:shd w:val="clear" w:color="auto" w:fill="auto"/>
            <w:tcMar>
              <w:top w:w="100" w:type="dxa"/>
              <w:left w:w="100" w:type="dxa"/>
              <w:bottom w:w="100" w:type="dxa"/>
              <w:right w:w="100" w:type="dxa"/>
            </w:tcMar>
            <w:vAlign w:val="bottom"/>
          </w:tcPr>
          <w:p w14:paraId="4ED0620F" w14:textId="77777777" w:rsidR="0011433B" w:rsidRPr="00932A95" w:rsidRDefault="0011433B" w:rsidP="00374FC0">
            <w:pPr>
              <w:spacing w:line="360" w:lineRule="auto"/>
              <w:jc w:val="both"/>
              <w:rPr>
                <w:rFonts w:ascii="Book Antiqua" w:hAnsi="Book Antiqua" w:cs="Book Antiqua"/>
                <w:color w:val="auto"/>
                <w:sz w:val="24"/>
                <w:szCs w:val="24"/>
              </w:rPr>
            </w:pPr>
          </w:p>
        </w:tc>
        <w:tc>
          <w:tcPr>
            <w:tcW w:w="1802" w:type="dxa"/>
            <w:shd w:val="clear" w:color="auto" w:fill="auto"/>
            <w:tcMar>
              <w:top w:w="100" w:type="dxa"/>
              <w:left w:w="100" w:type="dxa"/>
              <w:bottom w:w="100" w:type="dxa"/>
              <w:right w:w="100" w:type="dxa"/>
            </w:tcMar>
            <w:vAlign w:val="bottom"/>
          </w:tcPr>
          <w:p w14:paraId="2B4EC9FE"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1965" w:type="dxa"/>
            <w:shd w:val="clear" w:color="auto" w:fill="auto"/>
            <w:tcMar>
              <w:top w:w="100" w:type="dxa"/>
              <w:left w:w="100" w:type="dxa"/>
              <w:bottom w:w="100" w:type="dxa"/>
              <w:right w:w="100" w:type="dxa"/>
            </w:tcMar>
            <w:vAlign w:val="bottom"/>
          </w:tcPr>
          <w:p w14:paraId="08A7E85F" w14:textId="77777777" w:rsidR="0011433B" w:rsidRPr="00932A95" w:rsidRDefault="0011433B" w:rsidP="00374FC0">
            <w:pPr>
              <w:widowControl w:val="0"/>
              <w:spacing w:line="360" w:lineRule="auto"/>
              <w:jc w:val="both"/>
              <w:rPr>
                <w:rFonts w:ascii="Book Antiqua" w:hAnsi="Book Antiqua" w:cs="Book Antiqua"/>
                <w:color w:val="auto"/>
                <w:sz w:val="24"/>
                <w:szCs w:val="24"/>
              </w:rPr>
            </w:pPr>
          </w:p>
        </w:tc>
        <w:tc>
          <w:tcPr>
            <w:tcW w:w="969" w:type="dxa"/>
            <w:shd w:val="clear" w:color="auto" w:fill="auto"/>
            <w:tcMar>
              <w:top w:w="100" w:type="dxa"/>
              <w:left w:w="100" w:type="dxa"/>
              <w:bottom w:w="100" w:type="dxa"/>
              <w:right w:w="100" w:type="dxa"/>
            </w:tcMar>
            <w:vAlign w:val="bottom"/>
          </w:tcPr>
          <w:p w14:paraId="2C8A48D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F67DE8" w:rsidRPr="00932A95" w14:paraId="28212410" w14:textId="77777777" w:rsidTr="00F67DE8">
        <w:trPr>
          <w:trHeight w:val="25"/>
        </w:trPr>
        <w:tc>
          <w:tcPr>
            <w:tcW w:w="2813" w:type="dxa"/>
            <w:shd w:val="clear" w:color="auto" w:fill="auto"/>
            <w:tcMar>
              <w:top w:w="100" w:type="dxa"/>
              <w:left w:w="100" w:type="dxa"/>
              <w:bottom w:w="100" w:type="dxa"/>
              <w:right w:w="100" w:type="dxa"/>
            </w:tcMar>
            <w:vAlign w:val="bottom"/>
          </w:tcPr>
          <w:p w14:paraId="7C565CE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Mean in US dollars (SD)</w:t>
            </w:r>
          </w:p>
        </w:tc>
        <w:tc>
          <w:tcPr>
            <w:tcW w:w="1921" w:type="dxa"/>
            <w:shd w:val="clear" w:color="auto" w:fill="auto"/>
            <w:tcMar>
              <w:top w:w="100" w:type="dxa"/>
              <w:left w:w="100" w:type="dxa"/>
              <w:bottom w:w="100" w:type="dxa"/>
              <w:right w:w="100" w:type="dxa"/>
            </w:tcMar>
            <w:vAlign w:val="bottom"/>
          </w:tcPr>
          <w:p w14:paraId="1837792B" w14:textId="77777777" w:rsidR="0011433B" w:rsidRPr="00932A95" w:rsidRDefault="00F67DE8"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$19049 (11</w:t>
            </w:r>
            <w:r w:rsidR="002F52BB" w:rsidRPr="00932A95">
              <w:rPr>
                <w:rFonts w:ascii="Book Antiqua" w:hAnsi="Book Antiqua" w:cs="Book Antiqua"/>
                <w:color w:val="auto"/>
                <w:sz w:val="24"/>
                <w:szCs w:val="24"/>
              </w:rPr>
              <w:t>880)</w:t>
            </w:r>
          </w:p>
        </w:tc>
        <w:tc>
          <w:tcPr>
            <w:tcW w:w="1802" w:type="dxa"/>
            <w:shd w:val="clear" w:color="auto" w:fill="auto"/>
            <w:tcMar>
              <w:top w:w="100" w:type="dxa"/>
              <w:left w:w="100" w:type="dxa"/>
              <w:bottom w:w="100" w:type="dxa"/>
              <w:right w:w="100" w:type="dxa"/>
            </w:tcMar>
            <w:vAlign w:val="bottom"/>
          </w:tcPr>
          <w:p w14:paraId="2330195A" w14:textId="77777777" w:rsidR="0011433B" w:rsidRPr="00932A95" w:rsidRDefault="00F67DE8"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$22355 (12</w:t>
            </w:r>
            <w:r w:rsidR="002F52BB" w:rsidRPr="00932A95">
              <w:rPr>
                <w:rFonts w:ascii="Book Antiqua" w:hAnsi="Book Antiqua" w:cs="Book Antiqua"/>
                <w:color w:val="auto"/>
                <w:sz w:val="24"/>
                <w:szCs w:val="24"/>
              </w:rPr>
              <w:t>996)</w:t>
            </w:r>
          </w:p>
        </w:tc>
        <w:tc>
          <w:tcPr>
            <w:tcW w:w="1965" w:type="dxa"/>
            <w:shd w:val="clear" w:color="auto" w:fill="auto"/>
            <w:tcMar>
              <w:top w:w="100" w:type="dxa"/>
              <w:left w:w="100" w:type="dxa"/>
              <w:bottom w:w="100" w:type="dxa"/>
              <w:right w:w="100" w:type="dxa"/>
            </w:tcMar>
            <w:vAlign w:val="bottom"/>
          </w:tcPr>
          <w:p w14:paraId="0749440D" w14:textId="77777777" w:rsidR="0011433B" w:rsidRPr="00932A95" w:rsidRDefault="00F67DE8" w:rsidP="00374FC0">
            <w:pPr>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$15535 (10</w:t>
            </w:r>
            <w:r w:rsidR="002F52BB" w:rsidRPr="00932A95">
              <w:rPr>
                <w:rFonts w:ascii="Book Antiqua" w:hAnsi="Book Antiqua" w:cs="Book Antiqua"/>
                <w:color w:val="auto"/>
                <w:sz w:val="24"/>
                <w:szCs w:val="24"/>
              </w:rPr>
              <w:t>935)</w:t>
            </w:r>
          </w:p>
        </w:tc>
        <w:tc>
          <w:tcPr>
            <w:tcW w:w="969" w:type="dxa"/>
            <w:shd w:val="clear" w:color="auto" w:fill="auto"/>
            <w:tcMar>
              <w:top w:w="100" w:type="dxa"/>
              <w:left w:w="100" w:type="dxa"/>
              <w:bottom w:w="100" w:type="dxa"/>
              <w:right w:w="100" w:type="dxa"/>
            </w:tcMar>
            <w:vAlign w:val="bottom"/>
          </w:tcPr>
          <w:p w14:paraId="20C45C99"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t xml:space="preserve"> </w:t>
            </w:r>
          </w:p>
        </w:tc>
      </w:tr>
    </w:tbl>
    <w:p w14:paraId="1A71426C" w14:textId="77777777" w:rsidR="0011433B" w:rsidRPr="00932A95" w:rsidRDefault="002F52BB" w:rsidP="00374FC0">
      <w:pPr>
        <w:spacing w:line="360" w:lineRule="auto"/>
        <w:jc w:val="both"/>
        <w:outlineLvl w:val="0"/>
        <w:rPr>
          <w:rFonts w:ascii="Book Antiqua" w:hAnsi="Book Antiqua" w:cs="Book Antiqua"/>
          <w:color w:val="auto"/>
          <w:sz w:val="24"/>
          <w:szCs w:val="24"/>
          <w:lang w:val="en-US"/>
        </w:rPr>
      </w:pPr>
      <w:r w:rsidRPr="00932A95">
        <w:rPr>
          <w:rFonts w:ascii="Book Antiqua" w:hAnsi="Book Antiqua" w:cs="Book Antiqua"/>
          <w:color w:val="auto"/>
          <w:sz w:val="24"/>
          <w:szCs w:val="24"/>
        </w:rPr>
        <w:t>IQR</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Interquartile range</w:t>
      </w:r>
      <w:r w:rsidRPr="00932A95">
        <w:rPr>
          <w:rFonts w:ascii="Book Antiqua" w:hAnsi="Book Antiqua" w:cs="Book Antiqua"/>
          <w:color w:val="auto"/>
          <w:sz w:val="24"/>
          <w:szCs w:val="24"/>
          <w:lang w:val="en-US"/>
        </w:rPr>
        <w:t>.</w:t>
      </w:r>
    </w:p>
    <w:p w14:paraId="060DDD17" w14:textId="77777777" w:rsidR="0011433B" w:rsidRPr="00932A95" w:rsidRDefault="0011433B" w:rsidP="00374FC0">
      <w:pPr>
        <w:spacing w:line="360" w:lineRule="auto"/>
        <w:jc w:val="both"/>
        <w:rPr>
          <w:rFonts w:ascii="Book Antiqua" w:hAnsi="Book Antiqua" w:cs="Book Antiqua"/>
          <w:color w:val="auto"/>
          <w:sz w:val="24"/>
          <w:szCs w:val="24"/>
        </w:rPr>
      </w:pPr>
    </w:p>
    <w:p w14:paraId="5CE76324"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color w:val="auto"/>
          <w:sz w:val="24"/>
          <w:szCs w:val="24"/>
        </w:rPr>
        <w:br w:type="page"/>
      </w:r>
    </w:p>
    <w:p w14:paraId="33D3473A" w14:textId="77777777" w:rsidR="0011433B" w:rsidRPr="00932A95" w:rsidRDefault="002F52BB" w:rsidP="00374FC0">
      <w:pPr>
        <w:spacing w:line="360" w:lineRule="auto"/>
        <w:jc w:val="both"/>
        <w:rPr>
          <w:rFonts w:ascii="Book Antiqua" w:hAnsi="Book Antiqua" w:cs="Book Antiqua"/>
          <w:color w:val="auto"/>
          <w:sz w:val="24"/>
          <w:szCs w:val="24"/>
        </w:rPr>
      </w:pPr>
      <w:r w:rsidRPr="00932A95">
        <w:rPr>
          <w:rFonts w:ascii="Book Antiqua" w:hAnsi="Book Antiqua" w:cs="Book Antiqua"/>
          <w:b/>
          <w:color w:val="auto"/>
          <w:sz w:val="24"/>
          <w:szCs w:val="24"/>
        </w:rPr>
        <w:lastRenderedPageBreak/>
        <w:t>Table 6</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 xml:space="preserve">Mortality, length of stay and cost in teaching </w:t>
      </w:r>
      <w:r w:rsidRPr="00932A95">
        <w:rPr>
          <w:rFonts w:ascii="Book Antiqua" w:hAnsi="Book Antiqua" w:cs="Book Antiqua"/>
          <w:b/>
          <w:i/>
          <w:iCs/>
          <w:color w:val="auto"/>
          <w:sz w:val="24"/>
          <w:szCs w:val="24"/>
          <w:lang w:val="en-US"/>
        </w:rPr>
        <w:t>vs</w:t>
      </w:r>
      <w:r w:rsidRPr="00932A95">
        <w:rPr>
          <w:rFonts w:ascii="Book Antiqua" w:hAnsi="Book Antiqua" w:cs="Book Antiqua"/>
          <w:b/>
          <w:color w:val="auto"/>
          <w:sz w:val="24"/>
          <w:szCs w:val="24"/>
        </w:rPr>
        <w:t xml:space="preserve"> nonteaching logistic regression</w:t>
      </w:r>
    </w:p>
    <w:tbl>
      <w:tblPr>
        <w:tblStyle w:val="Style16"/>
        <w:tblW w:w="8527" w:type="dxa"/>
        <w:tblInd w:w="120" w:type="dxa"/>
        <w:tblBorders>
          <w:top w:val="single" w:sz="4" w:space="0" w:color="auto"/>
          <w:bottom w:val="single" w:sz="4" w:space="0" w:color="auto"/>
        </w:tblBorders>
        <w:tblLayout w:type="fixed"/>
        <w:tblLook w:val="04A0" w:firstRow="1" w:lastRow="0" w:firstColumn="1" w:lastColumn="0" w:noHBand="0" w:noVBand="1"/>
      </w:tblPr>
      <w:tblGrid>
        <w:gridCol w:w="1785"/>
        <w:gridCol w:w="2520"/>
        <w:gridCol w:w="2238"/>
        <w:gridCol w:w="1984"/>
      </w:tblGrid>
      <w:tr w:rsidR="002718D5" w:rsidRPr="00932A95" w14:paraId="187DD2F4" w14:textId="77777777" w:rsidTr="00F7774C">
        <w:trPr>
          <w:trHeight w:val="288"/>
        </w:trPr>
        <w:tc>
          <w:tcPr>
            <w:tcW w:w="1785" w:type="dxa"/>
            <w:tcBorders>
              <w:top w:val="single" w:sz="4" w:space="0" w:color="auto"/>
              <w:bottom w:val="single" w:sz="4" w:space="0" w:color="auto"/>
            </w:tcBorders>
            <w:shd w:val="clear" w:color="auto" w:fill="auto"/>
            <w:tcMar>
              <w:top w:w="120" w:type="dxa"/>
              <w:left w:w="120" w:type="dxa"/>
              <w:bottom w:w="120" w:type="dxa"/>
              <w:right w:w="120" w:type="dxa"/>
            </w:tcMar>
          </w:tcPr>
          <w:p w14:paraId="4B604C2B" w14:textId="77777777" w:rsidR="0011433B" w:rsidRPr="00932A95" w:rsidRDefault="002F52BB" w:rsidP="00374FC0">
            <w:pPr>
              <w:spacing w:line="360" w:lineRule="auto"/>
              <w:ind w:left="140" w:right="140"/>
              <w:jc w:val="both"/>
              <w:rPr>
                <w:rFonts w:ascii="Book Antiqua" w:hAnsi="Book Antiqua" w:cs="Book Antiqua"/>
                <w:b/>
                <w:color w:val="auto"/>
                <w:sz w:val="24"/>
                <w:szCs w:val="24"/>
              </w:rPr>
            </w:pPr>
            <w:r w:rsidRPr="00932A95">
              <w:rPr>
                <w:rFonts w:ascii="Book Antiqua" w:hAnsi="Book Antiqua" w:cs="Book Antiqua"/>
                <w:b/>
                <w:color w:val="auto"/>
                <w:sz w:val="24"/>
                <w:szCs w:val="24"/>
              </w:rPr>
              <w:t>Variable</w:t>
            </w:r>
          </w:p>
        </w:tc>
        <w:tc>
          <w:tcPr>
            <w:tcW w:w="2520" w:type="dxa"/>
            <w:tcBorders>
              <w:top w:val="single" w:sz="4" w:space="0" w:color="auto"/>
              <w:bottom w:val="single" w:sz="4" w:space="0" w:color="auto"/>
            </w:tcBorders>
            <w:shd w:val="clear" w:color="auto" w:fill="auto"/>
            <w:tcMar>
              <w:top w:w="120" w:type="dxa"/>
              <w:left w:w="120" w:type="dxa"/>
              <w:bottom w:w="120" w:type="dxa"/>
              <w:right w:w="120" w:type="dxa"/>
            </w:tcMar>
          </w:tcPr>
          <w:p w14:paraId="4856EE21" w14:textId="77777777" w:rsidR="0011433B" w:rsidRPr="00932A95" w:rsidRDefault="002F52BB" w:rsidP="00374FC0">
            <w:pPr>
              <w:spacing w:line="360" w:lineRule="auto"/>
              <w:ind w:left="140" w:right="140"/>
              <w:jc w:val="both"/>
              <w:rPr>
                <w:rFonts w:ascii="Book Antiqua" w:hAnsi="Book Antiqua" w:cs="Book Antiqua"/>
                <w:b/>
                <w:color w:val="auto"/>
                <w:sz w:val="24"/>
                <w:szCs w:val="24"/>
              </w:rPr>
            </w:pPr>
            <w:r w:rsidRPr="00932A95">
              <w:rPr>
                <w:rFonts w:ascii="Book Antiqua" w:hAnsi="Book Antiqua" w:cs="Book Antiqua"/>
                <w:b/>
                <w:color w:val="auto"/>
                <w:sz w:val="24"/>
                <w:szCs w:val="24"/>
              </w:rPr>
              <w:t>OR/coefficient</w:t>
            </w:r>
          </w:p>
        </w:tc>
        <w:tc>
          <w:tcPr>
            <w:tcW w:w="2238" w:type="dxa"/>
            <w:tcBorders>
              <w:top w:val="single" w:sz="4" w:space="0" w:color="auto"/>
              <w:bottom w:val="single" w:sz="4" w:space="0" w:color="auto"/>
            </w:tcBorders>
            <w:shd w:val="clear" w:color="auto" w:fill="auto"/>
            <w:tcMar>
              <w:top w:w="120" w:type="dxa"/>
              <w:left w:w="120" w:type="dxa"/>
              <w:bottom w:w="120" w:type="dxa"/>
              <w:right w:w="120" w:type="dxa"/>
            </w:tcMar>
          </w:tcPr>
          <w:p w14:paraId="49FA4007" w14:textId="77777777" w:rsidR="0011433B" w:rsidRPr="00932A95" w:rsidRDefault="00D31F9A" w:rsidP="00D31F9A">
            <w:pPr>
              <w:spacing w:line="360" w:lineRule="auto"/>
              <w:ind w:left="140" w:right="140"/>
              <w:jc w:val="both"/>
              <w:rPr>
                <w:rFonts w:ascii="Book Antiqua" w:hAnsi="Book Antiqua" w:cs="Book Antiqua"/>
                <w:b/>
                <w:color w:val="auto"/>
                <w:sz w:val="24"/>
                <w:szCs w:val="24"/>
              </w:rPr>
            </w:pPr>
            <w:r w:rsidRPr="00932A95">
              <w:rPr>
                <w:rFonts w:ascii="Book Antiqua" w:hAnsi="Book Antiqua" w:cs="Book Antiqua"/>
                <w:b/>
                <w:color w:val="auto"/>
                <w:sz w:val="24"/>
                <w:szCs w:val="24"/>
              </w:rPr>
              <w:t>95%</w:t>
            </w:r>
            <w:r>
              <w:rPr>
                <w:rFonts w:ascii="Book Antiqua" w:hAnsi="Book Antiqua" w:cs="Book Antiqua"/>
                <w:b/>
                <w:color w:val="auto"/>
                <w:sz w:val="24"/>
                <w:szCs w:val="24"/>
              </w:rPr>
              <w:t>CI</w:t>
            </w:r>
          </w:p>
        </w:tc>
        <w:tc>
          <w:tcPr>
            <w:tcW w:w="1984" w:type="dxa"/>
            <w:tcBorders>
              <w:top w:val="single" w:sz="4" w:space="0" w:color="auto"/>
              <w:bottom w:val="single" w:sz="4" w:space="0" w:color="auto"/>
            </w:tcBorders>
            <w:shd w:val="clear" w:color="auto" w:fill="auto"/>
            <w:tcMar>
              <w:top w:w="120" w:type="dxa"/>
              <w:left w:w="120" w:type="dxa"/>
              <w:bottom w:w="120" w:type="dxa"/>
              <w:right w:w="120" w:type="dxa"/>
            </w:tcMar>
          </w:tcPr>
          <w:p w14:paraId="207736CB" w14:textId="77777777" w:rsidR="0011433B" w:rsidRPr="00932A95" w:rsidRDefault="002F52BB" w:rsidP="00374FC0">
            <w:pPr>
              <w:spacing w:line="360" w:lineRule="auto"/>
              <w:ind w:left="140" w:right="140"/>
              <w:jc w:val="both"/>
              <w:rPr>
                <w:rFonts w:ascii="Book Antiqua" w:hAnsi="Book Antiqua" w:cs="Book Antiqua"/>
                <w:b/>
                <w:color w:val="auto"/>
                <w:sz w:val="24"/>
                <w:szCs w:val="24"/>
              </w:rPr>
            </w:pPr>
            <w:r w:rsidRPr="00932A95">
              <w:rPr>
                <w:rFonts w:ascii="Book Antiqua" w:hAnsi="Book Antiqua" w:cs="Book Antiqua"/>
                <w:b/>
                <w:i/>
                <w:iCs/>
                <w:color w:val="auto"/>
                <w:sz w:val="24"/>
                <w:szCs w:val="24"/>
              </w:rPr>
              <w:t>P</w:t>
            </w:r>
            <w:r w:rsidRPr="00932A95">
              <w:rPr>
                <w:rFonts w:ascii="Book Antiqua" w:hAnsi="Book Antiqua" w:cs="Book Antiqua"/>
                <w:b/>
                <w:color w:val="auto"/>
                <w:sz w:val="24"/>
                <w:szCs w:val="24"/>
                <w:lang w:val="en-US"/>
              </w:rPr>
              <w:t xml:space="preserve"> </w:t>
            </w:r>
            <w:r w:rsidRPr="00932A95">
              <w:rPr>
                <w:rFonts w:ascii="Book Antiqua" w:hAnsi="Book Antiqua" w:cs="Book Antiqua"/>
                <w:b/>
                <w:color w:val="auto"/>
                <w:sz w:val="24"/>
                <w:szCs w:val="24"/>
              </w:rPr>
              <w:t>value</w:t>
            </w:r>
          </w:p>
        </w:tc>
      </w:tr>
      <w:tr w:rsidR="002718D5" w:rsidRPr="00932A95" w14:paraId="7A4FC9B7" w14:textId="77777777" w:rsidTr="00F7774C">
        <w:trPr>
          <w:trHeight w:val="20"/>
        </w:trPr>
        <w:tc>
          <w:tcPr>
            <w:tcW w:w="1785" w:type="dxa"/>
            <w:tcBorders>
              <w:top w:val="single" w:sz="4" w:space="0" w:color="auto"/>
            </w:tcBorders>
            <w:shd w:val="clear" w:color="auto" w:fill="auto"/>
            <w:tcMar>
              <w:top w:w="120" w:type="dxa"/>
              <w:left w:w="120" w:type="dxa"/>
              <w:bottom w:w="120" w:type="dxa"/>
              <w:right w:w="120" w:type="dxa"/>
            </w:tcMar>
            <w:vAlign w:val="bottom"/>
          </w:tcPr>
          <w:p w14:paraId="2E129FE0"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Mortality</w:t>
            </w:r>
          </w:p>
        </w:tc>
        <w:tc>
          <w:tcPr>
            <w:tcW w:w="2520" w:type="dxa"/>
            <w:tcBorders>
              <w:top w:val="single" w:sz="4" w:space="0" w:color="auto"/>
            </w:tcBorders>
            <w:shd w:val="clear" w:color="auto" w:fill="auto"/>
            <w:tcMar>
              <w:top w:w="120" w:type="dxa"/>
              <w:left w:w="120" w:type="dxa"/>
              <w:bottom w:w="120" w:type="dxa"/>
              <w:right w:w="120" w:type="dxa"/>
            </w:tcMar>
            <w:vAlign w:val="bottom"/>
          </w:tcPr>
          <w:p w14:paraId="1B8C27EC"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1.249</w:t>
            </w:r>
          </w:p>
        </w:tc>
        <w:tc>
          <w:tcPr>
            <w:tcW w:w="2238" w:type="dxa"/>
            <w:tcBorders>
              <w:top w:val="single" w:sz="4" w:space="0" w:color="auto"/>
            </w:tcBorders>
            <w:shd w:val="clear" w:color="auto" w:fill="auto"/>
            <w:tcMar>
              <w:top w:w="120" w:type="dxa"/>
              <w:left w:w="120" w:type="dxa"/>
              <w:bottom w:w="120" w:type="dxa"/>
              <w:right w:w="120" w:type="dxa"/>
            </w:tcMar>
            <w:vAlign w:val="bottom"/>
          </w:tcPr>
          <w:p w14:paraId="6AE45083"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1.066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1.463</w:t>
            </w:r>
          </w:p>
        </w:tc>
        <w:tc>
          <w:tcPr>
            <w:tcW w:w="1984" w:type="dxa"/>
            <w:tcBorders>
              <w:top w:val="single" w:sz="4" w:space="0" w:color="auto"/>
            </w:tcBorders>
            <w:shd w:val="clear" w:color="auto" w:fill="auto"/>
            <w:tcMar>
              <w:top w:w="120" w:type="dxa"/>
              <w:left w:w="120" w:type="dxa"/>
              <w:bottom w:w="120" w:type="dxa"/>
              <w:right w:w="120" w:type="dxa"/>
            </w:tcMar>
            <w:vAlign w:val="bottom"/>
          </w:tcPr>
          <w:p w14:paraId="53F1B23E"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0.006</w:t>
            </w:r>
          </w:p>
        </w:tc>
      </w:tr>
      <w:tr w:rsidR="002718D5" w:rsidRPr="00932A95" w14:paraId="0C3C18E8" w14:textId="77777777" w:rsidTr="00F7774C">
        <w:trPr>
          <w:trHeight w:val="175"/>
        </w:trPr>
        <w:tc>
          <w:tcPr>
            <w:tcW w:w="1785" w:type="dxa"/>
            <w:shd w:val="clear" w:color="auto" w:fill="auto"/>
            <w:tcMar>
              <w:top w:w="120" w:type="dxa"/>
              <w:left w:w="120" w:type="dxa"/>
              <w:bottom w:w="120" w:type="dxa"/>
              <w:right w:w="120" w:type="dxa"/>
            </w:tcMar>
            <w:vAlign w:val="bottom"/>
          </w:tcPr>
          <w:p w14:paraId="61FA5F79"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LOS</w:t>
            </w:r>
          </w:p>
        </w:tc>
        <w:tc>
          <w:tcPr>
            <w:tcW w:w="2520" w:type="dxa"/>
            <w:shd w:val="clear" w:color="auto" w:fill="auto"/>
            <w:tcMar>
              <w:top w:w="120" w:type="dxa"/>
              <w:left w:w="120" w:type="dxa"/>
              <w:bottom w:w="120" w:type="dxa"/>
              <w:right w:w="120" w:type="dxa"/>
            </w:tcMar>
            <w:vAlign w:val="bottom"/>
          </w:tcPr>
          <w:p w14:paraId="5D2D97AC"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1.72</w:t>
            </w:r>
          </w:p>
        </w:tc>
        <w:tc>
          <w:tcPr>
            <w:tcW w:w="2238" w:type="dxa"/>
            <w:shd w:val="clear" w:color="auto" w:fill="auto"/>
            <w:tcMar>
              <w:top w:w="120" w:type="dxa"/>
              <w:left w:w="120" w:type="dxa"/>
              <w:bottom w:w="120" w:type="dxa"/>
              <w:right w:w="120" w:type="dxa"/>
            </w:tcMar>
            <w:vAlign w:val="bottom"/>
          </w:tcPr>
          <w:p w14:paraId="39207ED9"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1.46</w:t>
            </w:r>
            <w:r w:rsidRPr="00932A95">
              <w:rPr>
                <w:rFonts w:ascii="Book Antiqua" w:hAnsi="Book Antiqua" w:cs="Book Antiqua"/>
                <w:color w:val="auto"/>
                <w:sz w:val="24"/>
                <w:szCs w:val="24"/>
                <w:lang w:val="en-US"/>
              </w:rPr>
              <w:t>-</w:t>
            </w:r>
            <w:r w:rsidRPr="00932A95">
              <w:rPr>
                <w:rFonts w:ascii="Book Antiqua" w:hAnsi="Book Antiqua" w:cs="Book Antiqua"/>
                <w:color w:val="auto"/>
                <w:sz w:val="24"/>
                <w:szCs w:val="24"/>
              </w:rPr>
              <w:t>1.97</w:t>
            </w:r>
          </w:p>
        </w:tc>
        <w:tc>
          <w:tcPr>
            <w:tcW w:w="1984" w:type="dxa"/>
            <w:shd w:val="clear" w:color="auto" w:fill="auto"/>
            <w:tcMar>
              <w:top w:w="120" w:type="dxa"/>
              <w:left w:w="120" w:type="dxa"/>
              <w:bottom w:w="120" w:type="dxa"/>
              <w:right w:w="120" w:type="dxa"/>
            </w:tcMar>
            <w:vAlign w:val="bottom"/>
          </w:tcPr>
          <w:p w14:paraId="2EAF0ABF"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r w:rsidR="002718D5" w:rsidRPr="00932A95" w14:paraId="28967B62" w14:textId="77777777" w:rsidTr="00F7774C">
        <w:trPr>
          <w:trHeight w:val="25"/>
        </w:trPr>
        <w:tc>
          <w:tcPr>
            <w:tcW w:w="1785" w:type="dxa"/>
            <w:shd w:val="clear" w:color="auto" w:fill="auto"/>
            <w:tcMar>
              <w:top w:w="120" w:type="dxa"/>
              <w:left w:w="120" w:type="dxa"/>
              <w:bottom w:w="120" w:type="dxa"/>
              <w:right w:w="120" w:type="dxa"/>
            </w:tcMar>
            <w:vAlign w:val="bottom"/>
          </w:tcPr>
          <w:p w14:paraId="789435C0"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Cost</w:t>
            </w:r>
          </w:p>
        </w:tc>
        <w:tc>
          <w:tcPr>
            <w:tcW w:w="2520" w:type="dxa"/>
            <w:shd w:val="clear" w:color="auto" w:fill="auto"/>
            <w:tcMar>
              <w:top w:w="120" w:type="dxa"/>
              <w:left w:w="120" w:type="dxa"/>
              <w:bottom w:w="120" w:type="dxa"/>
              <w:right w:w="120" w:type="dxa"/>
            </w:tcMar>
            <w:vAlign w:val="bottom"/>
          </w:tcPr>
          <w:p w14:paraId="68DEECCD"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6651</w:t>
            </w:r>
          </w:p>
        </w:tc>
        <w:tc>
          <w:tcPr>
            <w:tcW w:w="2238" w:type="dxa"/>
            <w:shd w:val="clear" w:color="auto" w:fill="auto"/>
            <w:tcMar>
              <w:top w:w="120" w:type="dxa"/>
              <w:left w:w="120" w:type="dxa"/>
              <w:bottom w:w="120" w:type="dxa"/>
              <w:right w:w="120" w:type="dxa"/>
            </w:tcMar>
            <w:vAlign w:val="bottom"/>
          </w:tcPr>
          <w:p w14:paraId="4B2F5D99"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rPr>
              <w:t>5646-7656</w:t>
            </w:r>
          </w:p>
        </w:tc>
        <w:tc>
          <w:tcPr>
            <w:tcW w:w="1984" w:type="dxa"/>
            <w:shd w:val="clear" w:color="auto" w:fill="auto"/>
            <w:tcMar>
              <w:top w:w="120" w:type="dxa"/>
              <w:left w:w="120" w:type="dxa"/>
              <w:bottom w:w="120" w:type="dxa"/>
              <w:right w:w="120" w:type="dxa"/>
            </w:tcMar>
            <w:vAlign w:val="bottom"/>
          </w:tcPr>
          <w:p w14:paraId="73268A59" w14:textId="77777777" w:rsidR="0011433B" w:rsidRPr="00932A95" w:rsidRDefault="002F52BB" w:rsidP="00374FC0">
            <w:pPr>
              <w:spacing w:line="360" w:lineRule="auto"/>
              <w:ind w:left="140" w:right="140"/>
              <w:jc w:val="both"/>
              <w:rPr>
                <w:rFonts w:ascii="Book Antiqua" w:hAnsi="Book Antiqua" w:cs="Book Antiqua"/>
                <w:color w:val="auto"/>
                <w:sz w:val="24"/>
                <w:szCs w:val="24"/>
              </w:rPr>
            </w:pPr>
            <w:r w:rsidRPr="00932A95">
              <w:rPr>
                <w:rFonts w:ascii="Book Antiqua" w:hAnsi="Book Antiqua" w:cs="Book Antiqua"/>
                <w:color w:val="auto"/>
                <w:sz w:val="24"/>
                <w:szCs w:val="24"/>
                <w:lang w:val="en-US"/>
              </w:rPr>
              <w:t xml:space="preserve">&lt; </w:t>
            </w:r>
            <w:r w:rsidRPr="00932A95">
              <w:rPr>
                <w:rFonts w:ascii="Book Antiqua" w:hAnsi="Book Antiqua" w:cs="Book Antiqua"/>
                <w:color w:val="auto"/>
                <w:sz w:val="24"/>
                <w:szCs w:val="24"/>
              </w:rPr>
              <w:t>0.001</w:t>
            </w:r>
          </w:p>
        </w:tc>
      </w:tr>
    </w:tbl>
    <w:p w14:paraId="30082C9A" w14:textId="77777777" w:rsidR="0011433B" w:rsidRPr="003F48D7" w:rsidRDefault="002F52BB" w:rsidP="00374FC0">
      <w:pPr>
        <w:spacing w:line="360" w:lineRule="auto"/>
        <w:jc w:val="both"/>
        <w:rPr>
          <w:rFonts w:ascii="Book Antiqua" w:hAnsi="Book Antiqua" w:cs="Book Antiqua"/>
          <w:color w:val="auto"/>
          <w:sz w:val="24"/>
          <w:szCs w:val="24"/>
          <w:lang w:val="en-US"/>
        </w:rPr>
      </w:pPr>
      <w:r w:rsidRPr="00932A95">
        <w:rPr>
          <w:rFonts w:ascii="Book Antiqua" w:hAnsi="Book Antiqua" w:cs="Book Antiqua"/>
          <w:color w:val="auto"/>
          <w:sz w:val="24"/>
          <w:szCs w:val="24"/>
        </w:rPr>
        <w:t>LOS</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Length of stay</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OR</w:t>
      </w:r>
      <w:r w:rsidRPr="00932A95">
        <w:rPr>
          <w:rFonts w:ascii="Book Antiqua" w:hAnsi="Book Antiqua" w:cs="Book Antiqua"/>
          <w:color w:val="auto"/>
          <w:sz w:val="24"/>
          <w:szCs w:val="24"/>
          <w:lang w:val="en-US"/>
        </w:rPr>
        <w:t xml:space="preserve">: </w:t>
      </w:r>
      <w:r w:rsidRPr="00932A95">
        <w:rPr>
          <w:rFonts w:ascii="Book Antiqua" w:hAnsi="Book Antiqua" w:cs="Book Antiqua"/>
          <w:color w:val="auto"/>
          <w:sz w:val="24"/>
          <w:szCs w:val="24"/>
        </w:rPr>
        <w:t>Odds ratio</w:t>
      </w:r>
      <w:r w:rsidRPr="00932A95">
        <w:rPr>
          <w:rFonts w:ascii="Book Antiqua" w:hAnsi="Book Antiqua" w:cs="Book Antiqua"/>
          <w:color w:val="auto"/>
          <w:sz w:val="24"/>
          <w:szCs w:val="24"/>
          <w:lang w:val="en-US"/>
        </w:rPr>
        <w:t>.</w:t>
      </w:r>
    </w:p>
    <w:sectPr w:rsidR="0011433B" w:rsidRPr="003F48D7" w:rsidSect="00F239AF">
      <w:footerReference w:type="default" r:id="rId11"/>
      <w:pgSz w:w="12240" w:h="15840"/>
      <w:pgMar w:top="1440" w:right="1800" w:bottom="1440" w:left="180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2D4D" w14:textId="77777777" w:rsidR="00294C65" w:rsidRDefault="00294C65">
      <w:pPr>
        <w:spacing w:line="240" w:lineRule="auto"/>
      </w:pPr>
      <w:r>
        <w:separator/>
      </w:r>
    </w:p>
  </w:endnote>
  <w:endnote w:type="continuationSeparator" w:id="0">
    <w:p w14:paraId="647590AD" w14:textId="77777777" w:rsidR="00294C65" w:rsidRDefault="00294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Helvetica">
    <w:panose1 w:val="00000000000000000000"/>
    <w:charset w:val="00"/>
    <w:family w:val="auto"/>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773377"/>
    </w:sdtPr>
    <w:sdtEndPr/>
    <w:sdtContent>
      <w:p w14:paraId="143FEA16" w14:textId="77777777" w:rsidR="0096655F" w:rsidRDefault="0096655F">
        <w:pPr>
          <w:pStyle w:val="Footer"/>
          <w:jc w:val="center"/>
        </w:pPr>
        <w:r>
          <w:fldChar w:fldCharType="begin"/>
        </w:r>
        <w:r>
          <w:instrText xml:space="preserve"> PAGE   \* MERGEFORMAT </w:instrText>
        </w:r>
        <w:r>
          <w:fldChar w:fldCharType="separate"/>
        </w:r>
        <w:r w:rsidR="00975859">
          <w:rPr>
            <w:noProof/>
          </w:rPr>
          <w:t>29</w:t>
        </w:r>
        <w:r>
          <w:fldChar w:fldCharType="end"/>
        </w:r>
      </w:p>
    </w:sdtContent>
  </w:sdt>
  <w:p w14:paraId="7303FC12" w14:textId="77777777" w:rsidR="0096655F" w:rsidRDefault="00966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8E73" w14:textId="77777777" w:rsidR="00294C65" w:rsidRDefault="00294C65">
      <w:pPr>
        <w:spacing w:line="240" w:lineRule="auto"/>
      </w:pPr>
      <w:r>
        <w:separator/>
      </w:r>
    </w:p>
  </w:footnote>
  <w:footnote w:type="continuationSeparator" w:id="0">
    <w:p w14:paraId="664C6C3D" w14:textId="77777777" w:rsidR="00294C65" w:rsidRDefault="00294C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152BD"/>
    <w:rsid w:val="00003930"/>
    <w:rsid w:val="00033EAF"/>
    <w:rsid w:val="000341E6"/>
    <w:rsid w:val="00036FCC"/>
    <w:rsid w:val="00037E32"/>
    <w:rsid w:val="00060534"/>
    <w:rsid w:val="00083498"/>
    <w:rsid w:val="000876D3"/>
    <w:rsid w:val="000968B4"/>
    <w:rsid w:val="000D23B1"/>
    <w:rsid w:val="000F06DC"/>
    <w:rsid w:val="000F16F1"/>
    <w:rsid w:val="0011433B"/>
    <w:rsid w:val="00115E54"/>
    <w:rsid w:val="0011631F"/>
    <w:rsid w:val="0012014D"/>
    <w:rsid w:val="0014445F"/>
    <w:rsid w:val="0015133D"/>
    <w:rsid w:val="00151AE3"/>
    <w:rsid w:val="001637BA"/>
    <w:rsid w:val="00167764"/>
    <w:rsid w:val="00175359"/>
    <w:rsid w:val="00175AAE"/>
    <w:rsid w:val="00176861"/>
    <w:rsid w:val="00184980"/>
    <w:rsid w:val="0019108A"/>
    <w:rsid w:val="001B0356"/>
    <w:rsid w:val="001D26F0"/>
    <w:rsid w:val="001E366C"/>
    <w:rsid w:val="001E492E"/>
    <w:rsid w:val="002057D3"/>
    <w:rsid w:val="002152BD"/>
    <w:rsid w:val="00216D84"/>
    <w:rsid w:val="00262F87"/>
    <w:rsid w:val="00266050"/>
    <w:rsid w:val="002718D5"/>
    <w:rsid w:val="00294C65"/>
    <w:rsid w:val="00297BA3"/>
    <w:rsid w:val="002C4DE4"/>
    <w:rsid w:val="002D499F"/>
    <w:rsid w:val="002F52BB"/>
    <w:rsid w:val="0030389F"/>
    <w:rsid w:val="003265E5"/>
    <w:rsid w:val="00336972"/>
    <w:rsid w:val="0034772F"/>
    <w:rsid w:val="003508C1"/>
    <w:rsid w:val="00374FC0"/>
    <w:rsid w:val="00385ECF"/>
    <w:rsid w:val="003B43A0"/>
    <w:rsid w:val="003E2A8D"/>
    <w:rsid w:val="003E45BB"/>
    <w:rsid w:val="003F48D7"/>
    <w:rsid w:val="00400FD8"/>
    <w:rsid w:val="0041504C"/>
    <w:rsid w:val="00424F70"/>
    <w:rsid w:val="00431683"/>
    <w:rsid w:val="0043179C"/>
    <w:rsid w:val="0044580C"/>
    <w:rsid w:val="00477232"/>
    <w:rsid w:val="00493DFE"/>
    <w:rsid w:val="004A0F33"/>
    <w:rsid w:val="004C4012"/>
    <w:rsid w:val="004C4042"/>
    <w:rsid w:val="004C75C6"/>
    <w:rsid w:val="004D406C"/>
    <w:rsid w:val="00502D0B"/>
    <w:rsid w:val="0052115B"/>
    <w:rsid w:val="00527EBD"/>
    <w:rsid w:val="005466A7"/>
    <w:rsid w:val="00563BF4"/>
    <w:rsid w:val="005733BD"/>
    <w:rsid w:val="005736BF"/>
    <w:rsid w:val="00581871"/>
    <w:rsid w:val="005C53F1"/>
    <w:rsid w:val="005D1F02"/>
    <w:rsid w:val="005E2163"/>
    <w:rsid w:val="005F7CFD"/>
    <w:rsid w:val="00607727"/>
    <w:rsid w:val="00647E57"/>
    <w:rsid w:val="00654EE3"/>
    <w:rsid w:val="006621D5"/>
    <w:rsid w:val="006707F9"/>
    <w:rsid w:val="00697A81"/>
    <w:rsid w:val="006D7848"/>
    <w:rsid w:val="006E1AC3"/>
    <w:rsid w:val="00702F74"/>
    <w:rsid w:val="00716C8F"/>
    <w:rsid w:val="007504F7"/>
    <w:rsid w:val="00752434"/>
    <w:rsid w:val="00772C66"/>
    <w:rsid w:val="00776477"/>
    <w:rsid w:val="0078623E"/>
    <w:rsid w:val="007A6A12"/>
    <w:rsid w:val="007B0CD3"/>
    <w:rsid w:val="007B4B11"/>
    <w:rsid w:val="007C2583"/>
    <w:rsid w:val="007C7E07"/>
    <w:rsid w:val="007D535B"/>
    <w:rsid w:val="007F1CF8"/>
    <w:rsid w:val="008045CD"/>
    <w:rsid w:val="00812ACC"/>
    <w:rsid w:val="00816A18"/>
    <w:rsid w:val="0082173F"/>
    <w:rsid w:val="00845358"/>
    <w:rsid w:val="00850974"/>
    <w:rsid w:val="008602EB"/>
    <w:rsid w:val="008670D3"/>
    <w:rsid w:val="00875BAB"/>
    <w:rsid w:val="00881CA9"/>
    <w:rsid w:val="00897691"/>
    <w:rsid w:val="008B04D1"/>
    <w:rsid w:val="008D75BE"/>
    <w:rsid w:val="008E1246"/>
    <w:rsid w:val="008E2622"/>
    <w:rsid w:val="0092627A"/>
    <w:rsid w:val="00932A95"/>
    <w:rsid w:val="00950B53"/>
    <w:rsid w:val="009540CB"/>
    <w:rsid w:val="0096655F"/>
    <w:rsid w:val="00971E42"/>
    <w:rsid w:val="009754BF"/>
    <w:rsid w:val="00975859"/>
    <w:rsid w:val="00985B27"/>
    <w:rsid w:val="00986F1D"/>
    <w:rsid w:val="009A06E6"/>
    <w:rsid w:val="009B2DFE"/>
    <w:rsid w:val="009B5C77"/>
    <w:rsid w:val="009E5648"/>
    <w:rsid w:val="009E6364"/>
    <w:rsid w:val="00A434D1"/>
    <w:rsid w:val="00A442FB"/>
    <w:rsid w:val="00A64BF4"/>
    <w:rsid w:val="00A87441"/>
    <w:rsid w:val="00AA3E7D"/>
    <w:rsid w:val="00AB21E6"/>
    <w:rsid w:val="00AE3EEB"/>
    <w:rsid w:val="00AF18D9"/>
    <w:rsid w:val="00B15E9A"/>
    <w:rsid w:val="00B225EF"/>
    <w:rsid w:val="00B23786"/>
    <w:rsid w:val="00B23840"/>
    <w:rsid w:val="00B35D0C"/>
    <w:rsid w:val="00B41D73"/>
    <w:rsid w:val="00B52589"/>
    <w:rsid w:val="00B72297"/>
    <w:rsid w:val="00B93493"/>
    <w:rsid w:val="00B93A4F"/>
    <w:rsid w:val="00BA3883"/>
    <w:rsid w:val="00BC17DD"/>
    <w:rsid w:val="00BC64BD"/>
    <w:rsid w:val="00BC7BE1"/>
    <w:rsid w:val="00BD4EE8"/>
    <w:rsid w:val="00BF174F"/>
    <w:rsid w:val="00BF209E"/>
    <w:rsid w:val="00C04F63"/>
    <w:rsid w:val="00C140DB"/>
    <w:rsid w:val="00C155DC"/>
    <w:rsid w:val="00C33866"/>
    <w:rsid w:val="00C37401"/>
    <w:rsid w:val="00C37BF9"/>
    <w:rsid w:val="00C41E38"/>
    <w:rsid w:val="00C43CCB"/>
    <w:rsid w:val="00C735B1"/>
    <w:rsid w:val="00C76F28"/>
    <w:rsid w:val="00CA5F98"/>
    <w:rsid w:val="00CB3337"/>
    <w:rsid w:val="00CB76E0"/>
    <w:rsid w:val="00CD5856"/>
    <w:rsid w:val="00CE50FE"/>
    <w:rsid w:val="00CF4DC4"/>
    <w:rsid w:val="00D05A4C"/>
    <w:rsid w:val="00D107B2"/>
    <w:rsid w:val="00D21952"/>
    <w:rsid w:val="00D31F9A"/>
    <w:rsid w:val="00D42D51"/>
    <w:rsid w:val="00D52E42"/>
    <w:rsid w:val="00D56CE3"/>
    <w:rsid w:val="00DE5264"/>
    <w:rsid w:val="00DF0472"/>
    <w:rsid w:val="00DF1C37"/>
    <w:rsid w:val="00E12E74"/>
    <w:rsid w:val="00E22BE0"/>
    <w:rsid w:val="00E23359"/>
    <w:rsid w:val="00E27A27"/>
    <w:rsid w:val="00E506E1"/>
    <w:rsid w:val="00E51FFE"/>
    <w:rsid w:val="00E629ED"/>
    <w:rsid w:val="00E73BE6"/>
    <w:rsid w:val="00E972F7"/>
    <w:rsid w:val="00EB7CEA"/>
    <w:rsid w:val="00EF779A"/>
    <w:rsid w:val="00F1382E"/>
    <w:rsid w:val="00F239AF"/>
    <w:rsid w:val="00F67DE8"/>
    <w:rsid w:val="00F714FD"/>
    <w:rsid w:val="00F7774C"/>
    <w:rsid w:val="00FA1255"/>
    <w:rsid w:val="00FB0FCA"/>
    <w:rsid w:val="00FD6B59"/>
    <w:rsid w:val="00FF547B"/>
    <w:rsid w:val="12F02DC7"/>
    <w:rsid w:val="1F070CEB"/>
    <w:rsid w:val="46625F95"/>
    <w:rsid w:val="4CF57738"/>
    <w:rsid w:val="6C93035B"/>
    <w:rsid w:val="71D83EDC"/>
    <w:rsid w:val="771B2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9CBB2"/>
  <w15:docId w15:val="{5CD945FE-7B8D-4820-9405-28D242FF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rFonts w:ascii="Arial" w:eastAsia="Arial" w:hAnsi="Arial" w:cs="Arial"/>
      <w:color w:val="000000"/>
      <w:sz w:val="22"/>
      <w:szCs w:val="22"/>
      <w:lang w:val="en" w:eastAsia="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PlainText">
    <w:name w:val="Plain Text"/>
    <w:basedOn w:val="Normal"/>
    <w:link w:val="PlainTextChar"/>
    <w:uiPriority w:val="99"/>
    <w:unhideWhenUsed/>
    <w:pPr>
      <w:spacing w:line="240" w:lineRule="auto"/>
    </w:pPr>
    <w:rPr>
      <w:rFonts w:ascii="Calibri" w:eastAsia="Calibri" w:hAnsi="Calibri" w:cs="Times New Roman"/>
      <w:color w:val="auto"/>
      <w:szCs w:val="21"/>
      <w:lang w:val="en-US"/>
    </w:rPr>
  </w:style>
  <w:style w:type="paragraph" w:styleId="EndnoteText">
    <w:name w:val="endnote text"/>
    <w:basedOn w:val="Normal"/>
    <w:link w:val="EndnoteTextChar"/>
    <w:uiPriority w:val="99"/>
    <w:unhideWhenUsed/>
    <w:qFormat/>
    <w:pPr>
      <w:spacing w:line="240" w:lineRule="auto"/>
    </w:pPr>
    <w:rPr>
      <w:sz w:val="24"/>
      <w:szCs w:val="24"/>
    </w:rPr>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Subtitle">
    <w:name w:val="Subtitle"/>
    <w:basedOn w:val="Normal"/>
    <w:next w:val="Normal"/>
    <w:qFormat/>
    <w:pPr>
      <w:keepNext/>
      <w:keepLines/>
      <w:spacing w:after="320"/>
    </w:pPr>
    <w:rPr>
      <w:color w:val="666666"/>
      <w:sz w:val="30"/>
      <w:szCs w:val="30"/>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color w:val="auto"/>
      <w:sz w:val="24"/>
      <w:szCs w:val="24"/>
      <w:lang w:val="en-US"/>
    </w:rPr>
  </w:style>
  <w:style w:type="paragraph" w:styleId="Title">
    <w:name w:val="Title"/>
    <w:basedOn w:val="Normal"/>
    <w:next w:val="Normal"/>
    <w:qFormat/>
    <w:pPr>
      <w:keepNext/>
      <w:keepLines/>
      <w:spacing w:after="60"/>
    </w:pPr>
    <w:rPr>
      <w:sz w:val="52"/>
      <w:szCs w:val="52"/>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table" w:customStyle="1" w:styleId="Style11">
    <w:name w:val="_Style 11"/>
    <w:basedOn w:val="TableNormal"/>
    <w:tblPr>
      <w:tblCellMar>
        <w:top w:w="100" w:type="dxa"/>
        <w:left w:w="100" w:type="dxa"/>
        <w:bottom w:w="100" w:type="dxa"/>
        <w:right w:w="100" w:type="dxa"/>
      </w:tblCellMar>
    </w:tblPr>
  </w:style>
  <w:style w:type="table" w:customStyle="1" w:styleId="Style12">
    <w:name w:val="_Style 12"/>
    <w:basedOn w:val="TableNormal"/>
    <w:tblPr>
      <w:tblCellMar>
        <w:top w:w="100" w:type="dxa"/>
        <w:left w:w="100" w:type="dxa"/>
        <w:bottom w:w="100" w:type="dxa"/>
        <w:right w:w="100" w:type="dxa"/>
      </w:tblCellMar>
    </w:tblPr>
  </w:style>
  <w:style w:type="table" w:customStyle="1" w:styleId="Style13">
    <w:name w:val="_Style 13"/>
    <w:basedOn w:val="TableNormal"/>
    <w:tblPr>
      <w:tblCellMar>
        <w:top w:w="100" w:type="dxa"/>
        <w:left w:w="100" w:type="dxa"/>
        <w:bottom w:w="100" w:type="dxa"/>
        <w:right w:w="100" w:type="dxa"/>
      </w:tblCellMar>
    </w:tblPr>
  </w:style>
  <w:style w:type="table" w:customStyle="1" w:styleId="Style14">
    <w:name w:val="_Style 14"/>
    <w:basedOn w:val="TableNormal"/>
    <w:tblPr>
      <w:tblCellMar>
        <w:top w:w="100" w:type="dxa"/>
        <w:left w:w="100" w:type="dxa"/>
        <w:bottom w:w="100" w:type="dxa"/>
        <w:right w:w="100" w:type="dxa"/>
      </w:tblCellMar>
    </w:tblPr>
  </w:style>
  <w:style w:type="table" w:customStyle="1" w:styleId="Style15">
    <w:name w:val="_Style 15"/>
    <w:basedOn w:val="TableNormal"/>
    <w:tblPr>
      <w:tblCellMar>
        <w:top w:w="100" w:type="dxa"/>
        <w:left w:w="100" w:type="dxa"/>
        <w:bottom w:w="100" w:type="dxa"/>
        <w:right w:w="100" w:type="dxa"/>
      </w:tblCellMar>
    </w:tblPr>
  </w:style>
  <w:style w:type="table" w:customStyle="1" w:styleId="Style16">
    <w:name w:val="_Style 16"/>
    <w:basedOn w:val="TableNormal"/>
    <w:tblPr>
      <w:tblCellMar>
        <w:top w:w="100" w:type="dxa"/>
        <w:left w:w="100" w:type="dxa"/>
        <w:bottom w:w="100" w:type="dxa"/>
        <w:right w:w="100" w:type="dxa"/>
      </w:tblCellMar>
    </w:tblPr>
  </w:style>
  <w:style w:type="table" w:customStyle="1" w:styleId="Style17">
    <w:name w:val="_Style 17"/>
    <w:basedOn w:val="TableNormal"/>
    <w:tblPr>
      <w:tblCellMar>
        <w:top w:w="100" w:type="dxa"/>
        <w:left w:w="100" w:type="dxa"/>
        <w:bottom w:w="100" w:type="dxa"/>
        <w:right w:w="100" w:type="dxa"/>
      </w:tblCellMar>
    </w:tbl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EndNoteBibliographyTitle">
    <w:name w:val="EndNote Bibliography Title"/>
    <w:basedOn w:val="Normal"/>
    <w:link w:val="EndNoteBibliographyTitleChar"/>
    <w:qFormat/>
    <w:pPr>
      <w:jc w:val="center"/>
    </w:pPr>
    <w:rPr>
      <w:lang w:val="en-US"/>
    </w:rPr>
  </w:style>
  <w:style w:type="character" w:customStyle="1" w:styleId="EndNoteBibliographyTitleChar">
    <w:name w:val="EndNote Bibliography Title Char"/>
    <w:basedOn w:val="DefaultParagraphFont"/>
    <w:link w:val="EndNoteBibliographyTitle"/>
    <w:qFormat/>
    <w:rPr>
      <w:lang w:val="en-US"/>
    </w:rPr>
  </w:style>
  <w:style w:type="paragraph" w:customStyle="1" w:styleId="EndNoteBibliography">
    <w:name w:val="EndNote Bibliography"/>
    <w:basedOn w:val="Normal"/>
    <w:link w:val="EndNoteBibliographyChar"/>
    <w:pPr>
      <w:spacing w:line="240" w:lineRule="auto"/>
    </w:pPr>
    <w:rPr>
      <w:lang w:val="en-US"/>
    </w:rPr>
  </w:style>
  <w:style w:type="character" w:customStyle="1" w:styleId="EndNoteBibliographyChar">
    <w:name w:val="EndNote Bibliography Char"/>
    <w:basedOn w:val="DefaultParagraphFont"/>
    <w:link w:val="EndNoteBibliography"/>
    <w:rPr>
      <w:lang w:val="en-U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EndnoteTextChar">
    <w:name w:val="Endnote Text Char"/>
    <w:basedOn w:val="DefaultParagraphFont"/>
    <w:link w:val="EndnoteText"/>
    <w:uiPriority w:val="99"/>
    <w:rPr>
      <w:sz w:val="24"/>
      <w:szCs w:val="24"/>
    </w:rPr>
  </w:style>
  <w:style w:type="paragraph" w:customStyle="1" w:styleId="1">
    <w:name w:val="修订1"/>
    <w:hidden/>
    <w:uiPriority w:val="99"/>
    <w:semiHidden/>
    <w:rPr>
      <w:rFonts w:ascii="Arial" w:eastAsia="Arial" w:hAnsi="Arial" w:cs="Arial"/>
      <w:color w:val="000000"/>
      <w:sz w:val="22"/>
      <w:szCs w:val="22"/>
      <w:lang w:val="en"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PlainTextChar">
    <w:name w:val="Plain Text Char"/>
    <w:basedOn w:val="DefaultParagraphFont"/>
    <w:link w:val="PlainText"/>
    <w:uiPriority w:val="99"/>
    <w:rPr>
      <w:rFonts w:ascii="Calibri" w:eastAsia="Calibri" w:hAnsi="Calibri" w:cs="Times New Roman"/>
      <w:color w:val="auto"/>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57240">
      <w:bodyDiv w:val="1"/>
      <w:marLeft w:val="0"/>
      <w:marRight w:val="0"/>
      <w:marTop w:val="0"/>
      <w:marBottom w:val="0"/>
      <w:divBdr>
        <w:top w:val="none" w:sz="0" w:space="0" w:color="auto"/>
        <w:left w:val="none" w:sz="0" w:space="0" w:color="auto"/>
        <w:bottom w:val="none" w:sz="0" w:space="0" w:color="auto"/>
        <w:right w:val="none" w:sz="0" w:space="0" w:color="auto"/>
      </w:divBdr>
    </w:div>
    <w:div w:id="136413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yrsopni@njms.rutger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cup-us.ahrq.gov/toolssoftware/comorbidity/comorbidity.jsp" TargetMode="External"/><Relationship Id="rId4" Type="http://schemas.openxmlformats.org/officeDocument/2006/relationships/settings" Target="settings.xml"/><Relationship Id="rId9" Type="http://schemas.openxmlformats.org/officeDocument/2006/relationships/hyperlink" Target="http://www.hcup-us.ahrq.gov/nisoverview.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1AE87-B177-5D4E-920F-496B1810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21855</Words>
  <Characters>124574</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Na Ma</cp:lastModifiedBy>
  <cp:revision>2</cp:revision>
  <dcterms:created xsi:type="dcterms:W3CDTF">2020-05-14T21:33:00Z</dcterms:created>
  <dcterms:modified xsi:type="dcterms:W3CDTF">2020-05-14T21:33:00Z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http://csl.mendeley.com/styles/212529021/american-medical-association-2</vt:lpwstr>
  </property>
  <property fmtid="{D5CDD505-2E9C-101B-9397-08002B2CF9AE}" pid="5" name="Mendeley Recent Style Name 1_1">
    <vt:lpwstr>American Medical Association - Pavan Patel</vt:lpwstr>
  </property>
  <property fmtid="{D5CDD505-2E9C-101B-9397-08002B2CF9AE}" pid="6" name="Mendeley Recent Style Id 2_1">
    <vt:lpwstr>http://csl.mendeley.com/styles/212529021/american-medical-association</vt:lpwstr>
  </property>
  <property fmtid="{D5CDD505-2E9C-101B-9397-08002B2CF9AE}" pid="7" name="Mendeley Recent Style Name 2_1">
    <vt:lpwstr>American Medical Association - Pavan Patel</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2969c8af-9e11-3cf9-b5c1-e7aa13014b88</vt:lpwstr>
  </property>
  <property fmtid="{D5CDD505-2E9C-101B-9397-08002B2CF9AE}" pid="24" name="Mendeley Citation Style_1">
    <vt:lpwstr>http://www.zotero.org/styles/world-journal-of-gastroenterology</vt:lpwstr>
  </property>
  <property fmtid="{D5CDD505-2E9C-101B-9397-08002B2CF9AE}" pid="25" name="KSOProductBuildVer">
    <vt:lpwstr>2052-11.1.0.9584</vt:lpwstr>
  </property>
</Properties>
</file>