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A10" w:rsidRDefault="00FC5E1B">
      <w:pPr>
        <w:adjustRightInd w:val="0"/>
        <w:snapToGrid w:val="0"/>
        <w:spacing w:line="360" w:lineRule="auto"/>
        <w:rPr>
          <w:rFonts w:ascii="Book Antiqua" w:eastAsia="Times New Roman" w:hAnsi="Book Antiqua" w:cs="宋体"/>
          <w:b/>
          <w:i/>
          <w:color w:val="000000" w:themeColor="text1"/>
          <w:sz w:val="20"/>
          <w:szCs w:val="20"/>
          <w:lang w:val="en-US"/>
        </w:rPr>
      </w:pPr>
      <w:bookmarkStart w:id="0" w:name="OLE_LINK50"/>
      <w:bookmarkStart w:id="1" w:name="OLE_LINK49"/>
      <w:bookmarkStart w:id="2" w:name="OLE_LINK37"/>
      <w:bookmarkStart w:id="3" w:name="OLE_LINK38"/>
      <w:r>
        <w:rPr>
          <w:rFonts w:ascii="Book Antiqua" w:eastAsia="Times New Roman" w:hAnsi="Book Antiqua" w:cs="宋体"/>
          <w:b/>
          <w:color w:val="000000" w:themeColor="text1"/>
          <w:sz w:val="20"/>
          <w:szCs w:val="20"/>
          <w:lang w:val="en-US"/>
        </w:rPr>
        <w:t xml:space="preserve">Name of Journal: </w:t>
      </w:r>
      <w:bookmarkStart w:id="4" w:name="OLE_LINK719"/>
      <w:bookmarkStart w:id="5" w:name="OLE_LINK661"/>
      <w:bookmarkStart w:id="6" w:name="OLE_LINK335"/>
      <w:bookmarkStart w:id="7" w:name="OLE_LINK1068"/>
      <w:bookmarkStart w:id="8" w:name="OLE_LINK696"/>
      <w:bookmarkStart w:id="9" w:name="OLE_LINK645"/>
      <w:bookmarkStart w:id="10" w:name="OLE_LINK718"/>
      <w:r>
        <w:rPr>
          <w:rFonts w:ascii="Book Antiqua" w:eastAsia="Times New Roman" w:hAnsi="Book Antiqua" w:cs="宋体"/>
          <w:i/>
          <w:color w:val="000000" w:themeColor="text1"/>
          <w:sz w:val="20"/>
          <w:szCs w:val="20"/>
          <w:lang w:val="en-US"/>
        </w:rPr>
        <w:t xml:space="preserve">World Journal of </w:t>
      </w:r>
      <w:bookmarkEnd w:id="4"/>
      <w:bookmarkEnd w:id="5"/>
      <w:bookmarkEnd w:id="6"/>
      <w:bookmarkEnd w:id="7"/>
      <w:bookmarkEnd w:id="8"/>
      <w:bookmarkEnd w:id="9"/>
      <w:bookmarkEnd w:id="10"/>
      <w:r>
        <w:rPr>
          <w:rFonts w:ascii="Book Antiqua" w:eastAsia="Times New Roman" w:hAnsi="Book Antiqua" w:cs="宋体"/>
          <w:i/>
          <w:color w:val="000000" w:themeColor="text1"/>
          <w:sz w:val="20"/>
          <w:szCs w:val="20"/>
          <w:lang w:val="en-US"/>
        </w:rPr>
        <w:t>Clinical Cases</w:t>
      </w:r>
    </w:p>
    <w:p w:rsidR="00925A10" w:rsidRDefault="00FC5E1B">
      <w:pPr>
        <w:adjustRightInd w:val="0"/>
        <w:snapToGrid w:val="0"/>
        <w:spacing w:line="360" w:lineRule="auto"/>
        <w:rPr>
          <w:rFonts w:ascii="Book Antiqua" w:eastAsia="宋体" w:hAnsi="Book Antiqua" w:cs="Arial"/>
          <w:b/>
          <w:color w:val="000000" w:themeColor="text1"/>
          <w:sz w:val="20"/>
          <w:szCs w:val="20"/>
          <w:lang w:val="en-US"/>
        </w:rPr>
      </w:pPr>
      <w:r>
        <w:rPr>
          <w:rFonts w:ascii="Book Antiqua" w:eastAsia="Times New Roman" w:hAnsi="Book Antiqua" w:cs="Times New Roman"/>
          <w:b/>
          <w:bCs/>
          <w:color w:val="000000" w:themeColor="text1"/>
          <w:sz w:val="20"/>
          <w:szCs w:val="20"/>
          <w:lang w:val="en-US"/>
        </w:rPr>
        <w:t>Manuscript NO</w:t>
      </w:r>
      <w:r>
        <w:rPr>
          <w:rFonts w:ascii="Book Antiqua" w:eastAsia="宋体" w:hAnsi="Book Antiqua" w:cs="Arial"/>
          <w:b/>
          <w:color w:val="000000" w:themeColor="text1"/>
          <w:sz w:val="20"/>
          <w:szCs w:val="20"/>
          <w:lang w:val="en-US"/>
        </w:rPr>
        <w:t xml:space="preserve">: </w:t>
      </w:r>
      <w:r>
        <w:rPr>
          <w:rFonts w:ascii="Book Antiqua" w:eastAsia="宋体" w:hAnsi="Book Antiqua" w:cs="Arial"/>
          <w:color w:val="000000" w:themeColor="text1"/>
          <w:sz w:val="20"/>
          <w:szCs w:val="20"/>
          <w:lang w:val="en-US"/>
        </w:rPr>
        <w:t>52890</w:t>
      </w:r>
    </w:p>
    <w:p w:rsidR="00925A10" w:rsidRDefault="00FC5E1B">
      <w:pPr>
        <w:adjustRightInd w:val="0"/>
        <w:snapToGrid w:val="0"/>
        <w:spacing w:line="360" w:lineRule="auto"/>
        <w:rPr>
          <w:rFonts w:ascii="Book Antiqua" w:eastAsia="宋体" w:hAnsi="Book Antiqua" w:cs="Times New Roman"/>
          <w:b/>
          <w:color w:val="000000" w:themeColor="text1"/>
          <w:sz w:val="20"/>
          <w:szCs w:val="20"/>
          <w:lang w:val="en-US"/>
        </w:rPr>
      </w:pPr>
      <w:r>
        <w:rPr>
          <w:rFonts w:ascii="Book Antiqua" w:eastAsia="宋体" w:hAnsi="Book Antiqua" w:cs="Times New Roman"/>
          <w:b/>
          <w:color w:val="000000" w:themeColor="text1"/>
          <w:sz w:val="20"/>
          <w:szCs w:val="20"/>
          <w:lang w:val="en-US"/>
        </w:rPr>
        <w:t xml:space="preserve">Manuscript Type: </w:t>
      </w:r>
      <w:r>
        <w:rPr>
          <w:rFonts w:ascii="Book Antiqua" w:eastAsia="宋体" w:hAnsi="Book Antiqua" w:cs="Times New Roman"/>
          <w:color w:val="000000" w:themeColor="text1"/>
          <w:sz w:val="20"/>
          <w:szCs w:val="20"/>
          <w:lang w:val="en-US"/>
        </w:rPr>
        <w:t>CASE REPORT</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p>
    <w:p w:rsidR="00925A10" w:rsidRDefault="00FC5E1B">
      <w:pPr>
        <w:widowControl/>
        <w:snapToGrid w:val="0"/>
        <w:spacing w:line="360" w:lineRule="auto"/>
        <w:rPr>
          <w:rStyle w:val="fontstyle01"/>
          <w:rFonts w:ascii="Book Antiqua" w:eastAsia="宋体" w:hAnsi="Book Antiqua" w:cs="Times New Roman"/>
          <w:b/>
          <w:bCs/>
          <w:color w:val="000000" w:themeColor="text1"/>
          <w:lang w:val="en-US"/>
        </w:rPr>
      </w:pPr>
      <w:r>
        <w:rPr>
          <w:rStyle w:val="fontstyle01"/>
          <w:rFonts w:ascii="Book Antiqua" w:eastAsia="宋体" w:hAnsi="Book Antiqua" w:cs="Times New Roman"/>
          <w:b/>
          <w:bCs/>
          <w:color w:val="000000" w:themeColor="text1"/>
          <w:lang w:val="en-US"/>
        </w:rPr>
        <w:t>Microscopic removal of type</w:t>
      </w:r>
      <w:r>
        <w:rPr>
          <w:rStyle w:val="fontstyle01"/>
          <w:rFonts w:ascii="Book Antiqua" w:eastAsia="宋体" w:hAnsi="Book Antiqua" w:cs="Times New Roman"/>
          <w:b/>
          <w:bCs/>
          <w:color w:val="000000" w:themeColor="text1"/>
          <w:lang w:val="en-US"/>
        </w:rPr>
        <w:t xml:space="preserve"> </w:t>
      </w:r>
      <w:r>
        <w:rPr>
          <w:rFonts w:ascii="宋体" w:eastAsia="宋体" w:hAnsi="宋体" w:cs="宋体"/>
          <w:b/>
          <w:bCs/>
          <w:color w:val="000000" w:themeColor="text1"/>
          <w:kern w:val="0"/>
          <w:sz w:val="20"/>
          <w:szCs w:val="20"/>
          <w:shd w:val="clear" w:color="auto" w:fill="FFFFFF"/>
          <w:lang w:val="en-US"/>
        </w:rPr>
        <w:t>Ⅲ</w:t>
      </w:r>
      <w:r>
        <w:rPr>
          <w:rStyle w:val="fontstyle01"/>
          <w:rFonts w:ascii="Book Antiqua" w:eastAsia="宋体" w:hAnsi="Book Antiqua" w:cs="Times New Roman"/>
          <w:b/>
          <w:bCs/>
          <w:color w:val="000000" w:themeColor="text1"/>
          <w:lang w:val="en-US"/>
        </w:rPr>
        <w:t xml:space="preserve"> </w:t>
      </w:r>
      <w:r>
        <w:rPr>
          <w:rStyle w:val="fontstyle01"/>
          <w:rFonts w:ascii="Book Antiqua" w:eastAsia="宋体" w:hAnsi="Book Antiqua" w:cs="Times New Roman"/>
          <w:b/>
          <w:bCs/>
          <w:color w:val="000000" w:themeColor="text1"/>
          <w:lang w:val="en-US"/>
        </w:rPr>
        <w:t xml:space="preserve">dens invaginatus and preparation of apical barrier with mineral trioxide aggregate in a maxillary lateral incisor: A case report and </w:t>
      </w:r>
      <w:r>
        <w:rPr>
          <w:rStyle w:val="fontstyle01"/>
          <w:rFonts w:ascii="Book Antiqua" w:eastAsia="宋体" w:hAnsi="Book Antiqua" w:cs="Times New Roman"/>
          <w:b/>
          <w:bCs/>
          <w:color w:val="000000" w:themeColor="text1"/>
          <w:lang w:val="en-US"/>
        </w:rPr>
        <w:t xml:space="preserve">review </w:t>
      </w:r>
      <w:r>
        <w:rPr>
          <w:rStyle w:val="fontstyle01"/>
          <w:rFonts w:ascii="Book Antiqua" w:eastAsia="宋体" w:hAnsi="Book Antiqua" w:cs="Times New Roman"/>
          <w:b/>
          <w:bCs/>
          <w:color w:val="000000" w:themeColor="text1"/>
          <w:lang w:val="en-US"/>
        </w:rPr>
        <w:t>of literature</w:t>
      </w:r>
    </w:p>
    <w:p w:rsidR="00925A10" w:rsidRDefault="00925A10">
      <w:pPr>
        <w:widowControl/>
        <w:snapToGrid w:val="0"/>
        <w:spacing w:line="360" w:lineRule="auto"/>
        <w:rPr>
          <w:rStyle w:val="fontstyle01"/>
          <w:rFonts w:ascii="Book Antiqua" w:eastAsia="宋体" w:hAnsi="Book Antiqua" w:cs="Times New Roman"/>
          <w:b/>
          <w:bCs/>
          <w:color w:val="000000" w:themeColor="text1"/>
          <w:lang w:val="en-US"/>
        </w:rPr>
      </w:pPr>
    </w:p>
    <w:p w:rsidR="00925A10" w:rsidRDefault="00FC5E1B">
      <w:pPr>
        <w:widowControl/>
        <w:snapToGrid w:val="0"/>
        <w:spacing w:line="360" w:lineRule="auto"/>
        <w:rPr>
          <w:rStyle w:val="fontstyle01"/>
          <w:rFonts w:ascii="Book Antiqua" w:eastAsia="宋体" w:hAnsi="Book Antiqua" w:cs="宋体"/>
          <w:color w:val="000000" w:themeColor="text1"/>
          <w:kern w:val="0"/>
          <w:lang w:val="en-US"/>
        </w:rPr>
      </w:pPr>
      <w:r>
        <w:rPr>
          <w:rStyle w:val="fontstyle01"/>
          <w:rFonts w:ascii="Book Antiqua" w:eastAsia="宋体" w:hAnsi="Book Antiqua" w:cs="Times New Roman"/>
          <w:color w:val="000000" w:themeColor="text1"/>
          <w:lang w:val="en-US"/>
        </w:rPr>
        <w:t xml:space="preserve">Liu J </w:t>
      </w:r>
      <w:r>
        <w:rPr>
          <w:rStyle w:val="fontstyle01"/>
          <w:rFonts w:ascii="Book Antiqua" w:eastAsia="宋体" w:hAnsi="Book Antiqua" w:cs="Times New Roman"/>
          <w:i/>
          <w:iCs/>
          <w:color w:val="000000" w:themeColor="text1"/>
          <w:lang w:val="en-US"/>
        </w:rPr>
        <w:t>et al.</w:t>
      </w:r>
      <w:r>
        <w:rPr>
          <w:rStyle w:val="fontstyle01"/>
          <w:rFonts w:ascii="Book Antiqua" w:eastAsia="宋体" w:hAnsi="Book Antiqua" w:cs="Times New Roman"/>
          <w:color w:val="000000" w:themeColor="text1"/>
          <w:lang w:val="en-US"/>
        </w:rPr>
        <w:t xml:space="preserve"> Microscopic removal of type </w:t>
      </w:r>
      <w:r>
        <w:rPr>
          <w:rFonts w:ascii="宋体" w:eastAsia="宋体" w:hAnsi="宋体" w:cs="宋体"/>
          <w:color w:val="000000" w:themeColor="text1"/>
          <w:kern w:val="0"/>
          <w:sz w:val="20"/>
          <w:szCs w:val="20"/>
          <w:shd w:val="clear" w:color="auto" w:fill="FFFFFF"/>
          <w:lang w:val="en-US"/>
        </w:rPr>
        <w:t>Ⅲ</w:t>
      </w:r>
      <w:r>
        <w:rPr>
          <w:rFonts w:ascii="Book Antiqua" w:eastAsia="宋体" w:hAnsi="Book Antiqua" w:cs="宋体"/>
          <w:color w:val="000000" w:themeColor="text1"/>
          <w:kern w:val="0"/>
          <w:sz w:val="20"/>
          <w:szCs w:val="20"/>
          <w:shd w:val="clear" w:color="auto" w:fill="FFFFFF"/>
          <w:lang w:val="en-US"/>
        </w:rPr>
        <w:t xml:space="preserve"> DI and</w:t>
      </w:r>
      <w:r>
        <w:rPr>
          <w:rStyle w:val="fontstyle01"/>
          <w:rFonts w:ascii="Book Antiqua" w:eastAsia="宋体" w:hAnsi="Book Antiqua" w:cs="Times New Roman"/>
          <w:color w:val="000000" w:themeColor="text1"/>
          <w:lang w:val="en-US"/>
        </w:rPr>
        <w:t xml:space="preserve"> preparation of apical barrier with MTA</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p>
    <w:p w:rsidR="00925A10" w:rsidRDefault="00FC5E1B">
      <w:pPr>
        <w:snapToGrid w:val="0"/>
        <w:spacing w:line="360" w:lineRule="auto"/>
        <w:rPr>
          <w:rFonts w:ascii="Book Antiqua" w:eastAsia="DengXian" w:hAnsi="Book Antiqua"/>
          <w:color w:val="000000" w:themeColor="text1"/>
          <w:kern w:val="0"/>
          <w:sz w:val="20"/>
          <w:szCs w:val="20"/>
          <w:lang w:val="en-US"/>
        </w:rPr>
      </w:pPr>
      <w:r>
        <w:rPr>
          <w:rStyle w:val="fontstyle01"/>
          <w:rFonts w:ascii="Book Antiqua" w:eastAsia="宋体" w:hAnsi="Book Antiqua" w:cs="Times New Roman"/>
          <w:color w:val="000000" w:themeColor="text1"/>
          <w:lang w:val="en-US"/>
        </w:rPr>
        <w:t xml:space="preserve">Jie Liu, Yue-Rong Zhang, Fu-Yu Zhang, Guang-Dong Zhang, </w:t>
      </w:r>
      <w:r>
        <w:rPr>
          <w:rFonts w:ascii="Book Antiqua" w:eastAsia="DengXian" w:hAnsi="Book Antiqua"/>
          <w:color w:val="000000" w:themeColor="text1"/>
          <w:kern w:val="0"/>
          <w:sz w:val="20"/>
          <w:szCs w:val="20"/>
          <w:lang w:val="en-US"/>
        </w:rPr>
        <w:t>Hai Xu</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p>
    <w:bookmarkEnd w:id="0"/>
    <w:bookmarkEnd w:id="1"/>
    <w:p w:rsidR="00925A10" w:rsidRDefault="00FC5E1B">
      <w:pPr>
        <w:snapToGrid w:val="0"/>
        <w:spacing w:line="360" w:lineRule="auto"/>
        <w:rPr>
          <w:rFonts w:ascii="Book Antiqua" w:eastAsia="DengXian" w:hAnsi="Book Antiqua"/>
          <w:color w:val="000000" w:themeColor="text1"/>
          <w:kern w:val="0"/>
          <w:sz w:val="20"/>
          <w:szCs w:val="20"/>
          <w:lang w:val="en-US"/>
        </w:rPr>
      </w:pPr>
      <w:r>
        <w:rPr>
          <w:rStyle w:val="fontstyle01"/>
          <w:rFonts w:ascii="Book Antiqua" w:eastAsia="宋体" w:hAnsi="Book Antiqua" w:cs="Times New Roman"/>
          <w:b/>
          <w:bCs/>
          <w:color w:val="000000" w:themeColor="text1"/>
          <w:lang w:val="en-US"/>
        </w:rPr>
        <w:t xml:space="preserve">Jie Liu, Yue-Rong Zhang, Fu-Yu Zhang, </w:t>
      </w:r>
      <w:bookmarkStart w:id="11" w:name="OLE_LINK9"/>
      <w:r>
        <w:rPr>
          <w:rStyle w:val="fontstyle01"/>
          <w:rFonts w:ascii="Book Antiqua" w:eastAsia="宋体" w:hAnsi="Book Antiqua" w:cs="Times New Roman"/>
          <w:b/>
          <w:bCs/>
          <w:color w:val="000000" w:themeColor="text1"/>
          <w:lang w:val="en-US"/>
        </w:rPr>
        <w:t>Guang-Dong Zhang,</w:t>
      </w:r>
      <w:bookmarkEnd w:id="11"/>
      <w:r>
        <w:rPr>
          <w:rStyle w:val="fontstyle01"/>
          <w:rFonts w:ascii="Book Antiqua" w:eastAsia="宋体" w:hAnsi="Book Antiqua" w:cs="Times New Roman"/>
          <w:b/>
          <w:bCs/>
          <w:color w:val="000000" w:themeColor="text1"/>
          <w:lang w:val="en-US"/>
        </w:rPr>
        <w:t xml:space="preserve"> </w:t>
      </w:r>
      <w:r>
        <w:rPr>
          <w:rFonts w:ascii="Book Antiqua" w:eastAsia="DengXian" w:hAnsi="Book Antiqua"/>
          <w:color w:val="000000" w:themeColor="text1"/>
          <w:kern w:val="0"/>
          <w:sz w:val="20"/>
          <w:szCs w:val="20"/>
          <w:lang w:val="en-US"/>
        </w:rPr>
        <w:t xml:space="preserve">Department of General Dentistry, Affiliated Hospital of Stomatology, Nanjing Medical University, </w:t>
      </w:r>
      <w:r>
        <w:rPr>
          <w:rFonts w:ascii="Book Antiqua" w:eastAsia="DengXian" w:hAnsi="Book Antiqua" w:cs="Times New Roman"/>
          <w:color w:val="000000" w:themeColor="text1"/>
          <w:sz w:val="20"/>
          <w:szCs w:val="20"/>
          <w:lang w:val="en-US"/>
        </w:rPr>
        <w:t xml:space="preserve">Nanjing 210029, Jiangsu </w:t>
      </w:r>
      <w:r>
        <w:rPr>
          <w:rFonts w:ascii="Book Antiqua" w:eastAsia="DengXian" w:hAnsi="Book Antiqua"/>
          <w:color w:val="000000" w:themeColor="text1"/>
          <w:kern w:val="0"/>
          <w:sz w:val="20"/>
          <w:szCs w:val="20"/>
          <w:lang w:val="en-US"/>
        </w:rPr>
        <w:t>Province</w:t>
      </w:r>
      <w:r>
        <w:rPr>
          <w:rFonts w:ascii="Book Antiqua" w:eastAsia="DengXian" w:hAnsi="Book Antiqua" w:cs="Times New Roman"/>
          <w:color w:val="000000" w:themeColor="text1"/>
          <w:sz w:val="20"/>
          <w:szCs w:val="20"/>
          <w:lang w:val="en-US"/>
        </w:rPr>
        <w:t>, China</w:t>
      </w:r>
    </w:p>
    <w:p w:rsidR="00925A10" w:rsidRDefault="00925A10">
      <w:pPr>
        <w:snapToGrid w:val="0"/>
        <w:spacing w:line="360" w:lineRule="auto"/>
        <w:rPr>
          <w:rFonts w:ascii="Book Antiqua" w:eastAsia="DengXian" w:hAnsi="Book Antiqua"/>
          <w:color w:val="000000" w:themeColor="text1"/>
          <w:kern w:val="0"/>
          <w:sz w:val="20"/>
          <w:szCs w:val="20"/>
          <w:lang w:val="en-US"/>
        </w:rPr>
      </w:pPr>
    </w:p>
    <w:p w:rsidR="00925A10" w:rsidRDefault="00FC5E1B">
      <w:pPr>
        <w:snapToGrid w:val="0"/>
        <w:spacing w:line="360" w:lineRule="auto"/>
        <w:rPr>
          <w:rFonts w:ascii="Book Antiqua" w:eastAsia="DengXian" w:hAnsi="Book Antiqua"/>
          <w:color w:val="000000" w:themeColor="text1"/>
          <w:kern w:val="0"/>
          <w:sz w:val="20"/>
          <w:szCs w:val="20"/>
          <w:lang w:val="en-US"/>
        </w:rPr>
      </w:pPr>
      <w:r>
        <w:rPr>
          <w:rStyle w:val="fontstyle01"/>
          <w:rFonts w:ascii="Book Antiqua" w:eastAsia="宋体" w:hAnsi="Book Antiqua" w:cs="Times New Roman"/>
          <w:b/>
          <w:bCs/>
          <w:color w:val="000000" w:themeColor="text1"/>
          <w:lang w:val="en-US"/>
        </w:rPr>
        <w:t xml:space="preserve">Jie Liu, Yue-Rong Zhang, Fu-Yu Zhang, Guang-Dong Zhang, </w:t>
      </w:r>
      <w:r>
        <w:rPr>
          <w:rFonts w:ascii="Book Antiqua" w:eastAsia="DengXian" w:hAnsi="Book Antiqua"/>
          <w:b/>
          <w:bCs/>
          <w:color w:val="000000" w:themeColor="text1"/>
          <w:kern w:val="0"/>
          <w:sz w:val="20"/>
          <w:szCs w:val="20"/>
          <w:lang w:val="en-US"/>
        </w:rPr>
        <w:t xml:space="preserve">Hai Xu, </w:t>
      </w:r>
      <w:r>
        <w:rPr>
          <w:rFonts w:ascii="Book Antiqua" w:eastAsia="DengXian" w:hAnsi="Book Antiqua"/>
          <w:color w:val="000000" w:themeColor="text1"/>
          <w:kern w:val="0"/>
          <w:sz w:val="20"/>
          <w:szCs w:val="20"/>
          <w:lang w:val="en-US"/>
        </w:rPr>
        <w:t xml:space="preserve">Jiangsu Key Laboratory of Oral Diseases, Nanjing Medical University, </w:t>
      </w:r>
      <w:r>
        <w:rPr>
          <w:rFonts w:ascii="Book Antiqua" w:eastAsia="DengXian" w:hAnsi="Book Antiqua" w:cs="Times New Roman"/>
          <w:color w:val="000000" w:themeColor="text1"/>
          <w:sz w:val="20"/>
          <w:szCs w:val="20"/>
          <w:lang w:val="en-US"/>
        </w:rPr>
        <w:t xml:space="preserve">Nanjing 210029, Jiangsu </w:t>
      </w:r>
      <w:r>
        <w:rPr>
          <w:rFonts w:ascii="Book Antiqua" w:eastAsia="DengXian" w:hAnsi="Book Antiqua"/>
          <w:color w:val="000000" w:themeColor="text1"/>
          <w:kern w:val="0"/>
          <w:sz w:val="20"/>
          <w:szCs w:val="20"/>
          <w:lang w:val="en-US"/>
        </w:rPr>
        <w:t>Province</w:t>
      </w:r>
      <w:r>
        <w:rPr>
          <w:rFonts w:ascii="Book Antiqua" w:eastAsia="DengXian" w:hAnsi="Book Antiqua" w:cs="Times New Roman"/>
          <w:color w:val="000000" w:themeColor="text1"/>
          <w:sz w:val="20"/>
          <w:szCs w:val="20"/>
          <w:lang w:val="en-US"/>
        </w:rPr>
        <w:t>, China</w:t>
      </w:r>
    </w:p>
    <w:p w:rsidR="00925A10" w:rsidRDefault="00925A10">
      <w:pPr>
        <w:snapToGrid w:val="0"/>
        <w:spacing w:line="360" w:lineRule="auto"/>
        <w:rPr>
          <w:rFonts w:ascii="Book Antiqua" w:eastAsia="DengXian" w:hAnsi="Book Antiqua"/>
          <w:color w:val="000000" w:themeColor="text1"/>
          <w:kern w:val="0"/>
          <w:sz w:val="20"/>
          <w:szCs w:val="20"/>
          <w:lang w:val="en-US"/>
        </w:rPr>
      </w:pPr>
    </w:p>
    <w:p w:rsidR="00925A10" w:rsidRDefault="00FC5E1B">
      <w:pPr>
        <w:snapToGrid w:val="0"/>
        <w:spacing w:line="360" w:lineRule="auto"/>
        <w:rPr>
          <w:rFonts w:ascii="Book Antiqua" w:eastAsia="DengXian" w:hAnsi="Book Antiqua"/>
          <w:color w:val="000000" w:themeColor="text1"/>
          <w:kern w:val="0"/>
          <w:sz w:val="20"/>
          <w:szCs w:val="20"/>
          <w:lang w:val="en-US"/>
        </w:rPr>
      </w:pPr>
      <w:r>
        <w:rPr>
          <w:rFonts w:ascii="Book Antiqua" w:eastAsia="DengXian" w:hAnsi="Book Antiqua"/>
          <w:b/>
          <w:bCs/>
          <w:color w:val="000000" w:themeColor="text1"/>
          <w:kern w:val="0"/>
          <w:sz w:val="20"/>
          <w:szCs w:val="20"/>
          <w:lang w:val="en-US"/>
        </w:rPr>
        <w:t xml:space="preserve">Hai Xu, </w:t>
      </w:r>
      <w:r>
        <w:rPr>
          <w:rFonts w:ascii="Book Antiqua" w:eastAsia="DengXian" w:hAnsi="Book Antiqua"/>
          <w:color w:val="000000" w:themeColor="text1"/>
          <w:kern w:val="0"/>
          <w:sz w:val="20"/>
          <w:szCs w:val="20"/>
          <w:lang w:val="en-US"/>
        </w:rPr>
        <w:t xml:space="preserve">Department of Conservative Dentistry and Endodontics, Affiliated Hospital of Stomatology, Nanjing Medical University, </w:t>
      </w:r>
      <w:r>
        <w:rPr>
          <w:rFonts w:ascii="Book Antiqua" w:eastAsia="DengXian" w:hAnsi="Book Antiqua" w:cs="Times New Roman"/>
          <w:color w:val="000000" w:themeColor="text1"/>
          <w:sz w:val="20"/>
          <w:szCs w:val="20"/>
          <w:lang w:val="en-US"/>
        </w:rPr>
        <w:t>Nanjing 210029, Jian</w:t>
      </w:r>
      <w:r>
        <w:rPr>
          <w:rFonts w:ascii="Book Antiqua" w:eastAsia="DengXian" w:hAnsi="Book Antiqua" w:cs="Times New Roman"/>
          <w:color w:val="000000" w:themeColor="text1"/>
          <w:sz w:val="20"/>
          <w:szCs w:val="20"/>
          <w:lang w:val="en-US"/>
        </w:rPr>
        <w:t xml:space="preserve">gsu </w:t>
      </w:r>
      <w:r>
        <w:rPr>
          <w:rFonts w:ascii="Book Antiqua" w:eastAsia="DengXian" w:hAnsi="Book Antiqua"/>
          <w:color w:val="000000" w:themeColor="text1"/>
          <w:kern w:val="0"/>
          <w:sz w:val="20"/>
          <w:szCs w:val="20"/>
          <w:lang w:val="en-US"/>
        </w:rPr>
        <w:t>Province</w:t>
      </w:r>
      <w:r>
        <w:rPr>
          <w:rFonts w:ascii="Book Antiqua" w:eastAsia="DengXian" w:hAnsi="Book Antiqua" w:cs="Times New Roman"/>
          <w:color w:val="000000" w:themeColor="text1"/>
          <w:sz w:val="20"/>
          <w:szCs w:val="20"/>
          <w:lang w:val="en-US"/>
        </w:rPr>
        <w:t>, China</w:t>
      </w:r>
    </w:p>
    <w:p w:rsidR="00925A10" w:rsidRDefault="00925A10">
      <w:pPr>
        <w:snapToGrid w:val="0"/>
        <w:spacing w:line="360" w:lineRule="auto"/>
        <w:rPr>
          <w:rFonts w:ascii="Book Antiqua" w:eastAsia="DengXian" w:hAnsi="Book Antiqua"/>
          <w:color w:val="000000" w:themeColor="text1"/>
          <w:kern w:val="0"/>
          <w:sz w:val="20"/>
          <w:szCs w:val="20"/>
          <w:lang w:val="en-US"/>
        </w:rPr>
      </w:pPr>
    </w:p>
    <w:p w:rsidR="00925A10" w:rsidRDefault="00FC5E1B">
      <w:pPr>
        <w:snapToGrid w:val="0"/>
        <w:spacing w:line="360" w:lineRule="auto"/>
        <w:rPr>
          <w:rFonts w:ascii="Book Antiqua" w:eastAsia="DengXian" w:hAnsi="Book Antiqua"/>
          <w:color w:val="000000" w:themeColor="text1"/>
          <w:kern w:val="0"/>
          <w:sz w:val="20"/>
          <w:szCs w:val="20"/>
          <w:lang w:val="en-US"/>
        </w:rPr>
      </w:pPr>
      <w:r>
        <w:rPr>
          <w:rFonts w:ascii="Book Antiqua" w:hAnsi="Book Antiqua"/>
          <w:b/>
          <w:color w:val="000000" w:themeColor="text1"/>
          <w:sz w:val="20"/>
          <w:szCs w:val="20"/>
          <w:lang w:val="en-US"/>
        </w:rPr>
        <w:t xml:space="preserve">Author contributions: </w:t>
      </w:r>
      <w:r>
        <w:rPr>
          <w:rFonts w:ascii="Book Antiqua" w:eastAsia="DengXian" w:hAnsi="Book Antiqua"/>
          <w:color w:val="000000" w:themeColor="text1"/>
          <w:kern w:val="0"/>
          <w:sz w:val="20"/>
          <w:szCs w:val="20"/>
          <w:lang w:val="en-US"/>
        </w:rPr>
        <w:t xml:space="preserve">Xu H designed the treatment plan and treated the patient; Liu J, Zhang YR, Zhang FY, </w:t>
      </w:r>
      <w:r>
        <w:rPr>
          <w:rFonts w:ascii="Book Antiqua" w:eastAsia="DengXian" w:hAnsi="Book Antiqua"/>
          <w:color w:val="000000" w:themeColor="text1"/>
          <w:kern w:val="0"/>
          <w:sz w:val="20"/>
          <w:szCs w:val="20"/>
          <w:lang w:val="en-US"/>
        </w:rPr>
        <w:t xml:space="preserve">and </w:t>
      </w:r>
      <w:r>
        <w:rPr>
          <w:rFonts w:ascii="Book Antiqua" w:eastAsia="DengXian" w:hAnsi="Book Antiqua"/>
          <w:color w:val="000000" w:themeColor="text1"/>
          <w:kern w:val="0"/>
          <w:sz w:val="20"/>
          <w:szCs w:val="20"/>
          <w:lang w:val="en-US"/>
        </w:rPr>
        <w:t>Zhang GD reviewed the literature and drafted the manuscript.</w:t>
      </w:r>
    </w:p>
    <w:p w:rsidR="00925A10" w:rsidRDefault="00925A10">
      <w:pPr>
        <w:snapToGrid w:val="0"/>
        <w:spacing w:line="360" w:lineRule="auto"/>
        <w:rPr>
          <w:rFonts w:ascii="Book Antiqua" w:eastAsia="DengXian" w:hAnsi="Book Antiqua"/>
          <w:color w:val="000000" w:themeColor="text1"/>
          <w:kern w:val="0"/>
          <w:sz w:val="20"/>
          <w:szCs w:val="20"/>
          <w:lang w:val="en-US"/>
        </w:rPr>
      </w:pPr>
    </w:p>
    <w:p w:rsidR="00925A10" w:rsidRDefault="00FC5E1B">
      <w:pPr>
        <w:adjustRightInd w:val="0"/>
        <w:snapToGrid w:val="0"/>
        <w:spacing w:line="360" w:lineRule="auto"/>
        <w:rPr>
          <w:rFonts w:ascii="Book Antiqua" w:hAnsi="Book Antiqua" w:cstheme="minorHAnsi"/>
          <w:color w:val="000000" w:themeColor="text1"/>
          <w:sz w:val="20"/>
          <w:szCs w:val="20"/>
          <w:lang w:val="en-US"/>
        </w:rPr>
      </w:pPr>
      <w:r>
        <w:rPr>
          <w:rFonts w:ascii="Book Antiqua" w:hAnsi="Book Antiqua" w:cstheme="minorHAnsi"/>
          <w:b/>
          <w:color w:val="000000" w:themeColor="text1"/>
          <w:sz w:val="20"/>
          <w:szCs w:val="20"/>
          <w:lang w:val="en-US"/>
        </w:rPr>
        <w:t>Supported by</w:t>
      </w:r>
      <w:r>
        <w:rPr>
          <w:rFonts w:ascii="Book Antiqua" w:hAnsi="Book Antiqua" w:cstheme="minorHAnsi"/>
          <w:color w:val="000000" w:themeColor="text1"/>
          <w:sz w:val="20"/>
          <w:szCs w:val="20"/>
          <w:lang w:val="en-US"/>
        </w:rPr>
        <w:t xml:space="preserve"> </w:t>
      </w:r>
      <w:r>
        <w:rPr>
          <w:rFonts w:ascii="Book Antiqua" w:hAnsi="Book Antiqua"/>
          <w:bCs/>
          <w:color w:val="000000" w:themeColor="text1"/>
          <w:sz w:val="20"/>
          <w:szCs w:val="20"/>
          <w:lang w:val="en-US"/>
        </w:rPr>
        <w:t xml:space="preserve">the Priority Academic Program </w:t>
      </w:r>
      <w:r>
        <w:rPr>
          <w:rFonts w:ascii="Book Antiqua" w:hAnsi="Book Antiqua"/>
          <w:bCs/>
          <w:color w:val="000000" w:themeColor="text1"/>
          <w:sz w:val="20"/>
          <w:szCs w:val="20"/>
          <w:lang w:val="en-US"/>
        </w:rPr>
        <w:t>Development of Jiangsu Higher Education Institutions, No. PAPD2018-87</w:t>
      </w:r>
    </w:p>
    <w:p w:rsidR="00925A10" w:rsidRDefault="00925A10">
      <w:pPr>
        <w:snapToGrid w:val="0"/>
        <w:spacing w:line="360" w:lineRule="auto"/>
        <w:rPr>
          <w:rFonts w:ascii="Book Antiqua" w:eastAsia="DengXian" w:hAnsi="Book Antiqua"/>
          <w:color w:val="000000" w:themeColor="text1"/>
          <w:kern w:val="0"/>
          <w:sz w:val="20"/>
          <w:szCs w:val="20"/>
          <w:lang w:val="en-US"/>
        </w:rPr>
      </w:pPr>
    </w:p>
    <w:p w:rsidR="00925A10" w:rsidRDefault="00FC5E1B">
      <w:pPr>
        <w:snapToGrid w:val="0"/>
        <w:spacing w:line="360" w:lineRule="auto"/>
        <w:rPr>
          <w:rFonts w:ascii="Book Antiqua" w:eastAsia="DengXian" w:hAnsi="Book Antiqua" w:cs="Times New Roman"/>
          <w:color w:val="000000" w:themeColor="text1"/>
          <w:sz w:val="20"/>
          <w:szCs w:val="20"/>
          <w:lang w:val="en-US"/>
        </w:rPr>
      </w:pPr>
      <w:r>
        <w:rPr>
          <w:rFonts w:ascii="Book Antiqua" w:hAnsi="Book Antiqua" w:cstheme="minorHAnsi"/>
          <w:b/>
          <w:color w:val="000000" w:themeColor="text1"/>
          <w:sz w:val="20"/>
          <w:szCs w:val="20"/>
          <w:lang w:val="en-US"/>
        </w:rPr>
        <w:t xml:space="preserve">Corresponding author: </w:t>
      </w:r>
      <w:r>
        <w:rPr>
          <w:rFonts w:ascii="Book Antiqua" w:eastAsia="DengXian" w:hAnsi="Book Antiqua" w:cs="Times New Roman"/>
          <w:b/>
          <w:bCs/>
          <w:color w:val="000000" w:themeColor="text1"/>
          <w:kern w:val="0"/>
          <w:sz w:val="20"/>
          <w:szCs w:val="20"/>
          <w:lang w:val="en-US"/>
        </w:rPr>
        <w:t xml:space="preserve">Hai Xu, </w:t>
      </w:r>
      <w:r>
        <w:rPr>
          <w:rFonts w:ascii="Book Antiqua" w:eastAsia="DengXian" w:hAnsi="Book Antiqua" w:cs="Times New Roman"/>
          <w:b/>
          <w:bCs/>
          <w:color w:val="000000" w:themeColor="text1"/>
          <w:sz w:val="20"/>
          <w:szCs w:val="20"/>
          <w:lang w:val="en-US"/>
        </w:rPr>
        <w:t xml:space="preserve"> PhD, </w:t>
      </w:r>
      <w:r>
        <w:rPr>
          <w:rFonts w:ascii="Book Antiqua" w:eastAsia="DengXian" w:hAnsi="Book Antiqua" w:cs="Times New Roman" w:hint="eastAsia"/>
          <w:b/>
          <w:bCs/>
          <w:color w:val="000000" w:themeColor="text1"/>
          <w:sz w:val="20"/>
          <w:szCs w:val="20"/>
          <w:lang w:val="en-US"/>
        </w:rPr>
        <w:t xml:space="preserve">Associate </w:t>
      </w:r>
      <w:r>
        <w:rPr>
          <w:rFonts w:ascii="Book Antiqua" w:eastAsia="DengXian" w:hAnsi="Book Antiqua" w:cs="Times New Roman" w:hint="eastAsia"/>
          <w:b/>
          <w:bCs/>
          <w:color w:val="000000" w:themeColor="text1"/>
          <w:sz w:val="20"/>
          <w:szCs w:val="20"/>
          <w:lang w:val="en-US"/>
        </w:rPr>
        <w:t>C</w:t>
      </w:r>
      <w:r>
        <w:rPr>
          <w:rFonts w:ascii="Book Antiqua" w:eastAsia="DengXian" w:hAnsi="Book Antiqua" w:cs="Times New Roman" w:hint="eastAsia"/>
          <w:b/>
          <w:bCs/>
          <w:color w:val="000000" w:themeColor="text1"/>
          <w:sz w:val="20"/>
          <w:szCs w:val="20"/>
          <w:lang w:val="en-US"/>
        </w:rPr>
        <w:t>hief</w:t>
      </w:r>
      <w:r>
        <w:rPr>
          <w:rFonts w:ascii="Book Antiqua" w:eastAsia="DengXian" w:hAnsi="Book Antiqua" w:cs="Times New Roman" w:hint="eastAsia"/>
          <w:b/>
          <w:bCs/>
          <w:color w:val="000000" w:themeColor="text1"/>
          <w:sz w:val="20"/>
          <w:szCs w:val="20"/>
          <w:lang w:val="en-US"/>
        </w:rPr>
        <w:t xml:space="preserve"> Physician</w:t>
      </w:r>
      <w:r>
        <w:rPr>
          <w:rFonts w:ascii="Book Antiqua" w:eastAsia="DengXian" w:hAnsi="Book Antiqua" w:cs="Times New Roman" w:hint="eastAsia"/>
          <w:b/>
          <w:bCs/>
          <w:color w:val="000000" w:themeColor="text1"/>
          <w:sz w:val="20"/>
          <w:szCs w:val="20"/>
          <w:lang w:val="en-US"/>
        </w:rPr>
        <w:t xml:space="preserve"> </w:t>
      </w:r>
      <w:r>
        <w:rPr>
          <w:rFonts w:ascii="Book Antiqua" w:eastAsia="DengXian" w:hAnsi="Book Antiqua" w:cs="Times New Roman"/>
          <w:b/>
          <w:bCs/>
          <w:color w:val="000000" w:themeColor="text1"/>
          <w:sz w:val="20"/>
          <w:szCs w:val="20"/>
          <w:lang w:val="en-US"/>
        </w:rPr>
        <w:t>,</w:t>
      </w:r>
      <w:r>
        <w:rPr>
          <w:rFonts w:ascii="Book Antiqua" w:eastAsia="DengXian" w:hAnsi="Book Antiqua" w:cs="Times New Roman"/>
          <w:color w:val="000000" w:themeColor="text1"/>
          <w:sz w:val="20"/>
          <w:szCs w:val="20"/>
          <w:lang w:val="en-US"/>
        </w:rPr>
        <w:t xml:space="preserve"> </w:t>
      </w:r>
      <w:r>
        <w:rPr>
          <w:rFonts w:ascii="Book Antiqua" w:eastAsia="DengXian" w:hAnsi="Book Antiqua"/>
          <w:color w:val="000000" w:themeColor="text1"/>
          <w:kern w:val="0"/>
          <w:sz w:val="20"/>
          <w:szCs w:val="20"/>
          <w:lang w:val="en-US"/>
        </w:rPr>
        <w:t xml:space="preserve">Department of Conservative Dentistry and Endodontics, Affiliated Hospital of Stomatology, Nanjing Medical University, </w:t>
      </w:r>
      <w:r>
        <w:rPr>
          <w:rFonts w:ascii="Book Antiqua" w:eastAsia="DengXian" w:hAnsi="Book Antiqua" w:cs="Times New Roman"/>
          <w:color w:val="000000" w:themeColor="text1"/>
          <w:sz w:val="20"/>
          <w:szCs w:val="20"/>
          <w:lang w:val="en-US"/>
        </w:rPr>
        <w:t>Han-Zhong Road 136</w:t>
      </w:r>
      <w:r>
        <w:rPr>
          <w:rFonts w:ascii="Book Antiqua" w:eastAsia="DengXian" w:hAnsi="Book Antiqua" w:cs="Times New Roman"/>
          <w:color w:val="000000" w:themeColor="text1"/>
          <w:sz w:val="20"/>
          <w:szCs w:val="20"/>
          <w:vertAlign w:val="superscript"/>
          <w:lang w:val="en-US"/>
        </w:rPr>
        <w:t>th</w:t>
      </w:r>
      <w:r>
        <w:rPr>
          <w:rFonts w:ascii="Book Antiqua" w:eastAsia="DengXian" w:hAnsi="Book Antiqua" w:cs="Times New Roman"/>
          <w:color w:val="000000" w:themeColor="text1"/>
          <w:sz w:val="20"/>
          <w:szCs w:val="20"/>
          <w:lang w:val="en-US"/>
        </w:rPr>
        <w:t xml:space="preserve">, Nanjing 210029, Jiangsu </w:t>
      </w:r>
      <w:r>
        <w:rPr>
          <w:rFonts w:ascii="Book Antiqua" w:eastAsia="DengXian" w:hAnsi="Book Antiqua"/>
          <w:color w:val="000000" w:themeColor="text1"/>
          <w:kern w:val="0"/>
          <w:sz w:val="20"/>
          <w:szCs w:val="20"/>
          <w:lang w:val="en-US"/>
        </w:rPr>
        <w:t>Province</w:t>
      </w:r>
      <w:r>
        <w:rPr>
          <w:rFonts w:ascii="Book Antiqua" w:eastAsia="DengXian" w:hAnsi="Book Antiqua" w:cs="Times New Roman"/>
          <w:color w:val="000000" w:themeColor="text1"/>
          <w:sz w:val="20"/>
          <w:szCs w:val="20"/>
          <w:lang w:val="en-US"/>
        </w:rPr>
        <w:t xml:space="preserve">, China. </w:t>
      </w:r>
      <w:hyperlink r:id="rId8" w:history="1">
        <w:r>
          <w:rPr>
            <w:rFonts w:ascii="Book Antiqua" w:hAnsi="Book Antiqua" w:cs="Times New Roman"/>
            <w:color w:val="000000" w:themeColor="text1"/>
            <w:sz w:val="20"/>
            <w:szCs w:val="20"/>
            <w:lang w:val="en-US"/>
          </w:rPr>
          <w:t>xh1982@njmu.edu.cn</w:t>
        </w:r>
      </w:hyperlink>
    </w:p>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 xml:space="preserve">Received: </w:t>
      </w:r>
      <w:r>
        <w:rPr>
          <w:rFonts w:ascii="Book Antiqua" w:hAnsi="Book Antiqua"/>
          <w:color w:val="000000" w:themeColor="text1"/>
          <w:sz w:val="20"/>
          <w:szCs w:val="20"/>
          <w:lang w:val="en-US"/>
        </w:rPr>
        <w:t>November 26, 2019</w:t>
      </w: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 xml:space="preserve">Revised: </w:t>
      </w:r>
      <w:r>
        <w:rPr>
          <w:rFonts w:ascii="Book Antiqua" w:hAnsi="Book Antiqua"/>
          <w:color w:val="000000" w:themeColor="text1"/>
          <w:sz w:val="20"/>
          <w:szCs w:val="20"/>
          <w:lang w:val="en-US"/>
        </w:rPr>
        <w:t>February 1, 2020</w:t>
      </w: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Accepted:</w:t>
      </w:r>
      <w:r>
        <w:rPr>
          <w:sz w:val="20"/>
          <w:szCs w:val="20"/>
          <w:lang w:val="en-US"/>
        </w:rPr>
        <w:t xml:space="preserve"> </w:t>
      </w:r>
      <w:r>
        <w:rPr>
          <w:rFonts w:ascii="Book Antiqua" w:hAnsi="Book Antiqua"/>
          <w:bCs/>
          <w:color w:val="000000" w:themeColor="text1"/>
          <w:sz w:val="20"/>
          <w:szCs w:val="20"/>
          <w:lang w:val="en-US"/>
        </w:rPr>
        <w:t>February 28, 2020</w:t>
      </w:r>
      <w:r>
        <w:rPr>
          <w:rFonts w:ascii="Book Antiqua" w:hAnsi="Book Antiqua"/>
          <w:color w:val="000000" w:themeColor="text1"/>
          <w:sz w:val="20"/>
          <w:szCs w:val="20"/>
          <w:lang w:val="en-US"/>
        </w:rPr>
        <w:t xml:space="preserve"> </w:t>
      </w: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 xml:space="preserve">Published online: </w:t>
      </w:r>
    </w:p>
    <w:p w:rsidR="00925A10" w:rsidRDefault="00FC5E1B">
      <w:pPr>
        <w:widowControl/>
        <w:snapToGrid w:val="0"/>
        <w:spacing w:line="360" w:lineRule="auto"/>
        <w:rPr>
          <w:rFonts w:ascii="Book Antiqua" w:eastAsia="宋体" w:hAnsi="Book Antiqua" w:cs="Times New Roman"/>
          <w:b/>
          <w:bCs/>
          <w:color w:val="000000" w:themeColor="text1"/>
          <w:sz w:val="20"/>
          <w:szCs w:val="20"/>
          <w:lang w:val="en-US"/>
        </w:rPr>
      </w:pPr>
      <w:r>
        <w:rPr>
          <w:rFonts w:ascii="Book Antiqua" w:eastAsia="宋体" w:hAnsi="Book Antiqua" w:cs="Times New Roman"/>
          <w:b/>
          <w:bCs/>
          <w:color w:val="000000" w:themeColor="text1"/>
          <w:sz w:val="20"/>
          <w:szCs w:val="20"/>
          <w:lang w:val="en-US"/>
        </w:rPr>
        <w:lastRenderedPageBreak/>
        <w:br w:type="page"/>
      </w:r>
    </w:p>
    <w:p w:rsidR="00925A10" w:rsidRDefault="00FC5E1B">
      <w:pPr>
        <w:snapToGrid w:val="0"/>
        <w:spacing w:line="360" w:lineRule="auto"/>
        <w:rPr>
          <w:rFonts w:ascii="Book Antiqua" w:eastAsia="宋体" w:hAnsi="Book Antiqua" w:cs="Times New Roman"/>
          <w:b/>
          <w:bCs/>
          <w:color w:val="000000" w:themeColor="text1"/>
          <w:sz w:val="20"/>
          <w:szCs w:val="20"/>
          <w:lang w:val="en-US"/>
        </w:rPr>
      </w:pPr>
      <w:r>
        <w:rPr>
          <w:rFonts w:ascii="Book Antiqua" w:eastAsia="宋体" w:hAnsi="Book Antiqua" w:cs="Times New Roman"/>
          <w:b/>
          <w:bCs/>
          <w:color w:val="000000" w:themeColor="text1"/>
          <w:sz w:val="20"/>
          <w:szCs w:val="20"/>
          <w:lang w:val="en-US"/>
        </w:rPr>
        <w:lastRenderedPageBreak/>
        <w:t>Abstract</w:t>
      </w:r>
    </w:p>
    <w:p w:rsidR="00925A10" w:rsidRDefault="00FC5E1B">
      <w:pPr>
        <w:snapToGrid w:val="0"/>
        <w:spacing w:line="360" w:lineRule="auto"/>
        <w:rPr>
          <w:rFonts w:ascii="Book Antiqua" w:eastAsia="宋体" w:hAnsi="Book Antiqua" w:cs="Times New Roman"/>
          <w:color w:val="000000" w:themeColor="text1"/>
          <w:sz w:val="20"/>
          <w:szCs w:val="20"/>
          <w:lang w:val="en-US"/>
        </w:rPr>
      </w:pPr>
      <w:bookmarkStart w:id="12" w:name="OLE_LINK47"/>
      <w:r>
        <w:rPr>
          <w:rFonts w:ascii="Book Antiqua" w:eastAsia="宋体" w:hAnsi="Book Antiqua" w:cs="Times New Roman"/>
          <w:color w:val="000000" w:themeColor="text1"/>
          <w:sz w:val="20"/>
          <w:szCs w:val="20"/>
          <w:lang w:val="en-US"/>
        </w:rPr>
        <w:t>BACKGROUND</w:t>
      </w: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eastAsia="宋体" w:hAnsi="Book Antiqua" w:cs="Times New Roman"/>
          <w:color w:val="000000" w:themeColor="text1"/>
          <w:sz w:val="20"/>
          <w:szCs w:val="20"/>
          <w:lang w:val="en-US"/>
        </w:rPr>
        <w:t xml:space="preserve">Invaginated teeth pose greater challenges in clinical management because of their complex configuration. With advancements in equipment and materials, such as the dental operation microscope, cone-beam computed tomography and </w:t>
      </w:r>
      <w:bookmarkStart w:id="13" w:name="OLE_LINK41"/>
      <w:r>
        <w:rPr>
          <w:rFonts w:ascii="Book Antiqua" w:eastAsia="宋体" w:hAnsi="Book Antiqua" w:cs="Times New Roman"/>
          <w:color w:val="000000" w:themeColor="text1"/>
          <w:sz w:val="20"/>
          <w:szCs w:val="20"/>
          <w:lang w:val="en-US"/>
        </w:rPr>
        <w:t>mineral trioxide aggregate</w:t>
      </w:r>
      <w:bookmarkEnd w:id="13"/>
      <w:r>
        <w:rPr>
          <w:rFonts w:ascii="Book Antiqua" w:eastAsia="宋体" w:hAnsi="Book Antiqua" w:cs="Times New Roman"/>
          <w:color w:val="000000" w:themeColor="text1"/>
          <w:sz w:val="20"/>
          <w:szCs w:val="20"/>
          <w:lang w:val="en-US"/>
        </w:rPr>
        <w:t>, th</w:t>
      </w:r>
      <w:r>
        <w:rPr>
          <w:rFonts w:ascii="Book Antiqua" w:eastAsia="宋体" w:hAnsi="Book Antiqua" w:cs="Times New Roman"/>
          <w:color w:val="000000" w:themeColor="text1"/>
          <w:sz w:val="20"/>
          <w:szCs w:val="20"/>
          <w:lang w:val="en-US"/>
        </w:rPr>
        <w:t>e preservation rate of type</w:t>
      </w:r>
      <w:r>
        <w:rPr>
          <w:rFonts w:ascii="Book Antiqua" w:eastAsia="宋体" w:hAnsi="Book Antiqua" w:cs="Times New Roman"/>
          <w:color w:val="000000" w:themeColor="text1"/>
          <w:sz w:val="20"/>
          <w:szCs w:val="20"/>
          <w:lang w:val="en-US"/>
        </w:rPr>
        <w:t xml:space="preserve"> III</w:t>
      </w:r>
      <w:r>
        <w:rPr>
          <w:rFonts w:ascii="Book Antiqua" w:eastAsia="宋体" w:hAnsi="Book Antiqua" w:cs="Times New Roman"/>
          <w:color w:val="000000" w:themeColor="text1"/>
          <w:sz w:val="20"/>
          <w:szCs w:val="20"/>
          <w:lang w:val="en-US"/>
        </w:rPr>
        <w:t xml:space="preserve"> </w:t>
      </w:r>
      <w:r>
        <w:rPr>
          <w:rFonts w:ascii="Book Antiqua" w:eastAsia="宋体" w:hAnsi="Book Antiqua" w:cs="Times New Roman"/>
          <w:color w:val="000000" w:themeColor="text1"/>
          <w:sz w:val="20"/>
          <w:szCs w:val="20"/>
          <w:lang w:val="en-US"/>
        </w:rPr>
        <w:t>dens invaginatus could be greatly increased.</w:t>
      </w:r>
    </w:p>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eastAsia="宋体" w:hAnsi="Book Antiqua" w:cs="Times New Roman"/>
          <w:color w:val="000000" w:themeColor="text1"/>
          <w:sz w:val="20"/>
          <w:szCs w:val="20"/>
          <w:lang w:val="en-US"/>
        </w:rPr>
        <w:t>CASE SUMMARY</w:t>
      </w:r>
    </w:p>
    <w:p w:rsidR="00925A10" w:rsidRDefault="00FC5E1B">
      <w:pPr>
        <w:widowControl/>
        <w:snapToGrid w:val="0"/>
        <w:spacing w:line="360" w:lineRule="auto"/>
        <w:rPr>
          <w:rFonts w:ascii="Book Antiqua" w:eastAsia="宋体" w:hAnsi="Book Antiqua" w:cs="宋体"/>
          <w:color w:val="000000" w:themeColor="text1"/>
          <w:kern w:val="0"/>
          <w:sz w:val="20"/>
          <w:szCs w:val="20"/>
          <w:lang w:val="en-US"/>
        </w:rPr>
      </w:pPr>
      <w:r>
        <w:rPr>
          <w:rFonts w:ascii="Book Antiqua" w:eastAsia="宋体" w:hAnsi="Book Antiqua" w:cs="Times New Roman"/>
          <w:color w:val="000000" w:themeColor="text1"/>
          <w:sz w:val="20"/>
          <w:szCs w:val="20"/>
          <w:lang w:val="en-US"/>
        </w:rPr>
        <w:t xml:space="preserve">This case report presented a 31-year-old woman </w:t>
      </w:r>
      <w:r>
        <w:rPr>
          <w:rFonts w:ascii="Book Antiqua" w:hAnsi="Book Antiqua" w:cs="Times New Roman"/>
          <w:color w:val="000000" w:themeColor="text1"/>
          <w:sz w:val="20"/>
          <w:szCs w:val="20"/>
          <w:lang w:val="en-US"/>
        </w:rPr>
        <w:t>with complaints of spontaneous swelling and pain</w:t>
      </w:r>
      <w:r>
        <w:rPr>
          <w:rFonts w:ascii="Book Antiqua" w:eastAsia="宋体" w:hAnsi="Book Antiqua" w:cs="Times New Roman"/>
          <w:color w:val="000000" w:themeColor="text1"/>
          <w:sz w:val="20"/>
          <w:szCs w:val="20"/>
          <w:lang w:val="en-US"/>
        </w:rPr>
        <w:t xml:space="preserve"> in the right maxillary lateral tooth. With the aid of cone-beam computed tomography, type</w:t>
      </w:r>
      <w:r>
        <w:rPr>
          <w:rFonts w:ascii="Book Antiqua" w:eastAsia="宋体" w:hAnsi="Book Antiqua" w:cs="Times New Roman"/>
          <w:color w:val="000000" w:themeColor="text1"/>
          <w:sz w:val="20"/>
          <w:szCs w:val="20"/>
          <w:lang w:val="en-US"/>
        </w:rPr>
        <w:t xml:space="preserve"> III</w:t>
      </w:r>
      <w:r>
        <w:rPr>
          <w:rFonts w:ascii="Book Antiqua" w:eastAsia="宋体" w:hAnsi="Book Antiqua" w:cs="Times New Roman"/>
          <w:color w:val="000000" w:themeColor="text1"/>
          <w:sz w:val="20"/>
          <w:szCs w:val="20"/>
          <w:lang w:val="en-US"/>
        </w:rPr>
        <w:t xml:space="preserve"> </w:t>
      </w:r>
      <w:r>
        <w:rPr>
          <w:rFonts w:ascii="Book Antiqua" w:eastAsia="宋体" w:hAnsi="Book Antiqua" w:cs="Times New Roman"/>
          <w:color w:val="000000" w:themeColor="text1"/>
          <w:sz w:val="20"/>
          <w:szCs w:val="20"/>
          <w:lang w:val="en-US"/>
        </w:rPr>
        <w:t xml:space="preserve">dens invaginatus with apical periodontitis was diagnosed and confirmed. Three-visit endodontic treatment was performed. In the first visit, the </w:t>
      </w:r>
      <w:r>
        <w:rPr>
          <w:rFonts w:ascii="Book Antiqua" w:eastAsia="宋体" w:hAnsi="Book Antiqua" w:cs="Times New Roman"/>
          <w:color w:val="000000" w:themeColor="text1"/>
          <w:sz w:val="20"/>
          <w:szCs w:val="20"/>
          <w:lang w:val="en-US"/>
        </w:rPr>
        <w:t>invagination was carefully removed under the dental operation microscope, and chemomechanical preparation was done.</w:t>
      </w:r>
      <w:r>
        <w:rPr>
          <w:rFonts w:ascii="Book Antiqua" w:hAnsi="Book Antiqua" w:cs="Times New Roman"/>
          <w:color w:val="000000" w:themeColor="text1"/>
          <w:sz w:val="20"/>
          <w:szCs w:val="20"/>
          <w:lang w:val="en-US"/>
        </w:rPr>
        <w:t xml:space="preserve"> </w:t>
      </w:r>
      <w:r>
        <w:rPr>
          <w:rFonts w:ascii="Book Antiqua" w:eastAsia="宋体" w:hAnsi="Book Antiqua" w:cs="Times New Roman"/>
          <w:color w:val="000000" w:themeColor="text1"/>
          <w:sz w:val="20"/>
          <w:szCs w:val="20"/>
          <w:lang w:val="en-US"/>
        </w:rPr>
        <w:t>In the second visit, mineral trioxide aggregate apical barrier surgery was performed in this tooth. In the third visit, the canal was finall</w:t>
      </w:r>
      <w:r>
        <w:rPr>
          <w:rFonts w:ascii="Book Antiqua" w:eastAsia="宋体" w:hAnsi="Book Antiqua" w:cs="Times New Roman"/>
          <w:color w:val="000000" w:themeColor="text1"/>
          <w:sz w:val="20"/>
          <w:szCs w:val="20"/>
          <w:lang w:val="en-US"/>
        </w:rPr>
        <w:t>y obturated with thermoplastic gutta-percha</w:t>
      </w:r>
      <w:r>
        <w:rPr>
          <w:rFonts w:ascii="Book Antiqua" w:hAnsi="Book Antiqua" w:cs="Times New Roman"/>
          <w:color w:val="000000" w:themeColor="text1"/>
          <w:sz w:val="20"/>
          <w:szCs w:val="20"/>
          <w:lang w:val="en-US"/>
        </w:rPr>
        <w:t xml:space="preserve"> to recover the crown morphology. A </w:t>
      </w:r>
      <w:r>
        <w:rPr>
          <w:rFonts w:ascii="Book Antiqua" w:eastAsia="宋体" w:hAnsi="Book Antiqua" w:cs="Times New Roman"/>
          <w:color w:val="000000" w:themeColor="text1"/>
          <w:sz w:val="20"/>
          <w:szCs w:val="20"/>
          <w:lang w:val="en-US"/>
        </w:rPr>
        <w:t>26-mo follow-up revealed a satisfied outcome both in the radiographic and oral examinations.</w:t>
      </w:r>
    </w:p>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eastAsia="宋体" w:hAnsi="Book Antiqua" w:cs="Times New Roman"/>
          <w:color w:val="000000" w:themeColor="text1"/>
          <w:sz w:val="20"/>
          <w:szCs w:val="20"/>
          <w:lang w:val="en-US"/>
        </w:rPr>
        <w:t>CONCLUSION</w:t>
      </w: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eastAsia="宋体" w:hAnsi="Book Antiqua" w:cs="Times New Roman"/>
          <w:color w:val="000000" w:themeColor="text1"/>
          <w:sz w:val="20"/>
          <w:szCs w:val="20"/>
          <w:lang w:val="en-US"/>
        </w:rPr>
        <w:t>In this case, removal of the entire abnormal structure provided great co</w:t>
      </w:r>
      <w:r>
        <w:rPr>
          <w:rFonts w:ascii="Book Antiqua" w:eastAsia="宋体" w:hAnsi="Book Antiqua" w:cs="Times New Roman"/>
          <w:color w:val="000000" w:themeColor="text1"/>
          <w:sz w:val="20"/>
          <w:szCs w:val="20"/>
          <w:lang w:val="en-US"/>
        </w:rPr>
        <w:t>nvenience for the follow-up treatment. When confronted with the same clinical case in the future, we can take a similar approach to address it.</w:t>
      </w:r>
      <w:bookmarkEnd w:id="2"/>
      <w:bookmarkEnd w:id="3"/>
    </w:p>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snapToGrid w:val="0"/>
        <w:spacing w:line="360" w:lineRule="auto"/>
        <w:rPr>
          <w:rFonts w:ascii="Book Antiqua" w:eastAsia="宋体" w:hAnsi="Book Antiqua" w:cs="Times New Roman"/>
          <w:color w:val="000000" w:themeColor="text1"/>
          <w:sz w:val="20"/>
          <w:szCs w:val="20"/>
          <w:lang w:val="en-US"/>
        </w:rPr>
      </w:pPr>
      <w:r>
        <w:rPr>
          <w:rFonts w:ascii="Book Antiqua" w:hAnsi="Book Antiqua" w:cs="Times New Roman"/>
          <w:b/>
          <w:bCs/>
          <w:color w:val="000000" w:themeColor="text1"/>
          <w:sz w:val="20"/>
          <w:szCs w:val="20"/>
          <w:lang w:val="en-US"/>
        </w:rPr>
        <w:t>Key words:</w:t>
      </w:r>
      <w:r>
        <w:rPr>
          <w:rFonts w:ascii="Book Antiqua" w:eastAsia="宋体" w:hAnsi="Book Antiqua" w:cs="Times New Roman"/>
          <w:color w:val="000000" w:themeColor="text1"/>
          <w:sz w:val="20"/>
          <w:szCs w:val="20"/>
          <w:lang w:val="en-US"/>
        </w:rPr>
        <w:t xml:space="preserve"> Type</w:t>
      </w:r>
      <w:r>
        <w:rPr>
          <w:rFonts w:ascii="Book Antiqua" w:eastAsia="宋体" w:hAnsi="Book Antiqua" w:cs="Times New Roman"/>
          <w:color w:val="000000" w:themeColor="text1"/>
          <w:sz w:val="20"/>
          <w:szCs w:val="20"/>
          <w:lang w:val="en-US"/>
        </w:rPr>
        <w:t xml:space="preserve"> III</w:t>
      </w:r>
      <w:r>
        <w:rPr>
          <w:rFonts w:ascii="Book Antiqua" w:eastAsia="宋体" w:hAnsi="Book Antiqua" w:cs="Times New Roman"/>
          <w:color w:val="000000" w:themeColor="text1"/>
          <w:sz w:val="20"/>
          <w:szCs w:val="20"/>
          <w:lang w:val="en-US"/>
        </w:rPr>
        <w:t xml:space="preserve"> </w:t>
      </w:r>
      <w:r>
        <w:rPr>
          <w:rFonts w:ascii="Book Antiqua" w:eastAsia="宋体" w:hAnsi="Book Antiqua" w:cs="Times New Roman"/>
          <w:color w:val="000000" w:themeColor="text1"/>
          <w:sz w:val="20"/>
          <w:szCs w:val="20"/>
          <w:lang w:val="en-US"/>
        </w:rPr>
        <w:t xml:space="preserve">dens invaginatus; Mineral trioxide aggregate; Apical barrier; Cone-beam computed </w:t>
      </w:r>
      <w:r>
        <w:rPr>
          <w:rFonts w:ascii="Book Antiqua" w:eastAsia="宋体" w:hAnsi="Book Antiqua" w:cs="Times New Roman"/>
          <w:color w:val="000000" w:themeColor="text1"/>
          <w:sz w:val="20"/>
          <w:szCs w:val="20"/>
          <w:lang w:val="en-US"/>
        </w:rPr>
        <w:t>tomography; Dental operation microscope; Case report</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bookmarkStart w:id="14" w:name="OLE_LINK46"/>
      <w:bookmarkStart w:id="15" w:name="OLE_LINK45"/>
      <w:bookmarkEnd w:id="12"/>
    </w:p>
    <w:p w:rsidR="00925A10" w:rsidRDefault="00FC5E1B">
      <w:pPr>
        <w:adjustRightInd w:val="0"/>
        <w:snapToGrid w:val="0"/>
        <w:spacing w:line="360" w:lineRule="auto"/>
        <w:rPr>
          <w:rFonts w:ascii="Book Antiqua" w:hAnsi="Book Antiqua"/>
          <w:bCs/>
          <w:color w:val="000000" w:themeColor="text1"/>
          <w:sz w:val="20"/>
          <w:szCs w:val="20"/>
          <w:lang w:val="en-US"/>
        </w:rPr>
      </w:pPr>
      <w:r>
        <w:rPr>
          <w:rStyle w:val="fontstyle01"/>
          <w:rFonts w:ascii="Book Antiqua" w:eastAsia="宋体" w:hAnsi="Book Antiqua" w:cs="Times New Roman"/>
          <w:color w:val="000000" w:themeColor="text1"/>
          <w:lang w:val="en-US"/>
        </w:rPr>
        <w:t xml:space="preserve">Liu J, Zhang YR, Zhang FY, Zhang GD, </w:t>
      </w:r>
      <w:r>
        <w:rPr>
          <w:rFonts w:ascii="Book Antiqua" w:eastAsia="DengXian" w:hAnsi="Book Antiqua"/>
          <w:color w:val="000000" w:themeColor="text1"/>
          <w:kern w:val="0"/>
          <w:sz w:val="20"/>
          <w:szCs w:val="20"/>
          <w:lang w:val="en-US"/>
        </w:rPr>
        <w:t xml:space="preserve">Xu H. </w:t>
      </w:r>
      <w:r>
        <w:rPr>
          <w:rStyle w:val="fontstyle01"/>
          <w:rFonts w:ascii="Book Antiqua" w:eastAsia="宋体" w:hAnsi="Book Antiqua" w:cs="Times New Roman"/>
          <w:color w:val="000000" w:themeColor="text1"/>
          <w:lang w:val="en-US"/>
        </w:rPr>
        <w:t xml:space="preserve">Microscopic removal of type </w:t>
      </w:r>
      <w:r>
        <w:rPr>
          <w:rFonts w:ascii="宋体" w:eastAsia="宋体" w:hAnsi="宋体" w:cs="宋体"/>
          <w:color w:val="000000" w:themeColor="text1"/>
          <w:kern w:val="0"/>
          <w:sz w:val="20"/>
          <w:szCs w:val="20"/>
          <w:shd w:val="clear" w:color="auto" w:fill="FFFFFF"/>
          <w:lang w:val="en-US"/>
        </w:rPr>
        <w:t>Ⅲ</w:t>
      </w:r>
      <w:r>
        <w:rPr>
          <w:rStyle w:val="fontstyle01"/>
          <w:rFonts w:ascii="Book Antiqua" w:eastAsia="宋体" w:hAnsi="Book Antiqua" w:cs="Times New Roman"/>
          <w:color w:val="000000" w:themeColor="text1"/>
          <w:lang w:val="en-US"/>
        </w:rPr>
        <w:t xml:space="preserve"> dens invaginatus and preparation of apical barrier with mineral trioxide aggregate in a maxillary lateral incisor: A case report and </w:t>
      </w:r>
      <w:r>
        <w:rPr>
          <w:rStyle w:val="fontstyle01"/>
          <w:rFonts w:ascii="Book Antiqua" w:eastAsia="宋体" w:hAnsi="Book Antiqua" w:cs="Times New Roman"/>
          <w:color w:val="000000" w:themeColor="text1"/>
          <w:lang w:val="en-US"/>
        </w:rPr>
        <w:t>review</w:t>
      </w:r>
      <w:r>
        <w:rPr>
          <w:rStyle w:val="fontstyle01"/>
          <w:rFonts w:ascii="Book Antiqua" w:eastAsia="宋体" w:hAnsi="Book Antiqua" w:cs="Times New Roman"/>
          <w:color w:val="000000" w:themeColor="text1"/>
          <w:lang w:val="en-US"/>
        </w:rPr>
        <w:t xml:space="preserve"> of literature</w:t>
      </w:r>
      <w:r>
        <w:rPr>
          <w:rStyle w:val="fontstyle01"/>
          <w:rFonts w:ascii="Book Antiqua" w:eastAsia="宋体" w:hAnsi="Book Antiqua" w:cs="Times New Roman"/>
          <w:color w:val="000000" w:themeColor="text1"/>
          <w:lang w:val="en-US"/>
        </w:rPr>
        <w:t>.</w:t>
      </w:r>
      <w:r>
        <w:rPr>
          <w:rStyle w:val="fontstyle01"/>
          <w:rFonts w:ascii="Book Antiqua" w:eastAsia="宋体" w:hAnsi="Book Antiqua" w:cs="Times New Roman"/>
          <w:b/>
          <w:bCs/>
          <w:color w:val="000000" w:themeColor="text1"/>
          <w:lang w:val="en-US"/>
        </w:rPr>
        <w:t xml:space="preserve"> </w:t>
      </w:r>
      <w:r>
        <w:rPr>
          <w:rFonts w:ascii="Book Antiqua" w:hAnsi="Book Antiqua"/>
          <w:i/>
          <w:iCs/>
          <w:color w:val="000000" w:themeColor="text1"/>
          <w:sz w:val="20"/>
          <w:szCs w:val="20"/>
          <w:lang w:val="en-US"/>
        </w:rPr>
        <w:t xml:space="preserve">World J Clin Cases </w:t>
      </w:r>
      <w:r>
        <w:rPr>
          <w:rFonts w:ascii="Book Antiqua" w:hAnsi="Book Antiqua"/>
          <w:iCs/>
          <w:color w:val="000000" w:themeColor="text1"/>
          <w:sz w:val="20"/>
          <w:szCs w:val="20"/>
          <w:lang w:val="en-US"/>
        </w:rPr>
        <w:t>2020</w:t>
      </w:r>
      <w:r>
        <w:rPr>
          <w:rFonts w:ascii="Book Antiqua" w:hAnsi="Book Antiqua"/>
          <w:bCs/>
          <w:color w:val="000000" w:themeColor="text1"/>
          <w:sz w:val="20"/>
          <w:szCs w:val="20"/>
          <w:lang w:val="en-US"/>
        </w:rPr>
        <w:t>; In press</w:t>
      </w:r>
    </w:p>
    <w:p w:rsidR="00925A10" w:rsidRDefault="00925A10">
      <w:pPr>
        <w:snapToGrid w:val="0"/>
        <w:spacing w:line="360" w:lineRule="auto"/>
        <w:rPr>
          <w:rStyle w:val="fontstyle01"/>
          <w:rFonts w:ascii="Book Antiqua" w:eastAsia="宋体" w:hAnsi="Book Antiqua" w:cs="Times New Roman"/>
          <w:b/>
          <w:bCs/>
          <w:color w:val="000000" w:themeColor="text1"/>
          <w:lang w:val="en-US"/>
        </w:rPr>
      </w:pPr>
    </w:p>
    <w:p w:rsidR="00925A10" w:rsidRDefault="00FC5E1B">
      <w:pPr>
        <w:snapToGrid w:val="0"/>
        <w:spacing w:line="360" w:lineRule="auto"/>
        <w:rPr>
          <w:rFonts w:ascii="Book Antiqua" w:eastAsia="宋体" w:hAnsi="Book Antiqua" w:cs="Times New Roman"/>
          <w:b/>
          <w:bCs/>
          <w:color w:val="000000" w:themeColor="text1"/>
          <w:sz w:val="20"/>
          <w:szCs w:val="20"/>
          <w:lang w:val="en-US"/>
        </w:rPr>
      </w:pPr>
      <w:r>
        <w:rPr>
          <w:rFonts w:ascii="Book Antiqua" w:eastAsia="宋体" w:hAnsi="Book Antiqua" w:cs="Times New Roman"/>
          <w:b/>
          <w:bCs/>
          <w:color w:val="000000" w:themeColor="text1"/>
          <w:sz w:val="20"/>
          <w:szCs w:val="20"/>
          <w:lang w:val="en-US"/>
        </w:rPr>
        <w:t xml:space="preserve">Core tip: </w:t>
      </w:r>
      <w:r>
        <w:rPr>
          <w:rFonts w:ascii="Book Antiqua" w:eastAsia="宋体" w:hAnsi="Book Antiqua" w:cs="Times New Roman"/>
          <w:color w:val="000000" w:themeColor="text1"/>
          <w:sz w:val="20"/>
          <w:szCs w:val="20"/>
          <w:lang w:val="en-US"/>
        </w:rPr>
        <w:t>Type</w:t>
      </w:r>
      <w:r>
        <w:rPr>
          <w:rFonts w:ascii="Book Antiqua" w:eastAsia="宋体" w:hAnsi="Book Antiqua" w:cs="Times New Roman"/>
          <w:color w:val="000000" w:themeColor="text1"/>
          <w:sz w:val="20"/>
          <w:szCs w:val="20"/>
          <w:lang w:val="en-US"/>
        </w:rPr>
        <w:t xml:space="preserve"> III</w:t>
      </w:r>
      <w:r>
        <w:rPr>
          <w:rFonts w:ascii="Book Antiqua" w:eastAsia="宋体" w:hAnsi="Book Antiqua" w:cs="Times New Roman"/>
          <w:color w:val="000000" w:themeColor="text1"/>
          <w:sz w:val="20"/>
          <w:szCs w:val="20"/>
          <w:lang w:val="en-US"/>
        </w:rPr>
        <w:t xml:space="preserve"> </w:t>
      </w:r>
      <w:r>
        <w:rPr>
          <w:rFonts w:ascii="Book Antiqua" w:eastAsia="宋体" w:hAnsi="Book Antiqua" w:cs="Times New Roman"/>
          <w:color w:val="000000" w:themeColor="text1"/>
          <w:sz w:val="20"/>
          <w:szCs w:val="20"/>
          <w:lang w:val="en-US"/>
        </w:rPr>
        <w:t xml:space="preserve">dens invaginatus poses great </w:t>
      </w:r>
      <w:r>
        <w:rPr>
          <w:rFonts w:ascii="Book Antiqua" w:eastAsia="宋体" w:hAnsi="Book Antiqua" w:cs="Times New Roman"/>
          <w:color w:val="000000" w:themeColor="text1"/>
          <w:sz w:val="20"/>
          <w:szCs w:val="20"/>
          <w:lang w:val="en-US"/>
        </w:rPr>
        <w:t>challenges when conducting clinical operations. This article reported an upper right lateral incisor with type</w:t>
      </w:r>
      <w:r>
        <w:rPr>
          <w:rFonts w:ascii="Book Antiqua" w:eastAsia="宋体" w:hAnsi="Book Antiqua" w:cs="Times New Roman"/>
          <w:color w:val="000000" w:themeColor="text1"/>
          <w:sz w:val="20"/>
          <w:szCs w:val="20"/>
          <w:lang w:val="en-US"/>
        </w:rPr>
        <w:t xml:space="preserve"> III</w:t>
      </w:r>
      <w:r>
        <w:rPr>
          <w:rFonts w:ascii="Book Antiqua" w:eastAsia="宋体" w:hAnsi="Book Antiqua" w:cs="Times New Roman"/>
          <w:color w:val="000000" w:themeColor="text1"/>
          <w:sz w:val="20"/>
          <w:szCs w:val="20"/>
          <w:lang w:val="en-US"/>
        </w:rPr>
        <w:t xml:space="preserve"> </w:t>
      </w:r>
      <w:r>
        <w:rPr>
          <w:rFonts w:ascii="Book Antiqua" w:eastAsia="宋体" w:hAnsi="Book Antiqua" w:cs="Times New Roman"/>
          <w:color w:val="000000" w:themeColor="text1"/>
          <w:sz w:val="20"/>
          <w:szCs w:val="20"/>
          <w:lang w:val="en-US"/>
        </w:rPr>
        <w:t xml:space="preserve">dens invaginatus using the method that removed the invagination under the dental operation microscope, and then mineral trioxide aggregate </w:t>
      </w:r>
      <w:r>
        <w:rPr>
          <w:rFonts w:ascii="Book Antiqua" w:eastAsia="宋体" w:hAnsi="Book Antiqua" w:cs="Times New Roman"/>
          <w:color w:val="000000" w:themeColor="text1"/>
          <w:sz w:val="20"/>
          <w:szCs w:val="20"/>
          <w:lang w:val="en-US"/>
        </w:rPr>
        <w:t>apical barrier was made for the convenience of next treatment. The 26-mo follow-up revealed a satisfactory therapeutic effect.</w:t>
      </w:r>
    </w:p>
    <w:bookmarkEnd w:id="14"/>
    <w:bookmarkEnd w:id="15"/>
    <w:p w:rsidR="00925A10" w:rsidRDefault="00925A10">
      <w:pPr>
        <w:snapToGrid w:val="0"/>
        <w:spacing w:line="360" w:lineRule="auto"/>
        <w:rPr>
          <w:rFonts w:ascii="Book Antiqua" w:eastAsia="宋体" w:hAnsi="Book Antiqua" w:cs="Times New Roman"/>
          <w:color w:val="000000" w:themeColor="text1"/>
          <w:sz w:val="20"/>
          <w:szCs w:val="20"/>
          <w:lang w:val="en-US"/>
        </w:rPr>
      </w:pPr>
    </w:p>
    <w:p w:rsidR="00925A10" w:rsidRDefault="00FC5E1B">
      <w:pPr>
        <w:widowControl/>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br w:type="page"/>
      </w:r>
    </w:p>
    <w:p w:rsidR="00925A10" w:rsidRDefault="00FC5E1B">
      <w:pPr>
        <w:snapToGrid w:val="0"/>
        <w:spacing w:line="360" w:lineRule="auto"/>
        <w:rPr>
          <w:rFonts w:ascii="Book Antiqua" w:hAnsi="Book Antiqua" w:cs="Times New Roman"/>
          <w:b/>
          <w:bCs/>
          <w:color w:val="000000" w:themeColor="text1"/>
          <w:sz w:val="20"/>
          <w:szCs w:val="20"/>
          <w:u w:val="single"/>
          <w:lang w:val="en-US"/>
        </w:rPr>
      </w:pPr>
      <w:r>
        <w:rPr>
          <w:rFonts w:ascii="Book Antiqua" w:hAnsi="Book Antiqua" w:cs="Times New Roman"/>
          <w:b/>
          <w:bCs/>
          <w:color w:val="000000" w:themeColor="text1"/>
          <w:sz w:val="20"/>
          <w:szCs w:val="20"/>
          <w:u w:val="single"/>
          <w:lang w:val="en-US"/>
        </w:rPr>
        <w:lastRenderedPageBreak/>
        <w:t>INTRODUCTION</w:t>
      </w:r>
    </w:p>
    <w:p w:rsidR="00925A10" w:rsidRDefault="00FC5E1B">
      <w:pPr>
        <w:pStyle w:val="ad"/>
        <w:widowControl/>
        <w:snapToGrid w:val="0"/>
        <w:spacing w:line="360" w:lineRule="auto"/>
        <w:rPr>
          <w:rFonts w:ascii="Book Antiqua" w:hAnsi="Book Antiqua" w:cs="Times New Roman"/>
          <w:color w:val="000000" w:themeColor="text1"/>
          <w:sz w:val="20"/>
          <w:szCs w:val="20"/>
          <w:lang w:val="en-US"/>
        </w:rPr>
      </w:pPr>
      <w:bookmarkStart w:id="16" w:name="OLE_LINK6"/>
      <w:r>
        <w:rPr>
          <w:rStyle w:val="fontstyle01"/>
          <w:rFonts w:ascii="Book Antiqua" w:hAnsi="Book Antiqua" w:cs="Times New Roman"/>
          <w:color w:val="000000" w:themeColor="text1"/>
          <w:lang w:val="en-US"/>
        </w:rPr>
        <w:t xml:space="preserve">Dens invaginatus (DI) is a developmental variation resulting from an infolding of the outer enamel surface of a </w:t>
      </w:r>
      <w:r>
        <w:rPr>
          <w:rStyle w:val="fontstyle01"/>
          <w:rFonts w:ascii="Book Antiqua" w:hAnsi="Book Antiqua" w:cs="Times New Roman"/>
          <w:color w:val="000000" w:themeColor="text1"/>
          <w:lang w:val="en-US"/>
        </w:rPr>
        <w:t>tooth into the interior</w:t>
      </w:r>
      <w:bookmarkEnd w:id="16"/>
      <w:r>
        <w:rPr>
          <w:rStyle w:val="fontstyle01"/>
          <w:rFonts w:ascii="Book Antiqua" w:hAnsi="Book Antiqua" w:cs="Times New Roman"/>
          <w:color w:val="000000" w:themeColor="text1"/>
          <w:vertAlign w:val="superscript"/>
          <w:lang w:val="en-US"/>
        </w:rPr>
        <w:t>[1]</w:t>
      </w:r>
      <w:r>
        <w:rPr>
          <w:rStyle w:val="fontstyle01"/>
          <w:rFonts w:ascii="Book Antiqua" w:eastAsia="宋体" w:hAnsi="Book Antiqua" w:cs="Times New Roman"/>
          <w:color w:val="000000" w:themeColor="text1"/>
          <w:lang w:val="en-US"/>
        </w:rPr>
        <w:t xml:space="preserve">. </w:t>
      </w:r>
      <w:bookmarkStart w:id="17" w:name="OLE_LINK28"/>
      <w:bookmarkStart w:id="18" w:name="OLE_LINK29"/>
      <w:r>
        <w:rPr>
          <w:rFonts w:ascii="Book Antiqua" w:hAnsi="Book Antiqua" w:cs="Times New Roman"/>
          <w:color w:val="000000" w:themeColor="text1"/>
          <w:sz w:val="20"/>
          <w:szCs w:val="20"/>
          <w:lang w:val="en-US"/>
        </w:rPr>
        <w:t>It is caused by deepening or invagination of the enamel organ into the dental papilla before biological mineralization takes place</w:t>
      </w:r>
      <w:bookmarkEnd w:id="17"/>
      <w:bookmarkEnd w:id="18"/>
      <w:r>
        <w:rPr>
          <w:rFonts w:ascii="Book Antiqua" w:hAnsi="Book Antiqua" w:cs="Times New Roman"/>
          <w:color w:val="000000" w:themeColor="text1"/>
          <w:sz w:val="20"/>
          <w:szCs w:val="20"/>
          <w:vertAlign w:val="superscript"/>
          <w:lang w:val="en-US"/>
        </w:rPr>
        <w:t>[2]</w:t>
      </w:r>
      <w:r>
        <w:rPr>
          <w:rFonts w:ascii="Book Antiqua" w:hAnsi="Book Antiqua" w:cs="Times New Roman"/>
          <w:color w:val="000000" w:themeColor="text1"/>
          <w:sz w:val="20"/>
          <w:szCs w:val="20"/>
          <w:lang w:val="en-US"/>
        </w:rPr>
        <w:t xml:space="preserve">. </w:t>
      </w:r>
      <w:r>
        <w:rPr>
          <w:rStyle w:val="fontstyle01"/>
          <w:rFonts w:ascii="Book Antiqua" w:hAnsi="Book Antiqua" w:cs="Times New Roman"/>
          <w:color w:val="000000" w:themeColor="text1"/>
          <w:lang w:val="en-US"/>
        </w:rPr>
        <w:t xml:space="preserve">After the tooth erupts, a cystic deep cavity can appear on the tooth surface. </w:t>
      </w:r>
      <w:r>
        <w:rPr>
          <w:rFonts w:ascii="Book Antiqua" w:hAnsi="Book Antiqua" w:cs="Times New Roman"/>
          <w:color w:val="000000" w:themeColor="text1"/>
          <w:sz w:val="20"/>
          <w:szCs w:val="20"/>
          <w:shd w:val="clear" w:color="auto" w:fill="FFFFFF"/>
          <w:lang w:val="en-US"/>
        </w:rPr>
        <w:t>It usually occurs in maxillary lateral incisors and occasionally in maxillary central incisors or canines</w:t>
      </w:r>
      <w:r>
        <w:rPr>
          <w:rFonts w:ascii="Book Antiqua" w:hAnsi="Book Antiqua" w:cs="Times New Roman"/>
          <w:color w:val="000000" w:themeColor="text1"/>
          <w:sz w:val="20"/>
          <w:szCs w:val="20"/>
          <w:shd w:val="clear" w:color="auto" w:fill="FFFFFF"/>
          <w:vertAlign w:val="superscript"/>
          <w:lang w:val="en-US"/>
        </w:rPr>
        <w:t>[1,3]</w:t>
      </w:r>
      <w:r>
        <w:rPr>
          <w:rFonts w:ascii="Book Antiqua" w:hAnsi="Book Antiqua" w:cs="Times New Roman"/>
          <w:color w:val="000000" w:themeColor="text1"/>
          <w:sz w:val="20"/>
          <w:szCs w:val="20"/>
          <w:shd w:val="clear" w:color="auto" w:fill="FFFFFF"/>
          <w:lang w:val="en-US"/>
        </w:rPr>
        <w:t xml:space="preserve">. </w:t>
      </w:r>
      <w:r>
        <w:rPr>
          <w:rStyle w:val="fontstyle01"/>
          <w:rFonts w:ascii="Book Antiqua" w:hAnsi="Book Antiqua" w:cs="Times New Roman"/>
          <w:color w:val="000000" w:themeColor="text1"/>
          <w:lang w:val="en-US"/>
        </w:rPr>
        <w:t xml:space="preserve">According to the depth of the invagination and anatomic </w:t>
      </w:r>
      <w:r>
        <w:rPr>
          <w:rStyle w:val="fontstyle01"/>
          <w:rFonts w:ascii="Book Antiqua" w:hAnsi="Book Antiqua" w:cs="Times New Roman"/>
          <w:color w:val="000000" w:themeColor="text1"/>
          <w:lang w:val="en-US"/>
        </w:rPr>
        <w:t>variation, it can be divided into the deformed lingual sulcus, deformed root sulcus, malformed lingual tip</w:t>
      </w:r>
      <w:r>
        <w:rPr>
          <w:rStyle w:val="fontstyle01"/>
          <w:rFonts w:ascii="Book Antiqua" w:hAnsi="Book Antiqua" w:cs="Times New Roman"/>
          <w:color w:val="000000" w:themeColor="text1"/>
          <w:lang w:val="en-US"/>
        </w:rPr>
        <w:t>,</w:t>
      </w:r>
      <w:r>
        <w:rPr>
          <w:rStyle w:val="fontstyle01"/>
          <w:rFonts w:ascii="Book Antiqua" w:hAnsi="Book Antiqua" w:cs="Times New Roman"/>
          <w:color w:val="000000" w:themeColor="text1"/>
          <w:lang w:val="en-US"/>
        </w:rPr>
        <w:t xml:space="preserve"> and dens in dente. Dens in dente is rare but the most severe condition in clinical practice</w:t>
      </w:r>
      <w:r>
        <w:rPr>
          <w:rStyle w:val="fontstyle01"/>
          <w:rFonts w:ascii="Book Antiqua" w:hAnsi="Book Antiqua" w:cs="Times New Roman"/>
          <w:color w:val="000000" w:themeColor="text1"/>
          <w:vertAlign w:val="superscript"/>
          <w:lang w:val="en-US"/>
        </w:rPr>
        <w:t>[1]</w:t>
      </w:r>
      <w:r>
        <w:rPr>
          <w:rStyle w:val="fontstyle01"/>
          <w:rFonts w:ascii="Book Antiqua" w:hAnsi="Book Antiqua" w:cs="Times New Roman"/>
          <w:color w:val="000000" w:themeColor="text1"/>
          <w:lang w:val="en-US"/>
        </w:rPr>
        <w:t>. T</w:t>
      </w:r>
      <w:r>
        <w:rPr>
          <w:rFonts w:ascii="Book Antiqua" w:hAnsi="Book Antiqua" w:cs="Times New Roman"/>
          <w:color w:val="000000" w:themeColor="text1"/>
          <w:sz w:val="20"/>
          <w:szCs w:val="20"/>
          <w:lang w:val="en-US"/>
        </w:rPr>
        <w:t xml:space="preserve">he classification advised by Oehlers is the most commonly used, which classifies DI into </w:t>
      </w:r>
      <w:r>
        <w:rPr>
          <w:rFonts w:ascii="Book Antiqua" w:hAnsi="Book Antiqua" w:cs="Times New Roman"/>
          <w:color w:val="000000" w:themeColor="text1"/>
          <w:sz w:val="20"/>
          <w:szCs w:val="20"/>
          <w:lang w:val="en-US"/>
        </w:rPr>
        <w:t>three</w:t>
      </w:r>
      <w:r>
        <w:rPr>
          <w:rFonts w:ascii="Book Antiqua" w:hAnsi="Book Antiqua" w:cs="Times New Roman"/>
          <w:color w:val="000000" w:themeColor="text1"/>
          <w:sz w:val="20"/>
          <w:szCs w:val="20"/>
          <w:lang w:val="en-US"/>
        </w:rPr>
        <w:t xml:space="preserve"> types on the basis of penetration depth and communication with periapical tissue</w:t>
      </w:r>
      <w:r>
        <w:rPr>
          <w:rStyle w:val="fontstyle01"/>
          <w:rFonts w:ascii="Book Antiqua" w:hAnsi="Book Antiqua" w:cs="Times New Roman"/>
          <w:color w:val="000000" w:themeColor="text1"/>
          <w:vertAlign w:val="superscript"/>
          <w:lang w:val="en-US"/>
        </w:rPr>
        <w:t>[4]</w:t>
      </w:r>
      <w:r>
        <w:rPr>
          <w:rFonts w:ascii="Book Antiqua" w:hAnsi="Book Antiqua" w:cs="Times New Roman"/>
          <w:color w:val="000000" w:themeColor="text1"/>
          <w:sz w:val="20"/>
          <w:szCs w:val="20"/>
          <w:lang w:val="en-US"/>
        </w:rPr>
        <w:t xml:space="preserve">. Type I: invagination confined inside the crown and not extending </w:t>
      </w:r>
      <w:r>
        <w:rPr>
          <w:rFonts w:ascii="Book Antiqua" w:hAnsi="Book Antiqua" w:cs="Times New Roman"/>
          <w:color w:val="000000" w:themeColor="text1"/>
          <w:sz w:val="20"/>
          <w:szCs w:val="20"/>
          <w:lang w:val="en-US"/>
        </w:rPr>
        <w:t>beyond the cementoenamel junction. Type</w:t>
      </w:r>
      <w:r>
        <w:rPr>
          <w:rFonts w:ascii="Book Antiqua" w:hAnsi="Book Antiqua" w:cs="Times New Roman"/>
          <w:color w:val="000000" w:themeColor="text1"/>
          <w:sz w:val="20"/>
          <w:szCs w:val="20"/>
          <w:lang w:val="en-US"/>
        </w:rPr>
        <w:t xml:space="preserve"> II: </w:t>
      </w:r>
      <w:r>
        <w:rPr>
          <w:rFonts w:ascii="Book Antiqua" w:hAnsi="Book Antiqua" w:cs="Times New Roman"/>
          <w:color w:val="000000" w:themeColor="text1"/>
          <w:sz w:val="20"/>
          <w:szCs w:val="20"/>
          <w:lang w:val="en-US"/>
        </w:rPr>
        <w:t>invagination extending beyond the cementoenamel junction but does not reach periapical tissue and remains as a blind sac. It may or may not communicate with the pulp. Type</w:t>
      </w:r>
      <w:r>
        <w:rPr>
          <w:rFonts w:ascii="Book Antiqua" w:hAnsi="Book Antiqua" w:cs="Times New Roman"/>
          <w:color w:val="000000" w:themeColor="text1"/>
          <w:sz w:val="20"/>
          <w:szCs w:val="20"/>
          <w:lang w:val="en-US"/>
        </w:rPr>
        <w:t xml:space="preserve"> III</w:t>
      </w:r>
      <w:r>
        <w:rPr>
          <w:rFonts w:ascii="Book Antiqua" w:hAnsi="Book Antiqua" w:cs="Times New Roman"/>
          <w:color w:val="000000" w:themeColor="text1"/>
          <w:sz w:val="20"/>
          <w:szCs w:val="20"/>
          <w:lang w:val="en-US"/>
        </w:rPr>
        <w:t xml:space="preserve">: invagination penetrates through the entire root, perforating the apical area and having a second foramen in the apical or periodontal area; there is no immediate connection with the pulp. A study on the proportion of various </w:t>
      </w:r>
      <w:bookmarkStart w:id="19" w:name="OLE_LINK16"/>
      <w:r>
        <w:rPr>
          <w:rFonts w:ascii="Book Antiqua" w:hAnsi="Book Antiqua" w:cs="Times New Roman"/>
          <w:color w:val="000000" w:themeColor="text1"/>
          <w:sz w:val="20"/>
          <w:szCs w:val="20"/>
          <w:lang w:val="en-US"/>
        </w:rPr>
        <w:t>Oehlers</w:t>
      </w:r>
      <w:bookmarkEnd w:id="19"/>
      <w:r>
        <w:rPr>
          <w:rFonts w:ascii="Book Antiqua" w:hAnsi="Book Antiqua" w:cs="Times New Roman"/>
          <w:color w:val="000000" w:themeColor="text1"/>
          <w:sz w:val="20"/>
          <w:szCs w:val="20"/>
          <w:lang w:val="en-US"/>
        </w:rPr>
        <w:t xml:space="preserve"> types found that type</w:t>
      </w:r>
      <w:r>
        <w:rPr>
          <w:rFonts w:ascii="Book Antiqua" w:hAnsi="Book Antiqua" w:cs="Times New Roman"/>
          <w:color w:val="000000" w:themeColor="text1"/>
          <w:sz w:val="20"/>
          <w:szCs w:val="20"/>
          <w:lang w:val="en-US"/>
        </w:rPr>
        <w:t xml:space="preserve"> I accounted for 81.25%, type</w:t>
      </w:r>
      <w:r>
        <w:rPr>
          <w:rFonts w:ascii="Book Antiqua" w:hAnsi="Book Antiqua" w:cs="Times New Roman"/>
          <w:color w:val="000000" w:themeColor="text1"/>
          <w:sz w:val="20"/>
          <w:szCs w:val="20"/>
          <w:lang w:val="en-US"/>
        </w:rPr>
        <w:t xml:space="preserve"> II</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lang w:val="en-US"/>
        </w:rPr>
        <w:t>accounted for 6.25% and type</w:t>
      </w:r>
      <w:r>
        <w:rPr>
          <w:rFonts w:ascii="Book Antiqua" w:hAnsi="Book Antiqua" w:cs="Times New Roman"/>
          <w:color w:val="000000" w:themeColor="text1"/>
          <w:sz w:val="20"/>
          <w:szCs w:val="20"/>
          <w:lang w:val="en-US"/>
        </w:rPr>
        <w:t xml:space="preserve"> III</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lang w:val="en-US"/>
        </w:rPr>
        <w:t>accounted for 12.5%</w:t>
      </w:r>
      <w:r>
        <w:rPr>
          <w:rStyle w:val="fontstyle01"/>
          <w:rFonts w:ascii="Book Antiqua" w:hAnsi="Book Antiqua" w:cs="Times New Roman"/>
          <w:color w:val="000000" w:themeColor="text1"/>
          <w:vertAlign w:val="superscript"/>
          <w:lang w:val="en-US"/>
        </w:rPr>
        <w:t>[5]</w:t>
      </w:r>
      <w:r>
        <w:rPr>
          <w:rFonts w:ascii="Book Antiqua" w:hAnsi="Book Antiqua" w:cs="Times New Roman"/>
          <w:color w:val="000000" w:themeColor="text1"/>
          <w:sz w:val="20"/>
          <w:szCs w:val="20"/>
          <w:lang w:val="en-US"/>
        </w:rPr>
        <w:t>.</w:t>
      </w:r>
      <w:bookmarkStart w:id="20" w:name="OLE_LINK31"/>
      <w:bookmarkStart w:id="21" w:name="OLE_LINK30"/>
      <w:r>
        <w:rPr>
          <w:rFonts w:ascii="Book Antiqua" w:hAnsi="Book Antiqua" w:cs="Times New Roman"/>
          <w:color w:val="000000" w:themeColor="text1"/>
          <w:sz w:val="20"/>
          <w:szCs w:val="20"/>
          <w:lang w:val="en-US"/>
        </w:rPr>
        <w:t xml:space="preserve"> This article reports and discusses</w:t>
      </w:r>
      <w:bookmarkStart w:id="22" w:name="_Hlk13689317"/>
      <w:r>
        <w:rPr>
          <w:rFonts w:ascii="Book Antiqua" w:hAnsi="Book Antiqua" w:cs="Times New Roman"/>
          <w:color w:val="000000" w:themeColor="text1"/>
          <w:sz w:val="20"/>
          <w:szCs w:val="20"/>
          <w:lang w:val="en-US"/>
        </w:rPr>
        <w:t xml:space="preserve"> a case of non-surgical treatment of a maxillary lateral incisor diagnosed as type</w:t>
      </w:r>
      <w:r>
        <w:rPr>
          <w:rFonts w:ascii="Book Antiqua" w:hAnsi="Book Antiqua" w:cs="Times New Roman"/>
          <w:color w:val="000000" w:themeColor="text1"/>
          <w:sz w:val="20"/>
          <w:szCs w:val="20"/>
          <w:lang w:val="en-US"/>
        </w:rPr>
        <w:t xml:space="preserve"> III</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lang w:val="en-US"/>
        </w:rPr>
        <w:t>DI with apical periodontitis.</w:t>
      </w:r>
      <w:bookmarkEnd w:id="20"/>
      <w:bookmarkEnd w:id="21"/>
      <w:bookmarkEnd w:id="22"/>
      <w:r>
        <w:rPr>
          <w:rFonts w:ascii="Book Antiqua" w:hAnsi="Book Antiqua" w:cs="Times New Roman"/>
          <w:color w:val="000000" w:themeColor="text1"/>
          <w:sz w:val="20"/>
          <w:szCs w:val="20"/>
          <w:lang w:val="en-US"/>
        </w:rPr>
        <w:t xml:space="preserve"> Treatment was performed with the guidance of cone-beam computed tomography (CBCT) imaging by removing the invagination with ultrasonic equipment and preparing an apical barrier with mineral trioxide aggregate (MTA) under a dental operation microscope (DOM</w:t>
      </w:r>
      <w:r>
        <w:rPr>
          <w:rFonts w:ascii="Book Antiqua" w:hAnsi="Book Antiqua" w:cs="Times New Roman"/>
          <w:color w:val="000000" w:themeColor="text1"/>
          <w:sz w:val="20"/>
          <w:szCs w:val="20"/>
          <w:lang w:val="en-US"/>
        </w:rPr>
        <w:t>).</w:t>
      </w:r>
    </w:p>
    <w:p w:rsidR="00925A10" w:rsidRDefault="00925A10">
      <w:pPr>
        <w:snapToGrid w:val="0"/>
        <w:spacing w:line="360" w:lineRule="auto"/>
        <w:rPr>
          <w:rFonts w:ascii="Book Antiqua" w:hAnsi="Book Antiqua" w:cs="Times New Roman"/>
          <w:b/>
          <w:bCs/>
          <w:color w:val="000000" w:themeColor="text1"/>
          <w:sz w:val="20"/>
          <w:szCs w:val="20"/>
          <w:lang w:val="en-US"/>
        </w:rPr>
      </w:pPr>
    </w:p>
    <w:p w:rsidR="00925A10" w:rsidRDefault="00FC5E1B">
      <w:pPr>
        <w:snapToGrid w:val="0"/>
        <w:spacing w:line="360" w:lineRule="auto"/>
        <w:rPr>
          <w:rFonts w:ascii="Book Antiqua" w:hAnsi="Book Antiqua" w:cstheme="minorHAnsi"/>
          <w:b/>
          <w:color w:val="000000" w:themeColor="text1"/>
          <w:sz w:val="20"/>
          <w:szCs w:val="20"/>
          <w:u w:val="single"/>
          <w:lang w:val="en-US"/>
        </w:rPr>
      </w:pPr>
      <w:bookmarkStart w:id="23" w:name="OLE_LINK20"/>
      <w:r>
        <w:rPr>
          <w:rFonts w:ascii="Book Antiqua" w:hAnsi="Book Antiqua" w:cstheme="minorHAnsi"/>
          <w:b/>
          <w:color w:val="000000" w:themeColor="text1"/>
          <w:sz w:val="20"/>
          <w:szCs w:val="20"/>
          <w:u w:val="single"/>
          <w:lang w:val="en-US"/>
        </w:rPr>
        <w:t>CASE PRESENTATION</w:t>
      </w:r>
    </w:p>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Chief complaint</w:t>
      </w:r>
    </w:p>
    <w:p w:rsidR="00925A10" w:rsidRDefault="00FC5E1B">
      <w:pPr>
        <w:snapToGrid w:val="0"/>
        <w:spacing w:line="360" w:lineRule="auto"/>
        <w:rPr>
          <w:rFonts w:ascii="Book Antiqua" w:hAnsi="Book Antiqua" w:cs="Times New Roman"/>
          <w:color w:val="000000" w:themeColor="text1"/>
          <w:sz w:val="20"/>
          <w:szCs w:val="20"/>
          <w:lang w:val="en-US"/>
        </w:rPr>
      </w:pPr>
      <w:bookmarkStart w:id="24" w:name="_Hlk13472036"/>
      <w:r>
        <w:rPr>
          <w:rFonts w:ascii="Book Antiqua" w:hAnsi="Book Antiqua" w:cs="Times New Roman"/>
          <w:color w:val="000000" w:themeColor="text1"/>
          <w:sz w:val="20"/>
          <w:szCs w:val="20"/>
          <w:lang w:val="en-US"/>
        </w:rPr>
        <w:t>A 31-year-old woman presented to the Department of Conservative Dentistry and Endodontics with complaints of spontaneous swelling and pain</w:t>
      </w:r>
      <w:bookmarkEnd w:id="24"/>
      <w:r>
        <w:rPr>
          <w:rFonts w:ascii="Book Antiqua" w:hAnsi="Book Antiqua" w:cs="Times New Roman"/>
          <w:color w:val="000000" w:themeColor="text1"/>
          <w:sz w:val="20"/>
          <w:szCs w:val="20"/>
          <w:lang w:val="en-US"/>
        </w:rPr>
        <w:t xml:space="preserve"> in an upper right anterior tooth for several days.</w:t>
      </w:r>
    </w:p>
    <w:p w:rsidR="00925A10" w:rsidRDefault="00925A10">
      <w:pPr>
        <w:snapToGrid w:val="0"/>
        <w:spacing w:line="360" w:lineRule="auto"/>
        <w:rPr>
          <w:rFonts w:ascii="Book Antiqua" w:hAnsi="Book Antiqua" w:cs="Times New Roman"/>
          <w:color w:val="000000" w:themeColor="text1"/>
          <w:sz w:val="20"/>
          <w:szCs w:val="20"/>
          <w:lang w:val="en-US"/>
        </w:rPr>
      </w:pPr>
    </w:p>
    <w:bookmarkEnd w:id="23"/>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History of present illness</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The patient</w:t>
      </w:r>
      <w:r>
        <w:rPr>
          <w:rFonts w:ascii="Book Antiqua" w:hAnsi="Book Antiqua" w:cs="Times New Roman"/>
          <w:color w:val="000000" w:themeColor="text1"/>
          <w:sz w:val="20"/>
          <w:szCs w:val="20"/>
          <w:lang w:val="en-US"/>
        </w:rPr>
        <w:t xml:space="preserve"> felt spontaneous swelling and pain in an upper right anterior tooth for several days. The tooth was insensitive to cold and heat, but the patient felt uncomfortabl</w:t>
      </w:r>
      <w:r>
        <w:rPr>
          <w:rFonts w:ascii="Book Antiqua" w:hAnsi="Book Antiqua" w:cs="Times New Roman"/>
          <w:color w:val="000000" w:themeColor="text1"/>
          <w:sz w:val="20"/>
          <w:szCs w:val="20"/>
          <w:lang w:val="en-US"/>
        </w:rPr>
        <w:t>e when chewing. The tooth and its periodontal tissue had swollen before.</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History of past illness</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The patient recalled that the tooth had swelled before, and it was relieved after oral anti-inflammatory drugs.</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Physical examination upon admission</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Intra-oral examination disclosed the upper right lateral incisor with unusual morphological features, in which a deep sulcus of the palatal aspect was presented (Figure 1A). The crown also had a little change in </w:t>
      </w:r>
      <w:r>
        <w:rPr>
          <w:rFonts w:ascii="Book Antiqua" w:hAnsi="Book Antiqua" w:cs="Times New Roman"/>
          <w:color w:val="000000" w:themeColor="text1"/>
          <w:sz w:val="20"/>
          <w:szCs w:val="20"/>
          <w:lang w:val="en-US"/>
        </w:rPr>
        <w:t>color</w:t>
      </w:r>
      <w:r>
        <w:rPr>
          <w:rFonts w:ascii="Book Antiqua" w:hAnsi="Book Antiqua" w:cs="Times New Roman"/>
          <w:color w:val="000000" w:themeColor="text1"/>
          <w:sz w:val="20"/>
          <w:szCs w:val="20"/>
          <w:lang w:val="en-US"/>
        </w:rPr>
        <w:t xml:space="preserve"> when compared to the adjacent tooth (Figure 1B). </w:t>
      </w:r>
      <w:bookmarkStart w:id="25" w:name="OLE_LINK24"/>
      <w:r>
        <w:rPr>
          <w:rFonts w:ascii="Book Antiqua" w:hAnsi="Book Antiqua" w:cs="Times New Roman"/>
          <w:color w:val="000000" w:themeColor="text1"/>
          <w:sz w:val="20"/>
          <w:szCs w:val="20"/>
          <w:lang w:val="en-US"/>
        </w:rPr>
        <w:t>The tooth did not respond to thermal and cold tests, but it was sensitive to percussion</w:t>
      </w:r>
      <w:bookmarkEnd w:id="25"/>
      <w:r>
        <w:rPr>
          <w:rFonts w:ascii="Book Antiqua" w:hAnsi="Book Antiqua" w:cs="Times New Roman"/>
          <w:color w:val="000000" w:themeColor="text1"/>
          <w:sz w:val="20"/>
          <w:szCs w:val="20"/>
          <w:lang w:val="en-US"/>
        </w:rPr>
        <w:t xml:space="preserve">. There was a swelling in the apical mucosa area, and </w:t>
      </w:r>
      <w:r>
        <w:rPr>
          <w:rFonts w:ascii="Book Antiqua" w:hAnsi="Book Antiqua" w:cs="Times New Roman"/>
          <w:color w:val="000000" w:themeColor="text1"/>
          <w:sz w:val="20"/>
          <w:szCs w:val="20"/>
          <w:shd w:val="clear" w:color="auto" w:fill="FFFFFF"/>
          <w:lang w:val="en-US"/>
        </w:rPr>
        <w:t xml:space="preserve">no obvious fluctuation was detected. </w:t>
      </w:r>
      <w:r>
        <w:rPr>
          <w:rFonts w:ascii="Book Antiqua" w:hAnsi="Book Antiqua" w:cs="Times New Roman"/>
          <w:color w:val="000000" w:themeColor="text1"/>
          <w:sz w:val="20"/>
          <w:szCs w:val="20"/>
          <w:lang w:val="en-US"/>
        </w:rPr>
        <w:t>The electric pulp vitality t</w:t>
      </w:r>
      <w:r>
        <w:rPr>
          <w:rFonts w:ascii="Book Antiqua" w:hAnsi="Book Antiqua" w:cs="Times New Roman"/>
          <w:color w:val="000000" w:themeColor="text1"/>
          <w:sz w:val="20"/>
          <w:szCs w:val="20"/>
          <w:lang w:val="en-US"/>
        </w:rPr>
        <w:t>est indicated pulp necrosis.</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i/>
          <w:iCs/>
          <w:color w:val="000000" w:themeColor="text1"/>
          <w:sz w:val="20"/>
          <w:szCs w:val="20"/>
          <w:lang w:val="en-US"/>
        </w:rPr>
      </w:pPr>
      <w:r>
        <w:rPr>
          <w:rFonts w:ascii="Book Antiqua" w:hAnsi="Book Antiqua" w:cs="Times New Roman"/>
          <w:b/>
          <w:bCs/>
          <w:i/>
          <w:iCs/>
          <w:color w:val="000000" w:themeColor="text1"/>
          <w:sz w:val="20"/>
          <w:szCs w:val="20"/>
          <w:lang w:val="en-US"/>
        </w:rPr>
        <w:t>Imaging examinations</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A preoperative radiographic examination (Figure 1C) showed the presence of dens invagination in the upper right lateral incisor and a large periapical radiolucency appearing around the apex. Because </w:t>
      </w:r>
      <w:r>
        <w:rPr>
          <w:rFonts w:ascii="Book Antiqua" w:hAnsi="Book Antiqua" w:cs="Times New Roman"/>
          <w:color w:val="000000" w:themeColor="text1"/>
          <w:sz w:val="20"/>
          <w:szCs w:val="20"/>
          <w:lang w:val="en-US"/>
        </w:rPr>
        <w:t>there was an aberrant anatomic structure and a periapical radiolucency of the tooth, a CBCT scan was taken as a complementary examination (Figure 2). The CBCT showed that the distal, mesial and palatal portions of the upper-middle section of the invaginati</w:t>
      </w:r>
      <w:r>
        <w:rPr>
          <w:rFonts w:ascii="Book Antiqua" w:hAnsi="Book Antiqua" w:cs="Times New Roman"/>
          <w:color w:val="000000" w:themeColor="text1"/>
          <w:sz w:val="20"/>
          <w:szCs w:val="20"/>
          <w:lang w:val="en-US"/>
        </w:rPr>
        <w:t>on was connected to the external teeth, and the lower section was separated from the external teeth.</w:t>
      </w:r>
    </w:p>
    <w:p w:rsidR="00925A10" w:rsidRDefault="00925A10">
      <w:pPr>
        <w:snapToGrid w:val="0"/>
        <w:spacing w:line="360" w:lineRule="auto"/>
        <w:rPr>
          <w:rFonts w:ascii="Book Antiqua" w:hAnsi="Book Antiqua" w:cs="Times New Roman"/>
          <w:b/>
          <w:bCs/>
          <w:color w:val="000000" w:themeColor="text1"/>
          <w:sz w:val="20"/>
          <w:szCs w:val="20"/>
          <w:lang w:val="en-US"/>
        </w:rPr>
      </w:pPr>
    </w:p>
    <w:p w:rsidR="00925A10" w:rsidRDefault="00FC5E1B">
      <w:pPr>
        <w:snapToGrid w:val="0"/>
        <w:spacing w:line="360" w:lineRule="auto"/>
        <w:rPr>
          <w:rFonts w:ascii="Book Antiqua" w:hAnsi="Book Antiqua" w:cs="Times New Roman"/>
          <w:color w:val="000000" w:themeColor="text1"/>
          <w:sz w:val="20"/>
          <w:szCs w:val="20"/>
          <w:u w:val="single"/>
          <w:lang w:val="en-US"/>
        </w:rPr>
      </w:pPr>
      <w:r>
        <w:rPr>
          <w:rFonts w:ascii="Book Antiqua" w:hAnsi="Book Antiqua" w:cs="Times New Roman"/>
          <w:b/>
          <w:bCs/>
          <w:color w:val="000000" w:themeColor="text1"/>
          <w:sz w:val="20"/>
          <w:szCs w:val="20"/>
          <w:u w:val="single"/>
          <w:lang w:val="en-US"/>
        </w:rPr>
        <w:t>FINAL DIAGNOSIS</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Based on the subjective, objective and radiographic finding, a diagnosis of DI with apical periodontitis was made in the right maxillary lateral incisor. </w:t>
      </w:r>
    </w:p>
    <w:p w:rsidR="00925A10" w:rsidRDefault="00925A10">
      <w:pPr>
        <w:snapToGrid w:val="0"/>
        <w:spacing w:line="360" w:lineRule="auto"/>
        <w:ind w:firstLineChars="300" w:firstLine="600"/>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color w:val="000000" w:themeColor="text1"/>
          <w:sz w:val="20"/>
          <w:szCs w:val="20"/>
          <w:u w:val="single"/>
          <w:lang w:val="en-US"/>
        </w:rPr>
      </w:pPr>
      <w:r>
        <w:rPr>
          <w:rFonts w:ascii="Book Antiqua" w:hAnsi="Book Antiqua" w:cs="Times New Roman"/>
          <w:b/>
          <w:bCs/>
          <w:color w:val="000000" w:themeColor="text1"/>
          <w:sz w:val="20"/>
          <w:szCs w:val="20"/>
          <w:u w:val="single"/>
          <w:lang w:val="en-US"/>
        </w:rPr>
        <w:t>TREATMENT</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The proposed treatment</w:t>
      </w:r>
      <w:bookmarkStart w:id="26" w:name="OLE_LINK23"/>
      <w:r>
        <w:rPr>
          <w:rFonts w:ascii="Book Antiqua" w:hAnsi="Book Antiqua" w:cs="Times New Roman"/>
          <w:color w:val="000000" w:themeColor="text1"/>
          <w:sz w:val="20"/>
          <w:szCs w:val="20"/>
          <w:lang w:val="en-US"/>
        </w:rPr>
        <w:t xml:space="preserve"> protocol</w:t>
      </w:r>
      <w:bookmarkEnd w:id="26"/>
      <w:r>
        <w:rPr>
          <w:rFonts w:ascii="Book Antiqua" w:hAnsi="Book Antiqua" w:cs="Times New Roman"/>
          <w:color w:val="000000" w:themeColor="text1"/>
          <w:sz w:val="20"/>
          <w:szCs w:val="20"/>
          <w:lang w:val="en-US"/>
        </w:rPr>
        <w:t xml:space="preserve"> was as follows: the first protocol was extracting the toot</w:t>
      </w:r>
      <w:r>
        <w:rPr>
          <w:rFonts w:ascii="Book Antiqua" w:hAnsi="Book Antiqua" w:cs="Times New Roman"/>
          <w:color w:val="000000" w:themeColor="text1"/>
          <w:sz w:val="20"/>
          <w:szCs w:val="20"/>
          <w:lang w:val="en-US"/>
        </w:rPr>
        <w:t xml:space="preserve">h and planting; the second protocol was doing apical surgery after inflammatory control; and the third protocol was trying to remove the invaginated tooth and making an apical barrier under the DOM and deciding whether to perform apical surgery, depending </w:t>
      </w:r>
      <w:r>
        <w:rPr>
          <w:rFonts w:ascii="Book Antiqua" w:hAnsi="Book Antiqua" w:cs="Times New Roman"/>
          <w:color w:val="000000" w:themeColor="text1"/>
          <w:sz w:val="20"/>
          <w:szCs w:val="20"/>
          <w:lang w:val="en-US"/>
        </w:rPr>
        <w:t>on the apical healing situation.</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After consideration of the advantages, disadvantages, prognosis, and cost of every treatment protocol, the patient chose the third protocol, which tried to remove the invaginated tooth and prepare an MTA apical barrier unde</w:t>
      </w:r>
      <w:r>
        <w:rPr>
          <w:rFonts w:ascii="Book Antiqua" w:hAnsi="Book Antiqua" w:cs="Times New Roman"/>
          <w:color w:val="000000" w:themeColor="text1"/>
          <w:sz w:val="20"/>
          <w:szCs w:val="20"/>
          <w:lang w:val="en-US"/>
        </w:rPr>
        <w:t>r the DOM. The difficulty of the operation was evaluated preoperatively and the possibility of extracting the invagination was assessed by CBCT images. The informed consent of treatment was provided for the patient.</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At the first appointment, local an</w:t>
      </w:r>
      <w:r>
        <w:rPr>
          <w:rFonts w:ascii="Book Antiqua" w:hAnsi="Book Antiqua" w:cs="Times New Roman"/>
          <w:color w:val="000000" w:themeColor="text1"/>
          <w:sz w:val="20"/>
          <w:szCs w:val="20"/>
          <w:lang w:val="en-US"/>
        </w:rPr>
        <w:t>esthe</w:t>
      </w:r>
      <w:r>
        <w:rPr>
          <w:rFonts w:ascii="Book Antiqua" w:hAnsi="Book Antiqua" w:cs="Times New Roman"/>
          <w:color w:val="000000" w:themeColor="text1"/>
          <w:sz w:val="20"/>
          <w:szCs w:val="20"/>
          <w:lang w:val="en-US"/>
        </w:rPr>
        <w:t xml:space="preserve">sia consisting of articaine with 1:100000 epinephrine was administered, and access to the cavity was gained under rubber dam isolation. Using the DOM (OPMI PROergo, Carl Zeiss Meditec AG, </w:t>
      </w:r>
      <w:r>
        <w:rPr>
          <w:rFonts w:ascii="Book Antiqua" w:hAnsi="Book Antiqua" w:cs="Times New Roman"/>
          <w:color w:val="000000" w:themeColor="text1"/>
          <w:sz w:val="20"/>
          <w:szCs w:val="20"/>
          <w:lang w:val="en-US"/>
        </w:rPr>
        <w:t xml:space="preserve">Jena, </w:t>
      </w:r>
      <w:r>
        <w:rPr>
          <w:rFonts w:ascii="Book Antiqua" w:hAnsi="Book Antiqua" w:cs="Times New Roman"/>
          <w:color w:val="000000" w:themeColor="text1"/>
          <w:sz w:val="20"/>
          <w:szCs w:val="20"/>
          <w:lang w:val="en-US"/>
        </w:rPr>
        <w:t xml:space="preserve">Germany), the root canal of the invagination was </w:t>
      </w:r>
      <w:r>
        <w:rPr>
          <w:rFonts w:ascii="Book Antiqua" w:hAnsi="Book Antiqua" w:cs="Times New Roman"/>
          <w:color w:val="000000" w:themeColor="text1"/>
          <w:sz w:val="20"/>
          <w:szCs w:val="20"/>
          <w:lang w:val="en-US"/>
        </w:rPr>
        <w:t xml:space="preserve">visualized, just as shown by CBCT, and the labial side was separated from the external tooth. The abnormally invaginated tissue was carefully removed from the root </w:t>
      </w:r>
      <w:r>
        <w:rPr>
          <w:rFonts w:ascii="Book Antiqua" w:hAnsi="Book Antiqua" w:cs="Times New Roman"/>
          <w:color w:val="000000" w:themeColor="text1"/>
          <w:sz w:val="20"/>
          <w:szCs w:val="20"/>
          <w:lang w:val="en-US"/>
        </w:rPr>
        <w:lastRenderedPageBreak/>
        <w:t>trunk using ET20 and ET40 ultrasonic tips until completely separated (Figure 3A) and removed</w:t>
      </w:r>
      <w:r>
        <w:rPr>
          <w:rFonts w:ascii="Book Antiqua" w:hAnsi="Book Antiqua" w:cs="Times New Roman"/>
          <w:color w:val="000000" w:themeColor="text1"/>
          <w:sz w:val="20"/>
          <w:szCs w:val="20"/>
          <w:lang w:val="en-US"/>
        </w:rPr>
        <w:t xml:space="preserve"> by medical forceps (Figure 3B). Afterwards, an intraoperative film was taken to confirm that the invagination had been completely removed (Figure 3C and 3D). Then, an ultrasonic tip was used to activate the canal soaked with sodium hypochlorite (Figure 3E</w:t>
      </w:r>
      <w:r>
        <w:rPr>
          <w:rFonts w:ascii="Book Antiqua" w:hAnsi="Book Antiqua" w:cs="Times New Roman"/>
          <w:color w:val="000000" w:themeColor="text1"/>
          <w:sz w:val="20"/>
          <w:szCs w:val="20"/>
          <w:lang w:val="en-US"/>
        </w:rPr>
        <w:t>). After drying with a sterile absorbent paper point, the canal was filled with calcium hydroxide paste and sealed temporarily. The patient was given a prescription for</w:t>
      </w:r>
      <w:r>
        <w:rPr>
          <w:rFonts w:ascii="Book Antiqua" w:hAnsi="Book Antiqua" w:cs="Times New Roman"/>
          <w:color w:val="000000" w:themeColor="text1"/>
          <w:sz w:val="20"/>
          <w:szCs w:val="20"/>
          <w:shd w:val="clear" w:color="auto" w:fill="FFFFFF"/>
          <w:lang w:val="en-US"/>
        </w:rPr>
        <w:t xml:space="preserve"> anti-inflammatory drugs </w:t>
      </w:r>
      <w:r>
        <w:rPr>
          <w:rFonts w:ascii="Book Antiqua" w:hAnsi="Book Antiqua" w:cs="Times New Roman"/>
          <w:color w:val="000000" w:themeColor="text1"/>
          <w:sz w:val="20"/>
          <w:szCs w:val="20"/>
          <w:lang w:val="en-US"/>
        </w:rPr>
        <w:t xml:space="preserve">with instructions to take for pain only if needed </w:t>
      </w:r>
      <w:r>
        <w:rPr>
          <w:rFonts w:ascii="Book Antiqua" w:hAnsi="Book Antiqua" w:cs="Times New Roman"/>
          <w:color w:val="000000" w:themeColor="text1"/>
          <w:sz w:val="20"/>
          <w:szCs w:val="20"/>
          <w:shd w:val="clear" w:color="auto" w:fill="FFFFFF"/>
          <w:lang w:val="en-US"/>
        </w:rPr>
        <w:t>and to inform</w:t>
      </w:r>
      <w:r>
        <w:rPr>
          <w:rFonts w:ascii="Book Antiqua" w:hAnsi="Book Antiqua" w:cs="Times New Roman"/>
          <w:color w:val="000000" w:themeColor="text1"/>
          <w:sz w:val="20"/>
          <w:szCs w:val="20"/>
          <w:shd w:val="clear" w:color="auto" w:fill="FFFFFF"/>
          <w:lang w:val="en-US"/>
        </w:rPr>
        <w:t xml:space="preserve"> the doctor immediately if there was any discomfort. </w:t>
      </w:r>
      <w:r>
        <w:rPr>
          <w:rFonts w:ascii="Book Antiqua" w:hAnsi="Book Antiqua" w:cs="Times New Roman"/>
          <w:color w:val="000000" w:themeColor="text1"/>
          <w:sz w:val="20"/>
          <w:szCs w:val="20"/>
          <w:lang w:val="en-US"/>
        </w:rPr>
        <w:t>The patient was scheduled for MTA apical barrier surgery 1 wk later.</w:t>
      </w:r>
    </w:p>
    <w:p w:rsidR="00925A10" w:rsidRDefault="00FC5E1B">
      <w:pPr>
        <w:snapToGrid w:val="0"/>
        <w:spacing w:line="360" w:lineRule="auto"/>
        <w:ind w:firstLineChars="100" w:firstLine="200"/>
        <w:rPr>
          <w:rFonts w:ascii="Book Antiqua" w:hAnsi="Book Antiqua" w:cs="Times New Roman"/>
          <w:color w:val="000000" w:themeColor="text1"/>
          <w:sz w:val="20"/>
          <w:szCs w:val="20"/>
          <w:shd w:val="clear" w:color="auto" w:fill="FFFFFF"/>
          <w:lang w:val="en-US"/>
        </w:rPr>
      </w:pPr>
      <w:r>
        <w:rPr>
          <w:rFonts w:ascii="Book Antiqua" w:hAnsi="Book Antiqua" w:cs="Times New Roman"/>
          <w:color w:val="000000" w:themeColor="text1"/>
          <w:sz w:val="20"/>
          <w:szCs w:val="20"/>
          <w:lang w:val="en-US"/>
        </w:rPr>
        <w:t xml:space="preserve">At the second appointment, </w:t>
      </w:r>
      <w:r>
        <w:rPr>
          <w:rFonts w:ascii="Book Antiqua" w:hAnsi="Book Antiqua" w:cs="Times New Roman"/>
          <w:color w:val="000000" w:themeColor="text1"/>
          <w:sz w:val="20"/>
          <w:szCs w:val="20"/>
          <w:shd w:val="clear" w:color="auto" w:fill="FFFFFF"/>
          <w:lang w:val="en-US"/>
        </w:rPr>
        <w:t>the pain of the upper right lateral tooth had been significantly relieved. The examination found that the t</w:t>
      </w:r>
      <w:r>
        <w:rPr>
          <w:rFonts w:ascii="Book Antiqua" w:hAnsi="Book Antiqua" w:cs="Times New Roman"/>
          <w:color w:val="000000" w:themeColor="text1"/>
          <w:sz w:val="20"/>
          <w:szCs w:val="20"/>
          <w:shd w:val="clear" w:color="auto" w:fill="FFFFFF"/>
          <w:lang w:val="en-US"/>
        </w:rPr>
        <w:t>ooth was not sensitive to percussion, and no tenderness but slight bulging was present in the labial apical mucosa. Under rubber dam isolation, the calcium hydroxide in the root canal was removed by ultrasound. Then, 1% sodium hypochlorite was flushed into</w:t>
      </w:r>
      <w:r>
        <w:rPr>
          <w:rFonts w:ascii="Book Antiqua" w:hAnsi="Book Antiqua" w:cs="Times New Roman"/>
          <w:color w:val="000000" w:themeColor="text1"/>
          <w:sz w:val="20"/>
          <w:szCs w:val="20"/>
          <w:shd w:val="clear" w:color="auto" w:fill="FFFFFF"/>
          <w:lang w:val="en-US"/>
        </w:rPr>
        <w:t xml:space="preserve"> the canal and activated with ultrasonic tips, saline was used in the final irrigation (</w:t>
      </w:r>
      <w:r>
        <w:rPr>
          <w:rFonts w:ascii="Book Antiqua" w:hAnsi="Book Antiqua" w:cs="Times New Roman"/>
          <w:color w:val="000000" w:themeColor="text1"/>
          <w:sz w:val="20"/>
          <w:szCs w:val="20"/>
          <w:lang w:val="en-US"/>
        </w:rPr>
        <w:t>Figure 3F</w:t>
      </w:r>
      <w:r>
        <w:rPr>
          <w:rFonts w:ascii="Book Antiqua" w:hAnsi="Book Antiqua" w:cs="Times New Roman"/>
          <w:color w:val="000000" w:themeColor="text1"/>
          <w:sz w:val="20"/>
          <w:szCs w:val="20"/>
          <w:shd w:val="clear" w:color="auto" w:fill="FFFFFF"/>
          <w:lang w:val="en-US"/>
        </w:rPr>
        <w:t>), and the canal was dried with absorbent paper points (</w:t>
      </w:r>
      <w:r>
        <w:rPr>
          <w:rFonts w:ascii="Book Antiqua" w:hAnsi="Book Antiqua" w:cs="Times New Roman"/>
          <w:color w:val="000000" w:themeColor="text1"/>
          <w:sz w:val="20"/>
          <w:szCs w:val="20"/>
          <w:lang w:val="en-US"/>
        </w:rPr>
        <w:t>Figure 3G</w:t>
      </w:r>
      <w:r>
        <w:rPr>
          <w:rFonts w:ascii="Book Antiqua" w:hAnsi="Book Antiqua" w:cs="Times New Roman"/>
          <w:color w:val="000000" w:themeColor="text1"/>
          <w:sz w:val="20"/>
          <w:szCs w:val="20"/>
          <w:shd w:val="clear" w:color="auto" w:fill="FFFFFF"/>
          <w:lang w:val="en-US"/>
        </w:rPr>
        <w:t>). The working length was determined by an electronic apex locator and confirmed radiographica</w:t>
      </w:r>
      <w:r>
        <w:rPr>
          <w:rFonts w:ascii="Book Antiqua" w:hAnsi="Book Antiqua" w:cs="Times New Roman"/>
          <w:color w:val="000000" w:themeColor="text1"/>
          <w:sz w:val="20"/>
          <w:szCs w:val="20"/>
          <w:shd w:val="clear" w:color="auto" w:fill="FFFFFF"/>
          <w:lang w:val="en-US"/>
        </w:rPr>
        <w:t>lly</w:t>
      </w:r>
      <w:r>
        <w:rPr>
          <w:rFonts w:ascii="Book Antiqua" w:hAnsi="Book Antiqua" w:cs="Times New Roman"/>
          <w:color w:val="000000" w:themeColor="text1"/>
          <w:sz w:val="20"/>
          <w:szCs w:val="20"/>
          <w:lang w:val="en-US"/>
        </w:rPr>
        <w:t xml:space="preserve"> (Figure 3H)</w:t>
      </w:r>
      <w:r>
        <w:rPr>
          <w:rFonts w:ascii="Book Antiqua" w:hAnsi="Book Antiqua" w:cs="Times New Roman"/>
          <w:color w:val="000000" w:themeColor="text1"/>
          <w:sz w:val="20"/>
          <w:szCs w:val="20"/>
          <w:shd w:val="clear" w:color="auto" w:fill="FFFFFF"/>
          <w:lang w:val="en-US"/>
        </w:rPr>
        <w:t xml:space="preserve">. </w:t>
      </w:r>
      <w:r>
        <w:rPr>
          <w:rFonts w:ascii="Book Antiqua" w:hAnsi="Book Antiqua" w:cs="Times New Roman"/>
          <w:color w:val="000000" w:themeColor="text1"/>
          <w:sz w:val="20"/>
          <w:szCs w:val="20"/>
          <w:lang w:val="en-US"/>
        </w:rPr>
        <w:t>An apical barrier of 4 mm in thickness was created with MTA (Figure 3I and 3J), where a wet cotton pellet was placed above. Then</w:t>
      </w:r>
      <w:r>
        <w:rPr>
          <w:rFonts w:ascii="Book Antiqua" w:hAnsi="Book Antiqua" w:cs="Times New Roman"/>
          <w:color w:val="000000" w:themeColor="text1"/>
          <w:sz w:val="20"/>
          <w:szCs w:val="20"/>
          <w:lang w:val="en-US"/>
        </w:rPr>
        <w:t xml:space="preserve"> the tooth </w:t>
      </w:r>
      <w:r>
        <w:rPr>
          <w:rFonts w:ascii="Book Antiqua" w:hAnsi="Book Antiqua" w:cs="Times New Roman"/>
          <w:color w:val="000000" w:themeColor="text1"/>
          <w:sz w:val="20"/>
          <w:szCs w:val="20"/>
          <w:shd w:val="clear" w:color="auto" w:fill="FFFFFF"/>
          <w:lang w:val="en-US"/>
        </w:rPr>
        <w:t xml:space="preserve">was sealed with </w:t>
      </w:r>
      <w:r>
        <w:rPr>
          <w:rFonts w:ascii="Book Antiqua" w:eastAsia="宋体" w:hAnsi="Book Antiqua" w:cs="Times New Roman"/>
          <w:color w:val="000000" w:themeColor="text1"/>
          <w:sz w:val="20"/>
          <w:szCs w:val="20"/>
          <w:shd w:val="clear" w:color="auto" w:fill="FFFFFF"/>
          <w:lang w:val="en-US"/>
        </w:rPr>
        <w:t>Ceivitron (</w:t>
      </w:r>
      <w:r>
        <w:rPr>
          <w:rFonts w:ascii="Book Antiqua" w:hAnsi="Book Antiqua" w:cs="Times New Roman"/>
          <w:color w:val="000000" w:themeColor="text1"/>
          <w:sz w:val="20"/>
          <w:szCs w:val="20"/>
          <w:lang w:val="en-US"/>
        </w:rPr>
        <w:t>GC Corporation, Tokyo, Japan</w:t>
      </w:r>
      <w:r>
        <w:rPr>
          <w:rFonts w:ascii="Book Antiqua" w:eastAsia="宋体" w:hAnsi="Book Antiqua" w:cs="Times New Roman"/>
          <w:color w:val="000000" w:themeColor="text1"/>
          <w:sz w:val="20"/>
          <w:szCs w:val="20"/>
          <w:shd w:val="clear" w:color="auto" w:fill="FFFFFF"/>
          <w:lang w:val="en-US"/>
        </w:rPr>
        <w:t>)</w:t>
      </w:r>
      <w:r>
        <w:rPr>
          <w:rFonts w:ascii="Book Antiqua" w:hAnsi="Book Antiqua" w:cs="Times New Roman"/>
          <w:color w:val="000000" w:themeColor="text1"/>
          <w:sz w:val="20"/>
          <w:szCs w:val="20"/>
          <w:shd w:val="clear" w:color="auto" w:fill="FFFFFF"/>
          <w:lang w:val="en-US"/>
        </w:rPr>
        <w:t>.</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At the third appointment, which was set for 1 wk after the second appointment, the patient felt better. There was no obvious discomfort in the upper right lateral tooth, and the apical bulging in the labial mucosa was reduced. </w:t>
      </w:r>
      <w:r>
        <w:rPr>
          <w:rFonts w:ascii="Book Antiqua" w:hAnsi="Book Antiqua" w:cs="Times New Roman"/>
          <w:color w:val="000000" w:themeColor="text1"/>
          <w:sz w:val="20"/>
          <w:szCs w:val="20"/>
          <w:shd w:val="clear" w:color="auto" w:fill="FFFFFF"/>
          <w:lang w:val="en-US"/>
        </w:rPr>
        <w:t>Rubber dam isolation was carr</w:t>
      </w:r>
      <w:r>
        <w:rPr>
          <w:rFonts w:ascii="Book Antiqua" w:hAnsi="Book Antiqua" w:cs="Times New Roman"/>
          <w:color w:val="000000" w:themeColor="text1"/>
          <w:sz w:val="20"/>
          <w:szCs w:val="20"/>
          <w:shd w:val="clear" w:color="auto" w:fill="FFFFFF"/>
          <w:lang w:val="en-US"/>
        </w:rPr>
        <w:t xml:space="preserve">ied out to remove the temporary materials and cotton pellet of the root canal. Under the DOM, </w:t>
      </w:r>
      <w:r>
        <w:rPr>
          <w:rFonts w:ascii="Book Antiqua" w:hAnsi="Book Antiqua" w:cs="Times New Roman"/>
          <w:color w:val="000000" w:themeColor="text1"/>
          <w:sz w:val="20"/>
          <w:szCs w:val="20"/>
          <w:lang w:val="en-US"/>
        </w:rPr>
        <w:t xml:space="preserve">the barrier was probed firmly with a DG-16 probe (Hu-Friedy, </w:t>
      </w:r>
      <w:r>
        <w:rPr>
          <w:rFonts w:ascii="Book Antiqua" w:hAnsi="Book Antiqua" w:cs="Times New Roman"/>
          <w:color w:val="000000" w:themeColor="text1"/>
          <w:sz w:val="20"/>
          <w:szCs w:val="20"/>
          <w:lang w:val="en-US"/>
        </w:rPr>
        <w:t xml:space="preserve">Chicago, IL, </w:t>
      </w:r>
      <w:r>
        <w:rPr>
          <w:rFonts w:ascii="Book Antiqua" w:hAnsi="Book Antiqua" w:cs="Times New Roman"/>
          <w:color w:val="000000" w:themeColor="text1"/>
          <w:sz w:val="20"/>
          <w:szCs w:val="20"/>
          <w:lang w:val="en-US"/>
        </w:rPr>
        <w:t xml:space="preserve">United States) to confirm that the MTA was completely coagulated. The remaining </w:t>
      </w:r>
      <w:r>
        <w:rPr>
          <w:rFonts w:ascii="Book Antiqua" w:hAnsi="Book Antiqua" w:cs="Times New Roman"/>
          <w:color w:val="000000" w:themeColor="text1"/>
          <w:sz w:val="20"/>
          <w:szCs w:val="20"/>
          <w:lang w:val="en-US"/>
        </w:rPr>
        <w:t>space was then obturated with thermoplastic gutta-percha</w:t>
      </w:r>
      <w:r>
        <w:rPr>
          <w:rStyle w:val="fontstyle01"/>
          <w:rFonts w:ascii="Book Antiqua" w:hAnsi="Book Antiqua" w:cs="Times New Roman"/>
          <w:color w:val="000000" w:themeColor="text1"/>
          <w:lang w:val="en-US"/>
        </w:rPr>
        <w:t xml:space="preserve"> (SybronEndo, Orange, CA</w:t>
      </w:r>
      <w:r>
        <w:rPr>
          <w:rStyle w:val="fontstyle01"/>
          <w:rFonts w:ascii="Book Antiqua" w:hAnsi="Book Antiqua" w:cs="Times New Roman"/>
          <w:color w:val="000000" w:themeColor="text1"/>
          <w:lang w:val="en-US"/>
        </w:rPr>
        <w:t>, United States</w:t>
      </w:r>
      <w:r>
        <w:rPr>
          <w:rStyle w:val="fontstyle01"/>
          <w:rFonts w:ascii="Book Antiqua" w:hAnsi="Book Antiqua" w:cs="Times New Roman"/>
          <w:color w:val="000000" w:themeColor="text1"/>
          <w:lang w:val="en-US"/>
        </w:rPr>
        <w:t>)</w:t>
      </w:r>
      <w:r>
        <w:rPr>
          <w:rFonts w:ascii="Book Antiqua" w:hAnsi="Book Antiqua" w:cs="Times New Roman"/>
          <w:color w:val="000000" w:themeColor="text1"/>
          <w:sz w:val="20"/>
          <w:szCs w:val="20"/>
          <w:lang w:val="en-US"/>
        </w:rPr>
        <w:t xml:space="preserve"> and AH-Plus (Dentsply</w:t>
      </w:r>
      <w:r>
        <w:rPr>
          <w:rFonts w:ascii="Book Antiqua" w:hAnsi="Book Antiqua" w:cs="Times New Roman"/>
          <w:color w:val="000000" w:themeColor="text1"/>
          <w:sz w:val="20"/>
          <w:szCs w:val="20"/>
          <w:lang w:val="en-US"/>
        </w:rPr>
        <w:t xml:space="preserve"> Sirona</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lang w:val="en-US"/>
        </w:rPr>
        <w:t xml:space="preserve">York, PA, </w:t>
      </w:r>
      <w:r>
        <w:rPr>
          <w:rFonts w:ascii="Book Antiqua" w:hAnsi="Book Antiqua" w:cs="Times New Roman"/>
          <w:color w:val="000000" w:themeColor="text1"/>
          <w:sz w:val="20"/>
          <w:szCs w:val="20"/>
          <w:lang w:val="en-US"/>
        </w:rPr>
        <w:t>United States) sealer, using a vertical condensation technique (Figure 3K). Thereafter, the access cavity was sealed wi</w:t>
      </w:r>
      <w:r>
        <w:rPr>
          <w:rFonts w:ascii="Book Antiqua" w:hAnsi="Book Antiqua" w:cs="Times New Roman"/>
          <w:color w:val="000000" w:themeColor="text1"/>
          <w:sz w:val="20"/>
          <w:szCs w:val="20"/>
          <w:lang w:val="en-US"/>
        </w:rPr>
        <w:t>th composite resin (</w:t>
      </w:r>
      <w:r>
        <w:rPr>
          <w:rFonts w:ascii="Book Antiqua" w:hAnsi="Book Antiqua" w:cs="Times New Roman"/>
          <w:color w:val="000000" w:themeColor="text1"/>
          <w:sz w:val="20"/>
          <w:szCs w:val="20"/>
          <w:lang w:val="en-US"/>
        </w:rPr>
        <w:t>ESPE Z350</w:t>
      </w:r>
      <w:r>
        <w:rPr>
          <w:rFonts w:ascii="Book Antiqua" w:hAnsi="Book Antiqua" w:cs="Times New Roman"/>
          <w:color w:val="000000" w:themeColor="text1"/>
          <w:sz w:val="20"/>
          <w:szCs w:val="20"/>
          <w:lang w:val="en-US"/>
        </w:rPr>
        <w:t>;</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lang w:val="en-US"/>
        </w:rPr>
        <w:t xml:space="preserve">3M Science, </w:t>
      </w:r>
      <w:r>
        <w:rPr>
          <w:rFonts w:ascii="Book Antiqua" w:hAnsi="Book Antiqua" w:cs="Times New Roman"/>
          <w:color w:val="000000" w:themeColor="text1"/>
          <w:sz w:val="20"/>
          <w:szCs w:val="20"/>
          <w:lang w:val="en-US"/>
        </w:rPr>
        <w:t xml:space="preserve">Maplewood, MN, </w:t>
      </w:r>
      <w:r>
        <w:rPr>
          <w:rFonts w:ascii="Book Antiqua" w:hAnsi="Book Antiqua" w:cs="Times New Roman"/>
          <w:color w:val="000000" w:themeColor="text1"/>
          <w:sz w:val="20"/>
          <w:szCs w:val="20"/>
          <w:lang w:val="en-US"/>
        </w:rPr>
        <w:t>United States) (Figure 3L).</w:t>
      </w:r>
    </w:p>
    <w:p w:rsidR="00925A10" w:rsidRDefault="00925A10">
      <w:pPr>
        <w:snapToGrid w:val="0"/>
        <w:spacing w:line="360" w:lineRule="auto"/>
        <w:ind w:firstLineChars="300" w:firstLine="600"/>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color w:val="000000" w:themeColor="text1"/>
          <w:sz w:val="20"/>
          <w:szCs w:val="20"/>
          <w:u w:val="single"/>
          <w:lang w:val="en-US"/>
        </w:rPr>
      </w:pPr>
      <w:r>
        <w:rPr>
          <w:rFonts w:ascii="Book Antiqua" w:hAnsi="Book Antiqua" w:cs="Times New Roman"/>
          <w:b/>
          <w:bCs/>
          <w:color w:val="000000" w:themeColor="text1"/>
          <w:sz w:val="20"/>
          <w:szCs w:val="20"/>
          <w:u w:val="single"/>
          <w:lang w:val="en-US"/>
        </w:rPr>
        <w:t>OUTCOME AND FOLLOW-UP</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At the 9-, 15- and 26-mo follow-up appointments, the tooth remained asymptomatic. Chewing function could be exercised normally. </w:t>
      </w:r>
      <w:r>
        <w:rPr>
          <w:rFonts w:ascii="Book Antiqua" w:hAnsi="Book Antiqua" w:cs="Times New Roman"/>
          <w:color w:val="000000" w:themeColor="text1"/>
          <w:sz w:val="20"/>
          <w:szCs w:val="20"/>
          <w:lang w:val="en-US"/>
        </w:rPr>
        <w:t>However, the colo</w:t>
      </w:r>
      <w:r>
        <w:rPr>
          <w:rFonts w:ascii="Book Antiqua" w:hAnsi="Book Antiqua" w:cs="Times New Roman"/>
          <w:color w:val="000000" w:themeColor="text1"/>
          <w:sz w:val="20"/>
          <w:szCs w:val="20"/>
          <w:lang w:val="en-US"/>
        </w:rPr>
        <w:t xml:space="preserve">r of the crown did not </w:t>
      </w:r>
      <w:r>
        <w:rPr>
          <w:rFonts w:ascii="Book Antiqua" w:hAnsi="Book Antiqua" w:cs="Times New Roman"/>
          <w:color w:val="000000" w:themeColor="text1"/>
          <w:sz w:val="20"/>
          <w:szCs w:val="20"/>
          <w:lang w:val="en-US"/>
        </w:rPr>
        <w:t>significantly</w:t>
      </w:r>
      <w:r>
        <w:rPr>
          <w:rFonts w:ascii="Book Antiqua" w:hAnsi="Book Antiqua" w:cs="Times New Roman"/>
          <w:color w:val="000000" w:themeColor="text1"/>
          <w:sz w:val="20"/>
          <w:szCs w:val="20"/>
          <w:lang w:val="en-US"/>
        </w:rPr>
        <w:t xml:space="preserve"> change</w:t>
      </w:r>
      <w:r>
        <w:rPr>
          <w:rFonts w:ascii="Book Antiqua" w:hAnsi="Book Antiqua" w:cs="Times New Roman"/>
          <w:color w:val="000000" w:themeColor="text1"/>
          <w:sz w:val="20"/>
          <w:szCs w:val="20"/>
          <w:lang w:val="en-US"/>
        </w:rPr>
        <w:t xml:space="preserve"> until 26 mo (Figure 4A–C). There was no tenderness or obvious bulging in the labial apical mucosa. Radiographic examination at 9-, 15- and 26-mo postoperatively (Figure 4D–F) showed ongoing periapical repair, in which the </w:t>
      </w:r>
      <w:bookmarkStart w:id="27" w:name="OLE_LINK8"/>
      <w:r>
        <w:rPr>
          <w:rFonts w:ascii="Book Antiqua" w:hAnsi="Book Antiqua" w:cs="Times New Roman"/>
          <w:color w:val="000000" w:themeColor="text1"/>
          <w:sz w:val="20"/>
          <w:szCs w:val="20"/>
          <w:lang w:val="en-US"/>
        </w:rPr>
        <w:t>apical radiolucency</w:t>
      </w:r>
      <w:bookmarkEnd w:id="27"/>
      <w:r>
        <w:rPr>
          <w:rFonts w:ascii="Book Antiqua" w:hAnsi="Book Antiqua" w:cs="Times New Roman"/>
          <w:color w:val="000000" w:themeColor="text1"/>
          <w:sz w:val="20"/>
          <w:szCs w:val="20"/>
          <w:lang w:val="en-US"/>
        </w:rPr>
        <w:t xml:space="preserve"> had been redu</w:t>
      </w:r>
      <w:r>
        <w:rPr>
          <w:rFonts w:ascii="Book Antiqua" w:hAnsi="Book Antiqua" w:cs="Times New Roman"/>
          <w:color w:val="000000" w:themeColor="text1"/>
          <w:sz w:val="20"/>
          <w:szCs w:val="20"/>
          <w:lang w:val="en-US"/>
        </w:rPr>
        <w:t xml:space="preserve">ced and the bone trabecular structure was visible. </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b/>
          <w:bCs/>
          <w:color w:val="000000" w:themeColor="text1"/>
          <w:sz w:val="20"/>
          <w:szCs w:val="20"/>
          <w:u w:val="single"/>
          <w:lang w:val="en-US"/>
        </w:rPr>
      </w:pPr>
      <w:r>
        <w:rPr>
          <w:rFonts w:ascii="Book Antiqua" w:hAnsi="Book Antiqua" w:cs="Times New Roman"/>
          <w:b/>
          <w:bCs/>
          <w:color w:val="000000" w:themeColor="text1"/>
          <w:sz w:val="20"/>
          <w:szCs w:val="20"/>
          <w:u w:val="single"/>
          <w:lang w:val="en-US"/>
        </w:rPr>
        <w:lastRenderedPageBreak/>
        <w:t>DISCUSSION</w:t>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Dens in dente is the most serious type of dens invagination</w:t>
      </w:r>
      <w:r>
        <w:rPr>
          <w:rStyle w:val="fontstyle01"/>
          <w:rFonts w:ascii="Book Antiqua" w:hAnsi="Book Antiqua" w:cs="Times New Roman"/>
          <w:color w:val="000000" w:themeColor="text1"/>
          <w:vertAlign w:val="superscript"/>
          <w:lang w:val="en-US"/>
        </w:rPr>
        <w:t>[1]</w:t>
      </w:r>
      <w:r>
        <w:rPr>
          <w:rFonts w:ascii="Book Antiqua" w:hAnsi="Book Antiqua" w:cs="Times New Roman"/>
          <w:color w:val="000000" w:themeColor="text1"/>
          <w:sz w:val="20"/>
          <w:szCs w:val="20"/>
          <w:lang w:val="en-US"/>
        </w:rPr>
        <w:t xml:space="preserve">. It </w:t>
      </w:r>
      <w:r>
        <w:rPr>
          <w:rFonts w:ascii="Book Antiqua" w:hAnsi="Book Antiqua" w:cs="Times New Roman"/>
          <w:color w:val="000000" w:themeColor="text1"/>
          <w:sz w:val="20"/>
          <w:szCs w:val="20"/>
          <w:shd w:val="clear" w:color="auto" w:fill="FFFFFF"/>
          <w:lang w:val="en-US"/>
        </w:rPr>
        <w:t xml:space="preserve">has been reported that the incidence of DI ranges from 0.04% to 10%, with the maxillary lateral incisors most </w:t>
      </w:r>
      <w:r>
        <w:rPr>
          <w:rFonts w:ascii="Book Antiqua" w:hAnsi="Book Antiqua" w:cs="Times New Roman"/>
          <w:color w:val="000000" w:themeColor="text1"/>
          <w:sz w:val="20"/>
          <w:szCs w:val="20"/>
          <w:lang w:val="en-US"/>
        </w:rPr>
        <w:t xml:space="preserve">susceptible to </w:t>
      </w:r>
      <w:r>
        <w:rPr>
          <w:rFonts w:ascii="Book Antiqua" w:hAnsi="Book Antiqua" w:cs="Times New Roman"/>
          <w:color w:val="000000" w:themeColor="text1"/>
          <w:sz w:val="20"/>
          <w:szCs w:val="20"/>
          <w:shd w:val="clear" w:color="auto" w:fill="FFFFFF"/>
          <w:lang w:val="en-US"/>
        </w:rPr>
        <w:t>involvement</w:t>
      </w:r>
      <w:r>
        <w:rPr>
          <w:rStyle w:val="fontstyle01"/>
          <w:rFonts w:ascii="Book Antiqua" w:hAnsi="Book Antiqua" w:cs="Times New Roman"/>
          <w:color w:val="000000" w:themeColor="text1"/>
          <w:vertAlign w:val="superscript"/>
          <w:lang w:val="en-US"/>
        </w:rPr>
        <w:t>[6-8]</w:t>
      </w:r>
      <w:r>
        <w:rPr>
          <w:rFonts w:ascii="Book Antiqua" w:hAnsi="Book Antiqua" w:cs="Times New Roman"/>
          <w:color w:val="000000" w:themeColor="text1"/>
          <w:sz w:val="20"/>
          <w:szCs w:val="20"/>
          <w:shd w:val="clear" w:color="auto" w:fill="FFFFFF"/>
          <w:lang w:val="en-US"/>
        </w:rPr>
        <w:t>. D</w:t>
      </w:r>
      <w:r>
        <w:rPr>
          <w:rStyle w:val="fontstyle01"/>
          <w:rFonts w:ascii="Book Antiqua" w:hAnsi="Book Antiqua" w:cs="Times New Roman"/>
          <w:color w:val="000000" w:themeColor="text1"/>
          <w:lang w:val="en-US"/>
        </w:rPr>
        <w:t>epending on the severity of the infection and the complexity of its anatomy, several treatment methods for the i</w:t>
      </w:r>
      <w:r>
        <w:rPr>
          <w:rStyle w:val="fontstyle01"/>
          <w:rFonts w:ascii="Book Antiqua" w:hAnsi="Book Antiqua" w:cs="Times New Roman"/>
          <w:color w:val="000000" w:themeColor="text1"/>
          <w:lang w:val="en-US"/>
        </w:rPr>
        <w:t xml:space="preserve">nvagination have been described. They included </w:t>
      </w:r>
      <w:r>
        <w:rPr>
          <w:rFonts w:ascii="Book Antiqua" w:hAnsi="Book Antiqua" w:cs="Times New Roman"/>
          <w:color w:val="000000" w:themeColor="text1"/>
          <w:sz w:val="20"/>
          <w:szCs w:val="20"/>
          <w:shd w:val="clear" w:color="auto" w:fill="FFFFFF"/>
          <w:lang w:val="en-US"/>
        </w:rPr>
        <w:t>filling treatment, endodontic treatment</w:t>
      </w:r>
      <w:r>
        <w:rPr>
          <w:rStyle w:val="fontstyle01"/>
          <w:rFonts w:ascii="Book Antiqua" w:hAnsi="Book Antiqua" w:cs="Times New Roman"/>
          <w:color w:val="000000" w:themeColor="text1"/>
          <w:vertAlign w:val="superscript"/>
          <w:lang w:val="en-US"/>
        </w:rPr>
        <w:t>[9]</w:t>
      </w:r>
      <w:r>
        <w:rPr>
          <w:rFonts w:ascii="Book Antiqua" w:hAnsi="Book Antiqua" w:cs="Times New Roman"/>
          <w:color w:val="000000" w:themeColor="text1"/>
          <w:sz w:val="20"/>
          <w:szCs w:val="20"/>
          <w:shd w:val="clear" w:color="auto" w:fill="FFFFFF"/>
          <w:lang w:val="en-US"/>
        </w:rPr>
        <w:t>, apical surgery</w:t>
      </w:r>
      <w:r>
        <w:rPr>
          <w:rStyle w:val="fontstyle01"/>
          <w:rFonts w:ascii="Book Antiqua" w:hAnsi="Book Antiqua" w:cs="Times New Roman"/>
          <w:color w:val="000000" w:themeColor="text1"/>
          <w:vertAlign w:val="superscript"/>
          <w:lang w:val="en-US"/>
        </w:rPr>
        <w:t>[10,11]</w:t>
      </w:r>
      <w:r>
        <w:rPr>
          <w:rFonts w:ascii="Book Antiqua" w:hAnsi="Book Antiqua" w:cs="Times New Roman"/>
          <w:color w:val="000000" w:themeColor="text1"/>
          <w:sz w:val="20"/>
          <w:szCs w:val="20"/>
          <w:shd w:val="clear" w:color="auto" w:fill="FFFFFF"/>
          <w:lang w:val="en-US"/>
        </w:rPr>
        <w:t xml:space="preserve">, </w:t>
      </w:r>
      <w:r>
        <w:rPr>
          <w:rStyle w:val="fontstyle01"/>
          <w:rFonts w:ascii="Book Antiqua" w:hAnsi="Book Antiqua" w:cs="Times New Roman"/>
          <w:color w:val="000000" w:themeColor="text1"/>
          <w:lang w:val="en-US"/>
        </w:rPr>
        <w:t>intentional reimplantation</w:t>
      </w:r>
      <w:r>
        <w:rPr>
          <w:rStyle w:val="fontstyle01"/>
          <w:rFonts w:ascii="Book Antiqua" w:hAnsi="Book Antiqua" w:cs="Times New Roman"/>
          <w:color w:val="000000" w:themeColor="text1"/>
          <w:vertAlign w:val="superscript"/>
          <w:lang w:val="en-US"/>
        </w:rPr>
        <w:t>[12]</w:t>
      </w:r>
      <w:r>
        <w:rPr>
          <w:rStyle w:val="fontstyle01"/>
          <w:rFonts w:ascii="Book Antiqua" w:hAnsi="Book Antiqua" w:cs="Times New Roman"/>
          <w:color w:val="000000" w:themeColor="text1"/>
          <w:lang w:val="en-US"/>
        </w:rPr>
        <w:t>, and finally extraction.</w:t>
      </w:r>
      <w:r>
        <w:rPr>
          <w:rFonts w:ascii="Book Antiqua" w:hAnsi="Book Antiqua" w:cs="Times New Roman"/>
          <w:color w:val="000000" w:themeColor="text1"/>
          <w:sz w:val="20"/>
          <w:szCs w:val="20"/>
          <w:lang w:val="en-US"/>
        </w:rPr>
        <w:t xml:space="preserve"> A case of invagination removal had also been reported in other literature</w:t>
      </w:r>
      <w:r>
        <w:rPr>
          <w:rStyle w:val="fontstyle01"/>
          <w:rFonts w:ascii="Book Antiqua" w:hAnsi="Book Antiqua" w:cs="Times New Roman"/>
          <w:color w:val="000000" w:themeColor="text1"/>
          <w:vertAlign w:val="superscript"/>
          <w:lang w:val="en-US"/>
        </w:rPr>
        <w:t>[13]</w:t>
      </w:r>
      <w:r>
        <w:rPr>
          <w:rFonts w:ascii="Book Antiqua" w:hAnsi="Book Antiqua" w:cs="Times New Roman"/>
          <w:color w:val="000000" w:themeColor="text1"/>
          <w:sz w:val="20"/>
          <w:szCs w:val="20"/>
          <w:lang w:val="en-US"/>
        </w:rPr>
        <w:t xml:space="preserve">. </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In </w:t>
      </w:r>
      <w:r>
        <w:rPr>
          <w:rFonts w:ascii="Book Antiqua" w:hAnsi="Book Antiqua" w:cs="Times New Roman"/>
          <w:color w:val="000000" w:themeColor="text1"/>
          <w:sz w:val="20"/>
          <w:szCs w:val="20"/>
          <w:lang w:val="en-US"/>
        </w:rPr>
        <w:t>this case, after careful preoperative CBCT analysis, it was decided to use the method of removing the invagination and preparing the MTA apical barrier under a DOM to preserve the tooth. According to American Association of Endodontists commendations, CBCT</w:t>
      </w:r>
      <w:r>
        <w:rPr>
          <w:rFonts w:ascii="Book Antiqua" w:hAnsi="Book Antiqua" w:cs="Times New Roman"/>
          <w:color w:val="000000" w:themeColor="text1"/>
          <w:sz w:val="20"/>
          <w:szCs w:val="20"/>
          <w:lang w:val="en-US"/>
        </w:rPr>
        <w:t xml:space="preserve"> should be considered the preferred treatment of teeth with the potential of suspected complex canal morphology or dental anomalies</w:t>
      </w:r>
      <w:r>
        <w:rPr>
          <w:rStyle w:val="fontstyle01"/>
          <w:rFonts w:ascii="Book Antiqua" w:hAnsi="Book Antiqua" w:cs="Times New Roman"/>
          <w:color w:val="000000" w:themeColor="text1"/>
          <w:vertAlign w:val="superscript"/>
          <w:lang w:val="en-US"/>
        </w:rPr>
        <w:t>[14]</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shd w:val="clear" w:color="auto" w:fill="FFFFFF"/>
          <w:lang w:val="en-US"/>
        </w:rPr>
        <w:t xml:space="preserve">As a non-invasive diagnostic tool, CBCT has the advantages of </w:t>
      </w:r>
      <w:r>
        <w:rPr>
          <w:rFonts w:ascii="Book Antiqua" w:hAnsi="Book Antiqua" w:cs="Times New Roman"/>
          <w:color w:val="000000" w:themeColor="text1"/>
          <w:sz w:val="20"/>
          <w:szCs w:val="20"/>
          <w:lang w:val="en-US"/>
        </w:rPr>
        <w:t xml:space="preserve">increased accuracy and higher resolution. Moreover, CBCT </w:t>
      </w:r>
      <w:r>
        <w:rPr>
          <w:rFonts w:ascii="Book Antiqua" w:hAnsi="Book Antiqua" w:cs="Times New Roman"/>
          <w:color w:val="000000" w:themeColor="text1"/>
          <w:sz w:val="20"/>
          <w:szCs w:val="20"/>
          <w:lang w:val="en-US"/>
        </w:rPr>
        <w:t>offers significant scan-time reduction, radiation dose reduction, and reduced cost for the patient</w:t>
      </w:r>
      <w:r>
        <w:rPr>
          <w:rStyle w:val="fontstyle01"/>
          <w:rFonts w:ascii="Book Antiqua" w:hAnsi="Book Antiqua" w:cs="Times New Roman"/>
          <w:color w:val="000000" w:themeColor="text1"/>
          <w:vertAlign w:val="superscript"/>
          <w:lang w:val="en-US"/>
        </w:rPr>
        <w:t>[15-17]</w:t>
      </w:r>
      <w:r>
        <w:rPr>
          <w:rFonts w:ascii="Book Antiqua" w:hAnsi="Book Antiqua" w:cs="Times New Roman"/>
          <w:color w:val="000000" w:themeColor="text1"/>
          <w:sz w:val="20"/>
          <w:szCs w:val="20"/>
          <w:lang w:val="en-US"/>
        </w:rPr>
        <w:t xml:space="preserve">. Compared with traditional 2-dimensional radiographs, CBCT produces undistorted </w:t>
      </w:r>
      <w:r>
        <w:rPr>
          <w:rFonts w:ascii="Book Antiqua" w:hAnsi="Book Antiqua" w:cs="Times New Roman"/>
          <w:color w:val="000000" w:themeColor="text1"/>
          <w:sz w:val="20"/>
          <w:szCs w:val="20"/>
          <w:lang w:val="en-US"/>
        </w:rPr>
        <w:t>three</w:t>
      </w:r>
      <w:r>
        <w:rPr>
          <w:rFonts w:ascii="Book Antiqua" w:hAnsi="Book Antiqua" w:cs="Times New Roman"/>
          <w:color w:val="000000" w:themeColor="text1"/>
          <w:sz w:val="20"/>
          <w:szCs w:val="20"/>
          <w:lang w:val="en-US"/>
        </w:rPr>
        <w:t xml:space="preserve">-dimensional information, which clearly displays images of </w:t>
      </w:r>
      <w:r>
        <w:rPr>
          <w:rFonts w:ascii="Book Antiqua" w:hAnsi="Book Antiqua" w:cs="Times New Roman"/>
          <w:color w:val="000000" w:themeColor="text1"/>
          <w:sz w:val="20"/>
          <w:szCs w:val="20"/>
          <w:lang w:val="en-US"/>
        </w:rPr>
        <w:t>the facial skeleton and the teeth and their surrounding tissues</w:t>
      </w:r>
      <w:r>
        <w:rPr>
          <w:rStyle w:val="fontstyle01"/>
          <w:rFonts w:ascii="Book Antiqua" w:hAnsi="Book Antiqua" w:cs="Times New Roman"/>
          <w:color w:val="000000" w:themeColor="text1"/>
          <w:vertAlign w:val="superscript"/>
          <w:lang w:val="en-US"/>
        </w:rPr>
        <w:t>[18]</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shd w:val="clear" w:color="auto" w:fill="FFFFFF"/>
          <w:lang w:val="en-US"/>
        </w:rPr>
        <w:t xml:space="preserve">The induction and widespread adoption of the DOM is the most revolutionary in non-surgical and surgical endodontic treatment, which offers various high- and low-power magnifications. </w:t>
      </w:r>
      <w:r>
        <w:rPr>
          <w:rFonts w:ascii="Book Antiqua" w:hAnsi="Book Antiqua" w:cs="Times New Roman"/>
          <w:color w:val="000000" w:themeColor="text1"/>
          <w:sz w:val="20"/>
          <w:szCs w:val="20"/>
          <w:lang w:val="en-US"/>
        </w:rPr>
        <w:t xml:space="preserve">DOM </w:t>
      </w:r>
      <w:r>
        <w:rPr>
          <w:rFonts w:ascii="Book Antiqua" w:hAnsi="Book Antiqua" w:cs="Times New Roman"/>
          <w:color w:val="000000" w:themeColor="text1"/>
          <w:sz w:val="20"/>
          <w:szCs w:val="20"/>
          <w:lang w:val="en-US"/>
        </w:rPr>
        <w:t>offers homogeneous illumination without shadows and a 3-dimensional view, which combine to make the examination site clearer</w:t>
      </w:r>
      <w:r>
        <w:rPr>
          <w:rStyle w:val="fontstyle01"/>
          <w:rFonts w:ascii="Book Antiqua" w:hAnsi="Book Antiqua" w:cs="Times New Roman"/>
          <w:color w:val="000000" w:themeColor="text1"/>
          <w:vertAlign w:val="superscript"/>
          <w:lang w:val="en-US"/>
        </w:rPr>
        <w:t>[19,20]</w:t>
      </w:r>
      <w:r>
        <w:rPr>
          <w:rFonts w:ascii="Book Antiqua" w:hAnsi="Book Antiqua" w:cs="Times New Roman"/>
          <w:color w:val="000000" w:themeColor="text1"/>
          <w:sz w:val="20"/>
          <w:szCs w:val="20"/>
          <w:lang w:val="en-US"/>
        </w:rPr>
        <w:t xml:space="preserve">. </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bookmarkStart w:id="28" w:name="OLE_LINK7"/>
      <w:r>
        <w:rPr>
          <w:rFonts w:ascii="Book Antiqua" w:hAnsi="Book Antiqua" w:cs="Times New Roman"/>
          <w:color w:val="000000" w:themeColor="text1"/>
          <w:sz w:val="20"/>
          <w:szCs w:val="20"/>
          <w:lang w:val="en-US"/>
        </w:rPr>
        <w:t xml:space="preserve">Despite the help of CBCT and the DOM, there were still some challenges in this case. </w:t>
      </w:r>
      <w:bookmarkEnd w:id="28"/>
      <w:r>
        <w:rPr>
          <w:rFonts w:ascii="Book Antiqua" w:hAnsi="Book Antiqua" w:cs="Times New Roman"/>
          <w:color w:val="000000" w:themeColor="text1"/>
          <w:sz w:val="20"/>
          <w:szCs w:val="20"/>
          <w:lang w:val="en-US"/>
        </w:rPr>
        <w:t>One of the difficulties was how to successfully remove the invagination and reduce the damage to the main root canal wall. We were inspired by orthognathic surgery to plac</w:t>
      </w:r>
      <w:r>
        <w:rPr>
          <w:rFonts w:ascii="Book Antiqua" w:hAnsi="Book Antiqua" w:cs="Times New Roman"/>
          <w:color w:val="000000" w:themeColor="text1"/>
          <w:sz w:val="20"/>
          <w:szCs w:val="20"/>
          <w:lang w:val="en-US"/>
        </w:rPr>
        <w:t>e the ultrasound tip in the root canal of the invaginated tooth. It was expected that the force of ultrasonic vibration would be conducted to the joint between the invagination and external tooth so that the invagination could be removed. Finally, the inva</w:t>
      </w:r>
      <w:r>
        <w:rPr>
          <w:rFonts w:ascii="Book Antiqua" w:hAnsi="Book Antiqua" w:cs="Times New Roman"/>
          <w:color w:val="000000" w:themeColor="text1"/>
          <w:sz w:val="20"/>
          <w:szCs w:val="20"/>
          <w:lang w:val="en-US"/>
        </w:rPr>
        <w:t>gination was taken out in two steps, which basically conformed to the preoperative plan.</w:t>
      </w:r>
    </w:p>
    <w:p w:rsidR="00925A10" w:rsidRDefault="00FC5E1B">
      <w:pPr>
        <w:snapToGrid w:val="0"/>
        <w:spacing w:line="360" w:lineRule="auto"/>
        <w:ind w:firstLineChars="100" w:firstLine="200"/>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t xml:space="preserve">Another difficulty was the preparation of the MTA apical barrier. The tooth was characterized by absorption of the apex and </w:t>
      </w:r>
      <w:bookmarkStart w:id="29" w:name="OLE_LINK2"/>
      <w:r>
        <w:rPr>
          <w:rFonts w:ascii="Book Antiqua" w:hAnsi="Book Antiqua" w:cs="Times New Roman"/>
          <w:color w:val="000000" w:themeColor="text1"/>
          <w:sz w:val="20"/>
          <w:szCs w:val="20"/>
          <w:lang w:val="en-US"/>
        </w:rPr>
        <w:t>destruction of the apical foramen</w:t>
      </w:r>
      <w:bookmarkEnd w:id="29"/>
      <w:r>
        <w:rPr>
          <w:rFonts w:ascii="Book Antiqua" w:hAnsi="Book Antiqua" w:cs="Times New Roman"/>
          <w:color w:val="000000" w:themeColor="text1"/>
          <w:sz w:val="20"/>
          <w:szCs w:val="20"/>
          <w:lang w:val="en-US"/>
        </w:rPr>
        <w:t>. An apica</w:t>
      </w:r>
      <w:r>
        <w:rPr>
          <w:rFonts w:ascii="Book Antiqua" w:hAnsi="Book Antiqua" w:cs="Times New Roman"/>
          <w:color w:val="000000" w:themeColor="text1"/>
          <w:sz w:val="20"/>
          <w:szCs w:val="20"/>
          <w:lang w:val="en-US"/>
        </w:rPr>
        <w:t>l barrier is used in teeth with necrotic pulps, open apices, periapical radiolucencies and root resorption</w:t>
      </w:r>
      <w:r>
        <w:rPr>
          <w:rStyle w:val="fontstyle01"/>
          <w:rFonts w:ascii="Book Antiqua" w:hAnsi="Book Antiqua" w:cs="Times New Roman"/>
          <w:color w:val="000000" w:themeColor="text1"/>
          <w:vertAlign w:val="superscript"/>
          <w:lang w:val="en-US"/>
        </w:rPr>
        <w:t>[21]</w:t>
      </w:r>
      <w:r>
        <w:rPr>
          <w:rFonts w:ascii="Book Antiqua" w:hAnsi="Book Antiqua" w:cs="Times New Roman"/>
          <w:color w:val="000000" w:themeColor="text1"/>
          <w:sz w:val="20"/>
          <w:szCs w:val="20"/>
          <w:lang w:val="en-US"/>
        </w:rPr>
        <w:t>. Materials including collagen, calcium-enriched mixture cement, Biodentine and Portland cement have been reportedly used to make apical barriers</w:t>
      </w:r>
      <w:r>
        <w:rPr>
          <w:rStyle w:val="fontstyle01"/>
          <w:rFonts w:ascii="Book Antiqua" w:hAnsi="Book Antiqua" w:cs="Times New Roman"/>
          <w:color w:val="000000" w:themeColor="text1"/>
          <w:vertAlign w:val="superscript"/>
          <w:lang w:val="en-US"/>
        </w:rPr>
        <w:t>[</w:t>
      </w:r>
      <w:r>
        <w:rPr>
          <w:rStyle w:val="fontstyle01"/>
          <w:rFonts w:ascii="Book Antiqua" w:hAnsi="Book Antiqua" w:cs="Times New Roman"/>
          <w:color w:val="000000" w:themeColor="text1"/>
          <w:vertAlign w:val="superscript"/>
          <w:lang w:val="en-US"/>
        </w:rPr>
        <w:t>21]</w:t>
      </w:r>
      <w:r>
        <w:rPr>
          <w:rFonts w:ascii="Book Antiqua" w:hAnsi="Book Antiqua" w:cs="Times New Roman"/>
          <w:color w:val="000000" w:themeColor="text1"/>
          <w:sz w:val="20"/>
          <w:szCs w:val="20"/>
          <w:lang w:val="en-US"/>
        </w:rPr>
        <w:t>.</w:t>
      </w:r>
      <w:bookmarkStart w:id="30" w:name="OLE_LINK17"/>
      <w:r>
        <w:rPr>
          <w:rFonts w:ascii="Book Antiqua" w:hAnsi="Book Antiqua" w:cs="Times New Roman"/>
          <w:color w:val="000000" w:themeColor="text1"/>
          <w:sz w:val="20"/>
          <w:szCs w:val="20"/>
          <w:lang w:val="en-US"/>
        </w:rPr>
        <w:t xml:space="preserve"> </w:t>
      </w:r>
      <w:bookmarkEnd w:id="30"/>
      <w:r>
        <w:rPr>
          <w:rFonts w:ascii="Book Antiqua" w:hAnsi="Book Antiqua" w:cs="Times New Roman"/>
          <w:color w:val="000000" w:themeColor="text1"/>
          <w:sz w:val="20"/>
          <w:szCs w:val="20"/>
          <w:lang w:val="en-US"/>
        </w:rPr>
        <w:t>However, several studies with varying follow-up periods revealed that MTA as an apical barrier has a high success rate in teeth with necrotic pulps, open apices, and apical lesions</w:t>
      </w:r>
      <w:r>
        <w:rPr>
          <w:rStyle w:val="fontstyle01"/>
          <w:rFonts w:ascii="Book Antiqua" w:hAnsi="Book Antiqua" w:cs="Times New Roman"/>
          <w:color w:val="000000" w:themeColor="text1"/>
          <w:vertAlign w:val="superscript"/>
          <w:lang w:val="en-US"/>
        </w:rPr>
        <w:t>[22-26]</w:t>
      </w:r>
      <w:r>
        <w:rPr>
          <w:rFonts w:ascii="Book Antiqua" w:hAnsi="Book Antiqua" w:cs="Times New Roman"/>
          <w:color w:val="000000" w:themeColor="text1"/>
          <w:sz w:val="20"/>
          <w:szCs w:val="20"/>
          <w:lang w:val="en-US"/>
        </w:rPr>
        <w:t>. MTA is characterized by hard tissue conductivity</w:t>
      </w:r>
      <w:r>
        <w:rPr>
          <w:rStyle w:val="fontstyle01"/>
          <w:rFonts w:ascii="Book Antiqua" w:hAnsi="Book Antiqua" w:cs="Times New Roman"/>
          <w:color w:val="000000" w:themeColor="text1"/>
          <w:vertAlign w:val="superscript"/>
          <w:lang w:val="en-US"/>
        </w:rPr>
        <w:t>[27]</w:t>
      </w:r>
      <w:r>
        <w:rPr>
          <w:rFonts w:ascii="Book Antiqua" w:hAnsi="Book Antiqua" w:cs="Times New Roman"/>
          <w:color w:val="000000" w:themeColor="text1"/>
          <w:sz w:val="20"/>
          <w:szCs w:val="20"/>
          <w:lang w:val="en-US"/>
        </w:rPr>
        <w:t xml:space="preserve"> and biocompatibility</w:t>
      </w:r>
      <w:r>
        <w:rPr>
          <w:rStyle w:val="fontstyle01"/>
          <w:rFonts w:ascii="Book Antiqua" w:hAnsi="Book Antiqua" w:cs="Times New Roman"/>
          <w:color w:val="000000" w:themeColor="text1"/>
          <w:vertAlign w:val="superscript"/>
          <w:lang w:val="en-US"/>
        </w:rPr>
        <w:t>[28]</w:t>
      </w:r>
      <w:r>
        <w:rPr>
          <w:rFonts w:ascii="Book Antiqua" w:hAnsi="Book Antiqua" w:cs="Times New Roman"/>
          <w:color w:val="000000" w:themeColor="text1"/>
          <w:sz w:val="20"/>
          <w:szCs w:val="20"/>
          <w:lang w:val="en-US"/>
        </w:rPr>
        <w:t xml:space="preserve"> and has been recognized as a bioactive material. The main components of MTA are tricalcium silicate, tricalcium aluminate, calcium silicate, and tetracalcium aluminoferrite</w:t>
      </w:r>
      <w:r>
        <w:rPr>
          <w:rStyle w:val="fontstyle01"/>
          <w:rFonts w:ascii="Book Antiqua" w:hAnsi="Book Antiqua" w:cs="Times New Roman"/>
          <w:color w:val="000000" w:themeColor="text1"/>
          <w:vertAlign w:val="superscript"/>
          <w:lang w:val="en-US"/>
        </w:rPr>
        <w:t>[29]</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shd w:val="clear" w:color="auto" w:fill="FFFFFF"/>
          <w:lang w:val="en-US"/>
        </w:rPr>
        <w:t xml:space="preserve">MTA is a type of hydraulic </w:t>
      </w:r>
      <w:r>
        <w:rPr>
          <w:rFonts w:ascii="Book Antiqua" w:hAnsi="Book Antiqua" w:cs="Times New Roman"/>
          <w:color w:val="000000" w:themeColor="text1"/>
          <w:sz w:val="20"/>
          <w:szCs w:val="20"/>
          <w:shd w:val="clear" w:color="auto" w:fill="FFFFFF"/>
          <w:lang w:val="en-US"/>
        </w:rPr>
        <w:lastRenderedPageBreak/>
        <w:t>cement. Its powder contai</w:t>
      </w:r>
      <w:r>
        <w:rPr>
          <w:rFonts w:ascii="Book Antiqua" w:hAnsi="Book Antiqua" w:cs="Times New Roman"/>
          <w:color w:val="000000" w:themeColor="text1"/>
          <w:sz w:val="20"/>
          <w:szCs w:val="20"/>
          <w:shd w:val="clear" w:color="auto" w:fill="FFFFFF"/>
          <w:lang w:val="en-US"/>
        </w:rPr>
        <w:t>ns small hydrophilic particles, which can</w:t>
      </w:r>
      <w:r>
        <w:rPr>
          <w:rFonts w:ascii="Book Antiqua" w:hAnsi="Book Antiqua" w:cs="Times New Roman"/>
          <w:color w:val="000000" w:themeColor="text1"/>
          <w:sz w:val="20"/>
          <w:szCs w:val="20"/>
          <w:lang w:val="en-US"/>
        </w:rPr>
        <w:t xml:space="preserve"> interact with the natural fluids present in tissues</w:t>
      </w:r>
      <w:r>
        <w:rPr>
          <w:rStyle w:val="fontstyle01"/>
          <w:rFonts w:ascii="Book Antiqua" w:hAnsi="Book Antiqua" w:cs="Times New Roman"/>
          <w:color w:val="000000" w:themeColor="text1"/>
          <w:vertAlign w:val="superscript"/>
          <w:lang w:val="en-US"/>
        </w:rPr>
        <w:t>[30]</w:t>
      </w:r>
      <w:r>
        <w:rPr>
          <w:rFonts w:ascii="Book Antiqua" w:hAnsi="Book Antiqua" w:cs="Times New Roman"/>
          <w:color w:val="000000" w:themeColor="text1"/>
          <w:sz w:val="20"/>
          <w:szCs w:val="20"/>
          <w:lang w:val="en-US"/>
        </w:rPr>
        <w:t xml:space="preserve">. </w:t>
      </w:r>
      <w:bookmarkStart w:id="31" w:name="OLE_LINK34"/>
      <w:bookmarkStart w:id="32" w:name="OLE_LINK33"/>
      <w:r>
        <w:rPr>
          <w:rFonts w:ascii="Book Antiqua" w:hAnsi="Book Antiqua" w:cs="Times New Roman"/>
          <w:color w:val="000000" w:themeColor="text1"/>
          <w:sz w:val="20"/>
          <w:szCs w:val="20"/>
          <w:shd w:val="clear" w:color="auto" w:fill="FFFFFF"/>
          <w:lang w:val="en-US"/>
        </w:rPr>
        <w:t>The MTA barrier also has the advantages of reducing clinical time cost and early safe tooth restoration</w:t>
      </w:r>
      <w:bookmarkEnd w:id="31"/>
      <w:bookmarkEnd w:id="32"/>
      <w:r>
        <w:rPr>
          <w:rStyle w:val="fontstyle01"/>
          <w:rFonts w:ascii="Book Antiqua" w:hAnsi="Book Antiqua" w:cs="Times New Roman"/>
          <w:color w:val="000000" w:themeColor="text1"/>
          <w:vertAlign w:val="superscript"/>
          <w:lang w:val="en-US"/>
        </w:rPr>
        <w:t>[21]</w:t>
      </w:r>
      <w:r>
        <w:rPr>
          <w:rFonts w:ascii="Book Antiqua" w:hAnsi="Book Antiqua" w:cs="Times New Roman"/>
          <w:color w:val="000000" w:themeColor="text1"/>
          <w:sz w:val="20"/>
          <w:szCs w:val="20"/>
          <w:shd w:val="clear" w:color="auto" w:fill="FFFFFF"/>
          <w:lang w:val="en-US"/>
        </w:rPr>
        <w:t>. In this case, we chose MTA as the apical barrier</w:t>
      </w:r>
      <w:r>
        <w:rPr>
          <w:rFonts w:ascii="Book Antiqua" w:hAnsi="Book Antiqua" w:cs="Times New Roman"/>
          <w:color w:val="000000" w:themeColor="text1"/>
          <w:sz w:val="20"/>
          <w:szCs w:val="20"/>
          <w:shd w:val="clear" w:color="auto" w:fill="FFFFFF"/>
          <w:lang w:val="en-US"/>
        </w:rPr>
        <w:t xml:space="preserve"> material. </w:t>
      </w:r>
      <w:r>
        <w:rPr>
          <w:rFonts w:ascii="Book Antiqua" w:hAnsi="Book Antiqua" w:cs="Times New Roman"/>
          <w:color w:val="000000" w:themeColor="text1"/>
          <w:sz w:val="20"/>
          <w:szCs w:val="20"/>
          <w:lang w:val="en-US"/>
        </w:rPr>
        <w:t>The pulsatile exudation of the apex could be seen under the DOM, which made placement of the MTA apical barrier difficult. During the apical barrier operation, the exudation liquid was aspirated with a syringe while filling the MTA. Finally, the</w:t>
      </w:r>
      <w:r>
        <w:rPr>
          <w:rFonts w:ascii="Book Antiqua" w:hAnsi="Book Antiqua" w:cs="Times New Roman"/>
          <w:color w:val="000000" w:themeColor="text1"/>
          <w:sz w:val="20"/>
          <w:szCs w:val="20"/>
          <w:lang w:val="en-US"/>
        </w:rPr>
        <w:t xml:space="preserve"> material was compacted by ultrasonic vibration to improve the sealing performance. </w:t>
      </w:r>
      <w:r>
        <w:rPr>
          <w:rFonts w:ascii="Book Antiqua" w:hAnsi="Book Antiqua" w:cs="Times New Roman"/>
          <w:color w:val="000000" w:themeColor="text1"/>
          <w:sz w:val="20"/>
          <w:szCs w:val="20"/>
          <w:shd w:val="clear" w:color="auto" w:fill="FFFFFF"/>
          <w:lang w:val="en-US"/>
        </w:rPr>
        <w:t xml:space="preserve">At the same time, the depth of the </w:t>
      </w:r>
      <w:r>
        <w:rPr>
          <w:rFonts w:ascii="Book Antiqua" w:hAnsi="Book Antiqua" w:cs="Times New Roman"/>
          <w:color w:val="000000" w:themeColor="text1"/>
          <w:sz w:val="20"/>
          <w:szCs w:val="20"/>
          <w:lang w:val="en-US"/>
        </w:rPr>
        <w:t>thermoplastic gutta-percha</w:t>
      </w:r>
      <w:r>
        <w:rPr>
          <w:rFonts w:ascii="Book Antiqua" w:hAnsi="Book Antiqua" w:cs="Times New Roman"/>
          <w:color w:val="000000" w:themeColor="text1"/>
          <w:sz w:val="20"/>
          <w:szCs w:val="20"/>
          <w:shd w:val="clear" w:color="auto" w:fill="FFFFFF"/>
          <w:lang w:val="en-US"/>
        </w:rPr>
        <w:t xml:space="preserve"> was controlled at the level of the alveolar ridge, to leave enough depth and space for the resin to make up fo</w:t>
      </w:r>
      <w:r>
        <w:rPr>
          <w:rFonts w:ascii="Book Antiqua" w:hAnsi="Book Antiqua" w:cs="Times New Roman"/>
          <w:color w:val="000000" w:themeColor="text1"/>
          <w:sz w:val="20"/>
          <w:szCs w:val="20"/>
          <w:shd w:val="clear" w:color="auto" w:fill="FFFFFF"/>
          <w:lang w:val="en-US"/>
        </w:rPr>
        <w:t xml:space="preserve">r the loss of dentin. Therefore, the resistance of the tooth could be improved. </w:t>
      </w:r>
      <w:r>
        <w:rPr>
          <w:rFonts w:ascii="Book Antiqua" w:hAnsi="Book Antiqua" w:cs="Times New Roman"/>
          <w:color w:val="000000" w:themeColor="text1"/>
          <w:sz w:val="20"/>
          <w:szCs w:val="20"/>
          <w:lang w:val="en-US"/>
        </w:rPr>
        <w:t>The follow-up examinations demonstrated that the treatment of the invagination was successful because radiographs showed that the apical radiolucency had been reduced and the</w:t>
      </w:r>
      <w:bookmarkStart w:id="33" w:name="OLE_LINK3"/>
      <w:r>
        <w:rPr>
          <w:rFonts w:ascii="Book Antiqua" w:hAnsi="Book Antiqua" w:cs="Times New Roman"/>
          <w:color w:val="000000" w:themeColor="text1"/>
          <w:sz w:val="20"/>
          <w:szCs w:val="20"/>
          <w:lang w:val="en-US"/>
        </w:rPr>
        <w:t xml:space="preserve"> b</w:t>
      </w:r>
      <w:r>
        <w:rPr>
          <w:rFonts w:ascii="Book Antiqua" w:hAnsi="Book Antiqua" w:cs="Times New Roman"/>
          <w:color w:val="000000" w:themeColor="text1"/>
          <w:sz w:val="20"/>
          <w:szCs w:val="20"/>
          <w:lang w:val="en-US"/>
        </w:rPr>
        <w:t>one trabecular</w:t>
      </w:r>
      <w:bookmarkEnd w:id="33"/>
      <w:r>
        <w:rPr>
          <w:rFonts w:ascii="Book Antiqua" w:hAnsi="Book Antiqua" w:cs="Times New Roman"/>
          <w:color w:val="000000" w:themeColor="text1"/>
          <w:sz w:val="20"/>
          <w:szCs w:val="20"/>
          <w:lang w:val="en-US"/>
        </w:rPr>
        <w:t xml:space="preserve"> structure was visible.</w:t>
      </w:r>
    </w:p>
    <w:p w:rsidR="00925A10" w:rsidRDefault="00925A10">
      <w:pPr>
        <w:snapToGrid w:val="0"/>
        <w:spacing w:line="360" w:lineRule="auto"/>
        <w:ind w:firstLineChars="300" w:firstLine="600"/>
        <w:rPr>
          <w:rFonts w:ascii="Book Antiqua" w:hAnsi="Book Antiqua" w:cs="Times New Roman"/>
          <w:color w:val="000000" w:themeColor="text1"/>
          <w:sz w:val="20"/>
          <w:szCs w:val="20"/>
          <w:lang w:val="en-US"/>
        </w:rPr>
      </w:pPr>
    </w:p>
    <w:p w:rsidR="00925A10" w:rsidRDefault="00FC5E1B">
      <w:pPr>
        <w:autoSpaceDE w:val="0"/>
        <w:autoSpaceDN w:val="0"/>
        <w:adjustRightInd w:val="0"/>
        <w:snapToGrid w:val="0"/>
        <w:spacing w:line="360" w:lineRule="auto"/>
        <w:rPr>
          <w:rFonts w:ascii="Book Antiqua" w:hAnsi="Book Antiqua" w:cs="Times New Roman"/>
          <w:b/>
          <w:color w:val="000000" w:themeColor="text1"/>
          <w:sz w:val="20"/>
          <w:szCs w:val="20"/>
          <w:u w:val="single"/>
          <w:lang w:val="en-US"/>
        </w:rPr>
      </w:pPr>
      <w:r>
        <w:rPr>
          <w:rFonts w:ascii="Book Antiqua" w:hAnsi="Book Antiqua" w:cs="Times New Roman"/>
          <w:b/>
          <w:color w:val="000000" w:themeColor="text1"/>
          <w:sz w:val="20"/>
          <w:szCs w:val="20"/>
          <w:u w:val="single"/>
          <w:lang w:val="en-US"/>
        </w:rPr>
        <w:t>CONCLUSION</w:t>
      </w:r>
    </w:p>
    <w:p w:rsidR="00925A10" w:rsidRDefault="00FC5E1B">
      <w:pPr>
        <w:autoSpaceDE w:val="0"/>
        <w:autoSpaceDN w:val="0"/>
        <w:adjustRightInd w:val="0"/>
        <w:snapToGrid w:val="0"/>
        <w:spacing w:line="360" w:lineRule="auto"/>
        <w:rPr>
          <w:rFonts w:ascii="Book Antiqua" w:hAnsi="Book Antiqua" w:cs="Times New Roman"/>
          <w:bCs/>
          <w:color w:val="000000" w:themeColor="text1"/>
          <w:sz w:val="20"/>
          <w:szCs w:val="20"/>
          <w:lang w:val="en-US"/>
        </w:rPr>
      </w:pPr>
      <w:bookmarkStart w:id="34" w:name="OLE_LINK25"/>
      <w:r>
        <w:rPr>
          <w:rFonts w:ascii="Book Antiqua" w:hAnsi="Book Antiqua" w:cs="Times New Roman"/>
          <w:bCs/>
          <w:color w:val="000000" w:themeColor="text1"/>
          <w:sz w:val="20"/>
          <w:szCs w:val="20"/>
          <w:lang w:val="en-US"/>
        </w:rPr>
        <w:t>The article reported a type</w:t>
      </w:r>
      <w:r>
        <w:rPr>
          <w:rFonts w:ascii="Book Antiqua" w:hAnsi="Book Antiqua" w:cs="Times New Roman"/>
          <w:bCs/>
          <w:color w:val="000000" w:themeColor="text1"/>
          <w:sz w:val="20"/>
          <w:szCs w:val="20"/>
          <w:lang w:val="en-US"/>
        </w:rPr>
        <w:t xml:space="preserve"> III</w:t>
      </w:r>
      <w:r>
        <w:rPr>
          <w:rFonts w:ascii="Book Antiqua" w:hAnsi="Book Antiqua" w:cs="Times New Roman"/>
          <w:bCs/>
          <w:color w:val="000000" w:themeColor="text1"/>
          <w:sz w:val="20"/>
          <w:szCs w:val="20"/>
          <w:lang w:val="en-US"/>
        </w:rPr>
        <w:t xml:space="preserve"> </w:t>
      </w:r>
      <w:r>
        <w:rPr>
          <w:rFonts w:ascii="Book Antiqua" w:hAnsi="Book Antiqua" w:cs="Times New Roman"/>
          <w:bCs/>
          <w:color w:val="000000" w:themeColor="text1"/>
          <w:sz w:val="20"/>
          <w:szCs w:val="20"/>
          <w:lang w:val="en-US"/>
        </w:rPr>
        <w:t>DI treated by removing the invagination combined with an MTA apical barrier</w:t>
      </w:r>
      <w:bookmarkEnd w:id="34"/>
      <w:r>
        <w:rPr>
          <w:rFonts w:ascii="Book Antiqua" w:hAnsi="Book Antiqua" w:cs="Times New Roman"/>
          <w:bCs/>
          <w:color w:val="000000" w:themeColor="text1"/>
          <w:sz w:val="20"/>
          <w:szCs w:val="20"/>
          <w:lang w:val="en-US"/>
        </w:rPr>
        <w:t xml:space="preserve">. A follow-up of 26 mo revealed satisfactory healing of the soft tissue and bone of the </w:t>
      </w:r>
      <w:r>
        <w:rPr>
          <w:rFonts w:ascii="Book Antiqua" w:hAnsi="Book Antiqua" w:cs="Times New Roman"/>
          <w:bCs/>
          <w:color w:val="000000" w:themeColor="text1"/>
          <w:sz w:val="20"/>
          <w:szCs w:val="20"/>
          <w:lang w:val="en-US"/>
        </w:rPr>
        <w:t>periapical lesion, but the long-term efficacy still should be observed.</w:t>
      </w:r>
    </w:p>
    <w:p w:rsidR="00925A10" w:rsidRDefault="00925A10">
      <w:pPr>
        <w:snapToGrid w:val="0"/>
        <w:spacing w:line="360" w:lineRule="auto"/>
        <w:rPr>
          <w:rFonts w:ascii="Book Antiqua" w:hAnsi="Book Antiqua" w:cs="Times New Roman"/>
          <w:color w:val="000000" w:themeColor="text1"/>
          <w:sz w:val="20"/>
          <w:szCs w:val="20"/>
          <w:lang w:val="en-US"/>
        </w:rPr>
      </w:pP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b/>
          <w:bCs/>
          <w:color w:val="000000" w:themeColor="text1"/>
          <w:sz w:val="20"/>
          <w:szCs w:val="20"/>
          <w:lang w:val="en-US"/>
        </w:rPr>
        <w:t>REFERENCES</w:t>
      </w:r>
    </w:p>
    <w:p w:rsidR="00925A10" w:rsidRDefault="00FC5E1B">
      <w:pPr>
        <w:snapToGrid w:val="0"/>
        <w:spacing w:line="360" w:lineRule="auto"/>
        <w:rPr>
          <w:rFonts w:ascii="Book Antiqua" w:hAnsi="Book Antiqua"/>
          <w:color w:val="000000" w:themeColor="text1"/>
          <w:sz w:val="20"/>
          <w:szCs w:val="20"/>
          <w:lang w:val="en-US"/>
        </w:rPr>
      </w:pPr>
      <w:bookmarkStart w:id="35" w:name="_GoBack"/>
      <w:r w:rsidRPr="00116C8D">
        <w:rPr>
          <w:rFonts w:ascii="Book Antiqua" w:hAnsi="Book Antiqua"/>
          <w:color w:val="000000" w:themeColor="text1"/>
          <w:sz w:val="20"/>
          <w:szCs w:val="20"/>
          <w:highlight w:val="yellow"/>
          <w:lang w:val="en-US"/>
        </w:rPr>
        <w:t xml:space="preserve">1 </w:t>
      </w:r>
      <w:r w:rsidRPr="00116C8D">
        <w:rPr>
          <w:rFonts w:ascii="Book Antiqua" w:hAnsi="Book Antiqua"/>
          <w:b/>
          <w:color w:val="000000" w:themeColor="text1"/>
          <w:sz w:val="20"/>
          <w:szCs w:val="20"/>
          <w:highlight w:val="yellow"/>
          <w:lang w:val="en-US"/>
        </w:rPr>
        <w:t>Shafer WG,</w:t>
      </w:r>
      <w:r w:rsidRPr="00116C8D">
        <w:rPr>
          <w:rFonts w:ascii="Book Antiqua" w:hAnsi="Book Antiqua"/>
          <w:color w:val="000000" w:themeColor="text1"/>
          <w:sz w:val="20"/>
          <w:szCs w:val="20"/>
          <w:highlight w:val="yellow"/>
          <w:lang w:val="en-US"/>
        </w:rPr>
        <w:t xml:space="preserve"> Hine MK, Levy BM. A Text-Book of Oral Pathology. 4th ed. Philadelphia: W.B. Saunders Company, 1983: 2</w:t>
      </w:r>
      <w:bookmarkEnd w:id="35"/>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 </w:t>
      </w:r>
      <w:r>
        <w:rPr>
          <w:rFonts w:ascii="Book Antiqua" w:hAnsi="Book Antiqua"/>
          <w:b/>
          <w:color w:val="000000" w:themeColor="text1"/>
          <w:sz w:val="20"/>
          <w:szCs w:val="20"/>
          <w:lang w:val="en-US"/>
        </w:rPr>
        <w:t>Hülsmann M</w:t>
      </w:r>
      <w:r>
        <w:rPr>
          <w:rFonts w:ascii="Book Antiqua" w:hAnsi="Book Antiqua"/>
          <w:color w:val="000000" w:themeColor="text1"/>
          <w:sz w:val="20"/>
          <w:szCs w:val="20"/>
          <w:lang w:val="en-US"/>
        </w:rPr>
        <w:t xml:space="preserve">. Dens invaginatus: aetiology, classification, prevalence, diagnosis, and treatment considerations.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1997; </w:t>
      </w:r>
      <w:r>
        <w:rPr>
          <w:rFonts w:ascii="Book Antiqua" w:hAnsi="Book Antiqua"/>
          <w:b/>
          <w:color w:val="000000" w:themeColor="text1"/>
          <w:sz w:val="20"/>
          <w:szCs w:val="20"/>
          <w:lang w:val="en-US"/>
        </w:rPr>
        <w:t>30</w:t>
      </w:r>
      <w:r>
        <w:rPr>
          <w:rFonts w:ascii="Book Antiqua" w:hAnsi="Book Antiqua"/>
          <w:color w:val="000000" w:themeColor="text1"/>
          <w:sz w:val="20"/>
          <w:szCs w:val="20"/>
          <w:lang w:val="en-US"/>
        </w:rPr>
        <w:t>: 79-90 [PMID: 10332241 DOI: 10.1046/j.1365-2591.1997.00065.x]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3 </w:t>
      </w:r>
      <w:r>
        <w:rPr>
          <w:rFonts w:ascii="Book Antiqua" w:hAnsi="Book Antiqua"/>
          <w:b/>
          <w:color w:val="000000" w:themeColor="text1"/>
          <w:sz w:val="20"/>
          <w:szCs w:val="20"/>
          <w:lang w:val="en-US"/>
        </w:rPr>
        <w:t>Alani A</w:t>
      </w:r>
      <w:r>
        <w:rPr>
          <w:rFonts w:ascii="Book Antiqua" w:hAnsi="Book Antiqua"/>
          <w:color w:val="000000" w:themeColor="text1"/>
          <w:sz w:val="20"/>
          <w:szCs w:val="20"/>
          <w:lang w:val="en-US"/>
        </w:rPr>
        <w:t>, Bishop K. Dens invaginatus. Part 1: classification, prevalence</w:t>
      </w:r>
      <w:r>
        <w:rPr>
          <w:rFonts w:ascii="Book Antiqua" w:hAnsi="Book Antiqua"/>
          <w:color w:val="000000" w:themeColor="text1"/>
          <w:sz w:val="20"/>
          <w:szCs w:val="20"/>
          <w:lang w:val="en-US"/>
        </w:rPr>
        <w:t xml:space="preserve"> and aetiology.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2008; </w:t>
      </w:r>
      <w:r>
        <w:rPr>
          <w:rFonts w:ascii="Book Antiqua" w:hAnsi="Book Antiqua"/>
          <w:b/>
          <w:color w:val="000000" w:themeColor="text1"/>
          <w:sz w:val="20"/>
          <w:szCs w:val="20"/>
          <w:lang w:val="en-US"/>
        </w:rPr>
        <w:t>41</w:t>
      </w:r>
      <w:r>
        <w:rPr>
          <w:rFonts w:ascii="Book Antiqua" w:hAnsi="Book Antiqua"/>
          <w:color w:val="000000" w:themeColor="text1"/>
          <w:sz w:val="20"/>
          <w:szCs w:val="20"/>
          <w:lang w:val="en-US"/>
        </w:rPr>
        <w:t>: 1123-1136 [PMID: 19133103 DOI: 10.1111/j.1365-2591.2008.01468.x]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4 </w:t>
      </w:r>
      <w:r>
        <w:rPr>
          <w:rFonts w:ascii="Book Antiqua" w:hAnsi="Book Antiqua"/>
          <w:b/>
          <w:color w:val="000000" w:themeColor="text1"/>
          <w:sz w:val="20"/>
          <w:szCs w:val="20"/>
          <w:lang w:val="en-US"/>
        </w:rPr>
        <w:t>OEHLERS FA</w:t>
      </w:r>
      <w:r>
        <w:rPr>
          <w:rFonts w:ascii="Book Antiqua" w:hAnsi="Book Antiqua"/>
          <w:color w:val="000000" w:themeColor="text1"/>
          <w:sz w:val="20"/>
          <w:szCs w:val="20"/>
          <w:lang w:val="en-US"/>
        </w:rPr>
        <w:t xml:space="preserve">. Dens invaginatus (dilated composite odontome). I. Variations of the invagination process and associated anterior crown forms. </w:t>
      </w:r>
      <w:r>
        <w:rPr>
          <w:rFonts w:ascii="Book Antiqua" w:hAnsi="Book Antiqua"/>
          <w:i/>
          <w:color w:val="000000" w:themeColor="text1"/>
          <w:sz w:val="20"/>
          <w:szCs w:val="20"/>
          <w:lang w:val="en-US"/>
        </w:rPr>
        <w:t>Oral Surg Ora</w:t>
      </w:r>
      <w:r>
        <w:rPr>
          <w:rFonts w:ascii="Book Antiqua" w:hAnsi="Book Antiqua"/>
          <w:i/>
          <w:color w:val="000000" w:themeColor="text1"/>
          <w:sz w:val="20"/>
          <w:szCs w:val="20"/>
          <w:lang w:val="en-US"/>
        </w:rPr>
        <w:t>l Med Oral Pathol</w:t>
      </w:r>
      <w:r>
        <w:rPr>
          <w:rFonts w:ascii="Book Antiqua" w:hAnsi="Book Antiqua"/>
          <w:color w:val="000000" w:themeColor="text1"/>
          <w:sz w:val="20"/>
          <w:szCs w:val="20"/>
          <w:lang w:val="en-US"/>
        </w:rPr>
        <w:t xml:space="preserve"> 1957; </w:t>
      </w:r>
      <w:r>
        <w:rPr>
          <w:rFonts w:ascii="Book Antiqua" w:hAnsi="Book Antiqua"/>
          <w:b/>
          <w:color w:val="000000" w:themeColor="text1"/>
          <w:sz w:val="20"/>
          <w:szCs w:val="20"/>
          <w:lang w:val="en-US"/>
        </w:rPr>
        <w:t>10</w:t>
      </w:r>
      <w:r>
        <w:rPr>
          <w:rFonts w:ascii="Book Antiqua" w:hAnsi="Book Antiqua"/>
          <w:color w:val="000000" w:themeColor="text1"/>
          <w:sz w:val="20"/>
          <w:szCs w:val="20"/>
          <w:lang w:val="en-US"/>
        </w:rPr>
        <w:t>: 1204-18 contd [PMID: 13477660 DOI: 10.1016/0030-4220(57)90077-4]</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5 </w:t>
      </w:r>
      <w:r>
        <w:rPr>
          <w:rFonts w:ascii="Book Antiqua" w:hAnsi="Book Antiqua"/>
          <w:b/>
          <w:color w:val="000000" w:themeColor="text1"/>
          <w:sz w:val="20"/>
          <w:szCs w:val="20"/>
          <w:lang w:val="en-US"/>
        </w:rPr>
        <w:t>Cakici F</w:t>
      </w:r>
      <w:r>
        <w:rPr>
          <w:rFonts w:ascii="Book Antiqua" w:hAnsi="Book Antiqua"/>
          <w:color w:val="000000" w:themeColor="text1"/>
          <w:sz w:val="20"/>
          <w:szCs w:val="20"/>
          <w:lang w:val="en-US"/>
        </w:rPr>
        <w:t xml:space="preserve">, Celikoglu M, Arslan H, Topcuoglu HS, Erdogan AS. Assessment of the prevalence and characteristics of dens invaginatus in a sample of Turkish Anatolian </w:t>
      </w:r>
      <w:r>
        <w:rPr>
          <w:rFonts w:ascii="Book Antiqua" w:hAnsi="Book Antiqua"/>
          <w:color w:val="000000" w:themeColor="text1"/>
          <w:sz w:val="20"/>
          <w:szCs w:val="20"/>
          <w:lang w:val="en-US"/>
        </w:rPr>
        <w:t xml:space="preserve">population. </w:t>
      </w:r>
      <w:r>
        <w:rPr>
          <w:rFonts w:ascii="Book Antiqua" w:hAnsi="Book Antiqua"/>
          <w:i/>
          <w:color w:val="000000" w:themeColor="text1"/>
          <w:sz w:val="20"/>
          <w:szCs w:val="20"/>
          <w:lang w:val="en-US"/>
        </w:rPr>
        <w:t>Med Oral Patol Oral Cir Bucal</w:t>
      </w:r>
      <w:r>
        <w:rPr>
          <w:rFonts w:ascii="Book Antiqua" w:hAnsi="Book Antiqua"/>
          <w:color w:val="000000" w:themeColor="text1"/>
          <w:sz w:val="20"/>
          <w:szCs w:val="20"/>
          <w:lang w:val="en-US"/>
        </w:rPr>
        <w:t xml:space="preserve"> 2010; </w:t>
      </w:r>
      <w:r>
        <w:rPr>
          <w:rFonts w:ascii="Book Antiqua" w:hAnsi="Book Antiqua"/>
          <w:b/>
          <w:color w:val="000000" w:themeColor="text1"/>
          <w:sz w:val="20"/>
          <w:szCs w:val="20"/>
          <w:lang w:val="en-US"/>
        </w:rPr>
        <w:t>15</w:t>
      </w:r>
      <w:r>
        <w:rPr>
          <w:rFonts w:ascii="Book Antiqua" w:hAnsi="Book Antiqua"/>
          <w:color w:val="000000" w:themeColor="text1"/>
          <w:sz w:val="20"/>
          <w:szCs w:val="20"/>
          <w:lang w:val="en-US"/>
        </w:rPr>
        <w:t>: e855-e858 [PMID: 20526277 DOI: 10.4317/medoral.15.e855]</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6 </w:t>
      </w:r>
      <w:r>
        <w:rPr>
          <w:rFonts w:ascii="Book Antiqua" w:hAnsi="Book Antiqua"/>
          <w:b/>
          <w:color w:val="000000" w:themeColor="text1"/>
          <w:sz w:val="20"/>
          <w:szCs w:val="20"/>
          <w:lang w:val="en-US"/>
        </w:rPr>
        <w:t>Rotstein I</w:t>
      </w:r>
      <w:r>
        <w:rPr>
          <w:rFonts w:ascii="Book Antiqua" w:hAnsi="Book Antiqua"/>
          <w:color w:val="000000" w:themeColor="text1"/>
          <w:sz w:val="20"/>
          <w:szCs w:val="20"/>
          <w:lang w:val="en-US"/>
        </w:rPr>
        <w:t xml:space="preserve">, Stabholz A, Heling I, Friedman S. Clinical considerations in the treatment of dens invaginatus. </w:t>
      </w:r>
      <w:r>
        <w:rPr>
          <w:rFonts w:ascii="Book Antiqua" w:hAnsi="Book Antiqua"/>
          <w:i/>
          <w:color w:val="000000" w:themeColor="text1"/>
          <w:sz w:val="20"/>
          <w:szCs w:val="20"/>
          <w:lang w:val="en-US"/>
        </w:rPr>
        <w:t>Endod Dent Traumatol</w:t>
      </w:r>
      <w:r>
        <w:rPr>
          <w:rFonts w:ascii="Book Antiqua" w:hAnsi="Book Antiqua"/>
          <w:color w:val="000000" w:themeColor="text1"/>
          <w:sz w:val="20"/>
          <w:szCs w:val="20"/>
          <w:lang w:val="en-US"/>
        </w:rPr>
        <w:t xml:space="preserve"> 1987; </w:t>
      </w:r>
      <w:r>
        <w:rPr>
          <w:rFonts w:ascii="Book Antiqua" w:hAnsi="Book Antiqua"/>
          <w:b/>
          <w:color w:val="000000" w:themeColor="text1"/>
          <w:sz w:val="20"/>
          <w:szCs w:val="20"/>
          <w:lang w:val="en-US"/>
        </w:rPr>
        <w:t>3</w:t>
      </w:r>
      <w:r>
        <w:rPr>
          <w:rFonts w:ascii="Book Antiqua" w:hAnsi="Book Antiqua"/>
          <w:color w:val="000000" w:themeColor="text1"/>
          <w:sz w:val="20"/>
          <w:szCs w:val="20"/>
          <w:lang w:val="en-US"/>
        </w:rPr>
        <w:t xml:space="preserve">: 249-254 </w:t>
      </w:r>
      <w:r>
        <w:rPr>
          <w:rFonts w:ascii="Book Antiqua" w:hAnsi="Book Antiqua"/>
          <w:color w:val="000000" w:themeColor="text1"/>
          <w:sz w:val="20"/>
          <w:szCs w:val="20"/>
          <w:lang w:val="en-US"/>
        </w:rPr>
        <w:t>[PMID: 3479324 DOI: 10.1111/j.1600-9657.1987.tb00632.x]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7 </w:t>
      </w:r>
      <w:r>
        <w:rPr>
          <w:rFonts w:ascii="Book Antiqua" w:hAnsi="Book Antiqua"/>
          <w:b/>
          <w:color w:val="000000" w:themeColor="text1"/>
          <w:sz w:val="20"/>
          <w:szCs w:val="20"/>
          <w:lang w:val="en-US"/>
        </w:rPr>
        <w:t>Jaramillo A</w:t>
      </w:r>
      <w:r>
        <w:rPr>
          <w:rFonts w:ascii="Book Antiqua" w:hAnsi="Book Antiqua"/>
          <w:color w:val="000000" w:themeColor="text1"/>
          <w:sz w:val="20"/>
          <w:szCs w:val="20"/>
          <w:lang w:val="en-US"/>
        </w:rPr>
        <w:t xml:space="preserve">, Fernández R, Villa P. Endodontic treatment of dens invaginatus: a 5-year follow-up. </w:t>
      </w:r>
      <w:r>
        <w:rPr>
          <w:rFonts w:ascii="Book Antiqua" w:hAnsi="Book Antiqua"/>
          <w:i/>
          <w:color w:val="000000" w:themeColor="text1"/>
          <w:sz w:val="20"/>
          <w:szCs w:val="20"/>
          <w:lang w:val="en-US"/>
        </w:rPr>
        <w:t>Oral Surg Oral Med Oral Pathol Oral Radiol Endod</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101</w:t>
      </w:r>
      <w:r>
        <w:rPr>
          <w:rFonts w:ascii="Book Antiqua" w:hAnsi="Book Antiqua"/>
          <w:color w:val="000000" w:themeColor="text1"/>
          <w:sz w:val="20"/>
          <w:szCs w:val="20"/>
          <w:lang w:val="en-US"/>
        </w:rPr>
        <w:t xml:space="preserve">: e15-e21 [PMID: 16360600 DOI: </w:t>
      </w:r>
      <w:r>
        <w:rPr>
          <w:rFonts w:ascii="Book Antiqua" w:hAnsi="Book Antiqua"/>
          <w:color w:val="000000" w:themeColor="text1"/>
          <w:sz w:val="20"/>
          <w:szCs w:val="20"/>
          <w:lang w:val="en-US"/>
        </w:rPr>
        <w:t>10.1016/j.tripleo.2005.08.008]</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lastRenderedPageBreak/>
        <w:t xml:space="preserve">8 </w:t>
      </w:r>
      <w:r>
        <w:rPr>
          <w:rFonts w:ascii="Book Antiqua" w:hAnsi="Book Antiqua"/>
          <w:b/>
          <w:color w:val="000000" w:themeColor="text1"/>
          <w:sz w:val="20"/>
          <w:szCs w:val="20"/>
          <w:lang w:val="en-US"/>
        </w:rPr>
        <w:t>Hovland EJ</w:t>
      </w:r>
      <w:r>
        <w:rPr>
          <w:rFonts w:ascii="Book Antiqua" w:hAnsi="Book Antiqua"/>
          <w:color w:val="000000" w:themeColor="text1"/>
          <w:sz w:val="20"/>
          <w:szCs w:val="20"/>
          <w:lang w:val="en-US"/>
        </w:rPr>
        <w:t xml:space="preserve">, Block RM. Nonrecognition and subsequent endodontic treatment of dens invaginatus.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1977; </w:t>
      </w:r>
      <w:r>
        <w:rPr>
          <w:rFonts w:ascii="Book Antiqua" w:hAnsi="Book Antiqua"/>
          <w:b/>
          <w:color w:val="000000" w:themeColor="text1"/>
          <w:sz w:val="20"/>
          <w:szCs w:val="20"/>
          <w:lang w:val="en-US"/>
        </w:rPr>
        <w:t>3</w:t>
      </w:r>
      <w:r>
        <w:rPr>
          <w:rFonts w:ascii="Book Antiqua" w:hAnsi="Book Antiqua"/>
          <w:color w:val="000000" w:themeColor="text1"/>
          <w:sz w:val="20"/>
          <w:szCs w:val="20"/>
          <w:lang w:val="en-US"/>
        </w:rPr>
        <w:t>: 360-362 [PMID: 269901 DOI: 10.1016/S0099-2399(77)80067-8]</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9 </w:t>
      </w:r>
      <w:r>
        <w:rPr>
          <w:rFonts w:ascii="Book Antiqua" w:hAnsi="Book Antiqua"/>
          <w:b/>
          <w:color w:val="000000" w:themeColor="text1"/>
          <w:sz w:val="20"/>
          <w:szCs w:val="20"/>
          <w:lang w:val="en-US"/>
        </w:rPr>
        <w:t>Tsurumachi T</w:t>
      </w:r>
      <w:r>
        <w:rPr>
          <w:rFonts w:ascii="Book Antiqua" w:hAnsi="Book Antiqua"/>
          <w:color w:val="000000" w:themeColor="text1"/>
          <w:sz w:val="20"/>
          <w:szCs w:val="20"/>
          <w:lang w:val="en-US"/>
        </w:rPr>
        <w:t>, Hayashi M, Takeichi O. Non-surgical ro</w:t>
      </w:r>
      <w:r>
        <w:rPr>
          <w:rFonts w:ascii="Book Antiqua" w:hAnsi="Book Antiqua"/>
          <w:color w:val="000000" w:themeColor="text1"/>
          <w:sz w:val="20"/>
          <w:szCs w:val="20"/>
          <w:lang w:val="en-US"/>
        </w:rPr>
        <w:t xml:space="preserve">ot canal treatment of dens invaginatus type 2 in a maxillary lateral incisor.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2002; </w:t>
      </w:r>
      <w:r>
        <w:rPr>
          <w:rFonts w:ascii="Book Antiqua" w:hAnsi="Book Antiqua"/>
          <w:b/>
          <w:color w:val="000000" w:themeColor="text1"/>
          <w:sz w:val="20"/>
          <w:szCs w:val="20"/>
          <w:lang w:val="en-US"/>
        </w:rPr>
        <w:t>35</w:t>
      </w:r>
      <w:r>
        <w:rPr>
          <w:rFonts w:ascii="Book Antiqua" w:hAnsi="Book Antiqua"/>
          <w:color w:val="000000" w:themeColor="text1"/>
          <w:sz w:val="20"/>
          <w:szCs w:val="20"/>
          <w:lang w:val="en-US"/>
        </w:rPr>
        <w:t>: 310-314 [PMID: 11993441 DOI: 10.1046/j.1365-2591.2002.00450.x]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10 </w:t>
      </w:r>
      <w:r>
        <w:rPr>
          <w:rFonts w:ascii="Book Antiqua" w:hAnsi="Book Antiqua"/>
          <w:b/>
          <w:color w:val="000000" w:themeColor="text1"/>
          <w:sz w:val="20"/>
          <w:szCs w:val="20"/>
          <w:lang w:val="en-US"/>
        </w:rPr>
        <w:t>Nallapati S</w:t>
      </w:r>
      <w:r>
        <w:rPr>
          <w:rFonts w:ascii="Book Antiqua" w:hAnsi="Book Antiqua"/>
          <w:color w:val="000000" w:themeColor="text1"/>
          <w:sz w:val="20"/>
          <w:szCs w:val="20"/>
          <w:lang w:val="en-US"/>
        </w:rPr>
        <w:t>. Clinical management of a maxillary lateral incisor with vital pulp and type 3</w:t>
      </w:r>
      <w:r>
        <w:rPr>
          <w:rFonts w:ascii="Book Antiqua" w:hAnsi="Book Antiqua"/>
          <w:color w:val="000000" w:themeColor="text1"/>
          <w:sz w:val="20"/>
          <w:szCs w:val="20"/>
          <w:lang w:val="en-US"/>
        </w:rPr>
        <w:t xml:space="preserve"> dens invaginatus: a case report.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2004; </w:t>
      </w:r>
      <w:r>
        <w:rPr>
          <w:rFonts w:ascii="Book Antiqua" w:hAnsi="Book Antiqua"/>
          <w:b/>
          <w:color w:val="000000" w:themeColor="text1"/>
          <w:sz w:val="20"/>
          <w:szCs w:val="20"/>
          <w:lang w:val="en-US"/>
        </w:rPr>
        <w:t>30</w:t>
      </w:r>
      <w:r>
        <w:rPr>
          <w:rFonts w:ascii="Book Antiqua" w:hAnsi="Book Antiqua"/>
          <w:color w:val="000000" w:themeColor="text1"/>
          <w:sz w:val="20"/>
          <w:szCs w:val="20"/>
          <w:lang w:val="en-US"/>
        </w:rPr>
        <w:t>: 726-731 [PMID: 15448469 DOI: 10.1097/01.don.0000125879.11248.12]</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11 </w:t>
      </w:r>
      <w:r>
        <w:rPr>
          <w:rFonts w:ascii="Book Antiqua" w:hAnsi="Book Antiqua"/>
          <w:b/>
          <w:color w:val="000000" w:themeColor="text1"/>
          <w:sz w:val="20"/>
          <w:szCs w:val="20"/>
          <w:lang w:val="en-US"/>
        </w:rPr>
        <w:t>Ortiz P</w:t>
      </w:r>
      <w:r>
        <w:rPr>
          <w:rFonts w:ascii="Book Antiqua" w:hAnsi="Book Antiqua"/>
          <w:color w:val="000000" w:themeColor="text1"/>
          <w:sz w:val="20"/>
          <w:szCs w:val="20"/>
          <w:lang w:val="en-US"/>
        </w:rPr>
        <w:t xml:space="preserve">, Weisleder R, Villareal de Justus Y. Combined therapy in the treatment of dens invaginatus: case report.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2004; </w:t>
      </w:r>
      <w:r>
        <w:rPr>
          <w:rFonts w:ascii="Book Antiqua" w:hAnsi="Book Antiqua"/>
          <w:b/>
          <w:color w:val="000000" w:themeColor="text1"/>
          <w:sz w:val="20"/>
          <w:szCs w:val="20"/>
          <w:lang w:val="en-US"/>
        </w:rPr>
        <w:t>30</w:t>
      </w:r>
      <w:r>
        <w:rPr>
          <w:rFonts w:ascii="Book Antiqua" w:hAnsi="Book Antiqua"/>
          <w:color w:val="000000" w:themeColor="text1"/>
          <w:sz w:val="20"/>
          <w:szCs w:val="20"/>
          <w:lang w:val="en-US"/>
        </w:rPr>
        <w:t>: 672-6</w:t>
      </w:r>
      <w:r>
        <w:rPr>
          <w:rFonts w:ascii="Book Antiqua" w:hAnsi="Book Antiqua"/>
          <w:color w:val="000000" w:themeColor="text1"/>
          <w:sz w:val="20"/>
          <w:szCs w:val="20"/>
          <w:lang w:val="en-US"/>
        </w:rPr>
        <w:t>74 [PMID: 15329576 DOI: 10.1097/01.don.0000121611.19808.ad]</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12 </w:t>
      </w:r>
      <w:r>
        <w:rPr>
          <w:rFonts w:ascii="Book Antiqua" w:hAnsi="Book Antiqua"/>
          <w:b/>
          <w:color w:val="000000" w:themeColor="text1"/>
          <w:sz w:val="20"/>
          <w:szCs w:val="20"/>
          <w:lang w:val="en-US"/>
        </w:rPr>
        <w:t>Nedley MP</w:t>
      </w:r>
      <w:r>
        <w:rPr>
          <w:rFonts w:ascii="Book Antiqua" w:hAnsi="Book Antiqua"/>
          <w:color w:val="000000" w:themeColor="text1"/>
          <w:sz w:val="20"/>
          <w:szCs w:val="20"/>
          <w:lang w:val="en-US"/>
        </w:rPr>
        <w:t xml:space="preserve">, Powers GK. Intentional extraction and reimplantation of an immature invaginated central incisor. </w:t>
      </w:r>
      <w:r>
        <w:rPr>
          <w:rFonts w:ascii="Book Antiqua" w:hAnsi="Book Antiqua"/>
          <w:i/>
          <w:color w:val="000000" w:themeColor="text1"/>
          <w:sz w:val="20"/>
          <w:szCs w:val="20"/>
          <w:lang w:val="en-US"/>
        </w:rPr>
        <w:t>ASDC J Dent Child</w:t>
      </w:r>
      <w:r>
        <w:rPr>
          <w:rFonts w:ascii="Book Antiqua" w:hAnsi="Book Antiqua"/>
          <w:color w:val="000000" w:themeColor="text1"/>
          <w:sz w:val="20"/>
          <w:szCs w:val="20"/>
          <w:lang w:val="en-US"/>
        </w:rPr>
        <w:t xml:space="preserve"> 1997; </w:t>
      </w:r>
      <w:r>
        <w:rPr>
          <w:rFonts w:ascii="Book Antiqua" w:hAnsi="Book Antiqua"/>
          <w:b/>
          <w:color w:val="000000" w:themeColor="text1"/>
          <w:sz w:val="20"/>
          <w:szCs w:val="20"/>
          <w:lang w:val="en-US"/>
        </w:rPr>
        <w:t>64</w:t>
      </w:r>
      <w:r>
        <w:rPr>
          <w:rFonts w:ascii="Book Antiqua" w:hAnsi="Book Antiqua"/>
          <w:color w:val="000000" w:themeColor="text1"/>
          <w:sz w:val="20"/>
          <w:szCs w:val="20"/>
          <w:lang w:val="en-US"/>
        </w:rPr>
        <w:t>: 417-420 [PMID: 9466013]</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13 </w:t>
      </w:r>
      <w:r>
        <w:rPr>
          <w:rFonts w:ascii="Book Antiqua" w:hAnsi="Book Antiqua"/>
          <w:b/>
          <w:color w:val="000000" w:themeColor="text1"/>
          <w:sz w:val="20"/>
          <w:szCs w:val="20"/>
          <w:lang w:val="en-US"/>
        </w:rPr>
        <w:t>Girsch WJ</w:t>
      </w:r>
      <w:r>
        <w:rPr>
          <w:rFonts w:ascii="Book Antiqua" w:hAnsi="Book Antiqua"/>
          <w:color w:val="000000" w:themeColor="text1"/>
          <w:sz w:val="20"/>
          <w:szCs w:val="20"/>
          <w:lang w:val="en-US"/>
        </w:rPr>
        <w:t xml:space="preserve">, McClammy TV. Microscopic removal of dens invaginatus.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2002; </w:t>
      </w:r>
      <w:r>
        <w:rPr>
          <w:rFonts w:ascii="Book Antiqua" w:hAnsi="Book Antiqua"/>
          <w:b/>
          <w:color w:val="000000" w:themeColor="text1"/>
          <w:sz w:val="20"/>
          <w:szCs w:val="20"/>
          <w:lang w:val="en-US"/>
        </w:rPr>
        <w:t>28</w:t>
      </w:r>
      <w:r>
        <w:rPr>
          <w:rFonts w:ascii="Book Antiqua" w:hAnsi="Book Antiqua"/>
          <w:color w:val="000000" w:themeColor="text1"/>
          <w:sz w:val="20"/>
          <w:szCs w:val="20"/>
          <w:lang w:val="en-US"/>
        </w:rPr>
        <w:t>: 336-339 [PMID: 1204</w:t>
      </w:r>
      <w:r>
        <w:rPr>
          <w:rFonts w:ascii="Book Antiqua" w:hAnsi="Book Antiqua"/>
          <w:color w:val="000000" w:themeColor="text1"/>
          <w:sz w:val="20"/>
          <w:szCs w:val="20"/>
          <w:lang w:val="en-US"/>
        </w:rPr>
        <w:t>3878 DOI: 10.1097/00004770-200204000-00020]</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14 </w:t>
      </w:r>
      <w:r>
        <w:rPr>
          <w:rFonts w:ascii="Book Antiqua" w:hAnsi="Book Antiqua"/>
          <w:b/>
          <w:color w:val="000000" w:themeColor="text1"/>
          <w:sz w:val="20"/>
          <w:szCs w:val="20"/>
          <w:lang w:val="en-US"/>
        </w:rPr>
        <w:t>Special Committee to Revise the Joint AAE/AAOMR Position Statement on use of CBCT in Endodontics.</w:t>
      </w:r>
      <w:r>
        <w:rPr>
          <w:rFonts w:ascii="Book Antiqua" w:hAnsi="Book Antiqua"/>
          <w:color w:val="000000" w:themeColor="text1"/>
          <w:sz w:val="20"/>
          <w:szCs w:val="20"/>
          <w:lang w:val="en-US"/>
        </w:rPr>
        <w:t xml:space="preserve">. AAE and AAOMR Joint Position Statement: Use of Cone Beam Computed Tomography in Endodontics 2015 Update. </w:t>
      </w:r>
      <w:r>
        <w:rPr>
          <w:rFonts w:ascii="Book Antiqua" w:hAnsi="Book Antiqua"/>
          <w:i/>
          <w:color w:val="000000" w:themeColor="text1"/>
          <w:sz w:val="20"/>
          <w:szCs w:val="20"/>
          <w:lang w:val="en-US"/>
        </w:rPr>
        <w:t xml:space="preserve">Oral </w:t>
      </w:r>
      <w:r>
        <w:rPr>
          <w:rFonts w:ascii="Book Antiqua" w:hAnsi="Book Antiqua"/>
          <w:i/>
          <w:color w:val="000000" w:themeColor="text1"/>
          <w:sz w:val="20"/>
          <w:szCs w:val="20"/>
          <w:lang w:val="en-US"/>
        </w:rPr>
        <w:t>Surg Oral Med Oral Pathol Oral Radiol</w:t>
      </w:r>
      <w:r>
        <w:rPr>
          <w:rFonts w:ascii="Book Antiqua" w:hAnsi="Book Antiqua"/>
          <w:color w:val="000000" w:themeColor="text1"/>
          <w:sz w:val="20"/>
          <w:szCs w:val="20"/>
          <w:lang w:val="en-US"/>
        </w:rPr>
        <w:t xml:space="preserve"> 2015; </w:t>
      </w:r>
      <w:r>
        <w:rPr>
          <w:rFonts w:ascii="Book Antiqua" w:hAnsi="Book Antiqua"/>
          <w:b/>
          <w:color w:val="000000" w:themeColor="text1"/>
          <w:sz w:val="20"/>
          <w:szCs w:val="20"/>
          <w:lang w:val="en-US"/>
        </w:rPr>
        <w:t>120</w:t>
      </w:r>
      <w:r>
        <w:rPr>
          <w:rFonts w:ascii="Book Antiqua" w:hAnsi="Book Antiqua"/>
          <w:color w:val="000000" w:themeColor="text1"/>
          <w:sz w:val="20"/>
          <w:szCs w:val="20"/>
          <w:lang w:val="en-US"/>
        </w:rPr>
        <w:t>: 508-512 [PMID: 26346911 DOI: 10.1016/j.oooo.2015.07.033]</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15 </w:t>
      </w:r>
      <w:r>
        <w:rPr>
          <w:rFonts w:ascii="Book Antiqua" w:hAnsi="Book Antiqua"/>
          <w:b/>
          <w:color w:val="000000" w:themeColor="text1"/>
          <w:sz w:val="20"/>
          <w:szCs w:val="20"/>
          <w:lang w:val="en-US"/>
        </w:rPr>
        <w:t>Scarfe WC</w:t>
      </w:r>
      <w:r>
        <w:rPr>
          <w:rFonts w:ascii="Book Antiqua" w:hAnsi="Book Antiqua"/>
          <w:color w:val="000000" w:themeColor="text1"/>
          <w:sz w:val="20"/>
          <w:szCs w:val="20"/>
          <w:lang w:val="en-US"/>
        </w:rPr>
        <w:t xml:space="preserve">, Farman AG, Sukovic P. Clinical applications of cone-beam computed tomography in dental practice. </w:t>
      </w:r>
      <w:r>
        <w:rPr>
          <w:rFonts w:ascii="Book Antiqua" w:hAnsi="Book Antiqua"/>
          <w:i/>
          <w:color w:val="000000" w:themeColor="text1"/>
          <w:sz w:val="20"/>
          <w:szCs w:val="20"/>
          <w:lang w:val="en-US"/>
        </w:rPr>
        <w:t>J Can Dent Assoc</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72</w:t>
      </w:r>
      <w:r>
        <w:rPr>
          <w:rFonts w:ascii="Book Antiqua" w:hAnsi="Book Antiqua"/>
          <w:color w:val="000000" w:themeColor="text1"/>
          <w:sz w:val="20"/>
          <w:szCs w:val="20"/>
          <w:lang w:val="en-US"/>
        </w:rPr>
        <w:t>: 75-80 [PMID:</w:t>
      </w:r>
      <w:r>
        <w:rPr>
          <w:rFonts w:ascii="Book Antiqua" w:hAnsi="Book Antiqua"/>
          <w:color w:val="000000" w:themeColor="text1"/>
          <w:sz w:val="20"/>
          <w:szCs w:val="20"/>
          <w:lang w:val="en-US"/>
        </w:rPr>
        <w:t xml:space="preserve"> 16480609]</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16 </w:t>
      </w:r>
      <w:r>
        <w:rPr>
          <w:rFonts w:ascii="Book Antiqua" w:hAnsi="Book Antiqua"/>
          <w:b/>
          <w:color w:val="000000" w:themeColor="text1"/>
          <w:sz w:val="20"/>
          <w:szCs w:val="20"/>
          <w:lang w:val="en-US"/>
        </w:rPr>
        <w:t>Yajima A</w:t>
      </w:r>
      <w:r>
        <w:rPr>
          <w:rFonts w:ascii="Book Antiqua" w:hAnsi="Book Antiqua"/>
          <w:color w:val="000000" w:themeColor="text1"/>
          <w:sz w:val="20"/>
          <w:szCs w:val="20"/>
          <w:lang w:val="en-US"/>
        </w:rPr>
        <w:t xml:space="preserve">, Otonari-Yamamoto M, Sano T, Hayakawa Y, Otonari T, Tanabe K, Wakoh M, Mizuta S, Yonezu H, Nakagawa K, Yajima Y. Cone-beam CT (CB Throne) applied to dentomaxillofacial region. </w:t>
      </w:r>
      <w:r>
        <w:rPr>
          <w:rFonts w:ascii="Book Antiqua" w:hAnsi="Book Antiqua"/>
          <w:i/>
          <w:color w:val="000000" w:themeColor="text1"/>
          <w:sz w:val="20"/>
          <w:szCs w:val="20"/>
          <w:lang w:val="en-US"/>
        </w:rPr>
        <w:t>Bull Tokyo Dent Coll</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47</w:t>
      </w:r>
      <w:r>
        <w:rPr>
          <w:rFonts w:ascii="Book Antiqua" w:hAnsi="Book Antiqua"/>
          <w:color w:val="000000" w:themeColor="text1"/>
          <w:sz w:val="20"/>
          <w:szCs w:val="20"/>
          <w:lang w:val="en-US"/>
        </w:rPr>
        <w:t>: 133-141 [PMID: 17344621 DO</w:t>
      </w:r>
      <w:r>
        <w:rPr>
          <w:rFonts w:ascii="Book Antiqua" w:hAnsi="Book Antiqua"/>
          <w:color w:val="000000" w:themeColor="text1"/>
          <w:sz w:val="20"/>
          <w:szCs w:val="20"/>
          <w:lang w:val="en-US"/>
        </w:rPr>
        <w:t>I: 10.2209/tdcpublication.47.133]</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17 </w:t>
      </w:r>
      <w:r>
        <w:rPr>
          <w:rFonts w:ascii="Book Antiqua" w:hAnsi="Book Antiqua"/>
          <w:b/>
          <w:color w:val="000000" w:themeColor="text1"/>
          <w:sz w:val="20"/>
          <w:szCs w:val="20"/>
          <w:lang w:val="en-US"/>
        </w:rPr>
        <w:t>Ziegler CM</w:t>
      </w:r>
      <w:r>
        <w:rPr>
          <w:rFonts w:ascii="Book Antiqua" w:hAnsi="Book Antiqua"/>
          <w:color w:val="000000" w:themeColor="text1"/>
          <w:sz w:val="20"/>
          <w:szCs w:val="20"/>
          <w:lang w:val="en-US"/>
        </w:rPr>
        <w:t xml:space="preserve">, Woertche R, Brief J, Hassfeld S. Clinical indications for digital volume tomography in oral and maxillofacial surgery. </w:t>
      </w:r>
      <w:r>
        <w:rPr>
          <w:rFonts w:ascii="Book Antiqua" w:hAnsi="Book Antiqua"/>
          <w:i/>
          <w:color w:val="000000" w:themeColor="text1"/>
          <w:sz w:val="20"/>
          <w:szCs w:val="20"/>
          <w:lang w:val="en-US"/>
        </w:rPr>
        <w:t>Dentomaxillofac Radiol</w:t>
      </w:r>
      <w:r>
        <w:rPr>
          <w:rFonts w:ascii="Book Antiqua" w:hAnsi="Book Antiqua"/>
          <w:color w:val="000000" w:themeColor="text1"/>
          <w:sz w:val="20"/>
          <w:szCs w:val="20"/>
          <w:lang w:val="en-US"/>
        </w:rPr>
        <w:t xml:space="preserve"> 2002; </w:t>
      </w:r>
      <w:r>
        <w:rPr>
          <w:rFonts w:ascii="Book Antiqua" w:hAnsi="Book Antiqua"/>
          <w:b/>
          <w:color w:val="000000" w:themeColor="text1"/>
          <w:sz w:val="20"/>
          <w:szCs w:val="20"/>
          <w:lang w:val="en-US"/>
        </w:rPr>
        <w:t>31</w:t>
      </w:r>
      <w:r>
        <w:rPr>
          <w:rFonts w:ascii="Book Antiqua" w:hAnsi="Book Antiqua"/>
          <w:color w:val="000000" w:themeColor="text1"/>
          <w:sz w:val="20"/>
          <w:szCs w:val="20"/>
          <w:lang w:val="en-US"/>
        </w:rPr>
        <w:t>: 126-130 [PMID: 12076053 DOI: 10.1038/sj/dmfr/4600680]</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18 </w:t>
      </w:r>
      <w:r>
        <w:rPr>
          <w:rFonts w:ascii="Book Antiqua" w:hAnsi="Book Antiqua"/>
          <w:b/>
          <w:color w:val="000000" w:themeColor="text1"/>
          <w:sz w:val="20"/>
          <w:szCs w:val="20"/>
          <w:lang w:val="en-US"/>
        </w:rPr>
        <w:t>Baratto Filho F</w:t>
      </w:r>
      <w:r>
        <w:rPr>
          <w:rFonts w:ascii="Book Antiqua" w:hAnsi="Book Antiqua"/>
          <w:color w:val="000000" w:themeColor="text1"/>
          <w:sz w:val="20"/>
          <w:szCs w:val="20"/>
          <w:lang w:val="en-US"/>
        </w:rPr>
        <w:t xml:space="preserve">, Zaitter S, Haragushiku GA, de Campos EA, Abuabara A, Correr GM. Analysis of the internal anatomy of maxillary first molars by using different methods.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2009; </w:t>
      </w:r>
      <w:r>
        <w:rPr>
          <w:rFonts w:ascii="Book Antiqua" w:hAnsi="Book Antiqua"/>
          <w:b/>
          <w:color w:val="000000" w:themeColor="text1"/>
          <w:sz w:val="20"/>
          <w:szCs w:val="20"/>
          <w:lang w:val="en-US"/>
        </w:rPr>
        <w:t>35</w:t>
      </w:r>
      <w:r>
        <w:rPr>
          <w:rFonts w:ascii="Book Antiqua" w:hAnsi="Book Antiqua"/>
          <w:color w:val="000000" w:themeColor="text1"/>
          <w:sz w:val="20"/>
          <w:szCs w:val="20"/>
          <w:lang w:val="en-US"/>
        </w:rPr>
        <w:t>: 337-342 [PMID: 19249591 DOI: 10.1016/j.joen.2008.11.022]</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19 </w:t>
      </w:r>
      <w:r>
        <w:rPr>
          <w:rFonts w:ascii="Book Antiqua" w:hAnsi="Book Antiqua"/>
          <w:b/>
          <w:color w:val="000000" w:themeColor="text1"/>
          <w:sz w:val="20"/>
          <w:szCs w:val="20"/>
          <w:lang w:val="en-US"/>
        </w:rPr>
        <w:t>Zafersoy-Akarslan Z</w:t>
      </w:r>
      <w:r>
        <w:rPr>
          <w:rFonts w:ascii="Book Antiqua" w:hAnsi="Book Antiqua"/>
          <w:color w:val="000000" w:themeColor="text1"/>
          <w:sz w:val="20"/>
          <w:szCs w:val="20"/>
          <w:lang w:val="en-US"/>
        </w:rPr>
        <w:t>, Erte</w:t>
      </w:r>
      <w:r>
        <w:rPr>
          <w:rFonts w:ascii="Book Antiqua" w:hAnsi="Book Antiqua"/>
          <w:color w:val="000000" w:themeColor="text1"/>
          <w:sz w:val="20"/>
          <w:szCs w:val="20"/>
          <w:lang w:val="en-US"/>
        </w:rPr>
        <w:t xml:space="preserve">n H, Uzun O, Semiz M. Reproducibility and agreement of clinical diagnosis of occlusal caries using unaided visual examination and operating microscope. </w:t>
      </w:r>
      <w:r>
        <w:rPr>
          <w:rFonts w:ascii="Book Antiqua" w:hAnsi="Book Antiqua"/>
          <w:i/>
          <w:color w:val="000000" w:themeColor="text1"/>
          <w:sz w:val="20"/>
          <w:szCs w:val="20"/>
          <w:lang w:val="en-US"/>
        </w:rPr>
        <w:t>J Can Dent Assoc</w:t>
      </w:r>
      <w:r>
        <w:rPr>
          <w:rFonts w:ascii="Book Antiqua" w:hAnsi="Book Antiqua"/>
          <w:color w:val="000000" w:themeColor="text1"/>
          <w:sz w:val="20"/>
          <w:szCs w:val="20"/>
          <w:lang w:val="en-US"/>
        </w:rPr>
        <w:t xml:space="preserve"> 2009; </w:t>
      </w:r>
      <w:r>
        <w:rPr>
          <w:rFonts w:ascii="Book Antiqua" w:hAnsi="Book Antiqua"/>
          <w:b/>
          <w:color w:val="000000" w:themeColor="text1"/>
          <w:sz w:val="20"/>
          <w:szCs w:val="20"/>
          <w:lang w:val="en-US"/>
        </w:rPr>
        <w:t>75</w:t>
      </w:r>
      <w:r>
        <w:rPr>
          <w:rFonts w:ascii="Book Antiqua" w:hAnsi="Book Antiqua"/>
          <w:color w:val="000000" w:themeColor="text1"/>
          <w:sz w:val="20"/>
          <w:szCs w:val="20"/>
          <w:lang w:val="en-US"/>
        </w:rPr>
        <w:t>: 455 [PMID: 19627655]</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20 </w:t>
      </w:r>
      <w:r>
        <w:rPr>
          <w:rFonts w:ascii="Book Antiqua" w:hAnsi="Book Antiqua"/>
          <w:b/>
          <w:color w:val="000000" w:themeColor="text1"/>
          <w:sz w:val="20"/>
          <w:szCs w:val="20"/>
          <w:lang w:val="en-US"/>
        </w:rPr>
        <w:t>Carr GB</w:t>
      </w:r>
      <w:r>
        <w:rPr>
          <w:rFonts w:ascii="Book Antiqua" w:hAnsi="Book Antiqua"/>
          <w:color w:val="000000" w:themeColor="text1"/>
          <w:sz w:val="20"/>
          <w:szCs w:val="20"/>
          <w:lang w:val="en-US"/>
        </w:rPr>
        <w:t>, Murgel CA. The use of the operating microsco</w:t>
      </w:r>
      <w:r>
        <w:rPr>
          <w:rFonts w:ascii="Book Antiqua" w:hAnsi="Book Antiqua"/>
          <w:color w:val="000000" w:themeColor="text1"/>
          <w:sz w:val="20"/>
          <w:szCs w:val="20"/>
          <w:lang w:val="en-US"/>
        </w:rPr>
        <w:t xml:space="preserve">pe in endodontics. </w:t>
      </w:r>
      <w:r>
        <w:rPr>
          <w:rFonts w:ascii="Book Antiqua" w:hAnsi="Book Antiqua"/>
          <w:i/>
          <w:color w:val="000000" w:themeColor="text1"/>
          <w:sz w:val="20"/>
          <w:szCs w:val="20"/>
          <w:lang w:val="en-US"/>
        </w:rPr>
        <w:t>Dent Clin North Am</w:t>
      </w:r>
      <w:r>
        <w:rPr>
          <w:rFonts w:ascii="Book Antiqua" w:hAnsi="Book Antiqua"/>
          <w:color w:val="000000" w:themeColor="text1"/>
          <w:sz w:val="20"/>
          <w:szCs w:val="20"/>
          <w:lang w:val="en-US"/>
        </w:rPr>
        <w:t xml:space="preserve"> 2010; </w:t>
      </w:r>
      <w:r>
        <w:rPr>
          <w:rFonts w:ascii="Book Antiqua" w:hAnsi="Book Antiqua"/>
          <w:b/>
          <w:color w:val="000000" w:themeColor="text1"/>
          <w:sz w:val="20"/>
          <w:szCs w:val="20"/>
          <w:lang w:val="en-US"/>
        </w:rPr>
        <w:t>54</w:t>
      </w:r>
      <w:r>
        <w:rPr>
          <w:rFonts w:ascii="Book Antiqua" w:hAnsi="Book Antiqua"/>
          <w:color w:val="000000" w:themeColor="text1"/>
          <w:sz w:val="20"/>
          <w:szCs w:val="20"/>
          <w:lang w:val="en-US"/>
        </w:rPr>
        <w:t>: 191-214 [PMID: 20433974 DOI: 10.1016/j.cden.2010.01.002]</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21 </w:t>
      </w:r>
      <w:r>
        <w:rPr>
          <w:rFonts w:ascii="Book Antiqua" w:hAnsi="Book Antiqua"/>
          <w:b/>
          <w:color w:val="000000" w:themeColor="text1"/>
          <w:sz w:val="20"/>
          <w:szCs w:val="20"/>
          <w:lang w:val="en-US"/>
        </w:rPr>
        <w:t>Torabinejad M</w:t>
      </w:r>
      <w:r>
        <w:rPr>
          <w:rFonts w:ascii="Book Antiqua" w:hAnsi="Book Antiqua"/>
          <w:color w:val="000000" w:themeColor="text1"/>
          <w:sz w:val="20"/>
          <w:szCs w:val="20"/>
          <w:lang w:val="en-US"/>
        </w:rPr>
        <w:t>, Parirokh M, Dummer PMH. Mineral trioxide aggregate and other bioactive endodontic cements: an updated overview - part II: other clini</w:t>
      </w:r>
      <w:r>
        <w:rPr>
          <w:rFonts w:ascii="Book Antiqua" w:hAnsi="Book Antiqua"/>
          <w:color w:val="000000" w:themeColor="text1"/>
          <w:sz w:val="20"/>
          <w:szCs w:val="20"/>
          <w:lang w:val="en-US"/>
        </w:rPr>
        <w:t xml:space="preserve">cal applications and </w:t>
      </w:r>
      <w:r>
        <w:rPr>
          <w:rFonts w:ascii="Book Antiqua" w:hAnsi="Book Antiqua"/>
          <w:color w:val="000000" w:themeColor="text1"/>
          <w:sz w:val="20"/>
          <w:szCs w:val="20"/>
          <w:lang w:val="en-US"/>
        </w:rPr>
        <w:lastRenderedPageBreak/>
        <w:t xml:space="preserve">complications.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2018; </w:t>
      </w:r>
      <w:r>
        <w:rPr>
          <w:rFonts w:ascii="Book Antiqua" w:hAnsi="Book Antiqua"/>
          <w:b/>
          <w:color w:val="000000" w:themeColor="text1"/>
          <w:sz w:val="20"/>
          <w:szCs w:val="20"/>
          <w:lang w:val="en-US"/>
        </w:rPr>
        <w:t>51</w:t>
      </w:r>
      <w:r>
        <w:rPr>
          <w:rFonts w:ascii="Book Antiqua" w:hAnsi="Book Antiqua"/>
          <w:color w:val="000000" w:themeColor="text1"/>
          <w:sz w:val="20"/>
          <w:szCs w:val="20"/>
          <w:lang w:val="en-US"/>
        </w:rPr>
        <w:t>: 284-317 [PMID: 28846134 DOI: 10.1111/iej.12843]</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22 </w:t>
      </w:r>
      <w:r>
        <w:rPr>
          <w:rFonts w:ascii="Book Antiqua" w:hAnsi="Book Antiqua"/>
          <w:b/>
          <w:color w:val="000000" w:themeColor="text1"/>
          <w:sz w:val="20"/>
          <w:szCs w:val="20"/>
          <w:lang w:val="en-US"/>
        </w:rPr>
        <w:t>Mente J</w:t>
      </w:r>
      <w:r>
        <w:rPr>
          <w:rFonts w:ascii="Book Antiqua" w:hAnsi="Book Antiqua"/>
          <w:color w:val="000000" w:themeColor="text1"/>
          <w:sz w:val="20"/>
          <w:szCs w:val="20"/>
          <w:lang w:val="en-US"/>
        </w:rPr>
        <w:t xml:space="preserve">, Leo M, Panagidis D, Ohle M, Schneider S, Lorenzo Bermejo J, Pfefferle T. Treatment outcome of mineral trioxide aggregate in open apex teeth.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2013; </w:t>
      </w:r>
      <w:r>
        <w:rPr>
          <w:rFonts w:ascii="Book Antiqua" w:hAnsi="Book Antiqua"/>
          <w:b/>
          <w:color w:val="000000" w:themeColor="text1"/>
          <w:sz w:val="20"/>
          <w:szCs w:val="20"/>
          <w:lang w:val="en-US"/>
        </w:rPr>
        <w:t>39</w:t>
      </w:r>
      <w:r>
        <w:rPr>
          <w:rFonts w:ascii="Book Antiqua" w:hAnsi="Book Antiqua"/>
          <w:color w:val="000000" w:themeColor="text1"/>
          <w:sz w:val="20"/>
          <w:szCs w:val="20"/>
          <w:lang w:val="en-US"/>
        </w:rPr>
        <w:t>: 20-26 [PMID: 23228252 DOI: 10.1016/j.joen.2012.10.007]</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23 </w:t>
      </w:r>
      <w:r>
        <w:rPr>
          <w:rFonts w:ascii="Book Antiqua" w:hAnsi="Book Antiqua"/>
          <w:b/>
          <w:color w:val="000000" w:themeColor="text1"/>
          <w:sz w:val="20"/>
          <w:szCs w:val="20"/>
          <w:lang w:val="en-US"/>
        </w:rPr>
        <w:t>Pace R</w:t>
      </w:r>
      <w:r>
        <w:rPr>
          <w:rFonts w:ascii="Book Antiqua" w:hAnsi="Book Antiqua"/>
          <w:color w:val="000000" w:themeColor="text1"/>
          <w:sz w:val="20"/>
          <w:szCs w:val="20"/>
          <w:lang w:val="en-US"/>
        </w:rPr>
        <w:t>, Giuliani V, Nieri M, Di Nasso</w:t>
      </w:r>
      <w:r>
        <w:rPr>
          <w:rFonts w:ascii="Book Antiqua" w:hAnsi="Book Antiqua"/>
          <w:color w:val="000000" w:themeColor="text1"/>
          <w:sz w:val="20"/>
          <w:szCs w:val="20"/>
          <w:lang w:val="en-US"/>
        </w:rPr>
        <w:t xml:space="preserve"> L, Pagavino G. Mineral trioxide aggregate as apical plug in teeth with necrotic pulp and immature apices: a 10-year case series.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2014; </w:t>
      </w:r>
      <w:r>
        <w:rPr>
          <w:rFonts w:ascii="Book Antiqua" w:hAnsi="Book Antiqua"/>
          <w:b/>
          <w:color w:val="000000" w:themeColor="text1"/>
          <w:sz w:val="20"/>
          <w:szCs w:val="20"/>
          <w:lang w:val="en-US"/>
        </w:rPr>
        <w:t>40</w:t>
      </w:r>
      <w:r>
        <w:rPr>
          <w:rFonts w:ascii="Book Antiqua" w:hAnsi="Book Antiqua"/>
          <w:color w:val="000000" w:themeColor="text1"/>
          <w:sz w:val="20"/>
          <w:szCs w:val="20"/>
          <w:lang w:val="en-US"/>
        </w:rPr>
        <w:t>: 1250-1254 [PMID: 25069943 DOI: 10.1016/j.joen.2013.12.007]</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24 </w:t>
      </w:r>
      <w:r>
        <w:rPr>
          <w:rFonts w:ascii="Book Antiqua" w:hAnsi="Book Antiqua"/>
          <w:b/>
          <w:color w:val="000000" w:themeColor="text1"/>
          <w:sz w:val="20"/>
          <w:szCs w:val="20"/>
          <w:lang w:val="en-US"/>
        </w:rPr>
        <w:t>Bonte E</w:t>
      </w:r>
      <w:r>
        <w:rPr>
          <w:rFonts w:ascii="Book Antiqua" w:hAnsi="Book Antiqua"/>
          <w:color w:val="000000" w:themeColor="text1"/>
          <w:sz w:val="20"/>
          <w:szCs w:val="20"/>
          <w:lang w:val="en-US"/>
        </w:rPr>
        <w:t>, Beslot A, Boukpessi T, Lasfargues JJ.</w:t>
      </w:r>
      <w:r>
        <w:rPr>
          <w:rFonts w:ascii="Book Antiqua" w:hAnsi="Book Antiqua"/>
          <w:color w:val="000000" w:themeColor="text1"/>
          <w:sz w:val="20"/>
          <w:szCs w:val="20"/>
          <w:lang w:val="en-US"/>
        </w:rPr>
        <w:t xml:space="preserve"> MTA versus Ca(OH)2 in apexification of non-vital immature permanent teeth: a randomized clinical trial comparison. </w:t>
      </w:r>
      <w:r>
        <w:rPr>
          <w:rFonts w:ascii="Book Antiqua" w:hAnsi="Book Antiqua"/>
          <w:i/>
          <w:color w:val="000000" w:themeColor="text1"/>
          <w:sz w:val="20"/>
          <w:szCs w:val="20"/>
          <w:lang w:val="en-US"/>
        </w:rPr>
        <w:t>Clin Oral Investig</w:t>
      </w:r>
      <w:r>
        <w:rPr>
          <w:rFonts w:ascii="Book Antiqua" w:hAnsi="Book Antiqua"/>
          <w:color w:val="000000" w:themeColor="text1"/>
          <w:sz w:val="20"/>
          <w:szCs w:val="20"/>
          <w:lang w:val="en-US"/>
        </w:rPr>
        <w:t xml:space="preserve"> 2015; </w:t>
      </w:r>
      <w:r>
        <w:rPr>
          <w:rFonts w:ascii="Book Antiqua" w:hAnsi="Book Antiqua"/>
          <w:b/>
          <w:color w:val="000000" w:themeColor="text1"/>
          <w:sz w:val="20"/>
          <w:szCs w:val="20"/>
          <w:lang w:val="en-US"/>
        </w:rPr>
        <w:t>19</w:t>
      </w:r>
      <w:r>
        <w:rPr>
          <w:rFonts w:ascii="Book Antiqua" w:hAnsi="Book Antiqua"/>
          <w:color w:val="000000" w:themeColor="text1"/>
          <w:sz w:val="20"/>
          <w:szCs w:val="20"/>
          <w:lang w:val="en-US"/>
        </w:rPr>
        <w:t>: 1381-1388 [PMID: 25467231 DOI: 10.1007/s00784-014-1348-5]</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25 </w:t>
      </w:r>
      <w:r>
        <w:rPr>
          <w:rFonts w:ascii="Book Antiqua" w:hAnsi="Book Antiqua"/>
          <w:b/>
          <w:color w:val="000000" w:themeColor="text1"/>
          <w:sz w:val="20"/>
          <w:szCs w:val="20"/>
          <w:lang w:val="en-US"/>
        </w:rPr>
        <w:t>Moore A</w:t>
      </w:r>
      <w:r>
        <w:rPr>
          <w:rFonts w:ascii="Book Antiqua" w:hAnsi="Book Antiqua"/>
          <w:color w:val="000000" w:themeColor="text1"/>
          <w:sz w:val="20"/>
          <w:szCs w:val="20"/>
          <w:lang w:val="en-US"/>
        </w:rPr>
        <w:t>, Howley MF, O'Connell AC. Treatment of ope</w:t>
      </w:r>
      <w:r>
        <w:rPr>
          <w:rFonts w:ascii="Book Antiqua" w:hAnsi="Book Antiqua"/>
          <w:color w:val="000000" w:themeColor="text1"/>
          <w:sz w:val="20"/>
          <w:szCs w:val="20"/>
          <w:lang w:val="en-US"/>
        </w:rPr>
        <w:t xml:space="preserve">n apex teeth using two types of white mineral trioxide aggregate after initial dressing with calcium hydroxide in children. </w:t>
      </w:r>
      <w:r>
        <w:rPr>
          <w:rFonts w:ascii="Book Antiqua" w:hAnsi="Book Antiqua"/>
          <w:i/>
          <w:color w:val="000000" w:themeColor="text1"/>
          <w:sz w:val="20"/>
          <w:szCs w:val="20"/>
          <w:lang w:val="en-US"/>
        </w:rPr>
        <w:t>Dent Traumatol</w:t>
      </w:r>
      <w:r>
        <w:rPr>
          <w:rFonts w:ascii="Book Antiqua" w:hAnsi="Book Antiqua"/>
          <w:color w:val="000000" w:themeColor="text1"/>
          <w:sz w:val="20"/>
          <w:szCs w:val="20"/>
          <w:lang w:val="en-US"/>
        </w:rPr>
        <w:t xml:space="preserve"> 2011; </w:t>
      </w:r>
      <w:r>
        <w:rPr>
          <w:rFonts w:ascii="Book Antiqua" w:hAnsi="Book Antiqua"/>
          <w:b/>
          <w:color w:val="000000" w:themeColor="text1"/>
          <w:sz w:val="20"/>
          <w:szCs w:val="20"/>
          <w:lang w:val="en-US"/>
        </w:rPr>
        <w:t>27</w:t>
      </w:r>
      <w:r>
        <w:rPr>
          <w:rFonts w:ascii="Book Antiqua" w:hAnsi="Book Antiqua"/>
          <w:color w:val="000000" w:themeColor="text1"/>
          <w:sz w:val="20"/>
          <w:szCs w:val="20"/>
          <w:lang w:val="en-US"/>
        </w:rPr>
        <w:t>: 166-173 [PMID: 21564517 DOI: 10.1111/j.1600-9657.2011.00984.x]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26 </w:t>
      </w:r>
      <w:r>
        <w:rPr>
          <w:rFonts w:ascii="Book Antiqua" w:hAnsi="Book Antiqua"/>
          <w:b/>
          <w:color w:val="000000" w:themeColor="text1"/>
          <w:sz w:val="20"/>
          <w:szCs w:val="20"/>
          <w:lang w:val="en-US"/>
        </w:rPr>
        <w:t>Annamalai S</w:t>
      </w:r>
      <w:r>
        <w:rPr>
          <w:rFonts w:ascii="Book Antiqua" w:hAnsi="Book Antiqua"/>
          <w:color w:val="000000" w:themeColor="text1"/>
          <w:sz w:val="20"/>
          <w:szCs w:val="20"/>
          <w:lang w:val="en-US"/>
        </w:rPr>
        <w:t>, Mungara J. Efficacy of miner</w:t>
      </w:r>
      <w:r>
        <w:rPr>
          <w:rFonts w:ascii="Book Antiqua" w:hAnsi="Book Antiqua"/>
          <w:color w:val="000000" w:themeColor="text1"/>
          <w:sz w:val="20"/>
          <w:szCs w:val="20"/>
          <w:lang w:val="en-US"/>
        </w:rPr>
        <w:t xml:space="preserve">al trioxide aggregate as an apical plug in non-vital young permanent teeth: preliminary results. </w:t>
      </w:r>
      <w:r>
        <w:rPr>
          <w:rFonts w:ascii="Book Antiqua" w:hAnsi="Book Antiqua"/>
          <w:i/>
          <w:color w:val="000000" w:themeColor="text1"/>
          <w:sz w:val="20"/>
          <w:szCs w:val="20"/>
          <w:lang w:val="en-US"/>
        </w:rPr>
        <w:t>J Clin Pediatr Dent</w:t>
      </w:r>
      <w:r>
        <w:rPr>
          <w:rFonts w:ascii="Book Antiqua" w:hAnsi="Book Antiqua"/>
          <w:color w:val="000000" w:themeColor="text1"/>
          <w:sz w:val="20"/>
          <w:szCs w:val="20"/>
          <w:lang w:val="en-US"/>
        </w:rPr>
        <w:t xml:space="preserve"> 2010; </w:t>
      </w:r>
      <w:r>
        <w:rPr>
          <w:rFonts w:ascii="Book Antiqua" w:hAnsi="Book Antiqua"/>
          <w:b/>
          <w:color w:val="000000" w:themeColor="text1"/>
          <w:sz w:val="20"/>
          <w:szCs w:val="20"/>
          <w:lang w:val="en-US"/>
        </w:rPr>
        <w:t>35</w:t>
      </w:r>
      <w:r>
        <w:rPr>
          <w:rFonts w:ascii="Book Antiqua" w:hAnsi="Book Antiqua"/>
          <w:color w:val="000000" w:themeColor="text1"/>
          <w:sz w:val="20"/>
          <w:szCs w:val="20"/>
          <w:lang w:val="en-US"/>
        </w:rPr>
        <w:t>: 149-155 [PMID: 21417116 DOI: 10.17796/jcpd.35.2.9061h7g718834017]</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27 </w:t>
      </w:r>
      <w:r>
        <w:rPr>
          <w:rFonts w:ascii="Book Antiqua" w:hAnsi="Book Antiqua"/>
          <w:b/>
          <w:color w:val="000000" w:themeColor="text1"/>
          <w:sz w:val="20"/>
          <w:szCs w:val="20"/>
          <w:lang w:val="en-US"/>
        </w:rPr>
        <w:t>Moretton TR</w:t>
      </w:r>
      <w:r>
        <w:rPr>
          <w:rFonts w:ascii="Book Antiqua" w:hAnsi="Book Antiqua"/>
          <w:color w:val="000000" w:themeColor="text1"/>
          <w:sz w:val="20"/>
          <w:szCs w:val="20"/>
          <w:lang w:val="en-US"/>
        </w:rPr>
        <w:t xml:space="preserve">, Brown CE Jr, Legan JJ, Kafrawy AH. Tissue reactions after subcutaneous and intraosseous implantation of mineral trioxide aggregate and ethoxybenzoic acid cement. </w:t>
      </w:r>
      <w:r>
        <w:rPr>
          <w:rFonts w:ascii="Book Antiqua" w:hAnsi="Book Antiqua"/>
          <w:i/>
          <w:color w:val="000000" w:themeColor="text1"/>
          <w:sz w:val="20"/>
          <w:szCs w:val="20"/>
          <w:lang w:val="en-US"/>
        </w:rPr>
        <w:t>J Biomed Mater Res</w:t>
      </w:r>
      <w:r>
        <w:rPr>
          <w:rFonts w:ascii="Book Antiqua" w:hAnsi="Book Antiqua"/>
          <w:color w:val="000000" w:themeColor="text1"/>
          <w:sz w:val="20"/>
          <w:szCs w:val="20"/>
          <w:lang w:val="en-US"/>
        </w:rPr>
        <w:t xml:space="preserve"> 2000; </w:t>
      </w:r>
      <w:r>
        <w:rPr>
          <w:rFonts w:ascii="Book Antiqua" w:hAnsi="Book Antiqua"/>
          <w:b/>
          <w:color w:val="000000" w:themeColor="text1"/>
          <w:sz w:val="20"/>
          <w:szCs w:val="20"/>
          <w:lang w:val="en-US"/>
        </w:rPr>
        <w:t>52</w:t>
      </w:r>
      <w:r>
        <w:rPr>
          <w:rFonts w:ascii="Book Antiqua" w:hAnsi="Book Antiqua"/>
          <w:color w:val="000000" w:themeColor="text1"/>
          <w:sz w:val="20"/>
          <w:szCs w:val="20"/>
          <w:lang w:val="en-US"/>
        </w:rPr>
        <w:t>: 528-533 [PMID: 11007621 DOI: 10.1002/1097-4636(20001205)52:3&lt;52</w:t>
      </w:r>
      <w:r>
        <w:rPr>
          <w:rFonts w:ascii="Book Antiqua" w:hAnsi="Book Antiqua"/>
          <w:color w:val="000000" w:themeColor="text1"/>
          <w:sz w:val="20"/>
          <w:szCs w:val="20"/>
          <w:lang w:val="en-US"/>
        </w:rPr>
        <w:t>8::aid-jbm11&gt;3.0.co;2-9]</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28 </w:t>
      </w:r>
      <w:r>
        <w:rPr>
          <w:rFonts w:ascii="Book Antiqua" w:hAnsi="Book Antiqua"/>
          <w:b/>
          <w:color w:val="000000" w:themeColor="text1"/>
          <w:sz w:val="20"/>
          <w:szCs w:val="20"/>
          <w:lang w:val="en-US"/>
        </w:rPr>
        <w:t>Enkel B</w:t>
      </w:r>
      <w:r>
        <w:rPr>
          <w:rFonts w:ascii="Book Antiqua" w:hAnsi="Book Antiqua"/>
          <w:color w:val="000000" w:themeColor="text1"/>
          <w:sz w:val="20"/>
          <w:szCs w:val="20"/>
          <w:lang w:val="en-US"/>
        </w:rPr>
        <w:t xml:space="preserve">, Dupas C, Armengol V, Akpe Adou J, Bosco J, Daculsi G, Jean A, Laboux O, LeGeros RZ, Weiss P. Bioactive materials in endodontics. </w:t>
      </w:r>
      <w:r>
        <w:rPr>
          <w:rFonts w:ascii="Book Antiqua" w:hAnsi="Book Antiqua"/>
          <w:i/>
          <w:color w:val="000000" w:themeColor="text1"/>
          <w:sz w:val="20"/>
          <w:szCs w:val="20"/>
          <w:lang w:val="en-US"/>
        </w:rPr>
        <w:t>Expert Rev Med Devices</w:t>
      </w:r>
      <w:r>
        <w:rPr>
          <w:rFonts w:ascii="Book Antiqua" w:hAnsi="Book Antiqua"/>
          <w:color w:val="000000" w:themeColor="text1"/>
          <w:sz w:val="20"/>
          <w:szCs w:val="20"/>
          <w:lang w:val="en-US"/>
        </w:rPr>
        <w:t xml:space="preserve"> 2008; </w:t>
      </w:r>
      <w:r>
        <w:rPr>
          <w:rFonts w:ascii="Book Antiqua" w:hAnsi="Book Antiqua"/>
          <w:b/>
          <w:color w:val="000000" w:themeColor="text1"/>
          <w:sz w:val="20"/>
          <w:szCs w:val="20"/>
          <w:lang w:val="en-US"/>
        </w:rPr>
        <w:t>5</w:t>
      </w:r>
      <w:r>
        <w:rPr>
          <w:rFonts w:ascii="Book Antiqua" w:hAnsi="Book Antiqua"/>
          <w:color w:val="000000" w:themeColor="text1"/>
          <w:sz w:val="20"/>
          <w:szCs w:val="20"/>
          <w:lang w:val="en-US"/>
        </w:rPr>
        <w:t>: 475-494 [PMID: 18573047 DOI: 10.1586/17434440.5.4.475]</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29 </w:t>
      </w:r>
      <w:r>
        <w:rPr>
          <w:rFonts w:ascii="Book Antiqua" w:hAnsi="Book Antiqua"/>
          <w:b/>
          <w:color w:val="000000" w:themeColor="text1"/>
          <w:sz w:val="20"/>
          <w:szCs w:val="20"/>
          <w:lang w:val="en-US"/>
        </w:rPr>
        <w:t>Islam I</w:t>
      </w:r>
      <w:r>
        <w:rPr>
          <w:rFonts w:ascii="Book Antiqua" w:hAnsi="Book Antiqua"/>
          <w:color w:val="000000" w:themeColor="text1"/>
          <w:sz w:val="20"/>
          <w:szCs w:val="20"/>
          <w:lang w:val="en-US"/>
        </w:rPr>
        <w:t xml:space="preserve">, Chng HK, Yap AU. X-ray diffraction analysis of mineral trioxide aggregate and Portland cement. </w:t>
      </w:r>
      <w:r>
        <w:rPr>
          <w:rFonts w:ascii="Book Antiqua" w:hAnsi="Book Antiqua"/>
          <w:i/>
          <w:color w:val="000000" w:themeColor="text1"/>
          <w:sz w:val="20"/>
          <w:szCs w:val="20"/>
          <w:lang w:val="en-US"/>
        </w:rPr>
        <w:t>Int Endod J</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39</w:t>
      </w:r>
      <w:r>
        <w:rPr>
          <w:rFonts w:ascii="Book Antiqua" w:hAnsi="Book Antiqua"/>
          <w:color w:val="000000" w:themeColor="text1"/>
          <w:sz w:val="20"/>
          <w:szCs w:val="20"/>
          <w:lang w:val="en-US"/>
        </w:rPr>
        <w:t>: 220-225 [PMID: 16507076 DOI: 10.1111/j.1365-2591.2006.01077.x]</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color w:val="000000" w:themeColor="text1"/>
          <w:sz w:val="20"/>
          <w:szCs w:val="20"/>
          <w:lang w:val="en-US"/>
        </w:rPr>
        <w:t xml:space="preserve">30 </w:t>
      </w:r>
      <w:r>
        <w:rPr>
          <w:rFonts w:ascii="Book Antiqua" w:hAnsi="Book Antiqua"/>
          <w:b/>
          <w:color w:val="000000" w:themeColor="text1"/>
          <w:sz w:val="20"/>
          <w:szCs w:val="20"/>
          <w:lang w:val="en-US"/>
        </w:rPr>
        <w:t>Gancedo-Caravia L</w:t>
      </w:r>
      <w:r>
        <w:rPr>
          <w:rFonts w:ascii="Book Antiqua" w:hAnsi="Book Antiqua"/>
          <w:color w:val="000000" w:themeColor="text1"/>
          <w:sz w:val="20"/>
          <w:szCs w:val="20"/>
          <w:lang w:val="en-US"/>
        </w:rPr>
        <w:t>, Garcia-Barbero E. Influence of humidity and s</w:t>
      </w:r>
      <w:r>
        <w:rPr>
          <w:rFonts w:ascii="Book Antiqua" w:hAnsi="Book Antiqua"/>
          <w:color w:val="000000" w:themeColor="text1"/>
          <w:sz w:val="20"/>
          <w:szCs w:val="20"/>
          <w:lang w:val="en-US"/>
        </w:rPr>
        <w:t xml:space="preserve">etting time on the push-out strength of mineral trioxide aggregate obturations. </w:t>
      </w:r>
      <w:r>
        <w:rPr>
          <w:rFonts w:ascii="Book Antiqua" w:hAnsi="Book Antiqua"/>
          <w:i/>
          <w:color w:val="000000" w:themeColor="text1"/>
          <w:sz w:val="20"/>
          <w:szCs w:val="20"/>
          <w:lang w:val="en-US"/>
        </w:rPr>
        <w:t>J Endod</w:t>
      </w:r>
      <w:r>
        <w:rPr>
          <w:rFonts w:ascii="Book Antiqua" w:hAnsi="Book Antiqua"/>
          <w:color w:val="000000" w:themeColor="text1"/>
          <w:sz w:val="20"/>
          <w:szCs w:val="20"/>
          <w:lang w:val="en-US"/>
        </w:rPr>
        <w:t xml:space="preserve"> 2006; </w:t>
      </w:r>
      <w:r>
        <w:rPr>
          <w:rFonts w:ascii="Book Antiqua" w:hAnsi="Book Antiqua"/>
          <w:b/>
          <w:color w:val="000000" w:themeColor="text1"/>
          <w:sz w:val="20"/>
          <w:szCs w:val="20"/>
          <w:lang w:val="en-US"/>
        </w:rPr>
        <w:t>32</w:t>
      </w:r>
      <w:r>
        <w:rPr>
          <w:rFonts w:ascii="Book Antiqua" w:hAnsi="Book Antiqua"/>
          <w:color w:val="000000" w:themeColor="text1"/>
          <w:sz w:val="20"/>
          <w:szCs w:val="20"/>
          <w:lang w:val="en-US"/>
        </w:rPr>
        <w:t>: 894-896 [PMID: 16934637 DOI: 10.1016/j.joen.2006.03.004]</w:t>
      </w:r>
    </w:p>
    <w:p w:rsidR="00925A10" w:rsidRDefault="00FC5E1B">
      <w:pPr>
        <w:widowControl/>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br w:type="page"/>
      </w:r>
    </w:p>
    <w:p w:rsidR="00925A10" w:rsidRDefault="00FC5E1B">
      <w:pPr>
        <w:adjustRightInd w:val="0"/>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lastRenderedPageBreak/>
        <w:t>Footnotes</w:t>
      </w:r>
    </w:p>
    <w:p w:rsidR="00925A10" w:rsidRDefault="00FC5E1B">
      <w:pPr>
        <w:snapToGrid w:val="0"/>
        <w:spacing w:line="360" w:lineRule="auto"/>
        <w:rPr>
          <w:rFonts w:ascii="Book Antiqua" w:eastAsia="DengXian" w:hAnsi="Book Antiqua"/>
          <w:color w:val="000000" w:themeColor="text1"/>
          <w:kern w:val="0"/>
          <w:sz w:val="20"/>
          <w:szCs w:val="20"/>
          <w:lang w:val="en-US"/>
        </w:rPr>
      </w:pPr>
      <w:r>
        <w:rPr>
          <w:rFonts w:ascii="Book Antiqua" w:hAnsi="Book Antiqua" w:cs="Tahoma"/>
          <w:b/>
          <w:color w:val="000000" w:themeColor="text1"/>
          <w:sz w:val="20"/>
          <w:szCs w:val="20"/>
          <w:lang w:val="en-US"/>
        </w:rPr>
        <w:t xml:space="preserve">Informed consent statement: </w:t>
      </w:r>
      <w:r>
        <w:rPr>
          <w:rFonts w:ascii="Book Antiqua" w:eastAsia="DengXian" w:hAnsi="Book Antiqua"/>
          <w:color w:val="000000" w:themeColor="text1"/>
          <w:kern w:val="0"/>
          <w:sz w:val="20"/>
          <w:szCs w:val="20"/>
          <w:lang w:val="en-US"/>
        </w:rPr>
        <w:t xml:space="preserve">Informed written consent was obtained from the patient for </w:t>
      </w:r>
      <w:r>
        <w:rPr>
          <w:rFonts w:ascii="Book Antiqua" w:eastAsia="DengXian" w:hAnsi="Book Antiqua"/>
          <w:color w:val="000000" w:themeColor="text1"/>
          <w:kern w:val="0"/>
          <w:sz w:val="20"/>
          <w:szCs w:val="20"/>
          <w:lang w:val="en-US"/>
        </w:rPr>
        <w:t>publication of this report and any accompanying images.</w:t>
      </w:r>
    </w:p>
    <w:p w:rsidR="00925A10" w:rsidRDefault="00925A10">
      <w:pPr>
        <w:snapToGrid w:val="0"/>
        <w:spacing w:line="360" w:lineRule="auto"/>
        <w:rPr>
          <w:rFonts w:ascii="Book Antiqua" w:eastAsia="DengXian" w:hAnsi="Book Antiqua"/>
          <w:color w:val="000000" w:themeColor="text1"/>
          <w:kern w:val="0"/>
          <w:sz w:val="20"/>
          <w:szCs w:val="20"/>
          <w:lang w:val="en-US"/>
        </w:rPr>
      </w:pPr>
    </w:p>
    <w:p w:rsidR="00925A10" w:rsidRDefault="00FC5E1B">
      <w:pPr>
        <w:pStyle w:val="1"/>
        <w:snapToGrid w:val="0"/>
        <w:spacing w:line="360" w:lineRule="auto"/>
        <w:rPr>
          <w:rFonts w:ascii="Book Antiqua" w:hAnsi="Book Antiqua"/>
          <w:color w:val="000000" w:themeColor="text1"/>
          <w:sz w:val="20"/>
          <w:szCs w:val="20"/>
        </w:rPr>
      </w:pPr>
      <w:r>
        <w:rPr>
          <w:rFonts w:ascii="Book Antiqua" w:hAnsi="Book Antiqua" w:cs="Tahoma"/>
          <w:b/>
          <w:color w:val="000000" w:themeColor="text1"/>
          <w:sz w:val="20"/>
          <w:szCs w:val="20"/>
        </w:rPr>
        <w:t>Conflict-of-interest statement:</w:t>
      </w:r>
      <w:r>
        <w:rPr>
          <w:rFonts w:ascii="Book Antiqua" w:hAnsi="Book Antiqua" w:cs="Tahoma"/>
          <w:color w:val="000000" w:themeColor="text1"/>
          <w:sz w:val="20"/>
          <w:szCs w:val="20"/>
        </w:rPr>
        <w:t xml:space="preserve"> </w:t>
      </w:r>
      <w:r>
        <w:rPr>
          <w:rFonts w:ascii="Book Antiqua" w:hAnsi="Book Antiqua"/>
          <w:color w:val="000000" w:themeColor="text1"/>
          <w:sz w:val="20"/>
          <w:szCs w:val="20"/>
        </w:rPr>
        <w:t>The author denies any conflict of interest related to this article.</w:t>
      </w:r>
    </w:p>
    <w:p w:rsidR="00925A10" w:rsidRDefault="00925A10">
      <w:pPr>
        <w:pStyle w:val="1"/>
        <w:snapToGrid w:val="0"/>
        <w:spacing w:line="360" w:lineRule="auto"/>
        <w:rPr>
          <w:rFonts w:ascii="Book Antiqua" w:hAnsi="Book Antiqua"/>
          <w:color w:val="000000" w:themeColor="text1"/>
          <w:sz w:val="20"/>
          <w:szCs w:val="20"/>
        </w:rPr>
      </w:pPr>
    </w:p>
    <w:p w:rsidR="00925A10" w:rsidRDefault="00FC5E1B">
      <w:pPr>
        <w:autoSpaceDE w:val="0"/>
        <w:autoSpaceDN w:val="0"/>
        <w:adjustRightInd w:val="0"/>
        <w:snapToGrid w:val="0"/>
        <w:spacing w:line="360" w:lineRule="auto"/>
        <w:rPr>
          <w:rFonts w:ascii="Book Antiqua" w:eastAsia="宋体" w:hAnsi="Book Antiqua" w:cs="Times New Roman"/>
          <w:color w:val="000000" w:themeColor="text1"/>
          <w:sz w:val="20"/>
          <w:szCs w:val="20"/>
          <w:lang w:val="en-US"/>
        </w:rPr>
      </w:pPr>
      <w:r>
        <w:rPr>
          <w:rFonts w:ascii="Book Antiqua" w:hAnsi="Book Antiqua" w:cs="Tahoma"/>
          <w:b/>
          <w:color w:val="000000" w:themeColor="text1"/>
          <w:sz w:val="20"/>
          <w:szCs w:val="20"/>
          <w:lang w:val="en-US"/>
        </w:rPr>
        <w:t>CARE Checklist (2016) statement:</w:t>
      </w:r>
      <w:r>
        <w:rPr>
          <w:rFonts w:ascii="Book Antiqua" w:hAnsi="Book Antiqua" w:cs="Tahoma"/>
          <w:color w:val="000000" w:themeColor="text1"/>
          <w:sz w:val="20"/>
          <w:szCs w:val="20"/>
          <w:lang w:val="en-US"/>
        </w:rPr>
        <w:t xml:space="preserve"> </w:t>
      </w:r>
      <w:r>
        <w:rPr>
          <w:rFonts w:ascii="Book Antiqua" w:hAnsi="Book Antiqua" w:cs="TimesNewRomanPSMT"/>
          <w:color w:val="000000" w:themeColor="text1"/>
          <w:sz w:val="20"/>
          <w:szCs w:val="20"/>
          <w:lang w:val="en-US"/>
        </w:rPr>
        <w:t xml:space="preserve">The authors have read the CARE Checklist (2016), and the </w:t>
      </w:r>
      <w:r>
        <w:rPr>
          <w:rFonts w:ascii="Book Antiqua" w:hAnsi="Book Antiqua" w:cs="TimesNewRomanPSMT"/>
          <w:color w:val="000000" w:themeColor="text1"/>
          <w:sz w:val="20"/>
          <w:szCs w:val="20"/>
          <w:lang w:val="en-US"/>
        </w:rPr>
        <w:t>manuscript was prepared and revised according to the CARE Checklist (2016).</w:t>
      </w:r>
    </w:p>
    <w:p w:rsidR="00925A10" w:rsidRDefault="00925A10">
      <w:pPr>
        <w:adjustRightInd w:val="0"/>
        <w:snapToGrid w:val="0"/>
        <w:spacing w:line="360" w:lineRule="auto"/>
        <w:rPr>
          <w:rFonts w:ascii="Book Antiqua" w:hAnsi="Book Antiqua" w:cstheme="minorHAnsi"/>
          <w:b/>
          <w:bCs/>
          <w:color w:val="000000" w:themeColor="text1"/>
          <w:sz w:val="20"/>
          <w:szCs w:val="20"/>
          <w:lang w:val="en-US"/>
        </w:rPr>
      </w:pPr>
    </w:p>
    <w:p w:rsidR="00925A10" w:rsidRDefault="00FC5E1B">
      <w:pPr>
        <w:adjustRightInd w:val="0"/>
        <w:snapToGrid w:val="0"/>
        <w:spacing w:line="360" w:lineRule="auto"/>
        <w:rPr>
          <w:rFonts w:ascii="Book Antiqua" w:hAnsi="Book Antiqua"/>
          <w:color w:val="000000" w:themeColor="text1"/>
          <w:sz w:val="20"/>
          <w:szCs w:val="20"/>
          <w:lang w:val="en-US"/>
        </w:rPr>
      </w:pPr>
      <w:r>
        <w:rPr>
          <w:rFonts w:ascii="Book Antiqua" w:hAnsi="Book Antiqua"/>
          <w:b/>
          <w:color w:val="000000" w:themeColor="text1"/>
          <w:sz w:val="20"/>
          <w:szCs w:val="20"/>
          <w:lang w:val="en-US"/>
        </w:rPr>
        <w:t>Open-Access:</w:t>
      </w:r>
      <w:r>
        <w:rPr>
          <w:rFonts w:ascii="Book Antiqua" w:hAnsi="Book Antiqua"/>
          <w:color w:val="000000" w:themeColor="text1"/>
          <w:sz w:val="20"/>
          <w:szCs w:val="20"/>
          <w:lang w:val="en-US"/>
        </w:rPr>
        <w:t xml:space="preserve"> This article is an open-access article that was selected by an in-house editor and fully peer-reviewed by external reviewers. It is distributed in accordance with the Creative Commons Attribution NonCommercial (CC BY-NC 4.0) license, which permits others </w:t>
      </w:r>
      <w:r>
        <w:rPr>
          <w:rFonts w:ascii="Book Antiqua" w:hAnsi="Book Antiqua"/>
          <w:color w:val="000000" w:themeColor="text1"/>
          <w:sz w:val="20"/>
          <w:szCs w:val="20"/>
          <w:lang w:val="en-US"/>
        </w:rPr>
        <w:t>to distribute, remix, adapt, build upon this work non-commercially, and license their derivative works on different terms, provided the original work is properly cited and the use is non-commercial. See: http://creativecommons.org/licenses/by-nc/4.0/</w:t>
      </w:r>
    </w:p>
    <w:p w:rsidR="00925A10" w:rsidRDefault="00925A10">
      <w:pPr>
        <w:adjustRightInd w:val="0"/>
        <w:snapToGrid w:val="0"/>
        <w:spacing w:line="360" w:lineRule="auto"/>
        <w:rPr>
          <w:rFonts w:ascii="Book Antiqua" w:hAnsi="Book Antiqua" w:cstheme="minorHAnsi"/>
          <w:b/>
          <w:bCs/>
          <w:color w:val="000000" w:themeColor="text1"/>
          <w:sz w:val="20"/>
          <w:szCs w:val="20"/>
          <w:lang w:val="en-US"/>
        </w:rPr>
      </w:pPr>
    </w:p>
    <w:p w:rsidR="00925A10" w:rsidRDefault="00FC5E1B">
      <w:pPr>
        <w:adjustRightInd w:val="0"/>
        <w:snapToGrid w:val="0"/>
        <w:spacing w:line="360" w:lineRule="auto"/>
        <w:rPr>
          <w:rFonts w:ascii="Book Antiqua" w:eastAsia="宋体" w:hAnsi="Book Antiqua" w:cs="宋体"/>
          <w:color w:val="000000" w:themeColor="text1"/>
          <w:sz w:val="20"/>
          <w:szCs w:val="20"/>
          <w:lang w:val="en-US"/>
        </w:rPr>
      </w:pPr>
      <w:r>
        <w:rPr>
          <w:rFonts w:ascii="Book Antiqua" w:eastAsia="宋体" w:hAnsi="Book Antiqua" w:cs="宋体"/>
          <w:b/>
          <w:color w:val="000000" w:themeColor="text1"/>
          <w:sz w:val="20"/>
          <w:szCs w:val="20"/>
          <w:lang w:val="en-US"/>
        </w:rPr>
        <w:t>Manu</w:t>
      </w:r>
      <w:r>
        <w:rPr>
          <w:rFonts w:ascii="Book Antiqua" w:eastAsia="宋体" w:hAnsi="Book Antiqua" w:cs="宋体"/>
          <w:b/>
          <w:color w:val="000000" w:themeColor="text1"/>
          <w:sz w:val="20"/>
          <w:szCs w:val="20"/>
          <w:lang w:val="en-US"/>
        </w:rPr>
        <w:t>script source:</w:t>
      </w:r>
      <w:r>
        <w:rPr>
          <w:rFonts w:ascii="Book Antiqua" w:eastAsia="宋体" w:hAnsi="Book Antiqua" w:cs="宋体"/>
          <w:color w:val="000000" w:themeColor="text1"/>
          <w:sz w:val="20"/>
          <w:szCs w:val="20"/>
          <w:lang w:val="en-US"/>
        </w:rPr>
        <w:t> Unsolicited manuscript</w:t>
      </w:r>
    </w:p>
    <w:p w:rsidR="00925A10" w:rsidRDefault="00925A10">
      <w:pPr>
        <w:adjustRightInd w:val="0"/>
        <w:snapToGrid w:val="0"/>
        <w:spacing w:line="360" w:lineRule="auto"/>
        <w:rPr>
          <w:rFonts w:ascii="Book Antiqua" w:eastAsia="宋体" w:hAnsi="Book Antiqua" w:cs="宋体"/>
          <w:color w:val="000000" w:themeColor="text1"/>
          <w:sz w:val="20"/>
          <w:szCs w:val="20"/>
          <w:lang w:val="en-US"/>
        </w:rPr>
      </w:pP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Peer-review started:</w:t>
      </w:r>
      <w:r>
        <w:rPr>
          <w:rFonts w:ascii="Book Antiqua" w:hAnsi="Book Antiqua"/>
          <w:color w:val="000000" w:themeColor="text1"/>
          <w:sz w:val="20"/>
          <w:szCs w:val="20"/>
          <w:lang w:val="en-US"/>
        </w:rPr>
        <w:t xml:space="preserve"> November 26, 2019</w:t>
      </w:r>
    </w:p>
    <w:p w:rsidR="00925A10" w:rsidRDefault="00FC5E1B">
      <w:pPr>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t>First decision:</w:t>
      </w:r>
      <w:r>
        <w:rPr>
          <w:rFonts w:ascii="Book Antiqua" w:hAnsi="Book Antiqua"/>
          <w:color w:val="000000" w:themeColor="text1"/>
          <w:sz w:val="20"/>
          <w:szCs w:val="20"/>
          <w:lang w:val="en-US"/>
        </w:rPr>
        <w:t xml:space="preserve"> January 19, 2020</w:t>
      </w:r>
    </w:p>
    <w:p w:rsidR="00925A10" w:rsidRDefault="00FC5E1B">
      <w:pPr>
        <w:snapToGrid w:val="0"/>
        <w:spacing w:line="360" w:lineRule="auto"/>
        <w:rPr>
          <w:rFonts w:ascii="Book Antiqua" w:hAnsi="Book Antiqua"/>
          <w:color w:val="000000" w:themeColor="text1"/>
          <w:sz w:val="20"/>
          <w:szCs w:val="20"/>
          <w:lang w:val="en-US"/>
        </w:rPr>
      </w:pPr>
      <w:r>
        <w:rPr>
          <w:rFonts w:ascii="Book Antiqua" w:hAnsi="Book Antiqua"/>
          <w:b/>
          <w:color w:val="000000" w:themeColor="text1"/>
          <w:sz w:val="20"/>
          <w:szCs w:val="20"/>
          <w:lang w:val="en-US"/>
        </w:rPr>
        <w:t>Article in press:</w:t>
      </w:r>
      <w:r>
        <w:rPr>
          <w:rFonts w:ascii="Book Antiqua" w:hAnsi="Book Antiqua"/>
          <w:color w:val="000000" w:themeColor="text1"/>
          <w:sz w:val="20"/>
          <w:szCs w:val="20"/>
          <w:lang w:val="en-US"/>
        </w:rPr>
        <w:t xml:space="preserve"> </w:t>
      </w:r>
    </w:p>
    <w:p w:rsidR="00925A10" w:rsidRDefault="00925A10">
      <w:pPr>
        <w:snapToGrid w:val="0"/>
        <w:spacing w:line="360" w:lineRule="auto"/>
        <w:rPr>
          <w:rFonts w:ascii="Book Antiqua" w:hAnsi="Book Antiqua"/>
          <w:color w:val="000000" w:themeColor="text1"/>
          <w:sz w:val="20"/>
          <w:szCs w:val="20"/>
          <w:lang w:val="en-US"/>
        </w:rPr>
      </w:pPr>
    </w:p>
    <w:p w:rsidR="00925A10" w:rsidRDefault="00FC5E1B">
      <w:pPr>
        <w:snapToGrid w:val="0"/>
        <w:spacing w:line="360" w:lineRule="auto"/>
        <w:rPr>
          <w:rFonts w:ascii="Book Antiqua" w:eastAsia="宋体" w:hAnsi="Book Antiqua" w:cs="Helvetica"/>
          <w:b/>
          <w:color w:val="000000" w:themeColor="text1"/>
          <w:sz w:val="20"/>
          <w:szCs w:val="20"/>
          <w:lang w:val="en-US"/>
        </w:rPr>
      </w:pPr>
      <w:r>
        <w:rPr>
          <w:rFonts w:ascii="Book Antiqua" w:eastAsia="宋体" w:hAnsi="Book Antiqua" w:cs="Helvetica"/>
          <w:b/>
          <w:color w:val="000000" w:themeColor="text1"/>
          <w:sz w:val="20"/>
          <w:szCs w:val="20"/>
          <w:lang w:val="en-US"/>
        </w:rPr>
        <w:t xml:space="preserve">Specialty type: </w:t>
      </w:r>
      <w:r>
        <w:rPr>
          <w:rFonts w:ascii="Book Antiqua" w:eastAsia="微软雅黑" w:hAnsi="Book Antiqua" w:cs="宋体"/>
          <w:color w:val="000000" w:themeColor="text1"/>
          <w:sz w:val="20"/>
          <w:szCs w:val="20"/>
          <w:lang w:val="en-US"/>
        </w:rPr>
        <w:t>Medicine, research and experimental</w:t>
      </w:r>
    </w:p>
    <w:p w:rsidR="00925A10" w:rsidRDefault="00FC5E1B">
      <w:pPr>
        <w:snapToGrid w:val="0"/>
        <w:spacing w:line="360" w:lineRule="auto"/>
        <w:rPr>
          <w:rFonts w:ascii="Book Antiqua" w:eastAsia="宋体" w:hAnsi="Book Antiqua" w:cs="Helvetica"/>
          <w:b/>
          <w:color w:val="000000" w:themeColor="text1"/>
          <w:sz w:val="20"/>
          <w:szCs w:val="20"/>
          <w:lang w:val="en-US"/>
        </w:rPr>
      </w:pPr>
      <w:r>
        <w:rPr>
          <w:rFonts w:ascii="Book Antiqua" w:eastAsia="宋体" w:hAnsi="Book Antiqua" w:cs="Helvetica"/>
          <w:b/>
          <w:color w:val="000000" w:themeColor="text1"/>
          <w:sz w:val="20"/>
          <w:szCs w:val="20"/>
          <w:lang w:val="en-US"/>
        </w:rPr>
        <w:t xml:space="preserve">Country of origin: </w:t>
      </w:r>
      <w:r>
        <w:rPr>
          <w:rFonts w:ascii="Book Antiqua" w:eastAsia="宋体" w:hAnsi="Book Antiqua" w:cs="Helvetica"/>
          <w:bCs/>
          <w:color w:val="000000" w:themeColor="text1"/>
          <w:sz w:val="20"/>
          <w:szCs w:val="20"/>
          <w:lang w:val="en-US"/>
        </w:rPr>
        <w:t>China</w:t>
      </w:r>
    </w:p>
    <w:p w:rsidR="00925A10" w:rsidRDefault="00FC5E1B">
      <w:pPr>
        <w:snapToGrid w:val="0"/>
        <w:spacing w:line="360" w:lineRule="auto"/>
        <w:rPr>
          <w:rFonts w:ascii="Book Antiqua" w:eastAsia="宋体" w:hAnsi="Book Antiqua" w:cs="Helvetica"/>
          <w:b/>
          <w:color w:val="000000" w:themeColor="text1"/>
          <w:sz w:val="20"/>
          <w:szCs w:val="20"/>
          <w:lang w:val="en-US"/>
        </w:rPr>
      </w:pPr>
      <w:r>
        <w:rPr>
          <w:rFonts w:ascii="Book Antiqua" w:eastAsia="宋体" w:hAnsi="Book Antiqua" w:cs="Helvetica"/>
          <w:b/>
          <w:color w:val="000000" w:themeColor="text1"/>
          <w:sz w:val="20"/>
          <w:szCs w:val="20"/>
          <w:lang w:val="en-US"/>
        </w:rPr>
        <w:t>Peer-review report classification</w:t>
      </w:r>
    </w:p>
    <w:p w:rsidR="00925A10" w:rsidRDefault="00FC5E1B">
      <w:pPr>
        <w:snapToGrid w:val="0"/>
        <w:spacing w:line="360" w:lineRule="auto"/>
        <w:rPr>
          <w:rFonts w:ascii="Book Antiqua" w:eastAsia="宋体" w:hAnsi="Book Antiqua" w:cs="Helvetica"/>
          <w:color w:val="000000" w:themeColor="text1"/>
          <w:sz w:val="20"/>
          <w:szCs w:val="20"/>
          <w:lang w:val="en-US"/>
        </w:rPr>
      </w:pPr>
      <w:r>
        <w:rPr>
          <w:rFonts w:ascii="Book Antiqua" w:eastAsia="宋体" w:hAnsi="Book Antiqua" w:cs="Helvetica"/>
          <w:color w:val="000000" w:themeColor="text1"/>
          <w:sz w:val="20"/>
          <w:szCs w:val="20"/>
          <w:lang w:val="en-US"/>
        </w:rPr>
        <w:t xml:space="preserve">Grade A </w:t>
      </w:r>
      <w:r>
        <w:rPr>
          <w:rFonts w:ascii="Book Antiqua" w:eastAsia="宋体" w:hAnsi="Book Antiqua" w:cs="Helvetica"/>
          <w:color w:val="000000" w:themeColor="text1"/>
          <w:sz w:val="20"/>
          <w:szCs w:val="20"/>
          <w:lang w:val="en-US"/>
        </w:rPr>
        <w:t>(Excellent): 0</w:t>
      </w:r>
    </w:p>
    <w:p w:rsidR="00925A10" w:rsidRDefault="00FC5E1B">
      <w:pPr>
        <w:snapToGrid w:val="0"/>
        <w:spacing w:line="360" w:lineRule="auto"/>
        <w:rPr>
          <w:rFonts w:ascii="Book Antiqua" w:eastAsia="宋体" w:hAnsi="Book Antiqua" w:cs="Helvetica"/>
          <w:color w:val="000000" w:themeColor="text1"/>
          <w:sz w:val="20"/>
          <w:szCs w:val="20"/>
          <w:lang w:val="en-US"/>
        </w:rPr>
      </w:pPr>
      <w:r>
        <w:rPr>
          <w:rFonts w:ascii="Book Antiqua" w:eastAsia="宋体" w:hAnsi="Book Antiqua" w:cs="Helvetica"/>
          <w:color w:val="000000" w:themeColor="text1"/>
          <w:sz w:val="20"/>
          <w:szCs w:val="20"/>
          <w:lang w:val="en-US"/>
        </w:rPr>
        <w:t>Grade B (Very good): B</w:t>
      </w:r>
    </w:p>
    <w:p w:rsidR="00925A10" w:rsidRDefault="00FC5E1B">
      <w:pPr>
        <w:snapToGrid w:val="0"/>
        <w:spacing w:line="360" w:lineRule="auto"/>
        <w:rPr>
          <w:rFonts w:ascii="Book Antiqua" w:eastAsia="宋体" w:hAnsi="Book Antiqua" w:cs="Helvetica"/>
          <w:color w:val="000000" w:themeColor="text1"/>
          <w:sz w:val="20"/>
          <w:szCs w:val="20"/>
          <w:lang w:val="en-US"/>
        </w:rPr>
      </w:pPr>
      <w:r>
        <w:rPr>
          <w:rFonts w:ascii="Book Antiqua" w:eastAsia="宋体" w:hAnsi="Book Antiqua" w:cs="Helvetica"/>
          <w:color w:val="000000" w:themeColor="text1"/>
          <w:sz w:val="20"/>
          <w:szCs w:val="20"/>
          <w:lang w:val="en-US"/>
        </w:rPr>
        <w:t>Grade C (Good): C</w:t>
      </w:r>
    </w:p>
    <w:p w:rsidR="00925A10" w:rsidRDefault="00FC5E1B">
      <w:pPr>
        <w:snapToGrid w:val="0"/>
        <w:spacing w:line="360" w:lineRule="auto"/>
        <w:rPr>
          <w:rFonts w:ascii="Book Antiqua" w:eastAsia="宋体" w:hAnsi="Book Antiqua" w:cs="Helvetica"/>
          <w:color w:val="000000" w:themeColor="text1"/>
          <w:sz w:val="20"/>
          <w:szCs w:val="20"/>
          <w:lang w:val="en-US"/>
        </w:rPr>
      </w:pPr>
      <w:r>
        <w:rPr>
          <w:rFonts w:ascii="Book Antiqua" w:eastAsia="宋体" w:hAnsi="Book Antiqua" w:cs="Helvetica"/>
          <w:color w:val="000000" w:themeColor="text1"/>
          <w:sz w:val="20"/>
          <w:szCs w:val="20"/>
          <w:lang w:val="en-US"/>
        </w:rPr>
        <w:t xml:space="preserve">Grade D (Fair): 0 </w:t>
      </w:r>
    </w:p>
    <w:p w:rsidR="00925A10" w:rsidRDefault="00FC5E1B">
      <w:pPr>
        <w:snapToGrid w:val="0"/>
        <w:spacing w:line="360" w:lineRule="auto"/>
        <w:rPr>
          <w:rFonts w:ascii="Book Antiqua" w:hAnsi="Book Antiqua" w:cs="Calibri"/>
          <w:color w:val="000000" w:themeColor="text1"/>
          <w:sz w:val="20"/>
          <w:szCs w:val="20"/>
          <w:lang w:val="en-US"/>
        </w:rPr>
      </w:pPr>
      <w:r>
        <w:rPr>
          <w:rFonts w:ascii="Book Antiqua" w:eastAsia="宋体" w:hAnsi="Book Antiqua" w:cs="Helvetica"/>
          <w:color w:val="000000" w:themeColor="text1"/>
          <w:sz w:val="20"/>
          <w:szCs w:val="20"/>
          <w:lang w:val="en-US"/>
        </w:rPr>
        <w:t>Grade E (Poor): 0</w:t>
      </w:r>
    </w:p>
    <w:p w:rsidR="00925A10" w:rsidRDefault="00925A10">
      <w:pPr>
        <w:pStyle w:val="af2"/>
        <w:snapToGrid w:val="0"/>
        <w:spacing w:after="0" w:line="360" w:lineRule="auto"/>
        <w:ind w:left="0"/>
        <w:contextualSpacing w:val="0"/>
        <w:jc w:val="both"/>
        <w:rPr>
          <w:rFonts w:ascii="Book Antiqua" w:hAnsi="Book Antiqua" w:cs="Calibri"/>
          <w:color w:val="000000" w:themeColor="text1"/>
          <w:sz w:val="20"/>
          <w:szCs w:val="20"/>
          <w:lang w:val="en-US" w:eastAsia="zh-CN"/>
        </w:rPr>
      </w:pPr>
    </w:p>
    <w:p w:rsidR="00925A10" w:rsidRDefault="00FC5E1B">
      <w:pPr>
        <w:widowControl/>
        <w:snapToGrid w:val="0"/>
        <w:spacing w:line="360" w:lineRule="auto"/>
        <w:rPr>
          <w:rFonts w:ascii="Book Antiqua" w:eastAsia="宋体" w:hAnsi="Book Antiqua" w:cs="宋体"/>
          <w:color w:val="000000" w:themeColor="text1"/>
          <w:kern w:val="0"/>
          <w:sz w:val="20"/>
          <w:szCs w:val="20"/>
          <w:lang w:val="en-US"/>
        </w:rPr>
      </w:pPr>
      <w:r>
        <w:rPr>
          <w:rFonts w:ascii="Book Antiqua" w:hAnsi="Book Antiqua"/>
          <w:b/>
          <w:color w:val="000000" w:themeColor="text1"/>
          <w:sz w:val="20"/>
          <w:szCs w:val="20"/>
          <w:lang w:val="en-US"/>
        </w:rPr>
        <w:t xml:space="preserve">P-Reviewer: </w:t>
      </w:r>
      <w:r>
        <w:rPr>
          <w:rFonts w:ascii="Book Antiqua" w:eastAsia="宋体" w:hAnsi="Book Antiqua" w:cs="宋体"/>
          <w:color w:val="000000" w:themeColor="text1"/>
          <w:kern w:val="0"/>
          <w:sz w:val="20"/>
          <w:szCs w:val="20"/>
          <w:shd w:val="clear" w:color="auto" w:fill="FFFFFF"/>
          <w:lang w:val="en-US"/>
        </w:rPr>
        <w:t>Dereci O, Muhvić-Urek</w:t>
      </w:r>
      <w:r>
        <w:rPr>
          <w:rFonts w:ascii="Book Antiqua" w:eastAsia="宋体" w:hAnsi="Book Antiqua" w:cs="宋体"/>
          <w:color w:val="000000" w:themeColor="text1"/>
          <w:kern w:val="0"/>
          <w:sz w:val="20"/>
          <w:szCs w:val="20"/>
          <w:lang w:val="en-US"/>
        </w:rPr>
        <w:t xml:space="preserve"> M</w:t>
      </w:r>
      <w:r>
        <w:rPr>
          <w:rFonts w:ascii="Book Antiqua" w:hAnsi="Book Antiqua"/>
          <w:color w:val="000000" w:themeColor="text1"/>
          <w:sz w:val="20"/>
          <w:szCs w:val="20"/>
          <w:lang w:val="en-US"/>
        </w:rPr>
        <w:t xml:space="preserve"> </w:t>
      </w:r>
      <w:r>
        <w:rPr>
          <w:rFonts w:ascii="Book Antiqua" w:hAnsi="Book Antiqua"/>
          <w:b/>
          <w:color w:val="000000" w:themeColor="text1"/>
          <w:sz w:val="20"/>
          <w:szCs w:val="20"/>
          <w:lang w:val="en-US"/>
        </w:rPr>
        <w:t xml:space="preserve">S-Editor: </w:t>
      </w:r>
      <w:r>
        <w:rPr>
          <w:rFonts w:ascii="Book Antiqua" w:hAnsi="Book Antiqua"/>
          <w:color w:val="000000" w:themeColor="text1"/>
          <w:sz w:val="20"/>
          <w:szCs w:val="20"/>
          <w:lang w:val="en-US"/>
        </w:rPr>
        <w:t xml:space="preserve">Dou Y </w:t>
      </w:r>
      <w:r>
        <w:rPr>
          <w:rFonts w:ascii="Book Antiqua" w:hAnsi="Book Antiqua"/>
          <w:b/>
          <w:color w:val="000000" w:themeColor="text1"/>
          <w:sz w:val="20"/>
          <w:szCs w:val="20"/>
          <w:lang w:val="en-US"/>
        </w:rPr>
        <w:t xml:space="preserve">L-Editor: </w:t>
      </w:r>
      <w:r>
        <w:rPr>
          <w:rFonts w:ascii="Book Antiqua" w:hAnsi="Book Antiqua"/>
          <w:color w:val="000000" w:themeColor="text1"/>
          <w:sz w:val="20"/>
          <w:szCs w:val="20"/>
          <w:lang w:val="en-US"/>
        </w:rPr>
        <w:t xml:space="preserve">Filipodia </w:t>
      </w:r>
      <w:r>
        <w:rPr>
          <w:rFonts w:ascii="Book Antiqua" w:hAnsi="Book Antiqua"/>
          <w:b/>
          <w:color w:val="000000" w:themeColor="text1"/>
          <w:sz w:val="20"/>
          <w:szCs w:val="20"/>
          <w:lang w:val="en-US"/>
        </w:rPr>
        <w:t xml:space="preserve">E-Editor: </w:t>
      </w:r>
    </w:p>
    <w:p w:rsidR="00925A10" w:rsidRDefault="00FC5E1B">
      <w:pPr>
        <w:snapToGrid w:val="0"/>
        <w:spacing w:line="360" w:lineRule="auto"/>
        <w:rPr>
          <w:rFonts w:ascii="Book Antiqua" w:eastAsia="宋体" w:hAnsi="Book Antiqua" w:cs="Courier New"/>
          <w:b/>
          <w:color w:val="000000" w:themeColor="text1"/>
          <w:sz w:val="20"/>
          <w:szCs w:val="20"/>
          <w:lang w:val="en-US"/>
        </w:rPr>
      </w:pPr>
      <w:r>
        <w:rPr>
          <w:rFonts w:ascii="Book Antiqua" w:hAnsi="Book Antiqua"/>
          <w:b/>
          <w:color w:val="000000" w:themeColor="text1"/>
          <w:sz w:val="20"/>
          <w:szCs w:val="20"/>
          <w:lang w:val="en-US"/>
        </w:rPr>
        <w:br w:type="page"/>
      </w:r>
    </w:p>
    <w:p w:rsidR="00925A10" w:rsidRDefault="00FC5E1B">
      <w:pPr>
        <w:adjustRightInd w:val="0"/>
        <w:snapToGrid w:val="0"/>
        <w:spacing w:line="360" w:lineRule="auto"/>
        <w:rPr>
          <w:rFonts w:ascii="Book Antiqua" w:hAnsi="Book Antiqua"/>
          <w:b/>
          <w:color w:val="000000" w:themeColor="text1"/>
          <w:sz w:val="20"/>
          <w:szCs w:val="20"/>
          <w:lang w:val="en-US"/>
        </w:rPr>
      </w:pPr>
      <w:r>
        <w:rPr>
          <w:rFonts w:ascii="Book Antiqua" w:hAnsi="Book Antiqua"/>
          <w:b/>
          <w:color w:val="000000" w:themeColor="text1"/>
          <w:sz w:val="20"/>
          <w:szCs w:val="20"/>
          <w:lang w:val="en-US"/>
        </w:rPr>
        <w:lastRenderedPageBreak/>
        <w:t>Figure Legends</w:t>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noProof/>
          <w:color w:val="000000" w:themeColor="text1"/>
          <w:sz w:val="20"/>
          <w:szCs w:val="20"/>
          <w:lang w:val="en-US" w:eastAsia="en-US"/>
        </w:rPr>
        <w:drawing>
          <wp:inline distT="0" distB="0" distL="114300" distR="114300">
            <wp:extent cx="3893185" cy="2842260"/>
            <wp:effectExtent l="0" t="0" r="8255" b="7620"/>
            <wp:docPr id="5" name="图片 5"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1"/>
                    <pic:cNvPicPr>
                      <a:picLocks noChangeAspect="1"/>
                    </pic:cNvPicPr>
                  </pic:nvPicPr>
                  <pic:blipFill>
                    <a:blip r:embed="rId9"/>
                    <a:stretch>
                      <a:fillRect/>
                    </a:stretch>
                  </pic:blipFill>
                  <pic:spPr>
                    <a:xfrm>
                      <a:off x="0" y="0"/>
                      <a:ext cx="3893185" cy="2842260"/>
                    </a:xfrm>
                    <a:prstGeom prst="rect">
                      <a:avLst/>
                    </a:prstGeom>
                  </pic:spPr>
                </pic:pic>
              </a:graphicData>
            </a:graphic>
          </wp:inline>
        </w:drawing>
      </w:r>
    </w:p>
    <w:p w:rsidR="00925A10" w:rsidRDefault="00FC5E1B">
      <w:pPr>
        <w:widowControl/>
        <w:snapToGrid w:val="0"/>
        <w:spacing w:line="360" w:lineRule="auto"/>
        <w:rPr>
          <w:rFonts w:ascii="Book Antiqua" w:eastAsia="宋体" w:hAnsi="Book Antiqua" w:cs="宋体"/>
          <w:color w:val="000000" w:themeColor="text1"/>
          <w:kern w:val="0"/>
          <w:sz w:val="20"/>
          <w:szCs w:val="20"/>
          <w:lang w:val="en-US"/>
        </w:rPr>
      </w:pPr>
      <w:r>
        <w:rPr>
          <w:rFonts w:ascii="Book Antiqua" w:hAnsi="Book Antiqua" w:cs="Times New Roman"/>
          <w:b/>
          <w:bCs/>
          <w:color w:val="000000" w:themeColor="text1"/>
          <w:sz w:val="20"/>
          <w:szCs w:val="20"/>
          <w:lang w:val="en-US"/>
        </w:rPr>
        <w:t xml:space="preserve">Figure 1 The intraoral examination before </w:t>
      </w:r>
      <w:r>
        <w:rPr>
          <w:rFonts w:ascii="Book Antiqua" w:hAnsi="Book Antiqua" w:cs="Times New Roman"/>
          <w:b/>
          <w:bCs/>
          <w:color w:val="000000" w:themeColor="text1"/>
          <w:sz w:val="20"/>
          <w:szCs w:val="20"/>
          <w:lang w:val="en-US"/>
        </w:rPr>
        <w:t xml:space="preserve">treatment. </w:t>
      </w:r>
      <w:r>
        <w:rPr>
          <w:rFonts w:ascii="Book Antiqua" w:hAnsi="Book Antiqua" w:cs="Times New Roman"/>
          <w:color w:val="000000" w:themeColor="text1"/>
          <w:sz w:val="20"/>
          <w:szCs w:val="20"/>
          <w:lang w:val="en-US"/>
        </w:rPr>
        <w:t xml:space="preserve">A: The lingual view: the tooth has unusual morphologic features; B: The labial view: the upper right lateral tooth is slightly </w:t>
      </w:r>
      <w:r>
        <w:rPr>
          <w:rFonts w:ascii="Book Antiqua" w:hAnsi="Book Antiqua" w:cs="Times New Roman"/>
          <w:color w:val="000000" w:themeColor="text1"/>
          <w:sz w:val="20"/>
          <w:szCs w:val="20"/>
          <w:lang w:val="en-US"/>
        </w:rPr>
        <w:t>discolored</w:t>
      </w:r>
      <w:r>
        <w:rPr>
          <w:rFonts w:ascii="Book Antiqua" w:hAnsi="Book Antiqua" w:cs="Times New Roman"/>
          <w:color w:val="000000" w:themeColor="text1"/>
          <w:sz w:val="20"/>
          <w:szCs w:val="20"/>
          <w:lang w:val="en-US"/>
        </w:rPr>
        <w:t>; C: A preoperative radiograph of the tooth showed a type</w:t>
      </w:r>
      <w:r>
        <w:rPr>
          <w:rFonts w:ascii="Book Antiqua" w:hAnsi="Book Antiqua" w:cs="Times New Roman"/>
          <w:color w:val="000000" w:themeColor="text1"/>
          <w:sz w:val="20"/>
          <w:szCs w:val="20"/>
          <w:lang w:val="en-US"/>
        </w:rPr>
        <w:t xml:space="preserve"> III</w:t>
      </w:r>
      <w:r>
        <w:rPr>
          <w:rFonts w:ascii="Book Antiqua" w:hAnsi="Book Antiqua" w:cs="Times New Roman"/>
          <w:color w:val="000000" w:themeColor="text1"/>
          <w:sz w:val="20"/>
          <w:szCs w:val="20"/>
          <w:lang w:val="en-US"/>
        </w:rPr>
        <w:t xml:space="preserve"> </w:t>
      </w:r>
      <w:r>
        <w:rPr>
          <w:rStyle w:val="fontstyle01"/>
          <w:rFonts w:ascii="Book Antiqua" w:hAnsi="Book Antiqua" w:cs="Times New Roman"/>
          <w:color w:val="000000" w:themeColor="text1"/>
          <w:lang w:val="en-US"/>
        </w:rPr>
        <w:t>dens invaginatus</w:t>
      </w:r>
      <w:r>
        <w:rPr>
          <w:rFonts w:ascii="Book Antiqua" w:hAnsi="Book Antiqua" w:cs="Times New Roman"/>
          <w:color w:val="000000" w:themeColor="text1"/>
          <w:sz w:val="20"/>
          <w:szCs w:val="20"/>
          <w:lang w:val="en-US"/>
        </w:rPr>
        <w:t xml:space="preserve"> and an associated large apical radiolucency.</w:t>
      </w:r>
    </w:p>
    <w:p w:rsidR="00925A10" w:rsidRDefault="00FC5E1B">
      <w:pPr>
        <w:widowControl/>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br w:type="page"/>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noProof/>
          <w:color w:val="000000" w:themeColor="text1"/>
          <w:sz w:val="20"/>
          <w:szCs w:val="20"/>
          <w:lang w:val="en-US" w:eastAsia="en-US"/>
        </w:rPr>
        <w:lastRenderedPageBreak/>
        <w:drawing>
          <wp:inline distT="0" distB="0" distL="0" distR="0">
            <wp:extent cx="5120640" cy="196596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0640" cy="1965960"/>
                    </a:xfrm>
                    <a:prstGeom prst="rect">
                      <a:avLst/>
                    </a:prstGeom>
                  </pic:spPr>
                </pic:pic>
              </a:graphicData>
            </a:graphic>
          </wp:inline>
        </w:drawing>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t xml:space="preserve">Figure 2 </w:t>
      </w:r>
      <w:r>
        <w:rPr>
          <w:rFonts w:ascii="Book Antiqua" w:hAnsi="Book Antiqua" w:cs="Times New Roman"/>
          <w:b/>
          <w:bCs/>
          <w:color w:val="000000" w:themeColor="text1"/>
          <w:sz w:val="20"/>
          <w:szCs w:val="20"/>
          <w:lang w:val="en-US"/>
        </w:rPr>
        <w:t>C</w:t>
      </w:r>
      <w:r>
        <w:rPr>
          <w:rFonts w:ascii="Book Antiqua" w:hAnsi="Book Antiqua" w:cs="Times New Roman"/>
          <w:b/>
          <w:bCs/>
          <w:color w:val="000000" w:themeColor="text1"/>
          <w:sz w:val="20"/>
          <w:szCs w:val="20"/>
          <w:lang w:val="en-US"/>
        </w:rPr>
        <w:t xml:space="preserve">one-beam computed tomography images of </w:t>
      </w:r>
      <w:r>
        <w:rPr>
          <w:rStyle w:val="fontstyle01"/>
          <w:rFonts w:ascii="Book Antiqua" w:hAnsi="Book Antiqua" w:cs="Times New Roman"/>
          <w:b/>
          <w:bCs/>
          <w:color w:val="000000" w:themeColor="text1"/>
          <w:lang w:val="en-US"/>
        </w:rPr>
        <w:t>dens invaginatus</w:t>
      </w:r>
      <w:r w:rsidRPr="00116C8D">
        <w:rPr>
          <w:rFonts w:ascii="Book Antiqua" w:hAnsi="Book Antiqua" w:cs="Times New Roman"/>
          <w:b/>
          <w:bCs/>
          <w:color w:val="000000" w:themeColor="text1"/>
          <w:sz w:val="20"/>
          <w:szCs w:val="20"/>
          <w:lang w:val="en-US"/>
        </w:rPr>
        <w:t xml:space="preserve">. </w:t>
      </w:r>
      <w:r>
        <w:rPr>
          <w:rFonts w:ascii="Book Antiqua" w:hAnsi="Book Antiqua" w:cs="Times New Roman"/>
          <w:color w:val="000000" w:themeColor="text1"/>
          <w:sz w:val="20"/>
          <w:szCs w:val="20"/>
          <w:lang w:val="en-US"/>
        </w:rPr>
        <w:t>A: The axial image; B: The sagittal image; C: The coronal sections image. A type</w:t>
      </w:r>
      <w:r>
        <w:rPr>
          <w:rFonts w:ascii="Book Antiqua" w:hAnsi="Book Antiqua" w:cs="Times New Roman"/>
          <w:color w:val="000000" w:themeColor="text1"/>
          <w:sz w:val="20"/>
          <w:szCs w:val="20"/>
          <w:lang w:val="en-US"/>
        </w:rPr>
        <w:t xml:space="preserve"> III</w:t>
      </w:r>
      <w:r>
        <w:rPr>
          <w:rFonts w:ascii="Book Antiqua" w:hAnsi="Book Antiqua" w:cs="Times New Roman"/>
          <w:color w:val="000000" w:themeColor="text1"/>
          <w:sz w:val="20"/>
          <w:szCs w:val="20"/>
          <w:lang w:val="en-US"/>
        </w:rPr>
        <w:t xml:space="preserve"> </w:t>
      </w:r>
      <w:r>
        <w:rPr>
          <w:rFonts w:ascii="Book Antiqua" w:hAnsi="Book Antiqua" w:cs="Times New Roman"/>
          <w:color w:val="000000" w:themeColor="text1"/>
          <w:sz w:val="20"/>
          <w:szCs w:val="20"/>
          <w:lang w:val="en-US"/>
        </w:rPr>
        <w:t xml:space="preserve">dens invaginatus tooth with apical </w:t>
      </w:r>
      <w:r>
        <w:rPr>
          <w:rFonts w:ascii="Book Antiqua" w:hAnsi="Book Antiqua" w:cs="Times New Roman"/>
          <w:color w:val="000000" w:themeColor="text1"/>
          <w:sz w:val="20"/>
          <w:szCs w:val="20"/>
          <w:shd w:val="clear" w:color="auto" w:fill="FFFFFF"/>
          <w:lang w:val="en-US"/>
        </w:rPr>
        <w:t>periodontitis</w:t>
      </w:r>
      <w:r>
        <w:rPr>
          <w:rFonts w:ascii="Book Antiqua" w:hAnsi="Book Antiqua" w:cs="Times New Roman"/>
          <w:color w:val="000000" w:themeColor="text1"/>
          <w:sz w:val="20"/>
          <w:szCs w:val="20"/>
          <w:lang w:val="en-US"/>
        </w:rPr>
        <w:t xml:space="preserve"> based on Oehlers classification can easily be seen in the images.</w:t>
      </w:r>
    </w:p>
    <w:p w:rsidR="00925A10" w:rsidRDefault="00FC5E1B">
      <w:pPr>
        <w:widowControl/>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br w:type="page"/>
      </w:r>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b/>
          <w:bCs/>
          <w:noProof/>
          <w:color w:val="000000" w:themeColor="text1"/>
          <w:sz w:val="20"/>
          <w:szCs w:val="20"/>
          <w:lang w:val="en-US" w:eastAsia="en-US"/>
        </w:rPr>
        <w:lastRenderedPageBreak/>
        <w:drawing>
          <wp:inline distT="0" distB="0" distL="114300" distR="114300">
            <wp:extent cx="4046855" cy="4561205"/>
            <wp:effectExtent l="0" t="0" r="6985" b="10795"/>
            <wp:docPr id="6" name="图片 6" descr="Fig 3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 3 H"/>
                    <pic:cNvPicPr>
                      <a:picLocks noChangeAspect="1"/>
                    </pic:cNvPicPr>
                  </pic:nvPicPr>
                  <pic:blipFill>
                    <a:blip r:embed="rId11"/>
                    <a:stretch>
                      <a:fillRect/>
                    </a:stretch>
                  </pic:blipFill>
                  <pic:spPr>
                    <a:xfrm>
                      <a:off x="0" y="0"/>
                      <a:ext cx="4046855" cy="4561205"/>
                    </a:xfrm>
                    <a:prstGeom prst="rect">
                      <a:avLst/>
                    </a:prstGeom>
                  </pic:spPr>
                </pic:pic>
              </a:graphicData>
            </a:graphic>
          </wp:inline>
        </w:drawing>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t xml:space="preserve">Figure 3 </w:t>
      </w:r>
      <w:r>
        <w:rPr>
          <w:rFonts w:ascii="Book Antiqua" w:hAnsi="Book Antiqua" w:cs="Times New Roman"/>
          <w:b/>
          <w:bCs/>
          <w:color w:val="000000" w:themeColor="text1"/>
          <w:sz w:val="20"/>
          <w:szCs w:val="20"/>
          <w:lang w:val="en-US"/>
        </w:rPr>
        <w:t>N</w:t>
      </w:r>
      <w:r>
        <w:rPr>
          <w:rFonts w:ascii="Book Antiqua" w:hAnsi="Book Antiqua" w:cs="Times New Roman"/>
          <w:b/>
          <w:bCs/>
          <w:color w:val="000000" w:themeColor="text1"/>
          <w:sz w:val="20"/>
          <w:szCs w:val="20"/>
          <w:lang w:val="en-US"/>
        </w:rPr>
        <w:t xml:space="preserve">on-surgical treatment process. </w:t>
      </w:r>
      <w:r>
        <w:rPr>
          <w:rFonts w:ascii="Book Antiqua" w:hAnsi="Book Antiqua" w:cs="Times New Roman"/>
          <w:color w:val="000000" w:themeColor="text1"/>
          <w:sz w:val="20"/>
          <w:szCs w:val="20"/>
          <w:lang w:val="en-US"/>
        </w:rPr>
        <w:t xml:space="preserve">A: Invaginated tooth seen under the dental operation microscope; B: Partially invaginated tooth taken out for the first step; C: </w:t>
      </w:r>
      <w:bookmarkStart w:id="36" w:name="OLE_LINK26"/>
      <w:r>
        <w:rPr>
          <w:rFonts w:ascii="Book Antiqua" w:hAnsi="Book Antiqua" w:cs="Times New Roman"/>
          <w:color w:val="000000" w:themeColor="text1"/>
          <w:sz w:val="20"/>
          <w:szCs w:val="20"/>
          <w:lang w:val="en-US"/>
        </w:rPr>
        <w:t xml:space="preserve">Intraoperative film </w:t>
      </w:r>
      <w:bookmarkEnd w:id="36"/>
      <w:r>
        <w:rPr>
          <w:rFonts w:ascii="Book Antiqua" w:hAnsi="Book Antiqua" w:cs="Times New Roman"/>
          <w:color w:val="000000" w:themeColor="text1"/>
          <w:sz w:val="20"/>
          <w:szCs w:val="20"/>
          <w:lang w:val="en-US"/>
        </w:rPr>
        <w:t xml:space="preserve">confirmed </w:t>
      </w:r>
      <w:r>
        <w:rPr>
          <w:rFonts w:ascii="Book Antiqua" w:hAnsi="Book Antiqua" w:cs="Times New Roman"/>
          <w:color w:val="000000" w:themeColor="text1"/>
          <w:sz w:val="20"/>
          <w:szCs w:val="20"/>
          <w:lang w:val="en-US"/>
        </w:rPr>
        <w:t xml:space="preserve">that </w:t>
      </w:r>
      <w:r>
        <w:rPr>
          <w:rFonts w:ascii="Book Antiqua" w:hAnsi="Book Antiqua" w:cs="Times New Roman"/>
          <w:color w:val="000000" w:themeColor="text1"/>
          <w:sz w:val="20"/>
          <w:szCs w:val="20"/>
          <w:lang w:val="en-US"/>
        </w:rPr>
        <w:t xml:space="preserve">the invaginated tooth was completely removed; D: </w:t>
      </w:r>
      <w:r>
        <w:rPr>
          <w:rFonts w:ascii="Book Antiqua" w:hAnsi="Book Antiqua" w:cs="Times New Roman"/>
          <w:i/>
          <w:iCs/>
          <w:color w:val="000000" w:themeColor="text1"/>
          <w:sz w:val="20"/>
          <w:szCs w:val="20"/>
          <w:lang w:val="en-US"/>
        </w:rPr>
        <w:t>In vitro</w:t>
      </w:r>
      <w:r>
        <w:rPr>
          <w:rFonts w:ascii="Book Antiqua" w:hAnsi="Book Antiqua" w:cs="Times New Roman"/>
          <w:color w:val="000000" w:themeColor="text1"/>
          <w:sz w:val="20"/>
          <w:szCs w:val="20"/>
          <w:lang w:val="en-US"/>
        </w:rPr>
        <w:t xml:space="preserve"> photo of a complete invaginated tooth; E: The canal was prepared with ultrasonic tip; F: The canal was irrigated with 1% sodium hypochlorite and saline; G: The canal was dried with absorbent paper points; H: Working length was confirmed with the X-ray den</w:t>
      </w:r>
      <w:r>
        <w:rPr>
          <w:rFonts w:ascii="Book Antiqua" w:hAnsi="Book Antiqua" w:cs="Times New Roman"/>
          <w:color w:val="000000" w:themeColor="text1"/>
          <w:sz w:val="20"/>
          <w:szCs w:val="20"/>
          <w:lang w:val="en-US"/>
        </w:rPr>
        <w:t xml:space="preserve">tal pictures; I: Mineral trioxide aggregate was seen under the dental operation microscope; J: A radiographic image showed the apical third root was obturated with 4 mm mineral trioxide aggregate; K: The remaining pulp space was obturated with </w:t>
      </w:r>
      <w:bookmarkStart w:id="37" w:name="OLE_LINK5"/>
      <w:r>
        <w:rPr>
          <w:rFonts w:ascii="Book Antiqua" w:hAnsi="Book Antiqua" w:cs="Times New Roman"/>
          <w:color w:val="000000" w:themeColor="text1"/>
          <w:sz w:val="20"/>
          <w:szCs w:val="20"/>
          <w:lang w:val="en-US"/>
        </w:rPr>
        <w:t>thermoplasti</w:t>
      </w:r>
      <w:r>
        <w:rPr>
          <w:rFonts w:ascii="Book Antiqua" w:hAnsi="Book Antiqua" w:cs="Times New Roman"/>
          <w:color w:val="000000" w:themeColor="text1"/>
          <w:sz w:val="20"/>
          <w:szCs w:val="20"/>
          <w:lang w:val="en-US"/>
        </w:rPr>
        <w:t>c gutta-percha,</w:t>
      </w:r>
      <w:bookmarkEnd w:id="37"/>
      <w:r>
        <w:rPr>
          <w:rFonts w:ascii="Book Antiqua" w:hAnsi="Book Antiqua" w:cs="Times New Roman"/>
          <w:color w:val="000000" w:themeColor="text1"/>
          <w:sz w:val="20"/>
          <w:szCs w:val="20"/>
          <w:lang w:val="en-US"/>
        </w:rPr>
        <w:t xml:space="preserve"> and the access cavity was sealed with a composite resin; L: Radiograph taken immediately after the treatment.</w:t>
      </w:r>
      <w:bookmarkStart w:id="38" w:name="OLE_LINK13"/>
    </w:p>
    <w:p w:rsidR="00925A10" w:rsidRDefault="00FC5E1B">
      <w:pPr>
        <w:widowControl/>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br w:type="page"/>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noProof/>
          <w:color w:val="000000" w:themeColor="text1"/>
          <w:sz w:val="20"/>
          <w:szCs w:val="20"/>
          <w:lang w:val="en-US" w:eastAsia="en-US"/>
        </w:rPr>
        <w:lastRenderedPageBreak/>
        <w:drawing>
          <wp:inline distT="0" distB="0" distL="0" distR="0">
            <wp:extent cx="5274310" cy="31584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158490"/>
                    </a:xfrm>
                    <a:prstGeom prst="rect">
                      <a:avLst/>
                    </a:prstGeom>
                  </pic:spPr>
                </pic:pic>
              </a:graphicData>
            </a:graphic>
          </wp:inline>
        </w:drawing>
      </w:r>
    </w:p>
    <w:p w:rsidR="00925A10" w:rsidRDefault="00FC5E1B">
      <w:pPr>
        <w:snapToGrid w:val="0"/>
        <w:spacing w:line="360" w:lineRule="auto"/>
        <w:rPr>
          <w:rFonts w:ascii="Book Antiqua" w:hAnsi="Book Antiqua" w:cs="Times New Roman"/>
          <w:b/>
          <w:bCs/>
          <w:color w:val="000000" w:themeColor="text1"/>
          <w:sz w:val="20"/>
          <w:szCs w:val="20"/>
          <w:lang w:val="en-US"/>
        </w:rPr>
      </w:pPr>
      <w:r>
        <w:rPr>
          <w:rFonts w:ascii="Book Antiqua" w:hAnsi="Book Antiqua" w:cs="Times New Roman"/>
          <w:b/>
          <w:bCs/>
          <w:color w:val="000000" w:themeColor="text1"/>
          <w:sz w:val="20"/>
          <w:szCs w:val="20"/>
          <w:lang w:val="en-US"/>
        </w:rPr>
        <w:t xml:space="preserve">Figure 4 </w:t>
      </w:r>
      <w:r>
        <w:rPr>
          <w:rFonts w:ascii="Book Antiqua" w:hAnsi="Book Antiqua" w:cs="Times New Roman"/>
          <w:b/>
          <w:bCs/>
          <w:color w:val="000000" w:themeColor="text1"/>
          <w:sz w:val="20"/>
          <w:szCs w:val="20"/>
          <w:lang w:val="en-US"/>
        </w:rPr>
        <w:t>F</w:t>
      </w:r>
      <w:r>
        <w:rPr>
          <w:rFonts w:ascii="Book Antiqua" w:hAnsi="Book Antiqua" w:cs="Times New Roman"/>
          <w:b/>
          <w:bCs/>
          <w:color w:val="000000" w:themeColor="text1"/>
          <w:sz w:val="20"/>
          <w:szCs w:val="20"/>
          <w:lang w:val="en-US"/>
        </w:rPr>
        <w:t xml:space="preserve">ollow-up images at different periods. </w:t>
      </w:r>
      <w:r>
        <w:rPr>
          <w:rFonts w:ascii="Book Antiqua" w:hAnsi="Book Antiqua" w:cs="Times New Roman"/>
          <w:color w:val="000000" w:themeColor="text1"/>
          <w:sz w:val="20"/>
          <w:szCs w:val="20"/>
          <w:lang w:val="en-US"/>
        </w:rPr>
        <w:t>A</w:t>
      </w:r>
      <w:r>
        <w:rPr>
          <w:rFonts w:ascii="Book Antiqua" w:hAnsi="Book Antiqua" w:cs="Times New Roman"/>
          <w:b/>
          <w:bCs/>
          <w:color w:val="000000" w:themeColor="text1"/>
          <w:sz w:val="20"/>
          <w:szCs w:val="20"/>
          <w:lang w:val="en-US"/>
        </w:rPr>
        <w:t>-</w:t>
      </w:r>
      <w:r>
        <w:rPr>
          <w:rFonts w:ascii="Book Antiqua" w:hAnsi="Book Antiqua" w:cs="Times New Roman"/>
          <w:color w:val="000000" w:themeColor="text1"/>
          <w:sz w:val="20"/>
          <w:szCs w:val="20"/>
          <w:lang w:val="en-US"/>
        </w:rPr>
        <w:t xml:space="preserve">C: The labial view of the invaginated tooth during 9-, 15- and 26-mo follow-up examinations; D, F: </w:t>
      </w:r>
      <w:bookmarkStart w:id="39" w:name="OLE_LINK27"/>
      <w:r>
        <w:rPr>
          <w:rFonts w:ascii="Book Antiqua" w:hAnsi="Book Antiqua" w:cs="Times New Roman"/>
          <w:color w:val="000000" w:themeColor="text1"/>
          <w:sz w:val="20"/>
          <w:szCs w:val="20"/>
          <w:lang w:val="en-US"/>
        </w:rPr>
        <w:t>Periapical radiograph</w:t>
      </w:r>
      <w:bookmarkEnd w:id="39"/>
      <w:r>
        <w:rPr>
          <w:rFonts w:ascii="Book Antiqua" w:hAnsi="Book Antiqua" w:cs="Times New Roman"/>
          <w:color w:val="000000" w:themeColor="text1"/>
          <w:sz w:val="20"/>
          <w:szCs w:val="20"/>
          <w:lang w:val="en-US"/>
        </w:rPr>
        <w:t>s taken at the</w:t>
      </w:r>
      <w:bookmarkStart w:id="40" w:name="OLE_LINK4"/>
      <w:r>
        <w:rPr>
          <w:rFonts w:ascii="Book Antiqua" w:hAnsi="Book Antiqua" w:cs="Times New Roman"/>
          <w:color w:val="000000" w:themeColor="text1"/>
          <w:sz w:val="20"/>
          <w:szCs w:val="20"/>
          <w:lang w:val="en-US"/>
        </w:rPr>
        <w:t xml:space="preserve"> 9-, 15- and 26-mo follow-up examinations.</w:t>
      </w:r>
      <w:bookmarkEnd w:id="40"/>
      <w:r>
        <w:rPr>
          <w:rFonts w:ascii="Book Antiqua" w:hAnsi="Book Antiqua" w:cs="Times New Roman"/>
          <w:color w:val="000000" w:themeColor="text1"/>
          <w:sz w:val="20"/>
          <w:szCs w:val="20"/>
          <w:lang w:val="en-US"/>
        </w:rPr>
        <w:t xml:space="preserve"> The apical radiolucency </w:t>
      </w:r>
      <w:r>
        <w:rPr>
          <w:rFonts w:ascii="Book Antiqua" w:hAnsi="Book Antiqua" w:cs="Times New Roman"/>
          <w:color w:val="000000" w:themeColor="text1"/>
          <w:sz w:val="20"/>
          <w:szCs w:val="20"/>
          <w:lang w:val="en-US"/>
        </w:rPr>
        <w:t xml:space="preserve">was </w:t>
      </w:r>
      <w:r>
        <w:rPr>
          <w:rFonts w:ascii="Book Antiqua" w:hAnsi="Book Antiqua" w:cs="Times New Roman"/>
          <w:color w:val="000000" w:themeColor="text1"/>
          <w:sz w:val="20"/>
          <w:szCs w:val="20"/>
          <w:lang w:val="en-US"/>
        </w:rPr>
        <w:t>significantly reduced.</w:t>
      </w:r>
      <w:bookmarkEnd w:id="38"/>
    </w:p>
    <w:p w:rsidR="00925A10" w:rsidRDefault="00FC5E1B">
      <w:pPr>
        <w:snapToGrid w:val="0"/>
        <w:spacing w:line="360" w:lineRule="auto"/>
        <w:rPr>
          <w:rFonts w:ascii="Book Antiqua" w:hAnsi="Book Antiqua" w:cs="Times New Roman"/>
          <w:color w:val="000000" w:themeColor="text1"/>
          <w:sz w:val="20"/>
          <w:szCs w:val="20"/>
          <w:lang w:val="en-US"/>
        </w:rPr>
      </w:pPr>
      <w:r>
        <w:rPr>
          <w:rFonts w:ascii="Book Antiqua" w:hAnsi="Book Antiqua" w:cs="Times New Roman"/>
          <w:color w:val="000000" w:themeColor="text1"/>
          <w:sz w:val="20"/>
          <w:szCs w:val="20"/>
          <w:lang w:val="en-US"/>
        </w:rPr>
        <w:fldChar w:fldCharType="begin"/>
      </w:r>
      <w:r>
        <w:rPr>
          <w:rFonts w:ascii="Book Antiqua" w:hAnsi="Book Antiqua" w:cs="Times New Roman"/>
          <w:color w:val="000000" w:themeColor="text1"/>
          <w:sz w:val="20"/>
          <w:szCs w:val="20"/>
          <w:lang w:val="en-US"/>
        </w:rPr>
        <w:instrText xml:space="preserve"> ADDIN  EN.REFLIST </w:instrText>
      </w:r>
      <w:r>
        <w:rPr>
          <w:rFonts w:ascii="Book Antiqua" w:hAnsi="Book Antiqua" w:cs="Times New Roman"/>
          <w:color w:val="000000" w:themeColor="text1"/>
          <w:sz w:val="20"/>
          <w:szCs w:val="20"/>
          <w:lang w:val="en-US"/>
        </w:rPr>
        <w:fldChar w:fldCharType="end"/>
      </w:r>
    </w:p>
    <w:sectPr w:rsidR="00925A10">
      <w:footerReference w:type="even"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E1B" w:rsidRDefault="00FC5E1B">
      <w:r>
        <w:separator/>
      </w:r>
    </w:p>
  </w:endnote>
  <w:endnote w:type="continuationSeparator" w:id="0">
    <w:p w:rsidR="00FC5E1B" w:rsidRDefault="00FC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dvPS7C10">
    <w:altName w:val="Times New Roman"/>
    <w:panose1 w:val="020B0604020202020204"/>
    <w:charset w:val="00"/>
    <w:family w:val="auto"/>
    <w:pitch w:val="default"/>
  </w:font>
  <w:font w:name="AdvOT8608a8d1+20">
    <w:altName w:val="Cambria"/>
    <w:panose1 w:val="020B0604020202020204"/>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B0604020202020204"/>
    <w:charset w:val="00"/>
    <w:family w:val="roman"/>
    <w:pitch w:val="default"/>
  </w:font>
  <w:font w:name="Helvetica">
    <w:panose1 w:val="00000000000000000000"/>
    <w:charset w:val="00"/>
    <w:family w:val="auto"/>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A10" w:rsidRDefault="00FC5E1B">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925A10" w:rsidRDefault="00925A1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5A10" w:rsidRPr="00116C8D" w:rsidRDefault="00FC5E1B">
    <w:pPr>
      <w:pStyle w:val="a9"/>
      <w:framePr w:wrap="around" w:vAnchor="text" w:hAnchor="margin" w:xAlign="center" w:y="1"/>
      <w:rPr>
        <w:rStyle w:val="af"/>
        <w:rFonts w:ascii="Book Antiqua" w:hAnsi="Book Antiqua"/>
        <w:sz w:val="20"/>
        <w:szCs w:val="20"/>
      </w:rPr>
    </w:pPr>
    <w:r w:rsidRPr="00116C8D">
      <w:rPr>
        <w:rStyle w:val="af"/>
        <w:rFonts w:ascii="Book Antiqua" w:hAnsi="Book Antiqua"/>
        <w:sz w:val="20"/>
        <w:szCs w:val="20"/>
      </w:rPr>
      <w:fldChar w:fldCharType="begin"/>
    </w:r>
    <w:r w:rsidRPr="00116C8D">
      <w:rPr>
        <w:rStyle w:val="af"/>
        <w:rFonts w:ascii="Book Antiqua" w:hAnsi="Book Antiqua"/>
        <w:sz w:val="20"/>
        <w:szCs w:val="20"/>
      </w:rPr>
      <w:instrText xml:space="preserve">PAGE  </w:instrText>
    </w:r>
    <w:r w:rsidRPr="00116C8D">
      <w:rPr>
        <w:rStyle w:val="af"/>
        <w:rFonts w:ascii="Book Antiqua" w:hAnsi="Book Antiqua"/>
        <w:sz w:val="20"/>
        <w:szCs w:val="20"/>
      </w:rPr>
      <w:fldChar w:fldCharType="separate"/>
    </w:r>
    <w:r>
      <w:rPr>
        <w:rStyle w:val="af"/>
        <w:rFonts w:ascii="Book Antiqua" w:hAnsi="Book Antiqua"/>
        <w:sz w:val="20"/>
        <w:szCs w:val="20"/>
      </w:rPr>
      <w:t>12</w:t>
    </w:r>
    <w:r w:rsidRPr="00116C8D">
      <w:rPr>
        <w:rStyle w:val="af"/>
        <w:rFonts w:ascii="Book Antiqua" w:hAnsi="Book Antiqua"/>
        <w:sz w:val="20"/>
        <w:szCs w:val="20"/>
      </w:rPr>
      <w:fldChar w:fldCharType="end"/>
    </w:r>
  </w:p>
  <w:p w:rsidR="00925A10" w:rsidRDefault="00925A1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E1B" w:rsidRDefault="00FC5E1B">
      <w:r>
        <w:separator/>
      </w:r>
    </w:p>
  </w:footnote>
  <w:footnote w:type="continuationSeparator" w:id="0">
    <w:p w:rsidR="00FC5E1B" w:rsidRDefault="00FC5E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d0aaxzrsdpp0eeeav5zzfoa2ppepr2s0ex&quot;&gt;My EndNote Library&lt;record-ids&gt;&lt;item&gt;1&lt;/item&gt;&lt;item&gt;2&lt;/item&gt;&lt;item&gt;3&lt;/item&gt;&lt;item&gt;4&lt;/item&gt;&lt;item&gt;5&lt;/item&gt;&lt;item&gt;7&lt;/item&gt;&lt;item&gt;8&lt;/item&gt;&lt;item&gt;9&lt;/item&gt;&lt;item&gt;12&lt;/item&gt;&lt;item&gt;14&lt;/item&gt;&lt;item&gt;15&lt;/item&gt;&lt;item&gt;16&lt;/item&gt;&lt;item&gt;21&lt;/item&gt;&lt;item&gt;25&lt;/item&gt;&lt;item&gt;26&lt;/item&gt;&lt;item&gt;27&lt;/item&gt;&lt;item&gt;28&lt;/item&gt;&lt;item&gt;29&lt;/item&gt;&lt;item&gt;30&lt;/item&gt;&lt;item&gt;31&lt;/item&gt;&lt;item&gt;34&lt;/item&gt;&lt;item&gt;35&lt;/item&gt;&lt;item&gt;43&lt;/item&gt;&lt;item&gt;44&lt;/item&gt;&lt;item&gt;45&lt;/item&gt;&lt;item&gt;46&lt;/item&gt;&lt;item&gt;47&lt;/item&gt;&lt;/record-ids&gt;&lt;/item&gt;&lt;/Libraries&gt;"/>
  </w:docVars>
  <w:rsids>
    <w:rsidRoot w:val="00172A27"/>
    <w:rsid w:val="000678E4"/>
    <w:rsid w:val="00102CFE"/>
    <w:rsid w:val="00104023"/>
    <w:rsid w:val="00116C8D"/>
    <w:rsid w:val="001672F4"/>
    <w:rsid w:val="00170300"/>
    <w:rsid w:val="00172A27"/>
    <w:rsid w:val="00173756"/>
    <w:rsid w:val="00184991"/>
    <w:rsid w:val="00184E3C"/>
    <w:rsid w:val="00184FB1"/>
    <w:rsid w:val="001B15C7"/>
    <w:rsid w:val="001E58B0"/>
    <w:rsid w:val="00210D8F"/>
    <w:rsid w:val="00212E41"/>
    <w:rsid w:val="0021723A"/>
    <w:rsid w:val="002247BA"/>
    <w:rsid w:val="0025407D"/>
    <w:rsid w:val="002717AA"/>
    <w:rsid w:val="00275A34"/>
    <w:rsid w:val="002A7900"/>
    <w:rsid w:val="002B0F10"/>
    <w:rsid w:val="002C129D"/>
    <w:rsid w:val="002E08CC"/>
    <w:rsid w:val="002F0BA7"/>
    <w:rsid w:val="003160E4"/>
    <w:rsid w:val="0032352E"/>
    <w:rsid w:val="00332635"/>
    <w:rsid w:val="00335EC9"/>
    <w:rsid w:val="00346CDE"/>
    <w:rsid w:val="003A2365"/>
    <w:rsid w:val="003B3C74"/>
    <w:rsid w:val="003C41B0"/>
    <w:rsid w:val="003D1634"/>
    <w:rsid w:val="003D1D91"/>
    <w:rsid w:val="003D7F2E"/>
    <w:rsid w:val="003F6397"/>
    <w:rsid w:val="004011FE"/>
    <w:rsid w:val="004120FA"/>
    <w:rsid w:val="00414565"/>
    <w:rsid w:val="0042020D"/>
    <w:rsid w:val="00425A29"/>
    <w:rsid w:val="004523D1"/>
    <w:rsid w:val="00453BF1"/>
    <w:rsid w:val="0045446B"/>
    <w:rsid w:val="00455C23"/>
    <w:rsid w:val="00487415"/>
    <w:rsid w:val="004B5302"/>
    <w:rsid w:val="004F7E4F"/>
    <w:rsid w:val="0051679C"/>
    <w:rsid w:val="00516870"/>
    <w:rsid w:val="0052056D"/>
    <w:rsid w:val="0052240A"/>
    <w:rsid w:val="005244E8"/>
    <w:rsid w:val="00563BFE"/>
    <w:rsid w:val="00575586"/>
    <w:rsid w:val="00585EEF"/>
    <w:rsid w:val="005C3A48"/>
    <w:rsid w:val="005C5540"/>
    <w:rsid w:val="005D7449"/>
    <w:rsid w:val="005E1D6F"/>
    <w:rsid w:val="00613DFC"/>
    <w:rsid w:val="00661CD2"/>
    <w:rsid w:val="00683BC3"/>
    <w:rsid w:val="006958F5"/>
    <w:rsid w:val="006B2BEC"/>
    <w:rsid w:val="006C0CA2"/>
    <w:rsid w:val="006C6CF0"/>
    <w:rsid w:val="006D262D"/>
    <w:rsid w:val="006E338B"/>
    <w:rsid w:val="006F4FB8"/>
    <w:rsid w:val="006F526B"/>
    <w:rsid w:val="007059D0"/>
    <w:rsid w:val="007128AB"/>
    <w:rsid w:val="007579DB"/>
    <w:rsid w:val="00761947"/>
    <w:rsid w:val="00783341"/>
    <w:rsid w:val="00797207"/>
    <w:rsid w:val="0079735E"/>
    <w:rsid w:val="008013EE"/>
    <w:rsid w:val="00814EA3"/>
    <w:rsid w:val="008214B9"/>
    <w:rsid w:val="00840DA1"/>
    <w:rsid w:val="00853F15"/>
    <w:rsid w:val="0089736B"/>
    <w:rsid w:val="008B6A5A"/>
    <w:rsid w:val="008C06B5"/>
    <w:rsid w:val="008D0DB3"/>
    <w:rsid w:val="008D354B"/>
    <w:rsid w:val="008D73EA"/>
    <w:rsid w:val="008E1082"/>
    <w:rsid w:val="008F6AF7"/>
    <w:rsid w:val="00905ACA"/>
    <w:rsid w:val="00911E55"/>
    <w:rsid w:val="00925A10"/>
    <w:rsid w:val="00950266"/>
    <w:rsid w:val="00950999"/>
    <w:rsid w:val="0096150F"/>
    <w:rsid w:val="00997A4F"/>
    <w:rsid w:val="009A7E93"/>
    <w:rsid w:val="009B1644"/>
    <w:rsid w:val="009E3338"/>
    <w:rsid w:val="009E3A4B"/>
    <w:rsid w:val="00A07253"/>
    <w:rsid w:val="00A25214"/>
    <w:rsid w:val="00A341CA"/>
    <w:rsid w:val="00A65F25"/>
    <w:rsid w:val="00A75038"/>
    <w:rsid w:val="00A75437"/>
    <w:rsid w:val="00A80EBF"/>
    <w:rsid w:val="00A97D96"/>
    <w:rsid w:val="00AB1D09"/>
    <w:rsid w:val="00AC2954"/>
    <w:rsid w:val="00AC2C8F"/>
    <w:rsid w:val="00AC662C"/>
    <w:rsid w:val="00AD6332"/>
    <w:rsid w:val="00AD73C0"/>
    <w:rsid w:val="00AF3F1B"/>
    <w:rsid w:val="00B04009"/>
    <w:rsid w:val="00B04354"/>
    <w:rsid w:val="00B24182"/>
    <w:rsid w:val="00B27871"/>
    <w:rsid w:val="00B35151"/>
    <w:rsid w:val="00B5720C"/>
    <w:rsid w:val="00B57811"/>
    <w:rsid w:val="00B70640"/>
    <w:rsid w:val="00B70D0E"/>
    <w:rsid w:val="00B76174"/>
    <w:rsid w:val="00B77E6E"/>
    <w:rsid w:val="00B855D0"/>
    <w:rsid w:val="00BA3D41"/>
    <w:rsid w:val="00BB4A81"/>
    <w:rsid w:val="00BD03E6"/>
    <w:rsid w:val="00BE5EE9"/>
    <w:rsid w:val="00BF27CF"/>
    <w:rsid w:val="00C378AC"/>
    <w:rsid w:val="00C45352"/>
    <w:rsid w:val="00C54CEF"/>
    <w:rsid w:val="00C800D5"/>
    <w:rsid w:val="00CB2C09"/>
    <w:rsid w:val="00CC0ABD"/>
    <w:rsid w:val="00CD2223"/>
    <w:rsid w:val="00CD4978"/>
    <w:rsid w:val="00CE0D71"/>
    <w:rsid w:val="00CF42A7"/>
    <w:rsid w:val="00CF797B"/>
    <w:rsid w:val="00D046EB"/>
    <w:rsid w:val="00D05F6F"/>
    <w:rsid w:val="00D31334"/>
    <w:rsid w:val="00D32AAA"/>
    <w:rsid w:val="00D33CFE"/>
    <w:rsid w:val="00D451E9"/>
    <w:rsid w:val="00D93A80"/>
    <w:rsid w:val="00D9799A"/>
    <w:rsid w:val="00DA1D07"/>
    <w:rsid w:val="00DB2928"/>
    <w:rsid w:val="00DB65FC"/>
    <w:rsid w:val="00DE6219"/>
    <w:rsid w:val="00DF7FFC"/>
    <w:rsid w:val="00E017D8"/>
    <w:rsid w:val="00E41543"/>
    <w:rsid w:val="00E67F95"/>
    <w:rsid w:val="00E70F9A"/>
    <w:rsid w:val="00E73442"/>
    <w:rsid w:val="00ED4155"/>
    <w:rsid w:val="00EE0DBF"/>
    <w:rsid w:val="00EE5E71"/>
    <w:rsid w:val="00EF56F2"/>
    <w:rsid w:val="00F06239"/>
    <w:rsid w:val="00F220F0"/>
    <w:rsid w:val="00F43154"/>
    <w:rsid w:val="00F54F34"/>
    <w:rsid w:val="00F836BA"/>
    <w:rsid w:val="00F95348"/>
    <w:rsid w:val="00FA37E1"/>
    <w:rsid w:val="00FC0565"/>
    <w:rsid w:val="00FC5E1B"/>
    <w:rsid w:val="01BA7EE1"/>
    <w:rsid w:val="09407804"/>
    <w:rsid w:val="0AE868D2"/>
    <w:rsid w:val="0BF90245"/>
    <w:rsid w:val="0FD67475"/>
    <w:rsid w:val="17AC540A"/>
    <w:rsid w:val="1DD66946"/>
    <w:rsid w:val="23A33198"/>
    <w:rsid w:val="25B17F3C"/>
    <w:rsid w:val="2AA11120"/>
    <w:rsid w:val="34E34F32"/>
    <w:rsid w:val="36E67F9A"/>
    <w:rsid w:val="38160751"/>
    <w:rsid w:val="3B512281"/>
    <w:rsid w:val="3B612D12"/>
    <w:rsid w:val="41706CD6"/>
    <w:rsid w:val="457D267D"/>
    <w:rsid w:val="45AD589F"/>
    <w:rsid w:val="48192A73"/>
    <w:rsid w:val="4C3E608C"/>
    <w:rsid w:val="4CAB559F"/>
    <w:rsid w:val="503442B0"/>
    <w:rsid w:val="50823719"/>
    <w:rsid w:val="5245016E"/>
    <w:rsid w:val="538421DB"/>
    <w:rsid w:val="5837159F"/>
    <w:rsid w:val="587A7181"/>
    <w:rsid w:val="5BA064CB"/>
    <w:rsid w:val="5C1C1EF3"/>
    <w:rsid w:val="5CC65C69"/>
    <w:rsid w:val="5D5C0BAB"/>
    <w:rsid w:val="5D7E2AA4"/>
    <w:rsid w:val="5E3577BF"/>
    <w:rsid w:val="5E462203"/>
    <w:rsid w:val="5F7438B4"/>
    <w:rsid w:val="5FBD795F"/>
    <w:rsid w:val="60230170"/>
    <w:rsid w:val="63A73F6D"/>
    <w:rsid w:val="6A24231A"/>
    <w:rsid w:val="6B11265D"/>
    <w:rsid w:val="6F5D5B8E"/>
    <w:rsid w:val="7E534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5:docId w15:val="{79357448-AE47-F240-BEA2-BB284B68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rFonts w:ascii="Tahoma" w:hAnsi="Tahoma" w:cs="Tahoma"/>
      <w:sz w:val="16"/>
      <w:lang w:val="en-US"/>
    </w:rPr>
  </w:style>
  <w:style w:type="paragraph" w:styleId="a5">
    <w:name w:val="Plain Text"/>
    <w:basedOn w:val="a"/>
    <w:link w:val="a6"/>
    <w:rPr>
      <w:rFonts w:ascii="宋体" w:eastAsia="宋体" w:hAnsi="Courier New" w:cs="Courier New"/>
      <w:szCs w:val="21"/>
      <w:lang w:val="en-US"/>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lang w:val="en-US"/>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lang w:val="en-US"/>
    </w:rPr>
  </w:style>
  <w:style w:type="paragraph" w:styleId="ad">
    <w:name w:val="Normal (Web)"/>
    <w:basedOn w:val="a"/>
    <w:link w:val="ae"/>
    <w:qFormat/>
    <w:rPr>
      <w:sz w:val="24"/>
    </w:rPr>
  </w:style>
  <w:style w:type="character" w:styleId="af">
    <w:name w:val="page number"/>
    <w:basedOn w:val="a0"/>
    <w:uiPriority w:val="99"/>
    <w:semiHidden/>
    <w:unhideWhenUsed/>
  </w:style>
  <w:style w:type="character" w:styleId="af0">
    <w:name w:val="Hyperlink"/>
    <w:basedOn w:val="a0"/>
    <w:uiPriority w:val="99"/>
    <w:semiHidden/>
    <w:unhideWhenUsed/>
    <w:qFormat/>
    <w:rPr>
      <w:color w:val="0000FF"/>
      <w:u w:val="single"/>
    </w:rPr>
  </w:style>
  <w:style w:type="character" w:styleId="af1">
    <w:name w:val="annotation reference"/>
    <w:basedOn w:val="a0"/>
    <w:qFormat/>
    <w:rPr>
      <w:rFonts w:ascii="Tahoma" w:hAnsi="Tahoma" w:cs="Tahoma"/>
      <w:sz w:val="16"/>
      <w:szCs w:val="21"/>
      <w:u w:val="none"/>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4">
    <w:name w:val="批注文字 字符"/>
    <w:basedOn w:val="a0"/>
    <w:link w:val="a3"/>
    <w:qFormat/>
    <w:rPr>
      <w:rFonts w:ascii="Tahoma" w:hAnsi="Tahoma" w:cs="Tahoma"/>
      <w:sz w:val="16"/>
      <w:szCs w:val="24"/>
    </w:rPr>
  </w:style>
  <w:style w:type="character" w:customStyle="1" w:styleId="fontstyle01">
    <w:name w:val="fontstyle01"/>
    <w:basedOn w:val="a0"/>
    <w:qFormat/>
    <w:rPr>
      <w:rFonts w:ascii="AdvPS7C10" w:eastAsia="AdvPS7C10" w:hAnsi="AdvPS7C10" w:cs="AdvPS7C10"/>
      <w:color w:val="000000"/>
      <w:sz w:val="20"/>
      <w:szCs w:val="20"/>
    </w:rPr>
  </w:style>
  <w:style w:type="paragraph" w:customStyle="1" w:styleId="1">
    <w:name w:val="无间隔1"/>
    <w:uiPriority w:val="99"/>
    <w:qFormat/>
    <w:pPr>
      <w:widowControl w:val="0"/>
      <w:jc w:val="both"/>
    </w:pPr>
    <w:rPr>
      <w:kern w:val="2"/>
      <w:sz w:val="28"/>
      <w:szCs w:val="28"/>
    </w:rPr>
  </w:style>
  <w:style w:type="paragraph" w:customStyle="1" w:styleId="EndNoteBibliography">
    <w:name w:val="EndNote Bibliography"/>
    <w:basedOn w:val="a"/>
    <w:link w:val="EndNoteBibliographyChar"/>
    <w:qFormat/>
    <w:rPr>
      <w:rFonts w:ascii="DengXian" w:eastAsia="DengXian" w:hAnsi="DengXian" w:cs="DengXian" w:hint="eastAsia"/>
      <w:kern w:val="0"/>
      <w:sz w:val="20"/>
      <w:szCs w:val="20"/>
    </w:rPr>
  </w:style>
  <w:style w:type="character" w:customStyle="1" w:styleId="EndNoteBibliographyChar">
    <w:name w:val="EndNote Bibliography Char"/>
    <w:link w:val="EndNoteBibliography"/>
    <w:qFormat/>
    <w:rPr>
      <w:rFonts w:ascii="DengXian" w:eastAsia="DengXian" w:hAnsi="DengXian" w:cs="DengXian"/>
      <w:lang w:val="en-GB"/>
    </w:rPr>
  </w:style>
  <w:style w:type="character" w:customStyle="1" w:styleId="a8">
    <w:name w:val="批注框文本 字符"/>
    <w:basedOn w:val="a0"/>
    <w:link w:val="a7"/>
    <w:uiPriority w:val="99"/>
    <w:semiHidden/>
    <w:qFormat/>
    <w:rPr>
      <w:sz w:val="18"/>
      <w:szCs w:val="18"/>
      <w:lang w:val="en-GB"/>
    </w:rPr>
  </w:style>
  <w:style w:type="character" w:customStyle="1" w:styleId="fontstyle21">
    <w:name w:val="fontstyle21"/>
    <w:basedOn w:val="a0"/>
    <w:qFormat/>
    <w:rPr>
      <w:rFonts w:ascii="AdvOT8608a8d1+20" w:hAnsi="AdvOT8608a8d1+20" w:hint="default"/>
      <w:color w:val="000000"/>
      <w:sz w:val="16"/>
      <w:szCs w:val="16"/>
    </w:rPr>
  </w:style>
  <w:style w:type="paragraph" w:customStyle="1" w:styleId="EndNoteBibliographyTitle">
    <w:name w:val="EndNote Bibliography Title"/>
    <w:basedOn w:val="a"/>
    <w:link w:val="EndNoteBibliographyTitle0"/>
    <w:qFormat/>
    <w:pPr>
      <w:jc w:val="center"/>
    </w:pPr>
    <w:rPr>
      <w:rFonts w:ascii="DengXian" w:eastAsia="DengXian" w:hAnsi="DengXian" w:cs="DengXian" w:hint="eastAsia"/>
      <w:sz w:val="20"/>
    </w:rPr>
  </w:style>
  <w:style w:type="character" w:customStyle="1" w:styleId="ae">
    <w:name w:val="普通(网站) 字符"/>
    <w:basedOn w:val="a0"/>
    <w:link w:val="ad"/>
    <w:qFormat/>
    <w:rPr>
      <w:sz w:val="24"/>
      <w:szCs w:val="24"/>
      <w:lang w:val="en-GB"/>
    </w:rPr>
  </w:style>
  <w:style w:type="character" w:customStyle="1" w:styleId="EndNoteBibliographyTitle0">
    <w:name w:val="EndNote Bibliography Title 字符"/>
    <w:basedOn w:val="ae"/>
    <w:link w:val="EndNoteBibliographyTitle"/>
    <w:qFormat/>
    <w:rPr>
      <w:rFonts w:ascii="DengXian" w:eastAsia="DengXian" w:hAnsi="DengXian" w:cs="DengXian"/>
      <w:kern w:val="2"/>
      <w:sz w:val="24"/>
      <w:szCs w:val="24"/>
      <w:lang w:val="en-GB"/>
    </w:rPr>
  </w:style>
  <w:style w:type="paragraph" w:customStyle="1" w:styleId="10">
    <w:name w:val="正文1"/>
    <w:qFormat/>
    <w:pPr>
      <w:jc w:val="both"/>
    </w:pPr>
    <w:rPr>
      <w:rFonts w:ascii="DengXian" w:hAnsi="DengXian" w:cs="宋体"/>
      <w:kern w:val="2"/>
      <w:sz w:val="21"/>
      <w:szCs w:val="21"/>
    </w:rPr>
  </w:style>
  <w:style w:type="paragraph" w:styleId="af2">
    <w:name w:val="List Paragraph"/>
    <w:basedOn w:val="a"/>
    <w:uiPriority w:val="34"/>
    <w:qFormat/>
    <w:pPr>
      <w:widowControl/>
      <w:spacing w:after="160" w:line="259" w:lineRule="auto"/>
      <w:ind w:left="720"/>
      <w:contextualSpacing/>
      <w:jc w:val="left"/>
    </w:pPr>
    <w:rPr>
      <w:kern w:val="0"/>
      <w:sz w:val="22"/>
      <w:szCs w:val="22"/>
      <w:lang w:val="el-GR" w:eastAsia="en-US"/>
    </w:rPr>
  </w:style>
  <w:style w:type="character" w:customStyle="1" w:styleId="a6">
    <w:name w:val="纯文本 字符"/>
    <w:basedOn w:val="a0"/>
    <w:link w:val="a5"/>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xh1982@njmu.edu.c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AB5D6E-E41C-0A40-98CF-819AEABC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3935</Words>
  <Characters>22432</Characters>
  <Application>Microsoft Office Word</Application>
  <DocSecurity>0</DocSecurity>
  <Lines>186</Lines>
  <Paragraphs>52</Paragraphs>
  <ScaleCrop>false</ScaleCrop>
  <Company/>
  <LinksUpToDate>false</LinksUpToDate>
  <CharactersWithSpaces>26315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洁</dc:creator>
  <cp:lastModifiedBy>마 유림</cp:lastModifiedBy>
  <cp:revision>14</cp:revision>
  <dcterms:created xsi:type="dcterms:W3CDTF">2020-03-04T07:08:00Z</dcterms:created>
  <dcterms:modified xsi:type="dcterms:W3CDTF">2020-03-09T02:45:00Z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