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AC218" w14:textId="77777777" w:rsidR="00115D99" w:rsidRPr="001A1E09" w:rsidRDefault="00115D99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  <w:shd w:val="clear" w:color="auto" w:fill="FFFFFF"/>
        </w:rPr>
      </w:pPr>
      <w:bookmarkStart w:id="0" w:name="OLE_LINK28"/>
      <w:bookmarkStart w:id="1" w:name="OLE_LINK29"/>
      <w:bookmarkStart w:id="2" w:name="OLE_LINK24"/>
      <w:bookmarkStart w:id="3" w:name="OLE_LINK25"/>
      <w:bookmarkStart w:id="4" w:name="OLE_LINK49"/>
      <w:r w:rsidRPr="001A1E09">
        <w:rPr>
          <w:rFonts w:ascii="Book Antiqua" w:hAnsi="Book Antiqua" w:cs="Arial"/>
          <w:b/>
          <w:sz w:val="20"/>
          <w:szCs w:val="20"/>
          <w:shd w:val="clear" w:color="auto" w:fill="FFFFFF"/>
        </w:rPr>
        <w:t xml:space="preserve">Name of Journal: </w:t>
      </w:r>
      <w:r w:rsidRPr="001A1E09">
        <w:rPr>
          <w:rFonts w:ascii="Book Antiqua" w:hAnsi="Book Antiqua" w:cs="Arial"/>
          <w:i/>
          <w:sz w:val="20"/>
          <w:szCs w:val="20"/>
          <w:shd w:val="clear" w:color="auto" w:fill="FFFFFF"/>
        </w:rPr>
        <w:t>World Journal of Gastroenterology</w:t>
      </w:r>
    </w:p>
    <w:p w14:paraId="3DC4ED15" w14:textId="6C057098" w:rsidR="00115D99" w:rsidRPr="001A1E09" w:rsidRDefault="00115D99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  <w:shd w:val="clear" w:color="auto" w:fill="FFFFFF"/>
        </w:rPr>
      </w:pPr>
      <w:r w:rsidRPr="001A1E09">
        <w:rPr>
          <w:rFonts w:ascii="Book Antiqua" w:hAnsi="Book Antiqua" w:cs="Arial"/>
          <w:b/>
          <w:sz w:val="20"/>
          <w:szCs w:val="20"/>
          <w:shd w:val="clear" w:color="auto" w:fill="FFFFFF"/>
        </w:rPr>
        <w:t xml:space="preserve">Manuscript NO: </w:t>
      </w:r>
      <w:r w:rsidRPr="001A1E09">
        <w:rPr>
          <w:rFonts w:ascii="Book Antiqua" w:hAnsi="Book Antiqua" w:cs="Arial"/>
          <w:sz w:val="20"/>
          <w:szCs w:val="20"/>
          <w:shd w:val="clear" w:color="auto" w:fill="FFFFFF"/>
        </w:rPr>
        <w:t>52978</w:t>
      </w:r>
    </w:p>
    <w:p w14:paraId="46C81AB7" w14:textId="27BD7B05" w:rsidR="00115D99" w:rsidRPr="001A1E09" w:rsidRDefault="00115D99" w:rsidP="001A1E09">
      <w:pPr>
        <w:adjustRightInd w:val="0"/>
        <w:snapToGrid w:val="0"/>
        <w:spacing w:line="360" w:lineRule="auto"/>
        <w:rPr>
          <w:rFonts w:ascii="Book Antiqua" w:eastAsia="幼圆" w:hAnsi="Book Antiqua"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  <w:shd w:val="clear" w:color="auto" w:fill="FFFFFF"/>
        </w:rPr>
        <w:t>Manuscript Type</w:t>
      </w:r>
      <w:r w:rsidRPr="001A1E09">
        <w:rPr>
          <w:rFonts w:ascii="Book Antiqua" w:hAnsi="Book Antiqua"/>
          <w:b/>
          <w:sz w:val="20"/>
          <w:szCs w:val="20"/>
        </w:rPr>
        <w:t>:</w:t>
      </w:r>
      <w:r w:rsidRPr="001A1E09">
        <w:rPr>
          <w:rFonts w:ascii="Book Antiqua" w:hAnsi="Book Antiqua" w:cs="Arial"/>
          <w:b/>
          <w:sz w:val="20"/>
          <w:szCs w:val="20"/>
          <w:shd w:val="clear" w:color="auto" w:fill="FFFFFF"/>
        </w:rPr>
        <w:t xml:space="preserve"> </w:t>
      </w:r>
      <w:r w:rsidRPr="001A1E09">
        <w:rPr>
          <w:rFonts w:ascii="Book Antiqua" w:hAnsi="Book Antiqua"/>
          <w:sz w:val="20"/>
          <w:szCs w:val="20"/>
        </w:rPr>
        <w:t>ORIGINAL ARTICLE</w:t>
      </w:r>
    </w:p>
    <w:p w14:paraId="5203F3C9" w14:textId="77777777" w:rsidR="00115D99" w:rsidRPr="001A1E09" w:rsidRDefault="00115D99" w:rsidP="001A1E09">
      <w:pPr>
        <w:adjustRightInd w:val="0"/>
        <w:snapToGrid w:val="0"/>
        <w:spacing w:line="360" w:lineRule="auto"/>
        <w:rPr>
          <w:rFonts w:ascii="Book Antiqua" w:eastAsia="幼圆" w:hAnsi="Book Antiqua"/>
          <w:b/>
          <w:i/>
          <w:sz w:val="20"/>
          <w:szCs w:val="20"/>
        </w:rPr>
      </w:pPr>
    </w:p>
    <w:p w14:paraId="62D1969A" w14:textId="2CC66456" w:rsidR="00115D99" w:rsidRPr="001A1E09" w:rsidRDefault="00115D99" w:rsidP="001A1E09">
      <w:pPr>
        <w:adjustRightInd w:val="0"/>
        <w:snapToGrid w:val="0"/>
        <w:spacing w:line="360" w:lineRule="auto"/>
        <w:rPr>
          <w:rFonts w:ascii="Book Antiqua" w:eastAsia="幼圆" w:hAnsi="Book Antiqua"/>
          <w:b/>
          <w:i/>
          <w:sz w:val="20"/>
          <w:szCs w:val="20"/>
        </w:rPr>
      </w:pPr>
      <w:r w:rsidRPr="001A1E09">
        <w:rPr>
          <w:rFonts w:ascii="Book Antiqua" w:eastAsia="幼圆" w:hAnsi="Book Antiqua"/>
          <w:b/>
          <w:i/>
          <w:sz w:val="20"/>
          <w:szCs w:val="20"/>
        </w:rPr>
        <w:t>Retrospective Study</w:t>
      </w:r>
    </w:p>
    <w:p w14:paraId="47DB5ACE" w14:textId="77777777" w:rsidR="00BD0166" w:rsidRPr="001A1E09" w:rsidRDefault="002E3691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t>Preoperative gamma-glutamyltransferase to lymphocyte ratio</w:t>
      </w:r>
      <w:r w:rsidR="004F39E3" w:rsidRPr="001A1E09">
        <w:rPr>
          <w:rFonts w:ascii="Book Antiqua" w:hAnsi="Book Antiqua" w:cs="Arial"/>
          <w:b/>
          <w:sz w:val="20"/>
          <w:szCs w:val="20"/>
        </w:rPr>
        <w:t xml:space="preserve"> predicts long-term outcomes in</w:t>
      </w:r>
      <w:r w:rsidRPr="001A1E09">
        <w:rPr>
          <w:rFonts w:ascii="Book Antiqua" w:hAnsi="Book Antiqua" w:cs="Arial"/>
          <w:b/>
          <w:sz w:val="20"/>
          <w:szCs w:val="20"/>
        </w:rPr>
        <w:t xml:space="preserve"> </w:t>
      </w:r>
      <w:bookmarkStart w:id="5" w:name="OLE_LINK12"/>
      <w:bookmarkStart w:id="6" w:name="OLE_LINK13"/>
      <w:r w:rsidRPr="001A1E09">
        <w:rPr>
          <w:rFonts w:ascii="Book Antiqua" w:hAnsi="Book Antiqua" w:cs="Arial"/>
          <w:b/>
          <w:sz w:val="20"/>
          <w:szCs w:val="20"/>
        </w:rPr>
        <w:t>intrahepatic cholangiocarcinoma</w:t>
      </w:r>
      <w:bookmarkEnd w:id="5"/>
      <w:bookmarkEnd w:id="6"/>
      <w:r w:rsidRPr="001A1E09">
        <w:rPr>
          <w:rFonts w:ascii="Book Antiqua" w:hAnsi="Book Antiqua" w:cs="Arial"/>
          <w:b/>
          <w:sz w:val="20"/>
          <w:szCs w:val="20"/>
        </w:rPr>
        <w:t xml:space="preserve"> </w:t>
      </w:r>
      <w:r w:rsidR="004F39E3" w:rsidRPr="001A1E09">
        <w:rPr>
          <w:rFonts w:ascii="Book Antiqua" w:hAnsi="Book Antiqua" w:cs="Arial"/>
          <w:b/>
          <w:sz w:val="20"/>
          <w:szCs w:val="20"/>
        </w:rPr>
        <w:t xml:space="preserve">patients </w:t>
      </w:r>
      <w:r w:rsidRPr="001A1E09">
        <w:rPr>
          <w:rFonts w:ascii="Book Antiqua" w:hAnsi="Book Antiqua" w:cs="Arial"/>
          <w:b/>
          <w:sz w:val="20"/>
          <w:szCs w:val="20"/>
        </w:rPr>
        <w:t>following</w:t>
      </w:r>
      <w:bookmarkStart w:id="7" w:name="OLE_LINK6"/>
      <w:bookmarkStart w:id="8" w:name="OLE_LINK7"/>
      <w:r w:rsidRPr="001A1E09">
        <w:rPr>
          <w:rFonts w:ascii="Book Antiqua" w:hAnsi="Book Antiqua" w:cs="Arial"/>
          <w:b/>
          <w:sz w:val="20"/>
          <w:szCs w:val="20"/>
        </w:rPr>
        <w:t xml:space="preserve"> </w:t>
      </w:r>
      <w:bookmarkEnd w:id="7"/>
      <w:bookmarkEnd w:id="8"/>
      <w:r w:rsidR="00FA2CAD" w:rsidRPr="001A1E09">
        <w:rPr>
          <w:rFonts w:ascii="Book Antiqua" w:hAnsi="Book Antiqua" w:cs="Arial"/>
          <w:b/>
          <w:sz w:val="20"/>
          <w:szCs w:val="20"/>
        </w:rPr>
        <w:t>hepat</w:t>
      </w:r>
      <w:r w:rsidR="0025551E" w:rsidRPr="001A1E09">
        <w:rPr>
          <w:rFonts w:ascii="Book Antiqua" w:hAnsi="Book Antiqua" w:cs="Arial"/>
          <w:b/>
          <w:sz w:val="20"/>
          <w:szCs w:val="20"/>
        </w:rPr>
        <w:t>ic resection</w:t>
      </w:r>
    </w:p>
    <w:bookmarkEnd w:id="0"/>
    <w:bookmarkEnd w:id="1"/>
    <w:p w14:paraId="54A1EB6D" w14:textId="77777777" w:rsidR="00115D99" w:rsidRPr="001A1E09" w:rsidRDefault="00115D99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55A04C0E" w14:textId="7123ED76" w:rsidR="003040A8" w:rsidRPr="001A1E09" w:rsidRDefault="003040A8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Wang JJ </w:t>
      </w:r>
      <w:r w:rsidRPr="001A1E09">
        <w:rPr>
          <w:rFonts w:ascii="Book Antiqua" w:hAnsi="Book Antiqua" w:cs="Arial"/>
          <w:i/>
          <w:sz w:val="20"/>
          <w:szCs w:val="20"/>
        </w:rPr>
        <w:t>et al</w:t>
      </w:r>
      <w:r w:rsidRPr="001A1E09">
        <w:rPr>
          <w:rFonts w:ascii="Book Antiqua" w:hAnsi="Book Antiqua" w:cs="Arial"/>
          <w:sz w:val="20"/>
          <w:szCs w:val="20"/>
        </w:rPr>
        <w:t xml:space="preserve">. </w:t>
      </w:r>
      <w:bookmarkStart w:id="9" w:name="OLE_LINK33"/>
      <w:r w:rsidRPr="001A1E09">
        <w:rPr>
          <w:rFonts w:ascii="Book Antiqua" w:hAnsi="Book Antiqua" w:cs="Arial"/>
          <w:sz w:val="20"/>
          <w:szCs w:val="20"/>
        </w:rPr>
        <w:t>Outcomes in ICC patients following hepatic resection</w:t>
      </w:r>
      <w:bookmarkEnd w:id="9"/>
    </w:p>
    <w:p w14:paraId="31776327" w14:textId="77777777" w:rsidR="003040A8" w:rsidRPr="001A1E09" w:rsidRDefault="003040A8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45376428" w14:textId="77777777" w:rsidR="00791F67" w:rsidRPr="001A1E09" w:rsidRDefault="00791F67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  <w:vertAlign w:val="superscript"/>
        </w:rPr>
      </w:pPr>
      <w:r w:rsidRPr="001A1E09">
        <w:rPr>
          <w:rFonts w:ascii="Book Antiqua" w:hAnsi="Book Antiqua" w:cs="Arial"/>
          <w:sz w:val="20"/>
          <w:szCs w:val="20"/>
        </w:rPr>
        <w:t>Jin</w:t>
      </w:r>
      <w:r w:rsidR="00034D34" w:rsidRPr="001A1E09">
        <w:rPr>
          <w:rFonts w:ascii="Book Antiqua" w:hAnsi="Book Antiqua" w:cs="Arial"/>
          <w:sz w:val="20"/>
          <w:szCs w:val="20"/>
        </w:rPr>
        <w:t>-</w:t>
      </w:r>
      <w:r w:rsidR="00AE00AE" w:rsidRPr="001A1E09">
        <w:rPr>
          <w:rFonts w:ascii="Book Antiqua" w:hAnsi="Book Antiqua" w:cs="Arial"/>
          <w:sz w:val="20"/>
          <w:szCs w:val="20"/>
        </w:rPr>
        <w:t>J</w:t>
      </w:r>
      <w:r w:rsidRPr="001A1E09">
        <w:rPr>
          <w:rFonts w:ascii="Book Antiqua" w:hAnsi="Book Antiqua" w:cs="Arial"/>
          <w:sz w:val="20"/>
          <w:szCs w:val="20"/>
        </w:rPr>
        <w:t>u Wang, Hui Li, Jia</w:t>
      </w:r>
      <w:r w:rsidR="00B609B9" w:rsidRPr="001A1E09">
        <w:rPr>
          <w:rFonts w:ascii="Book Antiqua" w:hAnsi="Book Antiqua" w:cs="Arial"/>
          <w:sz w:val="20"/>
          <w:szCs w:val="20"/>
        </w:rPr>
        <w:t>-</w:t>
      </w:r>
      <w:r w:rsidR="00AE00AE" w:rsidRPr="001A1E09">
        <w:rPr>
          <w:rFonts w:ascii="Book Antiqua" w:hAnsi="Book Antiqua" w:cs="Arial"/>
          <w:sz w:val="20"/>
          <w:szCs w:val="20"/>
        </w:rPr>
        <w:t>X</w:t>
      </w:r>
      <w:r w:rsidRPr="001A1E09">
        <w:rPr>
          <w:rFonts w:ascii="Book Antiqua" w:hAnsi="Book Antiqua" w:cs="Arial"/>
          <w:sz w:val="20"/>
          <w:szCs w:val="20"/>
        </w:rPr>
        <w:t>in Li, Lin Xu, Hong Wu, Yong Zeng</w:t>
      </w:r>
    </w:p>
    <w:bookmarkEnd w:id="2"/>
    <w:bookmarkEnd w:id="3"/>
    <w:p w14:paraId="790A2BC5" w14:textId="77777777" w:rsidR="003137E6" w:rsidRPr="001A1E09" w:rsidRDefault="003137E6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163E0B39" w14:textId="3D2B145A" w:rsidR="001E63B4" w:rsidRPr="001A1E09" w:rsidRDefault="001E63B4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t>Jin-</w:t>
      </w:r>
      <w:r w:rsidR="00AE00AE" w:rsidRPr="001A1E09">
        <w:rPr>
          <w:rFonts w:ascii="Book Antiqua" w:hAnsi="Book Antiqua" w:cs="Arial"/>
          <w:b/>
          <w:sz w:val="20"/>
          <w:szCs w:val="20"/>
        </w:rPr>
        <w:t>J</w:t>
      </w:r>
      <w:r w:rsidRPr="001A1E09">
        <w:rPr>
          <w:rFonts w:ascii="Book Antiqua" w:hAnsi="Book Antiqua" w:cs="Arial"/>
          <w:b/>
          <w:sz w:val="20"/>
          <w:szCs w:val="20"/>
        </w:rPr>
        <w:t>u Wang, Hui Li, Jia-</w:t>
      </w:r>
      <w:r w:rsidR="00AE00AE" w:rsidRPr="001A1E09">
        <w:rPr>
          <w:rFonts w:ascii="Book Antiqua" w:hAnsi="Book Antiqua" w:cs="Arial"/>
          <w:b/>
          <w:sz w:val="20"/>
          <w:szCs w:val="20"/>
        </w:rPr>
        <w:t>X</w:t>
      </w:r>
      <w:r w:rsidRPr="001A1E09">
        <w:rPr>
          <w:rFonts w:ascii="Book Antiqua" w:hAnsi="Book Antiqua" w:cs="Arial"/>
          <w:b/>
          <w:sz w:val="20"/>
          <w:szCs w:val="20"/>
        </w:rPr>
        <w:t>in Li, Hong Wu, Yong Zeng,</w:t>
      </w:r>
      <w:r w:rsidRPr="001A1E09">
        <w:rPr>
          <w:rFonts w:ascii="Book Antiqua" w:hAnsi="Book Antiqua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 xml:space="preserve">Department of Liver Surgery </w:t>
      </w:r>
      <w:r w:rsidR="00115D99" w:rsidRPr="001A1E09">
        <w:rPr>
          <w:rFonts w:ascii="Book Antiqua" w:hAnsi="Book Antiqua" w:cs="Arial"/>
          <w:sz w:val="20"/>
          <w:szCs w:val="20"/>
        </w:rPr>
        <w:t>and</w:t>
      </w:r>
      <w:r w:rsidRPr="001A1E09">
        <w:rPr>
          <w:rFonts w:ascii="Book Antiqua" w:hAnsi="Book Antiqua" w:cs="Arial"/>
          <w:sz w:val="20"/>
          <w:szCs w:val="20"/>
        </w:rPr>
        <w:t xml:space="preserve"> Liver Transplantation Center, </w:t>
      </w:r>
      <w:bookmarkStart w:id="10" w:name="OLE_LINK26"/>
      <w:bookmarkStart w:id="11" w:name="OLE_LINK27"/>
      <w:r w:rsidRPr="001A1E09">
        <w:rPr>
          <w:rFonts w:ascii="Book Antiqua" w:hAnsi="Book Antiqua" w:cs="Arial"/>
          <w:sz w:val="20"/>
          <w:szCs w:val="20"/>
        </w:rPr>
        <w:t>West China Hospital</w:t>
      </w:r>
      <w:bookmarkEnd w:id="10"/>
      <w:bookmarkEnd w:id="11"/>
      <w:r w:rsidRPr="001A1E09">
        <w:rPr>
          <w:rFonts w:ascii="Book Antiqua" w:hAnsi="Book Antiqua" w:cs="Arial"/>
          <w:sz w:val="20"/>
          <w:szCs w:val="20"/>
        </w:rPr>
        <w:t>, Sichuan University, Chengdu</w:t>
      </w:r>
      <w:r w:rsidR="00115D99" w:rsidRPr="001A1E09">
        <w:rPr>
          <w:rFonts w:ascii="Book Antiqua" w:hAnsi="Book Antiqua" w:cs="Arial"/>
          <w:sz w:val="20"/>
          <w:szCs w:val="20"/>
        </w:rPr>
        <w:t xml:space="preserve"> 6100</w:t>
      </w:r>
      <w:r w:rsidR="00A951B3" w:rsidRPr="001A1E09">
        <w:rPr>
          <w:rFonts w:ascii="Book Antiqua" w:hAnsi="Book Antiqua" w:cs="Arial"/>
          <w:sz w:val="20"/>
          <w:szCs w:val="20"/>
        </w:rPr>
        <w:t>41</w:t>
      </w:r>
      <w:r w:rsidRPr="001A1E09">
        <w:rPr>
          <w:rFonts w:ascii="Book Antiqua" w:hAnsi="Book Antiqua" w:cs="Arial"/>
          <w:sz w:val="20"/>
          <w:szCs w:val="20"/>
        </w:rPr>
        <w:t xml:space="preserve">, </w:t>
      </w:r>
      <w:r w:rsidR="00115D99" w:rsidRPr="001A1E09">
        <w:rPr>
          <w:rFonts w:ascii="Book Antiqua" w:hAnsi="Book Antiqua" w:cs="Arial"/>
          <w:sz w:val="20"/>
          <w:szCs w:val="20"/>
        </w:rPr>
        <w:t xml:space="preserve">Sichuan Province, </w:t>
      </w:r>
      <w:r w:rsidRPr="001A1E09">
        <w:rPr>
          <w:rFonts w:ascii="Book Antiqua" w:hAnsi="Book Antiqua" w:cs="Arial"/>
          <w:sz w:val="20"/>
          <w:szCs w:val="20"/>
        </w:rPr>
        <w:t>China</w:t>
      </w:r>
    </w:p>
    <w:p w14:paraId="6541377C" w14:textId="77777777" w:rsidR="009E3EB2" w:rsidRPr="001A1E09" w:rsidRDefault="009E3EB2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11FA8F94" w14:textId="1750E1A0" w:rsidR="009E3EB2" w:rsidRPr="001A1E09" w:rsidRDefault="009E3EB2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t>Lin Xu,</w:t>
      </w:r>
      <w:r w:rsidRPr="001A1E09">
        <w:rPr>
          <w:rFonts w:ascii="Book Antiqua" w:hAnsi="Book Antiqua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 xml:space="preserve">Laboratory of Liver Surgery, West China Hospital, Sichuan University, </w:t>
      </w:r>
      <w:r w:rsidR="00115D99" w:rsidRPr="001A1E09">
        <w:rPr>
          <w:rFonts w:ascii="Book Antiqua" w:hAnsi="Book Antiqua" w:cs="Arial"/>
          <w:sz w:val="20"/>
          <w:szCs w:val="20"/>
        </w:rPr>
        <w:t>Chengdu 610065, Sichuan Province, China</w:t>
      </w:r>
    </w:p>
    <w:bookmarkEnd w:id="4"/>
    <w:p w14:paraId="37D53B07" w14:textId="77777777" w:rsidR="00743FC9" w:rsidRPr="001A1E09" w:rsidRDefault="00743FC9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0A4640B5" w14:textId="1684C21A" w:rsidR="00743FC9" w:rsidRPr="001A1E09" w:rsidRDefault="00743FC9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  <w:vertAlign w:val="superscript"/>
        </w:rPr>
      </w:pPr>
      <w:r w:rsidRPr="001A1E09">
        <w:rPr>
          <w:rFonts w:ascii="Book Antiqua" w:hAnsi="Book Antiqua" w:cs="Arial"/>
          <w:b/>
          <w:sz w:val="20"/>
          <w:szCs w:val="20"/>
        </w:rPr>
        <w:t>Author con</w:t>
      </w:r>
      <w:r w:rsidR="00AE00AE" w:rsidRPr="001A1E09">
        <w:rPr>
          <w:rFonts w:ascii="Book Antiqua" w:hAnsi="Book Antiqua" w:cs="Arial"/>
          <w:b/>
          <w:sz w:val="20"/>
          <w:szCs w:val="20"/>
        </w:rPr>
        <w:t>tributions:</w:t>
      </w:r>
      <w:r w:rsidR="0095112D" w:rsidRPr="001A1E09">
        <w:rPr>
          <w:rFonts w:ascii="Book Antiqua" w:hAnsi="Book Antiqua" w:cs="Arial"/>
          <w:sz w:val="20"/>
          <w:szCs w:val="20"/>
        </w:rPr>
        <w:t xml:space="preserve"> </w:t>
      </w:r>
      <w:r w:rsidR="00AE00AE" w:rsidRPr="001A1E09">
        <w:rPr>
          <w:rFonts w:ascii="Book Antiqua" w:hAnsi="Book Antiqua" w:cs="Arial"/>
          <w:sz w:val="20"/>
          <w:szCs w:val="20"/>
        </w:rPr>
        <w:t>Wang</w:t>
      </w:r>
      <w:r w:rsidR="004218CC" w:rsidRPr="001A1E09">
        <w:rPr>
          <w:rFonts w:ascii="Book Antiqua" w:hAnsi="Book Antiqua" w:cs="Arial"/>
          <w:sz w:val="20"/>
          <w:szCs w:val="20"/>
        </w:rPr>
        <w:t xml:space="preserve"> JJ</w:t>
      </w:r>
      <w:r w:rsidR="00AE00AE" w:rsidRPr="001A1E09">
        <w:rPr>
          <w:rFonts w:ascii="Book Antiqua" w:hAnsi="Book Antiqua" w:cs="Arial"/>
          <w:sz w:val="20"/>
          <w:szCs w:val="20"/>
        </w:rPr>
        <w:t xml:space="preserve">, Hui Li and </w:t>
      </w:r>
      <w:r w:rsidR="0095112D" w:rsidRPr="001A1E09">
        <w:rPr>
          <w:rFonts w:ascii="Book Antiqua" w:hAnsi="Book Antiqua" w:cs="Arial"/>
          <w:sz w:val="20"/>
          <w:szCs w:val="20"/>
        </w:rPr>
        <w:t>Jia-X</w:t>
      </w:r>
      <w:r w:rsidR="00AE00AE" w:rsidRPr="001A1E09">
        <w:rPr>
          <w:rFonts w:ascii="Book Antiqua" w:hAnsi="Book Antiqua" w:cs="Arial"/>
          <w:sz w:val="20"/>
          <w:szCs w:val="20"/>
        </w:rPr>
        <w:t>in Li contributed equally to this work</w:t>
      </w:r>
      <w:r w:rsidR="001A1E09">
        <w:rPr>
          <w:rFonts w:ascii="Book Antiqua" w:hAnsi="Book Antiqua" w:cs="Arial"/>
          <w:sz w:val="20"/>
          <w:szCs w:val="20"/>
        </w:rPr>
        <w:t>;</w:t>
      </w:r>
      <w:r w:rsidR="0095112D" w:rsidRPr="001A1E09">
        <w:rPr>
          <w:rFonts w:ascii="Book Antiqua" w:hAnsi="Book Antiqua" w:cs="Arial"/>
          <w:sz w:val="20"/>
          <w:szCs w:val="20"/>
        </w:rPr>
        <w:t xml:space="preserve"> Wa</w:t>
      </w:r>
      <w:r w:rsidR="004675B9" w:rsidRPr="001A1E09">
        <w:rPr>
          <w:rFonts w:ascii="Book Antiqua" w:hAnsi="Book Antiqua" w:cs="Arial"/>
          <w:sz w:val="20"/>
          <w:szCs w:val="20"/>
        </w:rPr>
        <w:t>ng JJ, Wu H and Zeng Y</w:t>
      </w:r>
      <w:r w:rsidR="0095112D" w:rsidRPr="001A1E09">
        <w:rPr>
          <w:rFonts w:ascii="Book Antiqua" w:hAnsi="Book Antiqua" w:cs="Arial"/>
          <w:sz w:val="20"/>
          <w:szCs w:val="20"/>
        </w:rPr>
        <w:t xml:space="preserve"> designed the research;</w:t>
      </w:r>
      <w:r w:rsidR="004675B9" w:rsidRPr="001A1E09">
        <w:rPr>
          <w:rFonts w:ascii="Book Antiqua" w:hAnsi="Book Antiqua" w:cs="Arial"/>
          <w:sz w:val="20"/>
          <w:szCs w:val="20"/>
        </w:rPr>
        <w:t xml:space="preserve"> Li H</w:t>
      </w:r>
      <w:r w:rsidR="0095112D" w:rsidRPr="001A1E09">
        <w:rPr>
          <w:rFonts w:ascii="Book Antiqua" w:hAnsi="Book Antiqua" w:cs="Arial"/>
          <w:sz w:val="20"/>
          <w:szCs w:val="20"/>
        </w:rPr>
        <w:t xml:space="preserve"> and Xu L collected </w:t>
      </w:r>
      <w:r w:rsidR="004675B9" w:rsidRPr="001A1E09">
        <w:rPr>
          <w:rFonts w:ascii="Book Antiqua" w:hAnsi="Book Antiqua" w:cs="Arial"/>
          <w:sz w:val="20"/>
          <w:szCs w:val="20"/>
        </w:rPr>
        <w:t xml:space="preserve">the data; Wang JJ </w:t>
      </w:r>
      <w:r w:rsidR="0095112D" w:rsidRPr="001A1E09">
        <w:rPr>
          <w:rFonts w:ascii="Book Antiqua" w:hAnsi="Book Antiqua" w:cs="Arial"/>
          <w:sz w:val="20"/>
          <w:szCs w:val="20"/>
        </w:rPr>
        <w:t xml:space="preserve">and </w:t>
      </w:r>
      <w:r w:rsidR="004675B9" w:rsidRPr="001A1E09">
        <w:rPr>
          <w:rFonts w:ascii="Book Antiqua" w:hAnsi="Book Antiqua" w:cs="Arial"/>
          <w:sz w:val="20"/>
          <w:szCs w:val="20"/>
        </w:rPr>
        <w:t xml:space="preserve">Li JX </w:t>
      </w:r>
      <w:r w:rsidR="0095112D" w:rsidRPr="001A1E09">
        <w:rPr>
          <w:rFonts w:ascii="Book Antiqua" w:hAnsi="Book Antiqua" w:cs="Arial"/>
          <w:sz w:val="20"/>
          <w:szCs w:val="20"/>
        </w:rPr>
        <w:t>analyzed the data and</w:t>
      </w:r>
      <w:r w:rsidR="004675B9" w:rsidRPr="001A1E09">
        <w:rPr>
          <w:rFonts w:ascii="Book Antiqua" w:hAnsi="Book Antiqua" w:cs="Arial"/>
          <w:sz w:val="20"/>
          <w:szCs w:val="20"/>
        </w:rPr>
        <w:t xml:space="preserve"> wrote the paper.</w:t>
      </w:r>
    </w:p>
    <w:p w14:paraId="442D05F8" w14:textId="77777777" w:rsidR="00743FC9" w:rsidRPr="001A1E09" w:rsidRDefault="00743FC9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</w:rPr>
      </w:pPr>
    </w:p>
    <w:p w14:paraId="0E4AC700" w14:textId="7D47EB6F" w:rsidR="008F7CEF" w:rsidRPr="001A1E09" w:rsidRDefault="008F7CEF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t xml:space="preserve">Supported by </w:t>
      </w:r>
      <w:r w:rsidRPr="001A1E09">
        <w:rPr>
          <w:rFonts w:ascii="Book Antiqua" w:hAnsi="Book Antiqua" w:cs="Arial"/>
          <w:sz w:val="20"/>
          <w:szCs w:val="20"/>
        </w:rPr>
        <w:t>the National Key Technolo</w:t>
      </w:r>
      <w:r w:rsidR="0050613F" w:rsidRPr="001A1E09">
        <w:rPr>
          <w:rFonts w:ascii="Book Antiqua" w:hAnsi="Book Antiqua" w:cs="Arial"/>
          <w:sz w:val="20"/>
          <w:szCs w:val="20"/>
        </w:rPr>
        <w:t>gies RD Program</w:t>
      </w:r>
      <w:r w:rsidR="00115D99" w:rsidRPr="001A1E09">
        <w:rPr>
          <w:rFonts w:ascii="Book Antiqua" w:hAnsi="Book Antiqua" w:cs="Arial"/>
          <w:sz w:val="20"/>
          <w:szCs w:val="20"/>
        </w:rPr>
        <w:t xml:space="preserve">, </w:t>
      </w:r>
      <w:bookmarkStart w:id="12" w:name="OLE_LINK34"/>
      <w:r w:rsidR="00115D99" w:rsidRPr="001A1E09">
        <w:rPr>
          <w:rFonts w:ascii="Book Antiqua" w:hAnsi="Book Antiqua" w:cs="Arial"/>
          <w:sz w:val="20"/>
          <w:szCs w:val="20"/>
        </w:rPr>
        <w:t xml:space="preserve">No. </w:t>
      </w:r>
      <w:r w:rsidR="0050613F" w:rsidRPr="001A1E09">
        <w:rPr>
          <w:rFonts w:ascii="Book Antiqua" w:hAnsi="Book Antiqua" w:cs="Arial"/>
          <w:sz w:val="20"/>
          <w:szCs w:val="20"/>
        </w:rPr>
        <w:t>2018YFC1106803</w:t>
      </w:r>
      <w:bookmarkEnd w:id="12"/>
      <w:r w:rsidR="00115D99" w:rsidRPr="001A1E09">
        <w:rPr>
          <w:rFonts w:ascii="Book Antiqua" w:hAnsi="Book Antiqua" w:cs="Arial"/>
          <w:sz w:val="20"/>
          <w:szCs w:val="20"/>
        </w:rPr>
        <w:t>;</w:t>
      </w:r>
      <w:r w:rsidRPr="001A1E09">
        <w:rPr>
          <w:rFonts w:ascii="Book Antiqua" w:hAnsi="Book Antiqua" w:cs="Arial"/>
          <w:sz w:val="20"/>
          <w:szCs w:val="20"/>
        </w:rPr>
        <w:t xml:space="preserve"> the Natural Science Foundati</w:t>
      </w:r>
      <w:r w:rsidR="00115D99" w:rsidRPr="001A1E09">
        <w:rPr>
          <w:rFonts w:ascii="Book Antiqua" w:hAnsi="Book Antiqua" w:cs="Arial"/>
          <w:sz w:val="20"/>
          <w:szCs w:val="20"/>
        </w:rPr>
        <w:t xml:space="preserve">on of China, No. </w:t>
      </w:r>
      <w:r w:rsidR="0050613F" w:rsidRPr="001A1E09">
        <w:rPr>
          <w:rFonts w:ascii="Book Antiqua" w:hAnsi="Book Antiqua" w:cs="Arial"/>
          <w:sz w:val="20"/>
          <w:szCs w:val="20"/>
        </w:rPr>
        <w:t xml:space="preserve">81972747, </w:t>
      </w:r>
      <w:r w:rsidR="00115D99" w:rsidRPr="001A1E09">
        <w:rPr>
          <w:rFonts w:ascii="Book Antiqua" w:hAnsi="Book Antiqua" w:cs="Arial"/>
          <w:sz w:val="20"/>
          <w:szCs w:val="20"/>
        </w:rPr>
        <w:t xml:space="preserve">No. </w:t>
      </w:r>
      <w:bookmarkStart w:id="13" w:name="OLE_LINK37"/>
      <w:bookmarkStart w:id="14" w:name="OLE_LINK38"/>
      <w:r w:rsidR="0050613F" w:rsidRPr="001A1E09">
        <w:rPr>
          <w:rFonts w:ascii="Book Antiqua" w:hAnsi="Book Antiqua" w:cs="Arial"/>
          <w:sz w:val="20"/>
          <w:szCs w:val="20"/>
        </w:rPr>
        <w:t>81872004</w:t>
      </w:r>
      <w:bookmarkEnd w:id="13"/>
      <w:bookmarkEnd w:id="14"/>
      <w:r w:rsidR="0050613F" w:rsidRPr="001A1E09">
        <w:rPr>
          <w:rFonts w:ascii="Book Antiqua" w:hAnsi="Book Antiqua" w:cs="Arial"/>
          <w:sz w:val="20"/>
          <w:szCs w:val="20"/>
        </w:rPr>
        <w:t xml:space="preserve">, </w:t>
      </w:r>
      <w:r w:rsidR="00115D99" w:rsidRPr="001A1E09">
        <w:rPr>
          <w:rFonts w:ascii="Book Antiqua" w:hAnsi="Book Antiqua" w:cs="Arial"/>
          <w:sz w:val="20"/>
          <w:szCs w:val="20"/>
        </w:rPr>
        <w:t xml:space="preserve">No. </w:t>
      </w:r>
      <w:bookmarkStart w:id="15" w:name="OLE_LINK35"/>
      <w:bookmarkStart w:id="16" w:name="OLE_LINK36"/>
      <w:r w:rsidR="0050613F" w:rsidRPr="001A1E09">
        <w:rPr>
          <w:rFonts w:ascii="Book Antiqua" w:hAnsi="Book Antiqua" w:cs="Arial"/>
          <w:sz w:val="20"/>
          <w:szCs w:val="20"/>
        </w:rPr>
        <w:t>81770615</w:t>
      </w:r>
      <w:bookmarkEnd w:id="15"/>
      <w:bookmarkEnd w:id="16"/>
      <w:r w:rsidR="0050613F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 xml:space="preserve">and </w:t>
      </w:r>
      <w:r w:rsidR="00115D99" w:rsidRPr="001A1E09">
        <w:rPr>
          <w:rFonts w:ascii="Book Antiqua" w:hAnsi="Book Antiqua" w:cs="Arial"/>
          <w:sz w:val="20"/>
          <w:szCs w:val="20"/>
        </w:rPr>
        <w:t xml:space="preserve">No. </w:t>
      </w:r>
      <w:r w:rsidRPr="001A1E09">
        <w:rPr>
          <w:rFonts w:ascii="Book Antiqua" w:hAnsi="Book Antiqua" w:cs="Arial"/>
          <w:sz w:val="20"/>
          <w:szCs w:val="20"/>
        </w:rPr>
        <w:t>81672882</w:t>
      </w:r>
      <w:r w:rsidR="00115D99" w:rsidRPr="001A1E09">
        <w:rPr>
          <w:rFonts w:ascii="Book Antiqua" w:hAnsi="Book Antiqua" w:cs="Arial"/>
          <w:sz w:val="20"/>
          <w:szCs w:val="20"/>
        </w:rPr>
        <w:t>;</w:t>
      </w:r>
      <w:r w:rsidRPr="001A1E09">
        <w:rPr>
          <w:rFonts w:ascii="Book Antiqua" w:hAnsi="Book Antiqua" w:cs="Arial"/>
          <w:sz w:val="20"/>
          <w:szCs w:val="20"/>
        </w:rPr>
        <w:t xml:space="preserve"> the Science and Technology Support Program of Sichuan Pro</w:t>
      </w:r>
      <w:r w:rsidR="00115D99" w:rsidRPr="001A1E09">
        <w:rPr>
          <w:rFonts w:ascii="Book Antiqua" w:hAnsi="Book Antiqua" w:cs="Arial"/>
          <w:sz w:val="20"/>
          <w:szCs w:val="20"/>
        </w:rPr>
        <w:t xml:space="preserve">vince, No. </w:t>
      </w:r>
      <w:r w:rsidR="0050613F" w:rsidRPr="001A1E09">
        <w:rPr>
          <w:rFonts w:ascii="Book Antiqua" w:hAnsi="Book Antiqua" w:cs="Arial"/>
          <w:sz w:val="20"/>
          <w:szCs w:val="20"/>
        </w:rPr>
        <w:t>2019YFQ0001</w:t>
      </w:r>
      <w:r w:rsidR="00115D99" w:rsidRPr="001A1E09">
        <w:rPr>
          <w:rFonts w:ascii="Book Antiqua" w:hAnsi="Book Antiqua" w:cs="Arial"/>
          <w:sz w:val="20"/>
          <w:szCs w:val="20"/>
        </w:rPr>
        <w:t xml:space="preserve"> and No.</w:t>
      </w:r>
      <w:r w:rsidR="00934BD4" w:rsidRPr="001A1E09">
        <w:rPr>
          <w:rFonts w:ascii="Book Antiqua" w:hAnsi="Book Antiqua" w:cs="Arial"/>
          <w:sz w:val="20"/>
          <w:szCs w:val="20"/>
        </w:rPr>
        <w:t xml:space="preserve"> </w:t>
      </w:r>
      <w:bookmarkStart w:id="17" w:name="OLE_LINK39"/>
      <w:bookmarkStart w:id="18" w:name="OLE_LINK40"/>
      <w:r w:rsidR="00115D99" w:rsidRPr="001A1E09">
        <w:rPr>
          <w:rFonts w:ascii="Book Antiqua" w:hAnsi="Book Antiqua" w:cs="Arial"/>
          <w:sz w:val="20"/>
          <w:szCs w:val="20"/>
        </w:rPr>
        <w:t>2017SZ0003</w:t>
      </w:r>
      <w:bookmarkEnd w:id="17"/>
      <w:bookmarkEnd w:id="18"/>
      <w:r w:rsidR="0050613F" w:rsidRPr="001A1E09">
        <w:rPr>
          <w:rFonts w:ascii="Book Antiqua" w:hAnsi="Book Antiqua" w:cs="Arial"/>
          <w:sz w:val="20"/>
          <w:szCs w:val="20"/>
        </w:rPr>
        <w:t>.</w:t>
      </w:r>
    </w:p>
    <w:p w14:paraId="535C6056" w14:textId="77777777" w:rsidR="00113C00" w:rsidRPr="001A1E09" w:rsidRDefault="00113C00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19E8A4F4" w14:textId="10AA0C25" w:rsidR="00E5052E" w:rsidRPr="001A1E09" w:rsidRDefault="001E7C83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t>Corresponding author:</w:t>
      </w:r>
      <w:r w:rsidRPr="001A1E09">
        <w:rPr>
          <w:rFonts w:ascii="Book Antiqua" w:hAnsi="Book Antiqua"/>
          <w:sz w:val="20"/>
          <w:szCs w:val="20"/>
        </w:rPr>
        <w:t xml:space="preserve"> </w:t>
      </w:r>
      <w:r w:rsidRPr="001A1E09">
        <w:rPr>
          <w:rFonts w:ascii="Book Antiqua" w:hAnsi="Book Antiqua" w:cs="Arial"/>
          <w:b/>
          <w:sz w:val="20"/>
          <w:szCs w:val="20"/>
        </w:rPr>
        <w:t xml:space="preserve">Yong Zeng, MD, PhD, Professor, Doctor, Surgeon, </w:t>
      </w:r>
      <w:bookmarkStart w:id="19" w:name="OLE_LINK42"/>
      <w:bookmarkStart w:id="20" w:name="OLE_LINK43"/>
      <w:r w:rsidRPr="001A1E09">
        <w:rPr>
          <w:rFonts w:ascii="Book Antiqua" w:hAnsi="Book Antiqua" w:cs="Arial"/>
          <w:sz w:val="20"/>
          <w:szCs w:val="20"/>
        </w:rPr>
        <w:t>Department of Liver Surgery</w:t>
      </w:r>
      <w:r w:rsidR="00D858DF" w:rsidRPr="001A1E09">
        <w:rPr>
          <w:rFonts w:ascii="Book Antiqua" w:hAnsi="Book Antiqua" w:cs="Arial"/>
          <w:sz w:val="20"/>
          <w:szCs w:val="20"/>
        </w:rPr>
        <w:t xml:space="preserve"> and Liver Transplantation Center</w:t>
      </w:r>
      <w:bookmarkEnd w:id="19"/>
      <w:bookmarkEnd w:id="20"/>
      <w:r w:rsidRPr="001A1E09">
        <w:rPr>
          <w:rFonts w:ascii="Book Antiqua" w:hAnsi="Book Antiqua" w:cs="Arial"/>
          <w:sz w:val="20"/>
          <w:szCs w:val="20"/>
        </w:rPr>
        <w:t>, West China Hospital of Sichuan Universit</w:t>
      </w:r>
      <w:r w:rsidR="00A951B3" w:rsidRPr="001A1E09">
        <w:rPr>
          <w:rFonts w:ascii="Book Antiqua" w:hAnsi="Book Antiqua" w:cs="Arial"/>
          <w:sz w:val="20"/>
          <w:szCs w:val="20"/>
        </w:rPr>
        <w:t>y, No. 37 Guoxuexiang</w:t>
      </w:r>
      <w:r w:rsidRPr="001A1E09">
        <w:rPr>
          <w:rFonts w:ascii="Book Antiqua" w:hAnsi="Book Antiqua" w:cs="Arial"/>
          <w:sz w:val="20"/>
          <w:szCs w:val="20"/>
        </w:rPr>
        <w:t>, Chengdu 610041, Sichuan Province, China. zengyong@medmail.com.cn</w:t>
      </w:r>
    </w:p>
    <w:p w14:paraId="610C9A4D" w14:textId="77777777" w:rsidR="00DB07BB" w:rsidRPr="001A1E09" w:rsidRDefault="00DB07BB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</w:rPr>
      </w:pPr>
    </w:p>
    <w:p w14:paraId="37FD4742" w14:textId="0FD587D6" w:rsidR="00A951B3" w:rsidRPr="001A1E09" w:rsidRDefault="00A951B3" w:rsidP="001A1E09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</w:rPr>
        <w:t xml:space="preserve">Received: </w:t>
      </w:r>
      <w:r w:rsidRPr="001A1E09">
        <w:rPr>
          <w:rFonts w:ascii="Book Antiqua" w:hAnsi="Book Antiqua"/>
          <w:sz w:val="20"/>
          <w:szCs w:val="20"/>
        </w:rPr>
        <w:t>November 30, 2019</w:t>
      </w:r>
    </w:p>
    <w:p w14:paraId="0AA37AE2" w14:textId="50DB3832" w:rsidR="00A951B3" w:rsidRPr="001A1E09" w:rsidRDefault="00A951B3" w:rsidP="001A1E09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</w:rPr>
        <w:t xml:space="preserve">Revised: </w:t>
      </w:r>
      <w:r w:rsidRPr="001A1E09">
        <w:rPr>
          <w:rFonts w:ascii="Book Antiqua" w:hAnsi="Book Antiqua"/>
          <w:sz w:val="20"/>
          <w:szCs w:val="20"/>
        </w:rPr>
        <w:t>February 17, 2020</w:t>
      </w:r>
    </w:p>
    <w:p w14:paraId="3CADE3A7" w14:textId="58328807" w:rsidR="00A951B3" w:rsidRPr="001A1E09" w:rsidRDefault="00A951B3" w:rsidP="001A1E09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</w:rPr>
        <w:t>Accepted:</w:t>
      </w:r>
      <w:r w:rsidR="00E5406F" w:rsidRPr="001A1E09">
        <w:rPr>
          <w:rFonts w:ascii="Book Antiqua" w:hAnsi="Book Antiqua"/>
          <w:b/>
          <w:color w:val="000000" w:themeColor="text1"/>
          <w:kern w:val="0"/>
          <w:sz w:val="20"/>
          <w:szCs w:val="20"/>
        </w:rPr>
        <w:t xml:space="preserve"> </w:t>
      </w:r>
      <w:r w:rsidR="00E5406F" w:rsidRPr="001A1E09">
        <w:rPr>
          <w:rFonts w:ascii="Book Antiqua" w:hAnsi="Book Antiqua"/>
          <w:bCs/>
          <w:color w:val="000000" w:themeColor="text1"/>
          <w:kern w:val="0"/>
          <w:sz w:val="20"/>
          <w:szCs w:val="20"/>
        </w:rPr>
        <w:t>March 5, 2020</w:t>
      </w:r>
      <w:r w:rsidRPr="001A1E09">
        <w:rPr>
          <w:rFonts w:ascii="Book Antiqua" w:hAnsi="Book Antiqua"/>
          <w:bCs/>
          <w:sz w:val="20"/>
          <w:szCs w:val="20"/>
        </w:rPr>
        <w:t xml:space="preserve"> </w:t>
      </w:r>
    </w:p>
    <w:p w14:paraId="7603564E" w14:textId="77777777" w:rsidR="00A951B3" w:rsidRPr="001A1E09" w:rsidRDefault="00A951B3" w:rsidP="001A1E09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</w:rPr>
        <w:t>Published online:</w:t>
      </w:r>
    </w:p>
    <w:p w14:paraId="7912E9F7" w14:textId="77777777" w:rsidR="00A951B3" w:rsidRPr="001A1E09" w:rsidRDefault="00A951B3" w:rsidP="001A1E09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</w:rPr>
        <w:br w:type="page"/>
      </w:r>
    </w:p>
    <w:p w14:paraId="74F0647D" w14:textId="77777777" w:rsidR="00793D8C" w:rsidRPr="001A1E09" w:rsidRDefault="00793D8C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lastRenderedPageBreak/>
        <w:t>Abstract</w:t>
      </w:r>
    </w:p>
    <w:p w14:paraId="454C001A" w14:textId="77777777" w:rsidR="00793D8C" w:rsidRPr="001A1E09" w:rsidRDefault="00793D8C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BACKGROUND</w:t>
      </w:r>
    </w:p>
    <w:p w14:paraId="0FACD205" w14:textId="77777777" w:rsidR="006217DE" w:rsidRPr="001A1E09" w:rsidRDefault="00642814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Intrahepatic cholangiocarcinoma (ICC) is</w:t>
      </w:r>
      <w:r w:rsidR="008F64BA" w:rsidRPr="001A1E09">
        <w:rPr>
          <w:rFonts w:ascii="Book Antiqua" w:hAnsi="Book Antiqua" w:cs="Arial"/>
          <w:sz w:val="20"/>
          <w:szCs w:val="20"/>
        </w:rPr>
        <w:t xml:space="preserve"> a heterogeneous hepatobiliary cancer with limited </w:t>
      </w:r>
      <w:bookmarkStart w:id="21" w:name="OLE_LINK1"/>
      <w:bookmarkStart w:id="22" w:name="OLE_LINK2"/>
      <w:r w:rsidR="00290F08" w:rsidRPr="001A1E09">
        <w:rPr>
          <w:rFonts w:ascii="Book Antiqua" w:hAnsi="Book Antiqua" w:cs="Arial"/>
          <w:sz w:val="20"/>
          <w:szCs w:val="20"/>
        </w:rPr>
        <w:t>treatment</w:t>
      </w:r>
      <w:r w:rsidR="008F64BA" w:rsidRPr="001A1E09">
        <w:rPr>
          <w:rFonts w:ascii="Book Antiqua" w:hAnsi="Book Antiqua" w:cs="Arial"/>
          <w:sz w:val="20"/>
          <w:szCs w:val="20"/>
        </w:rPr>
        <w:t xml:space="preserve"> options.</w:t>
      </w:r>
      <w:bookmarkEnd w:id="21"/>
      <w:bookmarkEnd w:id="22"/>
      <w:r w:rsidR="008F64BA" w:rsidRPr="001A1E09">
        <w:rPr>
          <w:rFonts w:ascii="Book Antiqua" w:hAnsi="Book Antiqua" w:cs="Arial"/>
          <w:sz w:val="20"/>
          <w:szCs w:val="20"/>
        </w:rPr>
        <w:t xml:space="preserve"> </w:t>
      </w:r>
      <w:r w:rsidR="0010622E" w:rsidRPr="001A1E09">
        <w:rPr>
          <w:rFonts w:ascii="Book Antiqua" w:hAnsi="Book Antiqua" w:cs="Arial"/>
          <w:sz w:val="20"/>
          <w:szCs w:val="20"/>
        </w:rPr>
        <w:t>A number of</w:t>
      </w:r>
      <w:r w:rsidR="000E7423" w:rsidRPr="001A1E09">
        <w:rPr>
          <w:rFonts w:ascii="Book Antiqua" w:hAnsi="Book Antiqua" w:cs="Arial"/>
          <w:sz w:val="20"/>
          <w:szCs w:val="20"/>
        </w:rPr>
        <w:t xml:space="preserve"> studies have illuminated </w:t>
      </w:r>
      <w:r w:rsidR="008303CD" w:rsidRPr="001A1E09">
        <w:rPr>
          <w:rFonts w:ascii="Book Antiqua" w:hAnsi="Book Antiqua" w:cs="Arial"/>
          <w:sz w:val="20"/>
          <w:szCs w:val="20"/>
        </w:rPr>
        <w:t xml:space="preserve">the relationship between </w:t>
      </w:r>
      <w:r w:rsidR="00510C1D" w:rsidRPr="001A1E09">
        <w:rPr>
          <w:rFonts w:ascii="Book Antiqua" w:hAnsi="Book Antiqua" w:cs="Arial"/>
          <w:sz w:val="20"/>
          <w:szCs w:val="20"/>
        </w:rPr>
        <w:t>inflammation-based</w:t>
      </w:r>
      <w:r w:rsidR="008303CD" w:rsidRPr="001A1E09">
        <w:rPr>
          <w:rFonts w:ascii="Book Antiqua" w:hAnsi="Book Antiqua" w:cs="Arial"/>
          <w:sz w:val="20"/>
          <w:szCs w:val="20"/>
        </w:rPr>
        <w:t xml:space="preserve"> </w:t>
      </w:r>
      <w:r w:rsidR="000E7423" w:rsidRPr="001A1E09">
        <w:rPr>
          <w:rFonts w:ascii="Book Antiqua" w:hAnsi="Book Antiqua" w:cs="Arial"/>
          <w:sz w:val="20"/>
          <w:szCs w:val="20"/>
        </w:rPr>
        <w:t xml:space="preserve">prognostic scores </w:t>
      </w:r>
      <w:r w:rsidR="008303CD" w:rsidRPr="001A1E09">
        <w:rPr>
          <w:rFonts w:ascii="Book Antiqua" w:hAnsi="Book Antiqua" w:cs="Arial"/>
          <w:sz w:val="20"/>
          <w:szCs w:val="20"/>
        </w:rPr>
        <w:t>and outcomes in patients with ICC. However,</w:t>
      </w:r>
      <w:r w:rsidR="00295F92" w:rsidRPr="001A1E09">
        <w:rPr>
          <w:rFonts w:ascii="Book Antiqua" w:hAnsi="Book Antiqua" w:cs="Arial"/>
          <w:sz w:val="20"/>
          <w:szCs w:val="20"/>
        </w:rPr>
        <w:t xml:space="preserve"> the use of</w:t>
      </w:r>
      <w:r w:rsidR="004D7975" w:rsidRPr="001A1E09">
        <w:rPr>
          <w:rFonts w:ascii="Book Antiqua" w:hAnsi="Book Antiqua" w:cs="Arial"/>
          <w:sz w:val="20"/>
          <w:szCs w:val="20"/>
        </w:rPr>
        <w:t xml:space="preserve"> </w:t>
      </w:r>
      <w:r w:rsidR="000C48CD" w:rsidRPr="001A1E09">
        <w:rPr>
          <w:rFonts w:ascii="Book Antiqua" w:hAnsi="Book Antiqua" w:cs="Arial"/>
          <w:sz w:val="20"/>
          <w:szCs w:val="20"/>
        </w:rPr>
        <w:t xml:space="preserve">reliable and </w:t>
      </w:r>
      <w:r w:rsidR="00510C1D" w:rsidRPr="001A1E09">
        <w:rPr>
          <w:rFonts w:ascii="Book Antiqua" w:hAnsi="Book Antiqua" w:cs="Arial"/>
          <w:sz w:val="20"/>
          <w:szCs w:val="20"/>
        </w:rPr>
        <w:t xml:space="preserve">personalized </w:t>
      </w:r>
      <w:r w:rsidR="006F5182" w:rsidRPr="001A1E09">
        <w:rPr>
          <w:rFonts w:ascii="Book Antiqua" w:hAnsi="Book Antiqua" w:cs="Arial"/>
          <w:sz w:val="20"/>
          <w:szCs w:val="20"/>
        </w:rPr>
        <w:t>prognostic algorithm</w:t>
      </w:r>
      <w:r w:rsidR="00295F92" w:rsidRPr="001A1E09">
        <w:rPr>
          <w:rFonts w:ascii="Book Antiqua" w:hAnsi="Book Antiqua" w:cs="Arial"/>
          <w:sz w:val="20"/>
          <w:szCs w:val="20"/>
        </w:rPr>
        <w:t>s</w:t>
      </w:r>
      <w:r w:rsidR="006F5182" w:rsidRPr="001A1E09">
        <w:rPr>
          <w:rFonts w:ascii="Book Antiqua" w:hAnsi="Book Antiqua" w:cs="Arial"/>
          <w:sz w:val="20"/>
          <w:szCs w:val="20"/>
        </w:rPr>
        <w:t xml:space="preserve"> </w:t>
      </w:r>
      <w:r w:rsidR="003036DB" w:rsidRPr="001A1E09">
        <w:rPr>
          <w:rFonts w:ascii="Book Antiqua" w:hAnsi="Book Antiqua" w:cs="Arial"/>
          <w:sz w:val="20"/>
          <w:szCs w:val="20"/>
        </w:rPr>
        <w:t>in ICC after resection is pending.</w:t>
      </w:r>
    </w:p>
    <w:p w14:paraId="0ED9A402" w14:textId="77777777" w:rsidR="00A951B3" w:rsidRPr="001A1E09" w:rsidRDefault="00A951B3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</w:p>
    <w:p w14:paraId="7401C4DB" w14:textId="77777777" w:rsidR="006217DE" w:rsidRPr="001A1E09" w:rsidRDefault="006217DE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AIM</w:t>
      </w:r>
    </w:p>
    <w:p w14:paraId="02EA0ADC" w14:textId="730C3B29" w:rsidR="00793D8C" w:rsidRPr="001A1E09" w:rsidRDefault="006217DE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To </w:t>
      </w:r>
      <w:r w:rsidR="00295F92" w:rsidRPr="001A1E09">
        <w:rPr>
          <w:rFonts w:ascii="Book Antiqua" w:hAnsi="Book Antiqua" w:cs="Arial"/>
          <w:sz w:val="20"/>
          <w:szCs w:val="20"/>
        </w:rPr>
        <w:t>assess</w:t>
      </w:r>
      <w:r w:rsidR="00C96E9D" w:rsidRPr="001A1E09">
        <w:rPr>
          <w:rFonts w:ascii="Book Antiqua" w:hAnsi="Book Antiqua" w:cs="Arial"/>
          <w:sz w:val="20"/>
          <w:szCs w:val="20"/>
        </w:rPr>
        <w:t xml:space="preserve"> the</w:t>
      </w:r>
      <w:r w:rsidR="008303CD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295F92" w:rsidRPr="001A1E09">
        <w:rPr>
          <w:rFonts w:ascii="Book Antiqua" w:hAnsi="Book Antiqua" w:cs="Arial"/>
          <w:sz w:val="20"/>
          <w:szCs w:val="20"/>
        </w:rPr>
        <w:t>prognostic</w:t>
      </w:r>
      <w:r w:rsidR="00C96E9D" w:rsidRPr="001A1E09">
        <w:rPr>
          <w:rFonts w:ascii="Book Antiqua" w:hAnsi="Book Antiqua" w:cs="Arial"/>
          <w:sz w:val="20"/>
          <w:szCs w:val="20"/>
        </w:rPr>
        <w:t xml:space="preserve"> value of </w:t>
      </w:r>
      <w:r w:rsidR="00295F92" w:rsidRPr="001A1E09">
        <w:rPr>
          <w:rFonts w:ascii="Book Antiqua" w:hAnsi="Book Antiqua" w:cs="Arial"/>
          <w:sz w:val="20"/>
          <w:szCs w:val="20"/>
        </w:rPr>
        <w:t xml:space="preserve">the </w:t>
      </w:r>
      <w:r w:rsidR="00C96E9D" w:rsidRPr="001A1E09">
        <w:rPr>
          <w:rFonts w:ascii="Book Antiqua" w:hAnsi="Book Antiqua" w:cs="Arial"/>
          <w:sz w:val="20"/>
          <w:szCs w:val="20"/>
        </w:rPr>
        <w:t xml:space="preserve">gamma-glutamyltransferase to lymphocyte ratio </w:t>
      </w:r>
      <w:r w:rsidR="00FD346C" w:rsidRPr="001A1E09">
        <w:rPr>
          <w:rFonts w:ascii="Book Antiqua" w:hAnsi="Book Antiqua" w:cs="Arial"/>
          <w:sz w:val="20"/>
          <w:szCs w:val="20"/>
        </w:rPr>
        <w:t>(GLR</w:t>
      </w:r>
      <w:r w:rsidR="00C96E9D" w:rsidRPr="001A1E09">
        <w:rPr>
          <w:rFonts w:ascii="Book Antiqua" w:hAnsi="Book Antiqua" w:cs="Arial"/>
          <w:sz w:val="20"/>
          <w:szCs w:val="20"/>
        </w:rPr>
        <w:t>) in ICC patients following curative resection.</w:t>
      </w:r>
    </w:p>
    <w:p w14:paraId="4E75A9B5" w14:textId="77777777" w:rsidR="00A951B3" w:rsidRPr="001A1E09" w:rsidRDefault="00A951B3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</w:p>
    <w:p w14:paraId="67AF52CA" w14:textId="77777777" w:rsidR="00172E6F" w:rsidRPr="001A1E09" w:rsidRDefault="00172E6F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METHODS</w:t>
      </w:r>
    </w:p>
    <w:p w14:paraId="4C080A6B" w14:textId="57721BB6" w:rsidR="000C1E02" w:rsidRPr="001A1E09" w:rsidRDefault="00023980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ICC patients following </w:t>
      </w:r>
      <w:r w:rsidR="00295F92" w:rsidRPr="001A1E09">
        <w:rPr>
          <w:rFonts w:ascii="Book Antiqua" w:hAnsi="Book Antiqua" w:cs="Arial"/>
          <w:sz w:val="20"/>
          <w:szCs w:val="20"/>
        </w:rPr>
        <w:t xml:space="preserve">curative </w:t>
      </w:r>
      <w:r w:rsidRPr="001A1E09">
        <w:rPr>
          <w:rFonts w:ascii="Book Antiqua" w:hAnsi="Book Antiqua" w:cs="Arial"/>
          <w:sz w:val="20"/>
          <w:szCs w:val="20"/>
        </w:rPr>
        <w:t>resection</w:t>
      </w:r>
      <w:r w:rsidR="00D838C3" w:rsidRPr="001A1E09">
        <w:rPr>
          <w:rFonts w:ascii="Book Antiqua" w:hAnsi="Book Antiqua" w:cs="Arial"/>
          <w:sz w:val="20"/>
          <w:szCs w:val="20"/>
        </w:rPr>
        <w:t xml:space="preserve"> (2009</w:t>
      </w:r>
      <w:r w:rsidR="00DC59CF" w:rsidRPr="001A1E09">
        <w:rPr>
          <w:rFonts w:ascii="Book Antiqua" w:hAnsi="Book Antiqua" w:cs="Arial"/>
          <w:sz w:val="20"/>
          <w:szCs w:val="20"/>
        </w:rPr>
        <w:t>-2017</w:t>
      </w:r>
      <w:r w:rsidRPr="001A1E09">
        <w:rPr>
          <w:rFonts w:ascii="Book Antiqua" w:hAnsi="Book Antiqua" w:cs="Arial"/>
          <w:sz w:val="20"/>
          <w:szCs w:val="20"/>
        </w:rPr>
        <w:t>)</w:t>
      </w:r>
      <w:r w:rsidR="001154FD" w:rsidRPr="001A1E09">
        <w:rPr>
          <w:rFonts w:ascii="Book Antiqua" w:hAnsi="Book Antiqua" w:cs="Arial"/>
          <w:sz w:val="20"/>
          <w:szCs w:val="20"/>
        </w:rPr>
        <w:t xml:space="preserve"> were divided into two cohorts: 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The </w:t>
      </w:r>
      <w:r w:rsidRPr="001A1E09">
        <w:rPr>
          <w:rFonts w:ascii="Book Antiqua" w:hAnsi="Book Antiqua" w:cs="Arial"/>
          <w:sz w:val="20"/>
          <w:szCs w:val="20"/>
        </w:rPr>
        <w:t xml:space="preserve">derivation cohort and validation cohort. </w:t>
      </w:r>
      <w:r w:rsidR="003F6566" w:rsidRPr="001A1E09">
        <w:rPr>
          <w:rFonts w:ascii="Book Antiqua" w:hAnsi="Book Antiqua" w:cs="Arial"/>
          <w:sz w:val="20"/>
          <w:szCs w:val="20"/>
        </w:rPr>
        <w:t>The derivation cohort was used to explore an optimal cut</w:t>
      </w:r>
      <w:r w:rsidR="00295F92" w:rsidRPr="001A1E09">
        <w:rPr>
          <w:rFonts w:ascii="Book Antiqua" w:hAnsi="Book Antiqua" w:cs="Arial"/>
          <w:sz w:val="20"/>
          <w:szCs w:val="20"/>
        </w:rPr>
        <w:t>-</w:t>
      </w:r>
      <w:r w:rsidR="003F6566" w:rsidRPr="001A1E09">
        <w:rPr>
          <w:rFonts w:ascii="Book Antiqua" w:hAnsi="Book Antiqua" w:cs="Arial"/>
          <w:sz w:val="20"/>
          <w:szCs w:val="20"/>
        </w:rPr>
        <w:t>off value</w:t>
      </w:r>
      <w:r w:rsidR="00295F92" w:rsidRPr="001A1E09">
        <w:rPr>
          <w:rFonts w:ascii="Book Antiqua" w:hAnsi="Book Antiqua" w:cs="Arial"/>
          <w:sz w:val="20"/>
          <w:szCs w:val="20"/>
        </w:rPr>
        <w:t>,</w:t>
      </w:r>
      <w:r w:rsidR="003F6566" w:rsidRPr="001A1E09">
        <w:rPr>
          <w:rFonts w:ascii="Book Antiqua" w:hAnsi="Book Antiqua" w:cs="Arial"/>
          <w:sz w:val="20"/>
          <w:szCs w:val="20"/>
        </w:rPr>
        <w:t xml:space="preserve"> and the validation cohort was used to further evaluate the score. </w:t>
      </w:r>
      <w:r w:rsidR="00D6569E" w:rsidRPr="001A1E09">
        <w:rPr>
          <w:rFonts w:ascii="Book Antiqua" w:hAnsi="Book Antiqua" w:cs="Arial"/>
          <w:sz w:val="20"/>
          <w:szCs w:val="20"/>
        </w:rPr>
        <w:t>Overall survival (OS) and r</w:t>
      </w:r>
      <w:r w:rsidR="00295F92" w:rsidRPr="001A1E09">
        <w:rPr>
          <w:rFonts w:ascii="Book Antiqua" w:hAnsi="Book Antiqua" w:cs="Arial"/>
          <w:sz w:val="20"/>
          <w:szCs w:val="20"/>
        </w:rPr>
        <w:t>ecurrence-</w:t>
      </w:r>
      <w:r w:rsidR="00D6569E" w:rsidRPr="001A1E09">
        <w:rPr>
          <w:rFonts w:ascii="Book Antiqua" w:hAnsi="Book Antiqua" w:cs="Arial"/>
          <w:sz w:val="20"/>
          <w:szCs w:val="20"/>
        </w:rPr>
        <w:t>free survival (RFS)</w:t>
      </w:r>
      <w:r w:rsidR="005B2DC3" w:rsidRPr="001A1E09">
        <w:rPr>
          <w:rFonts w:ascii="Book Antiqua" w:hAnsi="Book Antiqua" w:cs="Arial"/>
          <w:sz w:val="20"/>
          <w:szCs w:val="20"/>
        </w:rPr>
        <w:t xml:space="preserve"> were analyz</w:t>
      </w:r>
      <w:r w:rsidR="00D6569E" w:rsidRPr="001A1E09">
        <w:rPr>
          <w:rFonts w:ascii="Book Antiqua" w:hAnsi="Book Antiqua" w:cs="Arial"/>
          <w:sz w:val="20"/>
          <w:szCs w:val="20"/>
        </w:rPr>
        <w:t>ed</w:t>
      </w:r>
      <w:r w:rsidR="00295F92" w:rsidRPr="001A1E09">
        <w:rPr>
          <w:rFonts w:ascii="Book Antiqua" w:hAnsi="Book Antiqua" w:cs="Arial"/>
          <w:sz w:val="20"/>
          <w:szCs w:val="20"/>
        </w:rPr>
        <w:t>,</w:t>
      </w:r>
      <w:r w:rsidR="00D6569E" w:rsidRPr="001A1E09">
        <w:rPr>
          <w:rFonts w:ascii="Book Antiqua" w:hAnsi="Book Antiqua" w:cs="Arial"/>
          <w:sz w:val="20"/>
          <w:szCs w:val="20"/>
        </w:rPr>
        <w:t xml:space="preserve"> and predictors of OS and RFS were determined.</w:t>
      </w:r>
    </w:p>
    <w:p w14:paraId="172D9243" w14:textId="77777777" w:rsidR="00A951B3" w:rsidRPr="001A1E09" w:rsidRDefault="00A951B3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</w:p>
    <w:p w14:paraId="6B847F17" w14:textId="77777777" w:rsidR="00172E6F" w:rsidRPr="001A1E09" w:rsidRDefault="00905126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RESULTS</w:t>
      </w:r>
    </w:p>
    <w:p w14:paraId="550C757D" w14:textId="539B3B51" w:rsidR="00704B13" w:rsidRPr="001A1E09" w:rsidRDefault="00590AA0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A total of </w:t>
      </w:r>
      <w:r w:rsidR="000F5344" w:rsidRPr="001A1E09">
        <w:rPr>
          <w:rFonts w:ascii="Book Antiqua" w:hAnsi="Book Antiqua" w:cs="Arial"/>
          <w:sz w:val="20"/>
          <w:szCs w:val="20"/>
        </w:rPr>
        <w:t>527 ICC patients were included and randomly divided into the derivatio</w:t>
      </w:r>
      <w:r w:rsidR="009C33F1" w:rsidRPr="001A1E09">
        <w:rPr>
          <w:rFonts w:ascii="Book Antiqua" w:hAnsi="Book Antiqua" w:cs="Arial"/>
          <w:sz w:val="20"/>
          <w:szCs w:val="20"/>
        </w:rPr>
        <w:t xml:space="preserve">n cohort (264 patients) and the </w:t>
      </w:r>
      <w:r w:rsidR="000F5344" w:rsidRPr="001A1E09">
        <w:rPr>
          <w:rFonts w:ascii="Book Antiqua" w:hAnsi="Book Antiqua" w:cs="Arial"/>
          <w:sz w:val="20"/>
          <w:szCs w:val="20"/>
        </w:rPr>
        <w:t>validation cohort (263 patients).</w:t>
      </w:r>
      <w:r w:rsidR="006C1B74" w:rsidRPr="001A1E09">
        <w:rPr>
          <w:rFonts w:ascii="Book Antiqua" w:hAnsi="Book Antiqua" w:cs="Arial"/>
          <w:sz w:val="20"/>
          <w:szCs w:val="20"/>
        </w:rPr>
        <w:t xml:space="preserve"> The two patient </w:t>
      </w:r>
      <w:r w:rsidR="00496418" w:rsidRPr="001A1E09">
        <w:rPr>
          <w:rFonts w:ascii="Book Antiqua" w:hAnsi="Book Antiqua" w:cs="Arial"/>
          <w:sz w:val="20"/>
          <w:szCs w:val="20"/>
        </w:rPr>
        <w:t xml:space="preserve">cohorts had comparable baseline </w:t>
      </w:r>
      <w:r w:rsidR="006C1B74" w:rsidRPr="001A1E09">
        <w:rPr>
          <w:rFonts w:ascii="Book Antiqua" w:hAnsi="Book Antiqua" w:cs="Arial"/>
          <w:sz w:val="20"/>
          <w:szCs w:val="20"/>
        </w:rPr>
        <w:t>characteristics.</w:t>
      </w:r>
      <w:r w:rsidR="00800102" w:rsidRPr="001A1E09">
        <w:rPr>
          <w:rFonts w:ascii="Book Antiqua" w:hAnsi="Book Antiqua" w:cs="Arial"/>
          <w:sz w:val="20"/>
          <w:szCs w:val="20"/>
        </w:rPr>
        <w:t xml:space="preserve"> The optimal cut</w:t>
      </w:r>
      <w:r w:rsidRPr="001A1E09">
        <w:rPr>
          <w:rFonts w:ascii="Book Antiqua" w:hAnsi="Book Antiqua" w:cs="Arial"/>
          <w:sz w:val="20"/>
          <w:szCs w:val="20"/>
        </w:rPr>
        <w:t>-</w:t>
      </w:r>
      <w:r w:rsidR="00800102" w:rsidRPr="001A1E09">
        <w:rPr>
          <w:rFonts w:ascii="Book Antiqua" w:hAnsi="Book Antiqua" w:cs="Arial"/>
          <w:sz w:val="20"/>
          <w:szCs w:val="20"/>
        </w:rPr>
        <w:t xml:space="preserve">off </w:t>
      </w:r>
      <w:r w:rsidRPr="001A1E09">
        <w:rPr>
          <w:rFonts w:ascii="Book Antiqua" w:hAnsi="Book Antiqua" w:cs="Arial"/>
          <w:sz w:val="20"/>
          <w:szCs w:val="20"/>
        </w:rPr>
        <w:t xml:space="preserve">value for the GLR </w:t>
      </w:r>
      <w:r w:rsidR="00800102" w:rsidRPr="001A1E09">
        <w:rPr>
          <w:rFonts w:ascii="Book Antiqua" w:hAnsi="Book Antiqua" w:cs="Arial"/>
          <w:sz w:val="20"/>
          <w:szCs w:val="20"/>
        </w:rPr>
        <w:t xml:space="preserve">was 33.7. </w:t>
      </w:r>
      <w:r w:rsidR="0005044C" w:rsidRPr="001A1E09">
        <w:rPr>
          <w:rFonts w:ascii="Book Antiqua" w:hAnsi="Book Antiqua" w:cs="Arial"/>
          <w:sz w:val="20"/>
          <w:szCs w:val="20"/>
        </w:rPr>
        <w:t>Kaplan-Meier curves showed worse OS and RFS in the GLR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05044C" w:rsidRPr="001A1E09">
        <w:rPr>
          <w:rFonts w:ascii="Book Antiqua" w:hAnsi="Book Antiqua" w:cs="Arial"/>
          <w:sz w:val="20"/>
          <w:szCs w:val="20"/>
        </w:rPr>
        <w:t>&gt;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05044C" w:rsidRPr="001A1E09">
        <w:rPr>
          <w:rFonts w:ascii="Book Antiqua" w:hAnsi="Book Antiqua" w:cs="Arial"/>
          <w:sz w:val="20"/>
          <w:szCs w:val="20"/>
        </w:rPr>
        <w:t>33.7 group compared with GLR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05044C" w:rsidRPr="001A1E09">
        <w:rPr>
          <w:rFonts w:ascii="Book Antiqua" w:eastAsiaTheme="majorEastAsia" w:hAnsi="Book Antiqua" w:cs="Arial"/>
          <w:sz w:val="20"/>
          <w:szCs w:val="20"/>
        </w:rPr>
        <w:t>≤</w:t>
      </w:r>
      <w:r w:rsidR="00A951B3" w:rsidRPr="001A1E09">
        <w:rPr>
          <w:rFonts w:ascii="Book Antiqua" w:eastAsiaTheme="majorEastAsia" w:hAnsi="Book Antiqua" w:cs="Arial"/>
          <w:sz w:val="20"/>
          <w:szCs w:val="20"/>
        </w:rPr>
        <w:t xml:space="preserve"> </w:t>
      </w:r>
      <w:r w:rsidR="0005044C" w:rsidRPr="001A1E09">
        <w:rPr>
          <w:rFonts w:ascii="Book Antiqua" w:hAnsi="Book Antiqua" w:cs="Arial"/>
          <w:sz w:val="20"/>
          <w:szCs w:val="20"/>
        </w:rPr>
        <w:t>33.7 group in both cohorts.</w:t>
      </w:r>
      <w:r w:rsidR="00474165" w:rsidRPr="001A1E09">
        <w:rPr>
          <w:rFonts w:ascii="Book Antiqua" w:hAnsi="Book Antiqua" w:cs="Arial"/>
          <w:sz w:val="20"/>
          <w:szCs w:val="20"/>
        </w:rPr>
        <w:t xml:space="preserve"> After 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univariate </w:t>
      </w:r>
      <w:r w:rsidR="006009EF" w:rsidRPr="001A1E09">
        <w:rPr>
          <w:rFonts w:ascii="Book Antiqua" w:hAnsi="Book Antiqua" w:cs="Arial"/>
          <w:sz w:val="20"/>
          <w:szCs w:val="20"/>
        </w:rPr>
        <w:t>and m</w:t>
      </w:r>
      <w:r w:rsidR="00513F90" w:rsidRPr="001A1E09">
        <w:rPr>
          <w:rFonts w:ascii="Book Antiqua" w:hAnsi="Book Antiqua" w:cs="Arial"/>
          <w:sz w:val="20"/>
          <w:szCs w:val="20"/>
        </w:rPr>
        <w:t>ultivariate analysi</w:t>
      </w:r>
      <w:r w:rsidR="006009EF" w:rsidRPr="001A1E09">
        <w:rPr>
          <w:rFonts w:ascii="Book Antiqua" w:hAnsi="Book Antiqua" w:cs="Arial"/>
          <w:sz w:val="20"/>
          <w:szCs w:val="20"/>
        </w:rPr>
        <w:t>s</w:t>
      </w:r>
      <w:r w:rsidR="00F7381F" w:rsidRPr="001A1E09">
        <w:rPr>
          <w:rFonts w:ascii="Book Antiqua" w:hAnsi="Book Antiqua" w:cs="Arial"/>
          <w:sz w:val="20"/>
          <w:szCs w:val="20"/>
        </w:rPr>
        <w:t>, the results indicated that</w:t>
      </w:r>
      <w:r w:rsidR="006009EF" w:rsidRPr="001A1E09">
        <w:rPr>
          <w:rFonts w:ascii="Book Antiqua" w:hAnsi="Book Antiqua" w:cs="Arial"/>
          <w:sz w:val="20"/>
          <w:szCs w:val="20"/>
        </w:rPr>
        <w:t xml:space="preserve"> GLR </w:t>
      </w:r>
      <w:r w:rsidR="00F7381F" w:rsidRPr="001A1E09">
        <w:rPr>
          <w:rFonts w:ascii="Book Antiqua" w:hAnsi="Book Antiqua" w:cs="Arial"/>
          <w:sz w:val="20"/>
          <w:szCs w:val="20"/>
        </w:rPr>
        <w:t>was</w:t>
      </w:r>
      <w:r w:rsidR="006009EF" w:rsidRPr="001A1E09">
        <w:rPr>
          <w:rFonts w:ascii="Book Antiqua" w:hAnsi="Book Antiqua" w:cs="Arial"/>
          <w:sz w:val="20"/>
          <w:szCs w:val="20"/>
        </w:rPr>
        <w:t xml:space="preserve"> an i</w:t>
      </w:r>
      <w:r w:rsidR="00F7381F" w:rsidRPr="001A1E09">
        <w:rPr>
          <w:rFonts w:ascii="Book Antiqua" w:hAnsi="Book Antiqua" w:cs="Arial"/>
          <w:sz w:val="20"/>
          <w:szCs w:val="20"/>
        </w:rPr>
        <w:t>ndependent prognostic factor of</w:t>
      </w:r>
      <w:r w:rsidR="006009EF" w:rsidRPr="001A1E09">
        <w:rPr>
          <w:rFonts w:ascii="Book Antiqua" w:hAnsi="Book Antiqua" w:cs="Arial"/>
          <w:sz w:val="20"/>
          <w:szCs w:val="20"/>
        </w:rPr>
        <w:t xml:space="preserve"> OS 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[derivation </w:t>
      </w:r>
      <w:r w:rsidR="00C20C83" w:rsidRPr="001A1E09">
        <w:rPr>
          <w:rFonts w:ascii="Book Antiqua" w:hAnsi="Book Antiqua" w:cs="Arial"/>
          <w:sz w:val="20"/>
          <w:szCs w:val="20"/>
        </w:rPr>
        <w:t>cohort: hazard ratio (HR) =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1.620</w:t>
      </w:r>
      <w:r w:rsidR="006009EF" w:rsidRPr="001A1E09">
        <w:rPr>
          <w:rFonts w:ascii="Book Antiqua" w:hAnsi="Book Antiqua" w:cs="Arial"/>
          <w:sz w:val="20"/>
          <w:szCs w:val="20"/>
        </w:rPr>
        <w:t>, 95% confidence i</w:t>
      </w:r>
      <w:r w:rsidR="00C20C83" w:rsidRPr="001A1E09">
        <w:rPr>
          <w:rFonts w:ascii="Book Antiqua" w:hAnsi="Book Antiqua" w:cs="Arial"/>
          <w:sz w:val="20"/>
          <w:szCs w:val="20"/>
        </w:rPr>
        <w:t>nterval (CI): 1.066-2.462</w:t>
      </w:r>
      <w:r w:rsidR="006009EF" w:rsidRPr="001A1E09">
        <w:rPr>
          <w:rFonts w:ascii="Book Antiqua" w:hAnsi="Book Antiqua" w:cs="Arial"/>
          <w:sz w:val="20"/>
          <w:szCs w:val="20"/>
        </w:rPr>
        <w:t>,</w:t>
      </w:r>
      <w:r w:rsidR="006009EF" w:rsidRPr="001A1E09">
        <w:rPr>
          <w:rFonts w:ascii="Book Antiqua" w:hAnsi="Book Antiqua" w:cs="Arial"/>
          <w:i/>
          <w:sz w:val="20"/>
          <w:szCs w:val="20"/>
        </w:rPr>
        <w:t xml:space="preserve"> P</w:t>
      </w:r>
      <w:r w:rsidR="00A951B3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=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0.024; validation cohort: HR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=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1.466</w:t>
      </w:r>
      <w:r w:rsidR="006009EF" w:rsidRPr="001A1E09">
        <w:rPr>
          <w:rFonts w:ascii="Book Antiqua" w:hAnsi="Book Antiqua" w:cs="Arial"/>
          <w:sz w:val="20"/>
          <w:szCs w:val="20"/>
        </w:rPr>
        <w:t>,</w:t>
      </w:r>
      <w:r w:rsidR="00F7381F" w:rsidRPr="001A1E09">
        <w:rPr>
          <w:rFonts w:ascii="Book Antiqua" w:hAnsi="Book Antiqua" w:cs="Arial"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95%CI: 1.033-2.142</w:t>
      </w:r>
      <w:r w:rsidR="006009EF" w:rsidRPr="001A1E09">
        <w:rPr>
          <w:rFonts w:ascii="Book Antiqua" w:hAnsi="Book Antiqua" w:cs="Arial"/>
          <w:sz w:val="20"/>
          <w:szCs w:val="20"/>
        </w:rPr>
        <w:t xml:space="preserve">, </w:t>
      </w:r>
      <w:r w:rsidR="006009EF" w:rsidRPr="001A1E09">
        <w:rPr>
          <w:rFonts w:ascii="Book Antiqua" w:hAnsi="Book Antiqua" w:cs="Arial"/>
          <w:i/>
          <w:sz w:val="20"/>
          <w:szCs w:val="20"/>
        </w:rPr>
        <w:t>P</w:t>
      </w:r>
      <w:r w:rsidR="00A951B3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=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0.04</w:t>
      </w:r>
      <w:r w:rsidR="006009EF" w:rsidRPr="001A1E09">
        <w:rPr>
          <w:rFonts w:ascii="Book Antiqua" w:hAnsi="Book Antiqua" w:cs="Arial"/>
          <w:sz w:val="20"/>
          <w:szCs w:val="20"/>
        </w:rPr>
        <w:t>8</w:t>
      </w:r>
      <w:r w:rsidR="00A951B3" w:rsidRPr="001A1E09">
        <w:rPr>
          <w:rFonts w:ascii="Book Antiqua" w:hAnsi="Book Antiqua" w:cs="Arial"/>
          <w:sz w:val="20"/>
          <w:szCs w:val="20"/>
        </w:rPr>
        <w:t>]</w:t>
      </w:r>
      <w:r w:rsidR="006009EF" w:rsidRPr="001A1E09">
        <w:rPr>
          <w:rFonts w:ascii="Book Antiqua" w:hAnsi="Book Antiqua" w:cs="Arial"/>
          <w:sz w:val="20"/>
          <w:szCs w:val="20"/>
        </w:rPr>
        <w:t xml:space="preserve"> and </w:t>
      </w:r>
      <w:r w:rsidR="00C20C83" w:rsidRPr="001A1E09">
        <w:rPr>
          <w:rFonts w:ascii="Book Antiqua" w:hAnsi="Book Antiqua" w:cs="Arial"/>
          <w:sz w:val="20"/>
          <w:szCs w:val="20"/>
        </w:rPr>
        <w:t xml:space="preserve">RFS </w:t>
      </w:r>
      <w:r w:rsidR="00A951B3" w:rsidRPr="001A1E09">
        <w:rPr>
          <w:rFonts w:ascii="Book Antiqua" w:hAnsi="Book Antiqua" w:cs="Arial"/>
          <w:sz w:val="20"/>
          <w:szCs w:val="20"/>
        </w:rPr>
        <w:t>[</w:t>
      </w:r>
      <w:r w:rsidR="00C20C83" w:rsidRPr="001A1E09">
        <w:rPr>
          <w:rFonts w:ascii="Book Antiqua" w:hAnsi="Book Antiqua" w:cs="Arial"/>
          <w:sz w:val="20"/>
          <w:szCs w:val="20"/>
        </w:rPr>
        <w:t>derivation cohort: HR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=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1.471, 95%CI: 1.029-2.103</w:t>
      </w:r>
      <w:r w:rsidR="006009EF" w:rsidRPr="001A1E09">
        <w:rPr>
          <w:rFonts w:ascii="Book Antiqua" w:hAnsi="Book Antiqua" w:cs="Arial"/>
          <w:sz w:val="20"/>
          <w:szCs w:val="20"/>
        </w:rPr>
        <w:t xml:space="preserve">, </w:t>
      </w:r>
      <w:r w:rsidR="006009EF" w:rsidRPr="001A1E09">
        <w:rPr>
          <w:rFonts w:ascii="Book Antiqua" w:hAnsi="Book Antiqua" w:cs="Arial"/>
          <w:i/>
          <w:sz w:val="20"/>
          <w:szCs w:val="20"/>
        </w:rPr>
        <w:t>P</w:t>
      </w:r>
      <w:r w:rsidR="00A951B3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=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0.034; validation cohort: HR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=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1.480, 95%CI: 1.057-2.070</w:t>
      </w:r>
      <w:r w:rsidR="006009EF" w:rsidRPr="001A1E09">
        <w:rPr>
          <w:rFonts w:ascii="Book Antiqua" w:hAnsi="Book Antiqua" w:cs="Arial"/>
          <w:sz w:val="20"/>
          <w:szCs w:val="20"/>
        </w:rPr>
        <w:t xml:space="preserve">, </w:t>
      </w:r>
      <w:r w:rsidR="006009EF" w:rsidRPr="001A1E09">
        <w:rPr>
          <w:rFonts w:ascii="Book Antiqua" w:hAnsi="Book Antiqua" w:cs="Arial"/>
          <w:i/>
          <w:sz w:val="20"/>
          <w:szCs w:val="20"/>
        </w:rPr>
        <w:t>P</w:t>
      </w:r>
      <w:r w:rsidR="00A951B3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=</w:t>
      </w:r>
      <w:r w:rsidR="00A951B3" w:rsidRPr="001A1E09">
        <w:rPr>
          <w:rFonts w:ascii="Book Antiqua" w:hAnsi="Book Antiqua" w:cs="Arial"/>
          <w:sz w:val="20"/>
          <w:szCs w:val="20"/>
        </w:rPr>
        <w:t xml:space="preserve"> </w:t>
      </w:r>
      <w:r w:rsidR="00C20C83" w:rsidRPr="001A1E09">
        <w:rPr>
          <w:rFonts w:ascii="Book Antiqua" w:hAnsi="Book Antiqua" w:cs="Arial"/>
          <w:sz w:val="20"/>
          <w:szCs w:val="20"/>
        </w:rPr>
        <w:t>0.022</w:t>
      </w:r>
      <w:r w:rsidR="00A951B3" w:rsidRPr="001A1E09">
        <w:rPr>
          <w:rFonts w:ascii="Book Antiqua" w:hAnsi="Book Antiqua" w:cs="Arial"/>
          <w:sz w:val="20"/>
          <w:szCs w:val="20"/>
        </w:rPr>
        <w:t>].</w:t>
      </w:r>
    </w:p>
    <w:p w14:paraId="053F7C9A" w14:textId="77777777" w:rsidR="00336ED2" w:rsidRPr="001A1E09" w:rsidRDefault="00336ED2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5A04180C" w14:textId="77777777" w:rsidR="00905126" w:rsidRPr="001A1E09" w:rsidRDefault="00905126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CONCLUSION</w:t>
      </w:r>
    </w:p>
    <w:p w14:paraId="6A1B63D1" w14:textId="77777777" w:rsidR="00E4465E" w:rsidRPr="001A1E09" w:rsidRDefault="00590AA0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The preoperative GLR is an independent prognostic factor for ICC patients</w:t>
      </w:r>
      <w:r w:rsidR="00D328C7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following hepatectomy. A h</w:t>
      </w:r>
      <w:r w:rsidR="00DA087E" w:rsidRPr="001A1E09">
        <w:rPr>
          <w:rFonts w:ascii="Book Antiqua" w:hAnsi="Book Antiqua" w:cs="Arial"/>
          <w:sz w:val="20"/>
          <w:szCs w:val="20"/>
        </w:rPr>
        <w:t xml:space="preserve">igh preoperative GLR is associated with </w:t>
      </w:r>
      <w:r w:rsidRPr="001A1E09">
        <w:rPr>
          <w:rFonts w:ascii="Book Antiqua" w:hAnsi="Book Antiqua" w:cs="Arial"/>
          <w:sz w:val="20"/>
          <w:szCs w:val="20"/>
        </w:rPr>
        <w:t>worse OS and RFS.</w:t>
      </w:r>
    </w:p>
    <w:p w14:paraId="37D13280" w14:textId="77777777" w:rsidR="00590AA0" w:rsidRPr="001A1E09" w:rsidRDefault="00590AA0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6F8B2FB7" w14:textId="35C47803" w:rsidR="00E4465E" w:rsidRPr="001A1E09" w:rsidRDefault="00E4465E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t>Key words</w:t>
      </w:r>
      <w:r w:rsidR="00DC59CF" w:rsidRPr="001A1E09">
        <w:rPr>
          <w:rFonts w:ascii="Book Antiqua" w:hAnsi="Book Antiqua" w:cs="Arial"/>
          <w:b/>
          <w:sz w:val="20"/>
          <w:szCs w:val="20"/>
        </w:rPr>
        <w:t xml:space="preserve">: </w:t>
      </w:r>
      <w:r w:rsidRPr="001A1E09">
        <w:rPr>
          <w:rFonts w:ascii="Book Antiqua" w:hAnsi="Book Antiqua" w:cs="Arial"/>
          <w:sz w:val="20"/>
          <w:szCs w:val="20"/>
        </w:rPr>
        <w:t xml:space="preserve">Gamma-glutamyltransferase; Lymphocyte ratio; </w:t>
      </w:r>
      <w:r w:rsidR="00586F26" w:rsidRPr="001A1E09">
        <w:rPr>
          <w:rFonts w:ascii="Book Antiqua" w:hAnsi="Book Antiqua" w:cs="Times New Roman"/>
          <w:sz w:val="20"/>
          <w:szCs w:val="20"/>
        </w:rPr>
        <w:t>Gamma-glutamyltransferase to lymphocyte ratio</w:t>
      </w:r>
      <w:r w:rsidRPr="001A1E09">
        <w:rPr>
          <w:rFonts w:ascii="Book Antiqua" w:hAnsi="Book Antiqua" w:cs="Arial"/>
          <w:sz w:val="20"/>
          <w:szCs w:val="20"/>
        </w:rPr>
        <w:t xml:space="preserve">; </w:t>
      </w:r>
      <w:r w:rsidR="00496418" w:rsidRPr="001A1E09">
        <w:rPr>
          <w:rFonts w:ascii="Book Antiqua" w:hAnsi="Book Antiqua" w:cs="Arial"/>
          <w:sz w:val="20"/>
          <w:szCs w:val="20"/>
        </w:rPr>
        <w:t>I</w:t>
      </w:r>
      <w:r w:rsidRPr="001A1E09">
        <w:rPr>
          <w:rFonts w:ascii="Book Antiqua" w:hAnsi="Book Antiqua" w:cs="Arial"/>
          <w:sz w:val="20"/>
          <w:szCs w:val="20"/>
        </w:rPr>
        <w:t>ntrahepatic</w:t>
      </w:r>
      <w:r w:rsidR="00590AA0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cholangiocarcinoma</w:t>
      </w:r>
      <w:r w:rsidR="00586F26" w:rsidRPr="001A1E09">
        <w:rPr>
          <w:rFonts w:ascii="Book Antiqua" w:hAnsi="Book Antiqua" w:cs="Arial"/>
          <w:sz w:val="20"/>
          <w:szCs w:val="20"/>
        </w:rPr>
        <w:t>; Prognosis; Survival analysis</w:t>
      </w:r>
    </w:p>
    <w:p w14:paraId="49B269CE" w14:textId="77777777" w:rsidR="005F016A" w:rsidRPr="001A1E09" w:rsidRDefault="005F016A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4CD74DAF" w14:textId="77777777" w:rsidR="007E6EC8" w:rsidRPr="001A1E09" w:rsidRDefault="007E6EC8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Wang JJ, Li H, Li JX, Xu L, Wu H, Zeng Y. Preoperative gamma-glutamyltransferase to lymphocyte ratio predicts long-term outcomes in intrahepatic cholangiocarcinoma patients following hepatic resection. </w:t>
      </w:r>
      <w:r w:rsidRPr="001A1E09">
        <w:rPr>
          <w:rFonts w:ascii="Book Antiqua" w:hAnsi="Book Antiqua"/>
          <w:i/>
          <w:sz w:val="20"/>
          <w:szCs w:val="20"/>
        </w:rPr>
        <w:t>World J Gastroenterol</w:t>
      </w:r>
      <w:r w:rsidRPr="001A1E09">
        <w:rPr>
          <w:rFonts w:ascii="Book Antiqua" w:hAnsi="Book Antiqua"/>
          <w:sz w:val="20"/>
          <w:szCs w:val="20"/>
        </w:rPr>
        <w:t xml:space="preserve"> 2020; </w:t>
      </w:r>
      <w:r w:rsidRPr="001A1E09">
        <w:rPr>
          <w:rFonts w:ascii="Book Antiqua" w:hAnsi="Book Antiqua"/>
          <w:bCs/>
          <w:sz w:val="20"/>
          <w:szCs w:val="20"/>
        </w:rPr>
        <w:t>In press</w:t>
      </w:r>
    </w:p>
    <w:p w14:paraId="79946443" w14:textId="77777777" w:rsidR="007E6EC8" w:rsidRPr="001A1E09" w:rsidRDefault="007E6EC8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61821812" w14:textId="7E1726A0" w:rsidR="00905126" w:rsidRPr="001A1E09" w:rsidRDefault="005F016A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lastRenderedPageBreak/>
        <w:t>Core tip:</w:t>
      </w:r>
      <w:r w:rsidR="001E758A" w:rsidRPr="001A1E09">
        <w:rPr>
          <w:rFonts w:ascii="Book Antiqua" w:hAnsi="Book Antiqua" w:cs="Arial"/>
          <w:sz w:val="20"/>
          <w:szCs w:val="20"/>
        </w:rPr>
        <w:t xml:space="preserve"> </w:t>
      </w:r>
      <w:bookmarkStart w:id="23" w:name="OLE_LINK21"/>
      <w:r w:rsidR="001E758A" w:rsidRPr="001A1E09">
        <w:rPr>
          <w:rFonts w:ascii="Book Antiqua" w:hAnsi="Book Antiqua" w:cs="Arial"/>
          <w:sz w:val="20"/>
          <w:szCs w:val="20"/>
        </w:rPr>
        <w:t>This study investigate</w:t>
      </w:r>
      <w:r w:rsidR="00EB0DF9" w:rsidRPr="001A1E09">
        <w:rPr>
          <w:rFonts w:ascii="Book Antiqua" w:hAnsi="Book Antiqua" w:cs="Arial"/>
          <w:sz w:val="20"/>
          <w:szCs w:val="20"/>
        </w:rPr>
        <w:t>d</w:t>
      </w:r>
      <w:r w:rsidR="001E758A" w:rsidRPr="001A1E09">
        <w:rPr>
          <w:rFonts w:ascii="Book Antiqua" w:hAnsi="Book Antiqua" w:cs="Arial"/>
          <w:sz w:val="20"/>
          <w:szCs w:val="20"/>
        </w:rPr>
        <w:t xml:space="preserve"> the clinical significance of preoperative </w:t>
      </w:r>
      <w:r w:rsidR="00586F26" w:rsidRPr="001A1E09">
        <w:rPr>
          <w:rFonts w:ascii="Book Antiqua" w:hAnsi="Book Antiqua" w:cs="Times New Roman"/>
          <w:sz w:val="20"/>
          <w:szCs w:val="20"/>
        </w:rPr>
        <w:t>gamma-glutamyltransferase to lymphocyte ratio</w:t>
      </w:r>
      <w:r w:rsidR="00586F26" w:rsidRPr="001A1E09">
        <w:rPr>
          <w:rFonts w:ascii="Book Antiqua" w:hAnsi="Book Antiqua" w:cs="Arial"/>
          <w:sz w:val="20"/>
          <w:szCs w:val="20"/>
        </w:rPr>
        <w:t xml:space="preserve"> (</w:t>
      </w:r>
      <w:r w:rsidR="001E758A" w:rsidRPr="001A1E09">
        <w:rPr>
          <w:rFonts w:ascii="Book Antiqua" w:hAnsi="Book Antiqua" w:cs="Arial"/>
          <w:sz w:val="20"/>
          <w:szCs w:val="20"/>
        </w:rPr>
        <w:t>GLR</w:t>
      </w:r>
      <w:r w:rsidR="00586F26" w:rsidRPr="001A1E09">
        <w:rPr>
          <w:rFonts w:ascii="Book Antiqua" w:hAnsi="Book Antiqua" w:cs="Arial"/>
          <w:sz w:val="20"/>
          <w:szCs w:val="20"/>
        </w:rPr>
        <w:t>)</w:t>
      </w:r>
      <w:r w:rsidR="001E758A" w:rsidRPr="001A1E09">
        <w:rPr>
          <w:rFonts w:ascii="Book Antiqua" w:hAnsi="Book Antiqua" w:cs="Arial"/>
          <w:sz w:val="20"/>
          <w:szCs w:val="20"/>
        </w:rPr>
        <w:t xml:space="preserve"> levels in </w:t>
      </w:r>
      <w:r w:rsidR="00586F26" w:rsidRPr="001A1E09">
        <w:rPr>
          <w:rFonts w:ascii="Book Antiqua" w:hAnsi="Book Antiqua" w:cs="Arial"/>
          <w:sz w:val="20"/>
          <w:szCs w:val="20"/>
        </w:rPr>
        <w:t>intrahepatic cholangiocarcinoma (</w:t>
      </w:r>
      <w:r w:rsidR="001E758A" w:rsidRPr="001A1E09">
        <w:rPr>
          <w:rFonts w:ascii="Book Antiqua" w:hAnsi="Book Antiqua" w:cs="Arial"/>
          <w:sz w:val="20"/>
          <w:szCs w:val="20"/>
        </w:rPr>
        <w:t>ICC</w:t>
      </w:r>
      <w:r w:rsidR="00586F26" w:rsidRPr="001A1E09">
        <w:rPr>
          <w:rFonts w:ascii="Book Antiqua" w:hAnsi="Book Antiqua" w:cs="Arial"/>
          <w:sz w:val="20"/>
          <w:szCs w:val="20"/>
        </w:rPr>
        <w:t>)</w:t>
      </w:r>
      <w:r w:rsidR="001E758A" w:rsidRPr="001A1E09">
        <w:rPr>
          <w:rFonts w:ascii="Book Antiqua" w:hAnsi="Book Antiqua" w:cs="Arial"/>
          <w:sz w:val="20"/>
          <w:szCs w:val="20"/>
        </w:rPr>
        <w:t xml:space="preserve"> patients </w:t>
      </w:r>
      <w:r w:rsidR="003B07C7" w:rsidRPr="001A1E09">
        <w:rPr>
          <w:rFonts w:ascii="Book Antiqua" w:hAnsi="Book Antiqua" w:cs="Arial"/>
          <w:sz w:val="20"/>
          <w:szCs w:val="20"/>
        </w:rPr>
        <w:t xml:space="preserve">following </w:t>
      </w:r>
      <w:bookmarkStart w:id="24" w:name="OLE_LINK17"/>
      <w:bookmarkStart w:id="25" w:name="OLE_LINK18"/>
      <w:r w:rsidR="003B07C7" w:rsidRPr="001A1E09">
        <w:rPr>
          <w:rFonts w:ascii="Book Antiqua" w:hAnsi="Book Antiqua" w:cs="Arial"/>
          <w:sz w:val="20"/>
          <w:szCs w:val="20"/>
        </w:rPr>
        <w:t>hepatectomy</w:t>
      </w:r>
      <w:bookmarkEnd w:id="24"/>
      <w:bookmarkEnd w:id="25"/>
      <w:r w:rsidR="001E758A" w:rsidRPr="001A1E09">
        <w:rPr>
          <w:rFonts w:ascii="Book Antiqua" w:hAnsi="Book Antiqua" w:cs="Arial"/>
          <w:sz w:val="20"/>
          <w:szCs w:val="20"/>
        </w:rPr>
        <w:t>.</w:t>
      </w:r>
      <w:r w:rsidR="008A732E" w:rsidRPr="001A1E09">
        <w:rPr>
          <w:rFonts w:ascii="Book Antiqua" w:hAnsi="Book Antiqua" w:cs="Arial"/>
          <w:sz w:val="20"/>
          <w:szCs w:val="20"/>
        </w:rPr>
        <w:t xml:space="preserve"> We retrospectively enrolled 527 ICC patients underwent curative hepatectomy</w:t>
      </w:r>
      <w:r w:rsidR="00590AA0" w:rsidRPr="001A1E09">
        <w:rPr>
          <w:rFonts w:ascii="Book Antiqua" w:hAnsi="Book Antiqua" w:cs="Arial"/>
          <w:sz w:val="20"/>
          <w:szCs w:val="20"/>
        </w:rPr>
        <w:t xml:space="preserve"> at</w:t>
      </w:r>
      <w:r w:rsidR="008A732E" w:rsidRPr="001A1E09">
        <w:rPr>
          <w:rFonts w:ascii="Book Antiqua" w:hAnsi="Book Antiqua" w:cs="Arial"/>
          <w:sz w:val="20"/>
          <w:szCs w:val="20"/>
        </w:rPr>
        <w:t xml:space="preserve"> our center. The results showed that </w:t>
      </w:r>
      <w:r w:rsidR="00590AA0" w:rsidRPr="001A1E09">
        <w:rPr>
          <w:rFonts w:ascii="Book Antiqua" w:hAnsi="Book Antiqua" w:cs="Arial"/>
          <w:sz w:val="20"/>
          <w:szCs w:val="20"/>
        </w:rPr>
        <w:t xml:space="preserve">a </w:t>
      </w:r>
      <w:r w:rsidR="00232492" w:rsidRPr="001A1E09">
        <w:rPr>
          <w:rFonts w:ascii="Book Antiqua" w:hAnsi="Book Antiqua" w:cs="Arial"/>
          <w:sz w:val="20"/>
          <w:szCs w:val="20"/>
        </w:rPr>
        <w:t>h</w:t>
      </w:r>
      <w:r w:rsidR="00DA087E" w:rsidRPr="001A1E09">
        <w:rPr>
          <w:rFonts w:ascii="Book Antiqua" w:hAnsi="Book Antiqua" w:cs="Arial"/>
          <w:sz w:val="20"/>
          <w:szCs w:val="20"/>
        </w:rPr>
        <w:t>igh</w:t>
      </w:r>
      <w:r w:rsidR="00590AA0" w:rsidRPr="001A1E09">
        <w:rPr>
          <w:rFonts w:ascii="Book Antiqua" w:hAnsi="Book Antiqua" w:cs="Arial"/>
          <w:sz w:val="20"/>
          <w:szCs w:val="20"/>
        </w:rPr>
        <w:t>er</w:t>
      </w:r>
      <w:r w:rsidR="00232492" w:rsidRPr="001A1E09">
        <w:rPr>
          <w:rFonts w:ascii="Book Antiqua" w:hAnsi="Book Antiqua" w:cs="Arial"/>
          <w:sz w:val="20"/>
          <w:szCs w:val="20"/>
        </w:rPr>
        <w:t xml:space="preserve"> GLR is associated with worse </w:t>
      </w:r>
      <w:r w:rsidR="00586F26" w:rsidRPr="001A1E09">
        <w:rPr>
          <w:rFonts w:ascii="Book Antiqua" w:hAnsi="Book Antiqua" w:cs="Arial"/>
          <w:sz w:val="20"/>
          <w:szCs w:val="20"/>
        </w:rPr>
        <w:t>overall survival</w:t>
      </w:r>
      <w:r w:rsidR="00232492" w:rsidRPr="001A1E09">
        <w:rPr>
          <w:rFonts w:ascii="Book Antiqua" w:hAnsi="Book Antiqua" w:cs="Arial"/>
          <w:sz w:val="20"/>
          <w:szCs w:val="20"/>
        </w:rPr>
        <w:t xml:space="preserve"> and </w:t>
      </w:r>
      <w:r w:rsidR="00586F26" w:rsidRPr="001A1E09">
        <w:rPr>
          <w:rFonts w:ascii="Book Antiqua" w:hAnsi="Book Antiqua" w:cs="Arial"/>
          <w:sz w:val="20"/>
          <w:szCs w:val="20"/>
        </w:rPr>
        <w:t>recurrence-free survival</w:t>
      </w:r>
      <w:r w:rsidR="00DA087E" w:rsidRPr="001A1E09">
        <w:rPr>
          <w:rFonts w:ascii="Book Antiqua" w:hAnsi="Book Antiqua" w:cs="Arial"/>
          <w:sz w:val="20"/>
          <w:szCs w:val="20"/>
        </w:rPr>
        <w:t xml:space="preserve"> in ICC patients after hepatectomy</w:t>
      </w:r>
      <w:r w:rsidR="00232492" w:rsidRPr="001A1E09">
        <w:rPr>
          <w:rFonts w:ascii="Book Antiqua" w:hAnsi="Book Antiqua" w:cs="Arial"/>
          <w:sz w:val="20"/>
          <w:szCs w:val="20"/>
        </w:rPr>
        <w:t>.</w:t>
      </w:r>
      <w:r w:rsidR="007D5483" w:rsidRPr="001A1E09">
        <w:rPr>
          <w:rFonts w:ascii="Book Antiqua" w:hAnsi="Book Antiqua" w:cs="Arial"/>
          <w:sz w:val="20"/>
          <w:szCs w:val="20"/>
        </w:rPr>
        <w:t xml:space="preserve"> </w:t>
      </w:r>
      <w:r w:rsidR="00590AA0" w:rsidRPr="001A1E09">
        <w:rPr>
          <w:rFonts w:ascii="Book Antiqua" w:hAnsi="Book Antiqua" w:cs="Arial"/>
          <w:sz w:val="20"/>
          <w:szCs w:val="20"/>
        </w:rPr>
        <w:t>Thus, the p</w:t>
      </w:r>
      <w:r w:rsidR="007D5483" w:rsidRPr="001A1E09">
        <w:rPr>
          <w:rFonts w:ascii="Book Antiqua" w:hAnsi="Book Antiqua" w:cs="Arial"/>
          <w:sz w:val="20"/>
          <w:szCs w:val="20"/>
        </w:rPr>
        <w:t>reoperative GLR is an independent prognostic factor for ICC patients following curative resection.</w:t>
      </w:r>
      <w:bookmarkEnd w:id="23"/>
    </w:p>
    <w:p w14:paraId="0092155B" w14:textId="77777777" w:rsidR="007E6EC8" w:rsidRPr="001A1E09" w:rsidRDefault="007E6EC8" w:rsidP="001A1E09">
      <w:pPr>
        <w:widowControl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br w:type="page"/>
      </w:r>
    </w:p>
    <w:p w14:paraId="5D0EEE3B" w14:textId="7ACC096A" w:rsidR="00852862" w:rsidRPr="001A1E09" w:rsidRDefault="00D15DFA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  <w:u w:val="single"/>
        </w:rPr>
      </w:pPr>
      <w:r w:rsidRPr="001A1E09">
        <w:rPr>
          <w:rFonts w:ascii="Book Antiqua" w:hAnsi="Book Antiqua" w:cs="Arial"/>
          <w:b/>
          <w:sz w:val="20"/>
          <w:szCs w:val="20"/>
          <w:u w:val="single"/>
        </w:rPr>
        <w:lastRenderedPageBreak/>
        <w:t>INTRODUCTION</w:t>
      </w:r>
    </w:p>
    <w:p w14:paraId="20D63CDB" w14:textId="19CD9464" w:rsidR="00216145" w:rsidRPr="001A1E09" w:rsidRDefault="004A44DB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bookmarkStart w:id="26" w:name="OLE_LINK55"/>
      <w:bookmarkStart w:id="27" w:name="OLE_LINK56"/>
      <w:r w:rsidRPr="001A1E09">
        <w:rPr>
          <w:rFonts w:ascii="Book Antiqua" w:hAnsi="Book Antiqua" w:cs="Arial"/>
          <w:sz w:val="20"/>
          <w:szCs w:val="20"/>
        </w:rPr>
        <w:t xml:space="preserve">Intrahepatic cholangiocarcinoma </w:t>
      </w:r>
      <w:bookmarkEnd w:id="26"/>
      <w:bookmarkEnd w:id="27"/>
      <w:r w:rsidRPr="001A1E09">
        <w:rPr>
          <w:rFonts w:ascii="Book Antiqua" w:hAnsi="Book Antiqua" w:cs="Arial"/>
          <w:sz w:val="20"/>
          <w:szCs w:val="20"/>
        </w:rPr>
        <w:t>(ICC)</w:t>
      </w:r>
      <w:r w:rsidR="00216145" w:rsidRPr="001A1E09">
        <w:rPr>
          <w:rFonts w:ascii="Book Antiqua" w:hAnsi="Book Antiqua" w:cs="Arial"/>
          <w:sz w:val="20"/>
          <w:szCs w:val="20"/>
        </w:rPr>
        <w:t xml:space="preserve">, </w:t>
      </w:r>
      <w:r w:rsidRPr="001A1E09">
        <w:rPr>
          <w:rFonts w:ascii="Book Antiqua" w:hAnsi="Book Antiqua" w:cs="Arial"/>
          <w:sz w:val="20"/>
          <w:szCs w:val="20"/>
        </w:rPr>
        <w:t xml:space="preserve">the second most </w:t>
      </w:r>
      <w:r w:rsidR="000709A9" w:rsidRPr="001A1E09">
        <w:rPr>
          <w:rFonts w:ascii="Book Antiqua" w:hAnsi="Book Antiqua" w:cs="Arial"/>
          <w:sz w:val="20"/>
          <w:szCs w:val="20"/>
        </w:rPr>
        <w:t xml:space="preserve">type of </w:t>
      </w:r>
      <w:r w:rsidRPr="001A1E09">
        <w:rPr>
          <w:rFonts w:ascii="Book Antiqua" w:hAnsi="Book Antiqua" w:cs="Arial"/>
          <w:sz w:val="20"/>
          <w:szCs w:val="20"/>
        </w:rPr>
        <w:t>common biliary malignancy</w:t>
      </w:r>
      <w:r w:rsidR="008A732E" w:rsidRPr="001A1E09">
        <w:rPr>
          <w:rFonts w:ascii="Book Antiqua" w:hAnsi="Book Antiqua" w:cs="Arial"/>
          <w:sz w:val="20"/>
          <w:szCs w:val="20"/>
        </w:rPr>
        <w:t xml:space="preserve">, is a rare </w:t>
      </w:r>
      <w:r w:rsidR="00216145" w:rsidRPr="001A1E09">
        <w:rPr>
          <w:rFonts w:ascii="Book Antiqua" w:hAnsi="Book Antiqua" w:cs="Arial"/>
          <w:sz w:val="20"/>
          <w:szCs w:val="20"/>
        </w:rPr>
        <w:t>epithelial malignancy that re</w:t>
      </w:r>
      <w:r w:rsidR="000709A9" w:rsidRPr="001A1E09">
        <w:rPr>
          <w:rFonts w:ascii="Book Antiqua" w:hAnsi="Book Antiqua" w:cs="Arial"/>
          <w:sz w:val="20"/>
          <w:szCs w:val="20"/>
        </w:rPr>
        <w:t>sults in</w:t>
      </w:r>
      <w:r w:rsidR="00216145" w:rsidRPr="001A1E09">
        <w:rPr>
          <w:rFonts w:ascii="Book Antiqua" w:hAnsi="Book Antiqua" w:cs="Arial"/>
          <w:sz w:val="20"/>
          <w:szCs w:val="20"/>
        </w:rPr>
        <w:t xml:space="preserve"> poor prognosis</w:t>
      </w:r>
      <w:r w:rsidR="007E6EC8" w:rsidRPr="001A1E09">
        <w:rPr>
          <w:rFonts w:ascii="Book Antiqua" w:hAnsi="Book Antiqua" w:cs="Arial"/>
          <w:sz w:val="20"/>
          <w:szCs w:val="20"/>
          <w:vertAlign w:val="superscript"/>
        </w:rPr>
        <w:t>[1]</w:t>
      </w:r>
      <w:r w:rsidR="00216145" w:rsidRPr="001A1E09">
        <w:rPr>
          <w:rFonts w:ascii="Book Antiqua" w:hAnsi="Book Antiqua" w:cs="Arial"/>
          <w:sz w:val="20"/>
          <w:szCs w:val="20"/>
        </w:rPr>
        <w:t>.</w:t>
      </w:r>
      <w:r w:rsidRPr="001A1E09">
        <w:rPr>
          <w:rFonts w:ascii="Book Antiqua" w:hAnsi="Book Antiqua" w:cs="Arial"/>
          <w:sz w:val="20"/>
          <w:szCs w:val="20"/>
        </w:rPr>
        <w:t xml:space="preserve"> </w:t>
      </w:r>
      <w:r w:rsidR="000709A9" w:rsidRPr="001A1E09">
        <w:rPr>
          <w:rFonts w:ascii="Book Antiqua" w:hAnsi="Book Antiqua" w:cs="Arial"/>
          <w:sz w:val="20"/>
          <w:szCs w:val="20"/>
        </w:rPr>
        <w:t>An i</w:t>
      </w:r>
      <w:r w:rsidR="005E7314" w:rsidRPr="001A1E09">
        <w:rPr>
          <w:rFonts w:ascii="Book Antiqua" w:hAnsi="Book Antiqua" w:cs="Arial"/>
          <w:sz w:val="20"/>
          <w:szCs w:val="20"/>
        </w:rPr>
        <w:t xml:space="preserve">ncreasing incidence of ICC has </w:t>
      </w:r>
      <w:r w:rsidR="000709A9" w:rsidRPr="001A1E09">
        <w:rPr>
          <w:rFonts w:ascii="Book Antiqua" w:hAnsi="Book Antiqua" w:cs="Arial"/>
          <w:sz w:val="20"/>
          <w:szCs w:val="20"/>
        </w:rPr>
        <w:t xml:space="preserve">been reported </w:t>
      </w:r>
      <w:r w:rsidR="00D1411F" w:rsidRPr="001A1E09">
        <w:rPr>
          <w:rFonts w:ascii="Book Antiqua" w:hAnsi="Book Antiqua" w:cs="Arial"/>
          <w:sz w:val="20"/>
          <w:szCs w:val="20"/>
        </w:rPr>
        <w:t>worldwide over the last few decades</w:t>
      </w:r>
      <w:r w:rsidR="007E6EC8" w:rsidRPr="001A1E09">
        <w:rPr>
          <w:rFonts w:ascii="Book Antiqua" w:hAnsi="Book Antiqua" w:cs="Arial"/>
          <w:sz w:val="20"/>
          <w:szCs w:val="20"/>
          <w:vertAlign w:val="superscript"/>
        </w:rPr>
        <w:t>[2]</w:t>
      </w:r>
      <w:r w:rsidR="00D1411F" w:rsidRPr="001A1E09">
        <w:rPr>
          <w:rFonts w:ascii="Book Antiqua" w:hAnsi="Book Antiqua" w:cs="Arial"/>
          <w:sz w:val="20"/>
          <w:szCs w:val="20"/>
        </w:rPr>
        <w:t>.</w:t>
      </w:r>
      <w:r w:rsidR="007E4160" w:rsidRPr="001A1E09">
        <w:rPr>
          <w:rFonts w:ascii="Book Antiqua" w:hAnsi="Book Antiqua" w:cs="Arial"/>
          <w:sz w:val="20"/>
          <w:szCs w:val="20"/>
        </w:rPr>
        <w:t xml:space="preserve"> </w:t>
      </w:r>
      <w:r w:rsidR="00E6762C" w:rsidRPr="001A1E09">
        <w:rPr>
          <w:rFonts w:ascii="Book Antiqua" w:hAnsi="Book Antiqua" w:cs="Arial"/>
          <w:sz w:val="20"/>
          <w:szCs w:val="20"/>
        </w:rPr>
        <w:t>Surgical resection</w:t>
      </w:r>
      <w:r w:rsidR="00E132CA" w:rsidRPr="001A1E09">
        <w:rPr>
          <w:rFonts w:ascii="Book Antiqua" w:hAnsi="Book Antiqua" w:cs="Arial"/>
          <w:sz w:val="20"/>
          <w:szCs w:val="20"/>
        </w:rPr>
        <w:t xml:space="preserve"> </w:t>
      </w:r>
      <w:r w:rsidR="002B231C" w:rsidRPr="001A1E09">
        <w:rPr>
          <w:rFonts w:ascii="Book Antiqua" w:hAnsi="Book Antiqua" w:cs="Arial"/>
          <w:sz w:val="20"/>
          <w:szCs w:val="20"/>
        </w:rPr>
        <w:t xml:space="preserve">and liver transplantation </w:t>
      </w:r>
      <w:r w:rsidR="00E132CA" w:rsidRPr="001A1E09">
        <w:rPr>
          <w:rFonts w:ascii="Book Antiqua" w:hAnsi="Book Antiqua" w:cs="Arial"/>
          <w:sz w:val="20"/>
          <w:szCs w:val="20"/>
        </w:rPr>
        <w:t>may be</w:t>
      </w:r>
      <w:r w:rsidR="00374698" w:rsidRPr="001A1E09">
        <w:rPr>
          <w:rFonts w:ascii="Book Antiqua" w:hAnsi="Book Antiqua" w:cs="Arial"/>
          <w:sz w:val="20"/>
          <w:szCs w:val="20"/>
        </w:rPr>
        <w:t xml:space="preserve"> the potentially </w:t>
      </w:r>
      <w:r w:rsidR="00E132CA" w:rsidRPr="001A1E09">
        <w:rPr>
          <w:rFonts w:ascii="Book Antiqua" w:hAnsi="Book Antiqua" w:cs="Arial"/>
          <w:sz w:val="20"/>
          <w:szCs w:val="20"/>
        </w:rPr>
        <w:t>curative</w:t>
      </w:r>
      <w:r w:rsidR="00E6762C" w:rsidRPr="001A1E09">
        <w:rPr>
          <w:rFonts w:ascii="Book Antiqua" w:hAnsi="Book Antiqua" w:cs="Arial"/>
          <w:sz w:val="20"/>
          <w:szCs w:val="20"/>
        </w:rPr>
        <w:t xml:space="preserve"> </w:t>
      </w:r>
      <w:r w:rsidR="006D2D0F" w:rsidRPr="001A1E09">
        <w:rPr>
          <w:rFonts w:ascii="Book Antiqua" w:hAnsi="Book Antiqua" w:cs="Arial"/>
          <w:sz w:val="20"/>
          <w:szCs w:val="20"/>
        </w:rPr>
        <w:t xml:space="preserve">method </w:t>
      </w:r>
      <w:r w:rsidR="00374698" w:rsidRPr="001A1E09">
        <w:rPr>
          <w:rFonts w:ascii="Book Antiqua" w:hAnsi="Book Antiqua" w:cs="Arial"/>
          <w:sz w:val="20"/>
          <w:szCs w:val="20"/>
        </w:rPr>
        <w:t>for patients with ICC</w:t>
      </w:r>
      <w:r w:rsidR="00C476F2" w:rsidRPr="001A1E09">
        <w:rPr>
          <w:rFonts w:ascii="Book Antiqua" w:hAnsi="Book Antiqua" w:cs="Arial"/>
          <w:sz w:val="20"/>
          <w:szCs w:val="20"/>
        </w:rPr>
        <w:t>.</w:t>
      </w:r>
      <w:r w:rsidR="0050486D" w:rsidRPr="001A1E09">
        <w:rPr>
          <w:rFonts w:ascii="Book Antiqua" w:hAnsi="Book Antiqua" w:cs="Arial"/>
          <w:sz w:val="20"/>
          <w:szCs w:val="20"/>
        </w:rPr>
        <w:t xml:space="preserve"> </w:t>
      </w:r>
      <w:r w:rsidR="002B231C" w:rsidRPr="001A1E09">
        <w:rPr>
          <w:rFonts w:ascii="Book Antiqua" w:hAnsi="Book Antiqua" w:cs="Arial"/>
          <w:sz w:val="20"/>
          <w:szCs w:val="20"/>
        </w:rPr>
        <w:t>However</w:t>
      </w:r>
      <w:r w:rsidR="00914A22" w:rsidRPr="001A1E09">
        <w:rPr>
          <w:rFonts w:ascii="Book Antiqua" w:hAnsi="Book Antiqua" w:cs="Arial"/>
          <w:sz w:val="20"/>
          <w:szCs w:val="20"/>
        </w:rPr>
        <w:t xml:space="preserve">, </w:t>
      </w:r>
      <w:r w:rsidR="004220CE" w:rsidRPr="001A1E09">
        <w:rPr>
          <w:rFonts w:ascii="Book Antiqua" w:hAnsi="Book Antiqua" w:cs="Arial"/>
          <w:sz w:val="20"/>
          <w:szCs w:val="20"/>
        </w:rPr>
        <w:t>contemporary</w:t>
      </w:r>
      <w:r w:rsidR="002B231C" w:rsidRPr="001A1E09">
        <w:rPr>
          <w:rFonts w:ascii="Book Antiqua" w:hAnsi="Book Antiqua" w:cs="Arial"/>
          <w:sz w:val="20"/>
          <w:szCs w:val="20"/>
        </w:rPr>
        <w:t xml:space="preserve"> studies </w:t>
      </w:r>
      <w:r w:rsidR="00914A22" w:rsidRPr="001A1E09">
        <w:rPr>
          <w:rFonts w:ascii="Book Antiqua" w:hAnsi="Book Antiqua" w:cs="Arial"/>
          <w:sz w:val="20"/>
          <w:szCs w:val="20"/>
        </w:rPr>
        <w:t xml:space="preserve">do not support the </w:t>
      </w:r>
      <w:r w:rsidR="004220CE" w:rsidRPr="001A1E09">
        <w:rPr>
          <w:rFonts w:ascii="Book Antiqua" w:hAnsi="Book Antiqua" w:cs="Arial"/>
          <w:sz w:val="20"/>
          <w:szCs w:val="20"/>
        </w:rPr>
        <w:t xml:space="preserve">choice </w:t>
      </w:r>
      <w:r w:rsidR="00914A22" w:rsidRPr="001A1E09">
        <w:rPr>
          <w:rFonts w:ascii="Book Antiqua" w:hAnsi="Book Antiqua" w:cs="Arial"/>
          <w:sz w:val="20"/>
          <w:szCs w:val="20"/>
        </w:rPr>
        <w:t xml:space="preserve">of </w:t>
      </w:r>
      <w:r w:rsidR="007E6EC8" w:rsidRPr="001A1E09">
        <w:rPr>
          <w:rFonts w:ascii="Book Antiqua" w:hAnsi="Book Antiqua" w:cs="Arial"/>
          <w:sz w:val="20"/>
          <w:szCs w:val="20"/>
        </w:rPr>
        <w:t>liver transplantation</w:t>
      </w:r>
      <w:r w:rsidR="00914A22" w:rsidRPr="001A1E09">
        <w:rPr>
          <w:rFonts w:ascii="Book Antiqua" w:hAnsi="Book Antiqua" w:cs="Arial"/>
          <w:sz w:val="20"/>
          <w:szCs w:val="20"/>
        </w:rPr>
        <w:t xml:space="preserve"> for ICC patients as </w:t>
      </w:r>
      <w:r w:rsidR="004220CE" w:rsidRPr="001A1E09">
        <w:rPr>
          <w:rFonts w:ascii="Book Antiqua" w:hAnsi="Book Antiqua" w:cs="Arial"/>
          <w:sz w:val="20"/>
          <w:szCs w:val="20"/>
        </w:rPr>
        <w:t>the preferred treatment.</w:t>
      </w:r>
      <w:r w:rsidR="00914A22" w:rsidRPr="001A1E09">
        <w:rPr>
          <w:rFonts w:ascii="Book Antiqua" w:hAnsi="Book Antiqua" w:cs="Arial"/>
          <w:sz w:val="20"/>
          <w:szCs w:val="20"/>
        </w:rPr>
        <w:t xml:space="preserve"> </w:t>
      </w:r>
      <w:r w:rsidR="000709A9" w:rsidRPr="001A1E09">
        <w:rPr>
          <w:rFonts w:ascii="Book Antiqua" w:hAnsi="Book Antiqua" w:cs="Arial"/>
          <w:sz w:val="20"/>
          <w:szCs w:val="20"/>
        </w:rPr>
        <w:t>Despite advances in early</w:t>
      </w:r>
      <w:r w:rsidR="00C476F2" w:rsidRPr="001A1E09">
        <w:rPr>
          <w:rFonts w:ascii="Book Antiqua" w:hAnsi="Book Antiqua" w:cs="Arial"/>
          <w:sz w:val="20"/>
          <w:szCs w:val="20"/>
        </w:rPr>
        <w:t xml:space="preserve"> detection and surgical technique</w:t>
      </w:r>
      <w:r w:rsidR="000709A9" w:rsidRPr="001A1E09">
        <w:rPr>
          <w:rFonts w:ascii="Book Antiqua" w:hAnsi="Book Antiqua" w:cs="Arial"/>
          <w:sz w:val="20"/>
          <w:szCs w:val="20"/>
        </w:rPr>
        <w:t>s</w:t>
      </w:r>
      <w:r w:rsidR="00C476F2" w:rsidRPr="001A1E09">
        <w:rPr>
          <w:rFonts w:ascii="Book Antiqua" w:hAnsi="Book Antiqua" w:cs="Arial"/>
          <w:sz w:val="20"/>
          <w:szCs w:val="20"/>
        </w:rPr>
        <w:t xml:space="preserve">, the 5-year survival rate of ICC after curative resection </w:t>
      </w:r>
      <w:r w:rsidR="000709A9" w:rsidRPr="001A1E09">
        <w:rPr>
          <w:rFonts w:ascii="Book Antiqua" w:hAnsi="Book Antiqua" w:cs="Arial"/>
          <w:sz w:val="20"/>
          <w:szCs w:val="20"/>
        </w:rPr>
        <w:t xml:space="preserve">is approximately </w:t>
      </w:r>
      <w:r w:rsidR="007E6EC8" w:rsidRPr="001A1E09">
        <w:rPr>
          <w:rFonts w:ascii="Book Antiqua" w:hAnsi="Book Antiqua" w:cs="Arial"/>
          <w:sz w:val="20"/>
          <w:szCs w:val="20"/>
        </w:rPr>
        <w:t>30%</w:t>
      </w:r>
      <w:r w:rsidR="007E6EC8" w:rsidRPr="001A1E09">
        <w:rPr>
          <w:rFonts w:ascii="Book Antiqua" w:hAnsi="Book Antiqua" w:cs="Arial"/>
          <w:sz w:val="20"/>
          <w:szCs w:val="20"/>
          <w:vertAlign w:val="superscript"/>
        </w:rPr>
        <w:t>[3]</w:t>
      </w:r>
      <w:r w:rsidR="008B6698" w:rsidRPr="001A1E09">
        <w:rPr>
          <w:rFonts w:ascii="Book Antiqua" w:hAnsi="Book Antiqua" w:cs="Arial"/>
          <w:sz w:val="20"/>
          <w:szCs w:val="20"/>
        </w:rPr>
        <w:t>.</w:t>
      </w:r>
      <w:r w:rsidR="00224DAE" w:rsidRPr="001A1E09">
        <w:rPr>
          <w:rFonts w:ascii="Book Antiqua" w:hAnsi="Book Antiqua" w:cs="Arial"/>
          <w:sz w:val="20"/>
          <w:szCs w:val="20"/>
        </w:rPr>
        <w:t xml:space="preserve"> </w:t>
      </w:r>
      <w:r w:rsidR="000709A9" w:rsidRPr="001A1E09">
        <w:rPr>
          <w:rFonts w:ascii="Book Antiqua" w:hAnsi="Book Antiqua" w:cs="Arial"/>
          <w:sz w:val="20"/>
          <w:szCs w:val="20"/>
        </w:rPr>
        <w:t>This</w:t>
      </w:r>
      <w:r w:rsidR="0001155F" w:rsidRPr="001A1E09">
        <w:rPr>
          <w:rFonts w:ascii="Book Antiqua" w:hAnsi="Book Antiqua" w:cs="Arial"/>
          <w:sz w:val="20"/>
          <w:szCs w:val="20"/>
        </w:rPr>
        <w:t xml:space="preserve"> poor </w:t>
      </w:r>
      <w:r w:rsidR="001F3DC0" w:rsidRPr="001A1E09">
        <w:rPr>
          <w:rFonts w:ascii="Book Antiqua" w:hAnsi="Book Antiqua" w:cs="Arial"/>
          <w:sz w:val="20"/>
          <w:szCs w:val="20"/>
        </w:rPr>
        <w:t>outcome</w:t>
      </w:r>
      <w:r w:rsidR="0001155F" w:rsidRPr="001A1E09">
        <w:rPr>
          <w:rFonts w:ascii="Book Antiqua" w:hAnsi="Book Antiqua" w:cs="Arial"/>
          <w:sz w:val="20"/>
          <w:szCs w:val="20"/>
        </w:rPr>
        <w:t xml:space="preserve"> is </w:t>
      </w:r>
      <w:r w:rsidR="00BA62CE" w:rsidRPr="001A1E09">
        <w:rPr>
          <w:rFonts w:ascii="Book Antiqua" w:hAnsi="Book Antiqua" w:cs="Arial"/>
          <w:sz w:val="20"/>
          <w:szCs w:val="20"/>
        </w:rPr>
        <w:t>mainly caused by tumor recurrence and metastasis</w:t>
      </w:r>
      <w:r w:rsidR="007E6EC8" w:rsidRPr="001A1E09">
        <w:rPr>
          <w:rFonts w:ascii="Book Antiqua" w:hAnsi="Book Antiqua" w:cs="Arial"/>
          <w:sz w:val="20"/>
          <w:szCs w:val="20"/>
          <w:vertAlign w:val="superscript"/>
        </w:rPr>
        <w:t>[4-6]</w:t>
      </w:r>
      <w:r w:rsidR="00BA62CE" w:rsidRPr="001A1E09">
        <w:rPr>
          <w:rFonts w:ascii="Book Antiqua" w:hAnsi="Book Antiqua" w:cs="Arial"/>
          <w:sz w:val="20"/>
          <w:szCs w:val="20"/>
        </w:rPr>
        <w:t>.</w:t>
      </w:r>
      <w:r w:rsidR="000709A9" w:rsidRPr="001A1E09">
        <w:rPr>
          <w:rFonts w:ascii="Book Antiqua" w:hAnsi="Book Antiqua" w:cs="Arial"/>
          <w:sz w:val="20"/>
          <w:szCs w:val="20"/>
        </w:rPr>
        <w:t xml:space="preserve"> Furthermore</w:t>
      </w:r>
      <w:r w:rsidR="001F2999" w:rsidRPr="001A1E09">
        <w:rPr>
          <w:rFonts w:ascii="Book Antiqua" w:hAnsi="Book Antiqua" w:cs="Arial"/>
          <w:sz w:val="20"/>
          <w:szCs w:val="20"/>
        </w:rPr>
        <w:t xml:space="preserve">, </w:t>
      </w:r>
      <w:r w:rsidR="000709A9" w:rsidRPr="001A1E09">
        <w:rPr>
          <w:rFonts w:ascii="Book Antiqua" w:hAnsi="Book Antiqua" w:cs="Arial"/>
          <w:sz w:val="20"/>
          <w:szCs w:val="20"/>
        </w:rPr>
        <w:t xml:space="preserve">the discovery of </w:t>
      </w:r>
      <w:r w:rsidR="0059413D" w:rsidRPr="001A1E09">
        <w:rPr>
          <w:rFonts w:ascii="Book Antiqua" w:hAnsi="Book Antiqua" w:cs="Arial"/>
          <w:sz w:val="20"/>
          <w:szCs w:val="20"/>
        </w:rPr>
        <w:t>effective blood biomarker</w:t>
      </w:r>
      <w:r w:rsidR="000709A9" w:rsidRPr="001A1E09">
        <w:rPr>
          <w:rFonts w:ascii="Book Antiqua" w:hAnsi="Book Antiqua" w:cs="Arial"/>
          <w:sz w:val="20"/>
          <w:szCs w:val="20"/>
        </w:rPr>
        <w:t>s</w:t>
      </w:r>
      <w:r w:rsidR="0059413D" w:rsidRPr="001A1E09">
        <w:rPr>
          <w:rFonts w:ascii="Book Antiqua" w:hAnsi="Book Antiqua" w:cs="Arial"/>
          <w:sz w:val="20"/>
          <w:szCs w:val="20"/>
        </w:rPr>
        <w:t xml:space="preserve"> </w:t>
      </w:r>
      <w:r w:rsidR="000F6BB2" w:rsidRPr="001A1E09">
        <w:rPr>
          <w:rFonts w:ascii="Book Antiqua" w:hAnsi="Book Antiqua" w:cs="Arial"/>
          <w:sz w:val="20"/>
          <w:szCs w:val="20"/>
        </w:rPr>
        <w:t>or prognostic models for recurrence and survival in patients with ICC following curative resection remains an unmet need.</w:t>
      </w:r>
    </w:p>
    <w:p w14:paraId="55E954DB" w14:textId="713CB57B" w:rsidR="00FF1B77" w:rsidRPr="001A1E09" w:rsidRDefault="00F61936" w:rsidP="001A1E09">
      <w:pPr>
        <w:adjustRightInd w:val="0"/>
        <w:snapToGrid w:val="0"/>
        <w:spacing w:line="360" w:lineRule="auto"/>
        <w:ind w:firstLineChars="100" w:firstLine="200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Accumulating evidence has demonstrated that </w:t>
      </w:r>
      <w:r w:rsidR="000709A9" w:rsidRPr="001A1E09">
        <w:rPr>
          <w:rFonts w:ascii="Book Antiqua" w:hAnsi="Book Antiqua" w:cs="Arial"/>
          <w:sz w:val="20"/>
          <w:szCs w:val="20"/>
        </w:rPr>
        <w:t>a</w:t>
      </w:r>
      <w:r w:rsidRPr="001A1E09">
        <w:rPr>
          <w:rFonts w:ascii="Book Antiqua" w:hAnsi="Book Antiqua" w:cs="Arial"/>
          <w:sz w:val="20"/>
          <w:szCs w:val="20"/>
        </w:rPr>
        <w:t xml:space="preserve"> disordered inflammatory response plays an important role in carcinogenesis or tumor recurrence</w:t>
      </w:r>
      <w:r w:rsidR="007E6EC8" w:rsidRPr="001A1E09">
        <w:rPr>
          <w:rFonts w:ascii="Book Antiqua" w:hAnsi="Book Antiqua" w:cs="Arial"/>
          <w:sz w:val="20"/>
          <w:szCs w:val="20"/>
          <w:vertAlign w:val="superscript"/>
        </w:rPr>
        <w:t>[7,8]</w:t>
      </w:r>
      <w:r w:rsidRPr="001A1E09">
        <w:rPr>
          <w:rFonts w:ascii="Book Antiqua" w:hAnsi="Book Antiqua" w:cs="Arial"/>
          <w:sz w:val="20"/>
          <w:szCs w:val="20"/>
        </w:rPr>
        <w:t>.</w:t>
      </w:r>
      <w:r w:rsidR="001F3DC0" w:rsidRPr="001A1E09">
        <w:rPr>
          <w:rFonts w:ascii="Book Antiqua" w:hAnsi="Book Antiqua" w:cs="Arial"/>
          <w:sz w:val="20"/>
          <w:szCs w:val="20"/>
        </w:rPr>
        <w:t xml:space="preserve"> </w:t>
      </w:r>
      <w:r w:rsidR="00512735" w:rsidRPr="001A1E09">
        <w:rPr>
          <w:rFonts w:ascii="Book Antiqua" w:hAnsi="Book Antiqua" w:cs="Arial"/>
          <w:sz w:val="20"/>
          <w:szCs w:val="20"/>
        </w:rPr>
        <w:t>Recently, studies hav</w:t>
      </w:r>
      <w:r w:rsidR="001B2FE6" w:rsidRPr="001A1E09">
        <w:rPr>
          <w:rFonts w:ascii="Book Antiqua" w:hAnsi="Book Antiqua" w:cs="Arial"/>
          <w:sz w:val="20"/>
          <w:szCs w:val="20"/>
        </w:rPr>
        <w:t>e suggeste</w:t>
      </w:r>
      <w:r w:rsidR="00512735" w:rsidRPr="001A1E09">
        <w:rPr>
          <w:rFonts w:ascii="Book Antiqua" w:hAnsi="Book Antiqua" w:cs="Arial"/>
          <w:sz w:val="20"/>
          <w:szCs w:val="20"/>
        </w:rPr>
        <w:t xml:space="preserve">d that </w:t>
      </w:r>
      <w:r w:rsidR="001B2FE6" w:rsidRPr="001A1E09">
        <w:rPr>
          <w:rFonts w:ascii="Book Antiqua" w:hAnsi="Book Antiqua" w:cs="Arial"/>
          <w:sz w:val="20"/>
          <w:szCs w:val="20"/>
        </w:rPr>
        <w:t xml:space="preserve">inflammation-based </w:t>
      </w:r>
      <w:r w:rsidR="00512735" w:rsidRPr="001A1E09">
        <w:rPr>
          <w:rFonts w:ascii="Book Antiqua" w:hAnsi="Book Antiqua" w:cs="Arial"/>
          <w:sz w:val="20"/>
          <w:szCs w:val="20"/>
        </w:rPr>
        <w:t>prognostic indexes</w:t>
      </w:r>
      <w:r w:rsidR="001B2FE6" w:rsidRPr="001A1E09">
        <w:rPr>
          <w:rFonts w:ascii="Book Antiqua" w:hAnsi="Book Antiqua" w:cs="Arial"/>
          <w:sz w:val="20"/>
          <w:szCs w:val="20"/>
        </w:rPr>
        <w:t xml:space="preserve"> such as </w:t>
      </w:r>
      <w:r w:rsidR="000709A9" w:rsidRPr="001A1E09">
        <w:rPr>
          <w:rFonts w:ascii="Book Antiqua" w:hAnsi="Book Antiqua" w:cs="Arial"/>
          <w:sz w:val="20"/>
          <w:szCs w:val="20"/>
        </w:rPr>
        <w:t xml:space="preserve">the </w:t>
      </w:r>
      <w:r w:rsidR="001B2FE6" w:rsidRPr="001A1E09">
        <w:rPr>
          <w:rFonts w:ascii="Book Antiqua" w:hAnsi="Book Antiqua" w:cs="Arial"/>
          <w:sz w:val="20"/>
          <w:szCs w:val="20"/>
        </w:rPr>
        <w:t>platelet to lymphocyte ratio (PLR)</w:t>
      </w:r>
      <w:r w:rsidR="005C197B" w:rsidRPr="001A1E09">
        <w:rPr>
          <w:rFonts w:ascii="Book Antiqua" w:hAnsi="Book Antiqua" w:cs="Arial"/>
          <w:sz w:val="20"/>
          <w:szCs w:val="20"/>
        </w:rPr>
        <w:t>, neutrophil to lymphocyte ratio (NLR)</w:t>
      </w:r>
      <w:r w:rsidR="001B2FE6" w:rsidRPr="001A1E09">
        <w:rPr>
          <w:rFonts w:ascii="Book Antiqua" w:hAnsi="Book Antiqua" w:cs="Arial"/>
          <w:sz w:val="20"/>
          <w:szCs w:val="20"/>
        </w:rPr>
        <w:t xml:space="preserve"> or </w:t>
      </w:r>
      <w:r w:rsidR="007E6EC8" w:rsidRPr="001A1E09">
        <w:rPr>
          <w:rFonts w:ascii="Book Antiqua" w:hAnsi="Book Antiqua" w:cs="Arial"/>
          <w:sz w:val="20"/>
          <w:szCs w:val="20"/>
        </w:rPr>
        <w:t>aspartate transaminase</w:t>
      </w:r>
      <w:r w:rsidR="00355BBD" w:rsidRPr="001A1E09">
        <w:rPr>
          <w:rFonts w:ascii="Book Antiqua" w:hAnsi="Book Antiqua" w:cs="Arial"/>
          <w:sz w:val="20"/>
          <w:szCs w:val="20"/>
        </w:rPr>
        <w:t xml:space="preserve"> to lymphocyte ratio index</w:t>
      </w:r>
      <w:r w:rsidR="00E95CA0" w:rsidRPr="001A1E09">
        <w:rPr>
          <w:rFonts w:ascii="Book Antiqua" w:hAnsi="Book Antiqua" w:cs="Arial"/>
          <w:sz w:val="20"/>
          <w:szCs w:val="20"/>
        </w:rPr>
        <w:t xml:space="preserve"> can predict the risk and prognosis </w:t>
      </w:r>
      <w:r w:rsidR="005D1C80" w:rsidRPr="001A1E09">
        <w:rPr>
          <w:rFonts w:ascii="Book Antiqua" w:hAnsi="Book Antiqua" w:cs="Arial"/>
          <w:sz w:val="20"/>
          <w:szCs w:val="20"/>
        </w:rPr>
        <w:t>of various solid tumor</w:t>
      </w:r>
      <w:r w:rsidR="000709A9" w:rsidRPr="001A1E09">
        <w:rPr>
          <w:rFonts w:ascii="Book Antiqua" w:hAnsi="Book Antiqua" w:cs="Arial"/>
          <w:sz w:val="20"/>
          <w:szCs w:val="20"/>
        </w:rPr>
        <w:t>s; the</w:t>
      </w:r>
      <w:r w:rsidR="005D1C80" w:rsidRPr="001A1E09">
        <w:rPr>
          <w:rFonts w:ascii="Book Antiqua" w:hAnsi="Book Antiqua" w:cs="Arial"/>
          <w:sz w:val="20"/>
          <w:szCs w:val="20"/>
        </w:rPr>
        <w:t xml:space="preserve"> </w:t>
      </w:r>
      <w:r w:rsidR="0074648D" w:rsidRPr="001A1E09">
        <w:rPr>
          <w:rFonts w:ascii="Book Antiqua" w:hAnsi="Book Antiqua" w:cs="Arial"/>
          <w:sz w:val="20"/>
          <w:szCs w:val="20"/>
        </w:rPr>
        <w:t>gamma-glutamyltransferase (</w:t>
      </w:r>
      <w:r w:rsidR="005D1C80" w:rsidRPr="001A1E09">
        <w:rPr>
          <w:rFonts w:ascii="Book Antiqua" w:hAnsi="Book Antiqua" w:cs="Arial"/>
          <w:sz w:val="20"/>
          <w:szCs w:val="20"/>
        </w:rPr>
        <w:t>GGT</w:t>
      </w:r>
      <w:r w:rsidR="0074648D" w:rsidRPr="001A1E09">
        <w:rPr>
          <w:rFonts w:ascii="Book Antiqua" w:hAnsi="Book Antiqua" w:cs="Arial"/>
          <w:sz w:val="20"/>
          <w:szCs w:val="20"/>
        </w:rPr>
        <w:t>)</w:t>
      </w:r>
      <w:r w:rsidR="005D1C80" w:rsidRPr="001A1E09">
        <w:rPr>
          <w:rFonts w:ascii="Book Antiqua" w:hAnsi="Book Antiqua" w:cs="Arial"/>
          <w:sz w:val="20"/>
          <w:szCs w:val="20"/>
        </w:rPr>
        <w:t xml:space="preserve"> to lymphocyte ratio</w:t>
      </w:r>
      <w:r w:rsidR="00355BBD" w:rsidRPr="001A1E09">
        <w:rPr>
          <w:rFonts w:ascii="Book Antiqua" w:hAnsi="Book Antiqua" w:cs="Arial"/>
          <w:sz w:val="20"/>
          <w:szCs w:val="20"/>
        </w:rPr>
        <w:t xml:space="preserve"> (GLR</w:t>
      </w:r>
      <w:r w:rsidR="000709A9" w:rsidRPr="001A1E09">
        <w:rPr>
          <w:rFonts w:ascii="Book Antiqua" w:hAnsi="Book Antiqua" w:cs="Arial"/>
          <w:sz w:val="20"/>
          <w:szCs w:val="20"/>
        </w:rPr>
        <w:t>) is one of these prognostic indexes</w:t>
      </w:r>
      <w:r w:rsidR="007E6EC8" w:rsidRPr="001A1E09">
        <w:rPr>
          <w:rFonts w:ascii="Book Antiqua" w:hAnsi="Book Antiqua" w:cs="Arial"/>
          <w:sz w:val="20"/>
          <w:szCs w:val="20"/>
          <w:vertAlign w:val="superscript"/>
        </w:rPr>
        <w:t>[9-12]</w:t>
      </w:r>
      <w:r w:rsidR="005D1C80" w:rsidRPr="001A1E09">
        <w:rPr>
          <w:rFonts w:ascii="Book Antiqua" w:hAnsi="Book Antiqua" w:cs="Arial"/>
          <w:sz w:val="20"/>
          <w:szCs w:val="20"/>
        </w:rPr>
        <w:t>.</w:t>
      </w:r>
      <w:r w:rsidR="00EA6F88" w:rsidRPr="001A1E09">
        <w:rPr>
          <w:rFonts w:ascii="Book Antiqua" w:hAnsi="Book Antiqua" w:cs="Arial"/>
          <w:sz w:val="20"/>
          <w:szCs w:val="20"/>
        </w:rPr>
        <w:t xml:space="preserve"> Previous studies have</w:t>
      </w:r>
      <w:r w:rsidR="00355BBD" w:rsidRPr="001A1E09">
        <w:rPr>
          <w:rFonts w:ascii="Book Antiqua" w:hAnsi="Book Antiqua" w:cs="Arial"/>
          <w:sz w:val="20"/>
          <w:szCs w:val="20"/>
        </w:rPr>
        <w:t xml:space="preserve"> reported that</w:t>
      </w:r>
      <w:r w:rsidR="004F25CF" w:rsidRPr="001A1E09">
        <w:rPr>
          <w:rFonts w:ascii="Book Antiqua" w:hAnsi="Book Antiqua" w:cs="Arial"/>
          <w:sz w:val="20"/>
          <w:szCs w:val="20"/>
        </w:rPr>
        <w:t xml:space="preserve"> the</w:t>
      </w:r>
      <w:r w:rsidR="00355BBD" w:rsidRPr="001A1E09">
        <w:rPr>
          <w:rFonts w:ascii="Book Antiqua" w:hAnsi="Book Antiqua" w:cs="Arial"/>
          <w:sz w:val="20"/>
          <w:szCs w:val="20"/>
        </w:rPr>
        <w:t xml:space="preserve"> preoperative GLR</w:t>
      </w:r>
      <w:r w:rsidR="004F25CF" w:rsidRPr="001A1E09">
        <w:rPr>
          <w:rFonts w:ascii="Book Antiqua" w:hAnsi="Book Antiqua" w:cs="Arial"/>
          <w:sz w:val="20"/>
          <w:szCs w:val="20"/>
        </w:rPr>
        <w:t xml:space="preserve"> has</w:t>
      </w:r>
      <w:r w:rsidR="00EA6F88" w:rsidRPr="001A1E09">
        <w:rPr>
          <w:rFonts w:ascii="Book Antiqua" w:hAnsi="Book Antiqua" w:cs="Arial"/>
          <w:sz w:val="20"/>
          <w:szCs w:val="20"/>
        </w:rPr>
        <w:t xml:space="preserve"> significant </w:t>
      </w:r>
      <w:bookmarkStart w:id="28" w:name="OLE_LINK9"/>
      <w:bookmarkStart w:id="29" w:name="OLE_LINK10"/>
      <w:r w:rsidR="00EA6F88" w:rsidRPr="001A1E09">
        <w:rPr>
          <w:rFonts w:ascii="Book Antiqua" w:hAnsi="Book Antiqua" w:cs="Arial"/>
          <w:sz w:val="20"/>
          <w:szCs w:val="20"/>
        </w:rPr>
        <w:t xml:space="preserve">prognostic value </w:t>
      </w:r>
      <w:bookmarkEnd w:id="28"/>
      <w:bookmarkEnd w:id="29"/>
      <w:r w:rsidR="004F25CF" w:rsidRPr="001A1E09">
        <w:rPr>
          <w:rFonts w:ascii="Book Antiqua" w:hAnsi="Book Antiqua" w:cs="Arial"/>
          <w:sz w:val="20"/>
          <w:szCs w:val="20"/>
        </w:rPr>
        <w:t>for</w:t>
      </w:r>
      <w:r w:rsidR="00EA6F88" w:rsidRPr="001A1E09">
        <w:rPr>
          <w:rFonts w:ascii="Book Antiqua" w:hAnsi="Book Antiqua" w:cs="Arial"/>
          <w:sz w:val="20"/>
          <w:szCs w:val="20"/>
        </w:rPr>
        <w:t xml:space="preserve"> patients with nonfunctional </w:t>
      </w:r>
      <w:r w:rsidR="00E164E4" w:rsidRPr="001A1E09">
        <w:rPr>
          <w:rFonts w:ascii="Book Antiqua" w:hAnsi="Book Antiqua" w:cs="Arial"/>
          <w:sz w:val="20"/>
          <w:szCs w:val="20"/>
        </w:rPr>
        <w:t>pancreatic neuroendocrine tumor</w:t>
      </w:r>
      <w:r w:rsidR="00EA6F88" w:rsidRPr="001A1E09">
        <w:rPr>
          <w:rFonts w:ascii="Book Antiqua" w:hAnsi="Book Antiqua" w:cs="Arial"/>
          <w:sz w:val="20"/>
          <w:szCs w:val="20"/>
        </w:rPr>
        <w:t xml:space="preserve"> </w:t>
      </w:r>
      <w:r w:rsidR="009E1213" w:rsidRPr="001A1E09">
        <w:rPr>
          <w:rFonts w:ascii="Book Antiqua" w:hAnsi="Book Antiqua" w:cs="Arial"/>
          <w:sz w:val="20"/>
          <w:szCs w:val="20"/>
        </w:rPr>
        <w:t>after</w:t>
      </w:r>
      <w:r w:rsidR="00AD1DE6" w:rsidRPr="001A1E09">
        <w:rPr>
          <w:rFonts w:ascii="Book Antiqua" w:hAnsi="Book Antiqua" w:cs="Arial"/>
          <w:sz w:val="20"/>
          <w:szCs w:val="20"/>
        </w:rPr>
        <w:t xml:space="preserve"> curative resection</w:t>
      </w:r>
      <w:r w:rsidR="00E164E4" w:rsidRPr="001A1E09">
        <w:rPr>
          <w:rFonts w:ascii="Book Antiqua" w:hAnsi="Book Antiqua" w:cs="Arial"/>
          <w:sz w:val="20"/>
          <w:szCs w:val="20"/>
          <w:vertAlign w:val="superscript"/>
        </w:rPr>
        <w:t>[11]</w:t>
      </w:r>
      <w:r w:rsidR="00AD1DE6" w:rsidRPr="001A1E09">
        <w:rPr>
          <w:rFonts w:ascii="Book Antiqua" w:hAnsi="Book Antiqua" w:cs="Arial"/>
          <w:sz w:val="20"/>
          <w:szCs w:val="20"/>
        </w:rPr>
        <w:t>.</w:t>
      </w:r>
      <w:r w:rsidR="00A804BD" w:rsidRPr="001A1E09">
        <w:rPr>
          <w:rFonts w:ascii="Book Antiqua" w:hAnsi="Book Antiqua" w:cs="Arial"/>
          <w:sz w:val="20"/>
          <w:szCs w:val="20"/>
        </w:rPr>
        <w:t xml:space="preserve"> However, t</w:t>
      </w:r>
      <w:r w:rsidR="00D869F6" w:rsidRPr="001A1E09">
        <w:rPr>
          <w:rFonts w:ascii="Book Antiqua" w:hAnsi="Book Antiqua" w:cs="Arial"/>
          <w:sz w:val="20"/>
          <w:szCs w:val="20"/>
        </w:rPr>
        <w:t>he relation</w:t>
      </w:r>
      <w:r w:rsidR="00EB0DF9" w:rsidRPr="001A1E09">
        <w:rPr>
          <w:rFonts w:ascii="Book Antiqua" w:hAnsi="Book Antiqua" w:cs="Arial"/>
          <w:sz w:val="20"/>
          <w:szCs w:val="20"/>
        </w:rPr>
        <w:t>ship</w:t>
      </w:r>
      <w:r w:rsidR="00D869F6" w:rsidRPr="001A1E09">
        <w:rPr>
          <w:rFonts w:ascii="Book Antiqua" w:hAnsi="Book Antiqua" w:cs="Arial"/>
          <w:sz w:val="20"/>
          <w:szCs w:val="20"/>
        </w:rPr>
        <w:t xml:space="preserve"> between </w:t>
      </w:r>
      <w:r w:rsidR="00355BBD" w:rsidRPr="001A1E09">
        <w:rPr>
          <w:rFonts w:ascii="Book Antiqua" w:hAnsi="Book Antiqua" w:cs="Arial"/>
          <w:sz w:val="20"/>
          <w:szCs w:val="20"/>
        </w:rPr>
        <w:t>GLR</w:t>
      </w:r>
      <w:r w:rsidR="00D869F6" w:rsidRPr="001A1E09">
        <w:rPr>
          <w:rFonts w:ascii="Book Antiqua" w:hAnsi="Book Antiqua" w:cs="Arial"/>
          <w:sz w:val="20"/>
          <w:szCs w:val="20"/>
        </w:rPr>
        <w:t xml:space="preserve"> and th</w:t>
      </w:r>
      <w:r w:rsidR="009E1213" w:rsidRPr="001A1E09">
        <w:rPr>
          <w:rFonts w:ascii="Book Antiqua" w:hAnsi="Book Antiqua" w:cs="Arial"/>
          <w:sz w:val="20"/>
          <w:szCs w:val="20"/>
        </w:rPr>
        <w:t>e prognosis of ICC patients following curative resection has not been reported.</w:t>
      </w:r>
    </w:p>
    <w:p w14:paraId="73693158" w14:textId="77777777" w:rsidR="00FB0EC0" w:rsidRPr="001A1E09" w:rsidRDefault="008A0289" w:rsidP="001A1E09">
      <w:pPr>
        <w:adjustRightInd w:val="0"/>
        <w:snapToGrid w:val="0"/>
        <w:spacing w:line="360" w:lineRule="auto"/>
        <w:ind w:firstLineChars="100" w:firstLine="200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Clinical practice need</w:t>
      </w:r>
      <w:r w:rsidR="004F25CF" w:rsidRPr="001A1E09">
        <w:rPr>
          <w:rFonts w:ascii="Book Antiqua" w:hAnsi="Book Antiqua" w:cs="Arial"/>
          <w:sz w:val="20"/>
          <w:szCs w:val="20"/>
        </w:rPr>
        <w:t>s to</w:t>
      </w:r>
      <w:r w:rsidRPr="001A1E09">
        <w:rPr>
          <w:rFonts w:ascii="Book Antiqua" w:hAnsi="Book Antiqua" w:cs="Arial"/>
          <w:sz w:val="20"/>
          <w:szCs w:val="20"/>
        </w:rPr>
        <w:t xml:space="preserve"> </w:t>
      </w:r>
      <w:r w:rsidR="003E0391" w:rsidRPr="001A1E09">
        <w:rPr>
          <w:rFonts w:ascii="Book Antiqua" w:hAnsi="Book Antiqua" w:cs="Arial"/>
          <w:sz w:val="20"/>
          <w:szCs w:val="20"/>
        </w:rPr>
        <w:t xml:space="preserve">enhance </w:t>
      </w:r>
      <w:r w:rsidR="004F25CF" w:rsidRPr="001A1E09">
        <w:rPr>
          <w:rFonts w:ascii="Book Antiqua" w:hAnsi="Book Antiqua" w:cs="Arial"/>
          <w:sz w:val="20"/>
          <w:szCs w:val="20"/>
        </w:rPr>
        <w:t xml:space="preserve">the </w:t>
      </w:r>
      <w:r w:rsidR="003E0391" w:rsidRPr="001A1E09">
        <w:rPr>
          <w:rFonts w:ascii="Book Antiqua" w:hAnsi="Book Antiqua" w:cs="Arial"/>
          <w:sz w:val="20"/>
          <w:szCs w:val="20"/>
        </w:rPr>
        <w:t xml:space="preserve">understanding of factors that underlie differences in prognosis observed among patients and to </w:t>
      </w:r>
      <w:r w:rsidR="004F25CF" w:rsidRPr="001A1E09">
        <w:rPr>
          <w:rFonts w:ascii="Book Antiqua" w:hAnsi="Book Antiqua" w:cs="Arial"/>
          <w:sz w:val="20"/>
          <w:szCs w:val="20"/>
        </w:rPr>
        <w:t>distinguish patients with</w:t>
      </w:r>
      <w:r w:rsidR="007D5483" w:rsidRPr="001A1E09">
        <w:rPr>
          <w:rFonts w:ascii="Book Antiqua" w:hAnsi="Book Antiqua" w:cs="Arial"/>
          <w:sz w:val="20"/>
          <w:szCs w:val="20"/>
        </w:rPr>
        <w:t xml:space="preserve"> a </w:t>
      </w:r>
      <w:r w:rsidR="00515DC1" w:rsidRPr="001A1E09">
        <w:rPr>
          <w:rFonts w:ascii="Book Antiqua" w:hAnsi="Book Antiqua" w:cs="Arial"/>
          <w:sz w:val="20"/>
          <w:szCs w:val="20"/>
        </w:rPr>
        <w:t xml:space="preserve">risk of recurrence for </w:t>
      </w:r>
      <w:r w:rsidR="004F25CF" w:rsidRPr="001A1E09">
        <w:rPr>
          <w:rFonts w:ascii="Book Antiqua" w:hAnsi="Book Antiqua" w:cs="Arial"/>
          <w:sz w:val="20"/>
          <w:szCs w:val="20"/>
        </w:rPr>
        <w:t xml:space="preserve">the development of </w:t>
      </w:r>
      <w:r w:rsidR="003E0391" w:rsidRPr="001A1E09">
        <w:rPr>
          <w:rFonts w:ascii="Book Antiqua" w:hAnsi="Book Antiqua" w:cs="Arial"/>
          <w:sz w:val="20"/>
          <w:szCs w:val="20"/>
        </w:rPr>
        <w:t>personalized therapeutic</w:t>
      </w:r>
      <w:r w:rsidR="004F25CF" w:rsidRPr="001A1E09">
        <w:rPr>
          <w:rFonts w:ascii="Book Antiqua" w:hAnsi="Book Antiqua" w:cs="Arial"/>
          <w:sz w:val="20"/>
          <w:szCs w:val="20"/>
        </w:rPr>
        <w:t xml:space="preserve"> approaches</w:t>
      </w:r>
      <w:r w:rsidR="003E0391" w:rsidRPr="001A1E09">
        <w:rPr>
          <w:rFonts w:ascii="Book Antiqua" w:hAnsi="Book Antiqua" w:cs="Arial"/>
          <w:sz w:val="20"/>
          <w:szCs w:val="20"/>
        </w:rPr>
        <w:t xml:space="preserve">. </w:t>
      </w:r>
      <w:r w:rsidR="00E80C31" w:rsidRPr="001A1E09">
        <w:rPr>
          <w:rFonts w:ascii="Book Antiqua" w:hAnsi="Book Antiqua" w:cs="Arial"/>
          <w:sz w:val="20"/>
          <w:szCs w:val="20"/>
        </w:rPr>
        <w:t>Thus</w:t>
      </w:r>
      <w:r w:rsidR="004F25CF" w:rsidRPr="001A1E09">
        <w:rPr>
          <w:rFonts w:ascii="Book Antiqua" w:hAnsi="Book Antiqua" w:cs="Arial"/>
          <w:sz w:val="20"/>
          <w:szCs w:val="20"/>
        </w:rPr>
        <w:t>, we performed a</w:t>
      </w:r>
      <w:r w:rsidR="009C33F1" w:rsidRPr="001A1E09">
        <w:rPr>
          <w:rFonts w:ascii="Book Antiqua" w:hAnsi="Book Antiqua" w:cs="Arial"/>
          <w:sz w:val="20"/>
          <w:szCs w:val="20"/>
        </w:rPr>
        <w:t xml:space="preserve"> retrospective study</w:t>
      </w:r>
      <w:r w:rsidR="00FB0EC0" w:rsidRPr="001A1E09">
        <w:rPr>
          <w:rFonts w:ascii="Book Antiqua" w:hAnsi="Book Antiqua" w:cs="Arial"/>
          <w:sz w:val="20"/>
          <w:szCs w:val="20"/>
        </w:rPr>
        <w:t xml:space="preserve"> to assess the</w:t>
      </w:r>
      <w:r w:rsidR="00E80C31" w:rsidRPr="001A1E09">
        <w:rPr>
          <w:rFonts w:ascii="Book Antiqua" w:hAnsi="Book Antiqua" w:cs="Arial"/>
          <w:sz w:val="20"/>
          <w:szCs w:val="20"/>
        </w:rPr>
        <w:t xml:space="preserve"> prognostic value of </w:t>
      </w:r>
      <w:r w:rsidR="004F25CF" w:rsidRPr="001A1E09">
        <w:rPr>
          <w:rFonts w:ascii="Book Antiqua" w:hAnsi="Book Antiqua" w:cs="Arial"/>
          <w:sz w:val="20"/>
          <w:szCs w:val="20"/>
        </w:rPr>
        <w:t xml:space="preserve">the </w:t>
      </w:r>
      <w:r w:rsidR="00E80C31" w:rsidRPr="001A1E09">
        <w:rPr>
          <w:rFonts w:ascii="Book Antiqua" w:hAnsi="Book Antiqua" w:cs="Arial"/>
          <w:sz w:val="20"/>
          <w:szCs w:val="20"/>
        </w:rPr>
        <w:t xml:space="preserve">GLR for ICC patients after </w:t>
      </w:r>
      <w:r w:rsidR="00257B7F" w:rsidRPr="001A1E09">
        <w:rPr>
          <w:rFonts w:ascii="Book Antiqua" w:hAnsi="Book Antiqua" w:cs="Arial"/>
          <w:sz w:val="20"/>
          <w:szCs w:val="20"/>
        </w:rPr>
        <w:t xml:space="preserve">curative </w:t>
      </w:r>
      <w:r w:rsidR="00E80C31" w:rsidRPr="001A1E09">
        <w:rPr>
          <w:rFonts w:ascii="Book Antiqua" w:hAnsi="Book Antiqua" w:cs="Arial"/>
          <w:sz w:val="20"/>
          <w:szCs w:val="20"/>
        </w:rPr>
        <w:t>resection</w:t>
      </w:r>
      <w:r w:rsidR="00FB0EC0" w:rsidRPr="001A1E09">
        <w:rPr>
          <w:rFonts w:ascii="Book Antiqua" w:hAnsi="Book Antiqua" w:cs="Arial"/>
          <w:sz w:val="20"/>
          <w:szCs w:val="20"/>
        </w:rPr>
        <w:t>.</w:t>
      </w:r>
    </w:p>
    <w:p w14:paraId="2596EA5E" w14:textId="77777777" w:rsidR="0022160B" w:rsidRPr="001A1E09" w:rsidRDefault="0022160B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46FA3E11" w14:textId="77777777" w:rsidR="00E164E4" w:rsidRPr="001A1E09" w:rsidRDefault="00E164E4" w:rsidP="001A1E09">
      <w:pPr>
        <w:adjustRightInd w:val="0"/>
        <w:snapToGrid w:val="0"/>
        <w:spacing w:line="360" w:lineRule="auto"/>
        <w:rPr>
          <w:rFonts w:ascii="Book Antiqua" w:hAnsi="Book Antiqua"/>
          <w:b/>
          <w:sz w:val="20"/>
          <w:szCs w:val="20"/>
          <w:u w:val="single"/>
        </w:rPr>
      </w:pPr>
      <w:r w:rsidRPr="001A1E09">
        <w:rPr>
          <w:rFonts w:ascii="Book Antiqua" w:hAnsi="Book Antiqua"/>
          <w:b/>
          <w:sz w:val="20"/>
          <w:szCs w:val="20"/>
          <w:u w:val="single"/>
        </w:rPr>
        <w:t>MATERIALS AND METHODS</w:t>
      </w:r>
    </w:p>
    <w:p w14:paraId="7314FDDD" w14:textId="77777777" w:rsidR="0022160B" w:rsidRPr="001A1E09" w:rsidRDefault="00123AB5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  <w:r w:rsidRPr="001A1E09">
        <w:rPr>
          <w:rFonts w:ascii="Book Antiqua" w:hAnsi="Book Antiqua" w:cs="Arial"/>
          <w:b/>
          <w:i/>
          <w:sz w:val="20"/>
          <w:szCs w:val="20"/>
        </w:rPr>
        <w:t>Patient</w:t>
      </w:r>
      <w:r w:rsidR="000B18C5" w:rsidRPr="001A1E09">
        <w:rPr>
          <w:rFonts w:ascii="Book Antiqua" w:hAnsi="Book Antiqua" w:cs="Arial"/>
          <w:b/>
          <w:i/>
          <w:sz w:val="20"/>
          <w:szCs w:val="20"/>
        </w:rPr>
        <w:t>s</w:t>
      </w:r>
    </w:p>
    <w:p w14:paraId="075BEA92" w14:textId="21A16FF1" w:rsidR="000B18C5" w:rsidRPr="001A1E09" w:rsidRDefault="00D8630B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The study enrolled patients who underwent hepatic resection for ICC, between </w:t>
      </w:r>
      <w:r w:rsidR="007712CB" w:rsidRPr="001A1E09">
        <w:rPr>
          <w:rFonts w:ascii="Book Antiqua" w:hAnsi="Book Antiqua" w:cs="Arial"/>
          <w:sz w:val="20"/>
          <w:szCs w:val="20"/>
        </w:rPr>
        <w:t>January 2009 and September</w:t>
      </w:r>
      <w:r w:rsidR="00CF3345" w:rsidRPr="001A1E09">
        <w:rPr>
          <w:rFonts w:ascii="Book Antiqua" w:hAnsi="Book Antiqua" w:cs="Arial"/>
          <w:sz w:val="20"/>
          <w:szCs w:val="20"/>
        </w:rPr>
        <w:t xml:space="preserve"> 2017</w:t>
      </w:r>
      <w:r w:rsidRPr="001A1E09">
        <w:rPr>
          <w:rFonts w:ascii="Book Antiqua" w:hAnsi="Book Antiqua" w:cs="Arial"/>
          <w:sz w:val="20"/>
          <w:szCs w:val="20"/>
        </w:rPr>
        <w:t xml:space="preserve">, at the </w:t>
      </w:r>
      <w:bookmarkStart w:id="30" w:name="OLE_LINK8"/>
      <w:bookmarkStart w:id="31" w:name="OLE_LINK11"/>
      <w:r w:rsidRPr="001A1E09">
        <w:rPr>
          <w:rFonts w:ascii="Book Antiqua" w:hAnsi="Book Antiqua" w:cs="Arial"/>
          <w:sz w:val="20"/>
          <w:szCs w:val="20"/>
        </w:rPr>
        <w:t>West China Hospital of Sichuan University</w:t>
      </w:r>
      <w:bookmarkEnd w:id="30"/>
      <w:bookmarkEnd w:id="31"/>
      <w:r w:rsidR="008B332D" w:rsidRPr="001A1E09">
        <w:rPr>
          <w:rFonts w:ascii="Book Antiqua" w:hAnsi="Book Antiqua" w:cs="Arial"/>
          <w:sz w:val="20"/>
          <w:szCs w:val="20"/>
        </w:rPr>
        <w:t xml:space="preserve">. </w:t>
      </w:r>
      <w:r w:rsidR="00BE572E" w:rsidRPr="001A1E09">
        <w:rPr>
          <w:rFonts w:ascii="Book Antiqua" w:hAnsi="Book Antiqua" w:cs="Arial"/>
          <w:sz w:val="20"/>
          <w:szCs w:val="20"/>
        </w:rPr>
        <w:t>This study was approved by the Medical Ethics Committee of the West China Hospital of Sichuan University.</w:t>
      </w:r>
      <w:r w:rsidR="0052372A" w:rsidRPr="001A1E09">
        <w:rPr>
          <w:rFonts w:ascii="Book Antiqua" w:hAnsi="Book Antiqua" w:cs="Arial"/>
          <w:sz w:val="20"/>
          <w:szCs w:val="20"/>
        </w:rPr>
        <w:t xml:space="preserve"> </w:t>
      </w:r>
      <w:r w:rsidR="003B243D" w:rsidRPr="001A1E09">
        <w:rPr>
          <w:rFonts w:ascii="Book Antiqua" w:hAnsi="Book Antiqua" w:cs="Arial"/>
          <w:sz w:val="20"/>
          <w:szCs w:val="20"/>
        </w:rPr>
        <w:t>The i</w:t>
      </w:r>
      <w:r w:rsidR="00407052" w:rsidRPr="001A1E09">
        <w:rPr>
          <w:rFonts w:ascii="Book Antiqua" w:hAnsi="Book Antiqua" w:cs="Arial"/>
          <w:sz w:val="20"/>
          <w:szCs w:val="20"/>
        </w:rPr>
        <w:t xml:space="preserve">ncluded patients in this study </w:t>
      </w:r>
      <w:r w:rsidR="003B243D" w:rsidRPr="001A1E09">
        <w:rPr>
          <w:rFonts w:ascii="Book Antiqua" w:hAnsi="Book Antiqua" w:cs="Arial"/>
          <w:sz w:val="20"/>
          <w:szCs w:val="20"/>
        </w:rPr>
        <w:t>me</w:t>
      </w:r>
      <w:r w:rsidR="00407052" w:rsidRPr="001A1E09">
        <w:rPr>
          <w:rFonts w:ascii="Book Antiqua" w:hAnsi="Book Antiqua" w:cs="Arial"/>
          <w:sz w:val="20"/>
          <w:szCs w:val="20"/>
        </w:rPr>
        <w:t xml:space="preserve">t the following criteria: (1) </w:t>
      </w:r>
      <w:r w:rsidR="00EB0DF9" w:rsidRPr="001A1E09">
        <w:rPr>
          <w:rFonts w:ascii="Book Antiqua" w:hAnsi="Book Antiqua" w:cs="Arial"/>
          <w:sz w:val="20"/>
          <w:szCs w:val="20"/>
        </w:rPr>
        <w:t>h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istologically </w:t>
      </w:r>
      <w:r w:rsidR="00407052" w:rsidRPr="001A1E09">
        <w:rPr>
          <w:rFonts w:ascii="Book Antiqua" w:hAnsi="Book Antiqua" w:cs="Arial"/>
          <w:sz w:val="20"/>
          <w:szCs w:val="20"/>
        </w:rPr>
        <w:t xml:space="preserve">confirmed ICC; </w:t>
      </w:r>
      <w:r w:rsidR="00442EF2" w:rsidRPr="001A1E09">
        <w:rPr>
          <w:rFonts w:ascii="Book Antiqua" w:hAnsi="Book Antiqua" w:cs="Arial"/>
          <w:sz w:val="20"/>
          <w:szCs w:val="20"/>
        </w:rPr>
        <w:t xml:space="preserve">and </w:t>
      </w:r>
      <w:r w:rsidR="00407052" w:rsidRPr="001A1E09">
        <w:rPr>
          <w:rFonts w:ascii="Book Antiqua" w:hAnsi="Book Antiqua" w:cs="Arial"/>
          <w:sz w:val="20"/>
          <w:szCs w:val="20"/>
        </w:rPr>
        <w:t xml:space="preserve">(2) </w:t>
      </w:r>
      <w:r w:rsidR="00EB0DF9" w:rsidRPr="001A1E09">
        <w:rPr>
          <w:rFonts w:ascii="Book Antiqua" w:hAnsi="Book Antiqua" w:cs="Arial"/>
          <w:sz w:val="20"/>
          <w:szCs w:val="20"/>
        </w:rPr>
        <w:t>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eceived </w:t>
      </w:r>
      <w:r w:rsidR="00407052" w:rsidRPr="001A1E09">
        <w:rPr>
          <w:rFonts w:ascii="Book Antiqua" w:hAnsi="Book Antiqua" w:cs="Arial"/>
          <w:sz w:val="20"/>
          <w:szCs w:val="20"/>
        </w:rPr>
        <w:t xml:space="preserve">curative hepatectomy. The exclusion criteria were as follows: (1) </w:t>
      </w:r>
      <w:r w:rsidR="00506B2F" w:rsidRPr="001A1E09">
        <w:rPr>
          <w:rFonts w:ascii="Book Antiqua" w:hAnsi="Book Antiqua" w:cs="Arial"/>
          <w:sz w:val="20"/>
          <w:szCs w:val="20"/>
        </w:rPr>
        <w:t xml:space="preserve">ICC </w:t>
      </w:r>
      <w:r w:rsidR="00407052" w:rsidRPr="001A1E09">
        <w:rPr>
          <w:rFonts w:ascii="Book Antiqua" w:hAnsi="Book Antiqua" w:cs="Arial"/>
          <w:sz w:val="20"/>
          <w:szCs w:val="20"/>
        </w:rPr>
        <w:t>accompanied by other lethal diseases</w:t>
      </w:r>
      <w:r w:rsidR="00506B2F" w:rsidRPr="001A1E09">
        <w:rPr>
          <w:rFonts w:ascii="Book Antiqua" w:hAnsi="Book Antiqua" w:cs="Arial"/>
          <w:sz w:val="20"/>
          <w:szCs w:val="20"/>
        </w:rPr>
        <w:t xml:space="preserve"> or cancers; (2) </w:t>
      </w:r>
      <w:r w:rsidR="00EB0DF9" w:rsidRPr="001A1E09">
        <w:rPr>
          <w:rFonts w:ascii="Book Antiqua" w:hAnsi="Book Antiqua" w:cs="Arial"/>
          <w:sz w:val="20"/>
          <w:szCs w:val="20"/>
        </w:rPr>
        <w:t>p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atients </w:t>
      </w:r>
      <w:r w:rsidR="00506B2F" w:rsidRPr="001A1E09">
        <w:rPr>
          <w:rFonts w:ascii="Book Antiqua" w:hAnsi="Book Antiqua" w:cs="Arial"/>
          <w:sz w:val="20"/>
          <w:szCs w:val="20"/>
        </w:rPr>
        <w:t>who</w:t>
      </w:r>
      <w:r w:rsidR="00407052" w:rsidRPr="001A1E09">
        <w:rPr>
          <w:rFonts w:ascii="Book Antiqua" w:hAnsi="Book Antiqua" w:cs="Arial"/>
          <w:sz w:val="20"/>
          <w:szCs w:val="20"/>
        </w:rPr>
        <w:t xml:space="preserve"> received chemotherapy and/or radiotherapy; </w:t>
      </w:r>
      <w:r w:rsidR="00506B2F" w:rsidRPr="001A1E09">
        <w:rPr>
          <w:rFonts w:ascii="Book Antiqua" w:hAnsi="Book Antiqua" w:cs="Arial"/>
          <w:sz w:val="20"/>
          <w:szCs w:val="20"/>
        </w:rPr>
        <w:t xml:space="preserve">and </w:t>
      </w:r>
      <w:r w:rsidR="00407052" w:rsidRPr="001A1E09">
        <w:rPr>
          <w:rFonts w:ascii="Book Antiqua" w:hAnsi="Book Antiqua" w:cs="Arial"/>
          <w:sz w:val="20"/>
          <w:szCs w:val="20"/>
        </w:rPr>
        <w:t xml:space="preserve">(3) </w:t>
      </w:r>
      <w:r w:rsidR="00EB0DF9" w:rsidRPr="001A1E09">
        <w:rPr>
          <w:rFonts w:ascii="Book Antiqua" w:hAnsi="Book Antiqua" w:cs="Arial"/>
          <w:sz w:val="20"/>
          <w:szCs w:val="20"/>
        </w:rPr>
        <w:t>m</w:t>
      </w:r>
      <w:r w:rsidR="00E164E4" w:rsidRPr="001A1E09">
        <w:rPr>
          <w:rFonts w:ascii="Book Antiqua" w:hAnsi="Book Antiqua" w:cs="Arial"/>
          <w:sz w:val="20"/>
          <w:szCs w:val="20"/>
        </w:rPr>
        <w:t>etastasis</w:t>
      </w:r>
      <w:r w:rsidR="00EC7018" w:rsidRPr="001A1E09">
        <w:rPr>
          <w:rFonts w:ascii="Book Antiqua" w:hAnsi="Book Antiqua" w:cs="Arial"/>
          <w:sz w:val="20"/>
          <w:szCs w:val="20"/>
        </w:rPr>
        <w:t xml:space="preserve">. </w:t>
      </w:r>
      <w:r w:rsidR="000B18C5" w:rsidRPr="001A1E09">
        <w:rPr>
          <w:rFonts w:ascii="Book Antiqua" w:hAnsi="Book Antiqua" w:cs="Arial"/>
          <w:sz w:val="20"/>
          <w:szCs w:val="20"/>
        </w:rPr>
        <w:t xml:space="preserve">The patients were divided into </w:t>
      </w:r>
      <w:r w:rsidR="00506B2F" w:rsidRPr="001A1E09">
        <w:rPr>
          <w:rFonts w:ascii="Book Antiqua" w:hAnsi="Book Antiqua" w:cs="Arial"/>
          <w:sz w:val="20"/>
          <w:szCs w:val="20"/>
        </w:rPr>
        <w:t>a</w:t>
      </w:r>
      <w:r w:rsidR="00ED78B5" w:rsidRPr="001A1E09">
        <w:rPr>
          <w:rFonts w:ascii="Book Antiqua" w:hAnsi="Book Antiqua" w:cs="Arial"/>
          <w:sz w:val="20"/>
          <w:szCs w:val="20"/>
        </w:rPr>
        <w:t xml:space="preserve"> c</w:t>
      </w:r>
      <w:r w:rsidR="00506B2F" w:rsidRPr="001A1E09">
        <w:rPr>
          <w:rFonts w:ascii="Book Antiqua" w:hAnsi="Book Antiqua" w:cs="Arial"/>
          <w:sz w:val="20"/>
          <w:szCs w:val="20"/>
        </w:rPr>
        <w:t>ohort and</w:t>
      </w:r>
      <w:r w:rsidR="00ED78B5" w:rsidRPr="001A1E09">
        <w:rPr>
          <w:rFonts w:ascii="Book Antiqua" w:hAnsi="Book Antiqua" w:cs="Arial"/>
          <w:sz w:val="20"/>
          <w:szCs w:val="20"/>
        </w:rPr>
        <w:t xml:space="preserve"> validation cohort.</w:t>
      </w:r>
      <w:r w:rsidR="00350F77" w:rsidRPr="001A1E09">
        <w:rPr>
          <w:rFonts w:ascii="Book Antiqua" w:hAnsi="Book Antiqua" w:cs="Arial"/>
          <w:sz w:val="20"/>
          <w:szCs w:val="20"/>
        </w:rPr>
        <w:t xml:space="preserve"> </w:t>
      </w:r>
      <w:r w:rsidR="00EC7018" w:rsidRPr="001A1E09">
        <w:rPr>
          <w:rFonts w:ascii="Book Antiqua" w:hAnsi="Book Antiqua" w:cs="Arial"/>
          <w:sz w:val="20"/>
          <w:szCs w:val="20"/>
        </w:rPr>
        <w:t>The derivation group was used to generate an optimal cut</w:t>
      </w:r>
      <w:r w:rsidR="00506B2F" w:rsidRPr="001A1E09">
        <w:rPr>
          <w:rFonts w:ascii="Book Antiqua" w:hAnsi="Book Antiqua" w:cs="Arial"/>
          <w:sz w:val="20"/>
          <w:szCs w:val="20"/>
        </w:rPr>
        <w:t>-</w:t>
      </w:r>
      <w:r w:rsidR="00EC7018" w:rsidRPr="001A1E09">
        <w:rPr>
          <w:rFonts w:ascii="Book Antiqua" w:hAnsi="Book Antiqua" w:cs="Arial"/>
          <w:sz w:val="20"/>
          <w:szCs w:val="20"/>
        </w:rPr>
        <w:t>off value</w:t>
      </w:r>
      <w:r w:rsidR="00506B2F" w:rsidRPr="001A1E09">
        <w:rPr>
          <w:rFonts w:ascii="Book Antiqua" w:hAnsi="Book Antiqua" w:cs="Arial"/>
          <w:sz w:val="20"/>
          <w:szCs w:val="20"/>
        </w:rPr>
        <w:t>,</w:t>
      </w:r>
      <w:r w:rsidR="00EC7018" w:rsidRPr="001A1E09">
        <w:rPr>
          <w:rFonts w:ascii="Book Antiqua" w:hAnsi="Book Antiqua" w:cs="Arial"/>
          <w:sz w:val="20"/>
          <w:szCs w:val="20"/>
        </w:rPr>
        <w:t xml:space="preserve"> and the validat</w:t>
      </w:r>
      <w:r w:rsidR="00506B2F" w:rsidRPr="001A1E09">
        <w:rPr>
          <w:rFonts w:ascii="Book Antiqua" w:hAnsi="Book Antiqua" w:cs="Arial"/>
          <w:sz w:val="20"/>
          <w:szCs w:val="20"/>
        </w:rPr>
        <w:t>ion group was used to evaluate</w:t>
      </w:r>
      <w:r w:rsidR="00EC7018" w:rsidRPr="001A1E09">
        <w:rPr>
          <w:rFonts w:ascii="Book Antiqua" w:hAnsi="Book Antiqua" w:cs="Arial"/>
          <w:sz w:val="20"/>
          <w:szCs w:val="20"/>
        </w:rPr>
        <w:t xml:space="preserve"> this cut</w:t>
      </w:r>
      <w:r w:rsidR="00506B2F" w:rsidRPr="001A1E09">
        <w:rPr>
          <w:rFonts w:ascii="Book Antiqua" w:hAnsi="Book Antiqua" w:cs="Arial"/>
          <w:sz w:val="20"/>
          <w:szCs w:val="20"/>
        </w:rPr>
        <w:t>-</w:t>
      </w:r>
      <w:r w:rsidR="00E164E4" w:rsidRPr="001A1E09">
        <w:rPr>
          <w:rFonts w:ascii="Book Antiqua" w:hAnsi="Book Antiqua" w:cs="Arial"/>
          <w:sz w:val="20"/>
          <w:szCs w:val="20"/>
        </w:rPr>
        <w:t>off value.</w:t>
      </w:r>
    </w:p>
    <w:p w14:paraId="6C428A13" w14:textId="77777777" w:rsidR="00B01978" w:rsidRPr="001A1E09" w:rsidRDefault="00B01978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4FB7ED18" w14:textId="77777777" w:rsidR="00B01978" w:rsidRPr="001A1E09" w:rsidRDefault="00B01978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  <w:r w:rsidRPr="001A1E09">
        <w:rPr>
          <w:rFonts w:ascii="Book Antiqua" w:hAnsi="Book Antiqua" w:cs="Arial"/>
          <w:b/>
          <w:i/>
          <w:sz w:val="20"/>
          <w:szCs w:val="20"/>
        </w:rPr>
        <w:t>Follow up and data extraction</w:t>
      </w:r>
    </w:p>
    <w:p w14:paraId="5E0F84AA" w14:textId="1F1272D4" w:rsidR="00B01978" w:rsidRPr="001A1E09" w:rsidRDefault="006476BB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The follow-up time ended in </w:t>
      </w:r>
      <w:r w:rsidR="00474EA7" w:rsidRPr="001A1E09">
        <w:rPr>
          <w:rFonts w:ascii="Book Antiqua" w:hAnsi="Book Antiqua" w:cs="Arial"/>
          <w:sz w:val="20"/>
          <w:szCs w:val="20"/>
        </w:rPr>
        <w:t>October</w:t>
      </w:r>
      <w:r w:rsidR="009A07B0" w:rsidRPr="001A1E09">
        <w:rPr>
          <w:rFonts w:ascii="Book Antiqua" w:hAnsi="Book Antiqua" w:cs="Arial"/>
          <w:sz w:val="20"/>
          <w:szCs w:val="20"/>
        </w:rPr>
        <w:t xml:space="preserve"> 201</w:t>
      </w:r>
      <w:r w:rsidR="007712CB" w:rsidRPr="001A1E09">
        <w:rPr>
          <w:rFonts w:ascii="Book Antiqua" w:hAnsi="Book Antiqua" w:cs="Arial"/>
          <w:sz w:val="20"/>
          <w:szCs w:val="20"/>
        </w:rPr>
        <w:t>8</w:t>
      </w:r>
      <w:r w:rsidR="009A07B0" w:rsidRPr="001A1E09">
        <w:rPr>
          <w:rFonts w:ascii="Book Antiqua" w:hAnsi="Book Antiqua" w:cs="Arial"/>
          <w:sz w:val="20"/>
          <w:szCs w:val="20"/>
        </w:rPr>
        <w:t>.</w:t>
      </w:r>
      <w:r w:rsidR="00485263" w:rsidRPr="001A1E09">
        <w:rPr>
          <w:rFonts w:ascii="Book Antiqua" w:hAnsi="Book Antiqua" w:cs="Arial"/>
          <w:sz w:val="20"/>
          <w:szCs w:val="20"/>
        </w:rPr>
        <w:t xml:space="preserve"> </w:t>
      </w:r>
      <w:r w:rsidR="00B5288B" w:rsidRPr="001A1E09">
        <w:rPr>
          <w:rFonts w:ascii="Book Antiqua" w:hAnsi="Book Antiqua" w:cs="Arial"/>
          <w:sz w:val="20"/>
          <w:szCs w:val="20"/>
        </w:rPr>
        <w:t>Informed consent was</w:t>
      </w:r>
      <w:r w:rsidR="00C820AA" w:rsidRPr="001A1E09">
        <w:rPr>
          <w:rFonts w:ascii="Book Antiqua" w:hAnsi="Book Antiqua" w:cs="Arial"/>
          <w:sz w:val="20"/>
          <w:szCs w:val="20"/>
        </w:rPr>
        <w:t xml:space="preserve"> obtained from all patients. For each patient enrolled in our analysis, the following data were collected u</w:t>
      </w:r>
      <w:r w:rsidR="00864025" w:rsidRPr="001A1E09">
        <w:rPr>
          <w:rFonts w:ascii="Book Antiqua" w:hAnsi="Book Antiqua" w:cs="Arial"/>
          <w:sz w:val="20"/>
          <w:szCs w:val="20"/>
        </w:rPr>
        <w:t xml:space="preserve">sing electronic patient medical </w:t>
      </w:r>
      <w:r w:rsidR="00864025" w:rsidRPr="001A1E09">
        <w:rPr>
          <w:rFonts w:ascii="Book Antiqua" w:hAnsi="Book Antiqua" w:cs="Arial"/>
          <w:sz w:val="20"/>
          <w:szCs w:val="20"/>
        </w:rPr>
        <w:lastRenderedPageBreak/>
        <w:t xml:space="preserve">records: </w:t>
      </w:r>
      <w:r w:rsidR="00B5288B" w:rsidRPr="001A1E09">
        <w:rPr>
          <w:rFonts w:ascii="Book Antiqua" w:hAnsi="Book Antiqua" w:cs="Arial"/>
          <w:sz w:val="20"/>
          <w:szCs w:val="20"/>
        </w:rPr>
        <w:t>a</w:t>
      </w:r>
      <w:r w:rsidR="003B75F3" w:rsidRPr="001A1E09">
        <w:rPr>
          <w:rFonts w:ascii="Book Antiqua" w:hAnsi="Book Antiqua" w:cs="Arial"/>
          <w:sz w:val="20"/>
          <w:szCs w:val="20"/>
        </w:rPr>
        <w:t xml:space="preserve">ge, sex, histological features, </w:t>
      </w:r>
      <w:r w:rsidRPr="001A1E09">
        <w:rPr>
          <w:rFonts w:ascii="Book Antiqua" w:hAnsi="Book Antiqua" w:cs="Arial"/>
          <w:sz w:val="20"/>
          <w:szCs w:val="20"/>
        </w:rPr>
        <w:t>hepatitis virus infection, Child-Pugh le</w:t>
      </w:r>
      <w:r w:rsidR="000C6B7B" w:rsidRPr="001A1E09">
        <w:rPr>
          <w:rFonts w:ascii="Book Antiqua" w:hAnsi="Book Antiqua" w:cs="Arial"/>
          <w:sz w:val="20"/>
          <w:szCs w:val="20"/>
        </w:rPr>
        <w:t xml:space="preserve">vels, </w:t>
      </w:r>
      <w:r w:rsidR="00EB0DF9" w:rsidRPr="001A1E09">
        <w:rPr>
          <w:rFonts w:ascii="Book Antiqua" w:hAnsi="Book Antiqua" w:cs="Arial"/>
          <w:sz w:val="20"/>
          <w:szCs w:val="20"/>
        </w:rPr>
        <w:t>tumor-node-metastasis (</w:t>
      </w:r>
      <w:r w:rsidR="000C6B7B" w:rsidRPr="001A1E09">
        <w:rPr>
          <w:rFonts w:ascii="Book Antiqua" w:hAnsi="Book Antiqua" w:cs="Arial"/>
          <w:sz w:val="20"/>
          <w:szCs w:val="20"/>
        </w:rPr>
        <w:t>TNM</w:t>
      </w:r>
      <w:r w:rsidR="00EB0DF9" w:rsidRPr="001A1E09">
        <w:rPr>
          <w:rFonts w:ascii="Book Antiqua" w:hAnsi="Book Antiqua" w:cs="Arial"/>
          <w:sz w:val="20"/>
          <w:szCs w:val="20"/>
        </w:rPr>
        <w:t>)</w:t>
      </w:r>
      <w:r w:rsidR="000C6B7B" w:rsidRPr="001A1E09">
        <w:rPr>
          <w:rFonts w:ascii="Book Antiqua" w:hAnsi="Book Antiqua" w:cs="Arial"/>
          <w:sz w:val="20"/>
          <w:szCs w:val="20"/>
        </w:rPr>
        <w:t xml:space="preserve"> stage, </w:t>
      </w:r>
      <w:r w:rsidR="00EB0DF9" w:rsidRPr="005006AD">
        <w:rPr>
          <w:rStyle w:val="st"/>
          <w:rFonts w:ascii="Book Antiqua" w:eastAsia="Times New Roman" w:hAnsi="Book Antiqua" w:cs="Times New Roman"/>
          <w:sz w:val="20"/>
          <w:szCs w:val="20"/>
        </w:rPr>
        <w:t>Barcelona Clinic Liver Cancer</w:t>
      </w:r>
      <w:r w:rsidR="00EB0DF9" w:rsidRPr="001A1E09">
        <w:rPr>
          <w:rStyle w:val="st"/>
          <w:rFonts w:eastAsia="Times New Roman" w:cs="Times New Roman"/>
          <w:sz w:val="20"/>
          <w:szCs w:val="20"/>
        </w:rPr>
        <w:t xml:space="preserve"> </w:t>
      </w:r>
      <w:r w:rsidR="00EB0DF9" w:rsidRPr="005006AD">
        <w:rPr>
          <w:rStyle w:val="st"/>
          <w:rFonts w:ascii="Book Antiqua" w:eastAsia="Times New Roman" w:hAnsi="Book Antiqua" w:cs="Times New Roman"/>
          <w:sz w:val="20"/>
          <w:szCs w:val="20"/>
        </w:rPr>
        <w:t>(</w:t>
      </w:r>
      <w:r w:rsidR="000C6B7B" w:rsidRPr="001A1E09">
        <w:rPr>
          <w:rFonts w:ascii="Book Antiqua" w:hAnsi="Book Antiqua" w:cs="Arial"/>
          <w:sz w:val="20"/>
          <w:szCs w:val="20"/>
        </w:rPr>
        <w:t>BCLC</w:t>
      </w:r>
      <w:r w:rsidR="00EB0DF9" w:rsidRPr="001A1E09">
        <w:rPr>
          <w:rFonts w:ascii="Book Antiqua" w:hAnsi="Book Antiqua" w:cs="Arial"/>
          <w:sz w:val="20"/>
          <w:szCs w:val="20"/>
        </w:rPr>
        <w:t>)</w:t>
      </w:r>
      <w:r w:rsidR="000C6B7B" w:rsidRPr="001A1E09">
        <w:rPr>
          <w:rFonts w:ascii="Book Antiqua" w:hAnsi="Book Antiqua" w:cs="Arial"/>
          <w:sz w:val="20"/>
          <w:szCs w:val="20"/>
        </w:rPr>
        <w:t xml:space="preserve"> stage, </w:t>
      </w:r>
      <w:r w:rsidRPr="001A1E09">
        <w:rPr>
          <w:rFonts w:ascii="Book Antiqua" w:hAnsi="Book Antiqua" w:cs="Arial"/>
          <w:sz w:val="20"/>
          <w:szCs w:val="20"/>
        </w:rPr>
        <w:t xml:space="preserve">preoperative serum </w:t>
      </w:r>
      <w:r w:rsidR="00C363D9" w:rsidRPr="001A1E09">
        <w:rPr>
          <w:rFonts w:ascii="Book Antiqua" w:hAnsi="Book Antiqua" w:cs="Arial"/>
          <w:sz w:val="20"/>
          <w:szCs w:val="20"/>
        </w:rPr>
        <w:t xml:space="preserve">GGT </w:t>
      </w:r>
      <w:r w:rsidR="000C6B7B" w:rsidRPr="001A1E09">
        <w:rPr>
          <w:rFonts w:ascii="Book Antiqua" w:hAnsi="Book Antiqua" w:cs="Arial"/>
          <w:sz w:val="20"/>
          <w:szCs w:val="20"/>
        </w:rPr>
        <w:t>levels and</w:t>
      </w:r>
      <w:r w:rsidRPr="001A1E09">
        <w:rPr>
          <w:rFonts w:ascii="Book Antiqua" w:hAnsi="Book Antiqua" w:cs="Arial"/>
          <w:sz w:val="20"/>
          <w:szCs w:val="20"/>
        </w:rPr>
        <w:t xml:space="preserve"> neutrophil</w:t>
      </w:r>
      <w:r w:rsidR="000C6B7B" w:rsidRPr="001A1E09">
        <w:rPr>
          <w:rFonts w:ascii="Book Antiqua" w:hAnsi="Book Antiqua" w:cs="Arial"/>
          <w:sz w:val="20"/>
          <w:szCs w:val="20"/>
        </w:rPr>
        <w:t xml:space="preserve">, </w:t>
      </w:r>
      <w:r w:rsidR="00082E15" w:rsidRPr="001A1E09">
        <w:rPr>
          <w:rFonts w:ascii="Book Antiqua" w:hAnsi="Book Antiqua" w:cs="Arial"/>
          <w:sz w:val="20"/>
          <w:szCs w:val="20"/>
        </w:rPr>
        <w:t>platelet</w:t>
      </w:r>
      <w:r w:rsidR="00EB0DF9" w:rsidRPr="001A1E09">
        <w:rPr>
          <w:rFonts w:ascii="Book Antiqua" w:hAnsi="Book Antiqua" w:cs="Arial"/>
          <w:sz w:val="20"/>
          <w:szCs w:val="20"/>
        </w:rPr>
        <w:t>,</w:t>
      </w:r>
      <w:r w:rsidR="00082E15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and lymphocyte counts.</w:t>
      </w:r>
    </w:p>
    <w:p w14:paraId="14614A86" w14:textId="77777777" w:rsidR="00EC7018" w:rsidRPr="001A1E09" w:rsidRDefault="00EC7018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7374A535" w14:textId="77777777" w:rsidR="005A5C95" w:rsidRPr="001A1E09" w:rsidRDefault="005A5C95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  <w:r w:rsidRPr="001A1E09">
        <w:rPr>
          <w:rFonts w:ascii="Book Antiqua" w:hAnsi="Book Antiqua" w:cs="Arial"/>
          <w:b/>
          <w:i/>
          <w:sz w:val="20"/>
          <w:szCs w:val="20"/>
        </w:rPr>
        <w:t>Statistical analysis</w:t>
      </w:r>
    </w:p>
    <w:p w14:paraId="5CF2DABD" w14:textId="127278DD" w:rsidR="00582DCB" w:rsidRPr="001A1E09" w:rsidRDefault="005B45F8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The primary and secondary endpoints were overall survival (OS) and recurrence-free survival (RFS), respectively. </w:t>
      </w:r>
      <w:r w:rsidR="0032797F" w:rsidRPr="001A1E09">
        <w:rPr>
          <w:rFonts w:ascii="Book Antiqua" w:hAnsi="Book Antiqua" w:cs="Arial"/>
          <w:sz w:val="20"/>
          <w:szCs w:val="20"/>
        </w:rPr>
        <w:t xml:space="preserve">OS was defined as the time in months from resection to death or </w:t>
      </w:r>
      <w:r w:rsidR="007A6A2D" w:rsidRPr="001A1E09">
        <w:rPr>
          <w:rFonts w:ascii="Book Antiqua" w:hAnsi="Book Antiqua" w:cs="Arial"/>
          <w:sz w:val="20"/>
          <w:szCs w:val="20"/>
        </w:rPr>
        <w:t xml:space="preserve">to the </w:t>
      </w:r>
      <w:r w:rsidR="0032797F" w:rsidRPr="001A1E09">
        <w:rPr>
          <w:rFonts w:ascii="Book Antiqua" w:hAnsi="Book Antiqua" w:cs="Arial"/>
          <w:sz w:val="20"/>
          <w:szCs w:val="20"/>
        </w:rPr>
        <w:t xml:space="preserve">last follow-up. RFS was defined as the time in months from resection to recurrence or </w:t>
      </w:r>
      <w:r w:rsidR="007A6A2D" w:rsidRPr="001A1E09">
        <w:rPr>
          <w:rFonts w:ascii="Book Antiqua" w:hAnsi="Book Antiqua" w:cs="Arial"/>
          <w:sz w:val="20"/>
          <w:szCs w:val="20"/>
        </w:rPr>
        <w:t xml:space="preserve">to the </w:t>
      </w:r>
      <w:r w:rsidR="0032797F" w:rsidRPr="001A1E09">
        <w:rPr>
          <w:rFonts w:ascii="Book Antiqua" w:hAnsi="Book Antiqua" w:cs="Arial"/>
          <w:sz w:val="20"/>
          <w:szCs w:val="20"/>
        </w:rPr>
        <w:t xml:space="preserve">last follow-up. </w:t>
      </w:r>
      <w:r w:rsidR="00555F9B" w:rsidRPr="001A1E09">
        <w:rPr>
          <w:rFonts w:ascii="Book Antiqua" w:hAnsi="Book Antiqua" w:cs="Arial"/>
          <w:sz w:val="20"/>
          <w:szCs w:val="20"/>
        </w:rPr>
        <w:t xml:space="preserve">The </w:t>
      </w:r>
      <w:r w:rsidR="002017BA" w:rsidRPr="001A1E09">
        <w:rPr>
          <w:rFonts w:ascii="Book Antiqua" w:hAnsi="Book Antiqua" w:cs="Arial"/>
          <w:sz w:val="20"/>
          <w:szCs w:val="20"/>
        </w:rPr>
        <w:t>NLR</w:t>
      </w:r>
      <w:r w:rsidR="00555F9B" w:rsidRPr="001A1E09">
        <w:rPr>
          <w:rFonts w:ascii="Book Antiqua" w:hAnsi="Book Antiqua" w:cs="Arial"/>
          <w:sz w:val="20"/>
          <w:szCs w:val="20"/>
        </w:rPr>
        <w:t xml:space="preserve">, </w:t>
      </w:r>
      <w:r w:rsidR="002017BA" w:rsidRPr="001A1E09">
        <w:rPr>
          <w:rFonts w:ascii="Book Antiqua" w:hAnsi="Book Antiqua" w:cs="Arial"/>
          <w:sz w:val="20"/>
          <w:szCs w:val="20"/>
        </w:rPr>
        <w:t>PLR</w:t>
      </w:r>
      <w:r w:rsidR="00EB0DF9" w:rsidRPr="001A1E09">
        <w:rPr>
          <w:rFonts w:ascii="Book Antiqua" w:hAnsi="Book Antiqua" w:cs="Arial"/>
          <w:sz w:val="20"/>
          <w:szCs w:val="20"/>
        </w:rPr>
        <w:t>,</w:t>
      </w:r>
      <w:r w:rsidR="00555F9B" w:rsidRPr="001A1E09">
        <w:rPr>
          <w:rFonts w:ascii="Book Antiqua" w:hAnsi="Book Antiqua" w:cs="Arial"/>
          <w:sz w:val="20"/>
          <w:szCs w:val="20"/>
        </w:rPr>
        <w:t xml:space="preserve"> and </w:t>
      </w:r>
      <w:r w:rsidR="002017BA" w:rsidRPr="001A1E09">
        <w:rPr>
          <w:rFonts w:ascii="Book Antiqua" w:hAnsi="Book Antiqua" w:cs="Arial"/>
          <w:sz w:val="20"/>
          <w:szCs w:val="20"/>
        </w:rPr>
        <w:t>GLR</w:t>
      </w:r>
      <w:r w:rsidR="00555F9B" w:rsidRPr="001A1E09">
        <w:rPr>
          <w:rFonts w:ascii="Book Antiqua" w:hAnsi="Book Antiqua" w:cs="Arial"/>
          <w:sz w:val="20"/>
          <w:szCs w:val="20"/>
        </w:rPr>
        <w:t xml:space="preserve"> were calculated by relevant laboratory parameters.</w:t>
      </w:r>
      <w:r w:rsidR="002A1A23" w:rsidRPr="001A1E09">
        <w:rPr>
          <w:rFonts w:ascii="Book Antiqua" w:hAnsi="Book Antiqua" w:cs="Arial"/>
          <w:sz w:val="20"/>
          <w:szCs w:val="20"/>
        </w:rPr>
        <w:t xml:space="preserve"> The cut-off points for the inflammation-based prognostic scores were identified using receiver operating characteristic curve analysis, which was performed in the derivation cohort.</w:t>
      </w:r>
      <w:r w:rsidR="00555F9B" w:rsidRPr="001A1E09">
        <w:rPr>
          <w:rFonts w:ascii="Book Antiqua" w:hAnsi="Book Antiqua" w:cs="Arial"/>
          <w:sz w:val="20"/>
          <w:szCs w:val="20"/>
        </w:rPr>
        <w:t xml:space="preserve"> </w:t>
      </w:r>
      <w:r w:rsidR="0025630A" w:rsidRPr="001A1E09">
        <w:rPr>
          <w:rFonts w:ascii="Book Antiqua" w:hAnsi="Book Antiqua" w:cs="Arial"/>
          <w:sz w:val="20"/>
          <w:szCs w:val="20"/>
        </w:rPr>
        <w:t xml:space="preserve">Based on the optimal cut-off points, including </w:t>
      </w:r>
      <w:r w:rsidR="007A6A2D" w:rsidRPr="001A1E09">
        <w:rPr>
          <w:rFonts w:ascii="Book Antiqua" w:hAnsi="Book Antiqua" w:cs="Arial"/>
          <w:sz w:val="20"/>
          <w:szCs w:val="20"/>
        </w:rPr>
        <w:t xml:space="preserve">the </w:t>
      </w:r>
      <w:r w:rsidR="0025630A" w:rsidRPr="001A1E09">
        <w:rPr>
          <w:rFonts w:ascii="Book Antiqua" w:hAnsi="Book Antiqua" w:cs="Arial"/>
          <w:sz w:val="20"/>
          <w:szCs w:val="20"/>
        </w:rPr>
        <w:t>GLR, we divided the derivation and vali</w:t>
      </w:r>
      <w:r w:rsidR="008F3F59" w:rsidRPr="001A1E09">
        <w:rPr>
          <w:rFonts w:ascii="Book Antiqua" w:hAnsi="Book Antiqua" w:cs="Arial"/>
          <w:sz w:val="20"/>
          <w:szCs w:val="20"/>
        </w:rPr>
        <w:t xml:space="preserve">dation </w:t>
      </w:r>
      <w:r w:rsidR="007A6A2D" w:rsidRPr="001A1E09">
        <w:rPr>
          <w:rFonts w:ascii="Book Antiqua" w:hAnsi="Book Antiqua" w:cs="Arial"/>
          <w:sz w:val="20"/>
          <w:szCs w:val="20"/>
        </w:rPr>
        <w:t>cohorts into two subgroups</w:t>
      </w:r>
      <w:r w:rsidR="008F3F59" w:rsidRPr="001A1E09">
        <w:rPr>
          <w:rFonts w:ascii="Book Antiqua" w:hAnsi="Book Antiqua" w:cs="Arial"/>
          <w:sz w:val="20"/>
          <w:szCs w:val="20"/>
        </w:rPr>
        <w:t xml:space="preserve">. </w:t>
      </w:r>
      <w:r w:rsidR="00A20ACA" w:rsidRPr="001A1E09">
        <w:rPr>
          <w:rFonts w:ascii="Book Antiqua" w:hAnsi="Book Antiqua" w:cs="Arial"/>
          <w:sz w:val="20"/>
          <w:szCs w:val="20"/>
        </w:rPr>
        <w:t xml:space="preserve">Continuous variables were analyzed using </w:t>
      </w:r>
      <w:r w:rsidR="00770B82" w:rsidRPr="001A1E09">
        <w:rPr>
          <w:rFonts w:ascii="Book Antiqua" w:hAnsi="Book Antiqua" w:cs="Arial"/>
          <w:sz w:val="20"/>
          <w:szCs w:val="20"/>
        </w:rPr>
        <w:t xml:space="preserve">the Student’s </w:t>
      </w:r>
      <w:r w:rsidR="00770B82" w:rsidRPr="001A1E09">
        <w:rPr>
          <w:rFonts w:ascii="Book Antiqua" w:hAnsi="Book Antiqua" w:cs="Arial"/>
          <w:i/>
          <w:sz w:val="20"/>
          <w:szCs w:val="20"/>
        </w:rPr>
        <w:t>t</w:t>
      </w:r>
      <w:r w:rsidR="00770B82" w:rsidRPr="001A1E09">
        <w:rPr>
          <w:rFonts w:ascii="Book Antiqua" w:hAnsi="Book Antiqua" w:cs="Arial"/>
          <w:sz w:val="20"/>
          <w:szCs w:val="20"/>
        </w:rPr>
        <w:t>-test or Kruskal-Wallis test</w:t>
      </w:r>
      <w:r w:rsidR="00A20ACA" w:rsidRPr="001A1E09">
        <w:rPr>
          <w:rFonts w:ascii="Book Antiqua" w:hAnsi="Book Antiqua" w:cs="Arial"/>
          <w:sz w:val="20"/>
          <w:szCs w:val="20"/>
        </w:rPr>
        <w:t xml:space="preserve">, and categorical variables </w:t>
      </w:r>
      <w:r w:rsidR="007A6A2D" w:rsidRPr="001A1E09">
        <w:rPr>
          <w:rFonts w:ascii="Book Antiqua" w:hAnsi="Book Antiqua" w:cs="Arial"/>
          <w:sz w:val="20"/>
          <w:szCs w:val="20"/>
        </w:rPr>
        <w:t>were analyzed using</w:t>
      </w:r>
      <w:r w:rsidR="00A20ACA" w:rsidRPr="001A1E09">
        <w:rPr>
          <w:rFonts w:ascii="Book Antiqua" w:hAnsi="Book Antiqua" w:cs="Arial"/>
          <w:sz w:val="20"/>
          <w:szCs w:val="20"/>
        </w:rPr>
        <w:t xml:space="preserve"> Fisher’s exact test or </w:t>
      </w:r>
      <w:r w:rsidR="007A6A2D" w:rsidRPr="001A1E09">
        <w:rPr>
          <w:rFonts w:ascii="Book Antiqua" w:hAnsi="Book Antiqua" w:cs="Arial"/>
          <w:sz w:val="20"/>
          <w:szCs w:val="20"/>
        </w:rPr>
        <w:t xml:space="preserve">the </w:t>
      </w:r>
      <w:r w:rsidR="00A20ACA" w:rsidRPr="005006AD">
        <w:rPr>
          <w:rFonts w:ascii="Times New Roman" w:hAnsi="Times New Roman" w:cs="Times New Roman"/>
          <w:i/>
          <w:sz w:val="20"/>
          <w:szCs w:val="20"/>
        </w:rPr>
        <w:t>χ</w:t>
      </w:r>
      <w:r w:rsidR="00A20ACA" w:rsidRPr="001A1E09">
        <w:rPr>
          <w:rFonts w:ascii="Book Antiqua" w:hAnsi="Book Antiqua" w:cs="Arial"/>
          <w:sz w:val="20"/>
          <w:szCs w:val="20"/>
          <w:vertAlign w:val="superscript"/>
        </w:rPr>
        <w:t>2</w:t>
      </w:r>
      <w:r w:rsidR="00A20ACA" w:rsidRPr="001A1E09">
        <w:rPr>
          <w:rFonts w:ascii="Book Antiqua" w:hAnsi="Book Antiqua" w:cs="Arial"/>
          <w:sz w:val="20"/>
          <w:szCs w:val="20"/>
        </w:rPr>
        <w:t xml:space="preserve"> test.</w:t>
      </w:r>
      <w:r w:rsidR="004632EF" w:rsidRPr="001A1E09">
        <w:rPr>
          <w:rFonts w:ascii="Book Antiqua" w:hAnsi="Book Antiqua" w:cs="Arial"/>
          <w:sz w:val="20"/>
          <w:szCs w:val="20"/>
        </w:rPr>
        <w:t xml:space="preserve"> Univariate and multivariate analyses were conducted using logistic regression models.</w:t>
      </w:r>
      <w:r w:rsidR="00A51AD7" w:rsidRPr="001A1E09">
        <w:rPr>
          <w:rFonts w:ascii="Book Antiqua" w:hAnsi="Book Antiqua" w:cs="Arial"/>
          <w:sz w:val="20"/>
          <w:szCs w:val="20"/>
        </w:rPr>
        <w:t xml:space="preserve"> </w:t>
      </w:r>
      <w:r w:rsidR="007A6A2D" w:rsidRPr="001A1E09">
        <w:rPr>
          <w:rFonts w:ascii="Book Antiqua" w:hAnsi="Book Antiqua" w:cs="Arial"/>
          <w:sz w:val="20"/>
          <w:szCs w:val="20"/>
        </w:rPr>
        <w:t>Variables</w:t>
      </w:r>
      <w:r w:rsidR="00A51AD7" w:rsidRPr="001A1E09">
        <w:rPr>
          <w:rFonts w:ascii="Book Antiqua" w:hAnsi="Book Antiqua" w:cs="Arial"/>
          <w:sz w:val="20"/>
          <w:szCs w:val="20"/>
        </w:rPr>
        <w:t xml:space="preserve"> with</w:t>
      </w:r>
      <w:r w:rsidR="00A51AD7" w:rsidRPr="001A1E09">
        <w:rPr>
          <w:rFonts w:ascii="Book Antiqua" w:hAnsi="Book Antiqua" w:cs="Arial"/>
          <w:i/>
          <w:sz w:val="20"/>
          <w:szCs w:val="20"/>
        </w:rPr>
        <w:t xml:space="preserve"> P</w:t>
      </w:r>
      <w:r w:rsidR="00930675" w:rsidRPr="001A1E09">
        <w:rPr>
          <w:rFonts w:ascii="Book Antiqua" w:hAnsi="Book Antiqua" w:cs="Arial"/>
          <w:sz w:val="20"/>
          <w:szCs w:val="20"/>
        </w:rPr>
        <w:t xml:space="preserve"> values less than 0.10</w:t>
      </w:r>
      <w:r w:rsidR="00A51AD7" w:rsidRPr="001A1E09">
        <w:rPr>
          <w:rFonts w:ascii="Book Antiqua" w:hAnsi="Book Antiqua" w:cs="Arial"/>
          <w:sz w:val="20"/>
          <w:szCs w:val="20"/>
        </w:rPr>
        <w:t xml:space="preserve"> in univariate regression analyses were selected for multivariate regression models.</w:t>
      </w:r>
      <w:r w:rsidR="00A51AD7" w:rsidRPr="001A1E09">
        <w:rPr>
          <w:rFonts w:ascii="Book Antiqua" w:eastAsiaTheme="majorEastAsia" w:hAnsi="Book Antiqua" w:cs="Arial"/>
          <w:sz w:val="20"/>
          <w:szCs w:val="20"/>
        </w:rPr>
        <w:t xml:space="preserve"> </w:t>
      </w:r>
      <w:r w:rsidR="003166FE" w:rsidRPr="001A1E09">
        <w:rPr>
          <w:rFonts w:ascii="Book Antiqua" w:eastAsiaTheme="majorEastAsi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eastAsiaTheme="majorEastAsia" w:hAnsi="Book Antiqua" w:cs="Arial"/>
          <w:i/>
          <w:sz w:val="20"/>
          <w:szCs w:val="20"/>
        </w:rPr>
        <w:t xml:space="preserve"> </w:t>
      </w:r>
      <w:r w:rsidR="00957095" w:rsidRPr="001A1E09">
        <w:rPr>
          <w:rFonts w:ascii="Book Antiqua" w:eastAsia="宋体" w:hAnsi="Book Antiqua" w:cs="Arial"/>
          <w:sz w:val="20"/>
          <w:szCs w:val="20"/>
        </w:rPr>
        <w:t>&lt;</w:t>
      </w:r>
      <w:r w:rsidR="00E164E4" w:rsidRPr="001A1E09">
        <w:rPr>
          <w:rFonts w:ascii="Book Antiqua" w:eastAsia="宋体" w:hAnsi="Book Antiqua" w:cs="Arial"/>
          <w:sz w:val="20"/>
          <w:szCs w:val="20"/>
        </w:rPr>
        <w:t xml:space="preserve"> </w:t>
      </w:r>
      <w:r w:rsidR="003166FE" w:rsidRPr="001A1E09">
        <w:rPr>
          <w:rFonts w:ascii="Book Antiqua" w:eastAsiaTheme="majorEastAsia" w:hAnsi="Book Antiqua" w:cs="Arial"/>
          <w:sz w:val="20"/>
          <w:szCs w:val="20"/>
        </w:rPr>
        <w:t>0.05 was considered statistically significant.</w:t>
      </w:r>
      <w:r w:rsidR="00A51AD7" w:rsidRPr="001A1E09">
        <w:rPr>
          <w:rFonts w:ascii="Book Antiqua" w:hAnsi="Book Antiqua" w:cs="Arial"/>
          <w:sz w:val="20"/>
          <w:szCs w:val="20"/>
        </w:rPr>
        <w:t xml:space="preserve"> </w:t>
      </w:r>
      <w:r w:rsidR="00A51AD7" w:rsidRPr="001A1E09">
        <w:rPr>
          <w:rFonts w:ascii="Book Antiqua" w:eastAsiaTheme="majorEastAsia" w:hAnsi="Book Antiqua" w:cs="Arial"/>
          <w:sz w:val="20"/>
          <w:szCs w:val="20"/>
        </w:rPr>
        <w:t>All analyses were performed using SPSS</w:t>
      </w:r>
      <w:r w:rsidR="00A51AD7" w:rsidRPr="001A1E09">
        <w:rPr>
          <w:rFonts w:ascii="Book Antiqua" w:hAnsi="Book Antiqua" w:cs="Arial"/>
          <w:sz w:val="20"/>
          <w:szCs w:val="20"/>
        </w:rPr>
        <w:t>®</w:t>
      </w:r>
      <w:r w:rsidR="00A51AD7" w:rsidRPr="001A1E09">
        <w:rPr>
          <w:rFonts w:ascii="Book Antiqua" w:eastAsiaTheme="majorEastAsia" w:hAnsi="Book Antiqua" w:cs="Arial"/>
          <w:sz w:val="20"/>
          <w:szCs w:val="20"/>
        </w:rPr>
        <w:t xml:space="preserve"> software (version 23.0</w:t>
      </w:r>
      <w:r w:rsidR="00EB0DF9" w:rsidRPr="001A1E09">
        <w:rPr>
          <w:rFonts w:ascii="Book Antiqua" w:eastAsiaTheme="majorEastAsia" w:hAnsi="Book Antiqua" w:cs="Arial"/>
          <w:sz w:val="20"/>
          <w:szCs w:val="20"/>
        </w:rPr>
        <w:t xml:space="preserve">; </w:t>
      </w:r>
      <w:r w:rsidR="00A51AD7" w:rsidRPr="001A1E09">
        <w:rPr>
          <w:rFonts w:ascii="Book Antiqua" w:eastAsiaTheme="majorEastAsia" w:hAnsi="Book Antiqua" w:cs="Arial"/>
          <w:sz w:val="20"/>
          <w:szCs w:val="20"/>
        </w:rPr>
        <w:t xml:space="preserve">Chicago, IL, </w:t>
      </w:r>
      <w:r w:rsidR="00E164E4" w:rsidRPr="001A1E09">
        <w:rPr>
          <w:rFonts w:ascii="Book Antiqua" w:eastAsiaTheme="majorEastAsia" w:hAnsi="Book Antiqua" w:cs="Arial"/>
          <w:sz w:val="20"/>
          <w:szCs w:val="20"/>
        </w:rPr>
        <w:t>United States</w:t>
      </w:r>
      <w:r w:rsidR="00A51AD7" w:rsidRPr="001A1E09">
        <w:rPr>
          <w:rFonts w:ascii="Book Antiqua" w:eastAsiaTheme="majorEastAsia" w:hAnsi="Book Antiqua" w:cs="Arial"/>
          <w:sz w:val="20"/>
          <w:szCs w:val="20"/>
        </w:rPr>
        <w:t xml:space="preserve">) and </w:t>
      </w:r>
      <w:proofErr w:type="spellStart"/>
      <w:r w:rsidR="00A51AD7" w:rsidRPr="001A1E09">
        <w:rPr>
          <w:rFonts w:ascii="Book Antiqua" w:eastAsiaTheme="majorEastAsia" w:hAnsi="Book Antiqua" w:cs="Arial"/>
          <w:sz w:val="20"/>
          <w:szCs w:val="20"/>
        </w:rPr>
        <w:t>Medcalc</w:t>
      </w:r>
      <w:proofErr w:type="spellEnd"/>
      <w:r w:rsidR="007A6A2D" w:rsidRPr="001A1E09">
        <w:rPr>
          <w:rFonts w:ascii="Book Antiqua" w:eastAsiaTheme="majorEastAsia" w:hAnsi="Book Antiqua" w:cs="Arial"/>
          <w:sz w:val="20"/>
          <w:szCs w:val="20"/>
        </w:rPr>
        <w:t xml:space="preserve"> software</w:t>
      </w:r>
      <w:r w:rsidR="00A51AD7" w:rsidRPr="001A1E09">
        <w:rPr>
          <w:rFonts w:ascii="Book Antiqua" w:eastAsiaTheme="majorEastAsia" w:hAnsi="Book Antiqua" w:cs="Arial"/>
          <w:sz w:val="20"/>
          <w:szCs w:val="20"/>
        </w:rPr>
        <w:t xml:space="preserve"> (version 15.2.2.0</w:t>
      </w:r>
      <w:r w:rsidR="00EB0DF9" w:rsidRPr="001A1E09">
        <w:rPr>
          <w:rFonts w:ascii="Book Antiqua" w:eastAsiaTheme="majorEastAsia" w:hAnsi="Book Antiqua" w:cs="Arial"/>
          <w:sz w:val="20"/>
          <w:szCs w:val="20"/>
        </w:rPr>
        <w:t>;</w:t>
      </w:r>
      <w:r w:rsidR="00A51AD7" w:rsidRPr="001A1E09">
        <w:rPr>
          <w:rFonts w:ascii="Book Antiqua" w:eastAsiaTheme="majorEastAsia" w:hAnsi="Book Antiqua" w:cs="Arial"/>
          <w:sz w:val="20"/>
          <w:szCs w:val="20"/>
        </w:rPr>
        <w:t xml:space="preserve"> Ostend, Belgi</w:t>
      </w:r>
      <w:r w:rsidR="00CA6DD3">
        <w:rPr>
          <w:rFonts w:ascii="Book Antiqua" w:eastAsiaTheme="majorEastAsia" w:hAnsi="Book Antiqua" w:cs="Arial"/>
          <w:sz w:val="20"/>
          <w:szCs w:val="20"/>
        </w:rPr>
        <w:t>um</w:t>
      </w:r>
      <w:r w:rsidR="00A51AD7" w:rsidRPr="001A1E09">
        <w:rPr>
          <w:rFonts w:ascii="Book Antiqua" w:eastAsiaTheme="majorEastAsia" w:hAnsi="Book Antiqua" w:cs="Arial"/>
          <w:sz w:val="20"/>
          <w:szCs w:val="20"/>
        </w:rPr>
        <w:t>)</w:t>
      </w:r>
      <w:r w:rsidR="009E5304" w:rsidRPr="001A1E09">
        <w:rPr>
          <w:rFonts w:ascii="Book Antiqua" w:hAnsi="Book Antiqua" w:cs="Arial"/>
          <w:sz w:val="20"/>
          <w:szCs w:val="20"/>
        </w:rPr>
        <w:t>.</w:t>
      </w:r>
    </w:p>
    <w:p w14:paraId="6BBE617E" w14:textId="77777777" w:rsidR="0005779E" w:rsidRPr="001A1E09" w:rsidRDefault="0005779E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01AF2101" w14:textId="77777777" w:rsidR="0005779E" w:rsidRPr="001A1E09" w:rsidRDefault="0005779E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  <w:u w:val="single"/>
        </w:rPr>
      </w:pPr>
      <w:r w:rsidRPr="001A1E09">
        <w:rPr>
          <w:rFonts w:ascii="Book Antiqua" w:hAnsi="Book Antiqua" w:cs="Arial"/>
          <w:b/>
          <w:sz w:val="20"/>
          <w:szCs w:val="20"/>
          <w:u w:val="single"/>
        </w:rPr>
        <w:t>RESULTS</w:t>
      </w:r>
    </w:p>
    <w:p w14:paraId="3691CB27" w14:textId="77777777" w:rsidR="0005779E" w:rsidRPr="001A1E09" w:rsidRDefault="007F34ED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  <w:r w:rsidRPr="001A1E09">
        <w:rPr>
          <w:rFonts w:ascii="Book Antiqua" w:hAnsi="Book Antiqua" w:cs="Arial"/>
          <w:b/>
          <w:i/>
          <w:sz w:val="20"/>
          <w:szCs w:val="20"/>
        </w:rPr>
        <w:t>Patient population</w:t>
      </w:r>
    </w:p>
    <w:p w14:paraId="122B5BF5" w14:textId="0962C6EB" w:rsidR="009614CE" w:rsidRPr="001A1E09" w:rsidRDefault="00B12723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Of the 527 patients enrolled, 254 (48.2%) were men and 277 (51.8%) were women (</w:t>
      </w:r>
      <w:r w:rsidR="009E1EE0" w:rsidRPr="001A1E09">
        <w:rPr>
          <w:rFonts w:ascii="Book Antiqua" w:hAnsi="Book Antiqua" w:cs="Arial"/>
          <w:sz w:val="20"/>
          <w:szCs w:val="20"/>
        </w:rPr>
        <w:t xml:space="preserve">Supplementary </w:t>
      </w:r>
      <w:r w:rsidR="00770A57" w:rsidRPr="001A1E09">
        <w:rPr>
          <w:rFonts w:ascii="Book Antiqua" w:hAnsi="Book Antiqua" w:cs="Arial"/>
          <w:sz w:val="20"/>
          <w:szCs w:val="20"/>
        </w:rPr>
        <w:t>Table 1</w:t>
      </w:r>
      <w:r w:rsidRPr="001A1E09">
        <w:rPr>
          <w:rFonts w:ascii="Book Antiqua" w:hAnsi="Book Antiqua" w:cs="Arial"/>
          <w:sz w:val="20"/>
          <w:szCs w:val="20"/>
        </w:rPr>
        <w:t>)</w:t>
      </w:r>
      <w:r w:rsidR="001D69A8" w:rsidRPr="001A1E09">
        <w:rPr>
          <w:rFonts w:ascii="Book Antiqua" w:hAnsi="Book Antiqua" w:cs="Arial"/>
          <w:sz w:val="20"/>
          <w:szCs w:val="20"/>
        </w:rPr>
        <w:t>.</w:t>
      </w:r>
      <w:r w:rsidR="003D538E" w:rsidRPr="001A1E09">
        <w:rPr>
          <w:rFonts w:ascii="Book Antiqua" w:hAnsi="Book Antiqua" w:cs="Arial"/>
          <w:sz w:val="20"/>
          <w:szCs w:val="20"/>
        </w:rPr>
        <w:t xml:space="preserve"> These patients were diagnosed at a mean age of 57.26 ± 10.71 years and </w:t>
      </w:r>
      <w:r w:rsidR="00094E1F" w:rsidRPr="001A1E09">
        <w:rPr>
          <w:rFonts w:ascii="Book Antiqua" w:hAnsi="Book Antiqua" w:cs="Arial"/>
          <w:sz w:val="20"/>
          <w:szCs w:val="20"/>
        </w:rPr>
        <w:t xml:space="preserve">underwent </w:t>
      </w:r>
      <w:r w:rsidR="003D538E" w:rsidRPr="001A1E09">
        <w:rPr>
          <w:rFonts w:ascii="Book Antiqua" w:hAnsi="Book Antiqua" w:cs="Arial"/>
          <w:sz w:val="20"/>
          <w:szCs w:val="20"/>
        </w:rPr>
        <w:t>a mean follow-up of 25</w:t>
      </w:r>
      <w:r w:rsidR="0011554E" w:rsidRPr="001A1E09">
        <w:rPr>
          <w:rFonts w:ascii="Book Antiqua" w:hAnsi="Book Antiqua" w:cs="Arial"/>
          <w:sz w:val="20"/>
          <w:szCs w:val="20"/>
        </w:rPr>
        <w:t xml:space="preserve"> mo.</w:t>
      </w:r>
      <w:r w:rsidR="005A7E51" w:rsidRPr="001A1E09">
        <w:rPr>
          <w:rFonts w:ascii="Book Antiqua" w:hAnsi="Book Antiqua" w:cs="Arial"/>
          <w:sz w:val="20"/>
          <w:szCs w:val="20"/>
        </w:rPr>
        <w:t xml:space="preserve"> </w:t>
      </w:r>
      <w:r w:rsidR="0056730F" w:rsidRPr="001A1E09">
        <w:rPr>
          <w:rFonts w:ascii="Book Antiqua" w:hAnsi="Book Antiqua" w:cs="Arial"/>
          <w:sz w:val="20"/>
          <w:szCs w:val="20"/>
        </w:rPr>
        <w:t xml:space="preserve">Serum hepatitis B surface antigen (HBsAg) was positive in 151 patients (28.8%), </w:t>
      </w:r>
      <w:r w:rsidR="002C2D07" w:rsidRPr="001A1E09">
        <w:rPr>
          <w:rFonts w:ascii="Book Antiqua" w:hAnsi="Book Antiqua" w:cs="Arial"/>
          <w:sz w:val="20"/>
          <w:szCs w:val="20"/>
        </w:rPr>
        <w:t xml:space="preserve">hepatitis C virus </w:t>
      </w:r>
      <w:r w:rsidR="0056730F" w:rsidRPr="001A1E09">
        <w:rPr>
          <w:rFonts w:ascii="Book Antiqua" w:hAnsi="Book Antiqua" w:cs="Arial"/>
          <w:sz w:val="20"/>
          <w:szCs w:val="20"/>
        </w:rPr>
        <w:t xml:space="preserve">infected 3 patients (0.6%) and hepatolithiasis existed in 88 patients (16.7%). </w:t>
      </w:r>
      <w:r w:rsidR="001479A3" w:rsidRPr="001A1E09">
        <w:rPr>
          <w:rFonts w:ascii="Book Antiqua" w:hAnsi="Book Antiqua" w:cs="Arial"/>
          <w:sz w:val="20"/>
          <w:szCs w:val="20"/>
        </w:rPr>
        <w:t>Among them,</w:t>
      </w:r>
      <w:r w:rsidR="00FC1C36" w:rsidRPr="001A1E09">
        <w:rPr>
          <w:rFonts w:ascii="Book Antiqua" w:hAnsi="Book Antiqua" w:cs="Arial"/>
          <w:sz w:val="20"/>
          <w:szCs w:val="20"/>
        </w:rPr>
        <w:t xml:space="preserve"> 24 (4.6%) patients had Child-Pugh grade B liver function. Ascites existed in 50 patients (9.5%)</w:t>
      </w:r>
      <w:r w:rsidR="00AC5C04" w:rsidRPr="001A1E09">
        <w:rPr>
          <w:rFonts w:ascii="Book Antiqua" w:hAnsi="Book Antiqua" w:cs="Arial"/>
          <w:sz w:val="20"/>
          <w:szCs w:val="20"/>
        </w:rPr>
        <w:t>. S</w:t>
      </w:r>
      <w:r w:rsidR="00223B60" w:rsidRPr="001A1E09">
        <w:rPr>
          <w:rFonts w:ascii="Book Antiqua" w:hAnsi="Book Antiqua" w:cs="Arial"/>
          <w:sz w:val="20"/>
          <w:szCs w:val="20"/>
        </w:rPr>
        <w:t xml:space="preserve">erum </w:t>
      </w:r>
      <w:r w:rsidR="00AC5C04" w:rsidRPr="001A1E09">
        <w:rPr>
          <w:rFonts w:ascii="Book Antiqua" w:hAnsi="Book Antiqua" w:cs="Arial"/>
          <w:sz w:val="20"/>
          <w:szCs w:val="20"/>
        </w:rPr>
        <w:t>carbohydrate antigen 19-9 (</w:t>
      </w:r>
      <w:r w:rsidR="00223B60" w:rsidRPr="001A1E09">
        <w:rPr>
          <w:rFonts w:ascii="Book Antiqua" w:hAnsi="Book Antiqua" w:cs="Arial"/>
          <w:sz w:val="20"/>
          <w:szCs w:val="20"/>
        </w:rPr>
        <w:t>CA19-9</w:t>
      </w:r>
      <w:r w:rsidR="00AC5C04" w:rsidRPr="001A1E09">
        <w:rPr>
          <w:rFonts w:ascii="Book Antiqua" w:hAnsi="Book Antiqua" w:cs="Arial"/>
          <w:sz w:val="20"/>
          <w:szCs w:val="20"/>
        </w:rPr>
        <w:t xml:space="preserve">) </w:t>
      </w:r>
      <w:r w:rsidR="00CE22E7" w:rsidRPr="001A1E09">
        <w:rPr>
          <w:rFonts w:ascii="Book Antiqua" w:eastAsia="宋体" w:hAnsi="Book Antiqua" w:cs="Arial"/>
          <w:sz w:val="20"/>
          <w:szCs w:val="20"/>
        </w:rPr>
        <w:t>&lt;</w:t>
      </w:r>
      <w:r w:rsidR="00E164E4" w:rsidRPr="001A1E09">
        <w:rPr>
          <w:rFonts w:ascii="Book Antiqua" w:eastAsia="宋体" w:hAnsi="Book Antiqua" w:cs="Arial"/>
          <w:sz w:val="20"/>
          <w:szCs w:val="20"/>
        </w:rPr>
        <w:t xml:space="preserve"> </w:t>
      </w:r>
      <w:r w:rsidR="00CE22E7" w:rsidRPr="001A1E09">
        <w:rPr>
          <w:rFonts w:ascii="Book Antiqua" w:eastAsia="宋体" w:hAnsi="Book Antiqua" w:cs="Arial"/>
          <w:sz w:val="20"/>
          <w:szCs w:val="20"/>
        </w:rPr>
        <w:t>22 U/mL</w:t>
      </w:r>
      <w:r w:rsidR="001479A3" w:rsidRPr="001A1E09">
        <w:rPr>
          <w:rFonts w:ascii="Book Antiqua" w:hAnsi="Book Antiqua" w:cs="Arial"/>
          <w:sz w:val="20"/>
          <w:szCs w:val="20"/>
        </w:rPr>
        <w:t xml:space="preserve"> were observed in 149 patients (28.3%)</w:t>
      </w:r>
      <w:r w:rsidR="00FC1C36" w:rsidRPr="001A1E09">
        <w:rPr>
          <w:rFonts w:ascii="Book Antiqua" w:hAnsi="Book Antiqua" w:cs="Arial"/>
          <w:sz w:val="20"/>
          <w:szCs w:val="20"/>
        </w:rPr>
        <w:t xml:space="preserve">. </w:t>
      </w:r>
      <w:r w:rsidR="005C62B4" w:rsidRPr="001A1E09">
        <w:rPr>
          <w:rFonts w:ascii="Book Antiqua" w:hAnsi="Book Antiqua" w:cs="Arial"/>
          <w:sz w:val="20"/>
          <w:szCs w:val="20"/>
        </w:rPr>
        <w:t>The mean value of NLR, PLR</w:t>
      </w:r>
      <w:r w:rsidR="00EB0DF9" w:rsidRPr="001A1E09">
        <w:rPr>
          <w:rFonts w:ascii="Book Antiqua" w:hAnsi="Book Antiqua" w:cs="Arial"/>
          <w:sz w:val="20"/>
          <w:szCs w:val="20"/>
        </w:rPr>
        <w:t>,</w:t>
      </w:r>
      <w:r w:rsidR="005C62B4" w:rsidRPr="001A1E09">
        <w:rPr>
          <w:rFonts w:ascii="Book Antiqua" w:hAnsi="Book Antiqua" w:cs="Arial"/>
          <w:sz w:val="20"/>
          <w:szCs w:val="20"/>
        </w:rPr>
        <w:t xml:space="preserve"> and GLR were 2.73, 113</w:t>
      </w:r>
      <w:r w:rsidR="00EB0DF9" w:rsidRPr="001A1E09">
        <w:rPr>
          <w:rFonts w:ascii="Book Antiqua" w:hAnsi="Book Antiqua" w:cs="Arial"/>
          <w:sz w:val="20"/>
          <w:szCs w:val="20"/>
        </w:rPr>
        <w:t>,</w:t>
      </w:r>
      <w:r w:rsidR="005C62B4" w:rsidRPr="001A1E09">
        <w:rPr>
          <w:rFonts w:ascii="Book Antiqua" w:hAnsi="Book Antiqua" w:cs="Arial"/>
          <w:sz w:val="20"/>
          <w:szCs w:val="20"/>
        </w:rPr>
        <w:t xml:space="preserve"> and 44.7</w:t>
      </w:r>
      <w:r w:rsidR="000A1725" w:rsidRPr="001A1E09">
        <w:rPr>
          <w:rFonts w:ascii="Book Antiqua" w:hAnsi="Book Antiqua" w:cs="Arial"/>
          <w:sz w:val="20"/>
          <w:szCs w:val="20"/>
        </w:rPr>
        <w:t xml:space="preserve">, respectively. </w:t>
      </w:r>
      <w:r w:rsidR="00154AEB" w:rsidRPr="001A1E09">
        <w:rPr>
          <w:rFonts w:ascii="Book Antiqua" w:hAnsi="Book Antiqua" w:cs="Arial"/>
          <w:sz w:val="20"/>
          <w:szCs w:val="20"/>
        </w:rPr>
        <w:t>The numbers of patients classified into TNM stage IA, IB, II, IIIA</w:t>
      </w:r>
      <w:r w:rsidR="00EB0DF9" w:rsidRPr="001A1E09">
        <w:rPr>
          <w:rFonts w:ascii="Book Antiqua" w:hAnsi="Book Antiqua" w:cs="Arial"/>
          <w:sz w:val="20"/>
          <w:szCs w:val="20"/>
        </w:rPr>
        <w:t>,</w:t>
      </w:r>
      <w:r w:rsidR="00154AEB" w:rsidRPr="001A1E09">
        <w:rPr>
          <w:rFonts w:ascii="Book Antiqua" w:hAnsi="Book Antiqua" w:cs="Arial"/>
          <w:sz w:val="20"/>
          <w:szCs w:val="20"/>
        </w:rPr>
        <w:t xml:space="preserve"> and IIIB were 63 (12%), 37 (7%), 55 (10.4%), 241 (45.7%)</w:t>
      </w:r>
      <w:r w:rsidR="00EB0DF9" w:rsidRPr="001A1E09">
        <w:rPr>
          <w:rFonts w:ascii="Book Antiqua" w:hAnsi="Book Antiqua" w:cs="Arial"/>
          <w:sz w:val="20"/>
          <w:szCs w:val="20"/>
        </w:rPr>
        <w:t>,</w:t>
      </w:r>
      <w:r w:rsidR="00154AEB" w:rsidRPr="001A1E09">
        <w:rPr>
          <w:rFonts w:ascii="Book Antiqua" w:hAnsi="Book Antiqua" w:cs="Arial"/>
          <w:sz w:val="20"/>
          <w:szCs w:val="20"/>
        </w:rPr>
        <w:t xml:space="preserve"> and 131 (24.9%), respectively. The numbers of patients </w:t>
      </w:r>
      <w:r w:rsidR="006E3321" w:rsidRPr="001A1E09">
        <w:rPr>
          <w:rFonts w:ascii="Book Antiqua" w:hAnsi="Book Antiqua" w:cs="Arial"/>
          <w:sz w:val="20"/>
          <w:szCs w:val="20"/>
        </w:rPr>
        <w:t>classified into BCLC stage 0, A, B and C were 23 (4.4%), 141 (26.8%), 240 (45.5%)</w:t>
      </w:r>
      <w:r w:rsidR="00EB0DF9" w:rsidRPr="001A1E09">
        <w:rPr>
          <w:rFonts w:ascii="Book Antiqua" w:hAnsi="Book Antiqua" w:cs="Arial"/>
          <w:sz w:val="20"/>
          <w:szCs w:val="20"/>
        </w:rPr>
        <w:t>,</w:t>
      </w:r>
      <w:r w:rsidR="006E3321" w:rsidRPr="001A1E09">
        <w:rPr>
          <w:rFonts w:ascii="Book Antiqua" w:hAnsi="Book Antiqua" w:cs="Arial"/>
          <w:sz w:val="20"/>
          <w:szCs w:val="20"/>
        </w:rPr>
        <w:t xml:space="preserve"> and 123 (23.3%), respectively. </w:t>
      </w:r>
      <w:r w:rsidR="005A7E51" w:rsidRPr="001A1E09">
        <w:rPr>
          <w:rFonts w:ascii="Book Antiqua" w:hAnsi="Book Antiqua" w:cs="Arial"/>
          <w:sz w:val="20"/>
          <w:szCs w:val="20"/>
        </w:rPr>
        <w:t xml:space="preserve">These patients were divided into </w:t>
      </w:r>
      <w:r w:rsidR="00094E1F" w:rsidRPr="001A1E09">
        <w:rPr>
          <w:rFonts w:ascii="Book Antiqua" w:hAnsi="Book Antiqua" w:cs="Arial"/>
          <w:sz w:val="20"/>
          <w:szCs w:val="20"/>
        </w:rPr>
        <w:t xml:space="preserve">a </w:t>
      </w:r>
      <w:r w:rsidR="005A7E51" w:rsidRPr="001A1E09">
        <w:rPr>
          <w:rFonts w:ascii="Book Antiqua" w:hAnsi="Book Antiqua" w:cs="Arial"/>
          <w:sz w:val="20"/>
          <w:szCs w:val="20"/>
        </w:rPr>
        <w:t>derivation cohort (</w:t>
      </w:r>
      <w:r w:rsidR="001D5F3F" w:rsidRPr="001A1E09">
        <w:rPr>
          <w:rFonts w:ascii="Book Antiqua" w:hAnsi="Book Antiqua" w:cs="Arial"/>
          <w:i/>
          <w:sz w:val="20"/>
          <w:szCs w:val="20"/>
        </w:rPr>
        <w:t>n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1D5F3F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1D5F3F" w:rsidRPr="001A1E09">
        <w:rPr>
          <w:rFonts w:ascii="Book Antiqua" w:hAnsi="Book Antiqua" w:cs="Arial"/>
          <w:sz w:val="20"/>
          <w:szCs w:val="20"/>
        </w:rPr>
        <w:t>264</w:t>
      </w:r>
      <w:r w:rsidR="005A7E51" w:rsidRPr="001A1E09">
        <w:rPr>
          <w:rFonts w:ascii="Book Antiqua" w:hAnsi="Book Antiqua" w:cs="Arial"/>
          <w:sz w:val="20"/>
          <w:szCs w:val="20"/>
        </w:rPr>
        <w:t>) and a validation cohort (</w:t>
      </w:r>
      <w:r w:rsidR="001D5F3F" w:rsidRPr="001A1E09">
        <w:rPr>
          <w:rFonts w:ascii="Book Antiqua" w:hAnsi="Book Antiqua" w:cs="Arial"/>
          <w:i/>
          <w:sz w:val="20"/>
          <w:szCs w:val="20"/>
        </w:rPr>
        <w:t>n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1D5F3F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1D5F3F" w:rsidRPr="001A1E09">
        <w:rPr>
          <w:rFonts w:ascii="Book Antiqua" w:hAnsi="Book Antiqua" w:cs="Arial"/>
          <w:sz w:val="20"/>
          <w:szCs w:val="20"/>
        </w:rPr>
        <w:t>263</w:t>
      </w:r>
      <w:r w:rsidR="00094E1F" w:rsidRPr="001A1E09">
        <w:rPr>
          <w:rFonts w:ascii="Book Antiqua" w:hAnsi="Book Antiqua" w:cs="Arial"/>
          <w:sz w:val="20"/>
          <w:szCs w:val="20"/>
        </w:rPr>
        <w:t>). There were</w:t>
      </w:r>
      <w:r w:rsidR="005A7E51" w:rsidRPr="001A1E09">
        <w:rPr>
          <w:rFonts w:ascii="Book Antiqua" w:hAnsi="Book Antiqua" w:cs="Arial"/>
          <w:sz w:val="20"/>
          <w:szCs w:val="20"/>
        </w:rPr>
        <w:t xml:space="preserve"> no difference</w:t>
      </w:r>
      <w:r w:rsidR="00094E1F" w:rsidRPr="001A1E09">
        <w:rPr>
          <w:rFonts w:ascii="Book Antiqua" w:hAnsi="Book Antiqua" w:cs="Arial"/>
          <w:sz w:val="20"/>
          <w:szCs w:val="20"/>
        </w:rPr>
        <w:t>s</w:t>
      </w:r>
      <w:r w:rsidR="005A7E51" w:rsidRPr="001A1E09">
        <w:rPr>
          <w:rFonts w:ascii="Book Antiqua" w:hAnsi="Book Antiqua" w:cs="Arial"/>
          <w:sz w:val="20"/>
          <w:szCs w:val="20"/>
        </w:rPr>
        <w:t xml:space="preserve"> in </w:t>
      </w:r>
      <w:r w:rsidR="00094E1F" w:rsidRPr="001A1E09">
        <w:rPr>
          <w:rFonts w:ascii="Book Antiqua" w:hAnsi="Book Antiqua" w:cs="Arial"/>
          <w:sz w:val="20"/>
          <w:szCs w:val="20"/>
        </w:rPr>
        <w:t>sex, age, hepatitis virus infection</w:t>
      </w:r>
      <w:r w:rsidR="005A7E51" w:rsidRPr="001A1E09">
        <w:rPr>
          <w:rFonts w:ascii="Book Antiqua" w:hAnsi="Book Antiqua" w:cs="Arial"/>
          <w:sz w:val="20"/>
          <w:szCs w:val="20"/>
        </w:rPr>
        <w:t xml:space="preserve">, </w:t>
      </w:r>
      <w:r w:rsidR="00094E1F" w:rsidRPr="001A1E09">
        <w:rPr>
          <w:rFonts w:ascii="Book Antiqua" w:hAnsi="Book Antiqua" w:cs="Arial"/>
          <w:sz w:val="20"/>
          <w:szCs w:val="20"/>
        </w:rPr>
        <w:t>Child-Pugh grade, presence of ascites or</w:t>
      </w:r>
      <w:r w:rsidR="00951960" w:rsidRPr="001A1E09">
        <w:rPr>
          <w:rFonts w:ascii="Book Antiqua" w:hAnsi="Book Antiqua" w:cs="Arial"/>
          <w:sz w:val="20"/>
          <w:szCs w:val="20"/>
        </w:rPr>
        <w:t xml:space="preserve"> serum </w:t>
      </w:r>
      <w:r w:rsidR="00E456A6" w:rsidRPr="001A1E09">
        <w:rPr>
          <w:rFonts w:ascii="Book Antiqua" w:hAnsi="Book Antiqua" w:cs="Arial"/>
          <w:sz w:val="20"/>
          <w:szCs w:val="20"/>
        </w:rPr>
        <w:t>CA19-9</w:t>
      </w:r>
      <w:r w:rsidR="00951960" w:rsidRPr="001A1E09">
        <w:rPr>
          <w:rFonts w:ascii="Book Antiqua" w:hAnsi="Book Antiqua" w:cs="Arial"/>
          <w:sz w:val="20"/>
          <w:szCs w:val="20"/>
        </w:rPr>
        <w:t xml:space="preserve"> levels</w:t>
      </w:r>
      <w:r w:rsidR="00AD0D55" w:rsidRPr="001A1E09">
        <w:rPr>
          <w:rFonts w:ascii="Book Antiqua" w:hAnsi="Book Antiqua" w:cs="Arial"/>
          <w:sz w:val="20"/>
          <w:szCs w:val="20"/>
        </w:rPr>
        <w:t xml:space="preserve"> (all </w:t>
      </w:r>
      <w:r w:rsidR="00AD0D55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AD0D55"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D0D55" w:rsidRPr="001A1E09">
        <w:rPr>
          <w:rFonts w:ascii="Book Antiqua" w:hAnsi="Book Antiqua" w:cs="Arial"/>
          <w:sz w:val="20"/>
          <w:szCs w:val="20"/>
        </w:rPr>
        <w:t>0.05)</w:t>
      </w:r>
      <w:r w:rsidR="00951960" w:rsidRPr="001A1E09">
        <w:rPr>
          <w:rFonts w:ascii="Book Antiqua" w:hAnsi="Book Antiqua" w:cs="Arial"/>
          <w:sz w:val="20"/>
          <w:szCs w:val="20"/>
        </w:rPr>
        <w:t>.</w:t>
      </w:r>
      <w:r w:rsidR="005B115F" w:rsidRPr="001A1E09">
        <w:rPr>
          <w:rFonts w:ascii="Book Antiqua" w:hAnsi="Book Antiqua" w:cs="Arial"/>
          <w:sz w:val="20"/>
          <w:szCs w:val="20"/>
        </w:rPr>
        <w:t xml:space="preserve"> </w:t>
      </w:r>
      <w:r w:rsidR="00094E1F" w:rsidRPr="001A1E09">
        <w:rPr>
          <w:rFonts w:ascii="Book Antiqua" w:hAnsi="Book Antiqua" w:cs="Arial"/>
          <w:sz w:val="20"/>
          <w:szCs w:val="20"/>
        </w:rPr>
        <w:t>In addition, there were</w:t>
      </w:r>
      <w:r w:rsidR="005B115F" w:rsidRPr="001A1E09">
        <w:rPr>
          <w:rFonts w:ascii="Book Antiqua" w:hAnsi="Book Antiqua" w:cs="Arial"/>
          <w:sz w:val="20"/>
          <w:szCs w:val="20"/>
        </w:rPr>
        <w:t xml:space="preserve"> also no difference</w:t>
      </w:r>
      <w:r w:rsidR="00094E1F" w:rsidRPr="001A1E09">
        <w:rPr>
          <w:rFonts w:ascii="Book Antiqua" w:hAnsi="Book Antiqua" w:cs="Arial"/>
          <w:sz w:val="20"/>
          <w:szCs w:val="20"/>
        </w:rPr>
        <w:t>s</w:t>
      </w:r>
      <w:r w:rsidR="005B115F" w:rsidRPr="001A1E09">
        <w:rPr>
          <w:rFonts w:ascii="Book Antiqua" w:hAnsi="Book Antiqua" w:cs="Arial"/>
          <w:sz w:val="20"/>
          <w:szCs w:val="20"/>
        </w:rPr>
        <w:t xml:space="preserve"> in</w:t>
      </w:r>
      <w:r w:rsidR="00094E1F" w:rsidRPr="001A1E09">
        <w:rPr>
          <w:rFonts w:ascii="Book Antiqua" w:hAnsi="Book Antiqua" w:cs="Arial"/>
          <w:sz w:val="20"/>
          <w:szCs w:val="20"/>
        </w:rPr>
        <w:t xml:space="preserve"> histological features or the number</w:t>
      </w:r>
      <w:r w:rsidR="005B115F" w:rsidRPr="001A1E09">
        <w:rPr>
          <w:rFonts w:ascii="Book Antiqua" w:hAnsi="Book Antiqua" w:cs="Arial"/>
          <w:sz w:val="20"/>
          <w:szCs w:val="20"/>
        </w:rPr>
        <w:t xml:space="preserve"> of patients classified into TNM stage</w:t>
      </w:r>
      <w:r w:rsidR="00094E1F" w:rsidRPr="001A1E09">
        <w:rPr>
          <w:rFonts w:ascii="Book Antiqua" w:hAnsi="Book Antiqua" w:cs="Arial"/>
          <w:sz w:val="20"/>
          <w:szCs w:val="20"/>
        </w:rPr>
        <w:t>s</w:t>
      </w:r>
      <w:r w:rsidR="005B115F" w:rsidRPr="001A1E09">
        <w:rPr>
          <w:rFonts w:ascii="Book Antiqua" w:hAnsi="Book Antiqua" w:cs="Arial"/>
          <w:sz w:val="20"/>
          <w:szCs w:val="20"/>
        </w:rPr>
        <w:t xml:space="preserve"> or BCLC stage</w:t>
      </w:r>
      <w:r w:rsidR="00094E1F" w:rsidRPr="001A1E09">
        <w:rPr>
          <w:rFonts w:ascii="Book Antiqua" w:hAnsi="Book Antiqua" w:cs="Arial"/>
          <w:sz w:val="20"/>
          <w:szCs w:val="20"/>
        </w:rPr>
        <w:t>s</w:t>
      </w:r>
      <w:r w:rsidR="00AD0D55" w:rsidRPr="001A1E09">
        <w:rPr>
          <w:rFonts w:ascii="Book Antiqua" w:hAnsi="Book Antiqua" w:cs="Arial"/>
          <w:sz w:val="20"/>
          <w:szCs w:val="20"/>
        </w:rPr>
        <w:t xml:space="preserve"> (all </w:t>
      </w:r>
      <w:r w:rsidR="00AD0D55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AD0D55"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D0D55" w:rsidRPr="001A1E09">
        <w:rPr>
          <w:rFonts w:ascii="Book Antiqua" w:hAnsi="Book Antiqua" w:cs="Arial"/>
          <w:sz w:val="20"/>
          <w:szCs w:val="20"/>
        </w:rPr>
        <w:t>0.05)</w:t>
      </w:r>
      <w:r w:rsidR="005B115F" w:rsidRPr="001A1E09">
        <w:rPr>
          <w:rFonts w:ascii="Book Antiqua" w:hAnsi="Book Antiqua" w:cs="Arial"/>
          <w:sz w:val="20"/>
          <w:szCs w:val="20"/>
        </w:rPr>
        <w:t>.</w:t>
      </w:r>
    </w:p>
    <w:p w14:paraId="247386BE" w14:textId="77777777" w:rsidR="009614CE" w:rsidRPr="001A1E09" w:rsidRDefault="009614CE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7F04FE76" w14:textId="77777777" w:rsidR="009614CE" w:rsidRPr="001A1E09" w:rsidRDefault="00DC3FE1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  <w:r w:rsidRPr="001A1E09">
        <w:rPr>
          <w:rFonts w:ascii="Book Antiqua" w:hAnsi="Book Antiqua" w:cs="Arial"/>
          <w:b/>
          <w:i/>
          <w:sz w:val="20"/>
          <w:szCs w:val="20"/>
        </w:rPr>
        <w:t>Determination of optimal</w:t>
      </w:r>
      <w:r w:rsidR="009614CE" w:rsidRPr="001A1E09">
        <w:rPr>
          <w:rFonts w:ascii="Book Antiqua" w:hAnsi="Book Antiqua" w:cs="Arial"/>
          <w:b/>
          <w:i/>
          <w:sz w:val="20"/>
          <w:szCs w:val="20"/>
        </w:rPr>
        <w:t xml:space="preserve"> cut-off value</w:t>
      </w:r>
    </w:p>
    <w:p w14:paraId="7DA2F418" w14:textId="7E3BBE35" w:rsidR="001E2B43" w:rsidRPr="001A1E09" w:rsidRDefault="00124942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Using </w:t>
      </w:r>
      <w:r w:rsidR="00850559" w:rsidRPr="001A1E09">
        <w:rPr>
          <w:rFonts w:ascii="Book Antiqua" w:hAnsi="Book Antiqua" w:cs="Arial"/>
          <w:sz w:val="20"/>
          <w:szCs w:val="20"/>
        </w:rPr>
        <w:t xml:space="preserve">the </w:t>
      </w:r>
      <w:r w:rsidRPr="001A1E09">
        <w:rPr>
          <w:rFonts w:ascii="Book Antiqua" w:hAnsi="Book Antiqua" w:cs="Arial"/>
          <w:sz w:val="20"/>
          <w:szCs w:val="20"/>
        </w:rPr>
        <w:t>2-year overall survival rate as an endpoint, t</w:t>
      </w:r>
      <w:r w:rsidR="00850559" w:rsidRPr="001A1E09">
        <w:rPr>
          <w:rFonts w:ascii="Book Antiqua" w:hAnsi="Book Antiqua" w:cs="Arial"/>
          <w:sz w:val="20"/>
          <w:szCs w:val="20"/>
        </w:rPr>
        <w:t>he optimal cut-off values were</w:t>
      </w:r>
      <w:r w:rsidR="00084D73" w:rsidRPr="001A1E09">
        <w:rPr>
          <w:rFonts w:ascii="Book Antiqua" w:hAnsi="Book Antiqua" w:cs="Arial"/>
          <w:sz w:val="20"/>
          <w:szCs w:val="20"/>
        </w:rPr>
        <w:t xml:space="preserve"> confirmed using </w:t>
      </w:r>
      <w:r w:rsidR="00084D73" w:rsidRPr="001A1E09">
        <w:rPr>
          <w:rFonts w:ascii="Book Antiqua" w:hAnsi="Book Antiqua" w:cs="Arial"/>
          <w:sz w:val="20"/>
          <w:szCs w:val="20"/>
        </w:rPr>
        <w:lastRenderedPageBreak/>
        <w:t>re</w:t>
      </w:r>
      <w:r w:rsidR="00E164E4" w:rsidRPr="001A1E09">
        <w:rPr>
          <w:rFonts w:ascii="Book Antiqua" w:hAnsi="Book Antiqua" w:cs="Arial"/>
          <w:sz w:val="20"/>
          <w:szCs w:val="20"/>
        </w:rPr>
        <w:t>ceiver operating characteristic</w:t>
      </w:r>
      <w:r w:rsidR="00084D73" w:rsidRPr="001A1E09">
        <w:rPr>
          <w:rFonts w:ascii="Book Antiqua" w:hAnsi="Book Antiqua" w:cs="Arial"/>
          <w:sz w:val="20"/>
          <w:szCs w:val="20"/>
        </w:rPr>
        <w:t xml:space="preserve"> curve analyses. For all 264 ICC patients in </w:t>
      </w:r>
      <w:r w:rsidR="00850559" w:rsidRPr="001A1E09">
        <w:rPr>
          <w:rFonts w:ascii="Book Antiqua" w:hAnsi="Book Antiqua" w:cs="Arial"/>
          <w:sz w:val="20"/>
          <w:szCs w:val="20"/>
        </w:rPr>
        <w:t>the derivation cohort, a GLR</w:t>
      </w:r>
      <w:r w:rsidR="00084D73" w:rsidRPr="001A1E09">
        <w:rPr>
          <w:rFonts w:ascii="Book Antiqua" w:hAnsi="Book Antiqua" w:cs="Arial"/>
          <w:sz w:val="20"/>
          <w:szCs w:val="20"/>
        </w:rPr>
        <w:t xml:space="preserve"> </w:t>
      </w:r>
      <w:r w:rsidR="00F4321C" w:rsidRPr="001A1E09">
        <w:rPr>
          <w:rFonts w:ascii="Book Antiqua" w:hAnsi="Book Antiqua" w:cs="Arial"/>
          <w:sz w:val="20"/>
          <w:szCs w:val="20"/>
        </w:rPr>
        <w:t xml:space="preserve">cut-off value equal to 33.7 provided the best separation of the survival curves between </w:t>
      </w:r>
      <w:r w:rsidR="00850559" w:rsidRPr="001A1E09">
        <w:rPr>
          <w:rFonts w:ascii="Book Antiqua" w:hAnsi="Book Antiqua" w:cs="Arial"/>
          <w:sz w:val="20"/>
          <w:szCs w:val="20"/>
        </w:rPr>
        <w:t xml:space="preserve">the </w:t>
      </w:r>
      <w:r w:rsidR="00F4321C" w:rsidRPr="001A1E09">
        <w:rPr>
          <w:rFonts w:ascii="Book Antiqua" w:hAnsi="Book Antiqua" w:cs="Arial"/>
          <w:sz w:val="20"/>
          <w:szCs w:val="20"/>
        </w:rPr>
        <w:t>two groups.</w:t>
      </w:r>
      <w:r w:rsidR="00300AB3" w:rsidRPr="001A1E09">
        <w:rPr>
          <w:rFonts w:ascii="Book Antiqua" w:hAnsi="Book Antiqua" w:cs="Arial"/>
          <w:sz w:val="20"/>
          <w:szCs w:val="20"/>
        </w:rPr>
        <w:t xml:space="preserve"> </w:t>
      </w:r>
      <w:r w:rsidR="005D7EB7" w:rsidRPr="001A1E09">
        <w:rPr>
          <w:rFonts w:ascii="Book Antiqua" w:hAnsi="Book Antiqua" w:cs="Arial"/>
          <w:sz w:val="20"/>
          <w:szCs w:val="20"/>
        </w:rPr>
        <w:t>In addition, the cut-off value</w:t>
      </w:r>
      <w:r w:rsidR="00850559" w:rsidRPr="001A1E09">
        <w:rPr>
          <w:rFonts w:ascii="Book Antiqua" w:hAnsi="Book Antiqua" w:cs="Arial"/>
          <w:sz w:val="20"/>
          <w:szCs w:val="20"/>
        </w:rPr>
        <w:t>s</w:t>
      </w:r>
      <w:r w:rsidR="005D7EB7" w:rsidRPr="001A1E09">
        <w:rPr>
          <w:rFonts w:ascii="Book Antiqua" w:hAnsi="Book Antiqua" w:cs="Arial"/>
          <w:sz w:val="20"/>
          <w:szCs w:val="20"/>
        </w:rPr>
        <w:t xml:space="preserve"> of </w:t>
      </w:r>
      <w:r w:rsidR="00850559" w:rsidRPr="001A1E09">
        <w:rPr>
          <w:rFonts w:ascii="Book Antiqua" w:hAnsi="Book Antiqua" w:cs="Arial"/>
          <w:sz w:val="20"/>
          <w:szCs w:val="20"/>
        </w:rPr>
        <w:t xml:space="preserve">the </w:t>
      </w:r>
      <w:r w:rsidR="005D7EB7" w:rsidRPr="001A1E09">
        <w:rPr>
          <w:rFonts w:ascii="Book Antiqua" w:hAnsi="Book Antiqua" w:cs="Arial"/>
          <w:sz w:val="20"/>
          <w:szCs w:val="20"/>
        </w:rPr>
        <w:t>NLR and PLR were 2.62 and 103, respectively.</w:t>
      </w:r>
    </w:p>
    <w:p w14:paraId="6F7B270A" w14:textId="77777777" w:rsidR="001E2B43" w:rsidRPr="001A1E09" w:rsidRDefault="001E2B43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6295A13E" w14:textId="77777777" w:rsidR="001E2B43" w:rsidRPr="001A1E09" w:rsidRDefault="001E2B43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  <w:r w:rsidRPr="001A1E09">
        <w:rPr>
          <w:rFonts w:ascii="Book Antiqua" w:hAnsi="Book Antiqua" w:cs="Arial"/>
          <w:b/>
          <w:i/>
          <w:sz w:val="20"/>
          <w:szCs w:val="20"/>
        </w:rPr>
        <w:t xml:space="preserve">Relationships between GLR and </w:t>
      </w:r>
      <w:r w:rsidR="00472D47" w:rsidRPr="001A1E09">
        <w:rPr>
          <w:rFonts w:ascii="Book Antiqua" w:hAnsi="Book Antiqua" w:cs="Arial"/>
          <w:b/>
          <w:i/>
          <w:sz w:val="20"/>
          <w:szCs w:val="20"/>
        </w:rPr>
        <w:t xml:space="preserve">patient </w:t>
      </w:r>
      <w:r w:rsidRPr="001A1E09">
        <w:rPr>
          <w:rFonts w:ascii="Book Antiqua" w:hAnsi="Book Antiqua" w:cs="Arial"/>
          <w:b/>
          <w:i/>
          <w:sz w:val="20"/>
          <w:szCs w:val="20"/>
        </w:rPr>
        <w:t xml:space="preserve">characteristics </w:t>
      </w:r>
    </w:p>
    <w:p w14:paraId="2157B60B" w14:textId="21ED0456" w:rsidR="00084D73" w:rsidRPr="001A1E09" w:rsidRDefault="007B0D83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According to the cut</w:t>
      </w:r>
      <w:r w:rsidR="00244CB7" w:rsidRPr="001A1E09">
        <w:rPr>
          <w:rFonts w:ascii="Book Antiqua" w:hAnsi="Book Antiqua" w:cs="Arial"/>
          <w:sz w:val="20"/>
          <w:szCs w:val="20"/>
        </w:rPr>
        <w:t>-</w:t>
      </w:r>
      <w:r w:rsidRPr="001A1E09">
        <w:rPr>
          <w:rFonts w:ascii="Book Antiqua" w:hAnsi="Book Antiqua" w:cs="Arial"/>
          <w:sz w:val="20"/>
          <w:szCs w:val="20"/>
        </w:rPr>
        <w:t xml:space="preserve">off value, 264 patients in </w:t>
      </w:r>
      <w:r w:rsidR="00244CB7" w:rsidRPr="001A1E09">
        <w:rPr>
          <w:rFonts w:ascii="Book Antiqua" w:hAnsi="Book Antiqua" w:cs="Arial"/>
          <w:sz w:val="20"/>
          <w:szCs w:val="20"/>
        </w:rPr>
        <w:t xml:space="preserve">the </w:t>
      </w:r>
      <w:r w:rsidRPr="001A1E09">
        <w:rPr>
          <w:rFonts w:ascii="Book Antiqua" w:hAnsi="Book Antiqua" w:cs="Arial"/>
          <w:sz w:val="20"/>
          <w:szCs w:val="20"/>
        </w:rPr>
        <w:t xml:space="preserve">derivation cohort and 263 patients </w:t>
      </w:r>
      <w:r w:rsidR="00244CB7" w:rsidRPr="001A1E09">
        <w:rPr>
          <w:rFonts w:ascii="Book Antiqua" w:hAnsi="Book Antiqua" w:cs="Arial"/>
          <w:sz w:val="20"/>
          <w:szCs w:val="20"/>
        </w:rPr>
        <w:t xml:space="preserve">in the </w:t>
      </w:r>
      <w:r w:rsidRPr="001A1E09">
        <w:rPr>
          <w:rFonts w:ascii="Book Antiqua" w:hAnsi="Book Antiqua" w:cs="Arial"/>
          <w:sz w:val="20"/>
          <w:szCs w:val="20"/>
        </w:rPr>
        <w:t>validation cohort were divided into the GLR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33.7 group and the GLR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eastAsiaTheme="majorEastAsia" w:hAnsi="Book Antiqua" w:cs="Arial"/>
          <w:sz w:val="20"/>
          <w:szCs w:val="20"/>
        </w:rPr>
        <w:t>≤</w:t>
      </w:r>
      <w:r w:rsidR="00E164E4" w:rsidRPr="001A1E09">
        <w:rPr>
          <w:rFonts w:ascii="Book Antiqua" w:eastAsiaTheme="majorEastAsi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 xml:space="preserve">33.7 group, respectively. </w:t>
      </w:r>
      <w:r w:rsidR="00495DD8" w:rsidRPr="001A1E09">
        <w:rPr>
          <w:rFonts w:ascii="Book Antiqua" w:hAnsi="Book Antiqua" w:cs="Arial"/>
          <w:sz w:val="20"/>
          <w:szCs w:val="20"/>
        </w:rPr>
        <w:t xml:space="preserve">In </w:t>
      </w:r>
      <w:r w:rsidR="00F44C59" w:rsidRPr="001A1E09">
        <w:rPr>
          <w:rFonts w:ascii="Book Antiqua" w:hAnsi="Book Antiqua" w:cs="Arial"/>
          <w:sz w:val="20"/>
          <w:szCs w:val="20"/>
        </w:rPr>
        <w:t xml:space="preserve">the </w:t>
      </w:r>
      <w:r w:rsidR="00495DD8" w:rsidRPr="001A1E09">
        <w:rPr>
          <w:rFonts w:ascii="Book Antiqua" w:hAnsi="Book Antiqua" w:cs="Arial"/>
          <w:sz w:val="20"/>
          <w:szCs w:val="20"/>
        </w:rPr>
        <w:t xml:space="preserve">derivation cohort, </w:t>
      </w:r>
      <w:r w:rsidR="003F5FFB" w:rsidRPr="001A1E09">
        <w:rPr>
          <w:rFonts w:ascii="Book Antiqua" w:hAnsi="Book Antiqua" w:cs="Arial"/>
          <w:sz w:val="20"/>
          <w:szCs w:val="20"/>
        </w:rPr>
        <w:t xml:space="preserve">the preoperative </w:t>
      </w:r>
      <w:r w:rsidR="00EA0BA8" w:rsidRPr="001A1E09">
        <w:rPr>
          <w:rFonts w:ascii="Book Antiqua" w:hAnsi="Book Antiqua" w:cs="Arial"/>
          <w:sz w:val="20"/>
          <w:szCs w:val="20"/>
        </w:rPr>
        <w:t>GLR</w:t>
      </w:r>
      <w:r w:rsidR="003F5FFB" w:rsidRPr="001A1E09">
        <w:rPr>
          <w:rFonts w:ascii="Book Antiqua" w:hAnsi="Book Antiqua" w:cs="Arial"/>
          <w:sz w:val="20"/>
          <w:szCs w:val="20"/>
        </w:rPr>
        <w:t xml:space="preserve"> </w:t>
      </w:r>
      <w:r w:rsidR="00EA0BA8" w:rsidRPr="001A1E09">
        <w:rPr>
          <w:rFonts w:ascii="Book Antiqua" w:hAnsi="Book Antiqua" w:cs="Arial"/>
          <w:sz w:val="20"/>
          <w:szCs w:val="20"/>
        </w:rPr>
        <w:t xml:space="preserve">was correlated with </w:t>
      </w:r>
      <w:r w:rsidR="00244CB7" w:rsidRPr="001A1E09">
        <w:rPr>
          <w:rFonts w:ascii="Book Antiqua" w:hAnsi="Book Antiqua" w:cs="Arial"/>
          <w:sz w:val="20"/>
          <w:szCs w:val="20"/>
        </w:rPr>
        <w:t>sex</w:t>
      </w:r>
      <w:r w:rsidRPr="001A1E09">
        <w:rPr>
          <w:rFonts w:ascii="Book Antiqua" w:hAnsi="Book Antiqua" w:cs="Arial"/>
          <w:sz w:val="20"/>
          <w:szCs w:val="20"/>
        </w:rPr>
        <w:t xml:space="preserve"> (</w:t>
      </w:r>
      <w:r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0.024)</w:t>
      </w:r>
      <w:r w:rsidR="00EA0BA8" w:rsidRPr="001A1E09">
        <w:rPr>
          <w:rFonts w:ascii="Book Antiqua" w:hAnsi="Book Antiqua" w:cs="Arial"/>
          <w:sz w:val="20"/>
          <w:szCs w:val="20"/>
        </w:rPr>
        <w:t xml:space="preserve">, </w:t>
      </w:r>
      <w:r w:rsidR="00E456A6" w:rsidRPr="001A1E09">
        <w:rPr>
          <w:rFonts w:ascii="Book Antiqua" w:hAnsi="Book Antiqua" w:cs="Arial"/>
          <w:sz w:val="20"/>
          <w:szCs w:val="20"/>
        </w:rPr>
        <w:t>CA19-9</w:t>
      </w:r>
      <w:r w:rsidR="00EA0BA8" w:rsidRPr="001A1E09">
        <w:rPr>
          <w:rFonts w:ascii="Book Antiqua" w:hAnsi="Book Antiqua" w:cs="Arial"/>
          <w:sz w:val="20"/>
          <w:szCs w:val="20"/>
        </w:rPr>
        <w:t xml:space="preserve"> level</w:t>
      </w:r>
      <w:r w:rsidRPr="001A1E09">
        <w:rPr>
          <w:rFonts w:ascii="Book Antiqua" w:hAnsi="Book Antiqua" w:cs="Arial"/>
          <w:sz w:val="20"/>
          <w:szCs w:val="20"/>
        </w:rPr>
        <w:t xml:space="preserve"> (</w:t>
      </w:r>
      <w:r w:rsidR="00ED3E3E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0.005</w:t>
      </w:r>
      <w:r w:rsidRPr="001A1E09">
        <w:rPr>
          <w:rFonts w:ascii="Book Antiqua" w:hAnsi="Book Antiqua" w:cs="Arial"/>
          <w:sz w:val="20"/>
          <w:szCs w:val="20"/>
        </w:rPr>
        <w:t>)</w:t>
      </w:r>
      <w:r w:rsidR="00EA0BA8" w:rsidRPr="001A1E09">
        <w:rPr>
          <w:rFonts w:ascii="Book Antiqua" w:hAnsi="Book Antiqua" w:cs="Arial"/>
          <w:sz w:val="20"/>
          <w:szCs w:val="20"/>
        </w:rPr>
        <w:t>, tumor size</w:t>
      </w:r>
      <w:r w:rsidRPr="001A1E09">
        <w:rPr>
          <w:rFonts w:ascii="Book Antiqua" w:hAnsi="Book Antiqua" w:cs="Arial"/>
          <w:sz w:val="20"/>
          <w:szCs w:val="20"/>
        </w:rPr>
        <w:t xml:space="preserve"> (</w:t>
      </w:r>
      <w:r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&lt;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0.001)</w:t>
      </w:r>
      <w:r w:rsidR="00EA0BA8" w:rsidRPr="001A1E09">
        <w:rPr>
          <w:rFonts w:ascii="Book Antiqua" w:hAnsi="Book Antiqua" w:cs="Arial"/>
          <w:sz w:val="20"/>
          <w:szCs w:val="20"/>
        </w:rPr>
        <w:t>, solitary tumor</w:t>
      </w:r>
      <w:r w:rsidRPr="001A1E09">
        <w:rPr>
          <w:rFonts w:ascii="Book Antiqua" w:hAnsi="Book Antiqua" w:cs="Arial"/>
          <w:sz w:val="20"/>
          <w:szCs w:val="20"/>
        </w:rPr>
        <w:t xml:space="preserve"> (</w:t>
      </w:r>
      <w:r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0.001)</w:t>
      </w:r>
      <w:r w:rsidR="00EA0BA8" w:rsidRPr="001A1E09">
        <w:rPr>
          <w:rFonts w:ascii="Book Antiqua" w:hAnsi="Book Antiqua" w:cs="Arial"/>
          <w:sz w:val="20"/>
          <w:szCs w:val="20"/>
        </w:rPr>
        <w:t xml:space="preserve">, </w:t>
      </w:r>
      <w:r w:rsidR="00994AB9" w:rsidRPr="001A1E09">
        <w:rPr>
          <w:rFonts w:ascii="Book Antiqua" w:hAnsi="Book Antiqua" w:cs="Arial"/>
          <w:sz w:val="20"/>
          <w:szCs w:val="20"/>
        </w:rPr>
        <w:t xml:space="preserve">macrovascular </w:t>
      </w:r>
      <w:r w:rsidRPr="001A1E09">
        <w:rPr>
          <w:rFonts w:ascii="Book Antiqua" w:hAnsi="Book Antiqua" w:cs="Arial"/>
          <w:sz w:val="20"/>
          <w:szCs w:val="20"/>
        </w:rPr>
        <w:t>(</w:t>
      </w:r>
      <w:r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 xml:space="preserve">0.011) </w:t>
      </w:r>
      <w:r w:rsidR="00994AB9" w:rsidRPr="001A1E09">
        <w:rPr>
          <w:rFonts w:ascii="Book Antiqua" w:hAnsi="Book Antiqua" w:cs="Arial"/>
          <w:sz w:val="20"/>
          <w:szCs w:val="20"/>
        </w:rPr>
        <w:t>and microvascular invasion</w:t>
      </w:r>
      <w:r w:rsidR="002F7E08" w:rsidRPr="001A1E09">
        <w:rPr>
          <w:rFonts w:ascii="Book Antiqua" w:hAnsi="Book Antiqua" w:cs="Arial"/>
          <w:sz w:val="20"/>
          <w:szCs w:val="20"/>
        </w:rPr>
        <w:t xml:space="preserve"> (MVI)</w:t>
      </w:r>
      <w:r w:rsidR="00994AB9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(</w:t>
      </w:r>
      <w:r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0.026)</w:t>
      </w:r>
      <w:r w:rsidR="00DD0EA2" w:rsidRPr="001A1E09">
        <w:rPr>
          <w:rFonts w:ascii="Book Antiqua" w:hAnsi="Book Antiqua" w:cs="Arial"/>
          <w:sz w:val="20"/>
          <w:szCs w:val="20"/>
        </w:rPr>
        <w:t>,</w:t>
      </w:r>
      <w:r w:rsidR="00994AB9" w:rsidRPr="001A1E09">
        <w:rPr>
          <w:rFonts w:ascii="Book Antiqua" w:hAnsi="Book Antiqua" w:cs="Arial"/>
          <w:sz w:val="20"/>
          <w:szCs w:val="20"/>
        </w:rPr>
        <w:t xml:space="preserve"> node</w:t>
      </w:r>
      <w:r w:rsidR="00527988" w:rsidRPr="001A1E09">
        <w:rPr>
          <w:rFonts w:ascii="Book Antiqua" w:hAnsi="Book Antiqua" w:cs="Arial"/>
          <w:sz w:val="20"/>
          <w:szCs w:val="20"/>
        </w:rPr>
        <w:t>-</w:t>
      </w:r>
      <w:r w:rsidR="00994AB9" w:rsidRPr="001A1E09">
        <w:rPr>
          <w:rFonts w:ascii="Book Antiqua" w:hAnsi="Book Antiqua" w:cs="Arial"/>
          <w:sz w:val="20"/>
          <w:szCs w:val="20"/>
        </w:rPr>
        <w:t xml:space="preserve">positive </w:t>
      </w:r>
      <w:r w:rsidRPr="001A1E09">
        <w:rPr>
          <w:rFonts w:ascii="Book Antiqua" w:hAnsi="Book Antiqua" w:cs="Arial"/>
          <w:sz w:val="20"/>
          <w:szCs w:val="20"/>
        </w:rPr>
        <w:t>(</w:t>
      </w:r>
      <w:r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0.005)</w:t>
      </w:r>
      <w:r w:rsidR="00DD0EA2" w:rsidRPr="001A1E09">
        <w:rPr>
          <w:rFonts w:ascii="Book Antiqua" w:hAnsi="Book Antiqua" w:cs="Arial"/>
          <w:sz w:val="20"/>
          <w:szCs w:val="20"/>
        </w:rPr>
        <w:t xml:space="preserve">, </w:t>
      </w:r>
      <w:r w:rsidR="00994AB9" w:rsidRPr="001A1E09">
        <w:rPr>
          <w:rFonts w:ascii="Book Antiqua" w:hAnsi="Book Antiqua" w:cs="Arial"/>
          <w:sz w:val="20"/>
          <w:szCs w:val="20"/>
        </w:rPr>
        <w:t>perineural invasion</w:t>
      </w:r>
      <w:r w:rsidR="00DD0EA2" w:rsidRPr="001A1E09">
        <w:rPr>
          <w:rFonts w:ascii="Book Antiqua" w:hAnsi="Book Antiqua" w:cs="Arial"/>
          <w:sz w:val="20"/>
          <w:szCs w:val="20"/>
        </w:rPr>
        <w:t xml:space="preserve"> (</w:t>
      </w:r>
      <w:r w:rsidR="00DD0EA2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DD0EA2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DD0EA2" w:rsidRPr="001A1E09">
        <w:rPr>
          <w:rFonts w:ascii="Book Antiqua" w:hAnsi="Book Antiqua" w:cs="Arial"/>
          <w:sz w:val="20"/>
          <w:szCs w:val="20"/>
        </w:rPr>
        <w:t>0.044),</w:t>
      </w:r>
      <w:r w:rsidR="00994AB9" w:rsidRPr="001A1E09">
        <w:rPr>
          <w:rFonts w:ascii="Book Antiqua" w:hAnsi="Book Antiqua" w:cs="Arial"/>
          <w:sz w:val="20"/>
          <w:szCs w:val="20"/>
        </w:rPr>
        <w:t xml:space="preserve"> TNM </w:t>
      </w:r>
      <w:r w:rsidR="00DD0EA2" w:rsidRPr="001A1E09">
        <w:rPr>
          <w:rFonts w:ascii="Book Antiqua" w:hAnsi="Book Antiqua" w:cs="Arial"/>
          <w:sz w:val="20"/>
          <w:szCs w:val="20"/>
        </w:rPr>
        <w:t>stage</w:t>
      </w:r>
      <w:r w:rsidR="00495DD8" w:rsidRPr="001A1E09">
        <w:rPr>
          <w:rFonts w:ascii="Book Antiqua" w:hAnsi="Book Antiqua" w:cs="Arial"/>
          <w:sz w:val="20"/>
          <w:szCs w:val="20"/>
        </w:rPr>
        <w:t xml:space="preserve"> (</w:t>
      </w:r>
      <w:r w:rsidR="00495DD8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495DD8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495DD8" w:rsidRPr="001A1E09">
        <w:rPr>
          <w:rFonts w:ascii="Book Antiqua" w:hAnsi="Book Antiqua" w:cs="Arial"/>
          <w:sz w:val="20"/>
          <w:szCs w:val="20"/>
        </w:rPr>
        <w:t>0.002)</w:t>
      </w:r>
      <w:r w:rsidR="00DD0EA2" w:rsidRPr="001A1E09">
        <w:rPr>
          <w:rFonts w:ascii="Book Antiqua" w:hAnsi="Book Antiqua" w:cs="Arial"/>
          <w:sz w:val="20"/>
          <w:szCs w:val="20"/>
        </w:rPr>
        <w:t xml:space="preserve">, </w:t>
      </w:r>
      <w:r w:rsidR="00994AB9" w:rsidRPr="001A1E09">
        <w:rPr>
          <w:rFonts w:ascii="Book Antiqua" w:hAnsi="Book Antiqua" w:cs="Arial"/>
          <w:sz w:val="20"/>
          <w:szCs w:val="20"/>
        </w:rPr>
        <w:t>and BCLC stage</w:t>
      </w:r>
      <w:r w:rsidR="00495DD8" w:rsidRPr="001A1E09">
        <w:rPr>
          <w:rFonts w:ascii="Book Antiqua" w:hAnsi="Book Antiqua" w:cs="Arial"/>
          <w:sz w:val="20"/>
          <w:szCs w:val="20"/>
        </w:rPr>
        <w:t xml:space="preserve"> (</w:t>
      </w:r>
      <w:r w:rsidR="00495DD8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495DD8" w:rsidRPr="001A1E09">
        <w:rPr>
          <w:rFonts w:ascii="Book Antiqua" w:hAnsi="Book Antiqua" w:cs="Arial"/>
          <w:sz w:val="20"/>
          <w:szCs w:val="20"/>
        </w:rPr>
        <w:t>&lt;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495DD8" w:rsidRPr="001A1E09">
        <w:rPr>
          <w:rFonts w:ascii="Book Antiqua" w:hAnsi="Book Antiqua" w:cs="Arial"/>
          <w:sz w:val="20"/>
          <w:szCs w:val="20"/>
        </w:rPr>
        <w:t>0.001) (Table 1)</w:t>
      </w:r>
      <w:r w:rsidR="00994AB9" w:rsidRPr="001A1E09">
        <w:rPr>
          <w:rFonts w:ascii="Book Antiqua" w:hAnsi="Book Antiqua" w:cs="Arial"/>
          <w:sz w:val="20"/>
          <w:szCs w:val="20"/>
        </w:rPr>
        <w:t>.</w:t>
      </w:r>
      <w:r w:rsidR="005D52E4" w:rsidRPr="001A1E09">
        <w:rPr>
          <w:rFonts w:ascii="Book Antiqua" w:hAnsi="Book Antiqua" w:cs="Arial"/>
          <w:sz w:val="20"/>
          <w:szCs w:val="20"/>
        </w:rPr>
        <w:t xml:space="preserve"> </w:t>
      </w:r>
      <w:r w:rsidR="00244CB7" w:rsidRPr="001A1E09">
        <w:rPr>
          <w:rFonts w:ascii="Book Antiqua" w:hAnsi="Book Antiqua" w:cs="Arial"/>
          <w:sz w:val="20"/>
          <w:szCs w:val="20"/>
        </w:rPr>
        <w:t>Somewhat differently,</w:t>
      </w:r>
      <w:r w:rsidR="00ED3E3E" w:rsidRPr="001A1E09">
        <w:rPr>
          <w:rFonts w:ascii="Book Antiqua" w:hAnsi="Book Antiqua" w:cs="Arial"/>
          <w:sz w:val="20"/>
          <w:szCs w:val="20"/>
        </w:rPr>
        <w:t xml:space="preserve"> in </w:t>
      </w:r>
      <w:r w:rsidR="00244CB7" w:rsidRPr="001A1E09">
        <w:rPr>
          <w:rFonts w:ascii="Book Antiqua" w:hAnsi="Book Antiqua" w:cs="Arial"/>
          <w:sz w:val="20"/>
          <w:szCs w:val="20"/>
        </w:rPr>
        <w:t xml:space="preserve">the </w:t>
      </w:r>
      <w:r w:rsidR="00ED3E3E" w:rsidRPr="001A1E09">
        <w:rPr>
          <w:rFonts w:ascii="Book Antiqua" w:hAnsi="Book Antiqua" w:cs="Arial"/>
          <w:sz w:val="20"/>
          <w:szCs w:val="20"/>
        </w:rPr>
        <w:t>validation cohort</w:t>
      </w:r>
      <w:r w:rsidR="003F5FFB" w:rsidRPr="001A1E09">
        <w:rPr>
          <w:rFonts w:ascii="Book Antiqua" w:hAnsi="Book Antiqua" w:cs="Arial"/>
          <w:sz w:val="20"/>
          <w:szCs w:val="20"/>
        </w:rPr>
        <w:t>,</w:t>
      </w:r>
      <w:r w:rsidR="00ED3E3E" w:rsidRPr="001A1E09">
        <w:rPr>
          <w:rFonts w:ascii="Book Antiqua" w:hAnsi="Book Antiqua" w:cs="Arial"/>
          <w:sz w:val="20"/>
          <w:szCs w:val="20"/>
        </w:rPr>
        <w:t xml:space="preserve"> the preoperative GLR </w:t>
      </w:r>
      <w:r w:rsidR="00244CB7" w:rsidRPr="001A1E09">
        <w:rPr>
          <w:rFonts w:ascii="Book Antiqua" w:hAnsi="Book Antiqua" w:cs="Arial"/>
          <w:sz w:val="20"/>
          <w:szCs w:val="20"/>
        </w:rPr>
        <w:t>was correlated with sex</w:t>
      </w:r>
      <w:r w:rsidR="00ED3E3E" w:rsidRPr="001A1E09">
        <w:rPr>
          <w:rFonts w:ascii="Book Antiqua" w:hAnsi="Book Antiqua" w:cs="Arial"/>
          <w:sz w:val="20"/>
          <w:szCs w:val="20"/>
        </w:rPr>
        <w:t xml:space="preserve"> (</w:t>
      </w:r>
      <w:r w:rsidR="00ED3E3E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0.03), CA 19-9 level (</w:t>
      </w:r>
      <w:r w:rsidR="00ED3E3E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0.043), tumor size (</w:t>
      </w:r>
      <w:r w:rsidR="00ED3E3E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0.007), macrovascular invasion (</w:t>
      </w:r>
      <w:r w:rsidR="00ED3E3E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&lt;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0.001), perineural invasion (</w:t>
      </w:r>
      <w:r w:rsidR="00ED3E3E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0.009), and BCLC stage (</w:t>
      </w:r>
      <w:r w:rsidR="00ED3E3E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&lt;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ED3E3E" w:rsidRPr="001A1E09">
        <w:rPr>
          <w:rFonts w:ascii="Book Antiqua" w:hAnsi="Book Antiqua" w:cs="Arial"/>
          <w:sz w:val="20"/>
          <w:szCs w:val="20"/>
        </w:rPr>
        <w:t>0.001)</w:t>
      </w:r>
      <w:r w:rsidR="006653D0" w:rsidRPr="001A1E09">
        <w:rPr>
          <w:rFonts w:ascii="Book Antiqua" w:hAnsi="Book Antiqua" w:cs="Arial"/>
          <w:sz w:val="20"/>
          <w:szCs w:val="20"/>
        </w:rPr>
        <w:t>.</w:t>
      </w:r>
      <w:r w:rsidR="00123C8F" w:rsidRPr="001A1E09">
        <w:rPr>
          <w:rFonts w:ascii="Book Antiqua" w:hAnsi="Book Antiqua" w:cs="Arial"/>
          <w:sz w:val="20"/>
          <w:szCs w:val="20"/>
        </w:rPr>
        <w:t xml:space="preserve"> </w:t>
      </w:r>
      <w:r w:rsidR="00F44C59" w:rsidRPr="001A1E09">
        <w:rPr>
          <w:rFonts w:ascii="Book Antiqua" w:hAnsi="Book Antiqua" w:cs="Arial"/>
          <w:sz w:val="20"/>
          <w:szCs w:val="20"/>
        </w:rPr>
        <w:t>In addition</w:t>
      </w:r>
      <w:r w:rsidR="00ED3E3E" w:rsidRPr="001A1E09">
        <w:rPr>
          <w:rFonts w:ascii="Book Antiqua" w:hAnsi="Book Antiqua" w:cs="Arial"/>
          <w:sz w:val="20"/>
          <w:szCs w:val="20"/>
        </w:rPr>
        <w:t xml:space="preserve">, no significant differences </w:t>
      </w:r>
      <w:r w:rsidR="00F44C59" w:rsidRPr="001A1E09">
        <w:rPr>
          <w:rFonts w:ascii="Book Antiqua" w:hAnsi="Book Antiqua" w:cs="Arial"/>
          <w:sz w:val="20"/>
          <w:szCs w:val="20"/>
        </w:rPr>
        <w:t xml:space="preserve">were </w:t>
      </w:r>
      <w:r w:rsidR="00ED3E3E" w:rsidRPr="001A1E09">
        <w:rPr>
          <w:rFonts w:ascii="Book Antiqua" w:hAnsi="Book Antiqua" w:cs="Arial"/>
          <w:sz w:val="20"/>
          <w:szCs w:val="20"/>
        </w:rPr>
        <w:t xml:space="preserve">observed between preoperative GLR and </w:t>
      </w:r>
      <w:r w:rsidR="00123C8F" w:rsidRPr="001A1E09">
        <w:rPr>
          <w:rFonts w:ascii="Book Antiqua" w:hAnsi="Book Antiqua" w:cs="Arial"/>
          <w:sz w:val="20"/>
          <w:szCs w:val="20"/>
        </w:rPr>
        <w:t>other</w:t>
      </w:r>
      <w:r w:rsidR="00A13E02" w:rsidRPr="001A1E09">
        <w:rPr>
          <w:rFonts w:ascii="Book Antiqua" w:hAnsi="Book Antiqua" w:cs="Arial"/>
          <w:sz w:val="20"/>
          <w:szCs w:val="20"/>
        </w:rPr>
        <w:t xml:space="preserve"> clinicopathological variable</w:t>
      </w:r>
      <w:r w:rsidR="00123C8F" w:rsidRPr="001A1E09">
        <w:rPr>
          <w:rFonts w:ascii="Book Antiqua" w:hAnsi="Book Antiqua" w:cs="Arial"/>
          <w:sz w:val="20"/>
          <w:szCs w:val="20"/>
        </w:rPr>
        <w:t>s</w:t>
      </w:r>
      <w:r w:rsidR="00F44C59" w:rsidRPr="001A1E09">
        <w:rPr>
          <w:rFonts w:ascii="Book Antiqua" w:hAnsi="Book Antiqua" w:cs="Arial"/>
          <w:sz w:val="20"/>
          <w:szCs w:val="20"/>
        </w:rPr>
        <w:t xml:space="preserve"> </w:t>
      </w:r>
      <w:r w:rsidR="00123C8F" w:rsidRPr="001A1E09">
        <w:rPr>
          <w:rFonts w:ascii="Book Antiqua" w:hAnsi="Book Antiqua" w:cs="Arial"/>
          <w:sz w:val="20"/>
          <w:szCs w:val="20"/>
        </w:rPr>
        <w:t>such as age, HBsAg, hepatolithiasis, Child-Pugh grade B, ascites, well</w:t>
      </w:r>
      <w:r w:rsidR="00240832" w:rsidRPr="001A1E09">
        <w:rPr>
          <w:rFonts w:ascii="Book Antiqua" w:hAnsi="Book Antiqua" w:cs="Arial"/>
          <w:sz w:val="20"/>
          <w:szCs w:val="20"/>
        </w:rPr>
        <w:t>-</w:t>
      </w:r>
      <w:r w:rsidR="00123C8F" w:rsidRPr="001A1E09">
        <w:rPr>
          <w:rFonts w:ascii="Book Antiqua" w:hAnsi="Book Antiqua" w:cs="Arial"/>
          <w:sz w:val="20"/>
          <w:szCs w:val="20"/>
        </w:rPr>
        <w:t>differentiat</w:t>
      </w:r>
      <w:r w:rsidR="00240832" w:rsidRPr="001A1E09">
        <w:rPr>
          <w:rFonts w:ascii="Book Antiqua" w:hAnsi="Book Antiqua" w:cs="Arial"/>
          <w:sz w:val="20"/>
          <w:szCs w:val="20"/>
        </w:rPr>
        <w:t>ed tumors</w:t>
      </w:r>
      <w:r w:rsidR="00123C8F" w:rsidRPr="001A1E09">
        <w:rPr>
          <w:rFonts w:ascii="Book Antiqua" w:hAnsi="Book Antiqua" w:cs="Arial"/>
          <w:sz w:val="20"/>
          <w:szCs w:val="20"/>
        </w:rPr>
        <w:t xml:space="preserve">, </w:t>
      </w:r>
      <w:r w:rsidR="002F7E08" w:rsidRPr="001A1E09">
        <w:rPr>
          <w:rFonts w:ascii="Book Antiqua" w:hAnsi="Book Antiqua" w:cs="Arial"/>
          <w:sz w:val="20"/>
          <w:szCs w:val="20"/>
        </w:rPr>
        <w:t>MVI</w:t>
      </w:r>
      <w:r w:rsidR="00123C8F" w:rsidRPr="001A1E09">
        <w:rPr>
          <w:rFonts w:ascii="Book Antiqua" w:hAnsi="Book Antiqua" w:cs="Arial"/>
          <w:sz w:val="20"/>
          <w:szCs w:val="20"/>
        </w:rPr>
        <w:t>, liver capsule invasion</w:t>
      </w:r>
      <w:r w:rsidR="00240832" w:rsidRPr="001A1E09">
        <w:rPr>
          <w:rFonts w:ascii="Book Antiqua" w:hAnsi="Book Antiqua" w:cs="Arial"/>
          <w:sz w:val="20"/>
          <w:szCs w:val="20"/>
        </w:rPr>
        <w:t>,</w:t>
      </w:r>
      <w:r w:rsidR="00123C8F" w:rsidRPr="001A1E09">
        <w:rPr>
          <w:rFonts w:ascii="Book Antiqua" w:hAnsi="Book Antiqua" w:cs="Arial"/>
          <w:sz w:val="20"/>
          <w:szCs w:val="20"/>
        </w:rPr>
        <w:t xml:space="preserve"> and cirrhosis (all </w:t>
      </w:r>
      <w:r w:rsidR="00123C8F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123C8F"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123C8F" w:rsidRPr="001A1E09">
        <w:rPr>
          <w:rFonts w:ascii="Book Antiqua" w:hAnsi="Book Antiqua" w:cs="Arial"/>
          <w:sz w:val="20"/>
          <w:szCs w:val="20"/>
        </w:rPr>
        <w:t>0.05).</w:t>
      </w:r>
    </w:p>
    <w:p w14:paraId="3CEF9AC3" w14:textId="77777777" w:rsidR="00486472" w:rsidRPr="001A1E09" w:rsidRDefault="00486472" w:rsidP="001A1E09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4F1111B7" w14:textId="77777777" w:rsidR="00545946" w:rsidRPr="001A1E09" w:rsidRDefault="00545946" w:rsidP="001A1E09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  <w:r w:rsidRPr="001A1E09">
        <w:rPr>
          <w:rFonts w:ascii="Book Antiqua" w:hAnsi="Book Antiqua" w:cs="Arial"/>
          <w:b/>
          <w:i/>
          <w:sz w:val="20"/>
          <w:szCs w:val="20"/>
        </w:rPr>
        <w:t>Kaplan-Meier curves</w:t>
      </w:r>
    </w:p>
    <w:p w14:paraId="5CE18261" w14:textId="2B8EBF8E" w:rsidR="001E5925" w:rsidRPr="001A1E09" w:rsidRDefault="00890703" w:rsidP="001A1E09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The Kaplan-Meier curves suggested that the OS rate</w:t>
      </w:r>
      <w:r w:rsidR="00BD70B7" w:rsidRPr="001A1E09">
        <w:rPr>
          <w:rFonts w:ascii="Book Antiqua" w:hAnsi="Book Antiqua" w:cs="Arial"/>
          <w:sz w:val="20"/>
          <w:szCs w:val="20"/>
        </w:rPr>
        <w:t>s</w:t>
      </w:r>
      <w:r w:rsidRPr="001A1E09">
        <w:rPr>
          <w:rFonts w:ascii="Book Antiqua" w:hAnsi="Book Antiqua" w:cs="Arial"/>
          <w:sz w:val="20"/>
          <w:szCs w:val="20"/>
        </w:rPr>
        <w:t xml:space="preserve"> of the GLR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5E0F06"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33.7</w:t>
      </w:r>
      <w:r w:rsidR="005E0F06" w:rsidRPr="001A1E09">
        <w:rPr>
          <w:rFonts w:ascii="Book Antiqua" w:hAnsi="Book Antiqua" w:cs="Arial"/>
          <w:sz w:val="20"/>
          <w:szCs w:val="20"/>
        </w:rPr>
        <w:t xml:space="preserve"> group were</w:t>
      </w:r>
      <w:r w:rsidR="00E31365" w:rsidRPr="001A1E09">
        <w:rPr>
          <w:rFonts w:ascii="Book Antiqua" w:hAnsi="Book Antiqua" w:cs="Arial"/>
          <w:sz w:val="20"/>
          <w:szCs w:val="20"/>
        </w:rPr>
        <w:t xml:space="preserve"> markedly short</w:t>
      </w:r>
      <w:r w:rsidRPr="001A1E09">
        <w:rPr>
          <w:rFonts w:ascii="Book Antiqua" w:hAnsi="Book Antiqua" w:cs="Arial"/>
          <w:sz w:val="20"/>
          <w:szCs w:val="20"/>
        </w:rPr>
        <w:t>er than those of the GLR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5E0F06" w:rsidRPr="001A1E09">
        <w:rPr>
          <w:rFonts w:ascii="Book Antiqua" w:hAnsi="Book Antiqua" w:cs="Arial"/>
          <w:sz w:val="20"/>
          <w:szCs w:val="20"/>
        </w:rPr>
        <w:t>≤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33.7 group</w:t>
      </w:r>
      <w:r w:rsidR="007500C9" w:rsidRPr="001A1E09">
        <w:rPr>
          <w:rFonts w:ascii="Book Antiqua" w:hAnsi="Book Antiqua" w:cs="Arial"/>
          <w:sz w:val="20"/>
          <w:szCs w:val="20"/>
        </w:rPr>
        <w:t xml:space="preserve"> (</w:t>
      </w:r>
      <w:r w:rsidR="007500C9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7500C9" w:rsidRPr="001A1E09">
        <w:rPr>
          <w:rFonts w:ascii="Book Antiqua" w:hAnsi="Book Antiqua" w:cs="Arial"/>
          <w:sz w:val="20"/>
          <w:szCs w:val="20"/>
        </w:rPr>
        <w:t>&lt;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7500C9" w:rsidRPr="001A1E09">
        <w:rPr>
          <w:rFonts w:ascii="Book Antiqua" w:hAnsi="Book Antiqua" w:cs="Arial"/>
          <w:sz w:val="20"/>
          <w:szCs w:val="20"/>
        </w:rPr>
        <w:t>0.001)</w:t>
      </w:r>
      <w:r w:rsidRPr="001A1E09">
        <w:rPr>
          <w:rFonts w:ascii="Book Antiqua" w:hAnsi="Book Antiqua" w:cs="Arial"/>
          <w:sz w:val="20"/>
          <w:szCs w:val="20"/>
        </w:rPr>
        <w:t xml:space="preserve"> (Figure 1</w:t>
      </w:r>
      <w:r w:rsidR="00BD70B7" w:rsidRPr="001A1E09">
        <w:rPr>
          <w:rFonts w:ascii="Book Antiqua" w:hAnsi="Book Antiqua" w:cs="Arial"/>
          <w:sz w:val="20"/>
          <w:szCs w:val="20"/>
        </w:rPr>
        <w:t>A), while the RFS rates of the GLR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5E0F06"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BD70B7" w:rsidRPr="001A1E09">
        <w:rPr>
          <w:rFonts w:ascii="Book Antiqua" w:hAnsi="Book Antiqua" w:cs="Arial"/>
          <w:sz w:val="20"/>
          <w:szCs w:val="20"/>
        </w:rPr>
        <w:t>33.7</w:t>
      </w:r>
      <w:r w:rsidR="005E0F06" w:rsidRPr="001A1E09">
        <w:rPr>
          <w:rFonts w:ascii="Book Antiqua" w:hAnsi="Book Antiqua" w:cs="Arial"/>
          <w:sz w:val="20"/>
          <w:szCs w:val="20"/>
        </w:rPr>
        <w:t xml:space="preserve"> group were also</w:t>
      </w:r>
      <w:r w:rsidR="00E31365" w:rsidRPr="001A1E09">
        <w:rPr>
          <w:rFonts w:ascii="Book Antiqua" w:hAnsi="Book Antiqua" w:cs="Arial"/>
          <w:sz w:val="20"/>
          <w:szCs w:val="20"/>
        </w:rPr>
        <w:t xml:space="preserve"> shorter</w:t>
      </w:r>
      <w:r w:rsidR="00BD70B7" w:rsidRPr="001A1E09">
        <w:rPr>
          <w:rFonts w:ascii="Book Antiqua" w:hAnsi="Book Antiqua" w:cs="Arial"/>
          <w:sz w:val="20"/>
          <w:szCs w:val="20"/>
        </w:rPr>
        <w:t xml:space="preserve"> than those of the GLR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5E0F06" w:rsidRPr="001A1E09">
        <w:rPr>
          <w:rFonts w:ascii="Book Antiqua" w:hAnsi="Book Antiqua" w:cs="Arial"/>
          <w:sz w:val="20"/>
          <w:szCs w:val="20"/>
        </w:rPr>
        <w:t>≤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BD70B7" w:rsidRPr="001A1E09">
        <w:rPr>
          <w:rFonts w:ascii="Book Antiqua" w:hAnsi="Book Antiqua" w:cs="Arial"/>
          <w:sz w:val="20"/>
          <w:szCs w:val="20"/>
        </w:rPr>
        <w:t>33.7</w:t>
      </w:r>
      <w:r w:rsidR="00087259" w:rsidRPr="001A1E09">
        <w:rPr>
          <w:rFonts w:ascii="Book Antiqua" w:hAnsi="Book Antiqua" w:cs="Arial"/>
          <w:sz w:val="20"/>
          <w:szCs w:val="20"/>
        </w:rPr>
        <w:t xml:space="preserve"> group</w:t>
      </w:r>
      <w:r w:rsidR="00BD70B7" w:rsidRPr="001A1E09">
        <w:rPr>
          <w:rFonts w:ascii="Book Antiqua" w:hAnsi="Book Antiqua" w:cs="Arial"/>
          <w:sz w:val="20"/>
          <w:szCs w:val="20"/>
        </w:rPr>
        <w:t xml:space="preserve"> </w:t>
      </w:r>
      <w:r w:rsidR="00CD3DDC" w:rsidRPr="001A1E09">
        <w:rPr>
          <w:rFonts w:ascii="Book Antiqua" w:hAnsi="Book Antiqua" w:cs="Arial"/>
          <w:sz w:val="20"/>
          <w:szCs w:val="20"/>
        </w:rPr>
        <w:t xml:space="preserve">in the derivation cohort </w:t>
      </w:r>
      <w:r w:rsidR="007500C9" w:rsidRPr="001A1E09">
        <w:rPr>
          <w:rFonts w:ascii="Book Antiqua" w:hAnsi="Book Antiqua" w:cs="Arial"/>
          <w:sz w:val="20"/>
          <w:szCs w:val="20"/>
        </w:rPr>
        <w:t>(</w:t>
      </w:r>
      <w:r w:rsidR="007500C9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7500C9" w:rsidRPr="001A1E09">
        <w:rPr>
          <w:rFonts w:ascii="Book Antiqua" w:hAnsi="Book Antiqua" w:cs="Arial"/>
          <w:sz w:val="20"/>
          <w:szCs w:val="20"/>
        </w:rPr>
        <w:t>&lt;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7500C9" w:rsidRPr="001A1E09">
        <w:rPr>
          <w:rFonts w:ascii="Book Antiqua" w:hAnsi="Book Antiqua" w:cs="Arial"/>
          <w:sz w:val="20"/>
          <w:szCs w:val="20"/>
        </w:rPr>
        <w:t xml:space="preserve">0.001) </w:t>
      </w:r>
      <w:r w:rsidR="00BD70B7" w:rsidRPr="001A1E09">
        <w:rPr>
          <w:rFonts w:ascii="Book Antiqua" w:hAnsi="Book Antiqua" w:cs="Arial"/>
          <w:sz w:val="20"/>
          <w:szCs w:val="20"/>
        </w:rPr>
        <w:t xml:space="preserve">(Figure </w:t>
      </w:r>
      <w:r w:rsidR="004A5383" w:rsidRPr="001A1E09">
        <w:rPr>
          <w:rFonts w:ascii="Book Antiqua" w:hAnsi="Book Antiqua" w:cs="Arial"/>
          <w:sz w:val="20"/>
          <w:szCs w:val="20"/>
        </w:rPr>
        <w:t>1</w:t>
      </w:r>
      <w:r w:rsidR="00BD70B7" w:rsidRPr="001A1E09">
        <w:rPr>
          <w:rFonts w:ascii="Book Antiqua" w:hAnsi="Book Antiqua" w:cs="Arial"/>
          <w:sz w:val="20"/>
          <w:szCs w:val="20"/>
        </w:rPr>
        <w:t>B).</w:t>
      </w:r>
      <w:r w:rsidR="005E0F06" w:rsidRPr="001A1E09">
        <w:rPr>
          <w:rFonts w:ascii="Book Antiqua" w:hAnsi="Book Antiqua" w:cs="Arial"/>
          <w:sz w:val="20"/>
          <w:szCs w:val="20"/>
        </w:rPr>
        <w:t xml:space="preserve"> The poor</w:t>
      </w:r>
      <w:r w:rsidR="000E1F14" w:rsidRPr="001A1E09">
        <w:rPr>
          <w:rFonts w:ascii="Book Antiqua" w:hAnsi="Book Antiqua" w:cs="Arial"/>
          <w:sz w:val="20"/>
          <w:szCs w:val="20"/>
        </w:rPr>
        <w:t xml:space="preserve">er outcome of those </w:t>
      </w:r>
      <w:r w:rsidR="00501E61" w:rsidRPr="001A1E09">
        <w:rPr>
          <w:rFonts w:ascii="Book Antiqua" w:hAnsi="Book Antiqua" w:cs="Arial"/>
          <w:sz w:val="20"/>
          <w:szCs w:val="20"/>
        </w:rPr>
        <w:t xml:space="preserve">with </w:t>
      </w:r>
      <w:r w:rsidR="000E1F14" w:rsidRPr="001A1E09">
        <w:rPr>
          <w:rFonts w:ascii="Book Antiqua" w:hAnsi="Book Antiqua" w:cs="Arial"/>
          <w:sz w:val="20"/>
          <w:szCs w:val="20"/>
        </w:rPr>
        <w:t>GLR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5E0F06"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0E1F14" w:rsidRPr="001A1E09">
        <w:rPr>
          <w:rFonts w:ascii="Book Antiqua" w:hAnsi="Book Antiqua" w:cs="Arial"/>
          <w:sz w:val="20"/>
          <w:szCs w:val="20"/>
        </w:rPr>
        <w:t>33.7 was</w:t>
      </w:r>
      <w:r w:rsidR="00501E61" w:rsidRPr="001A1E09">
        <w:rPr>
          <w:rFonts w:ascii="Book Antiqua" w:hAnsi="Book Antiqua" w:cs="Arial"/>
          <w:sz w:val="20"/>
          <w:szCs w:val="20"/>
        </w:rPr>
        <w:t xml:space="preserve"> demonstrated</w:t>
      </w:r>
      <w:r w:rsidR="000E1F14" w:rsidRPr="001A1E09">
        <w:rPr>
          <w:rFonts w:ascii="Book Antiqua" w:hAnsi="Book Antiqua" w:cs="Arial"/>
          <w:sz w:val="20"/>
          <w:szCs w:val="20"/>
        </w:rPr>
        <w:t xml:space="preserve"> in the validation cohort, as </w:t>
      </w:r>
      <w:r w:rsidR="005E0F06" w:rsidRPr="001A1E09">
        <w:rPr>
          <w:rFonts w:ascii="Book Antiqua" w:hAnsi="Book Antiqua" w:cs="Arial"/>
          <w:sz w:val="20"/>
          <w:szCs w:val="20"/>
        </w:rPr>
        <w:t xml:space="preserve">those patients </w:t>
      </w:r>
      <w:r w:rsidR="00501E61" w:rsidRPr="001A1E09">
        <w:rPr>
          <w:rFonts w:ascii="Book Antiqua" w:hAnsi="Book Antiqua" w:cs="Arial"/>
          <w:sz w:val="20"/>
          <w:szCs w:val="20"/>
        </w:rPr>
        <w:t xml:space="preserve">had </w:t>
      </w:r>
      <w:r w:rsidR="00E31365" w:rsidRPr="001A1E09">
        <w:rPr>
          <w:rFonts w:ascii="Book Antiqua" w:hAnsi="Book Antiqua" w:cs="Arial"/>
          <w:sz w:val="20"/>
          <w:szCs w:val="20"/>
        </w:rPr>
        <w:t>shorter</w:t>
      </w:r>
      <w:r w:rsidR="000E1F14" w:rsidRPr="001A1E09">
        <w:rPr>
          <w:rFonts w:ascii="Book Antiqua" w:hAnsi="Book Antiqua" w:cs="Arial"/>
          <w:sz w:val="20"/>
          <w:szCs w:val="20"/>
        </w:rPr>
        <w:t xml:space="preserve"> </w:t>
      </w:r>
      <w:r w:rsidR="00087259" w:rsidRPr="001A1E09">
        <w:rPr>
          <w:rFonts w:ascii="Book Antiqua" w:hAnsi="Book Antiqua" w:cs="Arial"/>
          <w:sz w:val="20"/>
          <w:szCs w:val="20"/>
        </w:rPr>
        <w:t>OS</w:t>
      </w:r>
      <w:r w:rsidR="000E1F14" w:rsidRPr="001A1E09">
        <w:rPr>
          <w:rFonts w:ascii="Book Antiqua" w:hAnsi="Book Antiqua" w:cs="Arial"/>
          <w:sz w:val="20"/>
          <w:szCs w:val="20"/>
        </w:rPr>
        <w:t xml:space="preserve"> </w:t>
      </w:r>
      <w:r w:rsidR="007500C9" w:rsidRPr="001A1E09">
        <w:rPr>
          <w:rFonts w:ascii="Book Antiqua" w:hAnsi="Book Antiqua" w:cs="Arial"/>
          <w:sz w:val="20"/>
          <w:szCs w:val="20"/>
        </w:rPr>
        <w:t>(</w:t>
      </w:r>
      <w:r w:rsidR="007500C9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7500C9" w:rsidRPr="001A1E09">
        <w:rPr>
          <w:rFonts w:ascii="Book Antiqua" w:hAnsi="Book Antiqua" w:cs="Arial"/>
          <w:sz w:val="20"/>
          <w:szCs w:val="20"/>
        </w:rPr>
        <w:t>&lt;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7500C9" w:rsidRPr="001A1E09">
        <w:rPr>
          <w:rFonts w:ascii="Book Antiqua" w:hAnsi="Book Antiqua" w:cs="Arial"/>
          <w:sz w:val="20"/>
          <w:szCs w:val="20"/>
        </w:rPr>
        <w:t xml:space="preserve">0.001) </w:t>
      </w:r>
      <w:r w:rsidR="000E1F14" w:rsidRPr="001A1E09">
        <w:rPr>
          <w:rFonts w:ascii="Book Antiqua" w:hAnsi="Book Antiqua" w:cs="Arial"/>
          <w:sz w:val="20"/>
          <w:szCs w:val="20"/>
        </w:rPr>
        <w:t>and RFS</w:t>
      </w:r>
      <w:r w:rsidR="007500C9" w:rsidRPr="001A1E09">
        <w:rPr>
          <w:rFonts w:ascii="Book Antiqua" w:hAnsi="Book Antiqua" w:cs="Arial"/>
          <w:sz w:val="20"/>
          <w:szCs w:val="20"/>
        </w:rPr>
        <w:t xml:space="preserve"> (</w:t>
      </w:r>
      <w:r w:rsidR="007500C9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7500C9" w:rsidRPr="001A1E09">
        <w:rPr>
          <w:rFonts w:ascii="Book Antiqua" w:hAnsi="Book Antiqua" w:cs="Arial"/>
          <w:sz w:val="20"/>
          <w:szCs w:val="20"/>
        </w:rPr>
        <w:t>&lt;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7500C9" w:rsidRPr="001A1E09">
        <w:rPr>
          <w:rFonts w:ascii="Book Antiqua" w:hAnsi="Book Antiqua" w:cs="Arial"/>
          <w:sz w:val="20"/>
          <w:szCs w:val="20"/>
        </w:rPr>
        <w:t>0.001)</w:t>
      </w:r>
      <w:r w:rsidR="000E1F14" w:rsidRPr="001A1E09">
        <w:rPr>
          <w:rFonts w:ascii="Book Antiqua" w:hAnsi="Book Antiqua" w:cs="Arial"/>
          <w:sz w:val="20"/>
          <w:szCs w:val="20"/>
        </w:rPr>
        <w:t xml:space="preserve"> (Figure</w:t>
      </w:r>
      <w:r w:rsidR="0085331A" w:rsidRPr="001A1E09">
        <w:rPr>
          <w:rFonts w:ascii="Book Antiqua" w:hAnsi="Book Antiqua" w:cs="Arial"/>
          <w:sz w:val="20"/>
          <w:szCs w:val="20"/>
        </w:rPr>
        <w:t xml:space="preserve"> 2</w:t>
      </w:r>
      <w:r w:rsidR="000E1F14" w:rsidRPr="001A1E09">
        <w:rPr>
          <w:rFonts w:ascii="Book Antiqua" w:hAnsi="Book Antiqua" w:cs="Arial"/>
          <w:sz w:val="20"/>
          <w:szCs w:val="20"/>
        </w:rPr>
        <w:t>).</w:t>
      </w:r>
    </w:p>
    <w:p w14:paraId="5253A877" w14:textId="5B749ADD" w:rsidR="0009536F" w:rsidRPr="001A1E09" w:rsidRDefault="00743200" w:rsidP="001A1E09">
      <w:pPr>
        <w:autoSpaceDE w:val="0"/>
        <w:autoSpaceDN w:val="0"/>
        <w:adjustRightInd w:val="0"/>
        <w:snapToGrid w:val="0"/>
        <w:spacing w:line="360" w:lineRule="auto"/>
        <w:ind w:firstLineChars="100" w:firstLine="200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Previous studies have reported on the prognostic significance of NLR and PLR in ICC patients</w:t>
      </w:r>
      <w:r w:rsidR="00E164E4" w:rsidRPr="001A1E09">
        <w:rPr>
          <w:rFonts w:ascii="Book Antiqua" w:hAnsi="Book Antiqua" w:cs="Arial"/>
          <w:sz w:val="20"/>
          <w:szCs w:val="20"/>
          <w:vertAlign w:val="superscript"/>
        </w:rPr>
        <w:t>[13,14]</w:t>
      </w:r>
      <w:r w:rsidRPr="001A1E09">
        <w:rPr>
          <w:rFonts w:ascii="Book Antiqua" w:hAnsi="Book Antiqua" w:cs="Arial"/>
          <w:sz w:val="20"/>
          <w:szCs w:val="20"/>
        </w:rPr>
        <w:t>. Therefore</w:t>
      </w:r>
      <w:r w:rsidR="00A00BEF" w:rsidRPr="001A1E09">
        <w:rPr>
          <w:rFonts w:ascii="Book Antiqua" w:hAnsi="Book Antiqua" w:cs="Arial"/>
          <w:sz w:val="20"/>
          <w:szCs w:val="20"/>
        </w:rPr>
        <w:t>,</w:t>
      </w:r>
      <w:r w:rsidR="00A1213B" w:rsidRPr="001A1E09">
        <w:rPr>
          <w:rFonts w:ascii="Book Antiqua" w:hAnsi="Book Antiqua" w:cs="Arial"/>
          <w:sz w:val="20"/>
          <w:szCs w:val="20"/>
        </w:rPr>
        <w:t xml:space="preserve"> based on the cutoff value of NLR, two cohorts were divided into the NLR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1213B" w:rsidRPr="001A1E09">
        <w:rPr>
          <w:rFonts w:ascii="Book Antiqua" w:hAnsi="Book Antiqua" w:cs="Arial"/>
          <w:sz w:val="20"/>
          <w:szCs w:val="20"/>
        </w:rPr>
        <w:t>≤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1213B" w:rsidRPr="001A1E09">
        <w:rPr>
          <w:rFonts w:ascii="Book Antiqua" w:hAnsi="Book Antiqua" w:cs="Arial"/>
          <w:sz w:val="20"/>
          <w:szCs w:val="20"/>
        </w:rPr>
        <w:t>2.62</w:t>
      </w:r>
      <w:r w:rsidR="00AD1BEB" w:rsidRPr="001A1E09">
        <w:rPr>
          <w:rFonts w:ascii="Book Antiqua" w:hAnsi="Book Antiqua" w:cs="Arial"/>
          <w:sz w:val="20"/>
          <w:szCs w:val="20"/>
        </w:rPr>
        <w:t xml:space="preserve"> group and </w:t>
      </w:r>
      <w:r w:rsidR="00A1213B" w:rsidRPr="001A1E09">
        <w:rPr>
          <w:rFonts w:ascii="Book Antiqua" w:hAnsi="Book Antiqua" w:cs="Arial"/>
          <w:sz w:val="20"/>
          <w:szCs w:val="20"/>
        </w:rPr>
        <w:t>NLR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1213B"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1213B" w:rsidRPr="001A1E09">
        <w:rPr>
          <w:rFonts w:ascii="Book Antiqua" w:hAnsi="Book Antiqua" w:cs="Arial"/>
          <w:sz w:val="20"/>
          <w:szCs w:val="20"/>
        </w:rPr>
        <w:t>2.62 group, respectively.</w:t>
      </w:r>
      <w:r w:rsidR="00C15E51" w:rsidRPr="001A1E09">
        <w:rPr>
          <w:rFonts w:ascii="Book Antiqua" w:hAnsi="Book Antiqua" w:cs="Arial"/>
          <w:sz w:val="20"/>
          <w:szCs w:val="20"/>
        </w:rPr>
        <w:t xml:space="preserve"> </w:t>
      </w:r>
      <w:r w:rsidR="00DB3BAB" w:rsidRPr="001A1E09">
        <w:rPr>
          <w:rFonts w:ascii="Book Antiqua" w:hAnsi="Book Antiqua" w:cs="Arial"/>
          <w:sz w:val="20"/>
          <w:szCs w:val="20"/>
        </w:rPr>
        <w:t xml:space="preserve">The Kaplan-Meier curves showed that the OS rates of </w:t>
      </w:r>
      <w:r w:rsidR="00203FDC" w:rsidRPr="001A1E09">
        <w:rPr>
          <w:rFonts w:ascii="Book Antiqua" w:hAnsi="Book Antiqua" w:cs="Arial"/>
          <w:sz w:val="20"/>
          <w:szCs w:val="20"/>
        </w:rPr>
        <w:t xml:space="preserve">the </w:t>
      </w:r>
      <w:r w:rsidR="00DB3BAB" w:rsidRPr="001A1E09">
        <w:rPr>
          <w:rFonts w:ascii="Book Antiqua" w:hAnsi="Book Antiqua" w:cs="Arial"/>
          <w:sz w:val="20"/>
          <w:szCs w:val="20"/>
        </w:rPr>
        <w:t>NLR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DB3BAB"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DB3BAB" w:rsidRPr="001A1E09">
        <w:rPr>
          <w:rFonts w:ascii="Book Antiqua" w:hAnsi="Book Antiqua" w:cs="Arial"/>
          <w:sz w:val="20"/>
          <w:szCs w:val="20"/>
        </w:rPr>
        <w:t xml:space="preserve">2.62 group were shorter than those of the </w:t>
      </w:r>
      <w:r w:rsidR="00662EBD" w:rsidRPr="001A1E09">
        <w:rPr>
          <w:rFonts w:ascii="Book Antiqua" w:hAnsi="Book Antiqua" w:cs="Arial"/>
          <w:sz w:val="20"/>
          <w:szCs w:val="20"/>
        </w:rPr>
        <w:t>NLR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DB3BAB" w:rsidRPr="001A1E09">
        <w:rPr>
          <w:rFonts w:ascii="Book Antiqua" w:hAnsi="Book Antiqua" w:cs="Arial"/>
          <w:sz w:val="20"/>
          <w:szCs w:val="20"/>
        </w:rPr>
        <w:t>≤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DB3BAB" w:rsidRPr="001A1E09">
        <w:rPr>
          <w:rFonts w:ascii="Book Antiqua" w:hAnsi="Book Antiqua" w:cs="Arial"/>
          <w:sz w:val="20"/>
          <w:szCs w:val="20"/>
        </w:rPr>
        <w:t xml:space="preserve">2.62 group </w:t>
      </w:r>
      <w:r w:rsidR="00263F0B" w:rsidRPr="001A1E09">
        <w:rPr>
          <w:rFonts w:ascii="Book Antiqua" w:hAnsi="Book Antiqua" w:cs="Arial"/>
          <w:sz w:val="20"/>
          <w:szCs w:val="20"/>
        </w:rPr>
        <w:t xml:space="preserve">(derivation cohort: </w:t>
      </w:r>
      <w:r w:rsidR="00263F0B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263F0B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263F0B" w:rsidRPr="001A1E09">
        <w:rPr>
          <w:rFonts w:ascii="Book Antiqua" w:hAnsi="Book Antiqua" w:cs="Arial"/>
          <w:sz w:val="20"/>
          <w:szCs w:val="20"/>
        </w:rPr>
        <w:t xml:space="preserve">0.002; validation cohort: </w:t>
      </w:r>
      <w:r w:rsidR="00263F0B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263F0B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263F0B" w:rsidRPr="001A1E09">
        <w:rPr>
          <w:rFonts w:ascii="Book Antiqua" w:hAnsi="Book Antiqua" w:cs="Arial"/>
          <w:sz w:val="20"/>
          <w:szCs w:val="20"/>
        </w:rPr>
        <w:t xml:space="preserve">0.002) </w:t>
      </w:r>
      <w:r w:rsidR="00E164E4" w:rsidRPr="001A1E09">
        <w:rPr>
          <w:rFonts w:ascii="Book Antiqua" w:hAnsi="Book Antiqua" w:cs="Arial"/>
          <w:sz w:val="20"/>
          <w:szCs w:val="20"/>
        </w:rPr>
        <w:t>(Supplementary Figure 1</w:t>
      </w:r>
      <w:r w:rsidR="00543920" w:rsidRPr="001A1E09">
        <w:rPr>
          <w:rFonts w:ascii="Book Antiqua" w:hAnsi="Book Antiqua" w:cs="Arial"/>
          <w:sz w:val="20"/>
          <w:szCs w:val="20"/>
        </w:rPr>
        <w:t>)</w:t>
      </w:r>
      <w:r w:rsidR="00DB3BAB" w:rsidRPr="001A1E09">
        <w:rPr>
          <w:rFonts w:ascii="Book Antiqua" w:hAnsi="Book Antiqua" w:cs="Arial"/>
          <w:sz w:val="20"/>
          <w:szCs w:val="20"/>
        </w:rPr>
        <w:t>,</w:t>
      </w:r>
      <w:r w:rsidR="00662EBD" w:rsidRPr="001A1E09">
        <w:rPr>
          <w:rFonts w:ascii="Book Antiqua" w:hAnsi="Book Antiqua" w:cs="Arial"/>
          <w:sz w:val="20"/>
          <w:szCs w:val="20"/>
        </w:rPr>
        <w:t xml:space="preserve"> </w:t>
      </w:r>
      <w:r w:rsidR="00C24D5E" w:rsidRPr="001A1E09">
        <w:rPr>
          <w:rFonts w:ascii="Book Antiqua" w:hAnsi="Book Antiqua" w:cs="Arial"/>
          <w:sz w:val="20"/>
          <w:szCs w:val="20"/>
        </w:rPr>
        <w:t xml:space="preserve">while the </w:t>
      </w:r>
      <w:r w:rsidR="00662EBD" w:rsidRPr="001A1E09">
        <w:rPr>
          <w:rFonts w:ascii="Book Antiqua" w:hAnsi="Book Antiqua" w:cs="Arial"/>
          <w:sz w:val="20"/>
          <w:szCs w:val="20"/>
        </w:rPr>
        <w:t xml:space="preserve">RFS </w:t>
      </w:r>
      <w:r w:rsidR="00C24D5E" w:rsidRPr="001A1E09">
        <w:rPr>
          <w:rFonts w:ascii="Book Antiqua" w:hAnsi="Book Antiqua" w:cs="Arial"/>
          <w:sz w:val="20"/>
          <w:szCs w:val="20"/>
        </w:rPr>
        <w:t xml:space="preserve">rate of </w:t>
      </w:r>
      <w:r w:rsidR="00203FDC" w:rsidRPr="001A1E09">
        <w:rPr>
          <w:rFonts w:ascii="Book Antiqua" w:hAnsi="Book Antiqua" w:cs="Arial"/>
          <w:sz w:val="20"/>
          <w:szCs w:val="20"/>
        </w:rPr>
        <w:t xml:space="preserve">the </w:t>
      </w:r>
      <w:r w:rsidR="00C24D5E" w:rsidRPr="001A1E09">
        <w:rPr>
          <w:rFonts w:ascii="Book Antiqua" w:hAnsi="Book Antiqua" w:cs="Arial"/>
          <w:sz w:val="20"/>
          <w:szCs w:val="20"/>
        </w:rPr>
        <w:t>NLR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C24D5E"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C24D5E" w:rsidRPr="001A1E09">
        <w:rPr>
          <w:rFonts w:ascii="Book Antiqua" w:hAnsi="Book Antiqua" w:cs="Arial"/>
          <w:sz w:val="20"/>
          <w:szCs w:val="20"/>
        </w:rPr>
        <w:t xml:space="preserve">2.62 group </w:t>
      </w:r>
      <w:r w:rsidR="00203FDC" w:rsidRPr="001A1E09">
        <w:rPr>
          <w:rFonts w:ascii="Book Antiqua" w:hAnsi="Book Antiqua" w:cs="Arial"/>
          <w:sz w:val="20"/>
          <w:szCs w:val="20"/>
        </w:rPr>
        <w:t xml:space="preserve">was </w:t>
      </w:r>
      <w:r w:rsidR="00C24D5E" w:rsidRPr="001A1E09">
        <w:rPr>
          <w:rFonts w:ascii="Book Antiqua" w:hAnsi="Book Antiqua" w:cs="Arial"/>
          <w:sz w:val="20"/>
          <w:szCs w:val="20"/>
        </w:rPr>
        <w:t>also shorter than th</w:t>
      </w:r>
      <w:r w:rsidR="00203FDC" w:rsidRPr="001A1E09">
        <w:rPr>
          <w:rFonts w:ascii="Book Antiqua" w:hAnsi="Book Antiqua" w:cs="Arial"/>
          <w:sz w:val="20"/>
          <w:szCs w:val="20"/>
        </w:rPr>
        <w:t>at</w:t>
      </w:r>
      <w:r w:rsidR="00C24D5E" w:rsidRPr="001A1E09">
        <w:rPr>
          <w:rFonts w:ascii="Book Antiqua" w:hAnsi="Book Antiqua" w:cs="Arial"/>
          <w:sz w:val="20"/>
          <w:szCs w:val="20"/>
        </w:rPr>
        <w:t xml:space="preserve"> of the NLR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C24D5E" w:rsidRPr="001A1E09">
        <w:rPr>
          <w:rFonts w:ascii="Book Antiqua" w:hAnsi="Book Antiqua" w:cs="Arial"/>
          <w:sz w:val="20"/>
          <w:szCs w:val="20"/>
        </w:rPr>
        <w:t>≤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C24D5E" w:rsidRPr="001A1E09">
        <w:rPr>
          <w:rFonts w:ascii="Book Antiqua" w:hAnsi="Book Antiqua" w:cs="Arial"/>
          <w:sz w:val="20"/>
          <w:szCs w:val="20"/>
        </w:rPr>
        <w:t xml:space="preserve">2.62 group </w:t>
      </w:r>
      <w:r w:rsidR="00263F0B" w:rsidRPr="001A1E09">
        <w:rPr>
          <w:rFonts w:ascii="Book Antiqua" w:hAnsi="Book Antiqua" w:cs="Arial"/>
          <w:sz w:val="20"/>
          <w:szCs w:val="20"/>
        </w:rPr>
        <w:t xml:space="preserve">(derivation cohort: </w:t>
      </w:r>
      <w:r w:rsidR="00263F0B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263F0B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263F0B" w:rsidRPr="001A1E09">
        <w:rPr>
          <w:rFonts w:ascii="Book Antiqua" w:hAnsi="Book Antiqua" w:cs="Arial"/>
          <w:sz w:val="20"/>
          <w:szCs w:val="20"/>
        </w:rPr>
        <w:t xml:space="preserve">0.026; validation cohort: </w:t>
      </w:r>
      <w:r w:rsidR="00263F0B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263F0B" w:rsidRPr="001A1E09">
        <w:rPr>
          <w:rFonts w:ascii="Book Antiqua" w:hAnsi="Book Antiqua" w:cs="Arial"/>
          <w:sz w:val="20"/>
          <w:szCs w:val="20"/>
        </w:rPr>
        <w:t>&lt;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263F0B" w:rsidRPr="001A1E09">
        <w:rPr>
          <w:rFonts w:ascii="Book Antiqua" w:hAnsi="Book Antiqua" w:cs="Arial"/>
          <w:sz w:val="20"/>
          <w:szCs w:val="20"/>
        </w:rPr>
        <w:t xml:space="preserve">0.001) </w:t>
      </w:r>
      <w:r w:rsidR="00E164E4" w:rsidRPr="001A1E09">
        <w:rPr>
          <w:rFonts w:ascii="Book Antiqua" w:hAnsi="Book Antiqua" w:cs="Arial"/>
          <w:sz w:val="20"/>
          <w:szCs w:val="20"/>
        </w:rPr>
        <w:t>(Supplementary Figure 2</w:t>
      </w:r>
      <w:r w:rsidR="00543920" w:rsidRPr="001A1E09">
        <w:rPr>
          <w:rFonts w:ascii="Book Antiqua" w:hAnsi="Book Antiqua" w:cs="Arial"/>
          <w:sz w:val="20"/>
          <w:szCs w:val="20"/>
        </w:rPr>
        <w:t xml:space="preserve">) </w:t>
      </w:r>
      <w:r w:rsidR="00662EBD" w:rsidRPr="001A1E09">
        <w:rPr>
          <w:rFonts w:ascii="Book Antiqua" w:hAnsi="Book Antiqua" w:cs="Arial"/>
          <w:sz w:val="20"/>
          <w:szCs w:val="20"/>
        </w:rPr>
        <w:t>in both cohort</w:t>
      </w:r>
      <w:r w:rsidR="00D12024" w:rsidRPr="001A1E09">
        <w:rPr>
          <w:rFonts w:ascii="Book Antiqua" w:hAnsi="Book Antiqua" w:cs="Arial"/>
          <w:sz w:val="20"/>
          <w:szCs w:val="20"/>
        </w:rPr>
        <w:t>s</w:t>
      </w:r>
      <w:r w:rsidR="00662EBD" w:rsidRPr="001A1E09">
        <w:rPr>
          <w:rFonts w:ascii="Book Antiqua" w:hAnsi="Book Antiqua" w:cs="Arial"/>
          <w:sz w:val="20"/>
          <w:szCs w:val="20"/>
        </w:rPr>
        <w:t>.</w:t>
      </w:r>
      <w:r w:rsidR="0059635C" w:rsidRPr="001A1E09">
        <w:rPr>
          <w:rFonts w:ascii="Book Antiqua" w:hAnsi="Book Antiqua" w:cs="Arial"/>
          <w:sz w:val="20"/>
          <w:szCs w:val="20"/>
        </w:rPr>
        <w:t xml:space="preserve"> </w:t>
      </w:r>
      <w:r w:rsidR="0013330B" w:rsidRPr="001A1E09">
        <w:rPr>
          <w:rFonts w:ascii="Book Antiqua" w:hAnsi="Book Antiqua" w:cs="Arial"/>
          <w:sz w:val="20"/>
          <w:szCs w:val="20"/>
        </w:rPr>
        <w:t xml:space="preserve">In the same way, </w:t>
      </w:r>
      <w:r w:rsidR="002F5392" w:rsidRPr="001A1E09">
        <w:rPr>
          <w:rFonts w:ascii="Book Antiqua" w:hAnsi="Book Antiqua" w:cs="Arial"/>
          <w:sz w:val="20"/>
          <w:szCs w:val="20"/>
        </w:rPr>
        <w:t xml:space="preserve">two cohorts were divided into </w:t>
      </w:r>
      <w:r w:rsidR="00203FDC" w:rsidRPr="001A1E09">
        <w:rPr>
          <w:rFonts w:ascii="Book Antiqua" w:hAnsi="Book Antiqua" w:cs="Arial"/>
          <w:sz w:val="20"/>
          <w:szCs w:val="20"/>
        </w:rPr>
        <w:t xml:space="preserve">the </w:t>
      </w:r>
      <w:r w:rsidR="00AD1BEB" w:rsidRPr="001A1E09">
        <w:rPr>
          <w:rFonts w:ascii="Book Antiqua" w:hAnsi="Book Antiqua" w:cs="Arial"/>
          <w:sz w:val="20"/>
          <w:szCs w:val="20"/>
        </w:rPr>
        <w:t>PLR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D1BEB" w:rsidRPr="001A1E09">
        <w:rPr>
          <w:rFonts w:ascii="Book Antiqua" w:hAnsi="Book Antiqua" w:cs="Arial"/>
          <w:sz w:val="20"/>
          <w:szCs w:val="20"/>
        </w:rPr>
        <w:t>≤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D1BEB" w:rsidRPr="001A1E09">
        <w:rPr>
          <w:rFonts w:ascii="Book Antiqua" w:hAnsi="Book Antiqua" w:cs="Arial"/>
          <w:sz w:val="20"/>
          <w:szCs w:val="20"/>
        </w:rPr>
        <w:t>103 group</w:t>
      </w:r>
      <w:r w:rsidR="002F5392" w:rsidRPr="001A1E09">
        <w:rPr>
          <w:rFonts w:ascii="Book Antiqua" w:hAnsi="Book Antiqua" w:cs="Arial"/>
          <w:sz w:val="20"/>
          <w:szCs w:val="20"/>
        </w:rPr>
        <w:t xml:space="preserve"> and </w:t>
      </w:r>
      <w:r w:rsidR="00AD1BEB" w:rsidRPr="001A1E09">
        <w:rPr>
          <w:rFonts w:ascii="Book Antiqua" w:hAnsi="Book Antiqua" w:cs="Arial"/>
          <w:sz w:val="20"/>
          <w:szCs w:val="20"/>
        </w:rPr>
        <w:t>PLR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D1BEB"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D1BEB" w:rsidRPr="001A1E09">
        <w:rPr>
          <w:rFonts w:ascii="Book Antiqua" w:hAnsi="Book Antiqua" w:cs="Arial"/>
          <w:sz w:val="20"/>
          <w:szCs w:val="20"/>
        </w:rPr>
        <w:t>103 group</w:t>
      </w:r>
      <w:r w:rsidR="00203FDC" w:rsidRPr="001A1E09">
        <w:rPr>
          <w:rFonts w:ascii="Book Antiqua" w:hAnsi="Book Antiqua" w:cs="Arial"/>
          <w:sz w:val="20"/>
          <w:szCs w:val="20"/>
        </w:rPr>
        <w:t>s</w:t>
      </w:r>
      <w:r w:rsidR="002F5392" w:rsidRPr="001A1E09">
        <w:rPr>
          <w:rFonts w:ascii="Book Antiqua" w:hAnsi="Book Antiqua" w:cs="Arial"/>
          <w:sz w:val="20"/>
          <w:szCs w:val="20"/>
        </w:rPr>
        <w:t>.</w:t>
      </w:r>
      <w:r w:rsidR="00AD1BEB" w:rsidRPr="001A1E09">
        <w:rPr>
          <w:rFonts w:ascii="Book Antiqua" w:hAnsi="Book Antiqua" w:cs="Arial"/>
          <w:sz w:val="20"/>
          <w:szCs w:val="20"/>
        </w:rPr>
        <w:t xml:space="preserve"> </w:t>
      </w:r>
      <w:r w:rsidR="0059635C" w:rsidRPr="001A1E09">
        <w:rPr>
          <w:rFonts w:ascii="Book Antiqua" w:hAnsi="Book Antiqua" w:cs="Arial"/>
          <w:sz w:val="20"/>
          <w:szCs w:val="20"/>
        </w:rPr>
        <w:t>However</w:t>
      </w:r>
      <w:r w:rsidR="00543920" w:rsidRPr="001A1E09">
        <w:rPr>
          <w:rFonts w:ascii="Book Antiqua" w:hAnsi="Book Antiqua" w:cs="Arial"/>
          <w:sz w:val="20"/>
          <w:szCs w:val="20"/>
        </w:rPr>
        <w:t>, PLR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50F94"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50F94" w:rsidRPr="001A1E09">
        <w:rPr>
          <w:rFonts w:ascii="Book Antiqua" w:hAnsi="Book Antiqua" w:cs="Arial"/>
          <w:sz w:val="20"/>
          <w:szCs w:val="20"/>
        </w:rPr>
        <w:t>103</w:t>
      </w:r>
      <w:r w:rsidR="0059635C" w:rsidRPr="001A1E09">
        <w:rPr>
          <w:rFonts w:ascii="Book Antiqua" w:hAnsi="Book Antiqua" w:cs="Arial"/>
          <w:sz w:val="20"/>
          <w:szCs w:val="20"/>
        </w:rPr>
        <w:t xml:space="preserve"> </w:t>
      </w:r>
      <w:r w:rsidR="00A50F94" w:rsidRPr="001A1E09">
        <w:rPr>
          <w:rFonts w:ascii="Book Antiqua" w:hAnsi="Book Antiqua" w:cs="Arial"/>
          <w:sz w:val="20"/>
          <w:szCs w:val="20"/>
        </w:rPr>
        <w:t xml:space="preserve">was </w:t>
      </w:r>
      <w:r w:rsidR="0059635C" w:rsidRPr="001A1E09">
        <w:rPr>
          <w:rFonts w:ascii="Book Antiqua" w:hAnsi="Book Antiqua" w:cs="Arial"/>
          <w:sz w:val="20"/>
          <w:szCs w:val="20"/>
        </w:rPr>
        <w:t>associat</w:t>
      </w:r>
      <w:r w:rsidR="00203FDC" w:rsidRPr="001A1E09">
        <w:rPr>
          <w:rFonts w:ascii="Book Antiqua" w:hAnsi="Book Antiqua" w:cs="Arial"/>
          <w:sz w:val="20"/>
          <w:szCs w:val="20"/>
        </w:rPr>
        <w:t xml:space="preserve">ed </w:t>
      </w:r>
      <w:r w:rsidR="0059635C" w:rsidRPr="001A1E09">
        <w:rPr>
          <w:rFonts w:ascii="Book Antiqua" w:hAnsi="Book Antiqua" w:cs="Arial"/>
          <w:sz w:val="20"/>
          <w:szCs w:val="20"/>
        </w:rPr>
        <w:t xml:space="preserve">with </w:t>
      </w:r>
      <w:r w:rsidR="00A50F94" w:rsidRPr="001A1E09">
        <w:rPr>
          <w:rFonts w:ascii="Book Antiqua" w:hAnsi="Book Antiqua" w:cs="Arial"/>
          <w:sz w:val="20"/>
          <w:szCs w:val="20"/>
        </w:rPr>
        <w:t xml:space="preserve">worse </w:t>
      </w:r>
      <w:r w:rsidR="00543920" w:rsidRPr="001A1E09">
        <w:rPr>
          <w:rFonts w:ascii="Book Antiqua" w:hAnsi="Book Antiqua" w:cs="Arial"/>
          <w:sz w:val="20"/>
          <w:szCs w:val="20"/>
        </w:rPr>
        <w:t>OS</w:t>
      </w:r>
      <w:r w:rsidR="0005263F" w:rsidRPr="001A1E09">
        <w:rPr>
          <w:rFonts w:ascii="Book Antiqua" w:hAnsi="Book Antiqua" w:cs="Arial"/>
          <w:sz w:val="20"/>
          <w:szCs w:val="20"/>
        </w:rPr>
        <w:t xml:space="preserve"> </w:t>
      </w:r>
      <w:r w:rsidR="00543920" w:rsidRPr="001A1E09">
        <w:rPr>
          <w:rFonts w:ascii="Book Antiqua" w:hAnsi="Book Antiqua" w:cs="Arial"/>
          <w:sz w:val="20"/>
          <w:szCs w:val="20"/>
        </w:rPr>
        <w:t>in the validation cohort</w:t>
      </w:r>
      <w:r w:rsidR="0005263F" w:rsidRPr="001A1E09">
        <w:rPr>
          <w:rFonts w:ascii="Book Antiqua" w:hAnsi="Book Antiqua" w:cs="Arial"/>
          <w:sz w:val="20"/>
          <w:szCs w:val="20"/>
        </w:rPr>
        <w:t xml:space="preserve"> </w:t>
      </w:r>
      <w:r w:rsidR="00467181" w:rsidRPr="001A1E09">
        <w:rPr>
          <w:rFonts w:ascii="Book Antiqua" w:hAnsi="Book Antiqua" w:cs="Arial"/>
          <w:sz w:val="20"/>
          <w:szCs w:val="20"/>
        </w:rPr>
        <w:t xml:space="preserve">but not in </w:t>
      </w:r>
      <w:r w:rsidR="00203FDC" w:rsidRPr="001A1E09">
        <w:rPr>
          <w:rFonts w:ascii="Book Antiqua" w:hAnsi="Book Antiqua" w:cs="Arial"/>
          <w:sz w:val="20"/>
          <w:szCs w:val="20"/>
        </w:rPr>
        <w:t xml:space="preserve">the </w:t>
      </w:r>
      <w:r w:rsidR="00467181" w:rsidRPr="001A1E09">
        <w:rPr>
          <w:rFonts w:ascii="Book Antiqua" w:hAnsi="Book Antiqua" w:cs="Arial"/>
          <w:sz w:val="20"/>
          <w:szCs w:val="20"/>
        </w:rPr>
        <w:t xml:space="preserve">derivation cohort </w:t>
      </w:r>
      <w:r w:rsidR="00FF2C14" w:rsidRPr="001A1E09">
        <w:rPr>
          <w:rFonts w:ascii="Book Antiqua" w:hAnsi="Book Antiqua" w:cs="Arial"/>
          <w:sz w:val="20"/>
          <w:szCs w:val="20"/>
        </w:rPr>
        <w:t xml:space="preserve">(derivation cohort: </w:t>
      </w:r>
      <w:r w:rsidR="00FF2C14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FF2C14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FF2C14" w:rsidRPr="001A1E09">
        <w:rPr>
          <w:rFonts w:ascii="Book Antiqua" w:hAnsi="Book Antiqua" w:cs="Arial"/>
          <w:sz w:val="20"/>
          <w:szCs w:val="20"/>
        </w:rPr>
        <w:t xml:space="preserve">0.063; validation cohort: </w:t>
      </w:r>
      <w:r w:rsidR="00FF2C14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FF2C14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FF2C14" w:rsidRPr="001A1E09">
        <w:rPr>
          <w:rFonts w:ascii="Book Antiqua" w:hAnsi="Book Antiqua" w:cs="Arial"/>
          <w:sz w:val="20"/>
          <w:szCs w:val="20"/>
        </w:rPr>
        <w:t xml:space="preserve">0.028) </w:t>
      </w:r>
      <w:r w:rsidR="00467181" w:rsidRPr="001A1E09">
        <w:rPr>
          <w:rFonts w:ascii="Book Antiqua" w:hAnsi="Book Antiqua" w:cs="Arial"/>
          <w:sz w:val="20"/>
          <w:szCs w:val="20"/>
        </w:rPr>
        <w:t>(Supplementary Figure 3).</w:t>
      </w:r>
      <w:r w:rsidR="00A50F94" w:rsidRPr="001A1E09">
        <w:rPr>
          <w:rFonts w:ascii="Book Antiqua" w:hAnsi="Book Antiqua" w:cs="Arial"/>
          <w:sz w:val="20"/>
          <w:szCs w:val="20"/>
        </w:rPr>
        <w:t xml:space="preserve"> </w:t>
      </w:r>
      <w:r w:rsidR="00467181" w:rsidRPr="001A1E09">
        <w:rPr>
          <w:rFonts w:ascii="Book Antiqua" w:hAnsi="Book Antiqua" w:cs="Arial"/>
          <w:sz w:val="20"/>
          <w:szCs w:val="20"/>
        </w:rPr>
        <w:t>Mean</w:t>
      </w:r>
      <w:r w:rsidR="00A50F94" w:rsidRPr="001A1E09">
        <w:rPr>
          <w:rFonts w:ascii="Book Antiqua" w:hAnsi="Book Antiqua" w:cs="Arial"/>
          <w:sz w:val="20"/>
          <w:szCs w:val="20"/>
        </w:rPr>
        <w:t>while</w:t>
      </w:r>
      <w:r w:rsidR="00467181" w:rsidRPr="001A1E09">
        <w:rPr>
          <w:rFonts w:ascii="Book Antiqua" w:hAnsi="Book Antiqua" w:cs="Arial"/>
          <w:sz w:val="20"/>
          <w:szCs w:val="20"/>
        </w:rPr>
        <w:t>,</w:t>
      </w:r>
      <w:r w:rsidR="00A50F94" w:rsidRPr="001A1E09">
        <w:rPr>
          <w:rFonts w:ascii="Book Antiqua" w:hAnsi="Book Antiqua" w:cs="Arial"/>
          <w:sz w:val="20"/>
          <w:szCs w:val="20"/>
        </w:rPr>
        <w:t xml:space="preserve"> PLR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50F94" w:rsidRPr="001A1E09">
        <w:rPr>
          <w:rFonts w:ascii="Book Antiqua" w:hAnsi="Book Antiqua" w:cs="Arial"/>
          <w:sz w:val="20"/>
          <w:szCs w:val="20"/>
        </w:rPr>
        <w:t>&gt;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A50F94" w:rsidRPr="001A1E09">
        <w:rPr>
          <w:rFonts w:ascii="Book Antiqua" w:hAnsi="Book Antiqua" w:cs="Arial"/>
          <w:sz w:val="20"/>
          <w:szCs w:val="20"/>
        </w:rPr>
        <w:t>103 was associat</w:t>
      </w:r>
      <w:r w:rsidR="00203FDC" w:rsidRPr="001A1E09">
        <w:rPr>
          <w:rFonts w:ascii="Book Antiqua" w:hAnsi="Book Antiqua" w:cs="Arial"/>
          <w:sz w:val="20"/>
          <w:szCs w:val="20"/>
        </w:rPr>
        <w:t>ed</w:t>
      </w:r>
      <w:r w:rsidR="00A50F94" w:rsidRPr="001A1E09">
        <w:rPr>
          <w:rFonts w:ascii="Book Antiqua" w:hAnsi="Book Antiqua" w:cs="Arial"/>
          <w:sz w:val="20"/>
          <w:szCs w:val="20"/>
        </w:rPr>
        <w:t xml:space="preserve"> with </w:t>
      </w:r>
      <w:r w:rsidR="00203FDC" w:rsidRPr="001A1E09">
        <w:rPr>
          <w:rFonts w:ascii="Book Antiqua" w:hAnsi="Book Antiqua" w:cs="Arial"/>
          <w:sz w:val="20"/>
          <w:szCs w:val="20"/>
        </w:rPr>
        <w:t xml:space="preserve">a </w:t>
      </w:r>
      <w:r w:rsidR="00A50F94" w:rsidRPr="001A1E09">
        <w:rPr>
          <w:rFonts w:ascii="Book Antiqua" w:hAnsi="Book Antiqua" w:cs="Arial"/>
          <w:sz w:val="20"/>
          <w:szCs w:val="20"/>
        </w:rPr>
        <w:t xml:space="preserve">worse </w:t>
      </w:r>
      <w:r w:rsidR="00467181" w:rsidRPr="001A1E09">
        <w:rPr>
          <w:rFonts w:ascii="Book Antiqua" w:hAnsi="Book Antiqua" w:cs="Arial"/>
          <w:sz w:val="20"/>
          <w:szCs w:val="20"/>
        </w:rPr>
        <w:t>RFS</w:t>
      </w:r>
      <w:r w:rsidR="0005263F" w:rsidRPr="001A1E09">
        <w:rPr>
          <w:rFonts w:ascii="Book Antiqua" w:hAnsi="Book Antiqua" w:cs="Arial"/>
          <w:sz w:val="20"/>
          <w:szCs w:val="20"/>
        </w:rPr>
        <w:t xml:space="preserve"> in the derivation cohort</w:t>
      </w:r>
      <w:bookmarkStart w:id="32" w:name="OLE_LINK3"/>
      <w:bookmarkStart w:id="33" w:name="OLE_LINK4"/>
      <w:r w:rsidR="00A50F94" w:rsidRPr="001A1E09">
        <w:rPr>
          <w:rFonts w:ascii="Book Antiqua" w:hAnsi="Book Antiqua" w:cs="Arial"/>
          <w:sz w:val="20"/>
          <w:szCs w:val="20"/>
        </w:rPr>
        <w:t xml:space="preserve"> </w:t>
      </w:r>
      <w:r w:rsidR="00467181" w:rsidRPr="001A1E09">
        <w:rPr>
          <w:rFonts w:ascii="Book Antiqua" w:hAnsi="Book Antiqua" w:cs="Arial"/>
          <w:sz w:val="20"/>
          <w:szCs w:val="20"/>
        </w:rPr>
        <w:t xml:space="preserve">but </w:t>
      </w:r>
      <w:r w:rsidR="00A50F94" w:rsidRPr="001A1E09">
        <w:rPr>
          <w:rFonts w:ascii="Book Antiqua" w:hAnsi="Book Antiqua" w:cs="Arial"/>
          <w:sz w:val="20"/>
          <w:szCs w:val="20"/>
        </w:rPr>
        <w:t>not in</w:t>
      </w:r>
      <w:bookmarkEnd w:id="32"/>
      <w:bookmarkEnd w:id="33"/>
      <w:r w:rsidR="00A50F94" w:rsidRPr="001A1E09">
        <w:rPr>
          <w:rFonts w:ascii="Book Antiqua" w:hAnsi="Book Antiqua" w:cs="Arial"/>
          <w:sz w:val="20"/>
          <w:szCs w:val="20"/>
        </w:rPr>
        <w:t xml:space="preserve"> the validation cohort</w:t>
      </w:r>
      <w:r w:rsidR="00467181" w:rsidRPr="001A1E09">
        <w:rPr>
          <w:rFonts w:ascii="Book Antiqua" w:hAnsi="Book Antiqua" w:cs="Arial"/>
          <w:sz w:val="20"/>
          <w:szCs w:val="20"/>
        </w:rPr>
        <w:t xml:space="preserve"> </w:t>
      </w:r>
      <w:r w:rsidR="00FF2C14" w:rsidRPr="001A1E09">
        <w:rPr>
          <w:rFonts w:ascii="Book Antiqua" w:hAnsi="Book Antiqua" w:cs="Arial"/>
          <w:sz w:val="20"/>
          <w:szCs w:val="20"/>
        </w:rPr>
        <w:t xml:space="preserve">(derivation cohort: </w:t>
      </w:r>
      <w:r w:rsidR="00FF2C14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FF2C14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FF2C14" w:rsidRPr="001A1E09">
        <w:rPr>
          <w:rFonts w:ascii="Book Antiqua" w:hAnsi="Book Antiqua" w:cs="Arial"/>
          <w:sz w:val="20"/>
          <w:szCs w:val="20"/>
        </w:rPr>
        <w:t xml:space="preserve">0.043; validation cohort: </w:t>
      </w:r>
      <w:r w:rsidR="00FF2C14" w:rsidRPr="001A1E09">
        <w:rPr>
          <w:rFonts w:ascii="Book Antiqua" w:hAnsi="Book Antiqua" w:cs="Arial"/>
          <w:i/>
          <w:sz w:val="20"/>
          <w:szCs w:val="20"/>
        </w:rPr>
        <w:t>P</w:t>
      </w:r>
      <w:r w:rsidR="00E164E4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FF2C14" w:rsidRPr="001A1E09">
        <w:rPr>
          <w:rFonts w:ascii="Book Antiqua" w:hAnsi="Book Antiqua" w:cs="Arial"/>
          <w:sz w:val="20"/>
          <w:szCs w:val="20"/>
        </w:rPr>
        <w:t>=</w:t>
      </w:r>
      <w:r w:rsidR="00E164E4" w:rsidRPr="001A1E09">
        <w:rPr>
          <w:rFonts w:ascii="Book Antiqua" w:hAnsi="Book Antiqua" w:cs="Arial"/>
          <w:sz w:val="20"/>
          <w:szCs w:val="20"/>
        </w:rPr>
        <w:t xml:space="preserve"> </w:t>
      </w:r>
      <w:r w:rsidR="00FF2C14" w:rsidRPr="001A1E09">
        <w:rPr>
          <w:rFonts w:ascii="Book Antiqua" w:hAnsi="Book Antiqua" w:cs="Arial"/>
          <w:sz w:val="20"/>
          <w:szCs w:val="20"/>
        </w:rPr>
        <w:t xml:space="preserve">0.661) </w:t>
      </w:r>
      <w:r w:rsidR="0085331A" w:rsidRPr="001A1E09">
        <w:rPr>
          <w:rFonts w:ascii="Book Antiqua" w:hAnsi="Book Antiqua" w:cs="Arial"/>
          <w:sz w:val="20"/>
          <w:szCs w:val="20"/>
        </w:rPr>
        <w:t>(Supplementary Figure 4</w:t>
      </w:r>
      <w:r w:rsidR="00467181" w:rsidRPr="001A1E09">
        <w:rPr>
          <w:rFonts w:ascii="Book Antiqua" w:hAnsi="Book Antiqua" w:cs="Arial"/>
          <w:sz w:val="20"/>
          <w:szCs w:val="20"/>
        </w:rPr>
        <w:t>)</w:t>
      </w:r>
      <w:r w:rsidR="0005263F" w:rsidRPr="001A1E09">
        <w:rPr>
          <w:rFonts w:ascii="Book Antiqua" w:hAnsi="Book Antiqua" w:cs="Arial"/>
          <w:sz w:val="20"/>
          <w:szCs w:val="20"/>
        </w:rPr>
        <w:t>.</w:t>
      </w:r>
    </w:p>
    <w:p w14:paraId="6E72C647" w14:textId="77777777" w:rsidR="00B65C28" w:rsidRPr="001A1E09" w:rsidRDefault="00B65C28" w:rsidP="001A1E09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</w:p>
    <w:p w14:paraId="442D84F5" w14:textId="77777777" w:rsidR="00B65C28" w:rsidRPr="001A1E09" w:rsidRDefault="00BE1E22" w:rsidP="001A1E09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  <w:r w:rsidRPr="001A1E09">
        <w:rPr>
          <w:rFonts w:ascii="Book Antiqua" w:hAnsi="Book Antiqua" w:cs="Arial"/>
          <w:b/>
          <w:i/>
          <w:sz w:val="20"/>
          <w:szCs w:val="20"/>
        </w:rPr>
        <w:t>Prognostic significance of GLR</w:t>
      </w:r>
    </w:p>
    <w:p w14:paraId="21528BE3" w14:textId="1236D22A" w:rsidR="00BE1E22" w:rsidRPr="001A1E09" w:rsidRDefault="004419D1" w:rsidP="001A1E09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Univariate analysis</w:t>
      </w:r>
      <w:r w:rsidR="006842B2" w:rsidRPr="001A1E09">
        <w:rPr>
          <w:rFonts w:ascii="Book Antiqua" w:hAnsi="Book Antiqua" w:cs="Arial"/>
          <w:sz w:val="20"/>
          <w:szCs w:val="20"/>
        </w:rPr>
        <w:t xml:space="preserve"> for OS</w:t>
      </w:r>
      <w:r w:rsidRPr="001A1E09">
        <w:rPr>
          <w:rFonts w:ascii="Book Antiqua" w:hAnsi="Book Antiqua" w:cs="Arial"/>
          <w:sz w:val="20"/>
          <w:szCs w:val="20"/>
        </w:rPr>
        <w:t xml:space="preserve"> revealed that preoperative GLR, </w:t>
      </w:r>
      <w:r w:rsidR="00E456A6" w:rsidRPr="001A1E09">
        <w:rPr>
          <w:rFonts w:ascii="Book Antiqua" w:hAnsi="Book Antiqua" w:cs="Arial"/>
          <w:sz w:val="20"/>
          <w:szCs w:val="20"/>
        </w:rPr>
        <w:t>CA19-9</w:t>
      </w:r>
      <w:r w:rsidR="00EA1C0F" w:rsidRPr="001A1E09">
        <w:rPr>
          <w:rFonts w:ascii="Book Antiqua" w:hAnsi="Book Antiqua" w:cs="Arial"/>
          <w:sz w:val="20"/>
          <w:szCs w:val="20"/>
        </w:rPr>
        <w:t xml:space="preserve">, tumor </w:t>
      </w:r>
      <w:r w:rsidRPr="001A1E09">
        <w:rPr>
          <w:rFonts w:ascii="Book Antiqua" w:hAnsi="Book Antiqua" w:cs="Arial"/>
          <w:sz w:val="20"/>
          <w:szCs w:val="20"/>
        </w:rPr>
        <w:t xml:space="preserve">size, tumor </w:t>
      </w:r>
      <w:r w:rsidR="00EA1C0F" w:rsidRPr="001A1E09">
        <w:rPr>
          <w:rFonts w:ascii="Book Antiqua" w:hAnsi="Book Antiqua" w:cs="Arial"/>
          <w:sz w:val="20"/>
          <w:szCs w:val="20"/>
        </w:rPr>
        <w:t xml:space="preserve">number, </w:t>
      </w:r>
      <w:r w:rsidR="002F7E08" w:rsidRPr="001A1E09">
        <w:rPr>
          <w:rFonts w:ascii="Book Antiqua" w:hAnsi="Book Antiqua" w:cs="Arial"/>
          <w:sz w:val="20"/>
          <w:szCs w:val="20"/>
        </w:rPr>
        <w:t>MVI</w:t>
      </w:r>
      <w:r w:rsidR="00B230DD" w:rsidRPr="001A1E09">
        <w:rPr>
          <w:rFonts w:ascii="Book Antiqua" w:hAnsi="Book Antiqua" w:cs="Arial"/>
          <w:sz w:val="20"/>
          <w:szCs w:val="20"/>
        </w:rPr>
        <w:t xml:space="preserve">, </w:t>
      </w:r>
      <w:r w:rsidR="00EA1C0F" w:rsidRPr="001A1E09">
        <w:rPr>
          <w:rFonts w:ascii="Book Antiqua" w:hAnsi="Book Antiqua" w:cs="Arial"/>
          <w:sz w:val="20"/>
          <w:szCs w:val="20"/>
        </w:rPr>
        <w:lastRenderedPageBreak/>
        <w:t>node</w:t>
      </w:r>
      <w:r w:rsidR="00527988" w:rsidRPr="001A1E09">
        <w:rPr>
          <w:rFonts w:ascii="Book Antiqua" w:hAnsi="Book Antiqua" w:cs="Arial"/>
          <w:sz w:val="20"/>
          <w:szCs w:val="20"/>
        </w:rPr>
        <w:t>-</w:t>
      </w:r>
      <w:r w:rsidR="00EA1C0F" w:rsidRPr="001A1E09">
        <w:rPr>
          <w:rFonts w:ascii="Book Antiqua" w:hAnsi="Book Antiqua" w:cs="Arial"/>
          <w:sz w:val="20"/>
          <w:szCs w:val="20"/>
        </w:rPr>
        <w:t>positive</w:t>
      </w:r>
      <w:r w:rsidR="008B0FEA" w:rsidRPr="001A1E09">
        <w:rPr>
          <w:rFonts w:ascii="Book Antiqua" w:hAnsi="Book Antiqua" w:cs="Arial"/>
          <w:sz w:val="20"/>
          <w:szCs w:val="20"/>
        </w:rPr>
        <w:t>, NLR, and PLR</w:t>
      </w:r>
      <w:r w:rsidR="00EA1C0F" w:rsidRPr="001A1E09">
        <w:rPr>
          <w:rFonts w:ascii="Book Antiqua" w:hAnsi="Book Antiqua" w:cs="Arial"/>
          <w:sz w:val="20"/>
          <w:szCs w:val="20"/>
        </w:rPr>
        <w:t xml:space="preserve"> </w:t>
      </w:r>
      <w:r w:rsidR="006842B2" w:rsidRPr="001A1E09">
        <w:rPr>
          <w:rFonts w:ascii="Book Antiqua" w:hAnsi="Book Antiqua" w:cs="Arial"/>
          <w:sz w:val="20"/>
          <w:szCs w:val="20"/>
        </w:rPr>
        <w:t xml:space="preserve">had </w:t>
      </w:r>
      <w:r w:rsidR="006842B2" w:rsidRPr="001A1E09">
        <w:rPr>
          <w:rFonts w:ascii="Book Antiqua" w:hAnsi="Book Antiqua" w:cs="Arial"/>
          <w:i/>
          <w:sz w:val="20"/>
          <w:szCs w:val="20"/>
        </w:rPr>
        <w:t>P</w:t>
      </w:r>
      <w:r w:rsidR="006842B2" w:rsidRPr="001A1E09">
        <w:rPr>
          <w:rFonts w:ascii="Book Antiqua" w:hAnsi="Book Antiqua" w:cs="Arial"/>
          <w:sz w:val="20"/>
          <w:szCs w:val="20"/>
        </w:rPr>
        <w:t xml:space="preserve"> values of</w:t>
      </w:r>
      <w:r w:rsidR="00EF47B3" w:rsidRPr="001A1E09">
        <w:rPr>
          <w:rFonts w:ascii="Book Antiqua" w:hAnsi="Book Antiqua" w:cs="Arial"/>
          <w:sz w:val="20"/>
          <w:szCs w:val="20"/>
        </w:rPr>
        <w:t xml:space="preserve"> </w:t>
      </w:r>
      <w:bookmarkStart w:id="34" w:name="OLE_LINK5"/>
      <w:bookmarkStart w:id="35" w:name="OLE_LINK14"/>
      <w:r w:rsidR="006842B2" w:rsidRPr="001A1E09">
        <w:rPr>
          <w:rFonts w:ascii="Book Antiqua" w:eastAsiaTheme="majorEastAsia" w:hAnsi="Book Antiqua" w:cs="Arial"/>
          <w:sz w:val="20"/>
          <w:szCs w:val="20"/>
        </w:rPr>
        <w:t>≤</w:t>
      </w:r>
      <w:r w:rsidR="00D375AB" w:rsidRPr="001A1E09">
        <w:rPr>
          <w:rFonts w:ascii="Book Antiqua" w:eastAsiaTheme="majorEastAsia" w:hAnsi="Book Antiqua" w:cs="Arial"/>
          <w:sz w:val="20"/>
          <w:szCs w:val="20"/>
        </w:rPr>
        <w:t xml:space="preserve"> 0.10 in both cohorts (Table</w:t>
      </w:r>
      <w:r w:rsidR="002C1FAA" w:rsidRPr="001A1E09">
        <w:rPr>
          <w:rFonts w:ascii="Book Antiqua" w:eastAsiaTheme="majorEastAsia" w:hAnsi="Book Antiqua" w:cs="Arial"/>
          <w:sz w:val="20"/>
          <w:szCs w:val="20"/>
        </w:rPr>
        <w:t xml:space="preserve">s 2 and </w:t>
      </w:r>
      <w:r w:rsidR="006842B2" w:rsidRPr="001A1E09">
        <w:rPr>
          <w:rFonts w:ascii="Book Antiqua" w:eastAsiaTheme="majorEastAsia" w:hAnsi="Book Antiqua" w:cs="Arial"/>
          <w:sz w:val="20"/>
          <w:szCs w:val="20"/>
        </w:rPr>
        <w:t>3)</w:t>
      </w:r>
      <w:bookmarkEnd w:id="34"/>
      <w:bookmarkEnd w:id="35"/>
      <w:r w:rsidR="00CD214B" w:rsidRPr="001A1E09">
        <w:rPr>
          <w:rFonts w:ascii="Book Antiqua" w:hAnsi="Book Antiqua" w:cs="Arial"/>
          <w:sz w:val="20"/>
          <w:szCs w:val="20"/>
        </w:rPr>
        <w:t xml:space="preserve">. </w:t>
      </w:r>
      <w:r w:rsidR="004D0BA9" w:rsidRPr="001A1E09">
        <w:rPr>
          <w:rFonts w:ascii="Book Antiqua" w:hAnsi="Book Antiqua" w:cs="Arial"/>
          <w:sz w:val="20"/>
          <w:szCs w:val="20"/>
        </w:rPr>
        <w:t xml:space="preserve">Similarly, </w:t>
      </w:r>
      <w:r w:rsidR="00EF47B3" w:rsidRPr="001A1E09">
        <w:rPr>
          <w:rFonts w:ascii="Book Antiqua" w:hAnsi="Book Antiqua" w:cs="Arial"/>
          <w:sz w:val="20"/>
          <w:szCs w:val="20"/>
        </w:rPr>
        <w:t xml:space="preserve">univariate analysis for RFS identified that GLR, ascites, </w:t>
      </w:r>
      <w:r w:rsidR="00E456A6" w:rsidRPr="001A1E09">
        <w:rPr>
          <w:rFonts w:ascii="Book Antiqua" w:hAnsi="Book Antiqua" w:cs="Arial"/>
          <w:sz w:val="20"/>
          <w:szCs w:val="20"/>
        </w:rPr>
        <w:t>CA19-9</w:t>
      </w:r>
      <w:r w:rsidR="004D0BA9" w:rsidRPr="001A1E09">
        <w:rPr>
          <w:rFonts w:ascii="Book Antiqua" w:hAnsi="Book Antiqua" w:cs="Arial"/>
          <w:sz w:val="20"/>
          <w:szCs w:val="20"/>
        </w:rPr>
        <w:t xml:space="preserve"> level, tumor size, tumor number, tumor different</w:t>
      </w:r>
      <w:r w:rsidR="00EF47B3" w:rsidRPr="001A1E09">
        <w:rPr>
          <w:rFonts w:ascii="Book Antiqua" w:hAnsi="Book Antiqua" w:cs="Arial"/>
          <w:sz w:val="20"/>
          <w:szCs w:val="20"/>
        </w:rPr>
        <w:t xml:space="preserve">iation, </w:t>
      </w:r>
      <w:r w:rsidR="002F7E08" w:rsidRPr="001A1E09">
        <w:rPr>
          <w:rFonts w:ascii="Book Antiqua" w:hAnsi="Book Antiqua" w:cs="Arial"/>
          <w:sz w:val="20"/>
          <w:szCs w:val="20"/>
        </w:rPr>
        <w:t>MVI</w:t>
      </w:r>
      <w:r w:rsidR="00EF47B3" w:rsidRPr="001A1E09">
        <w:rPr>
          <w:rFonts w:ascii="Book Antiqua" w:hAnsi="Book Antiqua" w:cs="Arial"/>
          <w:sz w:val="20"/>
          <w:szCs w:val="20"/>
        </w:rPr>
        <w:t xml:space="preserve">, </w:t>
      </w:r>
      <w:r w:rsidR="004D0BA9" w:rsidRPr="001A1E09">
        <w:rPr>
          <w:rFonts w:ascii="Book Antiqua" w:hAnsi="Book Antiqua" w:cs="Arial"/>
          <w:sz w:val="20"/>
          <w:szCs w:val="20"/>
        </w:rPr>
        <w:t>node</w:t>
      </w:r>
      <w:r w:rsidR="00527988" w:rsidRPr="001A1E09">
        <w:rPr>
          <w:rFonts w:ascii="Book Antiqua" w:hAnsi="Book Antiqua" w:cs="Arial"/>
          <w:sz w:val="20"/>
          <w:szCs w:val="20"/>
        </w:rPr>
        <w:t>-</w:t>
      </w:r>
      <w:r w:rsidR="004D0BA9" w:rsidRPr="001A1E09">
        <w:rPr>
          <w:rFonts w:ascii="Book Antiqua" w:hAnsi="Book Antiqua" w:cs="Arial"/>
          <w:sz w:val="20"/>
          <w:szCs w:val="20"/>
        </w:rPr>
        <w:t xml:space="preserve">positive, TNM </w:t>
      </w:r>
      <w:r w:rsidR="00EF47B3" w:rsidRPr="001A1E09">
        <w:rPr>
          <w:rFonts w:ascii="Book Antiqua" w:hAnsi="Book Antiqua" w:cs="Arial"/>
          <w:sz w:val="20"/>
          <w:szCs w:val="20"/>
        </w:rPr>
        <w:t>stage,</w:t>
      </w:r>
      <w:r w:rsidR="00B230DD" w:rsidRPr="001A1E09">
        <w:rPr>
          <w:rFonts w:ascii="Book Antiqua" w:hAnsi="Book Antiqua" w:cs="Arial"/>
          <w:sz w:val="20"/>
          <w:szCs w:val="20"/>
        </w:rPr>
        <w:t xml:space="preserve"> </w:t>
      </w:r>
      <w:r w:rsidR="00EF47B3" w:rsidRPr="001A1E09">
        <w:rPr>
          <w:rFonts w:ascii="Book Antiqua" w:hAnsi="Book Antiqua" w:cs="Arial"/>
          <w:sz w:val="20"/>
          <w:szCs w:val="20"/>
        </w:rPr>
        <w:t>BCLC stage, and NLR had</w:t>
      </w:r>
      <w:r w:rsidR="00EF47B3" w:rsidRPr="001A1E09">
        <w:rPr>
          <w:rFonts w:ascii="Book Antiqua" w:hAnsi="Book Antiqua" w:cs="Arial"/>
          <w:i/>
          <w:sz w:val="20"/>
          <w:szCs w:val="20"/>
        </w:rPr>
        <w:t xml:space="preserve"> P </w:t>
      </w:r>
      <w:r w:rsidR="00EF47B3" w:rsidRPr="001A1E09">
        <w:rPr>
          <w:rFonts w:ascii="Book Antiqua" w:hAnsi="Book Antiqua" w:cs="Arial"/>
          <w:sz w:val="20"/>
          <w:szCs w:val="20"/>
        </w:rPr>
        <w:t xml:space="preserve">values of </w:t>
      </w:r>
      <w:r w:rsidR="00EF47B3" w:rsidRPr="001A1E09">
        <w:rPr>
          <w:rFonts w:ascii="Book Antiqua" w:eastAsiaTheme="majorEastAsia" w:hAnsi="Book Antiqua" w:cs="Arial"/>
          <w:sz w:val="20"/>
          <w:szCs w:val="20"/>
        </w:rPr>
        <w:t>≤</w:t>
      </w:r>
      <w:r w:rsidR="00D375AB" w:rsidRPr="001A1E09">
        <w:rPr>
          <w:rFonts w:ascii="Book Antiqua" w:eastAsiaTheme="majorEastAsia" w:hAnsi="Book Antiqua" w:cs="Arial"/>
          <w:sz w:val="20"/>
          <w:szCs w:val="20"/>
        </w:rPr>
        <w:t xml:space="preserve"> </w:t>
      </w:r>
      <w:r w:rsidR="00EF47B3" w:rsidRPr="001A1E09">
        <w:rPr>
          <w:rFonts w:ascii="Book Antiqua" w:eastAsiaTheme="majorEastAsia" w:hAnsi="Book Antiqua" w:cs="Arial"/>
          <w:sz w:val="20"/>
          <w:szCs w:val="20"/>
        </w:rPr>
        <w:t>0.10 in both cohorts (Table</w:t>
      </w:r>
      <w:r w:rsidR="00336ED2" w:rsidRPr="001A1E09">
        <w:rPr>
          <w:rFonts w:ascii="Book Antiqua" w:eastAsiaTheme="majorEastAsia" w:hAnsi="Book Antiqua" w:cs="Arial"/>
          <w:sz w:val="20"/>
          <w:szCs w:val="20"/>
        </w:rPr>
        <w:t>s</w:t>
      </w:r>
      <w:r w:rsidR="00EF47B3" w:rsidRPr="001A1E09">
        <w:rPr>
          <w:rFonts w:ascii="Book Antiqua" w:eastAsiaTheme="majorEastAsia" w:hAnsi="Book Antiqua" w:cs="Arial"/>
          <w:sz w:val="20"/>
          <w:szCs w:val="20"/>
        </w:rPr>
        <w:t xml:space="preserve"> 2 and 3).</w:t>
      </w:r>
    </w:p>
    <w:p w14:paraId="76CD57FB" w14:textId="17856614" w:rsidR="0040398D" w:rsidRPr="001A1E09" w:rsidRDefault="00076ED0" w:rsidP="001A1E09">
      <w:pPr>
        <w:adjustRightInd w:val="0"/>
        <w:snapToGrid w:val="0"/>
        <w:spacing w:line="360" w:lineRule="auto"/>
        <w:ind w:firstLineChars="100" w:firstLine="200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The results of </w:t>
      </w:r>
      <w:r w:rsidR="00254AFB" w:rsidRPr="001A1E09">
        <w:rPr>
          <w:rFonts w:ascii="Book Antiqua" w:hAnsi="Book Antiqua" w:cs="Arial"/>
          <w:sz w:val="20"/>
          <w:szCs w:val="20"/>
        </w:rPr>
        <w:t>multiv</w:t>
      </w:r>
      <w:r w:rsidR="00AC6137" w:rsidRPr="001A1E09">
        <w:rPr>
          <w:rFonts w:ascii="Book Antiqua" w:hAnsi="Book Antiqua" w:cs="Arial"/>
          <w:sz w:val="20"/>
          <w:szCs w:val="20"/>
        </w:rPr>
        <w:t xml:space="preserve">ariate analysis </w:t>
      </w:r>
      <w:r w:rsidR="002A04DB" w:rsidRPr="001A1E09">
        <w:rPr>
          <w:rFonts w:ascii="Book Antiqua" w:hAnsi="Book Antiqua" w:cs="Arial"/>
          <w:sz w:val="20"/>
          <w:szCs w:val="20"/>
        </w:rPr>
        <w:t xml:space="preserve">are </w:t>
      </w:r>
      <w:r w:rsidRPr="001A1E09">
        <w:rPr>
          <w:rFonts w:ascii="Book Antiqua" w:hAnsi="Book Antiqua" w:cs="Arial"/>
          <w:sz w:val="20"/>
          <w:szCs w:val="20"/>
        </w:rPr>
        <w:t>shown in T</w:t>
      </w:r>
      <w:r w:rsidR="00565815" w:rsidRPr="001A1E09">
        <w:rPr>
          <w:rFonts w:ascii="Book Antiqua" w:hAnsi="Book Antiqua" w:cs="Arial"/>
          <w:sz w:val="20"/>
          <w:szCs w:val="20"/>
        </w:rPr>
        <w:t>able</w:t>
      </w:r>
      <w:r w:rsidR="000D0987" w:rsidRPr="001A1E09">
        <w:rPr>
          <w:rFonts w:ascii="Book Antiqua" w:hAnsi="Book Antiqua" w:cs="Arial"/>
          <w:sz w:val="20"/>
          <w:szCs w:val="20"/>
        </w:rPr>
        <w:t xml:space="preserve"> 4</w:t>
      </w:r>
      <w:r w:rsidR="00565815" w:rsidRPr="001A1E09">
        <w:rPr>
          <w:rFonts w:ascii="Book Antiqua" w:hAnsi="Book Antiqua" w:cs="Arial"/>
          <w:sz w:val="20"/>
          <w:szCs w:val="20"/>
        </w:rPr>
        <w:t>.</w:t>
      </w:r>
      <w:r w:rsidR="00564EDE" w:rsidRPr="001A1E09">
        <w:rPr>
          <w:rFonts w:ascii="Book Antiqua" w:hAnsi="Book Antiqua" w:cs="Arial"/>
          <w:sz w:val="20"/>
          <w:szCs w:val="20"/>
        </w:rPr>
        <w:t xml:space="preserve"> </w:t>
      </w:r>
      <w:r w:rsidR="00E332F5" w:rsidRPr="001A1E09">
        <w:rPr>
          <w:rFonts w:ascii="Book Antiqua" w:hAnsi="Book Antiqua" w:cs="Arial"/>
          <w:sz w:val="20"/>
          <w:szCs w:val="20"/>
        </w:rPr>
        <w:t xml:space="preserve">The results indicated that </w:t>
      </w:r>
      <w:r w:rsidR="00DD0F50" w:rsidRPr="001A1E09">
        <w:rPr>
          <w:rFonts w:ascii="Book Antiqua" w:hAnsi="Book Antiqua" w:cs="Arial"/>
          <w:sz w:val="20"/>
          <w:szCs w:val="20"/>
        </w:rPr>
        <w:t xml:space="preserve">the </w:t>
      </w:r>
      <w:r w:rsidR="00564EDE" w:rsidRPr="001A1E09">
        <w:rPr>
          <w:rFonts w:ascii="Book Antiqua" w:hAnsi="Book Antiqua" w:cs="Arial"/>
          <w:sz w:val="20"/>
          <w:szCs w:val="20"/>
        </w:rPr>
        <w:t xml:space="preserve">GLR was </w:t>
      </w:r>
      <w:r w:rsidRPr="001A1E09">
        <w:rPr>
          <w:rFonts w:ascii="Book Antiqua" w:hAnsi="Book Antiqua" w:cs="Arial"/>
          <w:sz w:val="20"/>
          <w:szCs w:val="20"/>
        </w:rPr>
        <w:t>an</w:t>
      </w:r>
      <w:r w:rsidR="00E332F5" w:rsidRPr="001A1E09">
        <w:rPr>
          <w:rFonts w:ascii="Book Antiqua" w:hAnsi="Book Antiqua" w:cs="Arial"/>
          <w:sz w:val="20"/>
          <w:szCs w:val="20"/>
        </w:rPr>
        <w:t xml:space="preserve"> independent</w:t>
      </w:r>
      <w:r w:rsidR="004E6EFA" w:rsidRPr="001A1E09">
        <w:rPr>
          <w:rFonts w:ascii="Book Antiqua" w:hAnsi="Book Antiqua" w:cs="Arial"/>
          <w:sz w:val="20"/>
          <w:szCs w:val="20"/>
        </w:rPr>
        <w:t xml:space="preserve"> predi</w:t>
      </w:r>
      <w:r w:rsidRPr="001A1E09">
        <w:rPr>
          <w:rFonts w:ascii="Book Antiqua" w:hAnsi="Book Antiqua" w:cs="Arial"/>
          <w:sz w:val="20"/>
          <w:szCs w:val="20"/>
        </w:rPr>
        <w:t>ctor</w:t>
      </w:r>
      <w:r w:rsidR="00E332F5" w:rsidRPr="001A1E09">
        <w:rPr>
          <w:rFonts w:ascii="Book Antiqua" w:hAnsi="Book Antiqua" w:cs="Arial"/>
          <w:sz w:val="20"/>
          <w:szCs w:val="20"/>
        </w:rPr>
        <w:t xml:space="preserve"> </w:t>
      </w:r>
      <w:r w:rsidR="004E6EFA" w:rsidRPr="001A1E09">
        <w:rPr>
          <w:rFonts w:ascii="Book Antiqua" w:hAnsi="Book Antiqua" w:cs="Arial"/>
          <w:sz w:val="20"/>
          <w:szCs w:val="20"/>
        </w:rPr>
        <w:t xml:space="preserve">of </w:t>
      </w:r>
      <w:r w:rsidR="0040398D" w:rsidRPr="001A1E09">
        <w:rPr>
          <w:rFonts w:ascii="Book Antiqua" w:hAnsi="Book Antiqua" w:cs="Arial"/>
          <w:sz w:val="20"/>
          <w:szCs w:val="20"/>
        </w:rPr>
        <w:t xml:space="preserve">OS </w:t>
      </w:r>
      <w:r w:rsidR="00D375AB" w:rsidRPr="001A1E09">
        <w:rPr>
          <w:rFonts w:ascii="Book Antiqua" w:hAnsi="Book Antiqua" w:cs="Arial"/>
          <w:sz w:val="20"/>
          <w:szCs w:val="20"/>
        </w:rPr>
        <w:t>[</w:t>
      </w:r>
      <w:r w:rsidR="0040398D" w:rsidRPr="001A1E09">
        <w:rPr>
          <w:rFonts w:ascii="Book Antiqua" w:hAnsi="Book Antiqua" w:cs="Arial"/>
          <w:sz w:val="20"/>
          <w:szCs w:val="20"/>
        </w:rPr>
        <w:t xml:space="preserve">derivation </w:t>
      </w:r>
      <w:r w:rsidR="001A1F68" w:rsidRPr="001A1E09">
        <w:rPr>
          <w:rFonts w:ascii="Book Antiqua" w:hAnsi="Book Antiqua" w:cs="Arial"/>
          <w:sz w:val="20"/>
          <w:szCs w:val="20"/>
        </w:rPr>
        <w:t>cohort: hazard ratio (HR) =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1.620</w:t>
      </w:r>
      <w:r w:rsidR="0040398D" w:rsidRPr="001A1E09">
        <w:rPr>
          <w:rFonts w:ascii="Book Antiqua" w:hAnsi="Book Antiqua" w:cs="Arial"/>
          <w:sz w:val="20"/>
          <w:szCs w:val="20"/>
        </w:rPr>
        <w:t>, 95%</w:t>
      </w:r>
      <w:r w:rsidR="001A1F68" w:rsidRPr="001A1E09">
        <w:rPr>
          <w:rFonts w:ascii="Book Antiqua" w:hAnsi="Book Antiqua" w:cs="Arial"/>
          <w:sz w:val="20"/>
          <w:szCs w:val="20"/>
        </w:rPr>
        <w:t xml:space="preserve"> confidence interval (CI): 1.066-2.462</w:t>
      </w:r>
      <w:r w:rsidR="0040398D" w:rsidRPr="001A1E09">
        <w:rPr>
          <w:rFonts w:ascii="Book Antiqua" w:hAnsi="Book Antiqua" w:cs="Arial"/>
          <w:sz w:val="20"/>
          <w:szCs w:val="20"/>
        </w:rPr>
        <w:t>,</w:t>
      </w:r>
      <w:r w:rsidR="0040398D" w:rsidRPr="001A1E09">
        <w:rPr>
          <w:rFonts w:ascii="Book Antiqua" w:hAnsi="Book Antiqua" w:cs="Arial"/>
          <w:i/>
          <w:sz w:val="20"/>
          <w:szCs w:val="20"/>
        </w:rPr>
        <w:t xml:space="preserve"> P</w:t>
      </w:r>
      <w:r w:rsidR="00D375AB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=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0.024; validation cohort: HR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=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1.466, 95%CI: 1.033-2.142</w:t>
      </w:r>
      <w:r w:rsidR="0040398D" w:rsidRPr="001A1E09">
        <w:rPr>
          <w:rFonts w:ascii="Book Antiqua" w:hAnsi="Book Antiqua" w:cs="Arial"/>
          <w:sz w:val="20"/>
          <w:szCs w:val="20"/>
        </w:rPr>
        <w:t xml:space="preserve">, </w:t>
      </w:r>
      <w:r w:rsidR="0040398D" w:rsidRPr="001A1E09">
        <w:rPr>
          <w:rFonts w:ascii="Book Antiqua" w:hAnsi="Book Antiqua" w:cs="Arial"/>
          <w:i/>
          <w:sz w:val="20"/>
          <w:szCs w:val="20"/>
        </w:rPr>
        <w:t>P</w:t>
      </w:r>
      <w:r w:rsidR="00D375AB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=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0.04</w:t>
      </w:r>
      <w:r w:rsidR="0040398D" w:rsidRPr="001A1E09">
        <w:rPr>
          <w:rFonts w:ascii="Book Antiqua" w:hAnsi="Book Antiqua" w:cs="Arial"/>
          <w:sz w:val="20"/>
          <w:szCs w:val="20"/>
        </w:rPr>
        <w:t>8</w:t>
      </w:r>
      <w:r w:rsidR="00D375AB" w:rsidRPr="001A1E09">
        <w:rPr>
          <w:rFonts w:ascii="Book Antiqua" w:hAnsi="Book Antiqua" w:cs="Arial"/>
          <w:sz w:val="20"/>
          <w:szCs w:val="20"/>
        </w:rPr>
        <w:t>]</w:t>
      </w:r>
      <w:r w:rsidR="0040398D" w:rsidRPr="001A1E09">
        <w:rPr>
          <w:rFonts w:ascii="Book Antiqua" w:hAnsi="Book Antiqua" w:cs="Arial"/>
          <w:sz w:val="20"/>
          <w:szCs w:val="20"/>
        </w:rPr>
        <w:t xml:space="preserve"> and RFS (derivation </w:t>
      </w:r>
      <w:r w:rsidR="001A1F68" w:rsidRPr="001A1E09">
        <w:rPr>
          <w:rFonts w:ascii="Book Antiqua" w:hAnsi="Book Antiqua" w:cs="Arial"/>
          <w:sz w:val="20"/>
          <w:szCs w:val="20"/>
        </w:rPr>
        <w:t>cohort: HR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=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1.471, 95%CI: 1.029-2.103</w:t>
      </w:r>
      <w:r w:rsidR="0040398D" w:rsidRPr="001A1E09">
        <w:rPr>
          <w:rFonts w:ascii="Book Antiqua" w:hAnsi="Book Antiqua" w:cs="Arial"/>
          <w:sz w:val="20"/>
          <w:szCs w:val="20"/>
        </w:rPr>
        <w:t xml:space="preserve">, </w:t>
      </w:r>
      <w:r w:rsidR="0040398D" w:rsidRPr="001A1E09">
        <w:rPr>
          <w:rFonts w:ascii="Book Antiqua" w:hAnsi="Book Antiqua" w:cs="Arial"/>
          <w:i/>
          <w:sz w:val="20"/>
          <w:szCs w:val="20"/>
        </w:rPr>
        <w:t>P</w:t>
      </w:r>
      <w:r w:rsidR="00D375AB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=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0.048; validation cohort: HR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=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1.480, 95%CI: 1.057-2.070</w:t>
      </w:r>
      <w:r w:rsidR="0040398D" w:rsidRPr="001A1E09">
        <w:rPr>
          <w:rFonts w:ascii="Book Antiqua" w:hAnsi="Book Antiqua" w:cs="Arial"/>
          <w:sz w:val="20"/>
          <w:szCs w:val="20"/>
        </w:rPr>
        <w:t xml:space="preserve">, </w:t>
      </w:r>
      <w:r w:rsidR="0040398D" w:rsidRPr="001A1E09">
        <w:rPr>
          <w:rFonts w:ascii="Book Antiqua" w:hAnsi="Book Antiqua" w:cs="Arial"/>
          <w:i/>
          <w:sz w:val="20"/>
          <w:szCs w:val="20"/>
        </w:rPr>
        <w:t>P</w:t>
      </w:r>
      <w:r w:rsidR="00D375AB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=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1A1F68" w:rsidRPr="001A1E09">
        <w:rPr>
          <w:rFonts w:ascii="Book Antiqua" w:hAnsi="Book Antiqua" w:cs="Arial"/>
          <w:sz w:val="20"/>
          <w:szCs w:val="20"/>
        </w:rPr>
        <w:t>0.022</w:t>
      </w:r>
      <w:r w:rsidR="0040398D" w:rsidRPr="001A1E09">
        <w:rPr>
          <w:rFonts w:ascii="Book Antiqua" w:hAnsi="Book Antiqua" w:cs="Arial"/>
          <w:sz w:val="20"/>
          <w:szCs w:val="20"/>
        </w:rPr>
        <w:t>)</w:t>
      </w:r>
      <w:r w:rsidR="00A03ECB" w:rsidRPr="001A1E09">
        <w:rPr>
          <w:rFonts w:ascii="Book Antiqua" w:hAnsi="Book Antiqua" w:cs="Arial"/>
          <w:sz w:val="20"/>
          <w:szCs w:val="20"/>
        </w:rPr>
        <w:t>.</w:t>
      </w:r>
      <w:r w:rsidR="00AE43AD" w:rsidRPr="001A1E09">
        <w:rPr>
          <w:rFonts w:ascii="Book Antiqua" w:hAnsi="Book Antiqua" w:cs="Arial"/>
          <w:sz w:val="20"/>
          <w:szCs w:val="20"/>
        </w:rPr>
        <w:t xml:space="preserve"> </w:t>
      </w:r>
      <w:r w:rsidR="002A04DB" w:rsidRPr="001A1E09">
        <w:rPr>
          <w:rFonts w:ascii="Book Antiqua" w:hAnsi="Book Antiqua" w:cs="Arial"/>
          <w:sz w:val="20"/>
          <w:szCs w:val="20"/>
        </w:rPr>
        <w:t>In addition</w:t>
      </w:r>
      <w:r w:rsidR="00AE43AD" w:rsidRPr="001A1E09">
        <w:rPr>
          <w:rFonts w:ascii="Book Antiqua" w:hAnsi="Book Antiqua" w:cs="Arial"/>
          <w:sz w:val="20"/>
          <w:szCs w:val="20"/>
        </w:rPr>
        <w:t xml:space="preserve">, CA19-9 </w:t>
      </w:r>
      <w:r w:rsidR="002A04DB" w:rsidRPr="001A1E09">
        <w:rPr>
          <w:rFonts w:ascii="Book Antiqua" w:hAnsi="Book Antiqua" w:cs="Arial"/>
          <w:sz w:val="20"/>
          <w:szCs w:val="20"/>
        </w:rPr>
        <w:t xml:space="preserve">was </w:t>
      </w:r>
      <w:r w:rsidR="00AE43AD" w:rsidRPr="001A1E09">
        <w:rPr>
          <w:rFonts w:ascii="Book Antiqua" w:hAnsi="Book Antiqua" w:cs="Arial"/>
          <w:sz w:val="20"/>
          <w:szCs w:val="20"/>
        </w:rPr>
        <w:t xml:space="preserve">also demonstrated </w:t>
      </w:r>
      <w:r w:rsidR="002A04DB" w:rsidRPr="001A1E09">
        <w:rPr>
          <w:rFonts w:ascii="Book Antiqua" w:hAnsi="Book Antiqua" w:cs="Arial"/>
          <w:sz w:val="20"/>
          <w:szCs w:val="20"/>
        </w:rPr>
        <w:t>to be</w:t>
      </w:r>
      <w:r w:rsidR="00AE43AD" w:rsidRPr="001A1E09">
        <w:rPr>
          <w:rFonts w:ascii="Book Antiqua" w:hAnsi="Book Antiqua" w:cs="Arial"/>
          <w:sz w:val="20"/>
          <w:szCs w:val="20"/>
        </w:rPr>
        <w:t xml:space="preserve"> an independ</w:t>
      </w:r>
      <w:r w:rsidR="005C2323" w:rsidRPr="001A1E09">
        <w:rPr>
          <w:rFonts w:ascii="Book Antiqua" w:hAnsi="Book Antiqua" w:cs="Arial"/>
          <w:sz w:val="20"/>
          <w:szCs w:val="20"/>
        </w:rPr>
        <w:t>ent predictor of OS and RFS in</w:t>
      </w:r>
      <w:r w:rsidR="00AE43AD" w:rsidRPr="001A1E09">
        <w:rPr>
          <w:rFonts w:ascii="Book Antiqua" w:hAnsi="Book Antiqua" w:cs="Arial"/>
          <w:sz w:val="20"/>
          <w:szCs w:val="20"/>
        </w:rPr>
        <w:t xml:space="preserve"> both cohorts</w:t>
      </w:r>
      <w:r w:rsidR="005C2323" w:rsidRPr="001A1E09">
        <w:rPr>
          <w:rFonts w:ascii="Book Antiqua" w:hAnsi="Book Antiqua" w:cs="Arial"/>
          <w:sz w:val="20"/>
          <w:szCs w:val="20"/>
        </w:rPr>
        <w:t xml:space="preserve"> (all </w:t>
      </w:r>
      <w:r w:rsidR="005C2323" w:rsidRPr="001A1E09">
        <w:rPr>
          <w:rFonts w:ascii="Book Antiqua" w:hAnsi="Book Antiqua" w:cs="Arial"/>
          <w:i/>
          <w:sz w:val="20"/>
          <w:szCs w:val="20"/>
        </w:rPr>
        <w:t>P</w:t>
      </w:r>
      <w:r w:rsidR="00D375AB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5C2323" w:rsidRPr="001A1E09">
        <w:rPr>
          <w:rFonts w:ascii="Book Antiqua" w:hAnsi="Book Antiqua" w:cs="Arial"/>
          <w:sz w:val="20"/>
          <w:szCs w:val="20"/>
        </w:rPr>
        <w:t>&lt;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5C2323" w:rsidRPr="001A1E09">
        <w:rPr>
          <w:rFonts w:ascii="Book Antiqua" w:hAnsi="Book Antiqua" w:cs="Arial"/>
          <w:sz w:val="20"/>
          <w:szCs w:val="20"/>
        </w:rPr>
        <w:t>0.05)</w:t>
      </w:r>
      <w:r w:rsidR="00AE43AD" w:rsidRPr="001A1E09">
        <w:rPr>
          <w:rFonts w:ascii="Book Antiqua" w:hAnsi="Book Antiqua" w:cs="Arial"/>
          <w:sz w:val="20"/>
          <w:szCs w:val="20"/>
        </w:rPr>
        <w:t>.</w:t>
      </w:r>
    </w:p>
    <w:p w14:paraId="3EB53431" w14:textId="77777777" w:rsidR="00B65C28" w:rsidRPr="001A1E09" w:rsidRDefault="00B65C28" w:rsidP="001A1E09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48A006F4" w14:textId="77777777" w:rsidR="00E43E1D" w:rsidRPr="001A1E09" w:rsidRDefault="00E43E1D" w:rsidP="001A1E09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0"/>
          <w:szCs w:val="20"/>
        </w:rPr>
      </w:pPr>
      <w:r w:rsidRPr="001A1E09">
        <w:rPr>
          <w:rFonts w:ascii="Book Antiqua" w:hAnsi="Book Antiqua" w:cs="Arial"/>
          <w:b/>
          <w:i/>
          <w:sz w:val="20"/>
          <w:szCs w:val="20"/>
        </w:rPr>
        <w:t>Prognostic values of GLR in different ICC subgroups</w:t>
      </w:r>
    </w:p>
    <w:p w14:paraId="3E379F99" w14:textId="698AADF4" w:rsidR="00E43E1D" w:rsidRPr="001A1E09" w:rsidRDefault="0063476C" w:rsidP="001A1E09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We further investigated the prognostic value of </w:t>
      </w:r>
      <w:r w:rsidR="00DD0F50" w:rsidRPr="001A1E09">
        <w:rPr>
          <w:rFonts w:ascii="Book Antiqua" w:hAnsi="Book Antiqua" w:cs="Arial"/>
          <w:sz w:val="20"/>
          <w:szCs w:val="20"/>
        </w:rPr>
        <w:t xml:space="preserve">the </w:t>
      </w:r>
      <w:r w:rsidRPr="001A1E09">
        <w:rPr>
          <w:rFonts w:ascii="Book Antiqua" w:hAnsi="Book Antiqua" w:cs="Arial"/>
          <w:sz w:val="20"/>
          <w:szCs w:val="20"/>
        </w:rPr>
        <w:t xml:space="preserve">GLR in </w:t>
      </w:r>
      <w:bookmarkStart w:id="36" w:name="OLE_LINK19"/>
      <w:bookmarkStart w:id="37" w:name="OLE_LINK20"/>
      <w:r w:rsidRPr="001A1E09">
        <w:rPr>
          <w:rFonts w:ascii="Book Antiqua" w:hAnsi="Book Antiqua" w:cs="Arial"/>
          <w:sz w:val="20"/>
          <w:szCs w:val="20"/>
        </w:rPr>
        <w:t>various subgroups</w:t>
      </w:r>
      <w:bookmarkEnd w:id="36"/>
      <w:bookmarkEnd w:id="37"/>
      <w:r w:rsidR="00DD0F50" w:rsidRPr="001A1E09">
        <w:rPr>
          <w:rFonts w:ascii="Book Antiqua" w:hAnsi="Book Antiqua" w:cs="Arial"/>
          <w:sz w:val="20"/>
          <w:szCs w:val="20"/>
        </w:rPr>
        <w:t xml:space="preserve"> of</w:t>
      </w:r>
      <w:r w:rsidRPr="001A1E09">
        <w:rPr>
          <w:rFonts w:ascii="Book Antiqua" w:hAnsi="Book Antiqua" w:cs="Arial"/>
          <w:sz w:val="20"/>
          <w:szCs w:val="20"/>
        </w:rPr>
        <w:t xml:space="preserve"> ICC patients.</w:t>
      </w:r>
      <w:r w:rsidR="00AB6BB1" w:rsidRPr="001A1E09">
        <w:rPr>
          <w:rFonts w:ascii="Book Antiqua" w:hAnsi="Book Antiqua" w:cs="Arial"/>
          <w:sz w:val="20"/>
          <w:szCs w:val="20"/>
        </w:rPr>
        <w:t xml:space="preserve"> The results suggested that </w:t>
      </w:r>
      <w:r w:rsidR="00DD0F50" w:rsidRPr="001A1E09">
        <w:rPr>
          <w:rFonts w:ascii="Book Antiqua" w:hAnsi="Book Antiqua" w:cs="Arial"/>
          <w:sz w:val="20"/>
          <w:szCs w:val="20"/>
        </w:rPr>
        <w:t xml:space="preserve">the </w:t>
      </w:r>
      <w:r w:rsidR="00AB6BB1" w:rsidRPr="001A1E09">
        <w:rPr>
          <w:rFonts w:ascii="Book Antiqua" w:hAnsi="Book Antiqua" w:cs="Arial"/>
          <w:sz w:val="20"/>
          <w:szCs w:val="20"/>
        </w:rPr>
        <w:t xml:space="preserve">GLR was a prognostic factor for </w:t>
      </w:r>
      <w:r w:rsidR="009434B7" w:rsidRPr="001A1E09">
        <w:rPr>
          <w:rFonts w:ascii="Book Antiqua" w:hAnsi="Book Antiqua" w:cs="Arial"/>
          <w:sz w:val="20"/>
          <w:szCs w:val="20"/>
        </w:rPr>
        <w:t xml:space="preserve">OS and RFS in patients </w:t>
      </w:r>
      <w:r w:rsidR="00C630E2" w:rsidRPr="001A1E09">
        <w:rPr>
          <w:rFonts w:ascii="Book Antiqua" w:hAnsi="Book Antiqua" w:cs="Arial"/>
          <w:sz w:val="20"/>
          <w:szCs w:val="20"/>
        </w:rPr>
        <w:t>age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C630E2" w:rsidRPr="001A1E09">
        <w:rPr>
          <w:rFonts w:ascii="Book Antiqua" w:hAnsi="Book Antiqua" w:cs="Arial"/>
          <w:sz w:val="20"/>
          <w:szCs w:val="20"/>
        </w:rPr>
        <w:t>&gt;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C630E2" w:rsidRPr="001A1E09">
        <w:rPr>
          <w:rFonts w:ascii="Book Antiqua" w:hAnsi="Book Antiqua" w:cs="Arial"/>
          <w:sz w:val="20"/>
          <w:szCs w:val="20"/>
        </w:rPr>
        <w:t>60 or ≤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C630E2" w:rsidRPr="001A1E09">
        <w:rPr>
          <w:rFonts w:ascii="Book Antiqua" w:hAnsi="Book Antiqua" w:cs="Arial"/>
          <w:sz w:val="20"/>
          <w:szCs w:val="20"/>
        </w:rPr>
        <w:t xml:space="preserve">60, male or female, </w:t>
      </w:r>
      <w:r w:rsidR="009434B7" w:rsidRPr="001A1E09">
        <w:rPr>
          <w:rFonts w:ascii="Book Antiqua" w:hAnsi="Book Antiqua" w:cs="Arial"/>
          <w:sz w:val="20"/>
          <w:szCs w:val="20"/>
        </w:rPr>
        <w:t>with or without cirrhosis, without ascites,</w:t>
      </w:r>
      <w:r w:rsidR="00C630E2" w:rsidRPr="001A1E09">
        <w:rPr>
          <w:rFonts w:ascii="Book Antiqua" w:hAnsi="Book Antiqua" w:cs="Arial"/>
          <w:sz w:val="20"/>
          <w:szCs w:val="20"/>
        </w:rPr>
        <w:t xml:space="preserve"> with solitary tumor,</w:t>
      </w:r>
      <w:r w:rsidR="009434B7" w:rsidRPr="001A1E09">
        <w:rPr>
          <w:rFonts w:ascii="Book Antiqua" w:hAnsi="Book Antiqua" w:cs="Arial"/>
          <w:sz w:val="20"/>
          <w:szCs w:val="20"/>
        </w:rPr>
        <w:t xml:space="preserve"> </w:t>
      </w:r>
      <w:r w:rsidR="00C630E2" w:rsidRPr="001A1E09">
        <w:rPr>
          <w:rFonts w:ascii="Book Antiqua" w:hAnsi="Book Antiqua" w:cs="Arial"/>
          <w:sz w:val="20"/>
          <w:szCs w:val="20"/>
        </w:rPr>
        <w:t>with tumor size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C630E2" w:rsidRPr="001A1E09">
        <w:rPr>
          <w:rFonts w:ascii="Book Antiqua" w:eastAsia="宋体" w:hAnsi="Book Antiqua" w:cs="Arial"/>
          <w:sz w:val="20"/>
          <w:szCs w:val="20"/>
        </w:rPr>
        <w:t>≥</w:t>
      </w:r>
      <w:r w:rsidR="00D375AB" w:rsidRPr="001A1E09">
        <w:rPr>
          <w:rFonts w:ascii="Book Antiqua" w:eastAsia="宋体" w:hAnsi="Book Antiqua" w:cs="Arial"/>
          <w:sz w:val="20"/>
          <w:szCs w:val="20"/>
        </w:rPr>
        <w:t xml:space="preserve"> </w:t>
      </w:r>
      <w:r w:rsidR="00C630E2" w:rsidRPr="001A1E09">
        <w:rPr>
          <w:rFonts w:ascii="Book Antiqua" w:eastAsia="宋体" w:hAnsi="Book Antiqua" w:cs="Arial"/>
          <w:sz w:val="20"/>
          <w:szCs w:val="20"/>
        </w:rPr>
        <w:t>5 cm or &lt;</w:t>
      </w:r>
      <w:r w:rsidR="00D375AB" w:rsidRPr="001A1E09">
        <w:rPr>
          <w:rFonts w:ascii="Book Antiqua" w:eastAsia="宋体" w:hAnsi="Book Antiqua" w:cs="Arial"/>
          <w:sz w:val="20"/>
          <w:szCs w:val="20"/>
        </w:rPr>
        <w:t xml:space="preserve"> </w:t>
      </w:r>
      <w:r w:rsidR="00C630E2" w:rsidRPr="001A1E09">
        <w:rPr>
          <w:rFonts w:ascii="Book Antiqua" w:eastAsia="宋体" w:hAnsi="Book Antiqua" w:cs="Arial"/>
          <w:sz w:val="20"/>
          <w:szCs w:val="20"/>
        </w:rPr>
        <w:t>5</w:t>
      </w:r>
      <w:r w:rsidR="00D375AB" w:rsidRPr="001A1E09">
        <w:rPr>
          <w:rFonts w:ascii="Book Antiqua" w:eastAsia="宋体" w:hAnsi="Book Antiqua" w:cs="Arial"/>
          <w:sz w:val="20"/>
          <w:szCs w:val="20"/>
        </w:rPr>
        <w:t xml:space="preserve"> </w:t>
      </w:r>
      <w:r w:rsidR="00C630E2" w:rsidRPr="001A1E09">
        <w:rPr>
          <w:rFonts w:ascii="Book Antiqua" w:eastAsia="宋体" w:hAnsi="Book Antiqua" w:cs="Arial"/>
          <w:sz w:val="20"/>
          <w:szCs w:val="20"/>
        </w:rPr>
        <w:t>cm</w:t>
      </w:r>
      <w:r w:rsidR="00C630E2" w:rsidRPr="001A1E09">
        <w:rPr>
          <w:rFonts w:ascii="Book Antiqua" w:hAnsi="Book Antiqua" w:cs="Arial"/>
          <w:sz w:val="20"/>
          <w:szCs w:val="20"/>
        </w:rPr>
        <w:t>, with MVI</w:t>
      </w:r>
      <w:r w:rsidR="00527988" w:rsidRPr="001A1E09">
        <w:rPr>
          <w:rFonts w:ascii="Book Antiqua" w:hAnsi="Book Antiqua" w:cs="Arial"/>
          <w:sz w:val="20"/>
          <w:szCs w:val="20"/>
        </w:rPr>
        <w:t>-</w:t>
      </w:r>
      <w:r w:rsidR="00C630E2" w:rsidRPr="001A1E09">
        <w:rPr>
          <w:rFonts w:ascii="Book Antiqua" w:hAnsi="Book Antiqua" w:cs="Arial"/>
          <w:sz w:val="20"/>
          <w:szCs w:val="20"/>
        </w:rPr>
        <w:t xml:space="preserve">negative, </w:t>
      </w:r>
      <w:r w:rsidR="009434B7" w:rsidRPr="001A1E09">
        <w:rPr>
          <w:rFonts w:ascii="Book Antiqua" w:hAnsi="Book Antiqua" w:cs="Arial"/>
          <w:sz w:val="20"/>
          <w:szCs w:val="20"/>
        </w:rPr>
        <w:t>with or without macrovascu</w:t>
      </w:r>
      <w:r w:rsidR="00C630E2" w:rsidRPr="001A1E09">
        <w:rPr>
          <w:rFonts w:ascii="Book Antiqua" w:hAnsi="Book Antiqua" w:cs="Arial"/>
          <w:sz w:val="20"/>
          <w:szCs w:val="20"/>
        </w:rPr>
        <w:t>lar invasion</w:t>
      </w:r>
      <w:r w:rsidR="009434B7" w:rsidRPr="001A1E09">
        <w:rPr>
          <w:rFonts w:ascii="Book Antiqua" w:hAnsi="Book Antiqua" w:cs="Arial"/>
          <w:sz w:val="20"/>
          <w:szCs w:val="20"/>
        </w:rPr>
        <w:t>, with node</w:t>
      </w:r>
      <w:r w:rsidR="00527988" w:rsidRPr="001A1E09">
        <w:rPr>
          <w:rFonts w:ascii="Book Antiqua" w:hAnsi="Book Antiqua" w:cs="Arial"/>
          <w:sz w:val="20"/>
          <w:szCs w:val="20"/>
        </w:rPr>
        <w:t>-</w:t>
      </w:r>
      <w:r w:rsidR="009434B7" w:rsidRPr="001A1E09">
        <w:rPr>
          <w:rFonts w:ascii="Book Antiqua" w:hAnsi="Book Antiqua" w:cs="Arial"/>
          <w:sz w:val="20"/>
          <w:szCs w:val="20"/>
        </w:rPr>
        <w:t xml:space="preserve">positive or </w:t>
      </w:r>
      <w:r w:rsidR="00527988" w:rsidRPr="001A1E09">
        <w:rPr>
          <w:rFonts w:ascii="Book Antiqua" w:hAnsi="Book Antiqua" w:cs="Arial"/>
          <w:sz w:val="20"/>
          <w:szCs w:val="20"/>
        </w:rPr>
        <w:t>node-</w:t>
      </w:r>
      <w:r w:rsidR="009434B7" w:rsidRPr="001A1E09">
        <w:rPr>
          <w:rFonts w:ascii="Book Antiqua" w:hAnsi="Book Antiqua" w:cs="Arial"/>
          <w:sz w:val="20"/>
          <w:szCs w:val="20"/>
        </w:rPr>
        <w:t>negative</w:t>
      </w:r>
      <w:r w:rsidR="0018052B" w:rsidRPr="001A1E09">
        <w:rPr>
          <w:rFonts w:ascii="Book Antiqua" w:hAnsi="Book Antiqua" w:cs="Arial"/>
          <w:sz w:val="20"/>
          <w:szCs w:val="20"/>
        </w:rPr>
        <w:t>,</w:t>
      </w:r>
      <w:r w:rsidR="00C630E2" w:rsidRPr="001A1E09">
        <w:rPr>
          <w:rFonts w:ascii="Book Antiqua" w:hAnsi="Book Antiqua" w:cs="Arial"/>
          <w:sz w:val="20"/>
          <w:szCs w:val="20"/>
        </w:rPr>
        <w:t xml:space="preserve"> </w:t>
      </w:r>
      <w:r w:rsidR="009434B7" w:rsidRPr="001A1E09">
        <w:rPr>
          <w:rFonts w:ascii="Book Antiqua" w:hAnsi="Book Antiqua" w:cs="Arial"/>
          <w:sz w:val="20"/>
          <w:szCs w:val="20"/>
        </w:rPr>
        <w:t>with or without perineural invasion</w:t>
      </w:r>
      <w:r w:rsidR="00C630E2" w:rsidRPr="001A1E09">
        <w:rPr>
          <w:rFonts w:ascii="Book Antiqua" w:hAnsi="Book Antiqua" w:cs="Arial"/>
          <w:sz w:val="20"/>
          <w:szCs w:val="20"/>
        </w:rPr>
        <w:t>, with BCLC stage 0-A or B-C and TNM stage I-II or III</w:t>
      </w:r>
      <w:r w:rsidR="00BF7D19" w:rsidRPr="001A1E09">
        <w:rPr>
          <w:rFonts w:ascii="Book Antiqua" w:hAnsi="Book Antiqua" w:cs="Arial"/>
          <w:sz w:val="20"/>
          <w:szCs w:val="20"/>
        </w:rPr>
        <w:t xml:space="preserve"> </w:t>
      </w:r>
      <w:r w:rsidR="003771AC" w:rsidRPr="001A1E09">
        <w:rPr>
          <w:rFonts w:ascii="Book Antiqua" w:hAnsi="Book Antiqua" w:cs="Arial"/>
          <w:sz w:val="20"/>
          <w:szCs w:val="20"/>
        </w:rPr>
        <w:t xml:space="preserve">(all </w:t>
      </w:r>
      <w:r w:rsidR="003771AC" w:rsidRPr="001A1E09">
        <w:rPr>
          <w:rFonts w:ascii="Book Antiqua" w:hAnsi="Book Antiqua" w:cs="Arial"/>
          <w:i/>
          <w:sz w:val="20"/>
          <w:szCs w:val="20"/>
        </w:rPr>
        <w:t>P</w:t>
      </w:r>
      <w:r w:rsidR="00D375AB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3771AC" w:rsidRPr="001A1E09">
        <w:rPr>
          <w:rFonts w:ascii="Book Antiqua" w:hAnsi="Book Antiqua" w:cs="Arial"/>
          <w:sz w:val="20"/>
          <w:szCs w:val="20"/>
        </w:rPr>
        <w:t>&lt;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3771AC" w:rsidRPr="001A1E09">
        <w:rPr>
          <w:rFonts w:ascii="Book Antiqua" w:hAnsi="Book Antiqua" w:cs="Arial"/>
          <w:sz w:val="20"/>
          <w:szCs w:val="20"/>
        </w:rPr>
        <w:t xml:space="preserve">0.05) </w:t>
      </w:r>
      <w:r w:rsidR="00BF7D19" w:rsidRPr="001A1E09">
        <w:rPr>
          <w:rFonts w:ascii="Book Antiqua" w:hAnsi="Book Antiqua" w:cs="Arial"/>
          <w:sz w:val="20"/>
          <w:szCs w:val="20"/>
        </w:rPr>
        <w:t>(Supplementary Figures 5 and 6)</w:t>
      </w:r>
      <w:r w:rsidR="009434B7" w:rsidRPr="001A1E09">
        <w:rPr>
          <w:rFonts w:ascii="Book Antiqua" w:hAnsi="Book Antiqua" w:cs="Arial"/>
          <w:sz w:val="20"/>
          <w:szCs w:val="20"/>
        </w:rPr>
        <w:t>.</w:t>
      </w:r>
      <w:r w:rsidR="00D756E6" w:rsidRPr="001A1E09">
        <w:rPr>
          <w:rFonts w:ascii="Book Antiqua" w:hAnsi="Book Antiqua" w:cs="Arial"/>
          <w:sz w:val="20"/>
          <w:szCs w:val="20"/>
        </w:rPr>
        <w:t xml:space="preserve"> </w:t>
      </w:r>
      <w:r w:rsidR="00DD4C5B" w:rsidRPr="001A1E09">
        <w:rPr>
          <w:rFonts w:ascii="Book Antiqua" w:hAnsi="Book Antiqua" w:cs="Arial"/>
          <w:sz w:val="20"/>
          <w:szCs w:val="20"/>
        </w:rPr>
        <w:t>However, preoperative GLR was not a prognostic marker for OS and RFS in patients with ascites, multiple tumor and MVI</w:t>
      </w:r>
      <w:r w:rsidR="00527988" w:rsidRPr="001A1E09">
        <w:rPr>
          <w:rFonts w:ascii="Book Antiqua" w:hAnsi="Book Antiqua" w:cs="Arial"/>
          <w:sz w:val="20"/>
          <w:szCs w:val="20"/>
        </w:rPr>
        <w:t>-</w:t>
      </w:r>
      <w:r w:rsidR="00DD4C5B" w:rsidRPr="001A1E09">
        <w:rPr>
          <w:rFonts w:ascii="Book Antiqua" w:hAnsi="Book Antiqua" w:cs="Arial"/>
          <w:sz w:val="20"/>
          <w:szCs w:val="20"/>
        </w:rPr>
        <w:t>positive</w:t>
      </w:r>
      <w:r w:rsidR="003771AC" w:rsidRPr="001A1E09">
        <w:rPr>
          <w:rFonts w:ascii="Book Antiqua" w:hAnsi="Book Antiqua" w:cs="Arial"/>
          <w:sz w:val="20"/>
          <w:szCs w:val="20"/>
        </w:rPr>
        <w:t xml:space="preserve"> (all </w:t>
      </w:r>
      <w:r w:rsidR="003771AC" w:rsidRPr="001A1E09">
        <w:rPr>
          <w:rFonts w:ascii="Book Antiqua" w:hAnsi="Book Antiqua" w:cs="Arial"/>
          <w:i/>
          <w:sz w:val="20"/>
          <w:szCs w:val="20"/>
        </w:rPr>
        <w:t>P</w:t>
      </w:r>
      <w:r w:rsidR="00D375AB" w:rsidRPr="001A1E09">
        <w:rPr>
          <w:rFonts w:ascii="Book Antiqua" w:hAnsi="Book Antiqua" w:cs="Arial"/>
          <w:i/>
          <w:sz w:val="20"/>
          <w:szCs w:val="20"/>
        </w:rPr>
        <w:t xml:space="preserve"> </w:t>
      </w:r>
      <w:r w:rsidR="003771AC" w:rsidRPr="001A1E09">
        <w:rPr>
          <w:rFonts w:ascii="Book Antiqua" w:hAnsi="Book Antiqua" w:cs="Arial"/>
          <w:sz w:val="20"/>
          <w:szCs w:val="20"/>
        </w:rPr>
        <w:t>&gt;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3771AC" w:rsidRPr="001A1E09">
        <w:rPr>
          <w:rFonts w:ascii="Book Antiqua" w:hAnsi="Book Antiqua" w:cs="Arial"/>
          <w:sz w:val="20"/>
          <w:szCs w:val="20"/>
        </w:rPr>
        <w:t>0.05) (Supplementary Figures 5 and 6)</w:t>
      </w:r>
      <w:r w:rsidR="00DD4C5B" w:rsidRPr="001A1E09">
        <w:rPr>
          <w:rFonts w:ascii="Book Antiqua" w:hAnsi="Book Antiqua" w:cs="Arial"/>
          <w:sz w:val="20"/>
          <w:szCs w:val="20"/>
        </w:rPr>
        <w:t>.</w:t>
      </w:r>
    </w:p>
    <w:p w14:paraId="76F28C11" w14:textId="77777777" w:rsidR="00442053" w:rsidRPr="001A1E09" w:rsidRDefault="00442053" w:rsidP="001A1E09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51F4600F" w14:textId="77777777" w:rsidR="00FF1B77" w:rsidRPr="001A1E09" w:rsidRDefault="008B3AC8" w:rsidP="001A1E09">
      <w:pPr>
        <w:tabs>
          <w:tab w:val="left" w:pos="5880"/>
        </w:tabs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  <w:u w:val="single"/>
        </w:rPr>
      </w:pPr>
      <w:r w:rsidRPr="001A1E09">
        <w:rPr>
          <w:rFonts w:ascii="Book Antiqua" w:hAnsi="Book Antiqua" w:cs="Arial"/>
          <w:b/>
          <w:sz w:val="20"/>
          <w:szCs w:val="20"/>
          <w:u w:val="single"/>
        </w:rPr>
        <w:t>DISCUSSION</w:t>
      </w:r>
    </w:p>
    <w:p w14:paraId="27161144" w14:textId="6D31D4EF" w:rsidR="00D8108E" w:rsidRPr="001A1E09" w:rsidRDefault="009155DB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It is clear that the poor prognosis and </w:t>
      </w:r>
      <w:r w:rsidR="00530644" w:rsidRPr="001A1E09">
        <w:rPr>
          <w:rFonts w:ascii="Book Antiqua" w:hAnsi="Book Antiqua" w:cs="Arial"/>
          <w:sz w:val="20"/>
          <w:szCs w:val="20"/>
        </w:rPr>
        <w:t>limited effective treatment options</w:t>
      </w:r>
      <w:r w:rsidR="00E35467" w:rsidRPr="001A1E09">
        <w:rPr>
          <w:rFonts w:ascii="Book Antiqua" w:hAnsi="Book Antiqua" w:cs="Arial"/>
          <w:sz w:val="20"/>
          <w:szCs w:val="20"/>
        </w:rPr>
        <w:t xml:space="preserve"> for ICC</w:t>
      </w:r>
      <w:r w:rsidR="00530644" w:rsidRPr="001A1E09">
        <w:rPr>
          <w:rFonts w:ascii="Book Antiqua" w:hAnsi="Book Antiqua" w:cs="Arial"/>
          <w:sz w:val="20"/>
          <w:szCs w:val="20"/>
        </w:rPr>
        <w:t xml:space="preserve"> </w:t>
      </w:r>
      <w:r w:rsidR="00140597" w:rsidRPr="001A1E09">
        <w:rPr>
          <w:rFonts w:ascii="Book Antiqua" w:hAnsi="Book Antiqua" w:cs="Arial"/>
          <w:sz w:val="20"/>
          <w:szCs w:val="20"/>
        </w:rPr>
        <w:t xml:space="preserve">are common </w:t>
      </w:r>
      <w:r w:rsidRPr="001A1E09">
        <w:rPr>
          <w:rFonts w:ascii="Book Antiqua" w:hAnsi="Book Antiqua" w:cs="Arial"/>
          <w:sz w:val="20"/>
          <w:szCs w:val="20"/>
        </w:rPr>
        <w:t>obstacle</w:t>
      </w:r>
      <w:r w:rsidR="00140597" w:rsidRPr="001A1E09">
        <w:rPr>
          <w:rFonts w:ascii="Book Antiqua" w:hAnsi="Book Antiqua" w:cs="Arial"/>
          <w:sz w:val="20"/>
          <w:szCs w:val="20"/>
        </w:rPr>
        <w:t>s</w:t>
      </w:r>
      <w:r w:rsidRPr="001A1E09">
        <w:rPr>
          <w:rFonts w:ascii="Book Antiqua" w:hAnsi="Book Antiqua" w:cs="Arial"/>
          <w:sz w:val="20"/>
          <w:szCs w:val="20"/>
        </w:rPr>
        <w:t xml:space="preserve"> faced by clinicians</w:t>
      </w:r>
      <w:r w:rsidR="00D375AB" w:rsidRPr="001A1E09">
        <w:rPr>
          <w:rFonts w:ascii="Book Antiqua" w:hAnsi="Book Antiqua" w:cs="Arial"/>
          <w:sz w:val="20"/>
          <w:szCs w:val="20"/>
          <w:vertAlign w:val="superscript"/>
        </w:rPr>
        <w:t>[1,6]</w:t>
      </w:r>
      <w:r w:rsidRPr="001A1E09">
        <w:rPr>
          <w:rFonts w:ascii="Book Antiqua" w:hAnsi="Book Antiqua" w:cs="Arial"/>
          <w:sz w:val="20"/>
          <w:szCs w:val="20"/>
        </w:rPr>
        <w:t>.</w:t>
      </w:r>
      <w:r w:rsidR="009E1213" w:rsidRPr="001A1E09">
        <w:rPr>
          <w:rFonts w:ascii="Book Antiqua" w:hAnsi="Book Antiqua" w:cs="Arial"/>
          <w:sz w:val="20"/>
          <w:szCs w:val="20"/>
        </w:rPr>
        <w:t xml:space="preserve"> </w:t>
      </w:r>
      <w:r w:rsidR="00DD0F50" w:rsidRPr="001A1E09">
        <w:rPr>
          <w:rFonts w:ascii="Book Antiqua" w:hAnsi="Book Antiqua" w:cs="Arial"/>
          <w:sz w:val="20"/>
          <w:szCs w:val="20"/>
        </w:rPr>
        <w:t>Thus</w:t>
      </w:r>
      <w:r w:rsidR="0007097E" w:rsidRPr="001A1E09">
        <w:rPr>
          <w:rFonts w:ascii="Book Antiqua" w:hAnsi="Book Antiqua" w:cs="Arial"/>
          <w:sz w:val="20"/>
          <w:szCs w:val="20"/>
        </w:rPr>
        <w:t>,</w:t>
      </w:r>
      <w:r w:rsidR="00E36C1E" w:rsidRPr="001A1E09">
        <w:rPr>
          <w:rFonts w:ascii="Book Antiqua" w:hAnsi="Book Antiqua" w:cs="Arial"/>
          <w:sz w:val="20"/>
          <w:szCs w:val="20"/>
        </w:rPr>
        <w:t xml:space="preserve"> </w:t>
      </w:r>
      <w:r w:rsidR="00DD0F50" w:rsidRPr="001A1E09">
        <w:rPr>
          <w:rFonts w:ascii="Book Antiqua" w:hAnsi="Book Antiqua" w:cs="Arial"/>
          <w:sz w:val="20"/>
          <w:szCs w:val="20"/>
        </w:rPr>
        <w:t xml:space="preserve">a </w:t>
      </w:r>
      <w:r w:rsidR="0007097E" w:rsidRPr="001A1E09">
        <w:rPr>
          <w:rFonts w:ascii="Book Antiqua" w:hAnsi="Book Antiqua" w:cs="Arial"/>
          <w:sz w:val="20"/>
          <w:szCs w:val="20"/>
        </w:rPr>
        <w:t>prognostic</w:t>
      </w:r>
      <w:r w:rsidR="00E36C1E" w:rsidRPr="001A1E09">
        <w:rPr>
          <w:rFonts w:ascii="Book Antiqua" w:hAnsi="Book Antiqua" w:cs="Arial"/>
          <w:sz w:val="20"/>
          <w:szCs w:val="20"/>
        </w:rPr>
        <w:t xml:space="preserve"> model to screen </w:t>
      </w:r>
      <w:r w:rsidR="0007097E" w:rsidRPr="001A1E09">
        <w:rPr>
          <w:rFonts w:ascii="Book Antiqua" w:hAnsi="Book Antiqua" w:cs="Arial"/>
          <w:sz w:val="20"/>
          <w:szCs w:val="20"/>
        </w:rPr>
        <w:t>su</w:t>
      </w:r>
      <w:r w:rsidR="004E6553" w:rsidRPr="001A1E09">
        <w:rPr>
          <w:rFonts w:ascii="Book Antiqua" w:hAnsi="Book Antiqua" w:cs="Arial"/>
          <w:sz w:val="20"/>
          <w:szCs w:val="20"/>
        </w:rPr>
        <w:t xml:space="preserve">rgical patients </w:t>
      </w:r>
      <w:r w:rsidR="00DD0F50" w:rsidRPr="001A1E09">
        <w:rPr>
          <w:rFonts w:ascii="Book Antiqua" w:hAnsi="Book Antiqua" w:cs="Arial"/>
          <w:sz w:val="20"/>
          <w:szCs w:val="20"/>
        </w:rPr>
        <w:t>with a</w:t>
      </w:r>
      <w:r w:rsidR="004E6553" w:rsidRPr="001A1E09">
        <w:rPr>
          <w:rFonts w:ascii="Book Antiqua" w:hAnsi="Book Antiqua" w:cs="Arial"/>
          <w:sz w:val="20"/>
          <w:szCs w:val="20"/>
        </w:rPr>
        <w:t xml:space="preserve"> high risk of </w:t>
      </w:r>
      <w:r w:rsidR="0007097E" w:rsidRPr="001A1E09">
        <w:rPr>
          <w:rFonts w:ascii="Book Antiqua" w:hAnsi="Book Antiqua" w:cs="Arial"/>
          <w:sz w:val="20"/>
          <w:szCs w:val="20"/>
        </w:rPr>
        <w:t>recurrence or metastasis is of great value</w:t>
      </w:r>
      <w:r w:rsidR="00DD0F50" w:rsidRPr="001A1E09">
        <w:rPr>
          <w:rFonts w:ascii="Book Antiqua" w:hAnsi="Book Antiqua" w:cs="Arial"/>
          <w:sz w:val="20"/>
          <w:szCs w:val="20"/>
        </w:rPr>
        <w:t xml:space="preserve"> for</w:t>
      </w:r>
      <w:r w:rsidR="005E73E3" w:rsidRPr="001A1E09">
        <w:rPr>
          <w:rFonts w:ascii="Book Antiqua" w:hAnsi="Book Antiqua" w:cs="Arial"/>
          <w:sz w:val="20"/>
          <w:szCs w:val="20"/>
        </w:rPr>
        <w:t xml:space="preserve"> develop</w:t>
      </w:r>
      <w:r w:rsidR="00DD0F50" w:rsidRPr="001A1E09">
        <w:rPr>
          <w:rFonts w:ascii="Book Antiqua" w:hAnsi="Book Antiqua" w:cs="Arial"/>
          <w:sz w:val="20"/>
          <w:szCs w:val="20"/>
        </w:rPr>
        <w:t>ing</w:t>
      </w:r>
      <w:r w:rsidR="005E73E3" w:rsidRPr="001A1E09">
        <w:rPr>
          <w:rFonts w:ascii="Book Antiqua" w:hAnsi="Book Antiqua" w:cs="Arial"/>
          <w:sz w:val="20"/>
          <w:szCs w:val="20"/>
        </w:rPr>
        <w:t xml:space="preserve"> </w:t>
      </w:r>
      <w:r w:rsidR="00DD0F50" w:rsidRPr="001A1E09">
        <w:rPr>
          <w:rFonts w:ascii="Book Antiqua" w:hAnsi="Book Antiqua" w:cs="Arial"/>
          <w:sz w:val="20"/>
          <w:szCs w:val="20"/>
        </w:rPr>
        <w:t xml:space="preserve">additional </w:t>
      </w:r>
      <w:r w:rsidR="005E73E3" w:rsidRPr="001A1E09">
        <w:rPr>
          <w:rFonts w:ascii="Book Antiqua" w:hAnsi="Book Antiqua" w:cs="Arial"/>
          <w:sz w:val="20"/>
          <w:szCs w:val="20"/>
        </w:rPr>
        <w:t xml:space="preserve">personalized </w:t>
      </w:r>
      <w:r w:rsidR="00A5613D" w:rsidRPr="001A1E09">
        <w:rPr>
          <w:rFonts w:ascii="Book Antiqua" w:hAnsi="Book Antiqua" w:cs="Arial"/>
          <w:sz w:val="20"/>
          <w:szCs w:val="20"/>
        </w:rPr>
        <w:t>therapeutic approaches</w:t>
      </w:r>
      <w:r w:rsidR="0007097E" w:rsidRPr="001A1E09">
        <w:rPr>
          <w:rFonts w:ascii="Book Antiqua" w:hAnsi="Book Antiqua" w:cs="Arial"/>
          <w:sz w:val="20"/>
          <w:szCs w:val="20"/>
        </w:rPr>
        <w:t xml:space="preserve">. </w:t>
      </w:r>
      <w:r w:rsidR="005E24E4" w:rsidRPr="001A1E09">
        <w:rPr>
          <w:rFonts w:ascii="Book Antiqua" w:hAnsi="Book Antiqua" w:cs="Arial"/>
          <w:sz w:val="20"/>
          <w:szCs w:val="20"/>
        </w:rPr>
        <w:t>The main finding of</w:t>
      </w:r>
      <w:r w:rsidR="00794BE6" w:rsidRPr="001A1E09">
        <w:rPr>
          <w:rFonts w:ascii="Book Antiqua" w:hAnsi="Book Antiqua" w:cs="Arial"/>
          <w:sz w:val="20"/>
          <w:szCs w:val="20"/>
        </w:rPr>
        <w:t xml:space="preserve"> </w:t>
      </w:r>
      <w:r w:rsidR="00DD0F50" w:rsidRPr="001A1E09">
        <w:rPr>
          <w:rFonts w:ascii="Book Antiqua" w:hAnsi="Book Antiqua" w:cs="Arial"/>
          <w:sz w:val="20"/>
          <w:szCs w:val="20"/>
        </w:rPr>
        <w:t xml:space="preserve">the </w:t>
      </w:r>
      <w:r w:rsidR="00794BE6" w:rsidRPr="001A1E09">
        <w:rPr>
          <w:rFonts w:ascii="Book Antiqua" w:hAnsi="Book Antiqua" w:cs="Arial"/>
          <w:sz w:val="20"/>
          <w:szCs w:val="20"/>
        </w:rPr>
        <w:t xml:space="preserve">present study </w:t>
      </w:r>
      <w:r w:rsidR="005E24E4" w:rsidRPr="001A1E09">
        <w:rPr>
          <w:rFonts w:ascii="Book Antiqua" w:hAnsi="Book Antiqua" w:cs="Arial"/>
          <w:sz w:val="20"/>
          <w:szCs w:val="20"/>
        </w:rPr>
        <w:t>relat</w:t>
      </w:r>
      <w:r w:rsidR="00555F9B" w:rsidRPr="001A1E09">
        <w:rPr>
          <w:rFonts w:ascii="Book Antiqua" w:hAnsi="Book Antiqua" w:cs="Arial"/>
          <w:sz w:val="20"/>
          <w:szCs w:val="20"/>
        </w:rPr>
        <w:t>es to the identification of</w:t>
      </w:r>
      <w:r w:rsidR="00DD0F50" w:rsidRPr="001A1E09">
        <w:rPr>
          <w:rFonts w:ascii="Book Antiqua" w:hAnsi="Book Antiqua" w:cs="Arial"/>
          <w:sz w:val="20"/>
          <w:szCs w:val="20"/>
        </w:rPr>
        <w:t xml:space="preserve"> the</w:t>
      </w:r>
      <w:r w:rsidR="00555F9B" w:rsidRPr="001A1E09">
        <w:rPr>
          <w:rFonts w:ascii="Book Antiqua" w:hAnsi="Book Antiqua" w:cs="Arial"/>
          <w:sz w:val="20"/>
          <w:szCs w:val="20"/>
        </w:rPr>
        <w:t xml:space="preserve"> GLR</w:t>
      </w:r>
      <w:r w:rsidR="005E24E4" w:rsidRPr="001A1E09">
        <w:rPr>
          <w:rFonts w:ascii="Book Antiqua" w:hAnsi="Book Antiqua" w:cs="Arial"/>
          <w:sz w:val="20"/>
          <w:szCs w:val="20"/>
        </w:rPr>
        <w:t xml:space="preserve"> as a novel biomarker of prognosis in </w:t>
      </w:r>
      <w:r w:rsidR="00A91913" w:rsidRPr="001A1E09">
        <w:rPr>
          <w:rFonts w:ascii="Book Antiqua" w:hAnsi="Book Antiqua" w:cs="Arial"/>
          <w:sz w:val="20"/>
          <w:szCs w:val="20"/>
        </w:rPr>
        <w:t>ICC patients undergoing curative resection.</w:t>
      </w:r>
      <w:r w:rsidR="00F03472" w:rsidRPr="001A1E09">
        <w:rPr>
          <w:rFonts w:ascii="Book Antiqua" w:hAnsi="Book Antiqua" w:cs="Arial"/>
          <w:sz w:val="20"/>
          <w:szCs w:val="20"/>
        </w:rPr>
        <w:t xml:space="preserve"> High preoperative GLR is associated with poor outcomes in patients with ICC after curative resection.</w:t>
      </w:r>
      <w:r w:rsidR="00DD0F50" w:rsidRPr="001A1E09">
        <w:rPr>
          <w:rFonts w:ascii="Book Antiqua" w:hAnsi="Book Antiqua" w:cs="Arial"/>
          <w:sz w:val="20"/>
          <w:szCs w:val="20"/>
        </w:rPr>
        <w:t xml:space="preserve"> In addition</w:t>
      </w:r>
      <w:r w:rsidR="005B7D4F" w:rsidRPr="001A1E09">
        <w:rPr>
          <w:rFonts w:ascii="Book Antiqua" w:hAnsi="Book Antiqua" w:cs="Arial"/>
          <w:sz w:val="20"/>
          <w:szCs w:val="20"/>
        </w:rPr>
        <w:t xml:space="preserve">, we observed that </w:t>
      </w:r>
      <w:r w:rsidR="00DD0F50" w:rsidRPr="001A1E09">
        <w:rPr>
          <w:rFonts w:ascii="Book Antiqua" w:hAnsi="Book Antiqua" w:cs="Arial"/>
          <w:sz w:val="20"/>
          <w:szCs w:val="20"/>
        </w:rPr>
        <w:t xml:space="preserve">a </w:t>
      </w:r>
      <w:r w:rsidR="005B7D4F" w:rsidRPr="001A1E09">
        <w:rPr>
          <w:rFonts w:ascii="Book Antiqua" w:hAnsi="Book Antiqua" w:cs="Arial"/>
          <w:sz w:val="20"/>
          <w:szCs w:val="20"/>
        </w:rPr>
        <w:t>GLR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5B7D4F" w:rsidRPr="001A1E09">
        <w:rPr>
          <w:rFonts w:ascii="Book Antiqua" w:hAnsi="Book Antiqua" w:cs="Arial"/>
          <w:sz w:val="20"/>
          <w:szCs w:val="20"/>
        </w:rPr>
        <w:t>&gt;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5B7D4F" w:rsidRPr="001A1E09">
        <w:rPr>
          <w:rFonts w:ascii="Book Antiqua" w:hAnsi="Book Antiqua" w:cs="Arial"/>
          <w:sz w:val="20"/>
          <w:szCs w:val="20"/>
        </w:rPr>
        <w:t xml:space="preserve">33.7 was associated with </w:t>
      </w:r>
      <w:r w:rsidR="00DD0F50" w:rsidRPr="001A1E09">
        <w:rPr>
          <w:rFonts w:ascii="Book Antiqua" w:hAnsi="Book Antiqua" w:cs="Arial"/>
          <w:sz w:val="20"/>
          <w:szCs w:val="20"/>
        </w:rPr>
        <w:t>the highly</w:t>
      </w:r>
      <w:r w:rsidR="005B7D4F" w:rsidRPr="001A1E09">
        <w:rPr>
          <w:rFonts w:ascii="Book Antiqua" w:hAnsi="Book Antiqua" w:cs="Arial"/>
          <w:sz w:val="20"/>
          <w:szCs w:val="20"/>
        </w:rPr>
        <w:t xml:space="preserve"> aggressive features of tumor</w:t>
      </w:r>
      <w:r w:rsidR="00DD0F50" w:rsidRPr="001A1E09">
        <w:rPr>
          <w:rFonts w:ascii="Book Antiqua" w:hAnsi="Book Antiqua" w:cs="Arial"/>
          <w:sz w:val="20"/>
          <w:szCs w:val="20"/>
        </w:rPr>
        <w:t>s,</w:t>
      </w:r>
      <w:r w:rsidR="005B7D4F" w:rsidRPr="001A1E09">
        <w:rPr>
          <w:rFonts w:ascii="Book Antiqua" w:hAnsi="Book Antiqua" w:cs="Arial"/>
          <w:sz w:val="20"/>
          <w:szCs w:val="20"/>
        </w:rPr>
        <w:t xml:space="preserve"> such as </w:t>
      </w:r>
      <w:r w:rsidR="00A5236F" w:rsidRPr="001A1E09">
        <w:rPr>
          <w:rFonts w:ascii="Book Antiqua" w:hAnsi="Book Antiqua" w:cs="Arial"/>
          <w:sz w:val="20"/>
          <w:szCs w:val="20"/>
        </w:rPr>
        <w:t xml:space="preserve">high </w:t>
      </w:r>
      <w:r w:rsidR="00E456A6" w:rsidRPr="001A1E09">
        <w:rPr>
          <w:rFonts w:ascii="Book Antiqua" w:hAnsi="Book Antiqua" w:cs="Arial"/>
          <w:sz w:val="20"/>
          <w:szCs w:val="20"/>
        </w:rPr>
        <w:t>CA19-9</w:t>
      </w:r>
      <w:r w:rsidR="00A5236F" w:rsidRPr="001A1E09">
        <w:rPr>
          <w:rFonts w:ascii="Book Antiqua" w:hAnsi="Book Antiqua" w:cs="Arial"/>
          <w:sz w:val="20"/>
          <w:szCs w:val="20"/>
        </w:rPr>
        <w:t xml:space="preserve"> level</w:t>
      </w:r>
      <w:r w:rsidR="00DD0F50" w:rsidRPr="001A1E09">
        <w:rPr>
          <w:rFonts w:ascii="Book Antiqua" w:hAnsi="Book Antiqua" w:cs="Arial"/>
          <w:sz w:val="20"/>
          <w:szCs w:val="20"/>
        </w:rPr>
        <w:t>s</w:t>
      </w:r>
      <w:r w:rsidR="00A5236F" w:rsidRPr="001A1E09">
        <w:rPr>
          <w:rFonts w:ascii="Book Antiqua" w:hAnsi="Book Antiqua" w:cs="Arial"/>
          <w:sz w:val="20"/>
          <w:szCs w:val="20"/>
        </w:rPr>
        <w:t xml:space="preserve"> and </w:t>
      </w:r>
      <w:r w:rsidR="00DD0F50" w:rsidRPr="001A1E09">
        <w:rPr>
          <w:rFonts w:ascii="Book Antiqua" w:hAnsi="Book Antiqua" w:cs="Arial"/>
          <w:sz w:val="20"/>
          <w:szCs w:val="20"/>
        </w:rPr>
        <w:t xml:space="preserve">the </w:t>
      </w:r>
      <w:r w:rsidR="00A5236F" w:rsidRPr="001A1E09">
        <w:rPr>
          <w:rFonts w:ascii="Book Antiqua" w:hAnsi="Book Antiqua" w:cs="Arial"/>
          <w:sz w:val="20"/>
          <w:szCs w:val="20"/>
        </w:rPr>
        <w:t>presence of macrovascular invasion and perineural invasion.</w:t>
      </w:r>
    </w:p>
    <w:p w14:paraId="14A1342C" w14:textId="2181CCC4" w:rsidR="00BD5294" w:rsidRPr="001A1E09" w:rsidRDefault="007E6EC8" w:rsidP="001A1E09">
      <w:pPr>
        <w:tabs>
          <w:tab w:val="left" w:pos="4830"/>
        </w:tabs>
        <w:adjustRightInd w:val="0"/>
        <w:snapToGrid w:val="0"/>
        <w:spacing w:line="360" w:lineRule="auto"/>
        <w:ind w:firstLineChars="100" w:firstLine="200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>GGT</w:t>
      </w:r>
      <w:r w:rsidR="008E4670" w:rsidRPr="001A1E09">
        <w:rPr>
          <w:rFonts w:ascii="Book Antiqua" w:hAnsi="Book Antiqua" w:cs="Arial"/>
          <w:sz w:val="20"/>
          <w:szCs w:val="20"/>
        </w:rPr>
        <w:t xml:space="preserve"> </w:t>
      </w:r>
      <w:r w:rsidR="00DC0BFD" w:rsidRPr="001A1E09">
        <w:rPr>
          <w:rFonts w:ascii="Book Antiqua" w:hAnsi="Book Antiqua" w:cs="Arial"/>
          <w:sz w:val="20"/>
          <w:szCs w:val="20"/>
        </w:rPr>
        <w:t xml:space="preserve">is a glycoprotein </w:t>
      </w:r>
      <w:r w:rsidR="00976FBE" w:rsidRPr="001A1E09">
        <w:rPr>
          <w:rFonts w:ascii="Book Antiqua" w:hAnsi="Book Antiqua" w:cs="Arial"/>
          <w:sz w:val="20"/>
          <w:szCs w:val="20"/>
        </w:rPr>
        <w:t>that is</w:t>
      </w:r>
      <w:r w:rsidR="00C351F9" w:rsidRPr="001A1E09">
        <w:rPr>
          <w:rFonts w:ascii="Book Antiqua" w:hAnsi="Book Antiqua" w:cs="Arial"/>
          <w:sz w:val="20"/>
          <w:szCs w:val="20"/>
        </w:rPr>
        <w:t xml:space="preserve"> known as a </w:t>
      </w:r>
      <w:r w:rsidR="00DC0BFD" w:rsidRPr="001A1E09">
        <w:rPr>
          <w:rFonts w:ascii="Book Antiqua" w:hAnsi="Book Antiqua" w:cs="Arial"/>
          <w:sz w:val="20"/>
          <w:szCs w:val="20"/>
        </w:rPr>
        <w:t xml:space="preserve">marker of cardiovascular disease or </w:t>
      </w:r>
      <w:r w:rsidR="00C351F9" w:rsidRPr="001A1E09">
        <w:rPr>
          <w:rFonts w:ascii="Book Antiqua" w:hAnsi="Book Antiqua" w:cs="Arial"/>
          <w:sz w:val="20"/>
          <w:szCs w:val="20"/>
        </w:rPr>
        <w:t>bibulosity</w:t>
      </w:r>
      <w:r w:rsidR="00A176FB" w:rsidRPr="001A1E09">
        <w:rPr>
          <w:rFonts w:ascii="Book Antiqua" w:hAnsi="Book Antiqua" w:cs="Arial"/>
          <w:sz w:val="20"/>
          <w:szCs w:val="20"/>
          <w:vertAlign w:val="superscript"/>
        </w:rPr>
        <w:fldChar w:fldCharType="begin">
          <w:fldData xml:space="preserve">PEVuZE5vdGU+PENpdGU+PEF1dGhvcj5XaGl0ZmllbGQ8L0F1dGhvcj48WWVhcj4yMDAxPC9ZZWFy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</w:fldData>
        </w:fldChar>
      </w:r>
      <w:r w:rsidR="00A176FB" w:rsidRPr="001A1E09">
        <w:rPr>
          <w:rFonts w:ascii="Book Antiqua" w:hAnsi="Book Antiqua" w:cs="Arial"/>
          <w:sz w:val="20"/>
          <w:szCs w:val="20"/>
          <w:vertAlign w:val="superscript"/>
        </w:rPr>
        <w:instrText xml:space="preserve"> ADDIN EN.CITE </w:instrText>
      </w:r>
      <w:r w:rsidR="00A176FB" w:rsidRPr="001A1E09">
        <w:rPr>
          <w:rFonts w:ascii="Book Antiqua" w:hAnsi="Book Antiqua" w:cs="Arial"/>
          <w:sz w:val="20"/>
          <w:szCs w:val="20"/>
          <w:vertAlign w:val="superscript"/>
        </w:rPr>
        <w:fldChar w:fldCharType="begin">
          <w:fldData xml:space="preserve">PEVuZE5vdGU+PENpdGU+PEF1dGhvcj5XaGl0ZmllbGQ8L0F1dGhvcj48WWVhcj4yMDAxPC9ZZWFy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</w:fldData>
        </w:fldChar>
      </w:r>
      <w:r w:rsidR="00A176FB" w:rsidRPr="001A1E09">
        <w:rPr>
          <w:rFonts w:ascii="Book Antiqua" w:hAnsi="Book Antiqua" w:cs="Arial"/>
          <w:sz w:val="20"/>
          <w:szCs w:val="20"/>
          <w:vertAlign w:val="superscript"/>
        </w:rPr>
        <w:instrText xml:space="preserve"> ADDIN EN.CITE.DATA </w:instrText>
      </w:r>
      <w:r w:rsidR="00A176FB" w:rsidRPr="001A1E09">
        <w:rPr>
          <w:rFonts w:ascii="Book Antiqua" w:hAnsi="Book Antiqua" w:cs="Arial"/>
          <w:sz w:val="20"/>
          <w:szCs w:val="20"/>
          <w:vertAlign w:val="superscript"/>
        </w:rPr>
      </w:r>
      <w:r w:rsidR="00A176FB" w:rsidRPr="001A1E09">
        <w:rPr>
          <w:rFonts w:ascii="Book Antiqua" w:hAnsi="Book Antiqua" w:cs="Arial"/>
          <w:sz w:val="20"/>
          <w:szCs w:val="20"/>
          <w:vertAlign w:val="superscript"/>
        </w:rPr>
        <w:fldChar w:fldCharType="end"/>
      </w:r>
      <w:r w:rsidR="00A176FB" w:rsidRPr="001A1E09">
        <w:rPr>
          <w:rFonts w:ascii="Book Antiqua" w:hAnsi="Book Antiqua" w:cs="Arial"/>
          <w:sz w:val="20"/>
          <w:szCs w:val="20"/>
          <w:vertAlign w:val="superscript"/>
        </w:rPr>
      </w:r>
      <w:r w:rsidR="00A176FB" w:rsidRPr="001A1E09">
        <w:rPr>
          <w:rFonts w:ascii="Book Antiqua" w:hAnsi="Book Antiqua" w:cs="Arial"/>
          <w:sz w:val="20"/>
          <w:szCs w:val="20"/>
          <w:vertAlign w:val="superscript"/>
        </w:rPr>
        <w:fldChar w:fldCharType="separate"/>
      </w:r>
      <w:r w:rsidR="00D375AB" w:rsidRPr="001A1E09">
        <w:rPr>
          <w:rFonts w:ascii="Book Antiqua" w:hAnsi="Book Antiqua" w:cs="Arial"/>
          <w:sz w:val="20"/>
          <w:szCs w:val="20"/>
          <w:vertAlign w:val="superscript"/>
        </w:rPr>
        <w:t>[15,</w:t>
      </w:r>
      <w:r w:rsidR="00A176FB" w:rsidRPr="001A1E09">
        <w:rPr>
          <w:rFonts w:ascii="Book Antiqua" w:hAnsi="Book Antiqua" w:cs="Arial"/>
          <w:sz w:val="20"/>
          <w:szCs w:val="20"/>
          <w:vertAlign w:val="superscript"/>
        </w:rPr>
        <w:t>16</w:t>
      </w:r>
      <w:r w:rsidR="00D375AB" w:rsidRPr="001A1E09">
        <w:rPr>
          <w:rFonts w:ascii="Book Antiqua" w:hAnsi="Book Antiqua" w:cs="Arial"/>
          <w:sz w:val="20"/>
          <w:szCs w:val="20"/>
          <w:vertAlign w:val="superscript"/>
        </w:rPr>
        <w:t>]</w:t>
      </w:r>
      <w:r w:rsidR="00A176FB" w:rsidRPr="001A1E09">
        <w:rPr>
          <w:rFonts w:ascii="Book Antiqua" w:hAnsi="Book Antiqua" w:cs="Arial"/>
          <w:sz w:val="20"/>
          <w:szCs w:val="20"/>
          <w:vertAlign w:val="superscript"/>
        </w:rPr>
        <w:fldChar w:fldCharType="end"/>
      </w:r>
      <w:r w:rsidR="007F7445" w:rsidRPr="001A1E09">
        <w:rPr>
          <w:rFonts w:ascii="Book Antiqua" w:hAnsi="Book Antiqua" w:cs="Arial"/>
          <w:sz w:val="20"/>
          <w:szCs w:val="20"/>
        </w:rPr>
        <w:t xml:space="preserve">. </w:t>
      </w:r>
      <w:r w:rsidR="000968FE" w:rsidRPr="001A1E09">
        <w:rPr>
          <w:rFonts w:ascii="Book Antiqua" w:hAnsi="Book Antiqua" w:cs="Arial"/>
          <w:sz w:val="20"/>
          <w:szCs w:val="20"/>
        </w:rPr>
        <w:t xml:space="preserve">In addition, </w:t>
      </w:r>
      <w:r w:rsidR="005720CB" w:rsidRPr="001A1E09">
        <w:rPr>
          <w:rFonts w:ascii="Book Antiqua" w:hAnsi="Book Antiqua" w:cs="Arial"/>
          <w:sz w:val="20"/>
          <w:szCs w:val="20"/>
        </w:rPr>
        <w:t xml:space="preserve">previous </w:t>
      </w:r>
      <w:r w:rsidR="00C351F9" w:rsidRPr="001A1E09">
        <w:rPr>
          <w:rFonts w:ascii="Book Antiqua" w:hAnsi="Book Antiqua" w:cs="Arial"/>
          <w:sz w:val="20"/>
          <w:szCs w:val="20"/>
        </w:rPr>
        <w:t xml:space="preserve">studies </w:t>
      </w:r>
      <w:r w:rsidR="00D12D82" w:rsidRPr="001A1E09">
        <w:rPr>
          <w:rFonts w:ascii="Book Antiqua" w:hAnsi="Book Antiqua" w:cs="Arial"/>
          <w:sz w:val="20"/>
          <w:szCs w:val="20"/>
        </w:rPr>
        <w:t>have</w:t>
      </w:r>
      <w:r w:rsidR="007F7445" w:rsidRPr="001A1E09">
        <w:rPr>
          <w:rFonts w:ascii="Book Antiqua" w:hAnsi="Book Antiqua" w:cs="Arial"/>
          <w:sz w:val="20"/>
          <w:szCs w:val="20"/>
        </w:rPr>
        <w:t xml:space="preserve"> </w:t>
      </w:r>
      <w:r w:rsidR="00D12D82" w:rsidRPr="001A1E09">
        <w:rPr>
          <w:rFonts w:ascii="Book Antiqua" w:hAnsi="Book Antiqua" w:cs="Arial"/>
          <w:sz w:val="20"/>
          <w:szCs w:val="20"/>
        </w:rPr>
        <w:t>confirmed</w:t>
      </w:r>
      <w:r w:rsidR="005604AA" w:rsidRPr="001A1E09">
        <w:rPr>
          <w:rFonts w:ascii="Book Antiqua" w:hAnsi="Book Antiqua" w:cs="Arial"/>
          <w:sz w:val="20"/>
          <w:szCs w:val="20"/>
        </w:rPr>
        <w:t xml:space="preserve"> </w:t>
      </w:r>
      <w:r w:rsidR="00C351F9" w:rsidRPr="001A1E09">
        <w:rPr>
          <w:rFonts w:ascii="Book Antiqua" w:hAnsi="Book Antiqua" w:cs="Arial"/>
          <w:sz w:val="20"/>
          <w:szCs w:val="20"/>
        </w:rPr>
        <w:t xml:space="preserve">the </w:t>
      </w:r>
      <w:r w:rsidR="005604AA" w:rsidRPr="001A1E09">
        <w:rPr>
          <w:rFonts w:ascii="Book Antiqua" w:hAnsi="Book Antiqua" w:cs="Arial"/>
          <w:sz w:val="20"/>
          <w:szCs w:val="20"/>
        </w:rPr>
        <w:t xml:space="preserve">association of </w:t>
      </w:r>
      <w:r w:rsidR="00C351F9" w:rsidRPr="001A1E09">
        <w:rPr>
          <w:rFonts w:ascii="Book Antiqua" w:hAnsi="Book Antiqua" w:cs="Arial"/>
          <w:sz w:val="20"/>
          <w:szCs w:val="20"/>
        </w:rPr>
        <w:t>GGT</w:t>
      </w:r>
      <w:r w:rsidR="005604AA" w:rsidRPr="001A1E09">
        <w:rPr>
          <w:rFonts w:ascii="Book Antiqua" w:hAnsi="Book Antiqua" w:cs="Arial"/>
          <w:sz w:val="20"/>
          <w:szCs w:val="20"/>
        </w:rPr>
        <w:t xml:space="preserve"> with</w:t>
      </w:r>
      <w:r w:rsidR="00F02218" w:rsidRPr="001A1E09">
        <w:rPr>
          <w:rFonts w:ascii="Book Antiqua" w:hAnsi="Book Antiqua" w:cs="Arial"/>
          <w:sz w:val="20"/>
          <w:szCs w:val="20"/>
        </w:rPr>
        <w:t xml:space="preserve"> ICC and </w:t>
      </w:r>
      <w:r w:rsidR="008C5564" w:rsidRPr="001A1E09">
        <w:rPr>
          <w:rFonts w:ascii="Book Antiqua" w:hAnsi="Book Antiqua" w:cs="Arial"/>
          <w:sz w:val="20"/>
          <w:szCs w:val="20"/>
        </w:rPr>
        <w:t>hepatocellular carcinoma</w:t>
      </w:r>
      <w:r w:rsidR="00D375AB" w:rsidRPr="001A1E09">
        <w:rPr>
          <w:rFonts w:ascii="Book Antiqua" w:hAnsi="Book Antiqua" w:cs="Arial"/>
          <w:sz w:val="20"/>
          <w:szCs w:val="20"/>
          <w:vertAlign w:val="superscript"/>
        </w:rPr>
        <w:t>[17-19]</w:t>
      </w:r>
      <w:r w:rsidR="008C5564" w:rsidRPr="001A1E09">
        <w:rPr>
          <w:rFonts w:ascii="Book Antiqua" w:hAnsi="Book Antiqua" w:cs="Arial"/>
          <w:sz w:val="20"/>
          <w:szCs w:val="20"/>
        </w:rPr>
        <w:t xml:space="preserve">. </w:t>
      </w:r>
      <w:r w:rsidR="009714C5" w:rsidRPr="001A1E09">
        <w:rPr>
          <w:rFonts w:ascii="Book Antiqua" w:hAnsi="Book Antiqua" w:cs="Arial"/>
          <w:sz w:val="20"/>
          <w:szCs w:val="20"/>
        </w:rPr>
        <w:t xml:space="preserve">It </w:t>
      </w:r>
      <w:r w:rsidR="002A04DB" w:rsidRPr="001A1E09">
        <w:rPr>
          <w:rFonts w:ascii="Book Antiqua" w:hAnsi="Book Antiqua" w:cs="Arial"/>
          <w:sz w:val="20"/>
          <w:szCs w:val="20"/>
        </w:rPr>
        <w:t>was</w:t>
      </w:r>
      <w:r w:rsidR="00383CA3" w:rsidRPr="001A1E09">
        <w:rPr>
          <w:rFonts w:ascii="Book Antiqua" w:hAnsi="Book Antiqua" w:cs="Arial"/>
          <w:sz w:val="20"/>
          <w:szCs w:val="20"/>
        </w:rPr>
        <w:t xml:space="preserve"> </w:t>
      </w:r>
      <w:r w:rsidR="002A04DB" w:rsidRPr="001A1E09">
        <w:rPr>
          <w:rFonts w:ascii="Book Antiqua" w:hAnsi="Book Antiqua" w:cs="Arial"/>
          <w:sz w:val="20"/>
          <w:szCs w:val="20"/>
        </w:rPr>
        <w:t xml:space="preserve">previously </w:t>
      </w:r>
      <w:r w:rsidR="00383CA3" w:rsidRPr="001A1E09">
        <w:rPr>
          <w:rFonts w:ascii="Book Antiqua" w:hAnsi="Book Antiqua" w:cs="Arial"/>
          <w:sz w:val="20"/>
          <w:szCs w:val="20"/>
        </w:rPr>
        <w:t xml:space="preserve">reported </w:t>
      </w:r>
      <w:r w:rsidR="009714C5" w:rsidRPr="001A1E09">
        <w:rPr>
          <w:rFonts w:ascii="Book Antiqua" w:hAnsi="Book Antiqua" w:cs="Arial"/>
          <w:sz w:val="20"/>
          <w:szCs w:val="20"/>
        </w:rPr>
        <w:t>that</w:t>
      </w:r>
      <w:r w:rsidR="00D12D82" w:rsidRPr="001A1E09">
        <w:rPr>
          <w:rFonts w:ascii="Book Antiqua" w:hAnsi="Book Antiqua" w:cs="Arial"/>
          <w:sz w:val="20"/>
          <w:szCs w:val="20"/>
        </w:rPr>
        <w:t xml:space="preserve"> </w:t>
      </w:r>
      <w:r w:rsidR="00E67B1B" w:rsidRPr="001A1E09">
        <w:rPr>
          <w:rFonts w:ascii="Book Antiqua" w:hAnsi="Book Antiqua" w:cs="Arial"/>
          <w:sz w:val="20"/>
          <w:szCs w:val="20"/>
        </w:rPr>
        <w:t xml:space="preserve">GGT </w:t>
      </w:r>
      <w:r w:rsidR="00D12D82" w:rsidRPr="001A1E09">
        <w:rPr>
          <w:rFonts w:ascii="Book Antiqua" w:hAnsi="Book Antiqua" w:cs="Arial"/>
          <w:sz w:val="20"/>
          <w:szCs w:val="20"/>
        </w:rPr>
        <w:t>play</w:t>
      </w:r>
      <w:r w:rsidR="00383CA3" w:rsidRPr="001A1E09">
        <w:rPr>
          <w:rFonts w:ascii="Book Antiqua" w:hAnsi="Book Antiqua" w:cs="Arial"/>
          <w:sz w:val="20"/>
          <w:szCs w:val="20"/>
        </w:rPr>
        <w:t xml:space="preserve">s a prooxidant </w:t>
      </w:r>
      <w:r w:rsidR="00825223" w:rsidRPr="001A1E09">
        <w:rPr>
          <w:rFonts w:ascii="Book Antiqua" w:hAnsi="Book Antiqua" w:cs="Arial"/>
          <w:sz w:val="20"/>
          <w:szCs w:val="20"/>
        </w:rPr>
        <w:t>role</w:t>
      </w:r>
      <w:r w:rsidR="00D12D82" w:rsidRPr="001A1E09">
        <w:rPr>
          <w:rFonts w:ascii="Book Antiqua" w:hAnsi="Book Antiqua" w:cs="Arial"/>
          <w:sz w:val="20"/>
          <w:szCs w:val="20"/>
        </w:rPr>
        <w:t xml:space="preserve"> and</w:t>
      </w:r>
      <w:r w:rsidR="00383CA3" w:rsidRPr="001A1E09">
        <w:rPr>
          <w:rFonts w:ascii="Book Antiqua" w:hAnsi="Book Antiqua" w:cs="Arial"/>
          <w:sz w:val="20"/>
          <w:szCs w:val="20"/>
        </w:rPr>
        <w:t xml:space="preserve"> </w:t>
      </w:r>
      <w:r w:rsidR="002A04DB" w:rsidRPr="001A1E09">
        <w:rPr>
          <w:rFonts w:ascii="Book Antiqua" w:hAnsi="Book Antiqua" w:cs="Arial"/>
          <w:sz w:val="20"/>
          <w:szCs w:val="20"/>
        </w:rPr>
        <w:t>is</w:t>
      </w:r>
      <w:r w:rsidR="00825223" w:rsidRPr="001A1E09">
        <w:rPr>
          <w:rFonts w:ascii="Book Antiqua" w:hAnsi="Book Antiqua" w:cs="Arial"/>
          <w:sz w:val="20"/>
          <w:szCs w:val="20"/>
        </w:rPr>
        <w:t xml:space="preserve"> be associated with inflammation in </w:t>
      </w:r>
      <w:r w:rsidR="00910A3E" w:rsidRPr="001A1E09">
        <w:rPr>
          <w:rFonts w:ascii="Book Antiqua" w:hAnsi="Book Antiqua" w:cs="Arial"/>
          <w:sz w:val="20"/>
          <w:szCs w:val="20"/>
        </w:rPr>
        <w:t>carcinogenesis</w:t>
      </w:r>
      <w:r w:rsidR="00D375AB" w:rsidRPr="001A1E09">
        <w:rPr>
          <w:rFonts w:ascii="Book Antiqua" w:hAnsi="Book Antiqua" w:cs="Arial"/>
          <w:sz w:val="20"/>
          <w:szCs w:val="20"/>
          <w:vertAlign w:val="superscript"/>
        </w:rPr>
        <w:t>[20-22]</w:t>
      </w:r>
      <w:r w:rsidR="00825223" w:rsidRPr="001A1E09">
        <w:rPr>
          <w:rFonts w:ascii="Book Antiqua" w:hAnsi="Book Antiqua" w:cs="Arial"/>
          <w:sz w:val="20"/>
          <w:szCs w:val="20"/>
        </w:rPr>
        <w:t xml:space="preserve">. </w:t>
      </w:r>
      <w:r w:rsidR="00663E5A" w:rsidRPr="001A1E09">
        <w:rPr>
          <w:rFonts w:ascii="Book Antiqua" w:hAnsi="Book Antiqua" w:cs="Arial"/>
          <w:sz w:val="20"/>
          <w:szCs w:val="20"/>
        </w:rPr>
        <w:t>Similarly</w:t>
      </w:r>
      <w:r w:rsidR="00FD2256" w:rsidRPr="001A1E09">
        <w:rPr>
          <w:rFonts w:ascii="Book Antiqua" w:hAnsi="Book Antiqua" w:cs="Arial"/>
          <w:sz w:val="20"/>
          <w:szCs w:val="20"/>
        </w:rPr>
        <w:t xml:space="preserve">, </w:t>
      </w:r>
      <w:r w:rsidR="000968FE" w:rsidRPr="001A1E09">
        <w:rPr>
          <w:rFonts w:ascii="Book Antiqua" w:hAnsi="Book Antiqua" w:cs="Arial"/>
          <w:sz w:val="20"/>
          <w:szCs w:val="20"/>
        </w:rPr>
        <w:t>lymphocyte</w:t>
      </w:r>
      <w:r w:rsidR="00D12D82" w:rsidRPr="001A1E09">
        <w:rPr>
          <w:rFonts w:ascii="Book Antiqua" w:hAnsi="Book Antiqua" w:cs="Arial"/>
          <w:sz w:val="20"/>
          <w:szCs w:val="20"/>
        </w:rPr>
        <w:t>s</w:t>
      </w:r>
      <w:r w:rsidR="000968FE" w:rsidRPr="001A1E09">
        <w:rPr>
          <w:rFonts w:ascii="Book Antiqua" w:hAnsi="Book Antiqua" w:cs="Arial"/>
          <w:sz w:val="20"/>
          <w:szCs w:val="20"/>
        </w:rPr>
        <w:t xml:space="preserve"> </w:t>
      </w:r>
      <w:r w:rsidR="00D12D82" w:rsidRPr="001A1E09">
        <w:rPr>
          <w:rFonts w:ascii="Book Antiqua" w:hAnsi="Book Antiqua" w:cs="Arial"/>
          <w:sz w:val="20"/>
          <w:szCs w:val="20"/>
        </w:rPr>
        <w:t>can reflect</w:t>
      </w:r>
      <w:r w:rsidR="00FD25AC" w:rsidRPr="001A1E09">
        <w:rPr>
          <w:rFonts w:ascii="Book Antiqua" w:hAnsi="Book Antiqua" w:cs="Arial"/>
          <w:sz w:val="20"/>
          <w:szCs w:val="20"/>
        </w:rPr>
        <w:t xml:space="preserve"> systemic inflammation</w:t>
      </w:r>
      <w:r w:rsidR="00875C2E" w:rsidRPr="001A1E09">
        <w:rPr>
          <w:rFonts w:ascii="Book Antiqua" w:hAnsi="Book Antiqua" w:cs="Arial"/>
          <w:sz w:val="20"/>
          <w:szCs w:val="20"/>
        </w:rPr>
        <w:t xml:space="preserve"> </w:t>
      </w:r>
      <w:r w:rsidR="00F80ECE" w:rsidRPr="001A1E09">
        <w:rPr>
          <w:rFonts w:ascii="Book Antiqua" w:hAnsi="Book Antiqua" w:cs="Arial"/>
          <w:sz w:val="20"/>
          <w:szCs w:val="20"/>
        </w:rPr>
        <w:t xml:space="preserve">in </w:t>
      </w:r>
      <w:r w:rsidR="009F6FA8" w:rsidRPr="001A1E09">
        <w:rPr>
          <w:rFonts w:ascii="Book Antiqua" w:hAnsi="Book Antiqua" w:cs="Arial"/>
          <w:sz w:val="20"/>
          <w:szCs w:val="20"/>
        </w:rPr>
        <w:t>various primary malignancies</w:t>
      </w:r>
      <w:r w:rsidR="00D12D82" w:rsidRPr="001A1E09">
        <w:rPr>
          <w:rFonts w:ascii="Book Antiqua" w:hAnsi="Book Antiqua" w:cs="Arial"/>
          <w:sz w:val="20"/>
          <w:szCs w:val="20"/>
        </w:rPr>
        <w:t>;</w:t>
      </w:r>
      <w:r w:rsidR="00F80ECE" w:rsidRPr="001A1E09">
        <w:rPr>
          <w:rFonts w:ascii="Book Antiqua" w:hAnsi="Book Antiqua" w:cs="Arial"/>
          <w:sz w:val="20"/>
          <w:szCs w:val="20"/>
        </w:rPr>
        <w:t xml:space="preserve"> </w:t>
      </w:r>
      <w:r w:rsidR="00D12D82" w:rsidRPr="001A1E09">
        <w:rPr>
          <w:rFonts w:ascii="Book Antiqua" w:hAnsi="Book Antiqua" w:cs="Arial"/>
          <w:sz w:val="20"/>
          <w:szCs w:val="20"/>
        </w:rPr>
        <w:t>thus, the lymphocyte count</w:t>
      </w:r>
      <w:r w:rsidR="00F80ECE" w:rsidRPr="001A1E09">
        <w:rPr>
          <w:rFonts w:ascii="Book Antiqua" w:hAnsi="Book Antiqua" w:cs="Arial"/>
          <w:sz w:val="20"/>
          <w:szCs w:val="20"/>
        </w:rPr>
        <w:t xml:space="preserve"> has been considered a</w:t>
      </w:r>
      <w:r w:rsidR="004939A9" w:rsidRPr="001A1E09">
        <w:rPr>
          <w:rFonts w:ascii="Book Antiqua" w:hAnsi="Book Antiqua" w:cs="Arial"/>
          <w:sz w:val="20"/>
          <w:szCs w:val="20"/>
        </w:rPr>
        <w:t xml:space="preserve"> </w:t>
      </w:r>
      <w:r w:rsidR="00F80ECE" w:rsidRPr="001A1E09">
        <w:rPr>
          <w:rFonts w:ascii="Book Antiqua" w:hAnsi="Book Antiqua" w:cs="Arial"/>
          <w:sz w:val="20"/>
          <w:szCs w:val="20"/>
        </w:rPr>
        <w:t>p</w:t>
      </w:r>
      <w:r w:rsidR="004939A9" w:rsidRPr="001A1E09">
        <w:rPr>
          <w:rFonts w:ascii="Book Antiqua" w:hAnsi="Book Antiqua" w:cs="Arial"/>
          <w:sz w:val="20"/>
          <w:szCs w:val="20"/>
        </w:rPr>
        <w:t>rognostic</w:t>
      </w:r>
      <w:r w:rsidR="0010615C" w:rsidRPr="001A1E09">
        <w:rPr>
          <w:rFonts w:ascii="Book Antiqua" w:hAnsi="Book Antiqua" w:cs="Arial"/>
          <w:sz w:val="20"/>
          <w:szCs w:val="20"/>
        </w:rPr>
        <w:t xml:space="preserve"> predictor </w:t>
      </w:r>
      <w:r w:rsidR="00300350" w:rsidRPr="001A1E09">
        <w:rPr>
          <w:rFonts w:ascii="Book Antiqua" w:hAnsi="Book Antiqua" w:cs="Arial"/>
          <w:sz w:val="20"/>
          <w:szCs w:val="20"/>
        </w:rPr>
        <w:t>in</w:t>
      </w:r>
      <w:r w:rsidR="0010615C" w:rsidRPr="001A1E09">
        <w:rPr>
          <w:rFonts w:ascii="Book Antiqua" w:hAnsi="Book Antiqua" w:cs="Arial"/>
          <w:sz w:val="20"/>
          <w:szCs w:val="20"/>
        </w:rPr>
        <w:t xml:space="preserve"> patients with cancer.</w:t>
      </w:r>
      <w:r w:rsidR="0081733B" w:rsidRPr="001A1E09">
        <w:rPr>
          <w:rFonts w:ascii="Book Antiqua" w:hAnsi="Book Antiqua" w:cs="Arial"/>
          <w:sz w:val="20"/>
          <w:szCs w:val="20"/>
        </w:rPr>
        <w:t xml:space="preserve"> </w:t>
      </w:r>
      <w:r w:rsidR="00EB28C9" w:rsidRPr="001A1E09">
        <w:rPr>
          <w:rFonts w:ascii="Book Antiqua" w:hAnsi="Book Antiqua" w:cs="Arial"/>
          <w:sz w:val="20"/>
          <w:szCs w:val="20"/>
        </w:rPr>
        <w:t>Accumulating evidence has highlighted the important role of system</w:t>
      </w:r>
      <w:r w:rsidR="00D12D82" w:rsidRPr="001A1E09">
        <w:rPr>
          <w:rFonts w:ascii="Book Antiqua" w:hAnsi="Book Antiqua" w:cs="Arial"/>
          <w:sz w:val="20"/>
          <w:szCs w:val="20"/>
        </w:rPr>
        <w:t>ic</w:t>
      </w:r>
      <w:r w:rsidR="00EB28C9" w:rsidRPr="001A1E09">
        <w:rPr>
          <w:rFonts w:ascii="Book Antiqua" w:hAnsi="Book Antiqua" w:cs="Arial"/>
          <w:sz w:val="20"/>
          <w:szCs w:val="20"/>
        </w:rPr>
        <w:t xml:space="preserve"> inflammation in </w:t>
      </w:r>
      <w:bookmarkStart w:id="38" w:name="OLE_LINK15"/>
      <w:bookmarkStart w:id="39" w:name="OLE_LINK16"/>
      <w:r w:rsidR="00EB28C9" w:rsidRPr="001A1E09">
        <w:rPr>
          <w:rFonts w:ascii="Book Antiqua" w:hAnsi="Book Antiqua" w:cs="Arial"/>
          <w:sz w:val="20"/>
          <w:szCs w:val="20"/>
        </w:rPr>
        <w:t xml:space="preserve">tumor </w:t>
      </w:r>
      <w:bookmarkEnd w:id="38"/>
      <w:bookmarkEnd w:id="39"/>
      <w:r w:rsidR="00D375AB" w:rsidRPr="001A1E09">
        <w:rPr>
          <w:rFonts w:ascii="Book Antiqua" w:hAnsi="Book Antiqua" w:cs="Arial"/>
          <w:sz w:val="20"/>
          <w:szCs w:val="20"/>
        </w:rPr>
        <w:t>progression and aggressiveness</w:t>
      </w:r>
      <w:r w:rsidR="00D375AB" w:rsidRPr="001A1E09">
        <w:rPr>
          <w:rFonts w:ascii="Book Antiqua" w:hAnsi="Book Antiqua" w:cs="Arial"/>
          <w:sz w:val="20"/>
          <w:szCs w:val="20"/>
          <w:vertAlign w:val="superscript"/>
        </w:rPr>
        <w:t>[22,23]</w:t>
      </w:r>
      <w:r w:rsidR="00EB28C9" w:rsidRPr="001A1E09">
        <w:rPr>
          <w:rFonts w:ascii="Book Antiqua" w:hAnsi="Book Antiqua" w:cs="Arial"/>
          <w:sz w:val="20"/>
          <w:szCs w:val="20"/>
        </w:rPr>
        <w:t>.</w:t>
      </w:r>
      <w:r w:rsidR="00BD5294" w:rsidRPr="001A1E09">
        <w:rPr>
          <w:rFonts w:ascii="Book Antiqua" w:hAnsi="Book Antiqua" w:cs="Arial"/>
          <w:sz w:val="20"/>
          <w:szCs w:val="20"/>
        </w:rPr>
        <w:t xml:space="preserve"> </w:t>
      </w:r>
      <w:r w:rsidR="00F163C5" w:rsidRPr="001A1E09">
        <w:rPr>
          <w:rFonts w:ascii="Book Antiqua" w:hAnsi="Book Antiqua" w:cs="Arial"/>
          <w:sz w:val="20"/>
          <w:szCs w:val="20"/>
        </w:rPr>
        <w:t>In recent years</w:t>
      </w:r>
      <w:r w:rsidR="00BD5294" w:rsidRPr="001A1E09">
        <w:rPr>
          <w:rFonts w:ascii="Book Antiqua" w:hAnsi="Book Antiqua" w:cs="Arial"/>
          <w:sz w:val="20"/>
          <w:szCs w:val="20"/>
        </w:rPr>
        <w:t xml:space="preserve">, </w:t>
      </w:r>
      <w:r w:rsidR="00556B4C" w:rsidRPr="001A1E09">
        <w:rPr>
          <w:rFonts w:ascii="Book Antiqua" w:hAnsi="Book Antiqua" w:cs="Arial"/>
          <w:sz w:val="20"/>
          <w:szCs w:val="20"/>
        </w:rPr>
        <w:t xml:space="preserve">various inflammation-based scores </w:t>
      </w:r>
      <w:r w:rsidR="00D12D82" w:rsidRPr="001A1E09">
        <w:rPr>
          <w:rFonts w:ascii="Book Antiqua" w:hAnsi="Book Antiqua" w:cs="Arial"/>
          <w:sz w:val="20"/>
          <w:szCs w:val="20"/>
        </w:rPr>
        <w:t xml:space="preserve">have been </w:t>
      </w:r>
      <w:r w:rsidR="00556B4C" w:rsidRPr="001A1E09">
        <w:rPr>
          <w:rFonts w:ascii="Book Antiqua" w:hAnsi="Book Antiqua" w:cs="Arial"/>
          <w:sz w:val="20"/>
          <w:szCs w:val="20"/>
        </w:rPr>
        <w:t>considered as prognostic indicators in different solid cancers.</w:t>
      </w:r>
    </w:p>
    <w:p w14:paraId="075B46FE" w14:textId="6C52C288" w:rsidR="00927331" w:rsidRPr="001A1E09" w:rsidRDefault="00B21611" w:rsidP="001A1E09">
      <w:pPr>
        <w:tabs>
          <w:tab w:val="left" w:pos="4830"/>
        </w:tabs>
        <w:adjustRightInd w:val="0"/>
        <w:snapToGrid w:val="0"/>
        <w:spacing w:line="360" w:lineRule="auto"/>
        <w:ind w:firstLineChars="100" w:firstLine="200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lastRenderedPageBreak/>
        <w:t xml:space="preserve">In 125 patients with nonfunctional pancreatic neuroendocrine tumor, </w:t>
      </w:r>
      <w:r w:rsidR="00300350" w:rsidRPr="001A1E09">
        <w:rPr>
          <w:rFonts w:ascii="Book Antiqua" w:hAnsi="Book Antiqua" w:cs="Arial"/>
          <w:sz w:val="20"/>
          <w:szCs w:val="20"/>
        </w:rPr>
        <w:t xml:space="preserve">the </w:t>
      </w:r>
      <w:r w:rsidRPr="001A1E09">
        <w:rPr>
          <w:rFonts w:ascii="Book Antiqua" w:hAnsi="Book Antiqua" w:cs="Arial"/>
          <w:sz w:val="20"/>
          <w:szCs w:val="20"/>
        </w:rPr>
        <w:t>GLR was identified as an independent predictor for outcomes</w:t>
      </w:r>
      <w:r w:rsidR="00807D76" w:rsidRPr="001A1E09">
        <w:rPr>
          <w:rFonts w:ascii="Book Antiqua" w:hAnsi="Book Antiqua" w:cs="Arial"/>
          <w:sz w:val="20"/>
          <w:szCs w:val="20"/>
        </w:rPr>
        <w:t xml:space="preserve"> in multivariate analyses</w:t>
      </w:r>
      <w:r w:rsidRPr="001A1E09">
        <w:rPr>
          <w:rFonts w:ascii="Book Antiqua" w:hAnsi="Book Antiqua" w:cs="Arial"/>
          <w:sz w:val="20"/>
          <w:szCs w:val="20"/>
        </w:rPr>
        <w:t xml:space="preserve">, with patients with preoperative </w:t>
      </w:r>
      <w:r w:rsidR="00300350" w:rsidRPr="001A1E09">
        <w:rPr>
          <w:rFonts w:ascii="Book Antiqua" w:hAnsi="Book Antiqua" w:cs="Arial"/>
          <w:sz w:val="20"/>
          <w:szCs w:val="20"/>
        </w:rPr>
        <w:t xml:space="preserve">a </w:t>
      </w:r>
      <w:r w:rsidRPr="001A1E09">
        <w:rPr>
          <w:rFonts w:ascii="Book Antiqua" w:hAnsi="Book Antiqua" w:cs="Arial"/>
          <w:sz w:val="20"/>
          <w:szCs w:val="20"/>
        </w:rPr>
        <w:t>GLR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807D76" w:rsidRPr="001A1E09">
        <w:rPr>
          <w:rFonts w:ascii="Book Antiqua" w:hAnsi="Book Antiqua" w:cs="Arial"/>
          <w:sz w:val="20"/>
          <w:szCs w:val="20"/>
        </w:rPr>
        <w:t>&gt;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 xml:space="preserve">10.3 </w:t>
      </w:r>
      <w:r w:rsidR="00300350" w:rsidRPr="001A1E09">
        <w:rPr>
          <w:rFonts w:ascii="Book Antiqua" w:hAnsi="Book Antiqua" w:cs="Arial"/>
          <w:sz w:val="20"/>
          <w:szCs w:val="20"/>
        </w:rPr>
        <w:t>demonstrat</w:t>
      </w:r>
      <w:r w:rsidRPr="001A1E09">
        <w:rPr>
          <w:rFonts w:ascii="Book Antiqua" w:hAnsi="Book Antiqua" w:cs="Arial"/>
          <w:sz w:val="20"/>
          <w:szCs w:val="20"/>
        </w:rPr>
        <w:t xml:space="preserve">ing </w:t>
      </w:r>
      <w:r w:rsidR="00807D76" w:rsidRPr="001A1E09">
        <w:rPr>
          <w:rFonts w:ascii="Book Antiqua" w:hAnsi="Book Antiqua" w:cs="Arial"/>
          <w:sz w:val="20"/>
          <w:szCs w:val="20"/>
        </w:rPr>
        <w:t>worse OS and disease-free survival compared with those with a GLR</w:t>
      </w:r>
      <w:r w:rsidR="00D375AB" w:rsidRPr="001A1E09">
        <w:rPr>
          <w:rFonts w:ascii="Book Antiqua" w:hAnsi="Book Antiqua" w:cs="Arial"/>
          <w:sz w:val="20"/>
          <w:szCs w:val="20"/>
        </w:rPr>
        <w:t xml:space="preserve"> </w:t>
      </w:r>
      <w:r w:rsidR="00807D76" w:rsidRPr="001A1E09">
        <w:rPr>
          <w:rFonts w:ascii="Book Antiqua" w:eastAsiaTheme="majorEastAsia" w:hAnsi="Book Antiqua" w:cs="Arial"/>
          <w:sz w:val="20"/>
          <w:szCs w:val="20"/>
        </w:rPr>
        <w:t>≤</w:t>
      </w:r>
      <w:r w:rsidR="00D375AB" w:rsidRPr="001A1E09">
        <w:rPr>
          <w:rFonts w:ascii="Book Antiqua" w:eastAsiaTheme="majorEastAsia" w:hAnsi="Book Antiqua" w:cs="Arial"/>
          <w:sz w:val="20"/>
          <w:szCs w:val="20"/>
        </w:rPr>
        <w:t xml:space="preserve"> </w:t>
      </w:r>
      <w:r w:rsidR="00807D76" w:rsidRPr="001A1E09">
        <w:rPr>
          <w:rFonts w:ascii="Book Antiqua" w:eastAsiaTheme="majorEastAsia" w:hAnsi="Book Antiqua" w:cs="Arial"/>
          <w:sz w:val="20"/>
          <w:szCs w:val="20"/>
        </w:rPr>
        <w:t>10.3</w:t>
      </w:r>
      <w:r w:rsidR="0085400D" w:rsidRPr="001A1E09">
        <w:rPr>
          <w:rFonts w:ascii="Book Antiqua" w:eastAsiaTheme="majorEastAsia" w:hAnsi="Book Antiqua" w:cs="Arial"/>
          <w:sz w:val="20"/>
          <w:szCs w:val="20"/>
          <w:vertAlign w:val="superscript"/>
        </w:rPr>
        <w:t>[11]</w:t>
      </w:r>
      <w:r w:rsidR="00807D76" w:rsidRPr="001A1E09">
        <w:rPr>
          <w:rFonts w:ascii="Book Antiqua" w:hAnsi="Book Antiqua" w:cs="Arial"/>
          <w:sz w:val="20"/>
          <w:szCs w:val="20"/>
        </w:rPr>
        <w:t>.</w:t>
      </w:r>
      <w:r w:rsidR="0054023F" w:rsidRPr="001A1E09">
        <w:rPr>
          <w:rFonts w:ascii="Book Antiqua" w:hAnsi="Book Antiqua" w:cs="Arial"/>
          <w:sz w:val="20"/>
          <w:szCs w:val="20"/>
        </w:rPr>
        <w:t xml:space="preserve"> To </w:t>
      </w:r>
      <w:r w:rsidR="002A04DB" w:rsidRPr="001A1E09">
        <w:rPr>
          <w:rFonts w:ascii="Book Antiqua" w:hAnsi="Book Antiqua" w:cs="Arial"/>
          <w:sz w:val="20"/>
          <w:szCs w:val="20"/>
        </w:rPr>
        <w:t xml:space="preserve">the best of </w:t>
      </w:r>
      <w:r w:rsidR="0054023F" w:rsidRPr="001A1E09">
        <w:rPr>
          <w:rFonts w:ascii="Book Antiqua" w:hAnsi="Book Antiqua" w:cs="Arial"/>
          <w:sz w:val="20"/>
          <w:szCs w:val="20"/>
        </w:rPr>
        <w:t>our knowledge, t</w:t>
      </w:r>
      <w:r w:rsidR="005B2347" w:rsidRPr="001A1E09">
        <w:rPr>
          <w:rFonts w:ascii="Book Antiqua" w:hAnsi="Book Antiqua" w:cs="Arial"/>
          <w:sz w:val="20"/>
          <w:szCs w:val="20"/>
        </w:rPr>
        <w:t>his is the first study</w:t>
      </w:r>
      <w:r w:rsidR="0054023F" w:rsidRPr="001A1E09">
        <w:rPr>
          <w:rFonts w:ascii="Book Antiqua" w:hAnsi="Book Antiqua" w:cs="Arial"/>
          <w:sz w:val="20"/>
          <w:szCs w:val="20"/>
        </w:rPr>
        <w:t xml:space="preserve"> to </w:t>
      </w:r>
      <w:r w:rsidR="00300350" w:rsidRPr="001A1E09">
        <w:rPr>
          <w:rFonts w:ascii="Book Antiqua" w:hAnsi="Book Antiqua" w:cs="Arial"/>
          <w:sz w:val="20"/>
          <w:szCs w:val="20"/>
        </w:rPr>
        <w:t>assess</w:t>
      </w:r>
      <w:r w:rsidR="0054023F" w:rsidRPr="001A1E09">
        <w:rPr>
          <w:rFonts w:ascii="Book Antiqua" w:hAnsi="Book Antiqua" w:cs="Arial"/>
          <w:sz w:val="20"/>
          <w:szCs w:val="20"/>
        </w:rPr>
        <w:t xml:space="preserve"> the prognostic significance</w:t>
      </w:r>
      <w:r w:rsidR="005B2347" w:rsidRPr="001A1E09">
        <w:rPr>
          <w:rFonts w:ascii="Book Antiqua" w:hAnsi="Book Antiqua" w:cs="Arial"/>
          <w:sz w:val="20"/>
          <w:szCs w:val="20"/>
        </w:rPr>
        <w:t xml:space="preserve"> of </w:t>
      </w:r>
      <w:r w:rsidR="000C056B" w:rsidRPr="001A1E09">
        <w:rPr>
          <w:rFonts w:ascii="Book Antiqua" w:hAnsi="Book Antiqua" w:cs="Arial"/>
          <w:sz w:val="20"/>
          <w:szCs w:val="20"/>
        </w:rPr>
        <w:t xml:space="preserve">the </w:t>
      </w:r>
      <w:r w:rsidR="005B2347" w:rsidRPr="001A1E09">
        <w:rPr>
          <w:rFonts w:ascii="Book Antiqua" w:hAnsi="Book Antiqua" w:cs="Arial"/>
          <w:sz w:val="20"/>
          <w:szCs w:val="20"/>
        </w:rPr>
        <w:t xml:space="preserve">GLR for ICC. </w:t>
      </w:r>
      <w:r w:rsidR="006E5034" w:rsidRPr="001A1E09">
        <w:rPr>
          <w:rFonts w:ascii="Book Antiqua" w:hAnsi="Book Antiqua" w:cs="Arial"/>
          <w:sz w:val="20"/>
          <w:szCs w:val="20"/>
        </w:rPr>
        <w:t>T</w:t>
      </w:r>
      <w:r w:rsidR="00300350" w:rsidRPr="001A1E09">
        <w:rPr>
          <w:rFonts w:ascii="Book Antiqua" w:hAnsi="Book Antiqua" w:cs="Arial"/>
          <w:sz w:val="20"/>
          <w:szCs w:val="20"/>
        </w:rPr>
        <w:t xml:space="preserve">he </w:t>
      </w:r>
      <w:r w:rsidR="009E2CE6" w:rsidRPr="001A1E09">
        <w:rPr>
          <w:rFonts w:ascii="Book Antiqua" w:hAnsi="Book Antiqua" w:cs="Arial"/>
          <w:sz w:val="20"/>
          <w:szCs w:val="20"/>
        </w:rPr>
        <w:t>GLR</w:t>
      </w:r>
      <w:r w:rsidR="009747DD" w:rsidRPr="001A1E09">
        <w:rPr>
          <w:rFonts w:ascii="Book Antiqua" w:hAnsi="Book Antiqua" w:cs="Arial"/>
          <w:sz w:val="20"/>
          <w:szCs w:val="20"/>
        </w:rPr>
        <w:t xml:space="preserve"> index was developed using a cohort of 264 ICC patients and </w:t>
      </w:r>
      <w:r w:rsidR="00300350" w:rsidRPr="001A1E09">
        <w:rPr>
          <w:rFonts w:ascii="Book Antiqua" w:hAnsi="Book Antiqua" w:cs="Arial"/>
          <w:sz w:val="20"/>
          <w:szCs w:val="20"/>
        </w:rPr>
        <w:t xml:space="preserve">was </w:t>
      </w:r>
      <w:r w:rsidR="009747DD" w:rsidRPr="001A1E09">
        <w:rPr>
          <w:rFonts w:ascii="Book Antiqua" w:hAnsi="Book Antiqua" w:cs="Arial"/>
          <w:sz w:val="20"/>
          <w:szCs w:val="20"/>
        </w:rPr>
        <w:t>validated in a validation cohor</w:t>
      </w:r>
      <w:r w:rsidR="00300350" w:rsidRPr="001A1E09">
        <w:rPr>
          <w:rFonts w:ascii="Book Antiqua" w:hAnsi="Book Antiqua" w:cs="Arial"/>
          <w:sz w:val="20"/>
          <w:szCs w:val="20"/>
        </w:rPr>
        <w:t>t of 263 patients who</w:t>
      </w:r>
      <w:r w:rsidR="009747DD" w:rsidRPr="001A1E09">
        <w:rPr>
          <w:rFonts w:ascii="Book Antiqua" w:hAnsi="Book Antiqua" w:cs="Arial"/>
          <w:sz w:val="20"/>
          <w:szCs w:val="20"/>
        </w:rPr>
        <w:t xml:space="preserve"> underwent resection.</w:t>
      </w:r>
      <w:r w:rsidR="005B2347" w:rsidRPr="001A1E09">
        <w:rPr>
          <w:rFonts w:ascii="Book Antiqua" w:hAnsi="Book Antiqua" w:cs="Arial"/>
          <w:sz w:val="20"/>
          <w:szCs w:val="20"/>
        </w:rPr>
        <w:t xml:space="preserve"> </w:t>
      </w:r>
      <w:r w:rsidR="006C1B74" w:rsidRPr="001A1E09">
        <w:rPr>
          <w:rFonts w:ascii="Book Antiqua" w:hAnsi="Book Antiqua" w:cs="Arial"/>
          <w:sz w:val="20"/>
          <w:szCs w:val="20"/>
        </w:rPr>
        <w:t>There were no significant differences in</w:t>
      </w:r>
      <w:r w:rsidR="000D0278" w:rsidRPr="001A1E09">
        <w:rPr>
          <w:rFonts w:ascii="Book Antiqua" w:hAnsi="Book Antiqua" w:cs="Arial"/>
          <w:sz w:val="20"/>
          <w:szCs w:val="20"/>
        </w:rPr>
        <w:t xml:space="preserve"> the</w:t>
      </w:r>
      <w:r w:rsidR="006C1B74" w:rsidRPr="001A1E09">
        <w:rPr>
          <w:rFonts w:ascii="Book Antiqua" w:hAnsi="Book Antiqua" w:cs="Arial"/>
          <w:sz w:val="20"/>
          <w:szCs w:val="20"/>
        </w:rPr>
        <w:t xml:space="preserve"> baseline characteristic</w:t>
      </w:r>
      <w:r w:rsidR="00300350" w:rsidRPr="001A1E09">
        <w:rPr>
          <w:rFonts w:ascii="Book Antiqua" w:hAnsi="Book Antiqua" w:cs="Arial"/>
          <w:sz w:val="20"/>
          <w:szCs w:val="20"/>
        </w:rPr>
        <w:t>s</w:t>
      </w:r>
      <w:r w:rsidR="006C1B74" w:rsidRPr="001A1E09">
        <w:rPr>
          <w:rFonts w:ascii="Book Antiqua" w:hAnsi="Book Antiqua" w:cs="Arial"/>
          <w:sz w:val="20"/>
          <w:szCs w:val="20"/>
        </w:rPr>
        <w:t>.</w:t>
      </w:r>
      <w:r w:rsidR="005B2347" w:rsidRPr="001A1E09">
        <w:rPr>
          <w:rFonts w:ascii="Book Antiqua" w:hAnsi="Book Antiqua" w:cs="Arial"/>
          <w:sz w:val="20"/>
          <w:szCs w:val="20"/>
        </w:rPr>
        <w:t xml:space="preserve"> </w:t>
      </w:r>
      <w:r w:rsidR="00C57BF5" w:rsidRPr="001A1E09">
        <w:rPr>
          <w:rFonts w:ascii="Book Antiqua" w:hAnsi="Book Antiqua" w:cs="Arial"/>
          <w:sz w:val="20"/>
          <w:szCs w:val="20"/>
        </w:rPr>
        <w:t xml:space="preserve">In this study, we first confirmed the optimal cut-off value of </w:t>
      </w:r>
      <w:r w:rsidR="000D0278" w:rsidRPr="001A1E09">
        <w:rPr>
          <w:rFonts w:ascii="Book Antiqua" w:hAnsi="Book Antiqua" w:cs="Arial"/>
          <w:sz w:val="20"/>
          <w:szCs w:val="20"/>
        </w:rPr>
        <w:t xml:space="preserve">the </w:t>
      </w:r>
      <w:r w:rsidR="00C57BF5" w:rsidRPr="001A1E09">
        <w:rPr>
          <w:rFonts w:ascii="Book Antiqua" w:hAnsi="Book Antiqua" w:cs="Arial"/>
          <w:sz w:val="20"/>
          <w:szCs w:val="20"/>
        </w:rPr>
        <w:t>preoperative GLR according to</w:t>
      </w:r>
      <w:r w:rsidR="000D0278" w:rsidRPr="001A1E09">
        <w:rPr>
          <w:rFonts w:ascii="Book Antiqua" w:hAnsi="Book Antiqua" w:cs="Arial"/>
          <w:sz w:val="20"/>
          <w:szCs w:val="20"/>
        </w:rPr>
        <w:t xml:space="preserve"> the</w:t>
      </w:r>
      <w:r w:rsidR="00C57BF5" w:rsidRPr="001A1E09">
        <w:rPr>
          <w:rFonts w:ascii="Book Antiqua" w:hAnsi="Book Antiqua" w:cs="Arial"/>
          <w:sz w:val="20"/>
          <w:szCs w:val="20"/>
        </w:rPr>
        <w:t xml:space="preserve"> </w:t>
      </w:r>
      <w:r w:rsidR="00E164E4" w:rsidRPr="001A1E09">
        <w:rPr>
          <w:rFonts w:ascii="Book Antiqua" w:hAnsi="Book Antiqua" w:cs="Arial"/>
          <w:sz w:val="20"/>
          <w:szCs w:val="20"/>
        </w:rPr>
        <w:t>receiver operating characteristic</w:t>
      </w:r>
      <w:r w:rsidR="00C57BF5" w:rsidRPr="001A1E09">
        <w:rPr>
          <w:rFonts w:ascii="Book Antiqua" w:hAnsi="Book Antiqua" w:cs="Arial"/>
          <w:sz w:val="20"/>
          <w:szCs w:val="20"/>
        </w:rPr>
        <w:t xml:space="preserve"> curve. We noticed that </w:t>
      </w:r>
      <w:r w:rsidR="000D0278" w:rsidRPr="001A1E09">
        <w:rPr>
          <w:rFonts w:ascii="Book Antiqua" w:hAnsi="Book Antiqua" w:cs="Arial"/>
          <w:sz w:val="20"/>
          <w:szCs w:val="20"/>
        </w:rPr>
        <w:t xml:space="preserve">the </w:t>
      </w:r>
      <w:r w:rsidR="00C57BF5" w:rsidRPr="001A1E09">
        <w:rPr>
          <w:rFonts w:ascii="Book Antiqua" w:hAnsi="Book Antiqua" w:cs="Arial"/>
          <w:sz w:val="20"/>
          <w:szCs w:val="20"/>
        </w:rPr>
        <w:t xml:space="preserve">elevated GLR </w:t>
      </w:r>
      <w:r w:rsidR="0050762A" w:rsidRPr="001A1E09">
        <w:rPr>
          <w:rFonts w:ascii="Book Antiqua" w:hAnsi="Book Antiqua" w:cs="Arial"/>
          <w:sz w:val="20"/>
          <w:szCs w:val="20"/>
        </w:rPr>
        <w:t>was</w:t>
      </w:r>
      <w:r w:rsidR="003D5EEB" w:rsidRPr="001A1E09">
        <w:rPr>
          <w:rFonts w:ascii="Book Antiqua" w:hAnsi="Book Antiqua" w:cs="Arial"/>
          <w:sz w:val="20"/>
          <w:szCs w:val="20"/>
        </w:rPr>
        <w:t xml:space="preserve"> correlated with tumor size,</w:t>
      </w:r>
      <w:r w:rsidR="000D0278" w:rsidRPr="001A1E09">
        <w:rPr>
          <w:rFonts w:ascii="Book Antiqua" w:hAnsi="Book Antiqua" w:cs="Arial"/>
          <w:sz w:val="20"/>
          <w:szCs w:val="20"/>
        </w:rPr>
        <w:t xml:space="preserve"> the</w:t>
      </w:r>
      <w:r w:rsidR="003D5EEB" w:rsidRPr="001A1E09">
        <w:rPr>
          <w:rFonts w:ascii="Book Antiqua" w:hAnsi="Book Antiqua" w:cs="Arial"/>
          <w:sz w:val="20"/>
          <w:szCs w:val="20"/>
        </w:rPr>
        <w:t xml:space="preserve"> presence of macrovascular and perineural invasion and BCLC stage</w:t>
      </w:r>
      <w:r w:rsidR="0050762A" w:rsidRPr="001A1E09">
        <w:rPr>
          <w:rFonts w:ascii="Book Antiqua" w:hAnsi="Book Antiqua" w:cs="Arial"/>
          <w:sz w:val="20"/>
          <w:szCs w:val="20"/>
        </w:rPr>
        <w:t xml:space="preserve"> in both cohorts</w:t>
      </w:r>
      <w:r w:rsidR="003D5EEB" w:rsidRPr="001A1E09">
        <w:rPr>
          <w:rFonts w:ascii="Book Antiqua" w:hAnsi="Book Antiqua" w:cs="Arial"/>
          <w:sz w:val="20"/>
          <w:szCs w:val="20"/>
        </w:rPr>
        <w:t>.</w:t>
      </w:r>
      <w:r w:rsidR="00FD2C71" w:rsidRPr="001A1E09">
        <w:rPr>
          <w:rFonts w:ascii="Book Antiqua" w:hAnsi="Book Antiqua" w:cs="Arial"/>
          <w:sz w:val="20"/>
          <w:szCs w:val="20"/>
        </w:rPr>
        <w:t xml:space="preserve"> Notably, all of these clinicopathological features indicated that</w:t>
      </w:r>
      <w:r w:rsidR="000D0278" w:rsidRPr="001A1E09">
        <w:rPr>
          <w:rFonts w:ascii="Book Antiqua" w:hAnsi="Book Antiqua" w:cs="Arial"/>
          <w:sz w:val="20"/>
          <w:szCs w:val="20"/>
        </w:rPr>
        <w:t xml:space="preserve"> the</w:t>
      </w:r>
      <w:r w:rsidR="00FD2C71" w:rsidRPr="001A1E09">
        <w:rPr>
          <w:rFonts w:ascii="Book Antiqua" w:hAnsi="Book Antiqua" w:cs="Arial"/>
          <w:sz w:val="20"/>
          <w:szCs w:val="20"/>
        </w:rPr>
        <w:t xml:space="preserve"> GLR might </w:t>
      </w:r>
      <w:r w:rsidR="000D0278" w:rsidRPr="001A1E09">
        <w:rPr>
          <w:rFonts w:ascii="Book Antiqua" w:hAnsi="Book Antiqua" w:cs="Arial"/>
          <w:sz w:val="20"/>
          <w:szCs w:val="20"/>
        </w:rPr>
        <w:t>implicate</w:t>
      </w:r>
      <w:r w:rsidR="00927331" w:rsidRPr="001A1E09">
        <w:rPr>
          <w:rFonts w:ascii="Book Antiqua" w:hAnsi="Book Antiqua" w:cs="Arial"/>
          <w:sz w:val="20"/>
          <w:szCs w:val="20"/>
        </w:rPr>
        <w:t xml:space="preserve"> the tumor burden.</w:t>
      </w:r>
      <w:r w:rsidR="00AB3283" w:rsidRPr="001A1E09">
        <w:rPr>
          <w:rFonts w:ascii="Book Antiqua" w:hAnsi="Book Antiqua" w:cs="Arial"/>
          <w:sz w:val="20"/>
          <w:szCs w:val="20"/>
        </w:rPr>
        <w:t xml:space="preserve"> After further analysis, we identified that </w:t>
      </w:r>
      <w:r w:rsidR="000D0278" w:rsidRPr="001A1E09">
        <w:rPr>
          <w:rFonts w:ascii="Book Antiqua" w:hAnsi="Book Antiqua" w:cs="Arial"/>
          <w:sz w:val="20"/>
          <w:szCs w:val="20"/>
        </w:rPr>
        <w:t xml:space="preserve">the </w:t>
      </w:r>
      <w:r w:rsidR="00AB3283" w:rsidRPr="001A1E09">
        <w:rPr>
          <w:rFonts w:ascii="Book Antiqua" w:hAnsi="Book Antiqua" w:cs="Arial"/>
          <w:sz w:val="20"/>
          <w:szCs w:val="20"/>
        </w:rPr>
        <w:t>GLR was a prognostic factor for OS and RFS in ICC patients after resection.</w:t>
      </w:r>
      <w:r w:rsidR="00172FBA" w:rsidRPr="001A1E09">
        <w:rPr>
          <w:rFonts w:ascii="Book Antiqua" w:hAnsi="Book Antiqua" w:cs="Arial"/>
          <w:sz w:val="20"/>
          <w:szCs w:val="20"/>
        </w:rPr>
        <w:t xml:space="preserve"> Patients with </w:t>
      </w:r>
      <w:r w:rsidR="00CC1F78" w:rsidRPr="001A1E09">
        <w:rPr>
          <w:rFonts w:ascii="Book Antiqua" w:hAnsi="Book Antiqua" w:cs="Arial"/>
          <w:sz w:val="20"/>
          <w:szCs w:val="20"/>
        </w:rPr>
        <w:t xml:space="preserve">a </w:t>
      </w:r>
      <w:r w:rsidR="00172FBA" w:rsidRPr="001A1E09">
        <w:rPr>
          <w:rFonts w:ascii="Book Antiqua" w:hAnsi="Book Antiqua" w:cs="Arial"/>
          <w:sz w:val="20"/>
          <w:szCs w:val="20"/>
        </w:rPr>
        <w:t xml:space="preserve">high GLR tended to have a </w:t>
      </w:r>
      <w:r w:rsidR="000C029A" w:rsidRPr="001A1E09">
        <w:rPr>
          <w:rFonts w:ascii="Book Antiqua" w:hAnsi="Book Antiqua" w:cs="Arial"/>
          <w:sz w:val="20"/>
          <w:szCs w:val="20"/>
        </w:rPr>
        <w:t>poorer outcome</w:t>
      </w:r>
      <w:r w:rsidR="00172FBA" w:rsidRPr="001A1E09">
        <w:rPr>
          <w:rFonts w:ascii="Book Antiqua" w:hAnsi="Book Antiqua" w:cs="Arial"/>
          <w:sz w:val="20"/>
          <w:szCs w:val="20"/>
        </w:rPr>
        <w:t>.</w:t>
      </w:r>
      <w:r w:rsidR="00CC1F78" w:rsidRPr="001A1E09">
        <w:rPr>
          <w:rFonts w:ascii="Book Antiqua" w:hAnsi="Book Antiqua" w:cs="Arial"/>
          <w:sz w:val="20"/>
          <w:szCs w:val="20"/>
        </w:rPr>
        <w:t xml:space="preserve"> In addition</w:t>
      </w:r>
      <w:r w:rsidR="007379DE" w:rsidRPr="001A1E09">
        <w:rPr>
          <w:rFonts w:ascii="Book Antiqua" w:hAnsi="Book Antiqua" w:cs="Arial"/>
          <w:sz w:val="20"/>
          <w:szCs w:val="20"/>
        </w:rPr>
        <w:t xml:space="preserve">, </w:t>
      </w:r>
      <w:r w:rsidR="00CC1F78" w:rsidRPr="001A1E09">
        <w:rPr>
          <w:rFonts w:ascii="Book Antiqua" w:hAnsi="Book Antiqua" w:cs="Arial"/>
          <w:sz w:val="20"/>
          <w:szCs w:val="20"/>
        </w:rPr>
        <w:t>a high</w:t>
      </w:r>
      <w:r w:rsidR="007379DE" w:rsidRPr="001A1E09">
        <w:rPr>
          <w:rFonts w:ascii="Book Antiqua" w:hAnsi="Book Antiqua" w:cs="Arial"/>
          <w:sz w:val="20"/>
          <w:szCs w:val="20"/>
        </w:rPr>
        <w:t xml:space="preserve"> preoperative GLR </w:t>
      </w:r>
      <w:r w:rsidR="00CC1F78" w:rsidRPr="001A1E09">
        <w:rPr>
          <w:rFonts w:ascii="Book Antiqua" w:hAnsi="Book Antiqua" w:cs="Arial"/>
          <w:sz w:val="20"/>
          <w:szCs w:val="20"/>
        </w:rPr>
        <w:t xml:space="preserve">could </w:t>
      </w:r>
      <w:r w:rsidR="007379DE" w:rsidRPr="001A1E09">
        <w:rPr>
          <w:rFonts w:ascii="Book Antiqua" w:hAnsi="Book Antiqua" w:cs="Arial"/>
          <w:sz w:val="20"/>
          <w:szCs w:val="20"/>
        </w:rPr>
        <w:t>also predict worse OS and RFS in various subgroups.</w:t>
      </w:r>
      <w:r w:rsidR="00F57C8E" w:rsidRPr="001A1E09">
        <w:rPr>
          <w:rFonts w:ascii="Book Antiqua" w:hAnsi="Book Antiqua" w:cs="Arial"/>
          <w:sz w:val="20"/>
          <w:szCs w:val="20"/>
        </w:rPr>
        <w:t xml:space="preserve"> Hence, </w:t>
      </w:r>
      <w:r w:rsidR="00CC1F78" w:rsidRPr="001A1E09">
        <w:rPr>
          <w:rFonts w:ascii="Book Antiqua" w:hAnsi="Book Antiqua" w:cs="Arial"/>
          <w:sz w:val="20"/>
          <w:szCs w:val="20"/>
        </w:rPr>
        <w:t xml:space="preserve">the </w:t>
      </w:r>
      <w:r w:rsidR="00F57C8E" w:rsidRPr="001A1E09">
        <w:rPr>
          <w:rFonts w:ascii="Book Antiqua" w:hAnsi="Book Antiqua" w:cs="Arial"/>
          <w:sz w:val="20"/>
          <w:szCs w:val="20"/>
        </w:rPr>
        <w:t>preoperative GLR can be considered</w:t>
      </w:r>
      <w:r w:rsidR="00CC1F78" w:rsidRPr="001A1E09">
        <w:rPr>
          <w:rFonts w:ascii="Book Antiqua" w:hAnsi="Book Antiqua" w:cs="Arial"/>
          <w:sz w:val="20"/>
          <w:szCs w:val="20"/>
        </w:rPr>
        <w:t xml:space="preserve"> </w:t>
      </w:r>
      <w:r w:rsidR="00F57C8E" w:rsidRPr="001A1E09">
        <w:rPr>
          <w:rFonts w:ascii="Book Antiqua" w:hAnsi="Book Antiqua" w:cs="Arial"/>
          <w:sz w:val="20"/>
          <w:szCs w:val="20"/>
        </w:rPr>
        <w:t>an independent prognostic factor for ICC patients after resection.</w:t>
      </w:r>
      <w:r w:rsidR="007379DE" w:rsidRPr="001A1E09">
        <w:rPr>
          <w:rFonts w:ascii="Book Antiqua" w:hAnsi="Book Antiqua" w:cs="Arial"/>
          <w:sz w:val="20"/>
          <w:szCs w:val="20"/>
        </w:rPr>
        <w:t xml:space="preserve"> </w:t>
      </w:r>
      <w:r w:rsidR="00756FC8" w:rsidRPr="001A1E09">
        <w:rPr>
          <w:rFonts w:ascii="Book Antiqua" w:hAnsi="Book Antiqua" w:cs="Arial"/>
          <w:sz w:val="20"/>
          <w:szCs w:val="20"/>
        </w:rPr>
        <w:t xml:space="preserve">Additionally, </w:t>
      </w:r>
      <w:r w:rsidR="00CC1F78" w:rsidRPr="001A1E09">
        <w:rPr>
          <w:rFonts w:ascii="Book Antiqua" w:hAnsi="Book Antiqua" w:cs="Arial"/>
          <w:sz w:val="20"/>
          <w:szCs w:val="20"/>
        </w:rPr>
        <w:t xml:space="preserve">a </w:t>
      </w:r>
      <w:r w:rsidR="00756FC8" w:rsidRPr="001A1E09">
        <w:rPr>
          <w:rFonts w:ascii="Book Antiqua" w:hAnsi="Book Antiqua" w:cs="Arial"/>
          <w:sz w:val="20"/>
          <w:szCs w:val="20"/>
        </w:rPr>
        <w:t xml:space="preserve">high </w:t>
      </w:r>
      <w:r w:rsidR="000360DC" w:rsidRPr="001A1E09">
        <w:rPr>
          <w:rFonts w:ascii="Book Antiqua" w:hAnsi="Book Antiqua" w:cs="Arial"/>
          <w:sz w:val="20"/>
          <w:szCs w:val="20"/>
        </w:rPr>
        <w:t>CA</w:t>
      </w:r>
      <w:r w:rsidR="00756FC8" w:rsidRPr="001A1E09">
        <w:rPr>
          <w:rFonts w:ascii="Book Antiqua" w:hAnsi="Book Antiqua" w:cs="Arial"/>
          <w:sz w:val="20"/>
          <w:szCs w:val="20"/>
        </w:rPr>
        <w:t xml:space="preserve">19-9 </w:t>
      </w:r>
      <w:r w:rsidR="00CC1F78" w:rsidRPr="001A1E09">
        <w:rPr>
          <w:rFonts w:ascii="Book Antiqua" w:hAnsi="Book Antiqua" w:cs="Arial"/>
          <w:sz w:val="20"/>
          <w:szCs w:val="20"/>
        </w:rPr>
        <w:t xml:space="preserve">level could </w:t>
      </w:r>
      <w:r w:rsidR="00910A3E" w:rsidRPr="001A1E09">
        <w:rPr>
          <w:rFonts w:ascii="Book Antiqua" w:hAnsi="Book Antiqua" w:cs="Arial"/>
          <w:sz w:val="20"/>
          <w:szCs w:val="20"/>
        </w:rPr>
        <w:t xml:space="preserve">also </w:t>
      </w:r>
      <w:r w:rsidR="00756FC8" w:rsidRPr="001A1E09">
        <w:rPr>
          <w:rFonts w:ascii="Book Antiqua" w:hAnsi="Book Antiqua" w:cs="Arial"/>
          <w:sz w:val="20"/>
          <w:szCs w:val="20"/>
        </w:rPr>
        <w:t>act as an independent predictor of worse outcome</w:t>
      </w:r>
      <w:r w:rsidR="00CC1F78" w:rsidRPr="001A1E09">
        <w:rPr>
          <w:rFonts w:ascii="Book Antiqua" w:hAnsi="Book Antiqua" w:cs="Arial"/>
          <w:sz w:val="20"/>
          <w:szCs w:val="20"/>
        </w:rPr>
        <w:t>s</w:t>
      </w:r>
      <w:r w:rsidR="00756FC8" w:rsidRPr="001A1E09">
        <w:rPr>
          <w:rFonts w:ascii="Book Antiqua" w:hAnsi="Book Antiqua" w:cs="Arial"/>
          <w:sz w:val="20"/>
          <w:szCs w:val="20"/>
        </w:rPr>
        <w:t xml:space="preserve"> in ICC patients undergoing resection.</w:t>
      </w:r>
    </w:p>
    <w:p w14:paraId="53BF2AEE" w14:textId="7A52A1E2" w:rsidR="004E5296" w:rsidRPr="001A1E09" w:rsidRDefault="00881253" w:rsidP="001A1E09">
      <w:pPr>
        <w:tabs>
          <w:tab w:val="left" w:pos="4830"/>
        </w:tabs>
        <w:adjustRightInd w:val="0"/>
        <w:snapToGrid w:val="0"/>
        <w:spacing w:line="360" w:lineRule="auto"/>
        <w:ind w:firstLineChars="100" w:firstLine="200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t xml:space="preserve">Previous studies have investigated </w:t>
      </w:r>
      <w:r w:rsidR="00BA5FFE" w:rsidRPr="001A1E09">
        <w:rPr>
          <w:rFonts w:ascii="Book Antiqua" w:hAnsi="Book Antiqua" w:cs="Arial"/>
          <w:sz w:val="20"/>
          <w:szCs w:val="20"/>
        </w:rPr>
        <w:t xml:space="preserve">the </w:t>
      </w:r>
      <w:r w:rsidRPr="001A1E09">
        <w:rPr>
          <w:rFonts w:ascii="Book Antiqua" w:hAnsi="Book Antiqua" w:cs="Arial"/>
          <w:sz w:val="20"/>
          <w:szCs w:val="20"/>
        </w:rPr>
        <w:t>prognostic effect</w:t>
      </w:r>
      <w:r w:rsidR="00BA5FFE" w:rsidRPr="001A1E09">
        <w:rPr>
          <w:rFonts w:ascii="Book Antiqua" w:hAnsi="Book Antiqua" w:cs="Arial"/>
          <w:sz w:val="20"/>
          <w:szCs w:val="20"/>
        </w:rPr>
        <w:t>s</w:t>
      </w:r>
      <w:r w:rsidRPr="001A1E09">
        <w:rPr>
          <w:rFonts w:ascii="Book Antiqua" w:hAnsi="Book Antiqua" w:cs="Arial"/>
          <w:sz w:val="20"/>
          <w:szCs w:val="20"/>
        </w:rPr>
        <w:t xml:space="preserve"> of</w:t>
      </w:r>
      <w:r w:rsidR="00BA5FFE" w:rsidRPr="001A1E09">
        <w:rPr>
          <w:rFonts w:ascii="Book Antiqua" w:hAnsi="Book Antiqua" w:cs="Arial"/>
          <w:sz w:val="20"/>
          <w:szCs w:val="20"/>
        </w:rPr>
        <w:t xml:space="preserve"> the</w:t>
      </w:r>
      <w:r w:rsidRPr="001A1E09">
        <w:rPr>
          <w:rFonts w:ascii="Book Antiqua" w:hAnsi="Book Antiqua" w:cs="Arial"/>
          <w:sz w:val="20"/>
          <w:szCs w:val="20"/>
        </w:rPr>
        <w:t xml:space="preserve"> NLR and PLR in various cancers, including ICC</w:t>
      </w:r>
      <w:r w:rsidR="0085400D" w:rsidRPr="001A1E09">
        <w:rPr>
          <w:rFonts w:ascii="Book Antiqua" w:hAnsi="Book Antiqua" w:cs="Arial"/>
          <w:sz w:val="20"/>
          <w:szCs w:val="20"/>
          <w:vertAlign w:val="superscript"/>
        </w:rPr>
        <w:t>[24-26]</w:t>
      </w:r>
      <w:r w:rsidR="00BA5FFE" w:rsidRPr="001A1E09">
        <w:rPr>
          <w:rFonts w:ascii="Book Antiqua" w:hAnsi="Book Antiqua" w:cs="Arial"/>
          <w:sz w:val="20"/>
          <w:szCs w:val="20"/>
        </w:rPr>
        <w:t>. These studies</w:t>
      </w:r>
      <w:r w:rsidRPr="001A1E09">
        <w:rPr>
          <w:rFonts w:ascii="Book Antiqua" w:hAnsi="Book Antiqua" w:cs="Arial"/>
          <w:sz w:val="20"/>
          <w:szCs w:val="20"/>
        </w:rPr>
        <w:t xml:space="preserve"> suggested </w:t>
      </w:r>
      <w:r w:rsidR="00BA5FFE" w:rsidRPr="001A1E09">
        <w:rPr>
          <w:rFonts w:ascii="Book Antiqua" w:hAnsi="Book Antiqua" w:cs="Arial"/>
          <w:sz w:val="20"/>
          <w:szCs w:val="20"/>
        </w:rPr>
        <w:t xml:space="preserve">that </w:t>
      </w:r>
      <w:r w:rsidRPr="001A1E09">
        <w:rPr>
          <w:rFonts w:ascii="Book Antiqua" w:hAnsi="Book Antiqua" w:cs="Arial"/>
          <w:sz w:val="20"/>
          <w:szCs w:val="20"/>
        </w:rPr>
        <w:t xml:space="preserve">increased preoperative NLR and PLR </w:t>
      </w:r>
      <w:r w:rsidR="00BA5FFE" w:rsidRPr="001A1E09">
        <w:rPr>
          <w:rFonts w:ascii="Book Antiqua" w:hAnsi="Book Antiqua" w:cs="Arial"/>
          <w:sz w:val="20"/>
          <w:szCs w:val="20"/>
        </w:rPr>
        <w:t xml:space="preserve">values </w:t>
      </w:r>
      <w:r w:rsidRPr="001A1E09">
        <w:rPr>
          <w:rFonts w:ascii="Book Antiqua" w:hAnsi="Book Antiqua" w:cs="Arial"/>
          <w:sz w:val="20"/>
          <w:szCs w:val="20"/>
        </w:rPr>
        <w:t>were independent risk factors for long-term outcomes.</w:t>
      </w:r>
      <w:r w:rsidR="00AD4B07" w:rsidRPr="001A1E09">
        <w:rPr>
          <w:rFonts w:ascii="Book Antiqua" w:hAnsi="Book Antiqua" w:cs="Arial"/>
          <w:sz w:val="20"/>
          <w:szCs w:val="20"/>
        </w:rPr>
        <w:t xml:space="preserve"> However, our results showed that NLR and PLR were not independent predictors of OS or RFS in ICC patients in our center</w:t>
      </w:r>
      <w:r w:rsidR="00247A3D" w:rsidRPr="001A1E09">
        <w:rPr>
          <w:rFonts w:ascii="Book Antiqua" w:hAnsi="Book Antiqua" w:cs="Arial"/>
          <w:sz w:val="20"/>
          <w:szCs w:val="20"/>
        </w:rPr>
        <w:t>.</w:t>
      </w:r>
    </w:p>
    <w:p w14:paraId="67DED030" w14:textId="0B993DAB" w:rsidR="00BD5294" w:rsidRPr="001A1E09" w:rsidRDefault="00102D2F" w:rsidP="001A1E09">
      <w:pPr>
        <w:pStyle w:val="EndNoteBibliography"/>
        <w:adjustRightInd w:val="0"/>
        <w:snapToGrid w:val="0"/>
        <w:spacing w:line="360" w:lineRule="auto"/>
        <w:ind w:firstLineChars="100" w:firstLine="200"/>
        <w:jc w:val="both"/>
        <w:rPr>
          <w:rFonts w:ascii="Book Antiqua" w:hAnsi="Book Antiqua" w:cs="Arial"/>
          <w:noProof w:val="0"/>
          <w:szCs w:val="20"/>
        </w:rPr>
      </w:pPr>
      <w:r w:rsidRPr="001A1E09">
        <w:rPr>
          <w:rFonts w:ascii="Book Antiqua" w:hAnsi="Book Antiqua" w:cs="Arial"/>
          <w:noProof w:val="0"/>
          <w:szCs w:val="20"/>
        </w:rPr>
        <w:t xml:space="preserve">There </w:t>
      </w:r>
      <w:r w:rsidR="00FD4E31" w:rsidRPr="001A1E09">
        <w:rPr>
          <w:rFonts w:ascii="Book Antiqua" w:hAnsi="Book Antiqua" w:cs="Arial"/>
          <w:noProof w:val="0"/>
          <w:szCs w:val="20"/>
        </w:rPr>
        <w:t>were</w:t>
      </w:r>
      <w:r w:rsidRPr="001A1E09">
        <w:rPr>
          <w:rFonts w:ascii="Book Antiqua" w:hAnsi="Book Antiqua" w:cs="Arial"/>
          <w:noProof w:val="0"/>
          <w:szCs w:val="20"/>
        </w:rPr>
        <w:t xml:space="preserve"> several limitations in our study. First, </w:t>
      </w:r>
      <w:r w:rsidR="000A3D43" w:rsidRPr="001A1E09">
        <w:rPr>
          <w:rFonts w:ascii="Book Antiqua" w:hAnsi="Book Antiqua" w:cs="Arial"/>
          <w:noProof w:val="0"/>
          <w:szCs w:val="20"/>
        </w:rPr>
        <w:t>the</w:t>
      </w:r>
      <w:r w:rsidR="00B72A33" w:rsidRPr="001A1E09">
        <w:rPr>
          <w:rFonts w:ascii="Book Antiqua" w:hAnsi="Book Antiqua" w:cs="Arial"/>
          <w:noProof w:val="0"/>
          <w:szCs w:val="20"/>
        </w:rPr>
        <w:t xml:space="preserve"> main</w:t>
      </w:r>
      <w:r w:rsidR="00BA5FFE" w:rsidRPr="001A1E09">
        <w:rPr>
          <w:rFonts w:ascii="Book Antiqua" w:hAnsi="Book Antiqua" w:cs="Arial"/>
          <w:noProof w:val="0"/>
          <w:szCs w:val="20"/>
        </w:rPr>
        <w:t xml:space="preserve"> limitation</w:t>
      </w:r>
      <w:r w:rsidR="000A3D43" w:rsidRPr="001A1E09">
        <w:rPr>
          <w:rFonts w:ascii="Book Antiqua" w:hAnsi="Book Antiqua" w:cs="Arial"/>
          <w:noProof w:val="0"/>
          <w:szCs w:val="20"/>
        </w:rPr>
        <w:t xml:space="preserve"> of this study is its retrospective nature. </w:t>
      </w:r>
      <w:r w:rsidRPr="001A1E09">
        <w:rPr>
          <w:rFonts w:ascii="Book Antiqua" w:hAnsi="Book Antiqua" w:cs="Arial"/>
          <w:noProof w:val="0"/>
          <w:szCs w:val="20"/>
        </w:rPr>
        <w:t xml:space="preserve">Second, the present study </w:t>
      </w:r>
      <w:r w:rsidR="00792717" w:rsidRPr="001A1E09">
        <w:rPr>
          <w:rFonts w:ascii="Book Antiqua" w:hAnsi="Book Antiqua" w:cs="Arial"/>
          <w:noProof w:val="0"/>
          <w:szCs w:val="20"/>
        </w:rPr>
        <w:t>i</w:t>
      </w:r>
      <w:r w:rsidR="00BA5FFE" w:rsidRPr="001A1E09">
        <w:rPr>
          <w:rFonts w:ascii="Book Antiqua" w:hAnsi="Book Antiqua" w:cs="Arial"/>
          <w:noProof w:val="0"/>
          <w:szCs w:val="20"/>
        </w:rPr>
        <w:t>nvol</w:t>
      </w:r>
      <w:r w:rsidR="00D53F47" w:rsidRPr="001A1E09">
        <w:rPr>
          <w:rFonts w:ascii="Book Antiqua" w:hAnsi="Book Antiqua" w:cs="Arial"/>
          <w:noProof w:val="0"/>
          <w:szCs w:val="20"/>
        </w:rPr>
        <w:t>ved</w:t>
      </w:r>
      <w:r w:rsidR="00792717" w:rsidRPr="001A1E09">
        <w:rPr>
          <w:rFonts w:ascii="Book Antiqua" w:hAnsi="Book Antiqua" w:cs="Arial"/>
          <w:noProof w:val="0"/>
          <w:szCs w:val="20"/>
        </w:rPr>
        <w:t xml:space="preserve"> </w:t>
      </w:r>
      <w:r w:rsidR="00D53F47" w:rsidRPr="001A1E09">
        <w:rPr>
          <w:rFonts w:ascii="Book Antiqua" w:hAnsi="Book Antiqua" w:cs="Arial"/>
          <w:noProof w:val="0"/>
          <w:szCs w:val="20"/>
        </w:rPr>
        <w:t>a single institution</w:t>
      </w:r>
      <w:r w:rsidRPr="001A1E09">
        <w:rPr>
          <w:rFonts w:ascii="Book Antiqua" w:hAnsi="Book Antiqua" w:cs="Arial"/>
          <w:noProof w:val="0"/>
          <w:szCs w:val="20"/>
        </w:rPr>
        <w:t xml:space="preserve">. </w:t>
      </w:r>
      <w:r w:rsidR="00792717" w:rsidRPr="001A1E09">
        <w:rPr>
          <w:rFonts w:ascii="Book Antiqua" w:hAnsi="Book Antiqua" w:cs="Arial"/>
          <w:noProof w:val="0"/>
          <w:szCs w:val="20"/>
        </w:rPr>
        <w:t>Moreover, it identifie</w:t>
      </w:r>
      <w:r w:rsidR="00D53F47" w:rsidRPr="001A1E09">
        <w:rPr>
          <w:rFonts w:ascii="Book Antiqua" w:hAnsi="Book Antiqua" w:cs="Arial"/>
          <w:noProof w:val="0"/>
          <w:szCs w:val="20"/>
        </w:rPr>
        <w:t>d the prognostic value of</w:t>
      </w:r>
      <w:r w:rsidR="00BA5FFE" w:rsidRPr="001A1E09">
        <w:rPr>
          <w:rFonts w:ascii="Book Antiqua" w:hAnsi="Book Antiqua" w:cs="Arial"/>
          <w:noProof w:val="0"/>
          <w:szCs w:val="20"/>
        </w:rPr>
        <w:t xml:space="preserve"> the</w:t>
      </w:r>
      <w:r w:rsidR="00D53F47" w:rsidRPr="001A1E09">
        <w:rPr>
          <w:rFonts w:ascii="Book Antiqua" w:hAnsi="Book Antiqua" w:cs="Arial"/>
          <w:noProof w:val="0"/>
          <w:szCs w:val="20"/>
        </w:rPr>
        <w:t xml:space="preserve"> GLR only in ICC patients who received curative resection.</w:t>
      </w:r>
      <w:r w:rsidR="00792717" w:rsidRPr="001A1E09">
        <w:rPr>
          <w:rFonts w:ascii="Book Antiqua" w:hAnsi="Book Antiqua" w:cs="Arial"/>
          <w:noProof w:val="0"/>
          <w:szCs w:val="20"/>
        </w:rPr>
        <w:t xml:space="preserve"> </w:t>
      </w:r>
      <w:r w:rsidR="00B72A33" w:rsidRPr="001A1E09">
        <w:rPr>
          <w:rFonts w:ascii="Book Antiqua" w:hAnsi="Book Antiqua" w:cs="Arial"/>
          <w:noProof w:val="0"/>
          <w:szCs w:val="20"/>
        </w:rPr>
        <w:t xml:space="preserve">Given these limitations, future </w:t>
      </w:r>
      <w:r w:rsidR="00BA5FFE" w:rsidRPr="001A1E09">
        <w:rPr>
          <w:rFonts w:ascii="Book Antiqua" w:hAnsi="Book Antiqua" w:cs="Arial"/>
          <w:noProof w:val="0"/>
          <w:szCs w:val="20"/>
        </w:rPr>
        <w:t>studies should include</w:t>
      </w:r>
      <w:r w:rsidR="00921219" w:rsidRPr="001A1E09">
        <w:rPr>
          <w:rFonts w:ascii="Book Antiqua" w:hAnsi="Book Antiqua" w:cs="Arial"/>
          <w:noProof w:val="0"/>
          <w:szCs w:val="20"/>
        </w:rPr>
        <w:t xml:space="preserve"> more centers and </w:t>
      </w:r>
      <w:r w:rsidR="00BA5FFE" w:rsidRPr="001A1E09">
        <w:rPr>
          <w:rFonts w:ascii="Book Antiqua" w:hAnsi="Book Antiqua" w:cs="Arial"/>
          <w:noProof w:val="0"/>
          <w:szCs w:val="20"/>
        </w:rPr>
        <w:t xml:space="preserve">additional </w:t>
      </w:r>
      <w:r w:rsidR="00921219" w:rsidRPr="001A1E09">
        <w:rPr>
          <w:rFonts w:ascii="Book Antiqua" w:hAnsi="Book Antiqua" w:cs="Arial"/>
          <w:noProof w:val="0"/>
          <w:szCs w:val="20"/>
        </w:rPr>
        <w:t>patients with various treatment modalities.</w:t>
      </w:r>
    </w:p>
    <w:p w14:paraId="69E5B892" w14:textId="10DF8105" w:rsidR="00D4399F" w:rsidRPr="001A1E09" w:rsidRDefault="00D4399F" w:rsidP="001A1E09">
      <w:pPr>
        <w:pStyle w:val="EndNoteBibliography"/>
        <w:adjustRightInd w:val="0"/>
        <w:snapToGrid w:val="0"/>
        <w:spacing w:line="360" w:lineRule="auto"/>
        <w:ind w:firstLineChars="100" w:firstLine="200"/>
        <w:jc w:val="both"/>
        <w:rPr>
          <w:rFonts w:ascii="Book Antiqua" w:hAnsi="Book Antiqua" w:cs="Arial"/>
          <w:noProof w:val="0"/>
          <w:szCs w:val="20"/>
        </w:rPr>
      </w:pPr>
      <w:r w:rsidRPr="001A1E09">
        <w:rPr>
          <w:rFonts w:ascii="Book Antiqua" w:hAnsi="Book Antiqua" w:cs="Arial"/>
          <w:noProof w:val="0"/>
          <w:szCs w:val="20"/>
        </w:rPr>
        <w:t xml:space="preserve">In conclusion, </w:t>
      </w:r>
      <w:r w:rsidR="00E4155D" w:rsidRPr="001A1E09">
        <w:rPr>
          <w:rFonts w:ascii="Book Antiqua" w:hAnsi="Book Antiqua" w:cs="Arial"/>
          <w:noProof w:val="0"/>
          <w:szCs w:val="20"/>
        </w:rPr>
        <w:t>our study</w:t>
      </w:r>
      <w:r w:rsidR="00020BF6" w:rsidRPr="001A1E09">
        <w:rPr>
          <w:rFonts w:ascii="Book Antiqua" w:hAnsi="Book Antiqua" w:cs="Arial"/>
          <w:noProof w:val="0"/>
          <w:szCs w:val="20"/>
        </w:rPr>
        <w:t xml:space="preserve"> demonstrates</w:t>
      </w:r>
      <w:r w:rsidR="00E4155D" w:rsidRPr="001A1E09">
        <w:rPr>
          <w:rFonts w:ascii="Book Antiqua" w:hAnsi="Book Antiqua" w:cs="Arial"/>
          <w:noProof w:val="0"/>
          <w:szCs w:val="20"/>
        </w:rPr>
        <w:t xml:space="preserve"> that </w:t>
      </w:r>
      <w:r w:rsidR="00020BF6" w:rsidRPr="001A1E09">
        <w:rPr>
          <w:rFonts w:ascii="Book Antiqua" w:hAnsi="Book Antiqua" w:cs="Arial"/>
          <w:noProof w:val="0"/>
          <w:szCs w:val="20"/>
        </w:rPr>
        <w:t xml:space="preserve">the </w:t>
      </w:r>
      <w:r w:rsidR="00620733" w:rsidRPr="001A1E09">
        <w:rPr>
          <w:rFonts w:ascii="Book Antiqua" w:hAnsi="Book Antiqua" w:cs="Arial"/>
          <w:noProof w:val="0"/>
          <w:szCs w:val="20"/>
        </w:rPr>
        <w:t xml:space="preserve">preoperative GLR </w:t>
      </w:r>
      <w:r w:rsidR="00E4155D" w:rsidRPr="001A1E09">
        <w:rPr>
          <w:rFonts w:ascii="Book Antiqua" w:hAnsi="Book Antiqua" w:cs="Arial"/>
          <w:noProof w:val="0"/>
          <w:szCs w:val="20"/>
        </w:rPr>
        <w:t xml:space="preserve">is an independent predictor of worse OS and RFS for ICC patients after resection. Therefore, as a </w:t>
      </w:r>
      <w:r w:rsidR="00067413" w:rsidRPr="001A1E09">
        <w:rPr>
          <w:rFonts w:ascii="Book Antiqua" w:hAnsi="Book Antiqua" w:cs="Arial"/>
          <w:noProof w:val="0"/>
          <w:szCs w:val="20"/>
        </w:rPr>
        <w:t xml:space="preserve">readily available inflammatory marker, </w:t>
      </w:r>
      <w:r w:rsidR="001D4F6F" w:rsidRPr="001A1E09">
        <w:rPr>
          <w:rFonts w:ascii="Book Antiqua" w:hAnsi="Book Antiqua" w:cs="Arial"/>
          <w:noProof w:val="0"/>
          <w:szCs w:val="20"/>
        </w:rPr>
        <w:t xml:space="preserve">the </w:t>
      </w:r>
      <w:r w:rsidR="00067413" w:rsidRPr="001A1E09">
        <w:rPr>
          <w:rFonts w:ascii="Book Antiqua" w:hAnsi="Book Antiqua" w:cs="Arial"/>
          <w:noProof w:val="0"/>
          <w:szCs w:val="20"/>
        </w:rPr>
        <w:t>preoperative GLR</w:t>
      </w:r>
      <w:r w:rsidR="00401F96" w:rsidRPr="001A1E09">
        <w:rPr>
          <w:rFonts w:ascii="Book Antiqua" w:hAnsi="Book Antiqua" w:cs="Arial"/>
          <w:noProof w:val="0"/>
          <w:szCs w:val="20"/>
        </w:rPr>
        <w:t xml:space="preserve"> should be considered </w:t>
      </w:r>
      <w:r w:rsidR="00B311F0" w:rsidRPr="001A1E09">
        <w:rPr>
          <w:rFonts w:ascii="Book Antiqua" w:hAnsi="Book Antiqua" w:cs="Arial"/>
          <w:noProof w:val="0"/>
          <w:szCs w:val="20"/>
        </w:rPr>
        <w:t xml:space="preserve">for incorporation </w:t>
      </w:r>
      <w:r w:rsidR="00401F96" w:rsidRPr="001A1E09">
        <w:rPr>
          <w:rFonts w:ascii="Book Antiqua" w:hAnsi="Book Antiqua" w:cs="Arial"/>
          <w:noProof w:val="0"/>
          <w:szCs w:val="20"/>
        </w:rPr>
        <w:t xml:space="preserve">into </w:t>
      </w:r>
      <w:r w:rsidR="00CA6DD3" w:rsidRPr="001A1E09">
        <w:rPr>
          <w:rFonts w:ascii="Book Antiqua" w:hAnsi="Book Antiqua" w:cs="Arial"/>
          <w:noProof w:val="0"/>
          <w:szCs w:val="20"/>
        </w:rPr>
        <w:t>guiding</w:t>
      </w:r>
      <w:r w:rsidR="00B311F0" w:rsidRPr="001A1E09">
        <w:rPr>
          <w:rFonts w:ascii="Book Antiqua" w:hAnsi="Book Antiqua" w:cs="Arial"/>
          <w:noProof w:val="0"/>
          <w:szCs w:val="20"/>
        </w:rPr>
        <w:t xml:space="preserve"> selection of </w:t>
      </w:r>
      <w:r w:rsidR="00401F96" w:rsidRPr="001A1E09">
        <w:rPr>
          <w:rFonts w:ascii="Book Antiqua" w:hAnsi="Book Antiqua" w:cs="Arial"/>
          <w:noProof w:val="0"/>
          <w:szCs w:val="20"/>
        </w:rPr>
        <w:t>treatment methods</w:t>
      </w:r>
      <w:r w:rsidR="00B311F0" w:rsidRPr="001A1E09">
        <w:rPr>
          <w:rFonts w:ascii="Book Antiqua" w:hAnsi="Book Antiqua" w:cs="Arial"/>
          <w:noProof w:val="0"/>
          <w:szCs w:val="20"/>
        </w:rPr>
        <w:t xml:space="preserve"> by surgeons for ICC patients.</w:t>
      </w:r>
    </w:p>
    <w:p w14:paraId="2CE6B1E6" w14:textId="77777777" w:rsidR="004A4B5F" w:rsidRPr="001A1E09" w:rsidRDefault="004A4B5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</w:p>
    <w:p w14:paraId="6AE85B1A" w14:textId="77777777" w:rsidR="0085400D" w:rsidRPr="001A1E09" w:rsidRDefault="0085400D" w:rsidP="001A1E09">
      <w:pPr>
        <w:adjustRightInd w:val="0"/>
        <w:snapToGrid w:val="0"/>
        <w:spacing w:line="360" w:lineRule="auto"/>
        <w:rPr>
          <w:rFonts w:ascii="Book Antiqua" w:hAnsi="Book Antiqua"/>
          <w:b/>
          <w:sz w:val="20"/>
          <w:szCs w:val="20"/>
          <w:u w:val="single"/>
        </w:rPr>
      </w:pPr>
      <w:bookmarkStart w:id="40" w:name="OLE_LINK151"/>
      <w:bookmarkStart w:id="41" w:name="OLE_LINK259"/>
      <w:bookmarkStart w:id="42" w:name="OLE_LINK158"/>
      <w:bookmarkStart w:id="43" w:name="OLE_LINK159"/>
      <w:bookmarkStart w:id="44" w:name="OLE_LINK205"/>
      <w:bookmarkStart w:id="45" w:name="OLE_LINK206"/>
      <w:bookmarkStart w:id="46" w:name="OLE_LINK244"/>
      <w:bookmarkStart w:id="47" w:name="OLE_LINK245"/>
      <w:bookmarkStart w:id="48" w:name="OLE_LINK23"/>
      <w:bookmarkStart w:id="49" w:name="OLE_LINK316"/>
      <w:bookmarkStart w:id="50" w:name="OLE_LINK332"/>
      <w:bookmarkStart w:id="51" w:name="OLE_LINK521"/>
      <w:bookmarkStart w:id="52" w:name="OLE_LINK403"/>
      <w:bookmarkStart w:id="53" w:name="OLE_LINK560"/>
      <w:bookmarkStart w:id="54" w:name="OLE_LINK839"/>
      <w:bookmarkStart w:id="55" w:name="OLE_LINK625"/>
      <w:r w:rsidRPr="001A1E09">
        <w:rPr>
          <w:rFonts w:ascii="Book Antiqua" w:hAnsi="Book Antiqua"/>
          <w:b/>
          <w:sz w:val="20"/>
          <w:szCs w:val="20"/>
          <w:u w:val="single"/>
        </w:rPr>
        <w:t>ARTICLE HIGHLIGHTS</w:t>
      </w:r>
    </w:p>
    <w:p w14:paraId="39A75AA6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noProof w:val="0"/>
          <w:szCs w:val="20"/>
        </w:rPr>
      </w:pPr>
      <w:r w:rsidRPr="001A1E09">
        <w:rPr>
          <w:rFonts w:ascii="Book Antiqua" w:hAnsi="Book Antiqua" w:cs="Arial"/>
          <w:b/>
          <w:i/>
          <w:noProof w:val="0"/>
          <w:szCs w:val="20"/>
        </w:rPr>
        <w:t>Research background</w:t>
      </w:r>
    </w:p>
    <w:p w14:paraId="644D5ECE" w14:textId="71ABBD8D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noProof w:val="0"/>
          <w:szCs w:val="20"/>
        </w:rPr>
      </w:pPr>
      <w:r w:rsidRPr="001A1E09">
        <w:rPr>
          <w:rFonts w:ascii="Book Antiqua" w:hAnsi="Book Antiqua" w:cs="Arial"/>
          <w:noProof w:val="0"/>
          <w:szCs w:val="20"/>
        </w:rPr>
        <w:t>Intrahepatic cholangiocarcinoma (ICC) is a heterogeneous hepatobiliary cancer with limited treatment options and has a high mortality.</w:t>
      </w:r>
      <w:r w:rsidRPr="001A1E09">
        <w:rPr>
          <w:rFonts w:ascii="Book Antiqua" w:hAnsi="Book Antiqua"/>
          <w:noProof w:val="0"/>
          <w:szCs w:val="20"/>
        </w:rPr>
        <w:t xml:space="preserve"> Therefore, it is </w:t>
      </w:r>
      <w:r w:rsidR="00CA6DD3" w:rsidRPr="001A1E09">
        <w:rPr>
          <w:rFonts w:ascii="Book Antiqua" w:hAnsi="Book Antiqua"/>
          <w:noProof w:val="0"/>
          <w:szCs w:val="20"/>
        </w:rPr>
        <w:t>important</w:t>
      </w:r>
      <w:r w:rsidRPr="001A1E09">
        <w:rPr>
          <w:rFonts w:ascii="Book Antiqua" w:hAnsi="Book Antiqua"/>
          <w:noProof w:val="0"/>
          <w:szCs w:val="20"/>
        </w:rPr>
        <w:t xml:space="preserve"> to probe effective biomarkers or prognostic models for ICC patients following hepatic resection at risk of recurrence or metastasis. Accumulating studies has found that a system inflammatory response is important in tumor progression and recurrence. However, it is not yet clear whether neutrophil to lymphocyte ratio (NLR), platelet to lymphocyte ratio (PLR) or gamma-glutamyltransferase to lymphocyte ratio (GLR), </w:t>
      </w:r>
      <w:r w:rsidRPr="001A1E09">
        <w:rPr>
          <w:rFonts w:ascii="Book Antiqua" w:hAnsi="Book Antiqua"/>
          <w:noProof w:val="0"/>
          <w:szCs w:val="20"/>
        </w:rPr>
        <w:lastRenderedPageBreak/>
        <w:t xml:space="preserve">can be used as a novel </w:t>
      </w:r>
      <w:r w:rsidR="00CA6DD3" w:rsidRPr="001A1E09">
        <w:rPr>
          <w:rFonts w:ascii="Book Antiqua" w:hAnsi="Book Antiqua"/>
          <w:noProof w:val="0"/>
          <w:szCs w:val="20"/>
        </w:rPr>
        <w:t>prognostic</w:t>
      </w:r>
      <w:r w:rsidRPr="001A1E09">
        <w:rPr>
          <w:rFonts w:ascii="Book Antiqua" w:hAnsi="Book Antiqua"/>
          <w:noProof w:val="0"/>
          <w:szCs w:val="20"/>
        </w:rPr>
        <w:t xml:space="preserve"> factor for ICC patients following hepatic resection.</w:t>
      </w:r>
    </w:p>
    <w:p w14:paraId="1955F4A4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</w:p>
    <w:p w14:paraId="073AF023" w14:textId="1BCCFB5D" w:rsidR="0050613F" w:rsidRPr="001A1E09" w:rsidRDefault="0085400D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noProof w:val="0"/>
          <w:szCs w:val="20"/>
        </w:rPr>
      </w:pPr>
      <w:r w:rsidRPr="001A1E09">
        <w:rPr>
          <w:rFonts w:ascii="Book Antiqua" w:hAnsi="Book Antiqua" w:cs="Arial"/>
          <w:b/>
          <w:i/>
          <w:noProof w:val="0"/>
          <w:szCs w:val="20"/>
        </w:rPr>
        <w:t>Research motivation</w:t>
      </w:r>
    </w:p>
    <w:p w14:paraId="7B1B2662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  <w:r w:rsidRPr="001A1E09">
        <w:rPr>
          <w:rFonts w:ascii="Book Antiqua" w:hAnsi="Book Antiqua" w:cs="Arial"/>
          <w:noProof w:val="0"/>
          <w:szCs w:val="20"/>
        </w:rPr>
        <w:t>Timely and effective establishment of prognostic models for ICC patients following curative resection is of great value for the long-term outcomes of these patients.</w:t>
      </w:r>
    </w:p>
    <w:p w14:paraId="4DDBDB89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</w:p>
    <w:p w14:paraId="407173EF" w14:textId="5AF32F6F" w:rsidR="0050613F" w:rsidRPr="001A1E09" w:rsidRDefault="0085400D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noProof w:val="0"/>
          <w:szCs w:val="20"/>
        </w:rPr>
      </w:pPr>
      <w:r w:rsidRPr="001A1E09">
        <w:rPr>
          <w:rFonts w:ascii="Book Antiqua" w:hAnsi="Book Antiqua" w:cs="Arial"/>
          <w:b/>
          <w:i/>
          <w:noProof w:val="0"/>
          <w:szCs w:val="20"/>
        </w:rPr>
        <w:t>Research objectives</w:t>
      </w:r>
    </w:p>
    <w:p w14:paraId="5B79623A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  <w:r w:rsidRPr="001A1E09">
        <w:rPr>
          <w:rFonts w:ascii="Book Antiqua" w:hAnsi="Book Antiqua" w:cs="Arial"/>
          <w:noProof w:val="0"/>
          <w:szCs w:val="20"/>
        </w:rPr>
        <w:t>The main aim of our study was to examine the role of inflammation markers in ICC patients and evaluate the prognostic value of GLR in ICC patients following curative resection.</w:t>
      </w:r>
    </w:p>
    <w:p w14:paraId="1196EB0F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</w:p>
    <w:p w14:paraId="5ABA3312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noProof w:val="0"/>
          <w:szCs w:val="20"/>
        </w:rPr>
      </w:pPr>
      <w:r w:rsidRPr="001A1E09">
        <w:rPr>
          <w:rFonts w:ascii="Book Antiqua" w:hAnsi="Book Antiqua" w:cs="Arial"/>
          <w:b/>
          <w:i/>
          <w:noProof w:val="0"/>
          <w:szCs w:val="20"/>
        </w:rPr>
        <w:t>Research methods</w:t>
      </w:r>
    </w:p>
    <w:p w14:paraId="0681E66C" w14:textId="344617E0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  <w:r w:rsidRPr="001A1E09">
        <w:rPr>
          <w:rFonts w:ascii="Book Antiqua" w:hAnsi="Book Antiqua" w:cs="Arial"/>
          <w:noProof w:val="0"/>
          <w:szCs w:val="20"/>
        </w:rPr>
        <w:t>We retrospectively enrolled ICC patients following curative resection between January 2009 and September 2017 at the West China Hospital of Sichuan University. The ICC patients were divided into a derivation cohort and a validation cohort. The derivation cohort was used to explore an optimal cut-off value, and the validation cohort was used to further evaluate the score.</w:t>
      </w:r>
    </w:p>
    <w:p w14:paraId="52BB0E16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</w:p>
    <w:p w14:paraId="5651A553" w14:textId="5C99E47A" w:rsidR="0050613F" w:rsidRPr="001A1E09" w:rsidRDefault="0085400D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noProof w:val="0"/>
          <w:szCs w:val="20"/>
        </w:rPr>
      </w:pPr>
      <w:r w:rsidRPr="001A1E09">
        <w:rPr>
          <w:rFonts w:ascii="Book Antiqua" w:hAnsi="Book Antiqua" w:cs="Arial"/>
          <w:b/>
          <w:i/>
          <w:noProof w:val="0"/>
          <w:szCs w:val="20"/>
        </w:rPr>
        <w:t>Research results</w:t>
      </w:r>
    </w:p>
    <w:p w14:paraId="15404A94" w14:textId="5C3196D6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  <w:r w:rsidRPr="001A1E09">
        <w:rPr>
          <w:rFonts w:ascii="Book Antiqua" w:hAnsi="Book Antiqua" w:cs="Arial"/>
          <w:noProof w:val="0"/>
          <w:szCs w:val="20"/>
        </w:rPr>
        <w:t xml:space="preserve">In all, 527 ICC patients were included and divided into the derivation cohort (264 patients) and the validation cohort (263 patients). The two cohorts had comparable baseline characteristics. The optimal cut-off values for the NLR, PLR and GLR were 2.62, 103 and 33.7, respectively. The </w:t>
      </w:r>
      <w:r w:rsidR="0085400D" w:rsidRPr="001A1E09">
        <w:rPr>
          <w:rFonts w:ascii="Book Antiqua" w:hAnsi="Book Antiqua" w:cs="Arial"/>
          <w:noProof w:val="0"/>
          <w:szCs w:val="20"/>
        </w:rPr>
        <w:t>overall survival (</w:t>
      </w:r>
      <w:r w:rsidRPr="001A1E09">
        <w:rPr>
          <w:rFonts w:ascii="Book Antiqua" w:hAnsi="Book Antiqua" w:cs="Arial"/>
          <w:noProof w:val="0"/>
          <w:szCs w:val="20"/>
        </w:rPr>
        <w:t>OS</w:t>
      </w:r>
      <w:r w:rsidR="0085400D" w:rsidRPr="001A1E09">
        <w:rPr>
          <w:rFonts w:ascii="Book Antiqua" w:hAnsi="Book Antiqua" w:cs="Arial"/>
          <w:noProof w:val="0"/>
          <w:szCs w:val="20"/>
        </w:rPr>
        <w:t>)</w:t>
      </w:r>
      <w:r w:rsidRPr="001A1E09">
        <w:rPr>
          <w:rFonts w:ascii="Book Antiqua" w:hAnsi="Book Antiqua" w:cs="Arial"/>
          <w:noProof w:val="0"/>
          <w:szCs w:val="20"/>
        </w:rPr>
        <w:t xml:space="preserve"> and </w:t>
      </w:r>
      <w:r w:rsidR="0085400D" w:rsidRPr="001A1E09">
        <w:rPr>
          <w:rFonts w:ascii="Book Antiqua" w:hAnsi="Book Antiqua" w:cs="Arial"/>
          <w:noProof w:val="0"/>
          <w:szCs w:val="20"/>
        </w:rPr>
        <w:t>recurrence-free survival (</w:t>
      </w:r>
      <w:r w:rsidRPr="001A1E09">
        <w:rPr>
          <w:rFonts w:ascii="Book Antiqua" w:hAnsi="Book Antiqua" w:cs="Arial"/>
          <w:noProof w:val="0"/>
          <w:szCs w:val="20"/>
        </w:rPr>
        <w:t>RFS</w:t>
      </w:r>
      <w:r w:rsidR="0085400D" w:rsidRPr="001A1E09">
        <w:rPr>
          <w:rFonts w:ascii="Book Antiqua" w:hAnsi="Book Antiqua" w:cs="Arial"/>
          <w:noProof w:val="0"/>
          <w:szCs w:val="20"/>
        </w:rPr>
        <w:t>)</w:t>
      </w:r>
      <w:r w:rsidRPr="001A1E09">
        <w:rPr>
          <w:rFonts w:ascii="Book Antiqua" w:hAnsi="Book Antiqua" w:cs="Arial"/>
          <w:noProof w:val="0"/>
          <w:szCs w:val="20"/>
        </w:rPr>
        <w:t xml:space="preserve"> were shorter in the GLR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&gt;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33.7 group than GLR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≤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 xml:space="preserve">33.7 group in both derivation cohort and validation cohort. Multivariate analysis revealed that the GLR was an independent predictor of OS </w:t>
      </w:r>
      <w:r w:rsidR="0085400D" w:rsidRPr="001A1E09">
        <w:rPr>
          <w:rFonts w:ascii="Book Antiqua" w:hAnsi="Book Antiqua" w:cs="Arial"/>
          <w:noProof w:val="0"/>
          <w:szCs w:val="20"/>
        </w:rPr>
        <w:t>[</w:t>
      </w:r>
      <w:r w:rsidRPr="001A1E09">
        <w:rPr>
          <w:rFonts w:ascii="Book Antiqua" w:hAnsi="Book Antiqua" w:cs="Arial"/>
          <w:noProof w:val="0"/>
          <w:szCs w:val="20"/>
        </w:rPr>
        <w:t>derivation cohort: hazard ratio (HR) =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 xml:space="preserve">1.620, 95% confidence interval (CI): 1.066-2.462, </w:t>
      </w:r>
      <w:r w:rsidRPr="001A1E09">
        <w:rPr>
          <w:rFonts w:ascii="Book Antiqua" w:hAnsi="Book Antiqua" w:cs="Arial"/>
          <w:i/>
          <w:noProof w:val="0"/>
          <w:szCs w:val="20"/>
        </w:rPr>
        <w:t>P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=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0.024; validation cohort: HR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=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 xml:space="preserve">1.466, 95%CI: 1.033-2.142, </w:t>
      </w:r>
      <w:r w:rsidRPr="001A1E09">
        <w:rPr>
          <w:rFonts w:ascii="Book Antiqua" w:hAnsi="Book Antiqua" w:cs="Arial"/>
          <w:i/>
          <w:noProof w:val="0"/>
          <w:szCs w:val="20"/>
        </w:rPr>
        <w:t>P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=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0.048</w:t>
      </w:r>
      <w:r w:rsidR="0085400D" w:rsidRPr="001A1E09">
        <w:rPr>
          <w:rFonts w:ascii="Book Antiqua" w:hAnsi="Book Antiqua" w:cs="Arial"/>
          <w:noProof w:val="0"/>
          <w:szCs w:val="20"/>
        </w:rPr>
        <w:t>]</w:t>
      </w:r>
      <w:r w:rsidRPr="001A1E09">
        <w:rPr>
          <w:rFonts w:ascii="Book Antiqua" w:hAnsi="Book Antiqua" w:cs="Arial"/>
          <w:noProof w:val="0"/>
          <w:szCs w:val="20"/>
        </w:rPr>
        <w:t xml:space="preserve"> and RFS (derivation cohort: HR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=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 xml:space="preserve">1.471, 95%CI: 1.029-2.103, </w:t>
      </w:r>
      <w:r w:rsidRPr="001A1E09">
        <w:rPr>
          <w:rFonts w:ascii="Book Antiqua" w:hAnsi="Book Antiqua" w:cs="Arial"/>
          <w:i/>
          <w:noProof w:val="0"/>
          <w:szCs w:val="20"/>
        </w:rPr>
        <w:t>P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=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0.048; validation cohort: HR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=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 xml:space="preserve">1.480, 95%CI: 1.057-2.070, </w:t>
      </w:r>
      <w:r w:rsidRPr="001A1E09">
        <w:rPr>
          <w:rFonts w:ascii="Book Antiqua" w:hAnsi="Book Antiqua" w:cs="Arial"/>
          <w:i/>
          <w:noProof w:val="0"/>
          <w:szCs w:val="20"/>
        </w:rPr>
        <w:t>P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=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 xml:space="preserve">0.022). Besides, CA19-9 also be demonstrated as an independent predictor of OS and RFS in both cohorts (all </w:t>
      </w:r>
      <w:r w:rsidRPr="001A1E09">
        <w:rPr>
          <w:rFonts w:ascii="Book Antiqua" w:hAnsi="Book Antiqua" w:cs="Arial"/>
          <w:i/>
          <w:noProof w:val="0"/>
          <w:szCs w:val="20"/>
        </w:rPr>
        <w:t>P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&lt;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0.05). However, our results showed that NLR and PLR were not independent predictors of OS or RFS in ICC patients in our center.</w:t>
      </w:r>
    </w:p>
    <w:p w14:paraId="65C449C1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</w:p>
    <w:p w14:paraId="5E79D90B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noProof w:val="0"/>
          <w:szCs w:val="20"/>
        </w:rPr>
      </w:pPr>
      <w:r w:rsidRPr="001A1E09">
        <w:rPr>
          <w:rFonts w:ascii="Book Antiqua" w:hAnsi="Book Antiqua" w:cs="Arial"/>
          <w:b/>
          <w:i/>
          <w:noProof w:val="0"/>
          <w:szCs w:val="20"/>
        </w:rPr>
        <w:t>Research conclusions</w:t>
      </w:r>
    </w:p>
    <w:p w14:paraId="0CFEE41E" w14:textId="3251336E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  <w:r w:rsidRPr="001A1E09">
        <w:rPr>
          <w:rFonts w:ascii="Book Antiqua" w:hAnsi="Book Antiqua" w:cs="Arial"/>
          <w:noProof w:val="0"/>
          <w:szCs w:val="20"/>
        </w:rPr>
        <w:t>The OS and RFS of ICC patients following curative resection are shorter in the GLR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&gt;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33.7 group than GLR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≤</w:t>
      </w:r>
      <w:r w:rsidR="0085400D" w:rsidRPr="001A1E09">
        <w:rPr>
          <w:rFonts w:ascii="Book Antiqua" w:hAnsi="Book Antiqua" w:cs="Arial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33.7 group.</w:t>
      </w:r>
      <w:r w:rsidRPr="001A1E09">
        <w:rPr>
          <w:rFonts w:ascii="Book Antiqua" w:hAnsi="Book Antiqua"/>
          <w:noProof w:val="0"/>
          <w:szCs w:val="20"/>
        </w:rPr>
        <w:t xml:space="preserve"> </w:t>
      </w:r>
      <w:r w:rsidRPr="001A1E09">
        <w:rPr>
          <w:rFonts w:ascii="Book Antiqua" w:hAnsi="Book Antiqua" w:cs="Arial"/>
          <w:noProof w:val="0"/>
          <w:szCs w:val="20"/>
        </w:rPr>
        <w:t>The preoperative GLR is an independent prognostic factor for ICC patients following hepatectomy. A high preoperative GLR is as</w:t>
      </w:r>
      <w:r w:rsidR="0085400D" w:rsidRPr="001A1E09">
        <w:rPr>
          <w:rFonts w:ascii="Book Antiqua" w:hAnsi="Book Antiqua" w:cs="Arial"/>
          <w:noProof w:val="0"/>
          <w:szCs w:val="20"/>
        </w:rPr>
        <w:t>sociated with worse OS and RFS.</w:t>
      </w:r>
    </w:p>
    <w:p w14:paraId="6DDCD720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</w:p>
    <w:p w14:paraId="29821596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i/>
          <w:noProof w:val="0"/>
          <w:szCs w:val="20"/>
        </w:rPr>
      </w:pPr>
      <w:r w:rsidRPr="001A1E09">
        <w:rPr>
          <w:rFonts w:ascii="Book Antiqua" w:hAnsi="Book Antiqua" w:cs="Arial"/>
          <w:b/>
          <w:i/>
          <w:noProof w:val="0"/>
          <w:szCs w:val="20"/>
        </w:rPr>
        <w:t>Research perspectives</w:t>
      </w:r>
    </w:p>
    <w:p w14:paraId="7E82E84A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noProof w:val="0"/>
          <w:szCs w:val="20"/>
        </w:rPr>
      </w:pPr>
      <w:r w:rsidRPr="001A1E09">
        <w:rPr>
          <w:rFonts w:ascii="Book Antiqua" w:hAnsi="Book Antiqua" w:cs="Arial"/>
          <w:noProof w:val="0"/>
          <w:szCs w:val="20"/>
        </w:rPr>
        <w:t>Because our study used a single-center retrospective design and enrolled limited patients. Future studies which included more centers and patients are needed to further verify our results.</w:t>
      </w:r>
    </w:p>
    <w:p w14:paraId="7F16660D" w14:textId="77777777" w:rsidR="0050613F" w:rsidRPr="001A1E09" w:rsidRDefault="0050613F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noProof w:val="0"/>
          <w:szCs w:val="20"/>
        </w:rPr>
      </w:pPr>
    </w:p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p w14:paraId="6AD60CFB" w14:textId="77777777" w:rsidR="004A4B5F" w:rsidRPr="001A1E09" w:rsidRDefault="000A6F26" w:rsidP="001A1E09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noProof w:val="0"/>
          <w:szCs w:val="20"/>
        </w:rPr>
      </w:pPr>
      <w:r w:rsidRPr="001A1E09">
        <w:rPr>
          <w:rFonts w:ascii="Book Antiqua" w:hAnsi="Book Antiqua" w:cs="Arial"/>
          <w:b/>
          <w:noProof w:val="0"/>
          <w:szCs w:val="20"/>
        </w:rPr>
        <w:lastRenderedPageBreak/>
        <w:t>REFERENCES</w:t>
      </w:r>
    </w:p>
    <w:p w14:paraId="021D8C67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1 </w:t>
      </w:r>
      <w:proofErr w:type="spellStart"/>
      <w:r w:rsidRPr="001A1E09">
        <w:rPr>
          <w:rFonts w:ascii="Book Antiqua" w:hAnsi="Book Antiqua"/>
          <w:b/>
          <w:sz w:val="20"/>
          <w:szCs w:val="20"/>
        </w:rPr>
        <w:t>Moeini</w:t>
      </w:r>
      <w:proofErr w:type="spellEnd"/>
      <w:r w:rsidRPr="001A1E09">
        <w:rPr>
          <w:rFonts w:ascii="Book Antiqua" w:hAnsi="Book Antiqua"/>
          <w:b/>
          <w:sz w:val="20"/>
          <w:szCs w:val="20"/>
        </w:rPr>
        <w:t xml:space="preserve"> A</w:t>
      </w:r>
      <w:r w:rsidRPr="001A1E09">
        <w:rPr>
          <w:rFonts w:ascii="Book Antiqua" w:hAnsi="Book Antiqua"/>
          <w:sz w:val="20"/>
          <w:szCs w:val="20"/>
        </w:rPr>
        <w:t xml:space="preserve">, Sia D, </w:t>
      </w:r>
      <w:proofErr w:type="spellStart"/>
      <w:r w:rsidRPr="001A1E09">
        <w:rPr>
          <w:rFonts w:ascii="Book Antiqua" w:hAnsi="Book Antiqua"/>
          <w:sz w:val="20"/>
          <w:szCs w:val="20"/>
        </w:rPr>
        <w:t>Bardeesy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N, Mazzaferro V, </w:t>
      </w:r>
      <w:proofErr w:type="spellStart"/>
      <w:r w:rsidRPr="001A1E09">
        <w:rPr>
          <w:rFonts w:ascii="Book Antiqua" w:hAnsi="Book Antiqua"/>
          <w:sz w:val="20"/>
          <w:szCs w:val="20"/>
        </w:rPr>
        <w:t>Llovet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JM. Molecular Pathogenesis and Targeted Therapies for Intrahepatic Cholangiocarcinoma. </w:t>
      </w:r>
      <w:r w:rsidRPr="001A1E09">
        <w:rPr>
          <w:rFonts w:ascii="Book Antiqua" w:hAnsi="Book Antiqua"/>
          <w:i/>
          <w:sz w:val="20"/>
          <w:szCs w:val="20"/>
        </w:rPr>
        <w:t>Clin Cancer Res</w:t>
      </w:r>
      <w:r w:rsidRPr="001A1E09">
        <w:rPr>
          <w:rFonts w:ascii="Book Antiqua" w:hAnsi="Book Antiqua"/>
          <w:sz w:val="20"/>
          <w:szCs w:val="20"/>
        </w:rPr>
        <w:t xml:space="preserve"> 2016; </w:t>
      </w:r>
      <w:r w:rsidRPr="001A1E09">
        <w:rPr>
          <w:rFonts w:ascii="Book Antiqua" w:hAnsi="Book Antiqua"/>
          <w:b/>
          <w:sz w:val="20"/>
          <w:szCs w:val="20"/>
        </w:rPr>
        <w:t>22</w:t>
      </w:r>
      <w:r w:rsidRPr="001A1E09">
        <w:rPr>
          <w:rFonts w:ascii="Book Antiqua" w:hAnsi="Book Antiqua"/>
          <w:sz w:val="20"/>
          <w:szCs w:val="20"/>
        </w:rPr>
        <w:t>: 291-300 [PMID: 26405193 DOI: 10.1158/1078-0432.CCR-14-3296]</w:t>
      </w:r>
    </w:p>
    <w:p w14:paraId="42A00AA8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2 </w:t>
      </w:r>
      <w:r w:rsidRPr="001A1E09">
        <w:rPr>
          <w:rFonts w:ascii="Book Antiqua" w:hAnsi="Book Antiqua"/>
          <w:b/>
          <w:sz w:val="20"/>
          <w:szCs w:val="20"/>
        </w:rPr>
        <w:t>West J</w:t>
      </w:r>
      <w:r w:rsidRPr="001A1E09">
        <w:rPr>
          <w:rFonts w:ascii="Book Antiqua" w:hAnsi="Book Antiqua"/>
          <w:sz w:val="20"/>
          <w:szCs w:val="20"/>
        </w:rPr>
        <w:t xml:space="preserve">, Wood H, Logan RF, Quinn M, </w:t>
      </w:r>
      <w:proofErr w:type="spellStart"/>
      <w:r w:rsidRPr="001A1E09">
        <w:rPr>
          <w:rFonts w:ascii="Book Antiqua" w:hAnsi="Book Antiqua"/>
          <w:sz w:val="20"/>
          <w:szCs w:val="20"/>
        </w:rPr>
        <w:t>Aithal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GP. Trends in the incidence of primary liver and biliary tract cancers in England and Wales 1971-2001. </w:t>
      </w:r>
      <w:r w:rsidRPr="001A1E09">
        <w:rPr>
          <w:rFonts w:ascii="Book Antiqua" w:hAnsi="Book Antiqua"/>
          <w:i/>
          <w:sz w:val="20"/>
          <w:szCs w:val="20"/>
        </w:rPr>
        <w:t>Br J Cancer</w:t>
      </w:r>
      <w:r w:rsidRPr="001A1E09">
        <w:rPr>
          <w:rFonts w:ascii="Book Antiqua" w:hAnsi="Book Antiqua"/>
          <w:sz w:val="20"/>
          <w:szCs w:val="20"/>
        </w:rPr>
        <w:t xml:space="preserve"> 2006; </w:t>
      </w:r>
      <w:r w:rsidRPr="001A1E09">
        <w:rPr>
          <w:rFonts w:ascii="Book Antiqua" w:hAnsi="Book Antiqua"/>
          <w:b/>
          <w:sz w:val="20"/>
          <w:szCs w:val="20"/>
        </w:rPr>
        <w:t>94</w:t>
      </w:r>
      <w:r w:rsidRPr="001A1E09">
        <w:rPr>
          <w:rFonts w:ascii="Book Antiqua" w:hAnsi="Book Antiqua"/>
          <w:sz w:val="20"/>
          <w:szCs w:val="20"/>
        </w:rPr>
        <w:t>: 1751-1758 [PMID: 16736026 DOI: 10.1038/sj.bjc.6603127]</w:t>
      </w:r>
    </w:p>
    <w:p w14:paraId="10C5B491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3 </w:t>
      </w:r>
      <w:proofErr w:type="spellStart"/>
      <w:r w:rsidRPr="001A1E09">
        <w:rPr>
          <w:rFonts w:ascii="Book Antiqua" w:hAnsi="Book Antiqua"/>
          <w:b/>
          <w:sz w:val="20"/>
          <w:szCs w:val="20"/>
        </w:rPr>
        <w:t>Razumilava</w:t>
      </w:r>
      <w:proofErr w:type="spellEnd"/>
      <w:r w:rsidRPr="001A1E09">
        <w:rPr>
          <w:rFonts w:ascii="Book Antiqua" w:hAnsi="Book Antiqua"/>
          <w:b/>
          <w:sz w:val="20"/>
          <w:szCs w:val="20"/>
        </w:rPr>
        <w:t xml:space="preserve"> N</w:t>
      </w:r>
      <w:r w:rsidRPr="001A1E09">
        <w:rPr>
          <w:rFonts w:ascii="Book Antiqua" w:hAnsi="Book Antiqua"/>
          <w:sz w:val="20"/>
          <w:szCs w:val="20"/>
        </w:rPr>
        <w:t xml:space="preserve">, Gores GJ. Cholangiocarcinoma. </w:t>
      </w:r>
      <w:r w:rsidRPr="001A1E09">
        <w:rPr>
          <w:rFonts w:ascii="Book Antiqua" w:hAnsi="Book Antiqua"/>
          <w:i/>
          <w:sz w:val="20"/>
          <w:szCs w:val="20"/>
        </w:rPr>
        <w:t>Lancet</w:t>
      </w:r>
      <w:r w:rsidRPr="001A1E09">
        <w:rPr>
          <w:rFonts w:ascii="Book Antiqua" w:hAnsi="Book Antiqua"/>
          <w:sz w:val="20"/>
          <w:szCs w:val="20"/>
        </w:rPr>
        <w:t xml:space="preserve"> 2014; </w:t>
      </w:r>
      <w:r w:rsidRPr="001A1E09">
        <w:rPr>
          <w:rFonts w:ascii="Book Antiqua" w:hAnsi="Book Antiqua"/>
          <w:b/>
          <w:sz w:val="20"/>
          <w:szCs w:val="20"/>
        </w:rPr>
        <w:t>383</w:t>
      </w:r>
      <w:r w:rsidRPr="001A1E09">
        <w:rPr>
          <w:rFonts w:ascii="Book Antiqua" w:hAnsi="Book Antiqua"/>
          <w:sz w:val="20"/>
          <w:szCs w:val="20"/>
        </w:rPr>
        <w:t>: 2168-2179 [PMID: 24581682 DOI: 10.1016/S0140-6736(13)61903-0]</w:t>
      </w:r>
    </w:p>
    <w:p w14:paraId="0BACC784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4 </w:t>
      </w:r>
      <w:r w:rsidRPr="001A1E09">
        <w:rPr>
          <w:rFonts w:ascii="Book Antiqua" w:hAnsi="Book Antiqua"/>
          <w:b/>
          <w:sz w:val="20"/>
          <w:szCs w:val="20"/>
        </w:rPr>
        <w:t>Rizvi S</w:t>
      </w:r>
      <w:r w:rsidRPr="001A1E09">
        <w:rPr>
          <w:rFonts w:ascii="Book Antiqua" w:hAnsi="Book Antiqua"/>
          <w:sz w:val="20"/>
          <w:szCs w:val="20"/>
        </w:rPr>
        <w:t xml:space="preserve">, Khan SA, </w:t>
      </w:r>
      <w:proofErr w:type="spellStart"/>
      <w:r w:rsidRPr="001A1E09">
        <w:rPr>
          <w:rFonts w:ascii="Book Antiqua" w:hAnsi="Book Antiqua"/>
          <w:sz w:val="20"/>
          <w:szCs w:val="20"/>
        </w:rPr>
        <w:t>Hallemeier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CL, Kelley RK, Gores GJ. Cholangiocarcinoma - evolving concepts and therapeutic strategies. </w:t>
      </w:r>
      <w:r w:rsidRPr="001A1E09">
        <w:rPr>
          <w:rFonts w:ascii="Book Antiqua" w:hAnsi="Book Antiqua"/>
          <w:i/>
          <w:sz w:val="20"/>
          <w:szCs w:val="20"/>
        </w:rPr>
        <w:t>Nat Rev Clin Oncol</w:t>
      </w:r>
      <w:r w:rsidRPr="001A1E09">
        <w:rPr>
          <w:rFonts w:ascii="Book Antiqua" w:hAnsi="Book Antiqua"/>
          <w:sz w:val="20"/>
          <w:szCs w:val="20"/>
        </w:rPr>
        <w:t xml:space="preserve"> 2018; </w:t>
      </w:r>
      <w:r w:rsidRPr="001A1E09">
        <w:rPr>
          <w:rFonts w:ascii="Book Antiqua" w:hAnsi="Book Antiqua"/>
          <w:b/>
          <w:sz w:val="20"/>
          <w:szCs w:val="20"/>
        </w:rPr>
        <w:t>15</w:t>
      </w:r>
      <w:r w:rsidRPr="001A1E09">
        <w:rPr>
          <w:rFonts w:ascii="Book Antiqua" w:hAnsi="Book Antiqua"/>
          <w:sz w:val="20"/>
          <w:szCs w:val="20"/>
        </w:rPr>
        <w:t>: 95-111 [PMID: 28994423 DOI: 10.1038/nrclinonc.2017.157]</w:t>
      </w:r>
    </w:p>
    <w:p w14:paraId="7E6EC633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5 </w:t>
      </w:r>
      <w:r w:rsidRPr="001A1E09">
        <w:rPr>
          <w:rFonts w:ascii="Book Antiqua" w:hAnsi="Book Antiqua"/>
          <w:b/>
          <w:sz w:val="20"/>
          <w:szCs w:val="20"/>
        </w:rPr>
        <w:t>Bridgewater J</w:t>
      </w:r>
      <w:r w:rsidRPr="001A1E09">
        <w:rPr>
          <w:rFonts w:ascii="Book Antiqua" w:hAnsi="Book Antiqua"/>
          <w:sz w:val="20"/>
          <w:szCs w:val="20"/>
        </w:rPr>
        <w:t xml:space="preserve">, Galle PR, Khan SA, </w:t>
      </w:r>
      <w:proofErr w:type="spellStart"/>
      <w:r w:rsidRPr="001A1E09">
        <w:rPr>
          <w:rFonts w:ascii="Book Antiqua" w:hAnsi="Book Antiqua"/>
          <w:sz w:val="20"/>
          <w:szCs w:val="20"/>
        </w:rPr>
        <w:t>Llovet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JM, Park JW, Patel T, </w:t>
      </w:r>
      <w:proofErr w:type="spellStart"/>
      <w:r w:rsidRPr="001A1E09">
        <w:rPr>
          <w:rFonts w:ascii="Book Antiqua" w:hAnsi="Book Antiqua"/>
          <w:sz w:val="20"/>
          <w:szCs w:val="20"/>
        </w:rPr>
        <w:t>Pawlik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TM, Gores GJ. Guidelines for the diagnosis and management of intrahepatic cholangiocarcinoma. </w:t>
      </w:r>
      <w:r w:rsidRPr="001A1E09">
        <w:rPr>
          <w:rFonts w:ascii="Book Antiqua" w:hAnsi="Book Antiqua"/>
          <w:i/>
          <w:sz w:val="20"/>
          <w:szCs w:val="20"/>
        </w:rPr>
        <w:t xml:space="preserve">J </w:t>
      </w:r>
      <w:proofErr w:type="spellStart"/>
      <w:r w:rsidRPr="001A1E09">
        <w:rPr>
          <w:rFonts w:ascii="Book Antiqua" w:hAnsi="Book Antiqua"/>
          <w:i/>
          <w:sz w:val="20"/>
          <w:szCs w:val="20"/>
        </w:rPr>
        <w:t>Hepatol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2014; </w:t>
      </w:r>
      <w:r w:rsidRPr="001A1E09">
        <w:rPr>
          <w:rFonts w:ascii="Book Antiqua" w:hAnsi="Book Antiqua"/>
          <w:b/>
          <w:sz w:val="20"/>
          <w:szCs w:val="20"/>
        </w:rPr>
        <w:t>60</w:t>
      </w:r>
      <w:r w:rsidRPr="001A1E09">
        <w:rPr>
          <w:rFonts w:ascii="Book Antiqua" w:hAnsi="Book Antiqua"/>
          <w:sz w:val="20"/>
          <w:szCs w:val="20"/>
        </w:rPr>
        <w:t>: 1268-1289 [PMID: 24681130 DOI: 10.1016/j.jhep.2014.01.021]</w:t>
      </w:r>
    </w:p>
    <w:p w14:paraId="7AB69C04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6 </w:t>
      </w:r>
      <w:proofErr w:type="spellStart"/>
      <w:r w:rsidRPr="001A1E09">
        <w:rPr>
          <w:rFonts w:ascii="Book Antiqua" w:hAnsi="Book Antiqua"/>
          <w:b/>
          <w:sz w:val="20"/>
          <w:szCs w:val="20"/>
        </w:rPr>
        <w:t>Poultsides</w:t>
      </w:r>
      <w:proofErr w:type="spellEnd"/>
      <w:r w:rsidRPr="001A1E09">
        <w:rPr>
          <w:rFonts w:ascii="Book Antiqua" w:hAnsi="Book Antiqua"/>
          <w:b/>
          <w:sz w:val="20"/>
          <w:szCs w:val="20"/>
        </w:rPr>
        <w:t xml:space="preserve"> GA</w:t>
      </w:r>
      <w:r w:rsidRPr="001A1E09">
        <w:rPr>
          <w:rFonts w:ascii="Book Antiqua" w:hAnsi="Book Antiqua"/>
          <w:sz w:val="20"/>
          <w:szCs w:val="20"/>
        </w:rPr>
        <w:t xml:space="preserve">, Zhu AX, </w:t>
      </w:r>
      <w:proofErr w:type="spellStart"/>
      <w:r w:rsidRPr="001A1E09">
        <w:rPr>
          <w:rFonts w:ascii="Book Antiqua" w:hAnsi="Book Antiqua"/>
          <w:sz w:val="20"/>
          <w:szCs w:val="20"/>
        </w:rPr>
        <w:t>Choti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MA, </w:t>
      </w:r>
      <w:proofErr w:type="spellStart"/>
      <w:r w:rsidRPr="001A1E09">
        <w:rPr>
          <w:rFonts w:ascii="Book Antiqua" w:hAnsi="Book Antiqua"/>
          <w:sz w:val="20"/>
          <w:szCs w:val="20"/>
        </w:rPr>
        <w:t>Pawlik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TM. Intrahepatic cholangiocarcinoma. </w:t>
      </w:r>
      <w:r w:rsidRPr="001A1E09">
        <w:rPr>
          <w:rFonts w:ascii="Book Antiqua" w:hAnsi="Book Antiqua"/>
          <w:i/>
          <w:sz w:val="20"/>
          <w:szCs w:val="20"/>
        </w:rPr>
        <w:t>Surg Clin North Am</w:t>
      </w:r>
      <w:r w:rsidRPr="001A1E09">
        <w:rPr>
          <w:rFonts w:ascii="Book Antiqua" w:hAnsi="Book Antiqua"/>
          <w:sz w:val="20"/>
          <w:szCs w:val="20"/>
        </w:rPr>
        <w:t xml:space="preserve"> 2010; </w:t>
      </w:r>
      <w:r w:rsidRPr="001A1E09">
        <w:rPr>
          <w:rFonts w:ascii="Book Antiqua" w:hAnsi="Book Antiqua"/>
          <w:b/>
          <w:sz w:val="20"/>
          <w:szCs w:val="20"/>
        </w:rPr>
        <w:t>90</w:t>
      </w:r>
      <w:r w:rsidRPr="001A1E09">
        <w:rPr>
          <w:rFonts w:ascii="Book Antiqua" w:hAnsi="Book Antiqua"/>
          <w:sz w:val="20"/>
          <w:szCs w:val="20"/>
        </w:rPr>
        <w:t>: 817-837 [PMID: 20637950 DOI: 10.1016/j.suc.2010.04.011]</w:t>
      </w:r>
    </w:p>
    <w:p w14:paraId="4A8C51A5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7 </w:t>
      </w:r>
      <w:r w:rsidRPr="001A1E09">
        <w:rPr>
          <w:rFonts w:ascii="Book Antiqua" w:hAnsi="Book Antiqua"/>
          <w:b/>
          <w:sz w:val="20"/>
          <w:szCs w:val="20"/>
        </w:rPr>
        <w:t>Shimizu T</w:t>
      </w:r>
      <w:r w:rsidRPr="001A1E09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1A1E09">
        <w:rPr>
          <w:rFonts w:ascii="Book Antiqua" w:hAnsi="Book Antiqua"/>
          <w:sz w:val="20"/>
          <w:szCs w:val="20"/>
        </w:rPr>
        <w:t>Marusawa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H, Endo Y, Chiba T. Inflammation-mediated genomic instability: roles of activation-induced cytidine deaminase in carcinogenesis. </w:t>
      </w:r>
      <w:r w:rsidRPr="001A1E09">
        <w:rPr>
          <w:rFonts w:ascii="Book Antiqua" w:hAnsi="Book Antiqua"/>
          <w:i/>
          <w:sz w:val="20"/>
          <w:szCs w:val="20"/>
        </w:rPr>
        <w:t>Cancer Sci</w:t>
      </w:r>
      <w:r w:rsidRPr="001A1E09">
        <w:rPr>
          <w:rFonts w:ascii="Book Antiqua" w:hAnsi="Book Antiqua"/>
          <w:sz w:val="20"/>
          <w:szCs w:val="20"/>
        </w:rPr>
        <w:t xml:space="preserve"> 2012; </w:t>
      </w:r>
      <w:r w:rsidRPr="001A1E09">
        <w:rPr>
          <w:rFonts w:ascii="Book Antiqua" w:hAnsi="Book Antiqua"/>
          <w:b/>
          <w:sz w:val="20"/>
          <w:szCs w:val="20"/>
        </w:rPr>
        <w:t>103</w:t>
      </w:r>
      <w:r w:rsidRPr="001A1E09">
        <w:rPr>
          <w:rFonts w:ascii="Book Antiqua" w:hAnsi="Book Antiqua"/>
          <w:sz w:val="20"/>
          <w:szCs w:val="20"/>
        </w:rPr>
        <w:t>: 1201-1206 [PMID: 22469133 DOI: 10.1111/j.1349-7006.2012.02293.x]</w:t>
      </w:r>
    </w:p>
    <w:p w14:paraId="0424FB17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8 </w:t>
      </w:r>
      <w:proofErr w:type="spellStart"/>
      <w:r w:rsidRPr="001A1E09">
        <w:rPr>
          <w:rFonts w:ascii="Book Antiqua" w:hAnsi="Book Antiqua"/>
          <w:b/>
          <w:sz w:val="20"/>
          <w:szCs w:val="20"/>
        </w:rPr>
        <w:t>Coussens</w:t>
      </w:r>
      <w:proofErr w:type="spellEnd"/>
      <w:r w:rsidRPr="001A1E09">
        <w:rPr>
          <w:rFonts w:ascii="Book Antiqua" w:hAnsi="Book Antiqua"/>
          <w:b/>
          <w:sz w:val="20"/>
          <w:szCs w:val="20"/>
        </w:rPr>
        <w:t xml:space="preserve"> LM</w:t>
      </w:r>
      <w:r w:rsidRPr="001A1E09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1A1E09">
        <w:rPr>
          <w:rFonts w:ascii="Book Antiqua" w:hAnsi="Book Antiqua"/>
          <w:sz w:val="20"/>
          <w:szCs w:val="20"/>
        </w:rPr>
        <w:t>Werb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Z. Inflammation and cancer. </w:t>
      </w:r>
      <w:r w:rsidRPr="001A1E09">
        <w:rPr>
          <w:rFonts w:ascii="Book Antiqua" w:hAnsi="Book Antiqua"/>
          <w:i/>
          <w:sz w:val="20"/>
          <w:szCs w:val="20"/>
        </w:rPr>
        <w:t>Nature</w:t>
      </w:r>
      <w:r w:rsidRPr="001A1E09">
        <w:rPr>
          <w:rFonts w:ascii="Book Antiqua" w:hAnsi="Book Antiqua"/>
          <w:sz w:val="20"/>
          <w:szCs w:val="20"/>
        </w:rPr>
        <w:t xml:space="preserve"> 2002; </w:t>
      </w:r>
      <w:r w:rsidRPr="001A1E09">
        <w:rPr>
          <w:rFonts w:ascii="Book Antiqua" w:hAnsi="Book Antiqua"/>
          <w:b/>
          <w:sz w:val="20"/>
          <w:szCs w:val="20"/>
        </w:rPr>
        <w:t>420</w:t>
      </w:r>
      <w:r w:rsidRPr="001A1E09">
        <w:rPr>
          <w:rFonts w:ascii="Book Antiqua" w:hAnsi="Book Antiqua"/>
          <w:sz w:val="20"/>
          <w:szCs w:val="20"/>
        </w:rPr>
        <w:t>: 860-867 [PMID: 12490959 DOI: 10.1038/nature01322]</w:t>
      </w:r>
    </w:p>
    <w:p w14:paraId="19C15429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9 </w:t>
      </w:r>
      <w:r w:rsidRPr="001A1E09">
        <w:rPr>
          <w:rFonts w:ascii="Book Antiqua" w:hAnsi="Book Antiqua"/>
          <w:b/>
          <w:sz w:val="20"/>
          <w:szCs w:val="20"/>
        </w:rPr>
        <w:t>Sun X</w:t>
      </w:r>
      <w:r w:rsidRPr="001A1E09">
        <w:rPr>
          <w:rFonts w:ascii="Book Antiqua" w:hAnsi="Book Antiqua"/>
          <w:sz w:val="20"/>
          <w:szCs w:val="20"/>
        </w:rPr>
        <w:t xml:space="preserve">, Liu X, Liu J, Chen S, Xu D, Li W, Zhan Y, Li Y, Chen Y, Zhou Z. Preoperative neutrophil-to-lymphocyte ratio plus platelet-to-lymphocyte ratio in predicting survival for patients with stage I-II gastric cancer. </w:t>
      </w:r>
      <w:r w:rsidRPr="001A1E09">
        <w:rPr>
          <w:rFonts w:ascii="Book Antiqua" w:hAnsi="Book Antiqua"/>
          <w:i/>
          <w:sz w:val="20"/>
          <w:szCs w:val="20"/>
        </w:rPr>
        <w:t>Chin J Cancer</w:t>
      </w:r>
      <w:r w:rsidRPr="001A1E09">
        <w:rPr>
          <w:rFonts w:ascii="Book Antiqua" w:hAnsi="Book Antiqua"/>
          <w:sz w:val="20"/>
          <w:szCs w:val="20"/>
        </w:rPr>
        <w:t xml:space="preserve"> 2016; </w:t>
      </w:r>
      <w:r w:rsidRPr="001A1E09">
        <w:rPr>
          <w:rFonts w:ascii="Book Antiqua" w:hAnsi="Book Antiqua"/>
          <w:b/>
          <w:sz w:val="20"/>
          <w:szCs w:val="20"/>
        </w:rPr>
        <w:t>35</w:t>
      </w:r>
      <w:r w:rsidRPr="001A1E09">
        <w:rPr>
          <w:rFonts w:ascii="Book Antiqua" w:hAnsi="Book Antiqua"/>
          <w:sz w:val="20"/>
          <w:szCs w:val="20"/>
        </w:rPr>
        <w:t>: 57 [PMID: 27342313 DOI: 10.1186/s40880-016-0122-2]</w:t>
      </w:r>
    </w:p>
    <w:p w14:paraId="28C66237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10 </w:t>
      </w:r>
      <w:r w:rsidRPr="001A1E09">
        <w:rPr>
          <w:rFonts w:ascii="Book Antiqua" w:hAnsi="Book Antiqua"/>
          <w:b/>
          <w:sz w:val="20"/>
          <w:szCs w:val="20"/>
        </w:rPr>
        <w:t>Ying HQ</w:t>
      </w:r>
      <w:r w:rsidRPr="001A1E09">
        <w:rPr>
          <w:rFonts w:ascii="Book Antiqua" w:hAnsi="Book Antiqua"/>
          <w:sz w:val="20"/>
          <w:szCs w:val="20"/>
        </w:rPr>
        <w:t xml:space="preserve">, Deng QW, He BS, Pan YQ, Wang F, Sun HL, Chen J, Liu X, Wang SK. The prognostic value of preoperative NLR, d-NLR, PLR and LMR for predicting clinical outcome in surgical colorectal cancer patients. </w:t>
      </w:r>
      <w:r w:rsidRPr="001A1E09">
        <w:rPr>
          <w:rFonts w:ascii="Book Antiqua" w:hAnsi="Book Antiqua"/>
          <w:i/>
          <w:sz w:val="20"/>
          <w:szCs w:val="20"/>
        </w:rPr>
        <w:t>Med Oncol</w:t>
      </w:r>
      <w:r w:rsidRPr="001A1E09">
        <w:rPr>
          <w:rFonts w:ascii="Book Antiqua" w:hAnsi="Book Antiqua"/>
          <w:sz w:val="20"/>
          <w:szCs w:val="20"/>
        </w:rPr>
        <w:t xml:space="preserve"> 2014; </w:t>
      </w:r>
      <w:r w:rsidRPr="001A1E09">
        <w:rPr>
          <w:rFonts w:ascii="Book Antiqua" w:hAnsi="Book Antiqua"/>
          <w:b/>
          <w:sz w:val="20"/>
          <w:szCs w:val="20"/>
        </w:rPr>
        <w:t>31</w:t>
      </w:r>
      <w:r w:rsidRPr="001A1E09">
        <w:rPr>
          <w:rFonts w:ascii="Book Antiqua" w:hAnsi="Book Antiqua"/>
          <w:sz w:val="20"/>
          <w:szCs w:val="20"/>
        </w:rPr>
        <w:t>: 305 [PMID: 25355641 DOI: 10.1007/s12032-014-0305-0]</w:t>
      </w:r>
    </w:p>
    <w:p w14:paraId="5DB2B018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11 </w:t>
      </w:r>
      <w:r w:rsidRPr="001A1E09">
        <w:rPr>
          <w:rFonts w:ascii="Book Antiqua" w:hAnsi="Book Antiqua"/>
          <w:b/>
          <w:sz w:val="20"/>
          <w:szCs w:val="20"/>
        </w:rPr>
        <w:t>Zhou B</w:t>
      </w:r>
      <w:r w:rsidRPr="001A1E09">
        <w:rPr>
          <w:rFonts w:ascii="Book Antiqua" w:hAnsi="Book Antiqua"/>
          <w:sz w:val="20"/>
          <w:szCs w:val="20"/>
        </w:rPr>
        <w:t xml:space="preserve">, Zhan C, Wu J, Liu J, Zhou J, Zheng S. Prognostic significance of preoperative gamma-glutamyltransferase to lymphocyte ratio index in nonfunctional pancreatic neuroendocrine tumors after curative resection. </w:t>
      </w:r>
      <w:r w:rsidRPr="001A1E09">
        <w:rPr>
          <w:rFonts w:ascii="Book Antiqua" w:hAnsi="Book Antiqua"/>
          <w:i/>
          <w:sz w:val="20"/>
          <w:szCs w:val="20"/>
        </w:rPr>
        <w:t>Sci Rep</w:t>
      </w:r>
      <w:r w:rsidRPr="001A1E09">
        <w:rPr>
          <w:rFonts w:ascii="Book Antiqua" w:hAnsi="Book Antiqua"/>
          <w:sz w:val="20"/>
          <w:szCs w:val="20"/>
        </w:rPr>
        <w:t xml:space="preserve"> 2017; </w:t>
      </w:r>
      <w:r w:rsidRPr="001A1E09">
        <w:rPr>
          <w:rFonts w:ascii="Book Antiqua" w:hAnsi="Book Antiqua"/>
          <w:b/>
          <w:sz w:val="20"/>
          <w:szCs w:val="20"/>
        </w:rPr>
        <w:t>7</w:t>
      </w:r>
      <w:r w:rsidRPr="001A1E09">
        <w:rPr>
          <w:rFonts w:ascii="Book Antiqua" w:hAnsi="Book Antiqua"/>
          <w:sz w:val="20"/>
          <w:szCs w:val="20"/>
        </w:rPr>
        <w:t>: 13372 [PMID: 29042631 DOI: 10.1038/s41598-017-13847-6]</w:t>
      </w:r>
    </w:p>
    <w:p w14:paraId="2B1A79F0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12 </w:t>
      </w:r>
      <w:r w:rsidRPr="001A1E09">
        <w:rPr>
          <w:rFonts w:ascii="Book Antiqua" w:hAnsi="Book Antiqua"/>
          <w:b/>
          <w:sz w:val="20"/>
          <w:szCs w:val="20"/>
        </w:rPr>
        <w:t>Wang DS</w:t>
      </w:r>
      <w:r w:rsidRPr="001A1E09">
        <w:rPr>
          <w:rFonts w:ascii="Book Antiqua" w:hAnsi="Book Antiqua"/>
          <w:sz w:val="20"/>
          <w:szCs w:val="20"/>
        </w:rPr>
        <w:t xml:space="preserve">, Ren C, </w:t>
      </w:r>
      <w:proofErr w:type="spellStart"/>
      <w:r w:rsidRPr="001A1E09">
        <w:rPr>
          <w:rFonts w:ascii="Book Antiqua" w:hAnsi="Book Antiqua"/>
          <w:sz w:val="20"/>
          <w:szCs w:val="20"/>
        </w:rPr>
        <w:t>Qiu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MZ, Luo HY, Wang ZQ, Zhang DS, Wang FH, Li YH, Xu RH. Comparison of the prognostic value of various preoperative inflammation-based factors in patients with stage III gastric cancer. </w:t>
      </w:r>
      <w:proofErr w:type="spellStart"/>
      <w:r w:rsidRPr="001A1E09">
        <w:rPr>
          <w:rFonts w:ascii="Book Antiqua" w:hAnsi="Book Antiqua"/>
          <w:i/>
          <w:sz w:val="20"/>
          <w:szCs w:val="20"/>
        </w:rPr>
        <w:t>Tumour</w:t>
      </w:r>
      <w:proofErr w:type="spellEnd"/>
      <w:r w:rsidRPr="001A1E09">
        <w:rPr>
          <w:rFonts w:ascii="Book Antiqua" w:hAnsi="Book Antiqua"/>
          <w:i/>
          <w:sz w:val="20"/>
          <w:szCs w:val="20"/>
        </w:rPr>
        <w:t xml:space="preserve"> Biol</w:t>
      </w:r>
      <w:r w:rsidRPr="001A1E09">
        <w:rPr>
          <w:rFonts w:ascii="Book Antiqua" w:hAnsi="Book Antiqua"/>
          <w:sz w:val="20"/>
          <w:szCs w:val="20"/>
        </w:rPr>
        <w:t xml:space="preserve"> 2012; </w:t>
      </w:r>
      <w:r w:rsidRPr="001A1E09">
        <w:rPr>
          <w:rFonts w:ascii="Book Antiqua" w:hAnsi="Book Antiqua"/>
          <w:b/>
          <w:sz w:val="20"/>
          <w:szCs w:val="20"/>
        </w:rPr>
        <w:t>33</w:t>
      </w:r>
      <w:r w:rsidRPr="001A1E09">
        <w:rPr>
          <w:rFonts w:ascii="Book Antiqua" w:hAnsi="Book Antiqua"/>
          <w:sz w:val="20"/>
          <w:szCs w:val="20"/>
        </w:rPr>
        <w:t>: 749-756 [PMID: 22198641 DOI: 10.1007/s13277-011-0285-z]</w:t>
      </w:r>
    </w:p>
    <w:p w14:paraId="31C4B146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13 </w:t>
      </w:r>
      <w:r w:rsidRPr="001A1E09">
        <w:rPr>
          <w:rFonts w:ascii="Book Antiqua" w:hAnsi="Book Antiqua"/>
          <w:b/>
          <w:sz w:val="20"/>
          <w:szCs w:val="20"/>
        </w:rPr>
        <w:t>Zhang C</w:t>
      </w:r>
      <w:r w:rsidRPr="001A1E09">
        <w:rPr>
          <w:rFonts w:ascii="Book Antiqua" w:hAnsi="Book Antiqua"/>
          <w:sz w:val="20"/>
          <w:szCs w:val="20"/>
        </w:rPr>
        <w:t xml:space="preserve">, Wang H, Ning Z, Xu L, Zhuang L, Wang P, Meng Z. Prognostic nutritional index </w:t>
      </w:r>
      <w:r w:rsidRPr="001A1E09">
        <w:rPr>
          <w:rFonts w:ascii="Book Antiqua" w:hAnsi="Book Antiqua"/>
          <w:sz w:val="20"/>
          <w:szCs w:val="20"/>
        </w:rPr>
        <w:lastRenderedPageBreak/>
        <w:t xml:space="preserve">serves as a predictive marker of survival and associates with systemic inflammatory response in metastatic intrahepatic cholangiocarcinoma. </w:t>
      </w:r>
      <w:proofErr w:type="spellStart"/>
      <w:r w:rsidRPr="001A1E09">
        <w:rPr>
          <w:rFonts w:ascii="Book Antiqua" w:hAnsi="Book Antiqua"/>
          <w:i/>
          <w:sz w:val="20"/>
          <w:szCs w:val="20"/>
        </w:rPr>
        <w:t>Onco</w:t>
      </w:r>
      <w:proofErr w:type="spellEnd"/>
      <w:r w:rsidRPr="001A1E09">
        <w:rPr>
          <w:rFonts w:ascii="Book Antiqua" w:hAnsi="Book Antiqua"/>
          <w:i/>
          <w:sz w:val="20"/>
          <w:szCs w:val="20"/>
        </w:rPr>
        <w:t xml:space="preserve"> Targets </w:t>
      </w:r>
      <w:proofErr w:type="spellStart"/>
      <w:r w:rsidRPr="001A1E09">
        <w:rPr>
          <w:rFonts w:ascii="Book Antiqua" w:hAnsi="Book Antiqua"/>
          <w:i/>
          <w:sz w:val="20"/>
          <w:szCs w:val="20"/>
        </w:rPr>
        <w:t>Ther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2016; </w:t>
      </w:r>
      <w:r w:rsidRPr="001A1E09">
        <w:rPr>
          <w:rFonts w:ascii="Book Antiqua" w:hAnsi="Book Antiqua"/>
          <w:b/>
          <w:sz w:val="20"/>
          <w:szCs w:val="20"/>
        </w:rPr>
        <w:t>9</w:t>
      </w:r>
      <w:r w:rsidRPr="001A1E09">
        <w:rPr>
          <w:rFonts w:ascii="Book Antiqua" w:hAnsi="Book Antiqua"/>
          <w:sz w:val="20"/>
          <w:szCs w:val="20"/>
        </w:rPr>
        <w:t>: 6417-6423 [PMID: 27799789 DOI: 10.2147/OTT.S112501]</w:t>
      </w:r>
    </w:p>
    <w:p w14:paraId="61D19009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14 </w:t>
      </w:r>
      <w:r w:rsidRPr="001A1E09">
        <w:rPr>
          <w:rFonts w:ascii="Book Antiqua" w:hAnsi="Book Antiqua"/>
          <w:b/>
          <w:sz w:val="20"/>
          <w:szCs w:val="20"/>
        </w:rPr>
        <w:t>Chen Q</w:t>
      </w:r>
      <w:r w:rsidRPr="001A1E09">
        <w:rPr>
          <w:rFonts w:ascii="Book Antiqua" w:hAnsi="Book Antiqua"/>
          <w:sz w:val="20"/>
          <w:szCs w:val="20"/>
        </w:rPr>
        <w:t xml:space="preserve">, Dai Z, Yin D, Yang LX, Wang Z, Xiao YS, Fan J, Zhou J. Negative impact of preoperative platelet-lymphocyte ratio on outcome after hepatic resection for intrahepatic cholangiocarcinoma. </w:t>
      </w:r>
      <w:r w:rsidRPr="001A1E09">
        <w:rPr>
          <w:rFonts w:ascii="Book Antiqua" w:hAnsi="Book Antiqua"/>
          <w:i/>
          <w:sz w:val="20"/>
          <w:szCs w:val="20"/>
        </w:rPr>
        <w:t>Medicine (Baltimore)</w:t>
      </w:r>
      <w:r w:rsidRPr="001A1E09">
        <w:rPr>
          <w:rFonts w:ascii="Book Antiqua" w:hAnsi="Book Antiqua"/>
          <w:sz w:val="20"/>
          <w:szCs w:val="20"/>
        </w:rPr>
        <w:t xml:space="preserve"> 2015; </w:t>
      </w:r>
      <w:r w:rsidRPr="001A1E09">
        <w:rPr>
          <w:rFonts w:ascii="Book Antiqua" w:hAnsi="Book Antiqua"/>
          <w:b/>
          <w:sz w:val="20"/>
          <w:szCs w:val="20"/>
        </w:rPr>
        <w:t>94</w:t>
      </w:r>
      <w:r w:rsidRPr="001A1E09">
        <w:rPr>
          <w:rFonts w:ascii="Book Antiqua" w:hAnsi="Book Antiqua"/>
          <w:sz w:val="20"/>
          <w:szCs w:val="20"/>
        </w:rPr>
        <w:t>: e574 [PMID: 25837750 DOI: 10.1097/MD.0000000000000574]</w:t>
      </w:r>
    </w:p>
    <w:p w14:paraId="3F8F9FA8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15 </w:t>
      </w:r>
      <w:r w:rsidRPr="001A1E09">
        <w:rPr>
          <w:rFonts w:ascii="Book Antiqua" w:hAnsi="Book Antiqua"/>
          <w:b/>
          <w:sz w:val="20"/>
          <w:szCs w:val="20"/>
        </w:rPr>
        <w:t>Whitfield JB</w:t>
      </w:r>
      <w:r w:rsidRPr="001A1E09">
        <w:rPr>
          <w:rFonts w:ascii="Book Antiqua" w:hAnsi="Book Antiqua"/>
          <w:sz w:val="20"/>
          <w:szCs w:val="20"/>
        </w:rPr>
        <w:t xml:space="preserve">. Gamma glutamyl transferase. </w:t>
      </w:r>
      <w:proofErr w:type="spellStart"/>
      <w:r w:rsidRPr="001A1E09">
        <w:rPr>
          <w:rFonts w:ascii="Book Antiqua" w:hAnsi="Book Antiqua"/>
          <w:i/>
          <w:sz w:val="20"/>
          <w:szCs w:val="20"/>
        </w:rPr>
        <w:t>Crit</w:t>
      </w:r>
      <w:proofErr w:type="spellEnd"/>
      <w:r w:rsidRPr="001A1E09">
        <w:rPr>
          <w:rFonts w:ascii="Book Antiqua" w:hAnsi="Book Antiqua"/>
          <w:i/>
          <w:sz w:val="20"/>
          <w:szCs w:val="20"/>
        </w:rPr>
        <w:t xml:space="preserve"> Rev Clin Lab Sci</w:t>
      </w:r>
      <w:r w:rsidRPr="001A1E09">
        <w:rPr>
          <w:rFonts w:ascii="Book Antiqua" w:hAnsi="Book Antiqua"/>
          <w:sz w:val="20"/>
          <w:szCs w:val="20"/>
        </w:rPr>
        <w:t xml:space="preserve"> 2001; </w:t>
      </w:r>
      <w:r w:rsidRPr="001A1E09">
        <w:rPr>
          <w:rFonts w:ascii="Book Antiqua" w:hAnsi="Book Antiqua"/>
          <w:b/>
          <w:sz w:val="20"/>
          <w:szCs w:val="20"/>
        </w:rPr>
        <w:t>38</w:t>
      </w:r>
      <w:r w:rsidRPr="001A1E09">
        <w:rPr>
          <w:rFonts w:ascii="Book Antiqua" w:hAnsi="Book Antiqua"/>
          <w:sz w:val="20"/>
          <w:szCs w:val="20"/>
        </w:rPr>
        <w:t>: 263-355 [PMID: 11563810 DOI: 10.1080/20014091084227]</w:t>
      </w:r>
    </w:p>
    <w:p w14:paraId="03ECC993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16 </w:t>
      </w:r>
      <w:r w:rsidRPr="001A1E09">
        <w:rPr>
          <w:rFonts w:ascii="Book Antiqua" w:hAnsi="Book Antiqua"/>
          <w:b/>
          <w:sz w:val="20"/>
          <w:szCs w:val="20"/>
        </w:rPr>
        <w:t>Dillon JF</w:t>
      </w:r>
      <w:r w:rsidRPr="001A1E09">
        <w:rPr>
          <w:rFonts w:ascii="Book Antiqua" w:hAnsi="Book Antiqua"/>
          <w:sz w:val="20"/>
          <w:szCs w:val="20"/>
        </w:rPr>
        <w:t xml:space="preserve">, Miller MH. Gamma glutamyl transferase 'To be or not to be' a liver function test? </w:t>
      </w:r>
      <w:r w:rsidRPr="001A1E09">
        <w:rPr>
          <w:rFonts w:ascii="Book Antiqua" w:hAnsi="Book Antiqua"/>
          <w:i/>
          <w:sz w:val="20"/>
          <w:szCs w:val="20"/>
        </w:rPr>
        <w:t xml:space="preserve">Ann Clin </w:t>
      </w:r>
      <w:proofErr w:type="spellStart"/>
      <w:r w:rsidRPr="001A1E09">
        <w:rPr>
          <w:rFonts w:ascii="Book Antiqua" w:hAnsi="Book Antiqua"/>
          <w:i/>
          <w:sz w:val="20"/>
          <w:szCs w:val="20"/>
        </w:rPr>
        <w:t>Biochem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2016; </w:t>
      </w:r>
      <w:r w:rsidRPr="001A1E09">
        <w:rPr>
          <w:rFonts w:ascii="Book Antiqua" w:hAnsi="Book Antiqua"/>
          <w:b/>
          <w:sz w:val="20"/>
          <w:szCs w:val="20"/>
        </w:rPr>
        <w:t>53</w:t>
      </w:r>
      <w:r w:rsidRPr="001A1E09">
        <w:rPr>
          <w:rFonts w:ascii="Book Antiqua" w:hAnsi="Book Antiqua"/>
          <w:sz w:val="20"/>
          <w:szCs w:val="20"/>
        </w:rPr>
        <w:t>: 629-631 [PMID: 27384446 DOI: 10.1177/0004563216659887]</w:t>
      </w:r>
    </w:p>
    <w:p w14:paraId="2DFDC234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17 </w:t>
      </w:r>
      <w:r w:rsidRPr="001A1E09">
        <w:rPr>
          <w:rFonts w:ascii="Book Antiqua" w:hAnsi="Book Antiqua"/>
          <w:b/>
          <w:sz w:val="20"/>
          <w:szCs w:val="20"/>
        </w:rPr>
        <w:t>Lu Z</w:t>
      </w:r>
      <w:r w:rsidRPr="001A1E09">
        <w:rPr>
          <w:rFonts w:ascii="Book Antiqua" w:hAnsi="Book Antiqua"/>
          <w:sz w:val="20"/>
          <w:szCs w:val="20"/>
        </w:rPr>
        <w:t xml:space="preserve">, Liu S, Yi Y, Ni X, Wang J, Huang J, Fu Y, Cao Y, Zhou J, Fan J, </w:t>
      </w:r>
      <w:proofErr w:type="spellStart"/>
      <w:r w:rsidRPr="001A1E09">
        <w:rPr>
          <w:rFonts w:ascii="Book Antiqua" w:hAnsi="Book Antiqua"/>
          <w:sz w:val="20"/>
          <w:szCs w:val="20"/>
        </w:rPr>
        <w:t>Qiu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S. Serum gamma-glutamyl transferase levels affect the prognosis of patients with intrahepatic cholangiocarcinoma who receive postoperative adjuvant transcatheter arterial chemoembolization: A propensity score matching study. </w:t>
      </w:r>
      <w:r w:rsidRPr="001A1E09">
        <w:rPr>
          <w:rFonts w:ascii="Book Antiqua" w:hAnsi="Book Antiqua"/>
          <w:i/>
          <w:sz w:val="20"/>
          <w:szCs w:val="20"/>
        </w:rPr>
        <w:t>Int J Surg</w:t>
      </w:r>
      <w:r w:rsidRPr="001A1E09">
        <w:rPr>
          <w:rFonts w:ascii="Book Antiqua" w:hAnsi="Book Antiqua"/>
          <w:sz w:val="20"/>
          <w:szCs w:val="20"/>
        </w:rPr>
        <w:t xml:space="preserve"> 2017; </w:t>
      </w:r>
      <w:r w:rsidRPr="001A1E09">
        <w:rPr>
          <w:rFonts w:ascii="Book Antiqua" w:hAnsi="Book Antiqua"/>
          <w:b/>
          <w:sz w:val="20"/>
          <w:szCs w:val="20"/>
        </w:rPr>
        <w:t>37</w:t>
      </w:r>
      <w:r w:rsidRPr="001A1E09">
        <w:rPr>
          <w:rFonts w:ascii="Book Antiqua" w:hAnsi="Book Antiqua"/>
          <w:sz w:val="20"/>
          <w:szCs w:val="20"/>
        </w:rPr>
        <w:t>: 24-28 [PMID: 27756646 DOI: 10.1016/j.ijsu.2016.10.015]</w:t>
      </w:r>
    </w:p>
    <w:p w14:paraId="7B100866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18 </w:t>
      </w:r>
      <w:r w:rsidRPr="001A1E09">
        <w:rPr>
          <w:rFonts w:ascii="Book Antiqua" w:hAnsi="Book Antiqua"/>
          <w:b/>
          <w:sz w:val="20"/>
          <w:szCs w:val="20"/>
        </w:rPr>
        <w:t>Song P</w:t>
      </w:r>
      <w:r w:rsidRPr="001A1E09">
        <w:rPr>
          <w:rFonts w:ascii="Book Antiqua" w:hAnsi="Book Antiqua"/>
          <w:sz w:val="20"/>
          <w:szCs w:val="20"/>
        </w:rPr>
        <w:t xml:space="preserve">, Inagaki Y, Wang Z, Hasegawa K, Sakamoto Y, </w:t>
      </w:r>
      <w:proofErr w:type="spellStart"/>
      <w:r w:rsidRPr="001A1E09">
        <w:rPr>
          <w:rFonts w:ascii="Book Antiqua" w:hAnsi="Book Antiqua"/>
          <w:sz w:val="20"/>
          <w:szCs w:val="20"/>
        </w:rPr>
        <w:t>Arita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J, Tang W, </w:t>
      </w:r>
      <w:proofErr w:type="spellStart"/>
      <w:r w:rsidRPr="001A1E09">
        <w:rPr>
          <w:rFonts w:ascii="Book Antiqua" w:hAnsi="Book Antiqua"/>
          <w:sz w:val="20"/>
          <w:szCs w:val="20"/>
        </w:rPr>
        <w:t>Kokudo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N. High Levels of Gamma-Glutamyl Transferase and Indocyanine Green Retention Rate at 15</w:t>
      </w:r>
      <w:r w:rsidRPr="001A1E09">
        <w:rPr>
          <w:rFonts w:ascii="MS Gothic" w:hAnsi="MS Gothic" w:cs="MS Gothic"/>
          <w:sz w:val="20"/>
          <w:szCs w:val="20"/>
        </w:rPr>
        <w:t> </w:t>
      </w:r>
      <w:r w:rsidRPr="001A1E09">
        <w:rPr>
          <w:rFonts w:ascii="Book Antiqua" w:hAnsi="Book Antiqua"/>
          <w:sz w:val="20"/>
          <w:szCs w:val="20"/>
        </w:rPr>
        <w:t xml:space="preserve">min as Preoperative Predictors of Tumor Recurrence in Patients With Hepatocellular Carcinoma. </w:t>
      </w:r>
      <w:r w:rsidRPr="001A1E09">
        <w:rPr>
          <w:rFonts w:ascii="Book Antiqua" w:hAnsi="Book Antiqua"/>
          <w:i/>
          <w:sz w:val="20"/>
          <w:szCs w:val="20"/>
        </w:rPr>
        <w:t>Medicine (Baltimore)</w:t>
      </w:r>
      <w:r w:rsidRPr="001A1E09">
        <w:rPr>
          <w:rFonts w:ascii="Book Antiqua" w:hAnsi="Book Antiqua"/>
          <w:sz w:val="20"/>
          <w:szCs w:val="20"/>
        </w:rPr>
        <w:t xml:space="preserve"> 2015; </w:t>
      </w:r>
      <w:r w:rsidRPr="001A1E09">
        <w:rPr>
          <w:rFonts w:ascii="Book Antiqua" w:hAnsi="Book Antiqua"/>
          <w:b/>
          <w:sz w:val="20"/>
          <w:szCs w:val="20"/>
        </w:rPr>
        <w:t>94</w:t>
      </w:r>
      <w:r w:rsidRPr="001A1E09">
        <w:rPr>
          <w:rFonts w:ascii="Book Antiqua" w:hAnsi="Book Antiqua"/>
          <w:sz w:val="20"/>
          <w:szCs w:val="20"/>
        </w:rPr>
        <w:t>: e810 [PMID: 26020384 DOI: 10.1097/MD.0000000000000810]</w:t>
      </w:r>
    </w:p>
    <w:p w14:paraId="311F2425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19 </w:t>
      </w:r>
      <w:r w:rsidRPr="001A1E09">
        <w:rPr>
          <w:rFonts w:ascii="Book Antiqua" w:hAnsi="Book Antiqua"/>
          <w:b/>
          <w:sz w:val="20"/>
          <w:szCs w:val="20"/>
        </w:rPr>
        <w:t>Yao D</w:t>
      </w:r>
      <w:r w:rsidRPr="001A1E09">
        <w:rPr>
          <w:rFonts w:ascii="Book Antiqua" w:hAnsi="Book Antiqua"/>
          <w:sz w:val="20"/>
          <w:szCs w:val="20"/>
        </w:rPr>
        <w:t xml:space="preserve">, Jiang D, Huang Z, Lu J, Tao Q, Yu Z, Meng X. Abnormal expression of hepatoma specific gamma-glutamyl transferase and alteration of gamma-glutamyl transferase gene methylation status in patients with hepatocellular carcinoma. </w:t>
      </w:r>
      <w:r w:rsidRPr="001A1E09">
        <w:rPr>
          <w:rFonts w:ascii="Book Antiqua" w:hAnsi="Book Antiqua"/>
          <w:i/>
          <w:sz w:val="20"/>
          <w:szCs w:val="20"/>
        </w:rPr>
        <w:t>Cancer</w:t>
      </w:r>
      <w:r w:rsidRPr="001A1E09">
        <w:rPr>
          <w:rFonts w:ascii="Book Antiqua" w:hAnsi="Book Antiqua"/>
          <w:sz w:val="20"/>
          <w:szCs w:val="20"/>
        </w:rPr>
        <w:t xml:space="preserve"> 2000; </w:t>
      </w:r>
      <w:r w:rsidRPr="001A1E09">
        <w:rPr>
          <w:rFonts w:ascii="Book Antiqua" w:hAnsi="Book Antiqua"/>
          <w:b/>
          <w:sz w:val="20"/>
          <w:szCs w:val="20"/>
        </w:rPr>
        <w:t>88</w:t>
      </w:r>
      <w:r w:rsidRPr="001A1E09">
        <w:rPr>
          <w:rFonts w:ascii="Book Antiqua" w:hAnsi="Book Antiqua"/>
          <w:sz w:val="20"/>
          <w:szCs w:val="20"/>
        </w:rPr>
        <w:t>: 761-769 [PMID: 10679644]</w:t>
      </w:r>
    </w:p>
    <w:p w14:paraId="12BA7949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20 </w:t>
      </w:r>
      <w:r w:rsidRPr="001A1E09">
        <w:rPr>
          <w:rFonts w:ascii="Book Antiqua" w:hAnsi="Book Antiqua"/>
          <w:b/>
          <w:sz w:val="20"/>
          <w:szCs w:val="20"/>
        </w:rPr>
        <w:t>Stark AA</w:t>
      </w:r>
      <w:r w:rsidRPr="001A1E09">
        <w:rPr>
          <w:rFonts w:ascii="Book Antiqua" w:hAnsi="Book Antiqua"/>
          <w:sz w:val="20"/>
          <w:szCs w:val="20"/>
        </w:rPr>
        <w:t xml:space="preserve">, Russell JJ, </w:t>
      </w:r>
      <w:proofErr w:type="spellStart"/>
      <w:r w:rsidRPr="001A1E09">
        <w:rPr>
          <w:rFonts w:ascii="Book Antiqua" w:hAnsi="Book Antiqua"/>
          <w:sz w:val="20"/>
          <w:szCs w:val="20"/>
        </w:rPr>
        <w:t>Langenbach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R, Pagano DA, Zeiger E, Huberman E. Localization of oxidative damage by a glutathione-gamma-glutamyl transpeptidase system in preneoplastic lesions in sections of livers from carcinogen-treated rats. </w:t>
      </w:r>
      <w:r w:rsidRPr="001A1E09">
        <w:rPr>
          <w:rFonts w:ascii="Book Antiqua" w:hAnsi="Book Antiqua"/>
          <w:i/>
          <w:sz w:val="20"/>
          <w:szCs w:val="20"/>
        </w:rPr>
        <w:t>Carcinogenesis</w:t>
      </w:r>
      <w:r w:rsidRPr="001A1E09">
        <w:rPr>
          <w:rFonts w:ascii="Book Antiqua" w:hAnsi="Book Antiqua"/>
          <w:sz w:val="20"/>
          <w:szCs w:val="20"/>
        </w:rPr>
        <w:t xml:space="preserve"> 1994; </w:t>
      </w:r>
      <w:r w:rsidRPr="001A1E09">
        <w:rPr>
          <w:rFonts w:ascii="Book Antiqua" w:hAnsi="Book Antiqua"/>
          <w:b/>
          <w:sz w:val="20"/>
          <w:szCs w:val="20"/>
        </w:rPr>
        <w:t>15</w:t>
      </w:r>
      <w:r w:rsidRPr="001A1E09">
        <w:rPr>
          <w:rFonts w:ascii="Book Antiqua" w:hAnsi="Book Antiqua"/>
          <w:sz w:val="20"/>
          <w:szCs w:val="20"/>
        </w:rPr>
        <w:t>: 343-348 [PMID: 7906207 DOI: 10.1093/</w:t>
      </w:r>
      <w:proofErr w:type="spellStart"/>
      <w:r w:rsidRPr="001A1E09">
        <w:rPr>
          <w:rFonts w:ascii="Book Antiqua" w:hAnsi="Book Antiqua"/>
          <w:sz w:val="20"/>
          <w:szCs w:val="20"/>
        </w:rPr>
        <w:t>carcin</w:t>
      </w:r>
      <w:proofErr w:type="spellEnd"/>
      <w:r w:rsidRPr="001A1E09">
        <w:rPr>
          <w:rFonts w:ascii="Book Antiqua" w:hAnsi="Book Antiqua"/>
          <w:sz w:val="20"/>
          <w:szCs w:val="20"/>
        </w:rPr>
        <w:t>/15.2.343]</w:t>
      </w:r>
    </w:p>
    <w:p w14:paraId="16CB90D5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21 </w:t>
      </w:r>
      <w:r w:rsidRPr="001A1E09">
        <w:rPr>
          <w:rFonts w:ascii="Book Antiqua" w:hAnsi="Book Antiqua"/>
          <w:b/>
          <w:sz w:val="20"/>
          <w:szCs w:val="20"/>
        </w:rPr>
        <w:t>Everhart JE</w:t>
      </w:r>
      <w:r w:rsidRPr="001A1E09">
        <w:rPr>
          <w:rFonts w:ascii="Book Antiqua" w:hAnsi="Book Antiqua"/>
          <w:sz w:val="20"/>
          <w:szCs w:val="20"/>
        </w:rPr>
        <w:t xml:space="preserve">, Wright EC. Association of γ-glutamyl transferase (GGT) activity with treatment and clinical outcomes in chronic hepatitis C (HCV). </w:t>
      </w:r>
      <w:r w:rsidRPr="001A1E09">
        <w:rPr>
          <w:rFonts w:ascii="Book Antiqua" w:hAnsi="Book Antiqua"/>
          <w:i/>
          <w:sz w:val="20"/>
          <w:szCs w:val="20"/>
        </w:rPr>
        <w:t>Hepatology</w:t>
      </w:r>
      <w:r w:rsidRPr="001A1E09">
        <w:rPr>
          <w:rFonts w:ascii="Book Antiqua" w:hAnsi="Book Antiqua"/>
          <w:sz w:val="20"/>
          <w:szCs w:val="20"/>
        </w:rPr>
        <w:t xml:space="preserve"> 2013; </w:t>
      </w:r>
      <w:r w:rsidRPr="001A1E09">
        <w:rPr>
          <w:rFonts w:ascii="Book Antiqua" w:hAnsi="Book Antiqua"/>
          <w:b/>
          <w:sz w:val="20"/>
          <w:szCs w:val="20"/>
        </w:rPr>
        <w:t>57</w:t>
      </w:r>
      <w:r w:rsidRPr="001A1E09">
        <w:rPr>
          <w:rFonts w:ascii="Book Antiqua" w:hAnsi="Book Antiqua"/>
          <w:sz w:val="20"/>
          <w:szCs w:val="20"/>
        </w:rPr>
        <w:t>: 1725-1733 [PMID: 23258530 DOI: 10.1002/hep.26203]</w:t>
      </w:r>
    </w:p>
    <w:p w14:paraId="1A7FEE68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22 </w:t>
      </w:r>
      <w:r w:rsidRPr="001A1E09">
        <w:rPr>
          <w:rFonts w:ascii="Book Antiqua" w:hAnsi="Book Antiqua"/>
          <w:b/>
          <w:sz w:val="20"/>
          <w:szCs w:val="20"/>
        </w:rPr>
        <w:t>Yin X</w:t>
      </w:r>
      <w:r w:rsidRPr="001A1E09">
        <w:rPr>
          <w:rFonts w:ascii="Book Antiqua" w:hAnsi="Book Antiqua"/>
          <w:sz w:val="20"/>
          <w:szCs w:val="20"/>
        </w:rPr>
        <w:t xml:space="preserve">, Zheng SS, Zhang BH, Zhou Y, Chen XH, Ren ZG, </w:t>
      </w:r>
      <w:proofErr w:type="spellStart"/>
      <w:r w:rsidRPr="001A1E09">
        <w:rPr>
          <w:rFonts w:ascii="Book Antiqua" w:hAnsi="Book Antiqua"/>
          <w:sz w:val="20"/>
          <w:szCs w:val="20"/>
        </w:rPr>
        <w:t>Qiu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SJ, Fan J. Elevation of serum γ-glutamyltransferase as a predictor of aggressive tumor behaviors and unfavorable prognosis in patients with intrahepatic cholangiocarcinoma: analysis of a large monocenter study. </w:t>
      </w:r>
      <w:r w:rsidRPr="001A1E09">
        <w:rPr>
          <w:rFonts w:ascii="Book Antiqua" w:hAnsi="Book Antiqua"/>
          <w:i/>
          <w:sz w:val="20"/>
          <w:szCs w:val="20"/>
        </w:rPr>
        <w:t xml:space="preserve">Eur J Gastroenterol </w:t>
      </w:r>
      <w:proofErr w:type="spellStart"/>
      <w:r w:rsidRPr="001A1E09">
        <w:rPr>
          <w:rFonts w:ascii="Book Antiqua" w:hAnsi="Book Antiqua"/>
          <w:i/>
          <w:sz w:val="20"/>
          <w:szCs w:val="20"/>
        </w:rPr>
        <w:t>Hepatol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2013; </w:t>
      </w:r>
      <w:r w:rsidRPr="001A1E09">
        <w:rPr>
          <w:rFonts w:ascii="Book Antiqua" w:hAnsi="Book Antiqua"/>
          <w:b/>
          <w:sz w:val="20"/>
          <w:szCs w:val="20"/>
        </w:rPr>
        <w:t>25</w:t>
      </w:r>
      <w:r w:rsidRPr="001A1E09">
        <w:rPr>
          <w:rFonts w:ascii="Book Antiqua" w:hAnsi="Book Antiqua"/>
          <w:sz w:val="20"/>
          <w:szCs w:val="20"/>
        </w:rPr>
        <w:t>: 1408-1414 [PMID: 23839159 DOI: 10.1097/MEG.0b013e328364130f]</w:t>
      </w:r>
    </w:p>
    <w:p w14:paraId="38E9DA02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23 </w:t>
      </w:r>
      <w:r w:rsidRPr="001A1E09">
        <w:rPr>
          <w:rFonts w:ascii="Book Antiqua" w:hAnsi="Book Antiqua"/>
          <w:b/>
          <w:sz w:val="20"/>
          <w:szCs w:val="20"/>
        </w:rPr>
        <w:t>Ma H</w:t>
      </w:r>
      <w:r w:rsidRPr="001A1E09">
        <w:rPr>
          <w:rFonts w:ascii="Book Antiqua" w:hAnsi="Book Antiqua"/>
          <w:sz w:val="20"/>
          <w:szCs w:val="20"/>
        </w:rPr>
        <w:t>, Zhang L, Tang B, Wang Y, Chen R, Zhang B, Chen Y, Ge N, Wang Y, Gan Y, Ye S, Ren Z. γ-</w:t>
      </w:r>
      <w:proofErr w:type="spellStart"/>
      <w:r w:rsidRPr="001A1E09">
        <w:rPr>
          <w:rFonts w:ascii="Book Antiqua" w:hAnsi="Book Antiqua"/>
          <w:sz w:val="20"/>
          <w:szCs w:val="20"/>
        </w:rPr>
        <w:t>Glutamyltranspeptidase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is a prognostic marker of survival and recurrence in radiofrequency-ablation treatment of hepatocellular carcinoma. </w:t>
      </w:r>
      <w:r w:rsidRPr="001A1E09">
        <w:rPr>
          <w:rFonts w:ascii="Book Antiqua" w:hAnsi="Book Antiqua"/>
          <w:i/>
          <w:sz w:val="20"/>
          <w:szCs w:val="20"/>
        </w:rPr>
        <w:t>Ann Surg Oncol</w:t>
      </w:r>
      <w:r w:rsidRPr="001A1E09">
        <w:rPr>
          <w:rFonts w:ascii="Book Antiqua" w:hAnsi="Book Antiqua"/>
          <w:sz w:val="20"/>
          <w:szCs w:val="20"/>
        </w:rPr>
        <w:t xml:space="preserve"> 2014; </w:t>
      </w:r>
      <w:r w:rsidRPr="001A1E09">
        <w:rPr>
          <w:rFonts w:ascii="Book Antiqua" w:hAnsi="Book Antiqua"/>
          <w:b/>
          <w:sz w:val="20"/>
          <w:szCs w:val="20"/>
        </w:rPr>
        <w:t>21</w:t>
      </w:r>
      <w:r w:rsidRPr="001A1E09">
        <w:rPr>
          <w:rFonts w:ascii="Book Antiqua" w:hAnsi="Book Antiqua"/>
          <w:sz w:val="20"/>
          <w:szCs w:val="20"/>
        </w:rPr>
        <w:t>: 3084-3089 [PMID: 24748164 DOI: 10.1245/s10434-014-3724-4]</w:t>
      </w:r>
    </w:p>
    <w:p w14:paraId="7E5D4A7A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lastRenderedPageBreak/>
        <w:t xml:space="preserve">24 </w:t>
      </w:r>
      <w:r w:rsidRPr="001A1E09">
        <w:rPr>
          <w:rFonts w:ascii="Book Antiqua" w:hAnsi="Book Antiqua"/>
          <w:b/>
          <w:sz w:val="20"/>
          <w:szCs w:val="20"/>
        </w:rPr>
        <w:t>Li J</w:t>
      </w:r>
      <w:r w:rsidRPr="001A1E09">
        <w:rPr>
          <w:rFonts w:ascii="Book Antiqua" w:hAnsi="Book Antiqua"/>
          <w:sz w:val="20"/>
          <w:szCs w:val="20"/>
        </w:rPr>
        <w:t>, Liao Y, Suo L, Zhu P, Chen X, Dang W, Liao M, Qin L, Liao W. A novel prognostic index-neutrophil times γ-glutamyl transpeptidase to lymphocyte ratio (</w:t>
      </w:r>
      <w:proofErr w:type="spellStart"/>
      <w:r w:rsidRPr="001A1E09">
        <w:rPr>
          <w:rFonts w:ascii="Book Antiqua" w:hAnsi="Book Antiqua"/>
          <w:sz w:val="20"/>
          <w:szCs w:val="20"/>
        </w:rPr>
        <w:t>NγLR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) predicts outcome for patients with hepatocellular carcinoma. </w:t>
      </w:r>
      <w:r w:rsidRPr="001A1E09">
        <w:rPr>
          <w:rFonts w:ascii="Book Antiqua" w:hAnsi="Book Antiqua"/>
          <w:i/>
          <w:sz w:val="20"/>
          <w:szCs w:val="20"/>
        </w:rPr>
        <w:t>Sci Rep</w:t>
      </w:r>
      <w:r w:rsidRPr="001A1E09">
        <w:rPr>
          <w:rFonts w:ascii="Book Antiqua" w:hAnsi="Book Antiqua"/>
          <w:sz w:val="20"/>
          <w:szCs w:val="20"/>
        </w:rPr>
        <w:t xml:space="preserve"> 2017; </w:t>
      </w:r>
      <w:r w:rsidRPr="001A1E09">
        <w:rPr>
          <w:rFonts w:ascii="Book Antiqua" w:hAnsi="Book Antiqua"/>
          <w:b/>
          <w:sz w:val="20"/>
          <w:szCs w:val="20"/>
        </w:rPr>
        <w:t>7</w:t>
      </w:r>
      <w:r w:rsidRPr="001A1E09">
        <w:rPr>
          <w:rFonts w:ascii="Book Antiqua" w:hAnsi="Book Antiqua"/>
          <w:sz w:val="20"/>
          <w:szCs w:val="20"/>
        </w:rPr>
        <w:t>: 9229 [PMID: 28835713 DOI: 10.1038/s41598-017-09696-y]</w:t>
      </w:r>
    </w:p>
    <w:p w14:paraId="5BFF1CA9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25 </w:t>
      </w:r>
      <w:proofErr w:type="spellStart"/>
      <w:r w:rsidRPr="001A1E09">
        <w:rPr>
          <w:rFonts w:ascii="Book Antiqua" w:hAnsi="Book Antiqua"/>
          <w:b/>
          <w:sz w:val="20"/>
          <w:szCs w:val="20"/>
        </w:rPr>
        <w:t>Hoshimoto</w:t>
      </w:r>
      <w:proofErr w:type="spellEnd"/>
      <w:r w:rsidRPr="001A1E09">
        <w:rPr>
          <w:rFonts w:ascii="Book Antiqua" w:hAnsi="Book Antiqua"/>
          <w:b/>
          <w:sz w:val="20"/>
          <w:szCs w:val="20"/>
        </w:rPr>
        <w:t xml:space="preserve"> S</w:t>
      </w:r>
      <w:r w:rsidRPr="001A1E09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1A1E09">
        <w:rPr>
          <w:rFonts w:ascii="Book Antiqua" w:hAnsi="Book Antiqua"/>
          <w:sz w:val="20"/>
          <w:szCs w:val="20"/>
        </w:rPr>
        <w:t>Hishinuma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S, Shirakawa H, </w:t>
      </w:r>
      <w:proofErr w:type="spellStart"/>
      <w:r w:rsidRPr="001A1E09">
        <w:rPr>
          <w:rFonts w:ascii="Book Antiqua" w:hAnsi="Book Antiqua"/>
          <w:sz w:val="20"/>
          <w:szCs w:val="20"/>
        </w:rPr>
        <w:t>Tomikawa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M, Ozawa I, Ogata Y. Association of Preoperative Platelet-to-Lymphocyte Ratio with Poor Outcome in Patients with Distal Cholangiocarcinoma. </w:t>
      </w:r>
      <w:r w:rsidRPr="001A1E09">
        <w:rPr>
          <w:rFonts w:ascii="Book Antiqua" w:hAnsi="Book Antiqua"/>
          <w:i/>
          <w:sz w:val="20"/>
          <w:szCs w:val="20"/>
        </w:rPr>
        <w:t>Oncology</w:t>
      </w:r>
      <w:r w:rsidRPr="001A1E09">
        <w:rPr>
          <w:rFonts w:ascii="Book Antiqua" w:hAnsi="Book Antiqua"/>
          <w:sz w:val="20"/>
          <w:szCs w:val="20"/>
        </w:rPr>
        <w:t xml:space="preserve"> 2019; </w:t>
      </w:r>
      <w:r w:rsidRPr="001A1E09">
        <w:rPr>
          <w:rFonts w:ascii="Book Antiqua" w:hAnsi="Book Antiqua"/>
          <w:b/>
          <w:sz w:val="20"/>
          <w:szCs w:val="20"/>
        </w:rPr>
        <w:t>96</w:t>
      </w:r>
      <w:r w:rsidRPr="001A1E09">
        <w:rPr>
          <w:rFonts w:ascii="Book Antiqua" w:hAnsi="Book Antiqua"/>
          <w:sz w:val="20"/>
          <w:szCs w:val="20"/>
        </w:rPr>
        <w:t>: 290-298 [PMID: 30909286 DOI: 10.1159/000499050]</w:t>
      </w:r>
    </w:p>
    <w:p w14:paraId="64FB606D" w14:textId="77777777" w:rsidR="0085400D" w:rsidRPr="001A1E09" w:rsidRDefault="0085400D" w:rsidP="001A1E09">
      <w:pPr>
        <w:snapToGrid w:val="0"/>
        <w:spacing w:line="360" w:lineRule="auto"/>
        <w:rPr>
          <w:rFonts w:ascii="Book Antiqua" w:hAnsi="Book Antiqua"/>
          <w:sz w:val="20"/>
          <w:szCs w:val="20"/>
        </w:rPr>
      </w:pPr>
      <w:r w:rsidRPr="001A1E09">
        <w:rPr>
          <w:rFonts w:ascii="Book Antiqua" w:hAnsi="Book Antiqua"/>
          <w:sz w:val="20"/>
          <w:szCs w:val="20"/>
        </w:rPr>
        <w:t xml:space="preserve">26 </w:t>
      </w:r>
      <w:r w:rsidRPr="001A1E09">
        <w:rPr>
          <w:rFonts w:ascii="Book Antiqua" w:hAnsi="Book Antiqua"/>
          <w:b/>
          <w:sz w:val="20"/>
          <w:szCs w:val="20"/>
        </w:rPr>
        <w:t>Beal EW</w:t>
      </w:r>
      <w:r w:rsidRPr="001A1E09">
        <w:rPr>
          <w:rFonts w:ascii="Book Antiqua" w:hAnsi="Book Antiqua"/>
          <w:sz w:val="20"/>
          <w:szCs w:val="20"/>
        </w:rPr>
        <w:t xml:space="preserve">, Wei L, </w:t>
      </w:r>
      <w:proofErr w:type="spellStart"/>
      <w:r w:rsidRPr="001A1E09">
        <w:rPr>
          <w:rFonts w:ascii="Book Antiqua" w:hAnsi="Book Antiqua"/>
          <w:sz w:val="20"/>
          <w:szCs w:val="20"/>
        </w:rPr>
        <w:t>Ethun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CG, Black SM, </w:t>
      </w:r>
      <w:proofErr w:type="spellStart"/>
      <w:r w:rsidRPr="001A1E09">
        <w:rPr>
          <w:rFonts w:ascii="Book Antiqua" w:hAnsi="Book Antiqua"/>
          <w:sz w:val="20"/>
          <w:szCs w:val="20"/>
        </w:rPr>
        <w:t>Dillhoff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M, Salem A, Weber SM, Tran T, </w:t>
      </w:r>
      <w:proofErr w:type="spellStart"/>
      <w:r w:rsidRPr="001A1E09">
        <w:rPr>
          <w:rFonts w:ascii="Book Antiqua" w:hAnsi="Book Antiqua"/>
          <w:sz w:val="20"/>
          <w:szCs w:val="20"/>
        </w:rPr>
        <w:t>Poultsides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G, Son AY, </w:t>
      </w:r>
      <w:proofErr w:type="spellStart"/>
      <w:r w:rsidRPr="001A1E09">
        <w:rPr>
          <w:rFonts w:ascii="Book Antiqua" w:hAnsi="Book Antiqua"/>
          <w:sz w:val="20"/>
          <w:szCs w:val="20"/>
        </w:rPr>
        <w:t>Hatzaras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I, </w:t>
      </w:r>
      <w:proofErr w:type="spellStart"/>
      <w:r w:rsidRPr="001A1E09">
        <w:rPr>
          <w:rFonts w:ascii="Book Antiqua" w:hAnsi="Book Antiqua"/>
          <w:sz w:val="20"/>
          <w:szCs w:val="20"/>
        </w:rPr>
        <w:t>Jin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L, Fields RC, Buettner S, </w:t>
      </w:r>
      <w:proofErr w:type="spellStart"/>
      <w:r w:rsidRPr="001A1E09">
        <w:rPr>
          <w:rFonts w:ascii="Book Antiqua" w:hAnsi="Book Antiqua"/>
          <w:sz w:val="20"/>
          <w:szCs w:val="20"/>
        </w:rPr>
        <w:t>Pawlik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TM, Scoggins C, Martin RC, Isom CA, Idrees K, </w:t>
      </w:r>
      <w:proofErr w:type="spellStart"/>
      <w:r w:rsidRPr="001A1E09">
        <w:rPr>
          <w:rFonts w:ascii="Book Antiqua" w:hAnsi="Book Antiqua"/>
          <w:sz w:val="20"/>
          <w:szCs w:val="20"/>
        </w:rPr>
        <w:t>Mogal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HD, Shen P, </w:t>
      </w:r>
      <w:proofErr w:type="spellStart"/>
      <w:r w:rsidRPr="001A1E09">
        <w:rPr>
          <w:rFonts w:ascii="Book Antiqua" w:hAnsi="Book Antiqua"/>
          <w:sz w:val="20"/>
          <w:szCs w:val="20"/>
        </w:rPr>
        <w:t>Maithel</w:t>
      </w:r>
      <w:proofErr w:type="spellEnd"/>
      <w:r w:rsidRPr="001A1E09">
        <w:rPr>
          <w:rFonts w:ascii="Book Antiqua" w:hAnsi="Book Antiqua"/>
          <w:sz w:val="20"/>
          <w:szCs w:val="20"/>
        </w:rPr>
        <w:t xml:space="preserve"> SK, Schmidt CR. Elevated NLR in gallbladder cancer and cholangiocarcinoma - making bad cancers even worse: results from the US Extrahepatic Biliary Malignancy Consortium. </w:t>
      </w:r>
      <w:r w:rsidRPr="001A1E09">
        <w:rPr>
          <w:rFonts w:ascii="Book Antiqua" w:hAnsi="Book Antiqua"/>
          <w:i/>
          <w:sz w:val="20"/>
          <w:szCs w:val="20"/>
        </w:rPr>
        <w:t>HPB (Oxford)</w:t>
      </w:r>
      <w:r w:rsidRPr="001A1E09">
        <w:rPr>
          <w:rFonts w:ascii="Book Antiqua" w:hAnsi="Book Antiqua"/>
          <w:sz w:val="20"/>
          <w:szCs w:val="20"/>
        </w:rPr>
        <w:t xml:space="preserve"> 2016; </w:t>
      </w:r>
      <w:r w:rsidRPr="001A1E09">
        <w:rPr>
          <w:rFonts w:ascii="Book Antiqua" w:hAnsi="Book Antiqua"/>
          <w:b/>
          <w:sz w:val="20"/>
          <w:szCs w:val="20"/>
        </w:rPr>
        <w:t>18</w:t>
      </w:r>
      <w:r w:rsidRPr="001A1E09">
        <w:rPr>
          <w:rFonts w:ascii="Book Antiqua" w:hAnsi="Book Antiqua"/>
          <w:sz w:val="20"/>
          <w:szCs w:val="20"/>
        </w:rPr>
        <w:t>: 950-957 [PMID: 27683047 DOI: 10.1016/j.hpb.2016.08.006]</w:t>
      </w:r>
    </w:p>
    <w:p w14:paraId="753787FF" w14:textId="6AD89984" w:rsidR="0085400D" w:rsidRPr="001A1E09" w:rsidRDefault="0085400D" w:rsidP="001A1E09">
      <w:pPr>
        <w:widowControl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br w:type="page"/>
      </w:r>
    </w:p>
    <w:p w14:paraId="47407E3F" w14:textId="4600A4F7" w:rsidR="0085400D" w:rsidRPr="001A1E09" w:rsidRDefault="0085400D" w:rsidP="001A1E09">
      <w:pPr>
        <w:adjustRightInd w:val="0"/>
        <w:snapToGrid w:val="0"/>
        <w:spacing w:line="360" w:lineRule="auto"/>
        <w:rPr>
          <w:rFonts w:ascii="Book Antiqua" w:hAnsi="Book Antiqua"/>
          <w:b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</w:rPr>
        <w:lastRenderedPageBreak/>
        <w:t>Footnotes</w:t>
      </w:r>
    </w:p>
    <w:p w14:paraId="07753F79" w14:textId="04F806C1" w:rsidR="00A951B3" w:rsidRPr="001A1E09" w:rsidRDefault="00A951B3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t>Institutional review board statement:</w:t>
      </w:r>
      <w:r w:rsidRPr="001A1E09">
        <w:rPr>
          <w:rFonts w:ascii="Book Antiqua" w:hAnsi="Book Antiqua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This work was reviewed and approved by the Ethics Committee of the West China Hosp</w:t>
      </w:r>
      <w:r w:rsidR="00784808" w:rsidRPr="001A1E09">
        <w:rPr>
          <w:rFonts w:ascii="Book Antiqua" w:hAnsi="Book Antiqua" w:cs="Arial"/>
          <w:sz w:val="20"/>
          <w:szCs w:val="20"/>
        </w:rPr>
        <w:t>ital.</w:t>
      </w:r>
    </w:p>
    <w:p w14:paraId="3A27D515" w14:textId="77777777" w:rsidR="00784808" w:rsidRPr="001A1E09" w:rsidRDefault="00784808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</w:rPr>
      </w:pPr>
    </w:p>
    <w:p w14:paraId="3810ACAB" w14:textId="77777777" w:rsidR="00A951B3" w:rsidRPr="001A1E09" w:rsidRDefault="00A951B3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t>Informed consent statement:</w:t>
      </w:r>
      <w:r w:rsidRPr="001A1E09">
        <w:rPr>
          <w:rFonts w:ascii="Book Antiqua" w:hAnsi="Book Antiqua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Patients were not required to give informed consent to the study because the analysis used anonymous clinical data that were obtained after each patient agreed to treatment by written consent.</w:t>
      </w:r>
    </w:p>
    <w:p w14:paraId="72BD004C" w14:textId="77777777" w:rsidR="00A951B3" w:rsidRPr="001A1E09" w:rsidRDefault="00A951B3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57C15E31" w14:textId="59AC035F" w:rsidR="00A951B3" w:rsidRPr="001A1E09" w:rsidRDefault="00A951B3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t>Conflict-of-interest statement:</w:t>
      </w:r>
      <w:r w:rsidRPr="001A1E09">
        <w:rPr>
          <w:rFonts w:ascii="Book Antiqua" w:hAnsi="Book Antiqua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All authors declare no conflict</w:t>
      </w:r>
      <w:r w:rsidR="00FD4E31" w:rsidRPr="001A1E09">
        <w:rPr>
          <w:rFonts w:ascii="Book Antiqua" w:hAnsi="Book Antiqua" w:cs="Arial"/>
          <w:sz w:val="20"/>
          <w:szCs w:val="20"/>
        </w:rPr>
        <w:t>s</w:t>
      </w:r>
      <w:r w:rsidRPr="001A1E09">
        <w:rPr>
          <w:rFonts w:ascii="Book Antiqua" w:hAnsi="Book Antiqua" w:cs="Arial"/>
          <w:sz w:val="20"/>
          <w:szCs w:val="20"/>
        </w:rPr>
        <w:t xml:space="preserve"> of interest.</w:t>
      </w:r>
    </w:p>
    <w:p w14:paraId="30475DEF" w14:textId="77777777" w:rsidR="00A951B3" w:rsidRPr="001A1E09" w:rsidRDefault="00A951B3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3CEB7563" w14:textId="77777777" w:rsidR="00A951B3" w:rsidRPr="001A1E09" w:rsidRDefault="00A951B3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t xml:space="preserve">Data sharing statement: </w:t>
      </w:r>
      <w:r w:rsidRPr="001A1E09">
        <w:rPr>
          <w:rFonts w:ascii="Book Antiqua" w:hAnsi="Book Antiqua" w:cs="Arial"/>
          <w:sz w:val="20"/>
          <w:szCs w:val="20"/>
        </w:rPr>
        <w:t>No additional data are available.</w:t>
      </w:r>
    </w:p>
    <w:p w14:paraId="6E693972" w14:textId="77777777" w:rsidR="00145293" w:rsidRPr="001A1E09" w:rsidRDefault="00145293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5BBF08E0" w14:textId="77777777" w:rsidR="00784808" w:rsidRPr="001A1E09" w:rsidRDefault="00784808" w:rsidP="001A1E09">
      <w:pPr>
        <w:widowControl/>
        <w:adjustRightInd w:val="0"/>
        <w:snapToGrid w:val="0"/>
        <w:spacing w:line="360" w:lineRule="auto"/>
        <w:rPr>
          <w:rFonts w:ascii="Book Antiqua" w:hAnsi="Book Antiqua" w:cs="宋体"/>
          <w:kern w:val="0"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</w:rPr>
        <w:t>Open-Access:</w:t>
      </w:r>
      <w:r w:rsidRPr="001A1E09">
        <w:rPr>
          <w:rFonts w:ascii="Book Antiqua" w:hAnsi="Book Antiqua"/>
          <w:sz w:val="20"/>
          <w:szCs w:val="20"/>
        </w:rPr>
        <w:t xml:space="preserve"> </w:t>
      </w:r>
      <w:bookmarkStart w:id="56" w:name="OLE_LINK41"/>
      <w:r w:rsidRPr="001A1E09">
        <w:rPr>
          <w:rFonts w:ascii="Book Antiqua" w:hAnsi="Book Antiqua"/>
          <w:sz w:val="20"/>
          <w:szCs w:val="20"/>
        </w:rPr>
        <w:t>This article is an open-access article that was selected 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56"/>
    <w:p w14:paraId="4AC45071" w14:textId="77777777" w:rsidR="00784808" w:rsidRPr="001A1E09" w:rsidRDefault="00784808" w:rsidP="001A1E09">
      <w:pPr>
        <w:widowControl/>
        <w:adjustRightInd w:val="0"/>
        <w:snapToGrid w:val="0"/>
        <w:spacing w:line="360" w:lineRule="auto"/>
        <w:rPr>
          <w:rFonts w:ascii="Book Antiqua" w:hAnsi="Book Antiqua"/>
          <w:sz w:val="20"/>
          <w:szCs w:val="20"/>
        </w:rPr>
      </w:pPr>
    </w:p>
    <w:p w14:paraId="684EDB6F" w14:textId="77777777" w:rsidR="00784808" w:rsidRPr="001A1E09" w:rsidRDefault="00784808" w:rsidP="001A1E09">
      <w:pPr>
        <w:adjustRightInd w:val="0"/>
        <w:snapToGrid w:val="0"/>
        <w:spacing w:line="360" w:lineRule="auto"/>
        <w:rPr>
          <w:rFonts w:ascii="Book Antiqua" w:hAnsi="Book Antiqua"/>
          <w:bCs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  <w:lang w:eastAsia="pl-PL"/>
        </w:rPr>
        <w:t>Manuscript source:</w:t>
      </w:r>
      <w:r w:rsidRPr="001A1E09">
        <w:rPr>
          <w:rFonts w:ascii="Book Antiqua" w:hAnsi="Book Antiqua"/>
          <w:b/>
          <w:sz w:val="20"/>
          <w:szCs w:val="20"/>
        </w:rPr>
        <w:t xml:space="preserve"> </w:t>
      </w:r>
      <w:r w:rsidRPr="001A1E09">
        <w:rPr>
          <w:rFonts w:ascii="Book Antiqua" w:hAnsi="Book Antiqua"/>
          <w:sz w:val="20"/>
          <w:szCs w:val="20"/>
          <w:lang w:eastAsia="pl-PL"/>
        </w:rPr>
        <w:t>Unsolicited manuscript</w:t>
      </w:r>
    </w:p>
    <w:p w14:paraId="55CDB556" w14:textId="77777777" w:rsidR="00145293" w:rsidRPr="001A1E09" w:rsidRDefault="00145293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</w:p>
    <w:p w14:paraId="13250BD6" w14:textId="6690942A" w:rsidR="00784808" w:rsidRPr="001A1E09" w:rsidRDefault="00784808" w:rsidP="001A1E09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</w:rPr>
        <w:t xml:space="preserve">Peer-review started: </w:t>
      </w:r>
      <w:r w:rsidR="00250356" w:rsidRPr="001A1E09">
        <w:rPr>
          <w:rFonts w:ascii="Book Antiqua" w:hAnsi="Book Antiqua"/>
          <w:sz w:val="20"/>
          <w:szCs w:val="20"/>
        </w:rPr>
        <w:t>November</w:t>
      </w:r>
      <w:r w:rsidRPr="001A1E09">
        <w:rPr>
          <w:rFonts w:ascii="Book Antiqua" w:hAnsi="Book Antiqua"/>
          <w:sz w:val="20"/>
          <w:szCs w:val="20"/>
        </w:rPr>
        <w:t xml:space="preserve"> </w:t>
      </w:r>
      <w:r w:rsidR="00250356" w:rsidRPr="001A1E09">
        <w:rPr>
          <w:rFonts w:ascii="Book Antiqua" w:hAnsi="Book Antiqua"/>
          <w:sz w:val="20"/>
          <w:szCs w:val="20"/>
        </w:rPr>
        <w:t>30</w:t>
      </w:r>
      <w:r w:rsidRPr="001A1E09">
        <w:rPr>
          <w:rFonts w:ascii="Book Antiqua" w:hAnsi="Book Antiqua"/>
          <w:sz w:val="20"/>
          <w:szCs w:val="20"/>
        </w:rPr>
        <w:t>, 201</w:t>
      </w:r>
      <w:r w:rsidR="00250356" w:rsidRPr="001A1E09">
        <w:rPr>
          <w:rFonts w:ascii="Book Antiqua" w:hAnsi="Book Antiqua"/>
          <w:sz w:val="20"/>
          <w:szCs w:val="20"/>
        </w:rPr>
        <w:t>9</w:t>
      </w:r>
    </w:p>
    <w:p w14:paraId="0F43C366" w14:textId="09F0FF7A" w:rsidR="00784808" w:rsidRPr="001A1E09" w:rsidRDefault="00784808" w:rsidP="001A1E09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</w:rPr>
        <w:t xml:space="preserve">First decision: </w:t>
      </w:r>
      <w:r w:rsidR="00250356" w:rsidRPr="001A1E09">
        <w:rPr>
          <w:rFonts w:ascii="Book Antiqua" w:hAnsi="Book Antiqua"/>
          <w:sz w:val="20"/>
          <w:szCs w:val="20"/>
        </w:rPr>
        <w:t>January</w:t>
      </w:r>
      <w:r w:rsidRPr="001A1E09">
        <w:rPr>
          <w:rFonts w:ascii="Book Antiqua" w:hAnsi="Book Antiqua"/>
          <w:sz w:val="20"/>
          <w:szCs w:val="20"/>
        </w:rPr>
        <w:t xml:space="preserve"> 1</w:t>
      </w:r>
      <w:r w:rsidR="00250356" w:rsidRPr="001A1E09">
        <w:rPr>
          <w:rFonts w:ascii="Book Antiqua" w:hAnsi="Book Antiqua"/>
          <w:sz w:val="20"/>
          <w:szCs w:val="20"/>
        </w:rPr>
        <w:t>6</w:t>
      </w:r>
      <w:r w:rsidRPr="001A1E09">
        <w:rPr>
          <w:rFonts w:ascii="Book Antiqua" w:hAnsi="Book Antiqua"/>
          <w:sz w:val="20"/>
          <w:szCs w:val="20"/>
        </w:rPr>
        <w:t>, 20</w:t>
      </w:r>
      <w:r w:rsidR="00250356" w:rsidRPr="001A1E09">
        <w:rPr>
          <w:rFonts w:ascii="Book Antiqua" w:hAnsi="Book Antiqua"/>
          <w:sz w:val="20"/>
          <w:szCs w:val="20"/>
        </w:rPr>
        <w:t>20</w:t>
      </w:r>
    </w:p>
    <w:p w14:paraId="35ABCB70" w14:textId="77777777" w:rsidR="00784808" w:rsidRPr="001A1E09" w:rsidRDefault="00784808" w:rsidP="001A1E09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</w:rPr>
        <w:t>Article in press:</w:t>
      </w:r>
    </w:p>
    <w:p w14:paraId="1AA8680C" w14:textId="77777777" w:rsidR="00784808" w:rsidRPr="001A1E09" w:rsidRDefault="00784808" w:rsidP="001A1E09">
      <w:pPr>
        <w:widowControl/>
        <w:adjustRightInd w:val="0"/>
        <w:snapToGrid w:val="0"/>
        <w:spacing w:line="360" w:lineRule="auto"/>
        <w:rPr>
          <w:rFonts w:ascii="Book Antiqua" w:hAnsi="Book Antiqua"/>
          <w:sz w:val="20"/>
          <w:szCs w:val="20"/>
        </w:rPr>
      </w:pPr>
    </w:p>
    <w:p w14:paraId="49AC5E77" w14:textId="77777777" w:rsidR="00784808" w:rsidRPr="001A1E09" w:rsidRDefault="00784808" w:rsidP="001A1E09">
      <w:pPr>
        <w:adjustRightInd w:val="0"/>
        <w:snapToGrid w:val="0"/>
        <w:spacing w:line="360" w:lineRule="auto"/>
        <w:rPr>
          <w:rFonts w:ascii="Book Antiqua" w:eastAsia="微软雅黑" w:hAnsi="Book Antiqua" w:cs="宋体"/>
          <w:sz w:val="20"/>
          <w:szCs w:val="20"/>
        </w:rPr>
      </w:pPr>
      <w:r w:rsidRPr="001A1E09">
        <w:rPr>
          <w:rFonts w:ascii="Book Antiqua" w:hAnsi="Book Antiqua" w:cs="宋体"/>
          <w:b/>
          <w:sz w:val="20"/>
          <w:szCs w:val="20"/>
        </w:rPr>
        <w:t xml:space="preserve">Specialty type: </w:t>
      </w:r>
      <w:r w:rsidRPr="001A1E09">
        <w:rPr>
          <w:rFonts w:ascii="Book Antiqua" w:eastAsia="微软雅黑" w:hAnsi="Book Antiqua" w:cs="宋体"/>
          <w:sz w:val="20"/>
          <w:szCs w:val="20"/>
        </w:rPr>
        <w:t>Gastroenterology and hepatology</w:t>
      </w:r>
    </w:p>
    <w:p w14:paraId="74B0C75B" w14:textId="7F258771" w:rsidR="00784808" w:rsidRPr="001A1E09" w:rsidRDefault="00784808" w:rsidP="001A1E09">
      <w:pPr>
        <w:adjustRightInd w:val="0"/>
        <w:snapToGrid w:val="0"/>
        <w:spacing w:line="360" w:lineRule="auto"/>
        <w:rPr>
          <w:rFonts w:ascii="Book Antiqua" w:hAnsi="Book Antiqua" w:cs="宋体"/>
          <w:sz w:val="20"/>
          <w:szCs w:val="20"/>
        </w:rPr>
      </w:pPr>
      <w:r w:rsidRPr="001A1E09">
        <w:rPr>
          <w:rFonts w:ascii="Book Antiqua" w:hAnsi="Book Antiqua" w:cs="宋体"/>
          <w:b/>
          <w:sz w:val="20"/>
          <w:szCs w:val="20"/>
        </w:rPr>
        <w:t xml:space="preserve">Country of origin: </w:t>
      </w:r>
      <w:r w:rsidR="00250356" w:rsidRPr="001A1E09">
        <w:rPr>
          <w:rFonts w:ascii="Book Antiqua" w:hAnsi="Book Antiqua" w:cs="宋体"/>
          <w:sz w:val="20"/>
          <w:szCs w:val="20"/>
        </w:rPr>
        <w:t>China</w:t>
      </w:r>
    </w:p>
    <w:p w14:paraId="3CDCDCE1" w14:textId="77777777" w:rsidR="00784808" w:rsidRPr="001A1E09" w:rsidRDefault="00784808" w:rsidP="001A1E09">
      <w:pPr>
        <w:adjustRightInd w:val="0"/>
        <w:snapToGrid w:val="0"/>
        <w:spacing w:line="360" w:lineRule="auto"/>
        <w:rPr>
          <w:rFonts w:ascii="Book Antiqua" w:hAnsi="Book Antiqua" w:cs="宋体"/>
          <w:b/>
          <w:sz w:val="20"/>
          <w:szCs w:val="20"/>
        </w:rPr>
      </w:pPr>
      <w:r w:rsidRPr="001A1E09">
        <w:rPr>
          <w:rFonts w:ascii="Book Antiqua" w:hAnsi="Book Antiqua" w:cs="宋体"/>
          <w:b/>
          <w:sz w:val="20"/>
          <w:szCs w:val="20"/>
        </w:rPr>
        <w:t>Peer-review report classification</w:t>
      </w:r>
    </w:p>
    <w:p w14:paraId="00127018" w14:textId="257EC4CC" w:rsidR="00784808" w:rsidRPr="001A1E09" w:rsidRDefault="00784808" w:rsidP="001A1E09">
      <w:pPr>
        <w:adjustRightInd w:val="0"/>
        <w:snapToGrid w:val="0"/>
        <w:spacing w:line="360" w:lineRule="auto"/>
        <w:rPr>
          <w:rFonts w:ascii="Book Antiqua" w:hAnsi="Book Antiqua" w:cs="宋体"/>
          <w:sz w:val="20"/>
          <w:szCs w:val="20"/>
        </w:rPr>
      </w:pPr>
      <w:r w:rsidRPr="001A1E09">
        <w:rPr>
          <w:rFonts w:ascii="Book Antiqua" w:hAnsi="Book Antiqua" w:cs="宋体"/>
          <w:sz w:val="20"/>
          <w:szCs w:val="20"/>
        </w:rPr>
        <w:t xml:space="preserve">Grade A (Excellent): </w:t>
      </w:r>
      <w:r w:rsidR="00250356" w:rsidRPr="001A1E09">
        <w:rPr>
          <w:rFonts w:ascii="Book Antiqua" w:hAnsi="Book Antiqua" w:cs="宋体"/>
          <w:sz w:val="20"/>
          <w:szCs w:val="20"/>
        </w:rPr>
        <w:t>0</w:t>
      </w:r>
    </w:p>
    <w:p w14:paraId="5E62FFB7" w14:textId="77777777" w:rsidR="00784808" w:rsidRPr="001A1E09" w:rsidRDefault="00784808" w:rsidP="001A1E09">
      <w:pPr>
        <w:adjustRightInd w:val="0"/>
        <w:snapToGrid w:val="0"/>
        <w:spacing w:line="360" w:lineRule="auto"/>
        <w:rPr>
          <w:rFonts w:ascii="Book Antiqua" w:hAnsi="Book Antiqua" w:cs="宋体"/>
          <w:sz w:val="20"/>
          <w:szCs w:val="20"/>
        </w:rPr>
      </w:pPr>
      <w:r w:rsidRPr="001A1E09">
        <w:rPr>
          <w:rFonts w:ascii="Book Antiqua" w:hAnsi="Book Antiqua" w:cs="宋体"/>
          <w:sz w:val="20"/>
          <w:szCs w:val="20"/>
        </w:rPr>
        <w:t>Grade B (Very good): B</w:t>
      </w:r>
    </w:p>
    <w:p w14:paraId="16F8F5C3" w14:textId="77777777" w:rsidR="00784808" w:rsidRPr="001A1E09" w:rsidRDefault="00784808" w:rsidP="001A1E09">
      <w:pPr>
        <w:adjustRightInd w:val="0"/>
        <w:snapToGrid w:val="0"/>
        <w:spacing w:line="360" w:lineRule="auto"/>
        <w:rPr>
          <w:rFonts w:ascii="Book Antiqua" w:hAnsi="Book Antiqua" w:cs="宋体"/>
          <w:sz w:val="20"/>
          <w:szCs w:val="20"/>
        </w:rPr>
      </w:pPr>
      <w:r w:rsidRPr="001A1E09">
        <w:rPr>
          <w:rFonts w:ascii="Book Antiqua" w:hAnsi="Book Antiqua" w:cs="宋体"/>
          <w:sz w:val="20"/>
          <w:szCs w:val="20"/>
        </w:rPr>
        <w:t>Grade C (Good): C</w:t>
      </w:r>
    </w:p>
    <w:p w14:paraId="67F8F8A1" w14:textId="77777777" w:rsidR="00784808" w:rsidRPr="001A1E09" w:rsidRDefault="00784808" w:rsidP="001A1E09">
      <w:pPr>
        <w:adjustRightInd w:val="0"/>
        <w:snapToGrid w:val="0"/>
        <w:spacing w:line="360" w:lineRule="auto"/>
        <w:rPr>
          <w:rFonts w:ascii="Book Antiqua" w:hAnsi="Book Antiqua" w:cs="宋体"/>
          <w:sz w:val="20"/>
          <w:szCs w:val="20"/>
        </w:rPr>
      </w:pPr>
      <w:r w:rsidRPr="001A1E09">
        <w:rPr>
          <w:rFonts w:ascii="Book Antiqua" w:hAnsi="Book Antiqua" w:cs="宋体"/>
          <w:sz w:val="20"/>
          <w:szCs w:val="20"/>
        </w:rPr>
        <w:t>Grade D (Fair): 0</w:t>
      </w:r>
    </w:p>
    <w:p w14:paraId="55671A92" w14:textId="77777777" w:rsidR="00784808" w:rsidRPr="001A1E09" w:rsidRDefault="00784808" w:rsidP="001A1E09">
      <w:pPr>
        <w:adjustRightInd w:val="0"/>
        <w:snapToGrid w:val="0"/>
        <w:spacing w:line="360" w:lineRule="auto"/>
        <w:rPr>
          <w:rFonts w:ascii="Book Antiqua" w:eastAsia="DengXian" w:hAnsi="Book Antiqua"/>
          <w:sz w:val="20"/>
          <w:szCs w:val="20"/>
        </w:rPr>
      </w:pPr>
      <w:r w:rsidRPr="001A1E09">
        <w:rPr>
          <w:rFonts w:ascii="Book Antiqua" w:hAnsi="Book Antiqua" w:cs="宋体"/>
          <w:sz w:val="20"/>
          <w:szCs w:val="20"/>
        </w:rPr>
        <w:t>Grade E (Poor): 0</w:t>
      </w:r>
    </w:p>
    <w:p w14:paraId="6F7323F6" w14:textId="77777777" w:rsidR="00784808" w:rsidRPr="001A1E09" w:rsidRDefault="00784808" w:rsidP="001A1E09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0"/>
          <w:szCs w:val="20"/>
        </w:rPr>
      </w:pPr>
    </w:p>
    <w:p w14:paraId="2F3774CD" w14:textId="1DA58491" w:rsidR="00784808" w:rsidRPr="001A1E09" w:rsidRDefault="00784808" w:rsidP="001A1E09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0"/>
          <w:szCs w:val="20"/>
        </w:rPr>
      </w:pPr>
      <w:r w:rsidRPr="001A1E09">
        <w:rPr>
          <w:rFonts w:ascii="Book Antiqua" w:hAnsi="Book Antiqua"/>
          <w:b/>
          <w:bCs/>
          <w:sz w:val="20"/>
          <w:szCs w:val="20"/>
        </w:rPr>
        <w:t xml:space="preserve">P-Reviewer: </w:t>
      </w:r>
      <w:r w:rsidR="00250356" w:rsidRPr="001A1E09">
        <w:rPr>
          <w:rFonts w:ascii="Book Antiqua" w:hAnsi="Book Antiqua"/>
          <w:bCs/>
          <w:sz w:val="20"/>
          <w:szCs w:val="20"/>
        </w:rPr>
        <w:t xml:space="preserve">Farshadpour F, Talabnin C </w:t>
      </w:r>
      <w:r w:rsidRPr="001A1E09">
        <w:rPr>
          <w:rFonts w:ascii="Book Antiqua" w:hAnsi="Book Antiqua"/>
          <w:b/>
          <w:bCs/>
          <w:sz w:val="20"/>
          <w:szCs w:val="20"/>
        </w:rPr>
        <w:t>S-Editor:</w:t>
      </w:r>
      <w:r w:rsidRPr="001A1E09">
        <w:rPr>
          <w:rFonts w:ascii="Book Antiqua" w:hAnsi="Book Antiqua"/>
          <w:sz w:val="20"/>
          <w:szCs w:val="20"/>
        </w:rPr>
        <w:t xml:space="preserve"> </w:t>
      </w:r>
      <w:r w:rsidR="00250356" w:rsidRPr="001A1E09">
        <w:rPr>
          <w:rFonts w:ascii="Book Antiqua" w:hAnsi="Book Antiqua"/>
          <w:sz w:val="20"/>
          <w:szCs w:val="20"/>
        </w:rPr>
        <w:t>Zhang L</w:t>
      </w:r>
      <w:r w:rsidRPr="001A1E09">
        <w:rPr>
          <w:rFonts w:ascii="Book Antiqua" w:hAnsi="Book Antiqua"/>
          <w:sz w:val="20"/>
          <w:szCs w:val="20"/>
        </w:rPr>
        <w:t xml:space="preserve"> </w:t>
      </w:r>
      <w:r w:rsidRPr="001A1E09">
        <w:rPr>
          <w:rFonts w:ascii="Book Antiqua" w:hAnsi="Book Antiqua"/>
          <w:b/>
          <w:bCs/>
          <w:sz w:val="20"/>
          <w:szCs w:val="20"/>
        </w:rPr>
        <w:t>L-Editor:</w:t>
      </w:r>
      <w:r w:rsidRPr="001A1E09">
        <w:rPr>
          <w:rFonts w:ascii="Book Antiqua" w:hAnsi="Book Antiqua"/>
          <w:sz w:val="20"/>
          <w:szCs w:val="20"/>
        </w:rPr>
        <w:t xml:space="preserve"> </w:t>
      </w:r>
      <w:r w:rsidR="002E5B90" w:rsidRPr="001A1E09">
        <w:rPr>
          <w:rFonts w:ascii="Book Antiqua" w:hAnsi="Book Antiqua"/>
          <w:sz w:val="20"/>
          <w:szCs w:val="20"/>
        </w:rPr>
        <w:t xml:space="preserve">Filipodia </w:t>
      </w:r>
      <w:r w:rsidRPr="001A1E09">
        <w:rPr>
          <w:rFonts w:ascii="Book Antiqua" w:hAnsi="Book Antiqua"/>
          <w:b/>
          <w:bCs/>
          <w:sz w:val="20"/>
          <w:szCs w:val="20"/>
        </w:rPr>
        <w:t>E-Editor:</w:t>
      </w:r>
    </w:p>
    <w:p w14:paraId="32A48242" w14:textId="77777777" w:rsidR="00784808" w:rsidRPr="001A1E09" w:rsidRDefault="00784808" w:rsidP="001A1E09">
      <w:pPr>
        <w:widowControl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br w:type="page"/>
      </w:r>
    </w:p>
    <w:p w14:paraId="279CD0C6" w14:textId="77777777" w:rsidR="00250356" w:rsidRPr="001A1E09" w:rsidRDefault="00250356" w:rsidP="001A1E09">
      <w:pPr>
        <w:adjustRightInd w:val="0"/>
        <w:snapToGrid w:val="0"/>
        <w:spacing w:line="360" w:lineRule="auto"/>
        <w:rPr>
          <w:rFonts w:ascii="Book Antiqua" w:hAnsi="Book Antiqua"/>
          <w:b/>
          <w:sz w:val="20"/>
          <w:szCs w:val="20"/>
        </w:rPr>
      </w:pPr>
      <w:r w:rsidRPr="001A1E09">
        <w:rPr>
          <w:rFonts w:ascii="Book Antiqua" w:hAnsi="Book Antiqua"/>
          <w:b/>
          <w:sz w:val="20"/>
          <w:szCs w:val="20"/>
        </w:rPr>
        <w:lastRenderedPageBreak/>
        <w:t>Figure Legends</w:t>
      </w:r>
    </w:p>
    <w:p w14:paraId="76665581" w14:textId="316ED160" w:rsidR="008D4CAF" w:rsidRPr="001A1E09" w:rsidRDefault="008D4CAF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A1E09">
        <w:rPr>
          <w:rFonts w:ascii="Book Antiqua" w:hAnsi="Book Antiqua" w:cs="Arial"/>
          <w:b/>
          <w:noProof/>
          <w:sz w:val="20"/>
          <w:szCs w:val="20"/>
          <w:lang w:eastAsia="en-US"/>
        </w:rPr>
        <w:drawing>
          <wp:inline distT="0" distB="0" distL="0" distR="0" wp14:anchorId="03630E5F" wp14:editId="111EEC6C">
            <wp:extent cx="5278120" cy="30035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57197" w14:textId="58BFCB1B" w:rsidR="00970910" w:rsidRPr="001A1E09" w:rsidRDefault="00970910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t xml:space="preserve">Figure 1 Kaplan-Meier survival curves and risk tables for overall survival and recurrence-free survival in the derivation cohort. </w:t>
      </w:r>
      <w:r w:rsidR="00250356" w:rsidRPr="001A1E09">
        <w:rPr>
          <w:rFonts w:ascii="Book Antiqua" w:hAnsi="Book Antiqua" w:cs="Arial"/>
          <w:sz w:val="20"/>
          <w:szCs w:val="20"/>
        </w:rPr>
        <w:t>A:</w:t>
      </w:r>
      <w:r w:rsidR="00250356" w:rsidRPr="001A1E09">
        <w:rPr>
          <w:rFonts w:ascii="Book Antiqua" w:hAnsi="Book Antiqua" w:cs="Arial"/>
          <w:b/>
          <w:sz w:val="20"/>
          <w:szCs w:val="20"/>
        </w:rPr>
        <w:t xml:space="preserve"> </w:t>
      </w:r>
      <w:r w:rsidR="00FD4E31" w:rsidRPr="001A1E09">
        <w:rPr>
          <w:rFonts w:ascii="Book Antiqua" w:hAnsi="Book Antiqua" w:cs="Arial"/>
          <w:sz w:val="20"/>
          <w:szCs w:val="20"/>
        </w:rPr>
        <w:t>Gamma-</w:t>
      </w:r>
      <w:proofErr w:type="spellStart"/>
      <w:r w:rsidR="00FD4E31" w:rsidRPr="001A1E09">
        <w:rPr>
          <w:rFonts w:ascii="Book Antiqua" w:hAnsi="Book Antiqua" w:cs="Arial"/>
          <w:sz w:val="20"/>
          <w:szCs w:val="20"/>
        </w:rPr>
        <w:t>glutamyltransferase</w:t>
      </w:r>
      <w:proofErr w:type="spellEnd"/>
      <w:r w:rsidR="00FD4E31" w:rsidRPr="001A1E09">
        <w:rPr>
          <w:rFonts w:ascii="Book Antiqua" w:hAnsi="Book Antiqua" w:cs="Arial"/>
          <w:sz w:val="20"/>
          <w:szCs w:val="20"/>
        </w:rPr>
        <w:t xml:space="preserve"> to lymphocyte ratio</w:t>
      </w:r>
      <w:r w:rsidR="00250356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&gt;</w:t>
      </w:r>
      <w:r w:rsidR="00250356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 xml:space="preserve">33.7 was correlated with shorter </w:t>
      </w:r>
      <w:r w:rsidR="00250356" w:rsidRPr="001A1E09">
        <w:rPr>
          <w:rFonts w:ascii="Book Antiqua" w:hAnsi="Book Antiqua" w:cs="Arial"/>
          <w:sz w:val="20"/>
          <w:szCs w:val="20"/>
        </w:rPr>
        <w:t>overall survival; B: Recurrence-free survival</w:t>
      </w:r>
      <w:r w:rsidRPr="001A1E09">
        <w:rPr>
          <w:rFonts w:ascii="Book Antiqua" w:hAnsi="Book Antiqua" w:cs="Arial"/>
          <w:sz w:val="20"/>
          <w:szCs w:val="20"/>
        </w:rPr>
        <w:t xml:space="preserve"> in </w:t>
      </w:r>
      <w:r w:rsidR="00250356" w:rsidRPr="001A1E09">
        <w:rPr>
          <w:rFonts w:ascii="Book Antiqua" w:hAnsi="Book Antiqua" w:cs="Arial"/>
          <w:sz w:val="20"/>
          <w:szCs w:val="20"/>
        </w:rPr>
        <w:t>intrahepatic cholangiocarcinoma</w:t>
      </w:r>
      <w:r w:rsidRPr="001A1E09">
        <w:rPr>
          <w:rFonts w:ascii="Book Antiqua" w:hAnsi="Book Antiqua" w:cs="Arial"/>
          <w:sz w:val="20"/>
          <w:szCs w:val="20"/>
        </w:rPr>
        <w:t xml:space="preserve"> patients following curative resection. OS: </w:t>
      </w:r>
      <w:r w:rsidR="00250356" w:rsidRPr="001A1E09">
        <w:rPr>
          <w:rFonts w:ascii="Book Antiqua" w:hAnsi="Book Antiqua" w:cs="Arial"/>
          <w:sz w:val="20"/>
          <w:szCs w:val="20"/>
        </w:rPr>
        <w:t xml:space="preserve">Overall </w:t>
      </w:r>
      <w:r w:rsidRPr="001A1E09">
        <w:rPr>
          <w:rFonts w:ascii="Book Antiqua" w:hAnsi="Book Antiqua" w:cs="Arial"/>
          <w:sz w:val="20"/>
          <w:szCs w:val="20"/>
        </w:rPr>
        <w:t xml:space="preserve">survival; RFS: </w:t>
      </w:r>
      <w:r w:rsidR="00250356" w:rsidRPr="001A1E09">
        <w:rPr>
          <w:rFonts w:ascii="Book Antiqua" w:hAnsi="Book Antiqua" w:cs="Arial"/>
          <w:sz w:val="20"/>
          <w:szCs w:val="20"/>
        </w:rPr>
        <w:t>Recurrence</w:t>
      </w:r>
      <w:r w:rsidRPr="001A1E09">
        <w:rPr>
          <w:rFonts w:ascii="Book Antiqua" w:hAnsi="Book Antiqua" w:cs="Arial"/>
          <w:sz w:val="20"/>
          <w:szCs w:val="20"/>
        </w:rPr>
        <w:t xml:space="preserve">-free survival; GLR: </w:t>
      </w:r>
      <w:r w:rsidR="00250356" w:rsidRPr="001A1E09">
        <w:rPr>
          <w:rFonts w:ascii="Book Antiqua" w:hAnsi="Book Antiqua" w:cs="Arial"/>
          <w:sz w:val="20"/>
          <w:szCs w:val="20"/>
        </w:rPr>
        <w:t>Gamma</w:t>
      </w:r>
      <w:r w:rsidRPr="001A1E09">
        <w:rPr>
          <w:rFonts w:ascii="Book Antiqua" w:hAnsi="Book Antiqua" w:cs="Arial"/>
          <w:sz w:val="20"/>
          <w:szCs w:val="20"/>
        </w:rPr>
        <w:t>-</w:t>
      </w:r>
      <w:proofErr w:type="spellStart"/>
      <w:r w:rsidRPr="001A1E09">
        <w:rPr>
          <w:rFonts w:ascii="Book Antiqua" w:hAnsi="Book Antiqua" w:cs="Arial"/>
          <w:sz w:val="20"/>
          <w:szCs w:val="20"/>
        </w:rPr>
        <w:t>glutamyltransferase</w:t>
      </w:r>
      <w:proofErr w:type="spellEnd"/>
      <w:r w:rsidRPr="001A1E09">
        <w:rPr>
          <w:rFonts w:ascii="Book Antiqua" w:hAnsi="Book Antiqua" w:cs="Arial"/>
          <w:sz w:val="20"/>
          <w:szCs w:val="20"/>
        </w:rPr>
        <w:t xml:space="preserve"> to lymphocyte ratio; ICC: </w:t>
      </w:r>
      <w:r w:rsidR="00250356" w:rsidRPr="001A1E09">
        <w:rPr>
          <w:rFonts w:ascii="Book Antiqua" w:hAnsi="Book Antiqua" w:cs="Arial"/>
          <w:sz w:val="20"/>
          <w:szCs w:val="20"/>
        </w:rPr>
        <w:t xml:space="preserve">Intrahepatic </w:t>
      </w:r>
      <w:r w:rsidRPr="001A1E09">
        <w:rPr>
          <w:rFonts w:ascii="Book Antiqua" w:hAnsi="Book Antiqua" w:cs="Arial"/>
          <w:sz w:val="20"/>
          <w:szCs w:val="20"/>
        </w:rPr>
        <w:t>cholangiocarcinoma.</w:t>
      </w:r>
    </w:p>
    <w:p w14:paraId="33E1E13F" w14:textId="77777777" w:rsidR="00250356" w:rsidRPr="001A1E09" w:rsidRDefault="00250356" w:rsidP="001A1E09">
      <w:pPr>
        <w:widowControl/>
        <w:snapToGrid w:val="0"/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br w:type="page"/>
      </w:r>
    </w:p>
    <w:p w14:paraId="6A609292" w14:textId="6018857C" w:rsidR="008D4CAF" w:rsidRPr="001A1E09" w:rsidRDefault="008D4CAF" w:rsidP="001A1E0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A1E09">
        <w:rPr>
          <w:rFonts w:ascii="Book Antiqua" w:hAnsi="Book Antiqua" w:cs="Arial"/>
          <w:b/>
          <w:noProof/>
          <w:sz w:val="20"/>
          <w:szCs w:val="20"/>
          <w:lang w:eastAsia="en-US"/>
        </w:rPr>
        <w:lastRenderedPageBreak/>
        <w:drawing>
          <wp:inline distT="0" distB="0" distL="0" distR="0" wp14:anchorId="27C5C44F" wp14:editId="29A2CF00">
            <wp:extent cx="5278120" cy="24695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36C1F" w14:textId="5E83ED72" w:rsidR="00970910" w:rsidRPr="001A1E09" w:rsidRDefault="00970910" w:rsidP="001A1E09">
      <w:pPr>
        <w:adjustRightInd w:val="0"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t>Figure 2 Kaplan-Meier survival curves and risk tables for overall survival and recurrence-free survival</w:t>
      </w:r>
      <w:r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b/>
          <w:sz w:val="20"/>
          <w:szCs w:val="20"/>
        </w:rPr>
        <w:t xml:space="preserve">in the validation cohort. </w:t>
      </w:r>
      <w:r w:rsidR="00250356" w:rsidRPr="005006AD">
        <w:rPr>
          <w:rFonts w:ascii="Book Antiqua" w:hAnsi="Book Antiqua" w:cs="Arial"/>
          <w:bCs/>
          <w:sz w:val="20"/>
          <w:szCs w:val="20"/>
        </w:rPr>
        <w:t>A:</w:t>
      </w:r>
      <w:r w:rsidR="00250356" w:rsidRPr="001A1E09">
        <w:rPr>
          <w:rFonts w:ascii="Book Antiqua" w:hAnsi="Book Antiqua" w:cs="Arial"/>
          <w:b/>
          <w:sz w:val="20"/>
          <w:szCs w:val="20"/>
        </w:rPr>
        <w:t xml:space="preserve"> </w:t>
      </w:r>
      <w:r w:rsidR="00FD4E31" w:rsidRPr="001A1E09">
        <w:rPr>
          <w:rFonts w:ascii="Book Antiqua" w:hAnsi="Book Antiqua" w:cs="Arial"/>
          <w:sz w:val="20"/>
          <w:szCs w:val="20"/>
        </w:rPr>
        <w:t>Gamma-</w:t>
      </w:r>
      <w:proofErr w:type="spellStart"/>
      <w:r w:rsidR="00FD4E31" w:rsidRPr="001A1E09">
        <w:rPr>
          <w:rFonts w:ascii="Book Antiqua" w:hAnsi="Book Antiqua" w:cs="Arial"/>
          <w:sz w:val="20"/>
          <w:szCs w:val="20"/>
        </w:rPr>
        <w:t>glutamyltransferase</w:t>
      </w:r>
      <w:proofErr w:type="spellEnd"/>
      <w:r w:rsidR="00FD4E31" w:rsidRPr="001A1E09">
        <w:rPr>
          <w:rFonts w:ascii="Book Antiqua" w:hAnsi="Book Antiqua" w:cs="Arial"/>
          <w:sz w:val="20"/>
          <w:szCs w:val="20"/>
        </w:rPr>
        <w:t xml:space="preserve"> to lymphocyte ratio</w:t>
      </w:r>
      <w:r w:rsidR="00250356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>&gt;</w:t>
      </w:r>
      <w:r w:rsidR="00250356" w:rsidRPr="001A1E09">
        <w:rPr>
          <w:rFonts w:ascii="Book Antiqua" w:hAnsi="Book Antiqua" w:cs="Arial"/>
          <w:sz w:val="20"/>
          <w:szCs w:val="20"/>
        </w:rPr>
        <w:t xml:space="preserve"> </w:t>
      </w:r>
      <w:r w:rsidRPr="001A1E09">
        <w:rPr>
          <w:rFonts w:ascii="Book Antiqua" w:hAnsi="Book Antiqua" w:cs="Arial"/>
          <w:sz w:val="20"/>
          <w:szCs w:val="20"/>
        </w:rPr>
        <w:t xml:space="preserve">33.7 </w:t>
      </w:r>
      <w:r w:rsidR="00250356" w:rsidRPr="001A1E09">
        <w:rPr>
          <w:rFonts w:ascii="Book Antiqua" w:hAnsi="Book Antiqua" w:cs="Arial"/>
          <w:sz w:val="20"/>
          <w:szCs w:val="20"/>
        </w:rPr>
        <w:t xml:space="preserve">was correlated with shorter overall survival; B: Recurrence-free survival </w:t>
      </w:r>
      <w:r w:rsidRPr="001A1E09">
        <w:rPr>
          <w:rFonts w:ascii="Book Antiqua" w:hAnsi="Book Antiqua" w:cs="Arial"/>
          <w:sz w:val="20"/>
          <w:szCs w:val="20"/>
        </w:rPr>
        <w:t xml:space="preserve">in </w:t>
      </w:r>
      <w:r w:rsidR="00250356" w:rsidRPr="001A1E09">
        <w:rPr>
          <w:rFonts w:ascii="Book Antiqua" w:hAnsi="Book Antiqua" w:cs="Arial"/>
          <w:sz w:val="20"/>
          <w:szCs w:val="20"/>
        </w:rPr>
        <w:t>intrahepatic cholangiocarcinoma</w:t>
      </w:r>
      <w:r w:rsidRPr="001A1E09">
        <w:rPr>
          <w:rFonts w:ascii="Book Antiqua" w:hAnsi="Book Antiqua" w:cs="Arial"/>
          <w:sz w:val="20"/>
          <w:szCs w:val="20"/>
        </w:rPr>
        <w:t xml:space="preserve"> patients undergoing curative resection. OS: </w:t>
      </w:r>
      <w:r w:rsidR="00250356" w:rsidRPr="001A1E09">
        <w:rPr>
          <w:rFonts w:ascii="Book Antiqua" w:hAnsi="Book Antiqua" w:cs="Arial"/>
          <w:sz w:val="20"/>
          <w:szCs w:val="20"/>
        </w:rPr>
        <w:t xml:space="preserve">Overall </w:t>
      </w:r>
      <w:r w:rsidRPr="001A1E09">
        <w:rPr>
          <w:rFonts w:ascii="Book Antiqua" w:hAnsi="Book Antiqua" w:cs="Arial"/>
          <w:sz w:val="20"/>
          <w:szCs w:val="20"/>
        </w:rPr>
        <w:t xml:space="preserve">survival; RFS: </w:t>
      </w:r>
      <w:r w:rsidR="00250356" w:rsidRPr="001A1E09">
        <w:rPr>
          <w:rFonts w:ascii="Book Antiqua" w:hAnsi="Book Antiqua" w:cs="Arial"/>
          <w:sz w:val="20"/>
          <w:szCs w:val="20"/>
        </w:rPr>
        <w:t>Recurrence</w:t>
      </w:r>
      <w:r w:rsidRPr="001A1E09">
        <w:rPr>
          <w:rFonts w:ascii="Book Antiqua" w:hAnsi="Book Antiqua" w:cs="Arial"/>
          <w:sz w:val="20"/>
          <w:szCs w:val="20"/>
        </w:rPr>
        <w:t xml:space="preserve">-free survival; GLR: </w:t>
      </w:r>
      <w:r w:rsidR="00250356" w:rsidRPr="001A1E09">
        <w:rPr>
          <w:rFonts w:ascii="Book Antiqua" w:hAnsi="Book Antiqua" w:cs="Arial"/>
          <w:sz w:val="20"/>
          <w:szCs w:val="20"/>
        </w:rPr>
        <w:t>Gamma</w:t>
      </w:r>
      <w:r w:rsidRPr="001A1E09">
        <w:rPr>
          <w:rFonts w:ascii="Book Antiqua" w:hAnsi="Book Antiqua" w:cs="Arial"/>
          <w:sz w:val="20"/>
          <w:szCs w:val="20"/>
        </w:rPr>
        <w:t>-</w:t>
      </w:r>
      <w:proofErr w:type="spellStart"/>
      <w:r w:rsidRPr="001A1E09">
        <w:rPr>
          <w:rFonts w:ascii="Book Antiqua" w:hAnsi="Book Antiqua" w:cs="Arial"/>
          <w:sz w:val="20"/>
          <w:szCs w:val="20"/>
        </w:rPr>
        <w:t>glutamyltransferase</w:t>
      </w:r>
      <w:proofErr w:type="spellEnd"/>
      <w:r w:rsidRPr="001A1E09">
        <w:rPr>
          <w:rFonts w:ascii="Book Antiqua" w:hAnsi="Book Antiqua" w:cs="Arial"/>
          <w:sz w:val="20"/>
          <w:szCs w:val="20"/>
        </w:rPr>
        <w:t xml:space="preserve"> to lymphocyte ratio; ICC: </w:t>
      </w:r>
      <w:r w:rsidR="00250356" w:rsidRPr="001A1E09">
        <w:rPr>
          <w:rFonts w:ascii="Book Antiqua" w:hAnsi="Book Antiqua" w:cs="Arial"/>
          <w:sz w:val="20"/>
          <w:szCs w:val="20"/>
        </w:rPr>
        <w:t xml:space="preserve">Intrahepatic </w:t>
      </w:r>
      <w:r w:rsidRPr="001A1E09">
        <w:rPr>
          <w:rFonts w:ascii="Book Antiqua" w:hAnsi="Book Antiqua" w:cs="Arial"/>
          <w:sz w:val="20"/>
          <w:szCs w:val="20"/>
        </w:rPr>
        <w:t>cholangiocarcinoma.</w:t>
      </w:r>
    </w:p>
    <w:p w14:paraId="43483219" w14:textId="77777777" w:rsidR="00250356" w:rsidRPr="001A1E09" w:rsidRDefault="00250356" w:rsidP="001A1E09">
      <w:pPr>
        <w:widowControl/>
        <w:snapToGrid w:val="0"/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A1E09">
        <w:rPr>
          <w:rFonts w:ascii="Book Antiqua" w:hAnsi="Book Antiqua" w:cs="Arial"/>
          <w:b/>
          <w:sz w:val="20"/>
          <w:szCs w:val="20"/>
        </w:rPr>
        <w:br w:type="page"/>
      </w:r>
    </w:p>
    <w:p w14:paraId="7B3FA4C2" w14:textId="5D130658" w:rsidR="00DC617A" w:rsidRPr="001A1E09" w:rsidRDefault="00CA15D3" w:rsidP="001A1E09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0"/>
          <w:szCs w:val="20"/>
        </w:rPr>
      </w:pPr>
      <w:r w:rsidRPr="001A1E09">
        <w:rPr>
          <w:rFonts w:ascii="Book Antiqua" w:hAnsi="Book Antiqua" w:cs="Times New Roman"/>
          <w:b/>
          <w:sz w:val="20"/>
          <w:szCs w:val="20"/>
        </w:rPr>
        <w:lastRenderedPageBreak/>
        <w:t>Table 1</w:t>
      </w:r>
      <w:r w:rsidR="00DC617A" w:rsidRPr="001A1E09">
        <w:rPr>
          <w:rFonts w:ascii="Book Antiqua" w:hAnsi="Book Antiqua" w:cs="Times New Roman"/>
          <w:b/>
          <w:sz w:val="20"/>
          <w:szCs w:val="20"/>
        </w:rPr>
        <w:t xml:space="preserve"> Correlation between </w:t>
      </w:r>
      <w:r w:rsidR="00250356" w:rsidRPr="001A1E09">
        <w:rPr>
          <w:rFonts w:ascii="Book Antiqua" w:hAnsi="Book Antiqua" w:cs="Arial"/>
          <w:b/>
          <w:sz w:val="20"/>
          <w:szCs w:val="20"/>
        </w:rPr>
        <w:t>gamma-glutamyltransferase to lymphocyte ratio</w:t>
      </w:r>
      <w:r w:rsidR="00DC617A" w:rsidRPr="001A1E09">
        <w:rPr>
          <w:rFonts w:ascii="Book Antiqua" w:hAnsi="Book Antiqua" w:cs="Times New Roman"/>
          <w:b/>
          <w:sz w:val="20"/>
          <w:szCs w:val="20"/>
        </w:rPr>
        <w:t xml:space="preserve"> and clinicopath</w:t>
      </w:r>
      <w:r w:rsidRPr="001A1E09">
        <w:rPr>
          <w:rFonts w:ascii="Book Antiqua" w:hAnsi="Book Antiqua" w:cs="Times New Roman"/>
          <w:b/>
          <w:sz w:val="20"/>
          <w:szCs w:val="20"/>
        </w:rPr>
        <w:t xml:space="preserve">ological characteristics in </w:t>
      </w:r>
      <w:r w:rsidR="00250356" w:rsidRPr="001A1E09">
        <w:rPr>
          <w:rFonts w:ascii="Book Antiqua" w:hAnsi="Book Antiqua" w:cs="Arial"/>
          <w:b/>
          <w:sz w:val="20"/>
          <w:szCs w:val="20"/>
        </w:rPr>
        <w:t>intrahepatic cholangiocarcinoma</w:t>
      </w:r>
    </w:p>
    <w:tbl>
      <w:tblPr>
        <w:tblStyle w:val="a9"/>
        <w:tblW w:w="1048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1084"/>
        <w:gridCol w:w="1467"/>
        <w:gridCol w:w="1418"/>
        <w:gridCol w:w="1134"/>
      </w:tblGrid>
      <w:tr w:rsidR="003E1E48" w:rsidRPr="001A1E09" w14:paraId="2C258921" w14:textId="77777777" w:rsidTr="005F1ED4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0A84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63902A" w14:textId="77777777" w:rsidR="00DC617A" w:rsidRPr="001A1E09" w:rsidRDefault="00DC617A" w:rsidP="005006A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Derivation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E9131" w14:textId="6F4598F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i/>
                <w:sz w:val="20"/>
                <w:szCs w:val="20"/>
              </w:rPr>
              <w:t>P</w:t>
            </w:r>
            <w:r w:rsidR="00250356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value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350142" w14:textId="77777777" w:rsidR="00DC617A" w:rsidRPr="001A1E09" w:rsidRDefault="00DC617A" w:rsidP="005006A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Validation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E0F81" w14:textId="0E11E3F0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i/>
                <w:sz w:val="20"/>
                <w:szCs w:val="20"/>
              </w:rPr>
              <w:t>P</w:t>
            </w:r>
            <w:r w:rsidR="00250356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value</w:t>
            </w:r>
          </w:p>
        </w:tc>
      </w:tr>
      <w:tr w:rsidR="003E1E48" w:rsidRPr="001A1E09" w14:paraId="3EB2E8F1" w14:textId="77777777" w:rsidTr="005F1ED4">
        <w:trPr>
          <w:jc w:val="center"/>
        </w:trPr>
        <w:tc>
          <w:tcPr>
            <w:tcW w:w="2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0A727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D6BB11" w14:textId="05947E71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GLR</w:t>
            </w:r>
            <w:r w:rsidR="00250356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≤</w:t>
            </w:r>
            <w:r w:rsidR="00250356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33.7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D3419C" w14:textId="5E5A428D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GLR</w:t>
            </w:r>
            <w:r w:rsidR="00250356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&gt;</w:t>
            </w:r>
            <w:r w:rsidR="00250356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33.7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88CD9F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38451F55" w14:textId="7A07388A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GLR</w:t>
            </w:r>
            <w:r w:rsidR="00250356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≤</w:t>
            </w:r>
            <w:r w:rsidR="00250356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33.7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CFE029" w14:textId="5F0AE6FF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GLR</w:t>
            </w:r>
            <w:r w:rsidR="00250356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&gt;</w:t>
            </w:r>
            <w:r w:rsidR="00250356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33.7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D76E6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3C79287B" w14:textId="77777777" w:rsidTr="005F1ED4">
        <w:trPr>
          <w:jc w:val="center"/>
        </w:trPr>
        <w:tc>
          <w:tcPr>
            <w:tcW w:w="2547" w:type="dxa"/>
            <w:tcBorders>
              <w:top w:val="single" w:sz="4" w:space="0" w:color="auto"/>
            </w:tcBorders>
          </w:tcPr>
          <w:p w14:paraId="709F2DA1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Total patients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5A66FA7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D161E6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157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14:paraId="5498385E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14:paraId="6EB752C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9EF73F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2406BE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0613888F" w14:textId="77777777" w:rsidTr="005F1ED4">
        <w:trPr>
          <w:jc w:val="center"/>
        </w:trPr>
        <w:tc>
          <w:tcPr>
            <w:tcW w:w="2547" w:type="dxa"/>
          </w:tcPr>
          <w:p w14:paraId="0F12D82B" w14:textId="6C8A824C" w:rsidR="00DC617A" w:rsidRPr="001A1E09" w:rsidRDefault="00250356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Age, y</w:t>
            </w:r>
            <w:r w:rsidR="00DC617A" w:rsidRPr="001A1E09">
              <w:rPr>
                <w:rFonts w:ascii="Book Antiqua" w:hAnsi="Book Antiqua" w:cs="Times New Roman"/>
                <w:sz w:val="20"/>
                <w:szCs w:val="20"/>
              </w:rPr>
              <w:t>r</w:t>
            </w:r>
          </w:p>
        </w:tc>
        <w:tc>
          <w:tcPr>
            <w:tcW w:w="1417" w:type="dxa"/>
          </w:tcPr>
          <w:p w14:paraId="60FBA92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57.96 (11.48)</w:t>
            </w:r>
          </w:p>
        </w:tc>
        <w:tc>
          <w:tcPr>
            <w:tcW w:w="1418" w:type="dxa"/>
          </w:tcPr>
          <w:p w14:paraId="319564EF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57.80 (10.35)</w:t>
            </w:r>
          </w:p>
        </w:tc>
        <w:tc>
          <w:tcPr>
            <w:tcW w:w="1084" w:type="dxa"/>
          </w:tcPr>
          <w:p w14:paraId="4B4DF2E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0.902</w:t>
            </w:r>
          </w:p>
        </w:tc>
        <w:tc>
          <w:tcPr>
            <w:tcW w:w="1467" w:type="dxa"/>
          </w:tcPr>
          <w:p w14:paraId="086C45B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56.97 (10.69)</w:t>
            </w:r>
          </w:p>
        </w:tc>
        <w:tc>
          <w:tcPr>
            <w:tcW w:w="1418" w:type="dxa"/>
          </w:tcPr>
          <w:p w14:paraId="3CBC118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56.48 (10.56)</w:t>
            </w:r>
          </w:p>
        </w:tc>
        <w:tc>
          <w:tcPr>
            <w:tcW w:w="1134" w:type="dxa"/>
          </w:tcPr>
          <w:p w14:paraId="15F8D517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0.716</w:t>
            </w:r>
          </w:p>
        </w:tc>
      </w:tr>
      <w:tr w:rsidR="003E1E48" w:rsidRPr="001A1E09" w14:paraId="157BEDCF" w14:textId="77777777" w:rsidTr="005F1ED4">
        <w:trPr>
          <w:jc w:val="center"/>
        </w:trPr>
        <w:tc>
          <w:tcPr>
            <w:tcW w:w="2547" w:type="dxa"/>
          </w:tcPr>
          <w:p w14:paraId="366A881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Male gender,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2FF32E9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42 (39.3)</w:t>
            </w:r>
          </w:p>
        </w:tc>
        <w:tc>
          <w:tcPr>
            <w:tcW w:w="1418" w:type="dxa"/>
          </w:tcPr>
          <w:p w14:paraId="1F4F7A6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85 (54.1)</w:t>
            </w:r>
          </w:p>
        </w:tc>
        <w:tc>
          <w:tcPr>
            <w:tcW w:w="1084" w:type="dxa"/>
          </w:tcPr>
          <w:p w14:paraId="47186F1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0.024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7" w:type="dxa"/>
          </w:tcPr>
          <w:p w14:paraId="0F6A370C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38 (39.2)</w:t>
            </w:r>
          </w:p>
        </w:tc>
        <w:tc>
          <w:tcPr>
            <w:tcW w:w="1418" w:type="dxa"/>
          </w:tcPr>
          <w:p w14:paraId="78CE869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89 (53.6)</w:t>
            </w:r>
          </w:p>
        </w:tc>
        <w:tc>
          <w:tcPr>
            <w:tcW w:w="1134" w:type="dxa"/>
          </w:tcPr>
          <w:p w14:paraId="260E811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0.030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73DA2A3D" w14:textId="77777777" w:rsidTr="005F1ED4">
        <w:trPr>
          <w:jc w:val="center"/>
        </w:trPr>
        <w:tc>
          <w:tcPr>
            <w:tcW w:w="2547" w:type="dxa"/>
          </w:tcPr>
          <w:p w14:paraId="4E5EE17C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HBsAg,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28FD303C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36 (33.6)</w:t>
            </w:r>
          </w:p>
        </w:tc>
        <w:tc>
          <w:tcPr>
            <w:tcW w:w="1418" w:type="dxa"/>
          </w:tcPr>
          <w:p w14:paraId="14302DA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37 (23.6)</w:t>
            </w:r>
          </w:p>
        </w:tc>
        <w:tc>
          <w:tcPr>
            <w:tcW w:w="1084" w:type="dxa"/>
          </w:tcPr>
          <w:p w14:paraId="175396C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0.073</w:t>
            </w:r>
          </w:p>
        </w:tc>
        <w:tc>
          <w:tcPr>
            <w:tcW w:w="1467" w:type="dxa"/>
          </w:tcPr>
          <w:p w14:paraId="7CCB9AC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31 (32.3)</w:t>
            </w:r>
          </w:p>
        </w:tc>
        <w:tc>
          <w:tcPr>
            <w:tcW w:w="1418" w:type="dxa"/>
          </w:tcPr>
          <w:p w14:paraId="29FE436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47 (28.5)</w:t>
            </w:r>
          </w:p>
        </w:tc>
        <w:tc>
          <w:tcPr>
            <w:tcW w:w="1134" w:type="dxa"/>
          </w:tcPr>
          <w:p w14:paraId="1A6D72CF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0.575</w:t>
            </w:r>
          </w:p>
        </w:tc>
      </w:tr>
      <w:tr w:rsidR="003E1E48" w:rsidRPr="001A1E09" w14:paraId="2ECDF165" w14:textId="77777777" w:rsidTr="005F1ED4">
        <w:trPr>
          <w:jc w:val="center"/>
        </w:trPr>
        <w:tc>
          <w:tcPr>
            <w:tcW w:w="2547" w:type="dxa"/>
          </w:tcPr>
          <w:p w14:paraId="13936B7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Hepatolithiasis,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198E46BE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14 (13.1)</w:t>
            </w:r>
          </w:p>
        </w:tc>
        <w:tc>
          <w:tcPr>
            <w:tcW w:w="1418" w:type="dxa"/>
          </w:tcPr>
          <w:p w14:paraId="023C955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27 (17.2)</w:t>
            </w:r>
          </w:p>
        </w:tc>
        <w:tc>
          <w:tcPr>
            <w:tcW w:w="1084" w:type="dxa"/>
          </w:tcPr>
          <w:p w14:paraId="69399B1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0.396</w:t>
            </w:r>
          </w:p>
        </w:tc>
        <w:tc>
          <w:tcPr>
            <w:tcW w:w="1467" w:type="dxa"/>
          </w:tcPr>
          <w:p w14:paraId="61FFD0E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15 (15.5)</w:t>
            </w:r>
          </w:p>
        </w:tc>
        <w:tc>
          <w:tcPr>
            <w:tcW w:w="1418" w:type="dxa"/>
          </w:tcPr>
          <w:p w14:paraId="2DFEB91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32 (19.3)</w:t>
            </w:r>
          </w:p>
        </w:tc>
        <w:tc>
          <w:tcPr>
            <w:tcW w:w="1134" w:type="dxa"/>
          </w:tcPr>
          <w:p w14:paraId="20105D0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0.511</w:t>
            </w:r>
          </w:p>
        </w:tc>
      </w:tr>
      <w:tr w:rsidR="003E1E48" w:rsidRPr="001A1E09" w14:paraId="182B54B0" w14:textId="77777777" w:rsidTr="005F1ED4">
        <w:trPr>
          <w:jc w:val="center"/>
        </w:trPr>
        <w:tc>
          <w:tcPr>
            <w:tcW w:w="2547" w:type="dxa"/>
          </w:tcPr>
          <w:p w14:paraId="2DB28257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Child-Pugh grade B,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343F047F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 (2.8)</w:t>
            </w:r>
          </w:p>
        </w:tc>
        <w:tc>
          <w:tcPr>
            <w:tcW w:w="1418" w:type="dxa"/>
          </w:tcPr>
          <w:p w14:paraId="709C3B2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8 (5.1)</w:t>
            </w:r>
          </w:p>
        </w:tc>
        <w:tc>
          <w:tcPr>
            <w:tcW w:w="1084" w:type="dxa"/>
          </w:tcPr>
          <w:p w14:paraId="349617C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0.533</w:t>
            </w:r>
          </w:p>
        </w:tc>
        <w:tc>
          <w:tcPr>
            <w:tcW w:w="1467" w:type="dxa"/>
          </w:tcPr>
          <w:p w14:paraId="7D1B8B4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 (2.1)</w:t>
            </w:r>
          </w:p>
        </w:tc>
        <w:tc>
          <w:tcPr>
            <w:tcW w:w="1418" w:type="dxa"/>
          </w:tcPr>
          <w:p w14:paraId="24BC10E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11 (6.6)</w:t>
            </w:r>
          </w:p>
        </w:tc>
        <w:tc>
          <w:tcPr>
            <w:tcW w:w="1134" w:type="dxa"/>
          </w:tcPr>
          <w:p w14:paraId="5DE0E7D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0.141</w:t>
            </w:r>
          </w:p>
        </w:tc>
      </w:tr>
      <w:tr w:rsidR="003E1E48" w:rsidRPr="001A1E09" w14:paraId="1C320540" w14:textId="77777777" w:rsidTr="005F1ED4">
        <w:trPr>
          <w:jc w:val="center"/>
        </w:trPr>
        <w:tc>
          <w:tcPr>
            <w:tcW w:w="2547" w:type="dxa"/>
          </w:tcPr>
          <w:p w14:paraId="515CAA2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Ascites,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6AF82ED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 (5.6)</w:t>
            </w:r>
          </w:p>
        </w:tc>
        <w:tc>
          <w:tcPr>
            <w:tcW w:w="1418" w:type="dxa"/>
          </w:tcPr>
          <w:p w14:paraId="4E2A19C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21 (13.4)</w:t>
            </w:r>
          </w:p>
        </w:tc>
        <w:tc>
          <w:tcPr>
            <w:tcW w:w="1084" w:type="dxa"/>
          </w:tcPr>
          <w:p w14:paraId="402B537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0.061</w:t>
            </w:r>
          </w:p>
        </w:tc>
        <w:tc>
          <w:tcPr>
            <w:tcW w:w="1467" w:type="dxa"/>
          </w:tcPr>
          <w:p w14:paraId="592CC45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 (4.1)</w:t>
            </w:r>
          </w:p>
        </w:tc>
        <w:tc>
          <w:tcPr>
            <w:tcW w:w="1418" w:type="dxa"/>
          </w:tcPr>
          <w:p w14:paraId="2575BAA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19 (11.4)</w:t>
            </w:r>
          </w:p>
        </w:tc>
        <w:tc>
          <w:tcPr>
            <w:tcW w:w="1134" w:type="dxa"/>
          </w:tcPr>
          <w:p w14:paraId="3085E86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0.068</w:t>
            </w:r>
          </w:p>
        </w:tc>
      </w:tr>
      <w:tr w:rsidR="003E1E48" w:rsidRPr="001A1E09" w14:paraId="4B765DF8" w14:textId="77777777" w:rsidTr="005F1ED4">
        <w:trPr>
          <w:jc w:val="center"/>
        </w:trPr>
        <w:tc>
          <w:tcPr>
            <w:tcW w:w="2547" w:type="dxa"/>
          </w:tcPr>
          <w:p w14:paraId="46001A74" w14:textId="6A88A411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CA-199</w:t>
            </w:r>
            <w:r w:rsidR="0025035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25035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22,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0D03A272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38 (36.5)</w:t>
            </w:r>
          </w:p>
        </w:tc>
        <w:tc>
          <w:tcPr>
            <w:tcW w:w="1418" w:type="dxa"/>
          </w:tcPr>
          <w:p w14:paraId="5F7B9BC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42 (27.5)</w:t>
            </w:r>
          </w:p>
        </w:tc>
        <w:tc>
          <w:tcPr>
            <w:tcW w:w="1084" w:type="dxa"/>
          </w:tcPr>
          <w:p w14:paraId="2413C2C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0.005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7" w:type="dxa"/>
          </w:tcPr>
          <w:p w14:paraId="25247A47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29 (31.2)</w:t>
            </w:r>
          </w:p>
        </w:tc>
        <w:tc>
          <w:tcPr>
            <w:tcW w:w="1418" w:type="dxa"/>
          </w:tcPr>
          <w:p w14:paraId="0373C6C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40 (24.2)</w:t>
            </w:r>
          </w:p>
        </w:tc>
        <w:tc>
          <w:tcPr>
            <w:tcW w:w="1134" w:type="dxa"/>
          </w:tcPr>
          <w:p w14:paraId="0B9E1AC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0.043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3D0B83C3" w14:textId="77777777" w:rsidTr="005F1ED4">
        <w:trPr>
          <w:jc w:val="center"/>
        </w:trPr>
        <w:tc>
          <w:tcPr>
            <w:tcW w:w="2547" w:type="dxa"/>
          </w:tcPr>
          <w:p w14:paraId="16FFE1D7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Tumor size, cm</w:t>
            </w:r>
          </w:p>
        </w:tc>
        <w:tc>
          <w:tcPr>
            <w:tcW w:w="1417" w:type="dxa"/>
          </w:tcPr>
          <w:p w14:paraId="7187BA6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5.14 (2.29)</w:t>
            </w:r>
          </w:p>
        </w:tc>
        <w:tc>
          <w:tcPr>
            <w:tcW w:w="1418" w:type="dxa"/>
          </w:tcPr>
          <w:p w14:paraId="7F074F0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6.51 (2.78)</w:t>
            </w:r>
          </w:p>
        </w:tc>
        <w:tc>
          <w:tcPr>
            <w:tcW w:w="1084" w:type="dxa"/>
          </w:tcPr>
          <w:p w14:paraId="566F5CD7" w14:textId="170B058E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25035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7" w:type="dxa"/>
          </w:tcPr>
          <w:p w14:paraId="09497ED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5.40 (2.22)</w:t>
            </w:r>
          </w:p>
        </w:tc>
        <w:tc>
          <w:tcPr>
            <w:tcW w:w="1418" w:type="dxa"/>
          </w:tcPr>
          <w:p w14:paraId="6393FD0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6.36 (2.97)</w:t>
            </w:r>
          </w:p>
        </w:tc>
        <w:tc>
          <w:tcPr>
            <w:tcW w:w="1134" w:type="dxa"/>
          </w:tcPr>
          <w:p w14:paraId="3F5F1092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0.007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1D0732F3" w14:textId="77777777" w:rsidTr="005F1ED4">
        <w:trPr>
          <w:jc w:val="center"/>
        </w:trPr>
        <w:tc>
          <w:tcPr>
            <w:tcW w:w="2547" w:type="dxa"/>
          </w:tcPr>
          <w:p w14:paraId="7DCA97B1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Solitary tumor,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602A68E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89 (83.2)</w:t>
            </w:r>
          </w:p>
        </w:tc>
        <w:tc>
          <w:tcPr>
            <w:tcW w:w="1418" w:type="dxa"/>
          </w:tcPr>
          <w:p w14:paraId="5607F6E1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102 (65.0)</w:t>
            </w:r>
          </w:p>
        </w:tc>
        <w:tc>
          <w:tcPr>
            <w:tcW w:w="1084" w:type="dxa"/>
          </w:tcPr>
          <w:p w14:paraId="0A970B1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7" w:type="dxa"/>
          </w:tcPr>
          <w:p w14:paraId="5F90C2F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67 (69.1)</w:t>
            </w:r>
          </w:p>
        </w:tc>
        <w:tc>
          <w:tcPr>
            <w:tcW w:w="1418" w:type="dxa"/>
          </w:tcPr>
          <w:p w14:paraId="4F94B9F3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113 (68.1)</w:t>
            </w:r>
          </w:p>
        </w:tc>
        <w:tc>
          <w:tcPr>
            <w:tcW w:w="1134" w:type="dxa"/>
          </w:tcPr>
          <w:p w14:paraId="17AE83E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0.895</w:t>
            </w:r>
          </w:p>
        </w:tc>
      </w:tr>
      <w:tr w:rsidR="003E1E48" w:rsidRPr="001A1E09" w14:paraId="3AA64CC9" w14:textId="77777777" w:rsidTr="005F1ED4">
        <w:trPr>
          <w:jc w:val="center"/>
        </w:trPr>
        <w:tc>
          <w:tcPr>
            <w:tcW w:w="2547" w:type="dxa"/>
          </w:tcPr>
          <w:p w14:paraId="383A5BAF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Well tumor differentiation,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31DC2663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 (5.6)</w:t>
            </w:r>
          </w:p>
        </w:tc>
        <w:tc>
          <w:tcPr>
            <w:tcW w:w="1418" w:type="dxa"/>
          </w:tcPr>
          <w:p w14:paraId="65B96753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 (2.5)</w:t>
            </w:r>
          </w:p>
        </w:tc>
        <w:tc>
          <w:tcPr>
            <w:tcW w:w="1084" w:type="dxa"/>
          </w:tcPr>
          <w:p w14:paraId="14BDC04F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0.331</w:t>
            </w:r>
          </w:p>
        </w:tc>
        <w:tc>
          <w:tcPr>
            <w:tcW w:w="1467" w:type="dxa"/>
          </w:tcPr>
          <w:p w14:paraId="4E87526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 (5.2)</w:t>
            </w:r>
          </w:p>
        </w:tc>
        <w:tc>
          <w:tcPr>
            <w:tcW w:w="1418" w:type="dxa"/>
          </w:tcPr>
          <w:p w14:paraId="3871A3C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7 (4.2)</w:t>
            </w:r>
          </w:p>
        </w:tc>
        <w:tc>
          <w:tcPr>
            <w:tcW w:w="1134" w:type="dxa"/>
          </w:tcPr>
          <w:p w14:paraId="7AA5832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0.767</w:t>
            </w:r>
          </w:p>
        </w:tc>
      </w:tr>
      <w:tr w:rsidR="003E1E48" w:rsidRPr="001A1E09" w14:paraId="6D84DD99" w14:textId="77777777" w:rsidTr="005F1ED4">
        <w:trPr>
          <w:jc w:val="center"/>
        </w:trPr>
        <w:tc>
          <w:tcPr>
            <w:tcW w:w="2547" w:type="dxa"/>
          </w:tcPr>
          <w:p w14:paraId="18DC832E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Macrovascular invasion,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5EA12C1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17 (15.9)</w:t>
            </w:r>
          </w:p>
        </w:tc>
        <w:tc>
          <w:tcPr>
            <w:tcW w:w="1418" w:type="dxa"/>
          </w:tcPr>
          <w:p w14:paraId="68263B6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45 (28.7)</w:t>
            </w:r>
          </w:p>
        </w:tc>
        <w:tc>
          <w:tcPr>
            <w:tcW w:w="1084" w:type="dxa"/>
          </w:tcPr>
          <w:p w14:paraId="1DC2140C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0.011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7" w:type="dxa"/>
          </w:tcPr>
          <w:p w14:paraId="3987CF3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8 (8.2)</w:t>
            </w:r>
          </w:p>
        </w:tc>
        <w:tc>
          <w:tcPr>
            <w:tcW w:w="1418" w:type="dxa"/>
          </w:tcPr>
          <w:p w14:paraId="2A25A6C2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53 (31.9)</w:t>
            </w:r>
          </w:p>
        </w:tc>
        <w:tc>
          <w:tcPr>
            <w:tcW w:w="1134" w:type="dxa"/>
          </w:tcPr>
          <w:p w14:paraId="017B2D48" w14:textId="4E365C6E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006A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70E2FD89" w14:textId="77777777" w:rsidTr="005F1ED4">
        <w:trPr>
          <w:jc w:val="center"/>
        </w:trPr>
        <w:tc>
          <w:tcPr>
            <w:tcW w:w="2547" w:type="dxa"/>
          </w:tcPr>
          <w:p w14:paraId="1D362A8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Microvascular invasion,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42092F8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 (5.6)</w:t>
            </w:r>
          </w:p>
        </w:tc>
        <w:tc>
          <w:tcPr>
            <w:tcW w:w="1418" w:type="dxa"/>
          </w:tcPr>
          <w:p w14:paraId="7570AB93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23 (14.6)</w:t>
            </w:r>
          </w:p>
        </w:tc>
        <w:tc>
          <w:tcPr>
            <w:tcW w:w="1084" w:type="dxa"/>
          </w:tcPr>
          <w:p w14:paraId="7E731152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0.026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7" w:type="dxa"/>
          </w:tcPr>
          <w:p w14:paraId="1F6C7EC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7 (7.2)</w:t>
            </w:r>
          </w:p>
        </w:tc>
        <w:tc>
          <w:tcPr>
            <w:tcW w:w="1418" w:type="dxa"/>
          </w:tcPr>
          <w:p w14:paraId="2048B293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17 (10.2)</w:t>
            </w:r>
          </w:p>
        </w:tc>
        <w:tc>
          <w:tcPr>
            <w:tcW w:w="1134" w:type="dxa"/>
          </w:tcPr>
          <w:p w14:paraId="1FF764CE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0.514</w:t>
            </w:r>
          </w:p>
        </w:tc>
      </w:tr>
      <w:tr w:rsidR="003E1E48" w:rsidRPr="001A1E09" w14:paraId="2EA110CE" w14:textId="77777777" w:rsidTr="005F1ED4">
        <w:trPr>
          <w:jc w:val="center"/>
        </w:trPr>
        <w:tc>
          <w:tcPr>
            <w:tcW w:w="2547" w:type="dxa"/>
          </w:tcPr>
          <w:p w14:paraId="4F2574A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Liver capsule invasion,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6AF8ABC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67 (62.6)</w:t>
            </w:r>
          </w:p>
        </w:tc>
        <w:tc>
          <w:tcPr>
            <w:tcW w:w="1418" w:type="dxa"/>
          </w:tcPr>
          <w:p w14:paraId="60E35A0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107 (68.2)</w:t>
            </w:r>
          </w:p>
        </w:tc>
        <w:tc>
          <w:tcPr>
            <w:tcW w:w="1084" w:type="dxa"/>
          </w:tcPr>
          <w:p w14:paraId="0D01528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0.362</w:t>
            </w:r>
          </w:p>
        </w:tc>
        <w:tc>
          <w:tcPr>
            <w:tcW w:w="1467" w:type="dxa"/>
          </w:tcPr>
          <w:p w14:paraId="06C8B1CF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64 (66.0)</w:t>
            </w:r>
          </w:p>
        </w:tc>
        <w:tc>
          <w:tcPr>
            <w:tcW w:w="1418" w:type="dxa"/>
          </w:tcPr>
          <w:p w14:paraId="5C5A09B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97 (58.4)</w:t>
            </w:r>
          </w:p>
        </w:tc>
        <w:tc>
          <w:tcPr>
            <w:tcW w:w="1134" w:type="dxa"/>
          </w:tcPr>
          <w:p w14:paraId="0533C88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0.248</w:t>
            </w:r>
          </w:p>
        </w:tc>
      </w:tr>
      <w:tr w:rsidR="003E1E48" w:rsidRPr="001A1E09" w14:paraId="47E5DF08" w14:textId="77777777" w:rsidTr="005F1ED4">
        <w:trPr>
          <w:jc w:val="center"/>
        </w:trPr>
        <w:tc>
          <w:tcPr>
            <w:tcW w:w="2547" w:type="dxa"/>
          </w:tcPr>
          <w:p w14:paraId="740E6AED" w14:textId="0639051C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Node</w:t>
            </w:r>
            <w:r w:rsidR="00527988"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positive,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6828F9DC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16 (15.0)</w:t>
            </w:r>
          </w:p>
        </w:tc>
        <w:tc>
          <w:tcPr>
            <w:tcW w:w="1418" w:type="dxa"/>
          </w:tcPr>
          <w:p w14:paraId="07065F31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48 (30.6)</w:t>
            </w:r>
          </w:p>
        </w:tc>
        <w:tc>
          <w:tcPr>
            <w:tcW w:w="1084" w:type="dxa"/>
          </w:tcPr>
          <w:p w14:paraId="1A7E8E5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0.005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7" w:type="dxa"/>
          </w:tcPr>
          <w:p w14:paraId="0427EB57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18 (18.6)</w:t>
            </w:r>
          </w:p>
        </w:tc>
        <w:tc>
          <w:tcPr>
            <w:tcW w:w="1418" w:type="dxa"/>
          </w:tcPr>
          <w:p w14:paraId="0A7C178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47 (28.3)</w:t>
            </w:r>
          </w:p>
        </w:tc>
        <w:tc>
          <w:tcPr>
            <w:tcW w:w="1134" w:type="dxa"/>
          </w:tcPr>
          <w:p w14:paraId="559ECB3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0.107</w:t>
            </w:r>
          </w:p>
        </w:tc>
      </w:tr>
      <w:tr w:rsidR="003E1E48" w:rsidRPr="001A1E09" w14:paraId="506E8913" w14:textId="77777777" w:rsidTr="005F1ED4">
        <w:trPr>
          <w:jc w:val="center"/>
        </w:trPr>
        <w:tc>
          <w:tcPr>
            <w:tcW w:w="2547" w:type="dxa"/>
          </w:tcPr>
          <w:p w14:paraId="58AA13A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Perineural invasion,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0FC05D5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9 (8.4)</w:t>
            </w:r>
          </w:p>
        </w:tc>
        <w:tc>
          <w:tcPr>
            <w:tcW w:w="1418" w:type="dxa"/>
          </w:tcPr>
          <w:p w14:paraId="61C96F27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27 (17.2)</w:t>
            </w:r>
          </w:p>
        </w:tc>
        <w:tc>
          <w:tcPr>
            <w:tcW w:w="1084" w:type="dxa"/>
          </w:tcPr>
          <w:p w14:paraId="07BA0CE1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0.044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7" w:type="dxa"/>
          </w:tcPr>
          <w:p w14:paraId="078CC1D3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8 (8.2)</w:t>
            </w:r>
          </w:p>
        </w:tc>
        <w:tc>
          <w:tcPr>
            <w:tcW w:w="1418" w:type="dxa"/>
          </w:tcPr>
          <w:p w14:paraId="3DF463F7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35 (21.1)</w:t>
            </w:r>
          </w:p>
        </w:tc>
        <w:tc>
          <w:tcPr>
            <w:tcW w:w="1134" w:type="dxa"/>
          </w:tcPr>
          <w:p w14:paraId="63ABC9EE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0.009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41E5CF77" w14:textId="77777777" w:rsidTr="005F1ED4">
        <w:trPr>
          <w:jc w:val="center"/>
        </w:trPr>
        <w:tc>
          <w:tcPr>
            <w:tcW w:w="2547" w:type="dxa"/>
          </w:tcPr>
          <w:p w14:paraId="3B8D810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Cirrhosis,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3E9BF5A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27 (25.2)</w:t>
            </w:r>
          </w:p>
        </w:tc>
        <w:tc>
          <w:tcPr>
            <w:tcW w:w="1418" w:type="dxa"/>
          </w:tcPr>
          <w:p w14:paraId="002C218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53 (33.8)</w:t>
            </w:r>
          </w:p>
        </w:tc>
        <w:tc>
          <w:tcPr>
            <w:tcW w:w="1084" w:type="dxa"/>
          </w:tcPr>
          <w:p w14:paraId="380DDB7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0.174</w:t>
            </w:r>
          </w:p>
        </w:tc>
        <w:tc>
          <w:tcPr>
            <w:tcW w:w="1467" w:type="dxa"/>
          </w:tcPr>
          <w:p w14:paraId="06A8D493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19 (19.6)</w:t>
            </w:r>
          </w:p>
        </w:tc>
        <w:tc>
          <w:tcPr>
            <w:tcW w:w="1418" w:type="dxa"/>
          </w:tcPr>
          <w:p w14:paraId="15EFCEB1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46 (27.7)</w:t>
            </w:r>
          </w:p>
        </w:tc>
        <w:tc>
          <w:tcPr>
            <w:tcW w:w="1134" w:type="dxa"/>
          </w:tcPr>
          <w:p w14:paraId="2BD9142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0.182</w:t>
            </w:r>
          </w:p>
        </w:tc>
      </w:tr>
      <w:tr w:rsidR="003E1E48" w:rsidRPr="001A1E09" w14:paraId="6A184428" w14:textId="77777777" w:rsidTr="005F1ED4">
        <w:trPr>
          <w:jc w:val="center"/>
        </w:trPr>
        <w:tc>
          <w:tcPr>
            <w:tcW w:w="2547" w:type="dxa"/>
          </w:tcPr>
          <w:p w14:paraId="2854D8C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TNM stage,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5A0D2E3F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B40C9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452DCD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0.002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7" w:type="dxa"/>
          </w:tcPr>
          <w:p w14:paraId="79EDCBA2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AA0F4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18A90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0.107</w:t>
            </w:r>
          </w:p>
        </w:tc>
      </w:tr>
      <w:tr w:rsidR="003E1E48" w:rsidRPr="001A1E09" w14:paraId="3FD26D49" w14:textId="77777777" w:rsidTr="005F1ED4">
        <w:trPr>
          <w:jc w:val="center"/>
        </w:trPr>
        <w:tc>
          <w:tcPr>
            <w:tcW w:w="2547" w:type="dxa"/>
          </w:tcPr>
          <w:p w14:paraId="3FFBA69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ind w:firstLineChars="50" w:firstLine="10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IA</w:t>
            </w:r>
          </w:p>
        </w:tc>
        <w:tc>
          <w:tcPr>
            <w:tcW w:w="1417" w:type="dxa"/>
          </w:tcPr>
          <w:p w14:paraId="3432FCEC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23 (21.5)</w:t>
            </w:r>
          </w:p>
        </w:tc>
        <w:tc>
          <w:tcPr>
            <w:tcW w:w="1418" w:type="dxa"/>
          </w:tcPr>
          <w:p w14:paraId="231DAC33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12 (7.6)</w:t>
            </w:r>
          </w:p>
        </w:tc>
        <w:tc>
          <w:tcPr>
            <w:tcW w:w="1084" w:type="dxa"/>
          </w:tcPr>
          <w:p w14:paraId="4463D86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4572946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13 (13.4)</w:t>
            </w:r>
          </w:p>
        </w:tc>
        <w:tc>
          <w:tcPr>
            <w:tcW w:w="1418" w:type="dxa"/>
          </w:tcPr>
          <w:p w14:paraId="57B4263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15 (9.0)</w:t>
            </w:r>
          </w:p>
        </w:tc>
        <w:tc>
          <w:tcPr>
            <w:tcW w:w="1134" w:type="dxa"/>
          </w:tcPr>
          <w:p w14:paraId="352AA39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490D27F4" w14:textId="77777777" w:rsidTr="005F1ED4">
        <w:trPr>
          <w:jc w:val="center"/>
        </w:trPr>
        <w:tc>
          <w:tcPr>
            <w:tcW w:w="2547" w:type="dxa"/>
          </w:tcPr>
          <w:p w14:paraId="06B7616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ind w:firstLineChars="50" w:firstLine="10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IB</w:t>
            </w:r>
          </w:p>
        </w:tc>
        <w:tc>
          <w:tcPr>
            <w:tcW w:w="1417" w:type="dxa"/>
          </w:tcPr>
          <w:p w14:paraId="4420D57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 (5.6)</w:t>
            </w:r>
          </w:p>
        </w:tc>
        <w:tc>
          <w:tcPr>
            <w:tcW w:w="1418" w:type="dxa"/>
          </w:tcPr>
          <w:p w14:paraId="3AA9BAF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12 (7.6)</w:t>
            </w:r>
          </w:p>
        </w:tc>
        <w:tc>
          <w:tcPr>
            <w:tcW w:w="1084" w:type="dxa"/>
          </w:tcPr>
          <w:p w14:paraId="1C75E721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7230913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 (6.2)</w:t>
            </w:r>
          </w:p>
        </w:tc>
        <w:tc>
          <w:tcPr>
            <w:tcW w:w="1418" w:type="dxa"/>
          </w:tcPr>
          <w:p w14:paraId="4C3FB59C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13 (7.8)</w:t>
            </w:r>
          </w:p>
        </w:tc>
        <w:tc>
          <w:tcPr>
            <w:tcW w:w="1134" w:type="dxa"/>
          </w:tcPr>
          <w:p w14:paraId="4326F837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07CA5830" w14:textId="77777777" w:rsidTr="005F1ED4">
        <w:trPr>
          <w:jc w:val="center"/>
        </w:trPr>
        <w:tc>
          <w:tcPr>
            <w:tcW w:w="2547" w:type="dxa"/>
          </w:tcPr>
          <w:p w14:paraId="18C28A8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ind w:firstLineChars="50" w:firstLine="10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14:paraId="7A49B43C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 (5.6)</w:t>
            </w:r>
          </w:p>
        </w:tc>
        <w:tc>
          <w:tcPr>
            <w:tcW w:w="1418" w:type="dxa"/>
          </w:tcPr>
          <w:p w14:paraId="7894556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13 (8.3)</w:t>
            </w:r>
          </w:p>
        </w:tc>
        <w:tc>
          <w:tcPr>
            <w:tcW w:w="1084" w:type="dxa"/>
          </w:tcPr>
          <w:p w14:paraId="6D9D817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4E7CE13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10 (10.3)</w:t>
            </w:r>
          </w:p>
        </w:tc>
        <w:tc>
          <w:tcPr>
            <w:tcW w:w="1418" w:type="dxa"/>
          </w:tcPr>
          <w:p w14:paraId="27D7CD6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26 (15.7)</w:t>
            </w:r>
          </w:p>
        </w:tc>
        <w:tc>
          <w:tcPr>
            <w:tcW w:w="1134" w:type="dxa"/>
          </w:tcPr>
          <w:p w14:paraId="1CEE94AC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6471BC48" w14:textId="77777777" w:rsidTr="005F1ED4">
        <w:trPr>
          <w:jc w:val="center"/>
        </w:trPr>
        <w:tc>
          <w:tcPr>
            <w:tcW w:w="2547" w:type="dxa"/>
          </w:tcPr>
          <w:p w14:paraId="78A5EAC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ind w:firstLineChars="50" w:firstLine="10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IIIA</w:t>
            </w:r>
          </w:p>
        </w:tc>
        <w:tc>
          <w:tcPr>
            <w:tcW w:w="1417" w:type="dxa"/>
          </w:tcPr>
          <w:p w14:paraId="102C96C2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55 (51.4)</w:t>
            </w:r>
          </w:p>
        </w:tc>
        <w:tc>
          <w:tcPr>
            <w:tcW w:w="1418" w:type="dxa"/>
          </w:tcPr>
          <w:p w14:paraId="19A04873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72 (45.9)</w:t>
            </w:r>
          </w:p>
        </w:tc>
        <w:tc>
          <w:tcPr>
            <w:tcW w:w="1084" w:type="dxa"/>
          </w:tcPr>
          <w:p w14:paraId="3508318E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1661DCE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50 (51.5)</w:t>
            </w:r>
          </w:p>
        </w:tc>
        <w:tc>
          <w:tcPr>
            <w:tcW w:w="1418" w:type="dxa"/>
          </w:tcPr>
          <w:p w14:paraId="4363FB8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64 (38.6)</w:t>
            </w:r>
          </w:p>
        </w:tc>
        <w:tc>
          <w:tcPr>
            <w:tcW w:w="1134" w:type="dxa"/>
          </w:tcPr>
          <w:p w14:paraId="6DB56F0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1A0D97F6" w14:textId="77777777" w:rsidTr="005F1ED4">
        <w:trPr>
          <w:jc w:val="center"/>
        </w:trPr>
        <w:tc>
          <w:tcPr>
            <w:tcW w:w="2547" w:type="dxa"/>
          </w:tcPr>
          <w:p w14:paraId="7A50F47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ind w:firstLineChars="50" w:firstLine="10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IIIB</w:t>
            </w:r>
          </w:p>
        </w:tc>
        <w:tc>
          <w:tcPr>
            <w:tcW w:w="1417" w:type="dxa"/>
          </w:tcPr>
          <w:p w14:paraId="0EC0538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17 (15.9)</w:t>
            </w:r>
          </w:p>
        </w:tc>
        <w:tc>
          <w:tcPr>
            <w:tcW w:w="1418" w:type="dxa"/>
          </w:tcPr>
          <w:p w14:paraId="035210AF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48 (30.6)</w:t>
            </w:r>
          </w:p>
        </w:tc>
        <w:tc>
          <w:tcPr>
            <w:tcW w:w="1084" w:type="dxa"/>
          </w:tcPr>
          <w:p w14:paraId="7E56AF7C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5E9724CE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18 (18.6)</w:t>
            </w:r>
          </w:p>
        </w:tc>
        <w:tc>
          <w:tcPr>
            <w:tcW w:w="1418" w:type="dxa"/>
          </w:tcPr>
          <w:p w14:paraId="676BCDDF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48 (28.9)</w:t>
            </w:r>
          </w:p>
        </w:tc>
        <w:tc>
          <w:tcPr>
            <w:tcW w:w="1134" w:type="dxa"/>
          </w:tcPr>
          <w:p w14:paraId="2DC5D87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4D51B3A1" w14:textId="77777777" w:rsidTr="005F1ED4">
        <w:trPr>
          <w:jc w:val="center"/>
        </w:trPr>
        <w:tc>
          <w:tcPr>
            <w:tcW w:w="2547" w:type="dxa"/>
          </w:tcPr>
          <w:p w14:paraId="168B663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BCLC stage, </w:t>
            </w:r>
            <w:r w:rsidRPr="001A1E09">
              <w:rPr>
                <w:rFonts w:ascii="Book Antiqua" w:hAnsi="Book Antiqua" w:cs="Times New Roman"/>
                <w:i/>
                <w:sz w:val="20"/>
                <w:szCs w:val="20"/>
              </w:rPr>
              <w:t>n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</w:tcPr>
          <w:p w14:paraId="7CDD78D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71ABA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3ED397C3" w14:textId="1CE0E936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25035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7" w:type="dxa"/>
          </w:tcPr>
          <w:p w14:paraId="5671E91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08A5C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CC6529" w14:textId="7B5F812C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25035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0435DA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3B7E513D" w14:textId="77777777" w:rsidTr="005F1ED4">
        <w:trPr>
          <w:jc w:val="center"/>
        </w:trPr>
        <w:tc>
          <w:tcPr>
            <w:tcW w:w="2547" w:type="dxa"/>
          </w:tcPr>
          <w:p w14:paraId="52650A3E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ind w:firstLineChars="50" w:firstLine="10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946D5C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 (5.6)</w:t>
            </w:r>
          </w:p>
        </w:tc>
        <w:tc>
          <w:tcPr>
            <w:tcW w:w="1418" w:type="dxa"/>
          </w:tcPr>
          <w:p w14:paraId="7D84D4D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9 (5.7)</w:t>
            </w:r>
          </w:p>
        </w:tc>
        <w:tc>
          <w:tcPr>
            <w:tcW w:w="1084" w:type="dxa"/>
          </w:tcPr>
          <w:p w14:paraId="6BE52A5E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51974D43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 (3.1)</w:t>
            </w:r>
          </w:p>
        </w:tc>
        <w:tc>
          <w:tcPr>
            <w:tcW w:w="1418" w:type="dxa"/>
          </w:tcPr>
          <w:p w14:paraId="347BD995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 (3.0)</w:t>
            </w:r>
          </w:p>
        </w:tc>
        <w:tc>
          <w:tcPr>
            <w:tcW w:w="1134" w:type="dxa"/>
          </w:tcPr>
          <w:p w14:paraId="0E57059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08BFA936" w14:textId="77777777" w:rsidTr="005F1ED4">
        <w:trPr>
          <w:jc w:val="center"/>
        </w:trPr>
        <w:tc>
          <w:tcPr>
            <w:tcW w:w="2547" w:type="dxa"/>
          </w:tcPr>
          <w:p w14:paraId="77FF73C3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ind w:firstLineChars="50" w:firstLine="10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14:paraId="1E09018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44 (41.1)</w:t>
            </w:r>
          </w:p>
        </w:tc>
        <w:tc>
          <w:tcPr>
            <w:tcW w:w="1418" w:type="dxa"/>
          </w:tcPr>
          <w:p w14:paraId="5A8CF52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25 (15.9)</w:t>
            </w:r>
          </w:p>
        </w:tc>
        <w:tc>
          <w:tcPr>
            <w:tcW w:w="1084" w:type="dxa"/>
          </w:tcPr>
          <w:p w14:paraId="6CA5DA31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31B081C3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34 (35.1)</w:t>
            </w:r>
          </w:p>
        </w:tc>
        <w:tc>
          <w:tcPr>
            <w:tcW w:w="1418" w:type="dxa"/>
          </w:tcPr>
          <w:p w14:paraId="5B6EE85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38 (22.9)</w:t>
            </w:r>
          </w:p>
        </w:tc>
        <w:tc>
          <w:tcPr>
            <w:tcW w:w="1134" w:type="dxa"/>
          </w:tcPr>
          <w:p w14:paraId="48D4048E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5A4DB09A" w14:textId="77777777" w:rsidTr="005F1ED4">
        <w:trPr>
          <w:jc w:val="center"/>
        </w:trPr>
        <w:tc>
          <w:tcPr>
            <w:tcW w:w="2547" w:type="dxa"/>
          </w:tcPr>
          <w:p w14:paraId="3BCB2621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ind w:firstLineChars="50" w:firstLine="10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14:paraId="7B828B9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40 (37.4)</w:t>
            </w:r>
          </w:p>
        </w:tc>
        <w:tc>
          <w:tcPr>
            <w:tcW w:w="1418" w:type="dxa"/>
          </w:tcPr>
          <w:p w14:paraId="5A320442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78 (49.7)</w:t>
            </w:r>
          </w:p>
        </w:tc>
        <w:tc>
          <w:tcPr>
            <w:tcW w:w="1084" w:type="dxa"/>
          </w:tcPr>
          <w:p w14:paraId="4BDA411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0F00563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52 (53.6)</w:t>
            </w:r>
          </w:p>
        </w:tc>
        <w:tc>
          <w:tcPr>
            <w:tcW w:w="1418" w:type="dxa"/>
          </w:tcPr>
          <w:p w14:paraId="1AF858A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70 (42.2)</w:t>
            </w:r>
          </w:p>
        </w:tc>
        <w:tc>
          <w:tcPr>
            <w:tcW w:w="1134" w:type="dxa"/>
          </w:tcPr>
          <w:p w14:paraId="446E660C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52AA4D1C" w14:textId="77777777" w:rsidTr="005F1ED4">
        <w:trPr>
          <w:jc w:val="center"/>
        </w:trPr>
        <w:tc>
          <w:tcPr>
            <w:tcW w:w="2547" w:type="dxa"/>
          </w:tcPr>
          <w:p w14:paraId="717CE067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ind w:firstLineChars="50" w:firstLine="100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C</w:t>
            </w:r>
          </w:p>
        </w:tc>
        <w:tc>
          <w:tcPr>
            <w:tcW w:w="1417" w:type="dxa"/>
          </w:tcPr>
          <w:p w14:paraId="5EB9D52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17 (15.9)</w:t>
            </w:r>
          </w:p>
        </w:tc>
        <w:tc>
          <w:tcPr>
            <w:tcW w:w="1418" w:type="dxa"/>
          </w:tcPr>
          <w:p w14:paraId="1A338EF1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45 (28.7)</w:t>
            </w:r>
          </w:p>
        </w:tc>
        <w:tc>
          <w:tcPr>
            <w:tcW w:w="1084" w:type="dxa"/>
          </w:tcPr>
          <w:p w14:paraId="46FF6F7E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50651A9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8 (8.2)</w:t>
            </w:r>
          </w:p>
        </w:tc>
        <w:tc>
          <w:tcPr>
            <w:tcW w:w="1418" w:type="dxa"/>
          </w:tcPr>
          <w:p w14:paraId="51BA5A0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53 (31.9)</w:t>
            </w:r>
          </w:p>
        </w:tc>
        <w:tc>
          <w:tcPr>
            <w:tcW w:w="1134" w:type="dxa"/>
          </w:tcPr>
          <w:p w14:paraId="751C1DA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14:paraId="6A5D02E9" w14:textId="72BA7A87" w:rsidR="00DC617A" w:rsidRPr="001A1E09" w:rsidRDefault="000435DA" w:rsidP="001A1E09">
      <w:pPr>
        <w:adjustRightInd w:val="0"/>
        <w:snapToGrid w:val="0"/>
        <w:spacing w:line="360" w:lineRule="auto"/>
        <w:rPr>
          <w:rFonts w:ascii="Book Antiqua" w:hAnsi="Book Antiqua" w:cs="Times New Roman"/>
          <w:sz w:val="20"/>
          <w:szCs w:val="20"/>
        </w:rPr>
      </w:pPr>
      <w:r w:rsidRPr="001A1E09">
        <w:rPr>
          <w:rFonts w:ascii="Book Antiqua" w:hAnsi="Book Antiqua" w:cs="Times New Roman"/>
          <w:sz w:val="20"/>
          <w:szCs w:val="20"/>
          <w:vertAlign w:val="superscript"/>
        </w:rPr>
        <w:t>a</w:t>
      </w:r>
      <w:r w:rsidRPr="001A1E09">
        <w:rPr>
          <w:rFonts w:ascii="Book Antiqua" w:hAnsi="Book Antiqua" w:cs="Times New Roman"/>
          <w:i/>
          <w:sz w:val="20"/>
          <w:szCs w:val="20"/>
        </w:rPr>
        <w:t>P</w:t>
      </w:r>
      <w:r w:rsidRPr="001A1E09">
        <w:rPr>
          <w:rFonts w:ascii="Book Antiqua" w:hAnsi="Book Antiqua" w:cs="Times New Roman"/>
          <w:sz w:val="20"/>
          <w:szCs w:val="20"/>
        </w:rPr>
        <w:t xml:space="preserve"> &lt; 0.05. </w:t>
      </w:r>
      <w:r w:rsidR="00DC617A" w:rsidRPr="001A1E09">
        <w:rPr>
          <w:rFonts w:ascii="Book Antiqua" w:hAnsi="Book Antiqua" w:cs="Times New Roman"/>
          <w:sz w:val="20"/>
          <w:szCs w:val="20"/>
        </w:rPr>
        <w:t>HBV</w:t>
      </w:r>
      <w:r w:rsidR="0025035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250356" w:rsidRPr="001A1E09">
        <w:rPr>
          <w:rFonts w:ascii="Book Antiqua" w:hAnsi="Book Antiqua" w:cs="Times New Roman"/>
          <w:sz w:val="20"/>
          <w:szCs w:val="20"/>
        </w:rPr>
        <w:t xml:space="preserve">Hepatitis </w:t>
      </w:r>
      <w:r w:rsidR="00DC617A" w:rsidRPr="001A1E09">
        <w:rPr>
          <w:rFonts w:ascii="Book Antiqua" w:hAnsi="Book Antiqua" w:cs="Times New Roman"/>
          <w:sz w:val="20"/>
          <w:szCs w:val="20"/>
        </w:rPr>
        <w:t>B virus; CA-199</w:t>
      </w:r>
      <w:r w:rsidR="0025035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250356" w:rsidRPr="001A1E09">
        <w:rPr>
          <w:rFonts w:ascii="Book Antiqua" w:hAnsi="Book Antiqua" w:cs="Times New Roman"/>
          <w:sz w:val="20"/>
          <w:szCs w:val="20"/>
        </w:rPr>
        <w:t xml:space="preserve">Carbohydrate </w:t>
      </w:r>
      <w:r w:rsidR="00DC617A" w:rsidRPr="001A1E09">
        <w:rPr>
          <w:rFonts w:ascii="Book Antiqua" w:hAnsi="Book Antiqua" w:cs="Times New Roman"/>
          <w:sz w:val="20"/>
          <w:szCs w:val="20"/>
        </w:rPr>
        <w:t>antigen-199; TNM</w:t>
      </w:r>
      <w:r w:rsidR="0025035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250356" w:rsidRPr="001A1E09">
        <w:rPr>
          <w:rFonts w:ascii="Book Antiqua" w:hAnsi="Book Antiqua" w:cs="Times New Roman"/>
          <w:sz w:val="20"/>
          <w:szCs w:val="20"/>
        </w:rPr>
        <w:t>Tumor</w:t>
      </w:r>
      <w:r w:rsidR="00DC617A" w:rsidRPr="001A1E09">
        <w:rPr>
          <w:rFonts w:ascii="Book Antiqua" w:hAnsi="Book Antiqua" w:cs="Times New Roman"/>
          <w:sz w:val="20"/>
          <w:szCs w:val="20"/>
        </w:rPr>
        <w:t>-node-metastasis; BCLC</w:t>
      </w:r>
      <w:r w:rsidR="0025035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250356" w:rsidRPr="001A1E09">
        <w:rPr>
          <w:rFonts w:ascii="Book Antiqua" w:hAnsi="Book Antiqua" w:cs="Times New Roman"/>
          <w:sz w:val="20"/>
          <w:szCs w:val="20"/>
        </w:rPr>
        <w:t xml:space="preserve">BARCELONA </w:t>
      </w:r>
      <w:r w:rsidR="00DC617A" w:rsidRPr="001A1E09">
        <w:rPr>
          <w:rFonts w:ascii="Book Antiqua" w:hAnsi="Book Antiqua" w:cs="Times New Roman"/>
          <w:sz w:val="20"/>
          <w:szCs w:val="20"/>
        </w:rPr>
        <w:t>Clinic Li</w:t>
      </w:r>
      <w:r w:rsidR="001D6DE0" w:rsidRPr="001A1E09">
        <w:rPr>
          <w:rFonts w:ascii="Book Antiqua" w:hAnsi="Book Antiqua" w:cs="Times New Roman"/>
          <w:sz w:val="20"/>
          <w:szCs w:val="20"/>
        </w:rPr>
        <w:t>ver Cancer; GLR</w:t>
      </w:r>
      <w:r w:rsidR="00250356" w:rsidRPr="001A1E09">
        <w:rPr>
          <w:rFonts w:ascii="Book Antiqua" w:hAnsi="Book Antiqua" w:cs="Times New Roman"/>
          <w:sz w:val="20"/>
          <w:szCs w:val="20"/>
        </w:rPr>
        <w:t>:</w:t>
      </w:r>
      <w:r w:rsidR="001D6DE0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250356" w:rsidRPr="001A1E09">
        <w:rPr>
          <w:rFonts w:ascii="Book Antiqua" w:hAnsi="Book Antiqua" w:cs="Times New Roman"/>
          <w:sz w:val="20"/>
          <w:szCs w:val="20"/>
        </w:rPr>
        <w:t>Gamma</w:t>
      </w:r>
      <w:r w:rsidR="001D6DE0" w:rsidRPr="001A1E09">
        <w:rPr>
          <w:rFonts w:ascii="Book Antiqua" w:hAnsi="Book Antiqua" w:cs="Times New Roman"/>
          <w:sz w:val="20"/>
          <w:szCs w:val="20"/>
        </w:rPr>
        <w:t>-glutamyl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transferase to lymphocyte ratio; </w:t>
      </w:r>
      <w:r w:rsidR="00DC617A" w:rsidRPr="001A1E09">
        <w:rPr>
          <w:rFonts w:ascii="Book Antiqua" w:hAnsi="Book Antiqua" w:cs="Times New Roman"/>
          <w:sz w:val="20"/>
          <w:szCs w:val="20"/>
        </w:rPr>
        <w:lastRenderedPageBreak/>
        <w:t>ICC</w:t>
      </w:r>
      <w:r w:rsidR="0025035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250356" w:rsidRPr="001A1E09">
        <w:rPr>
          <w:rFonts w:ascii="Book Antiqua" w:hAnsi="Book Antiqua" w:cs="Times New Roman"/>
          <w:sz w:val="20"/>
          <w:szCs w:val="20"/>
        </w:rPr>
        <w:t xml:space="preserve">Intrahepatic </w:t>
      </w:r>
      <w:r w:rsidR="00DC617A" w:rsidRPr="001A1E09">
        <w:rPr>
          <w:rFonts w:ascii="Book Antiqua" w:hAnsi="Book Antiqua" w:cs="Times New Roman"/>
          <w:sz w:val="20"/>
          <w:szCs w:val="20"/>
        </w:rPr>
        <w:t>cholangiocarcinoma; HR</w:t>
      </w:r>
      <w:r w:rsidR="0025035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250356" w:rsidRPr="001A1E09">
        <w:rPr>
          <w:rFonts w:ascii="Book Antiqua" w:hAnsi="Book Antiqua" w:cs="Times New Roman"/>
          <w:sz w:val="20"/>
          <w:szCs w:val="20"/>
        </w:rPr>
        <w:t xml:space="preserve">Hazard </w:t>
      </w:r>
      <w:r w:rsidR="00DC617A" w:rsidRPr="001A1E09">
        <w:rPr>
          <w:rFonts w:ascii="Book Antiqua" w:hAnsi="Book Antiqua" w:cs="Times New Roman"/>
          <w:sz w:val="20"/>
          <w:szCs w:val="20"/>
        </w:rPr>
        <w:t>ratio; CI</w:t>
      </w:r>
      <w:r w:rsidR="0025035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250356" w:rsidRPr="001A1E09">
        <w:rPr>
          <w:rFonts w:ascii="Book Antiqua" w:hAnsi="Book Antiqua" w:cs="Times New Roman"/>
          <w:sz w:val="20"/>
          <w:szCs w:val="20"/>
        </w:rPr>
        <w:t xml:space="preserve">Confidence </w:t>
      </w:r>
      <w:r w:rsidR="00DC617A" w:rsidRPr="001A1E09">
        <w:rPr>
          <w:rFonts w:ascii="Book Antiqua" w:hAnsi="Book Antiqua" w:cs="Times New Roman"/>
          <w:sz w:val="20"/>
          <w:szCs w:val="20"/>
        </w:rPr>
        <w:t>interval.</w:t>
      </w:r>
    </w:p>
    <w:p w14:paraId="27308C0F" w14:textId="77777777" w:rsidR="00250356" w:rsidRPr="001A1E09" w:rsidRDefault="00250356" w:rsidP="001A1E09">
      <w:pPr>
        <w:widowControl/>
        <w:snapToGrid w:val="0"/>
        <w:spacing w:line="360" w:lineRule="auto"/>
        <w:rPr>
          <w:rFonts w:ascii="Book Antiqua" w:hAnsi="Book Antiqua" w:cs="Times New Roman"/>
          <w:sz w:val="20"/>
          <w:szCs w:val="20"/>
        </w:rPr>
      </w:pPr>
      <w:r w:rsidRPr="001A1E09">
        <w:rPr>
          <w:rFonts w:ascii="Book Antiqua" w:hAnsi="Book Antiqua" w:cs="Times New Roman"/>
          <w:sz w:val="20"/>
          <w:szCs w:val="20"/>
        </w:rPr>
        <w:br w:type="page"/>
      </w:r>
    </w:p>
    <w:p w14:paraId="26032C74" w14:textId="76FB7125" w:rsidR="00DC617A" w:rsidRPr="001A1E09" w:rsidRDefault="0036480B" w:rsidP="001A1E09">
      <w:pPr>
        <w:adjustRightInd w:val="0"/>
        <w:snapToGrid w:val="0"/>
        <w:spacing w:line="360" w:lineRule="auto"/>
        <w:rPr>
          <w:rFonts w:ascii="Book Antiqua" w:hAnsi="Book Antiqua" w:cs="Times New Roman"/>
          <w:sz w:val="20"/>
          <w:szCs w:val="20"/>
        </w:rPr>
      </w:pPr>
      <w:r w:rsidRPr="001A1E09">
        <w:rPr>
          <w:rFonts w:ascii="Book Antiqua" w:hAnsi="Book Antiqua" w:cs="Times New Roman"/>
          <w:b/>
          <w:sz w:val="20"/>
          <w:szCs w:val="20"/>
        </w:rPr>
        <w:lastRenderedPageBreak/>
        <w:t>Table 2</w:t>
      </w:r>
      <w:r w:rsidR="00DC617A" w:rsidRPr="001A1E09">
        <w:rPr>
          <w:rFonts w:ascii="Book Antiqua" w:hAnsi="Book Antiqua" w:cs="Times New Roman"/>
          <w:b/>
          <w:sz w:val="20"/>
          <w:szCs w:val="20"/>
        </w:rPr>
        <w:t xml:space="preserve"> Univariate an</w:t>
      </w:r>
      <w:r w:rsidRPr="001A1E09">
        <w:rPr>
          <w:rFonts w:ascii="Book Antiqua" w:hAnsi="Book Antiqua" w:cs="Times New Roman"/>
          <w:b/>
          <w:sz w:val="20"/>
          <w:szCs w:val="20"/>
        </w:rPr>
        <w:t>alysis in the derivation cohort</w:t>
      </w:r>
    </w:p>
    <w:tbl>
      <w:tblPr>
        <w:tblStyle w:val="a9"/>
        <w:tblW w:w="6055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954"/>
        <w:gridCol w:w="1574"/>
        <w:gridCol w:w="1419"/>
        <w:gridCol w:w="1106"/>
        <w:gridCol w:w="1889"/>
        <w:gridCol w:w="1574"/>
      </w:tblGrid>
      <w:tr w:rsidR="003E1E48" w:rsidRPr="001A1E09" w14:paraId="3CEC2909" w14:textId="77777777" w:rsidTr="005F1ED4">
        <w:trPr>
          <w:jc w:val="center"/>
        </w:trPr>
        <w:tc>
          <w:tcPr>
            <w:tcW w:w="1196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2CD139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468B5" w14:textId="77777777" w:rsidR="00DC617A" w:rsidRPr="001A1E09" w:rsidRDefault="00DC617A" w:rsidP="005006A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Overall survival</w:t>
            </w:r>
          </w:p>
        </w:tc>
        <w:tc>
          <w:tcPr>
            <w:tcW w:w="204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1C916" w14:textId="77777777" w:rsidR="00DC617A" w:rsidRPr="001A1E09" w:rsidRDefault="00DC617A" w:rsidP="005006A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Recurrence-free survival</w:t>
            </w:r>
          </w:p>
        </w:tc>
      </w:tr>
      <w:tr w:rsidR="003E1E48" w:rsidRPr="001A1E09" w14:paraId="1EDFB0F7" w14:textId="77777777" w:rsidTr="005F1ED4">
        <w:trPr>
          <w:jc w:val="center"/>
        </w:trPr>
        <w:tc>
          <w:tcPr>
            <w:tcW w:w="119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AEF022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281B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7F4E6" w14:textId="2F669564" w:rsidR="00DC617A" w:rsidRPr="001A1E09" w:rsidRDefault="005F1ED4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95%</w:t>
            </w:r>
            <w:r w:rsidR="00DC617A" w:rsidRPr="001A1E09">
              <w:rPr>
                <w:rFonts w:ascii="Book Antiqua" w:hAnsi="Book Antiqua" w:cs="Times New Roman"/>
                <w:b/>
                <w:sz w:val="20"/>
                <w:szCs w:val="20"/>
              </w:rPr>
              <w:t>CI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AC8BE" w14:textId="34ADFC3A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i/>
                <w:sz w:val="20"/>
                <w:szCs w:val="20"/>
              </w:rPr>
              <w:t>P</w:t>
            </w:r>
            <w:r w:rsidR="005F1ED4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value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3C27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75A5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17484" w14:textId="73F2AAAE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i/>
                <w:sz w:val="20"/>
                <w:szCs w:val="20"/>
              </w:rPr>
              <w:t>P</w:t>
            </w:r>
            <w:r w:rsidR="005F1ED4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value</w:t>
            </w:r>
          </w:p>
        </w:tc>
      </w:tr>
      <w:tr w:rsidR="003E1E48" w:rsidRPr="001A1E09" w14:paraId="0B5AE54D" w14:textId="77777777" w:rsidTr="005F1ED4">
        <w:trPr>
          <w:jc w:val="center"/>
        </w:trPr>
        <w:tc>
          <w:tcPr>
            <w:tcW w:w="1196" w:type="pct"/>
            <w:tcBorders>
              <w:top w:val="single" w:sz="4" w:space="0" w:color="auto"/>
            </w:tcBorders>
            <w:vAlign w:val="center"/>
          </w:tcPr>
          <w:p w14:paraId="0694B260" w14:textId="3471C488" w:rsidR="00DC617A" w:rsidRPr="001A1E09" w:rsidRDefault="005F1ED4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Age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18BBAA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1.002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3884983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0.987-1.017</w:t>
            </w:r>
          </w:p>
        </w:tc>
        <w:tc>
          <w:tcPr>
            <w:tcW w:w="634" w:type="pct"/>
            <w:tcBorders>
              <w:top w:val="single" w:sz="4" w:space="0" w:color="auto"/>
            </w:tcBorders>
            <w:vAlign w:val="center"/>
          </w:tcPr>
          <w:p w14:paraId="51CF95D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0.819</w:t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14:paraId="23B47DF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0.998</w:t>
            </w:r>
          </w:p>
        </w:tc>
        <w:tc>
          <w:tcPr>
            <w:tcW w:w="844" w:type="pct"/>
            <w:tcBorders>
              <w:top w:val="single" w:sz="4" w:space="0" w:color="auto"/>
            </w:tcBorders>
            <w:vAlign w:val="center"/>
          </w:tcPr>
          <w:p w14:paraId="5E509E21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0.985-1.011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55CF436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0.763</w:t>
            </w:r>
          </w:p>
        </w:tc>
      </w:tr>
      <w:tr w:rsidR="003E1E48" w:rsidRPr="001A1E09" w14:paraId="4901EBA7" w14:textId="77777777" w:rsidTr="005F1ED4">
        <w:trPr>
          <w:jc w:val="center"/>
        </w:trPr>
        <w:tc>
          <w:tcPr>
            <w:tcW w:w="1196" w:type="pct"/>
            <w:vAlign w:val="center"/>
          </w:tcPr>
          <w:p w14:paraId="391B64A2" w14:textId="29A5A581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Gender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F/M</w:t>
            </w:r>
          </w:p>
        </w:tc>
        <w:tc>
          <w:tcPr>
            <w:tcW w:w="426" w:type="pct"/>
            <w:vAlign w:val="center"/>
          </w:tcPr>
          <w:p w14:paraId="6AF0746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0.752</w:t>
            </w:r>
          </w:p>
        </w:tc>
        <w:tc>
          <w:tcPr>
            <w:tcW w:w="703" w:type="pct"/>
            <w:vAlign w:val="center"/>
          </w:tcPr>
          <w:p w14:paraId="25ADFC7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0.546-1.035</w:t>
            </w:r>
          </w:p>
        </w:tc>
        <w:tc>
          <w:tcPr>
            <w:tcW w:w="634" w:type="pct"/>
            <w:vAlign w:val="center"/>
          </w:tcPr>
          <w:p w14:paraId="1EBC317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0.080</w:t>
            </w:r>
            <w:r w:rsidR="00D9669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34C149F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0.846</w:t>
            </w:r>
          </w:p>
        </w:tc>
        <w:tc>
          <w:tcPr>
            <w:tcW w:w="844" w:type="pct"/>
            <w:vAlign w:val="center"/>
          </w:tcPr>
          <w:p w14:paraId="76404081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0.633-1.132</w:t>
            </w:r>
          </w:p>
        </w:tc>
        <w:tc>
          <w:tcPr>
            <w:tcW w:w="703" w:type="pct"/>
            <w:vAlign w:val="center"/>
          </w:tcPr>
          <w:p w14:paraId="19F78DA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0.262</w:t>
            </w:r>
          </w:p>
        </w:tc>
      </w:tr>
      <w:tr w:rsidR="003E1E48" w:rsidRPr="001A1E09" w14:paraId="7BFF22E8" w14:textId="77777777" w:rsidTr="005F1ED4">
        <w:trPr>
          <w:jc w:val="center"/>
        </w:trPr>
        <w:tc>
          <w:tcPr>
            <w:tcW w:w="1196" w:type="pct"/>
          </w:tcPr>
          <w:p w14:paraId="69BA310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HBsAg</w:t>
            </w:r>
          </w:p>
        </w:tc>
        <w:tc>
          <w:tcPr>
            <w:tcW w:w="426" w:type="pct"/>
            <w:vAlign w:val="center"/>
          </w:tcPr>
          <w:p w14:paraId="26F868D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1.210</w:t>
            </w:r>
          </w:p>
        </w:tc>
        <w:tc>
          <w:tcPr>
            <w:tcW w:w="703" w:type="pct"/>
            <w:vAlign w:val="center"/>
          </w:tcPr>
          <w:p w14:paraId="22DB8F0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0.853-1.717</w:t>
            </w:r>
          </w:p>
        </w:tc>
        <w:tc>
          <w:tcPr>
            <w:tcW w:w="634" w:type="pct"/>
            <w:vAlign w:val="center"/>
          </w:tcPr>
          <w:p w14:paraId="5C0B9201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0.285</w:t>
            </w:r>
          </w:p>
        </w:tc>
        <w:tc>
          <w:tcPr>
            <w:tcW w:w="494" w:type="pct"/>
            <w:vAlign w:val="center"/>
          </w:tcPr>
          <w:p w14:paraId="42ED179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1.274</w:t>
            </w:r>
          </w:p>
        </w:tc>
        <w:tc>
          <w:tcPr>
            <w:tcW w:w="844" w:type="pct"/>
            <w:vAlign w:val="center"/>
          </w:tcPr>
          <w:p w14:paraId="1CAFC76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0.924-1.756</w:t>
            </w:r>
          </w:p>
        </w:tc>
        <w:tc>
          <w:tcPr>
            <w:tcW w:w="703" w:type="pct"/>
            <w:vAlign w:val="center"/>
          </w:tcPr>
          <w:p w14:paraId="1E81FE2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0.139</w:t>
            </w:r>
          </w:p>
        </w:tc>
      </w:tr>
      <w:tr w:rsidR="003E1E48" w:rsidRPr="001A1E09" w14:paraId="281CE4D7" w14:textId="77777777" w:rsidTr="005F1ED4">
        <w:trPr>
          <w:jc w:val="center"/>
        </w:trPr>
        <w:tc>
          <w:tcPr>
            <w:tcW w:w="1196" w:type="pct"/>
          </w:tcPr>
          <w:p w14:paraId="05EB2634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Hepatolithiasis</w:t>
            </w:r>
          </w:p>
        </w:tc>
        <w:tc>
          <w:tcPr>
            <w:tcW w:w="426" w:type="pct"/>
            <w:vAlign w:val="center"/>
          </w:tcPr>
          <w:p w14:paraId="29255F8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1.593</w:t>
            </w:r>
          </w:p>
        </w:tc>
        <w:tc>
          <w:tcPr>
            <w:tcW w:w="703" w:type="pct"/>
            <w:vAlign w:val="center"/>
          </w:tcPr>
          <w:p w14:paraId="19CF62B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1.061-2.393</w:t>
            </w:r>
          </w:p>
        </w:tc>
        <w:tc>
          <w:tcPr>
            <w:tcW w:w="634" w:type="pct"/>
            <w:vAlign w:val="center"/>
          </w:tcPr>
          <w:p w14:paraId="440ACCB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0.025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6D5B5D5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1.176</w:t>
            </w:r>
          </w:p>
        </w:tc>
        <w:tc>
          <w:tcPr>
            <w:tcW w:w="844" w:type="pct"/>
            <w:vAlign w:val="center"/>
          </w:tcPr>
          <w:p w14:paraId="6518D7E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0.785-1.761</w:t>
            </w:r>
          </w:p>
        </w:tc>
        <w:tc>
          <w:tcPr>
            <w:tcW w:w="703" w:type="pct"/>
            <w:vAlign w:val="center"/>
          </w:tcPr>
          <w:p w14:paraId="051F982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0.433</w:t>
            </w:r>
          </w:p>
        </w:tc>
      </w:tr>
      <w:tr w:rsidR="003E1E48" w:rsidRPr="001A1E09" w14:paraId="1553AFA3" w14:textId="77777777" w:rsidTr="005F1ED4">
        <w:trPr>
          <w:jc w:val="center"/>
        </w:trPr>
        <w:tc>
          <w:tcPr>
            <w:tcW w:w="1196" w:type="pct"/>
          </w:tcPr>
          <w:p w14:paraId="7783C952" w14:textId="5172DD44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Child-Pugh grade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A /B</w:t>
            </w:r>
          </w:p>
        </w:tc>
        <w:tc>
          <w:tcPr>
            <w:tcW w:w="426" w:type="pct"/>
            <w:vAlign w:val="center"/>
          </w:tcPr>
          <w:p w14:paraId="15CF37F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0.614</w:t>
            </w:r>
          </w:p>
        </w:tc>
        <w:tc>
          <w:tcPr>
            <w:tcW w:w="703" w:type="pct"/>
            <w:vAlign w:val="center"/>
          </w:tcPr>
          <w:p w14:paraId="49A3BFA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0.323-1.167</w:t>
            </w:r>
          </w:p>
        </w:tc>
        <w:tc>
          <w:tcPr>
            <w:tcW w:w="634" w:type="pct"/>
            <w:vAlign w:val="center"/>
          </w:tcPr>
          <w:p w14:paraId="29FC1BD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0.136</w:t>
            </w:r>
          </w:p>
        </w:tc>
        <w:tc>
          <w:tcPr>
            <w:tcW w:w="494" w:type="pct"/>
            <w:vAlign w:val="center"/>
          </w:tcPr>
          <w:p w14:paraId="47C6085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0.732</w:t>
            </w:r>
          </w:p>
        </w:tc>
        <w:tc>
          <w:tcPr>
            <w:tcW w:w="844" w:type="pct"/>
            <w:vAlign w:val="center"/>
          </w:tcPr>
          <w:p w14:paraId="1339B7C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0.381-1.367</w:t>
            </w:r>
          </w:p>
        </w:tc>
        <w:tc>
          <w:tcPr>
            <w:tcW w:w="703" w:type="pct"/>
            <w:vAlign w:val="center"/>
          </w:tcPr>
          <w:p w14:paraId="284C61E1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0.317</w:t>
            </w:r>
          </w:p>
        </w:tc>
      </w:tr>
      <w:tr w:rsidR="003E1E48" w:rsidRPr="001A1E09" w14:paraId="7DA1D4FF" w14:textId="77777777" w:rsidTr="005F1ED4">
        <w:trPr>
          <w:jc w:val="center"/>
        </w:trPr>
        <w:tc>
          <w:tcPr>
            <w:tcW w:w="1196" w:type="pct"/>
          </w:tcPr>
          <w:p w14:paraId="4685AAD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Ascites</w:t>
            </w:r>
          </w:p>
        </w:tc>
        <w:tc>
          <w:tcPr>
            <w:tcW w:w="426" w:type="pct"/>
            <w:vAlign w:val="center"/>
          </w:tcPr>
          <w:p w14:paraId="10F82E3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1.639</w:t>
            </w:r>
          </w:p>
        </w:tc>
        <w:tc>
          <w:tcPr>
            <w:tcW w:w="703" w:type="pct"/>
            <w:vAlign w:val="center"/>
          </w:tcPr>
          <w:p w14:paraId="1C1280C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1.011-2.658</w:t>
            </w:r>
          </w:p>
        </w:tc>
        <w:tc>
          <w:tcPr>
            <w:tcW w:w="634" w:type="pct"/>
            <w:vAlign w:val="center"/>
          </w:tcPr>
          <w:p w14:paraId="0CE20E2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0.045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5744F3A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1.532</w:t>
            </w:r>
          </w:p>
        </w:tc>
        <w:tc>
          <w:tcPr>
            <w:tcW w:w="844" w:type="pct"/>
            <w:vAlign w:val="center"/>
          </w:tcPr>
          <w:p w14:paraId="0B4474E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0.988-2.376</w:t>
            </w:r>
          </w:p>
        </w:tc>
        <w:tc>
          <w:tcPr>
            <w:tcW w:w="703" w:type="pct"/>
            <w:vAlign w:val="center"/>
          </w:tcPr>
          <w:p w14:paraId="5C45D24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0.056</w:t>
            </w:r>
            <w:r w:rsidR="00D9669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398ECCA8" w14:textId="77777777" w:rsidTr="005F1ED4">
        <w:trPr>
          <w:jc w:val="center"/>
        </w:trPr>
        <w:tc>
          <w:tcPr>
            <w:tcW w:w="1196" w:type="pct"/>
          </w:tcPr>
          <w:p w14:paraId="44753299" w14:textId="492B9580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CA-199 (≥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22/&lt;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22)</w:t>
            </w:r>
          </w:p>
        </w:tc>
        <w:tc>
          <w:tcPr>
            <w:tcW w:w="426" w:type="pct"/>
            <w:vAlign w:val="center"/>
          </w:tcPr>
          <w:p w14:paraId="5F22EA1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0.953</w:t>
            </w:r>
          </w:p>
        </w:tc>
        <w:tc>
          <w:tcPr>
            <w:tcW w:w="703" w:type="pct"/>
            <w:vAlign w:val="center"/>
          </w:tcPr>
          <w:p w14:paraId="597ADA9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0.926-0.981</w:t>
            </w:r>
          </w:p>
        </w:tc>
        <w:tc>
          <w:tcPr>
            <w:tcW w:w="634" w:type="pct"/>
            <w:vAlign w:val="center"/>
          </w:tcPr>
          <w:p w14:paraId="59204D6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47459ED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1.546</w:t>
            </w:r>
          </w:p>
        </w:tc>
        <w:tc>
          <w:tcPr>
            <w:tcW w:w="844" w:type="pct"/>
            <w:vAlign w:val="center"/>
          </w:tcPr>
          <w:p w14:paraId="54EB69B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1.259-1.899</w:t>
            </w:r>
          </w:p>
        </w:tc>
        <w:tc>
          <w:tcPr>
            <w:tcW w:w="703" w:type="pct"/>
            <w:vAlign w:val="center"/>
          </w:tcPr>
          <w:p w14:paraId="66432928" w14:textId="6488F384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51A62F77" w14:textId="77777777" w:rsidTr="005F1ED4">
        <w:trPr>
          <w:jc w:val="center"/>
        </w:trPr>
        <w:tc>
          <w:tcPr>
            <w:tcW w:w="1196" w:type="pct"/>
          </w:tcPr>
          <w:p w14:paraId="364E1CC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Tumor size</w:t>
            </w:r>
          </w:p>
        </w:tc>
        <w:tc>
          <w:tcPr>
            <w:tcW w:w="426" w:type="pct"/>
            <w:vAlign w:val="center"/>
          </w:tcPr>
          <w:p w14:paraId="6DB3C12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1.075</w:t>
            </w:r>
          </w:p>
        </w:tc>
        <w:tc>
          <w:tcPr>
            <w:tcW w:w="703" w:type="pct"/>
            <w:vAlign w:val="center"/>
          </w:tcPr>
          <w:p w14:paraId="24060FD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1.012-1.141</w:t>
            </w:r>
          </w:p>
        </w:tc>
        <w:tc>
          <w:tcPr>
            <w:tcW w:w="634" w:type="pct"/>
            <w:vAlign w:val="center"/>
          </w:tcPr>
          <w:p w14:paraId="1799C18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0.019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00A25AD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1.123</w:t>
            </w:r>
          </w:p>
        </w:tc>
        <w:tc>
          <w:tcPr>
            <w:tcW w:w="844" w:type="pct"/>
            <w:vAlign w:val="center"/>
          </w:tcPr>
          <w:p w14:paraId="6F84D60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1.063-1.187</w:t>
            </w:r>
          </w:p>
        </w:tc>
        <w:tc>
          <w:tcPr>
            <w:tcW w:w="703" w:type="pct"/>
            <w:vAlign w:val="center"/>
          </w:tcPr>
          <w:p w14:paraId="5613D383" w14:textId="74F2ED6F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0B3D9981" w14:textId="77777777" w:rsidTr="005F1ED4">
        <w:trPr>
          <w:jc w:val="center"/>
        </w:trPr>
        <w:tc>
          <w:tcPr>
            <w:tcW w:w="1196" w:type="pct"/>
          </w:tcPr>
          <w:p w14:paraId="6F77D121" w14:textId="0277201C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Tumor number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Multiple/Single</w:t>
            </w:r>
          </w:p>
        </w:tc>
        <w:tc>
          <w:tcPr>
            <w:tcW w:w="426" w:type="pct"/>
            <w:vAlign w:val="center"/>
          </w:tcPr>
          <w:p w14:paraId="629EC43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1.655</w:t>
            </w:r>
          </w:p>
        </w:tc>
        <w:tc>
          <w:tcPr>
            <w:tcW w:w="703" w:type="pct"/>
            <w:vAlign w:val="center"/>
          </w:tcPr>
          <w:p w14:paraId="7FDA5B1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1.172-2.328</w:t>
            </w:r>
          </w:p>
        </w:tc>
        <w:tc>
          <w:tcPr>
            <w:tcW w:w="634" w:type="pct"/>
            <w:vAlign w:val="center"/>
          </w:tcPr>
          <w:p w14:paraId="76E5EE9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0.004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6DFE809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1.893</w:t>
            </w:r>
          </w:p>
        </w:tc>
        <w:tc>
          <w:tcPr>
            <w:tcW w:w="844" w:type="pct"/>
            <w:vAlign w:val="center"/>
          </w:tcPr>
          <w:p w14:paraId="57986FE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1.388-2.582</w:t>
            </w:r>
          </w:p>
        </w:tc>
        <w:tc>
          <w:tcPr>
            <w:tcW w:w="703" w:type="pct"/>
            <w:vAlign w:val="center"/>
          </w:tcPr>
          <w:p w14:paraId="0E090626" w14:textId="268BBD6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4CC84655" w14:textId="77777777" w:rsidTr="005F1ED4">
        <w:trPr>
          <w:jc w:val="center"/>
        </w:trPr>
        <w:tc>
          <w:tcPr>
            <w:tcW w:w="1196" w:type="pct"/>
          </w:tcPr>
          <w:p w14:paraId="55369818" w14:textId="353B19CC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Tumor differentiation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Moderate-Poor/Well</w:t>
            </w:r>
          </w:p>
        </w:tc>
        <w:tc>
          <w:tcPr>
            <w:tcW w:w="426" w:type="pct"/>
            <w:vAlign w:val="center"/>
          </w:tcPr>
          <w:p w14:paraId="2A75AD5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1.891</w:t>
            </w:r>
          </w:p>
        </w:tc>
        <w:tc>
          <w:tcPr>
            <w:tcW w:w="703" w:type="pct"/>
            <w:vAlign w:val="center"/>
          </w:tcPr>
          <w:p w14:paraId="7F875CD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0.699-5.115</w:t>
            </w:r>
          </w:p>
        </w:tc>
        <w:tc>
          <w:tcPr>
            <w:tcW w:w="634" w:type="pct"/>
            <w:vAlign w:val="center"/>
          </w:tcPr>
          <w:p w14:paraId="0701581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0.209</w:t>
            </w:r>
          </w:p>
        </w:tc>
        <w:tc>
          <w:tcPr>
            <w:tcW w:w="494" w:type="pct"/>
            <w:vAlign w:val="center"/>
          </w:tcPr>
          <w:p w14:paraId="599DE00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3.277</w:t>
            </w:r>
          </w:p>
        </w:tc>
        <w:tc>
          <w:tcPr>
            <w:tcW w:w="844" w:type="pct"/>
            <w:vAlign w:val="center"/>
          </w:tcPr>
          <w:p w14:paraId="18A8F6D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1.045-10.274</w:t>
            </w:r>
          </w:p>
        </w:tc>
        <w:tc>
          <w:tcPr>
            <w:tcW w:w="703" w:type="pct"/>
            <w:vAlign w:val="center"/>
          </w:tcPr>
          <w:p w14:paraId="25125EB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0.042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6873F4ED" w14:textId="77777777" w:rsidTr="005F1ED4">
        <w:trPr>
          <w:jc w:val="center"/>
        </w:trPr>
        <w:tc>
          <w:tcPr>
            <w:tcW w:w="1196" w:type="pct"/>
          </w:tcPr>
          <w:p w14:paraId="3A3EF90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Macrovascular invasion</w:t>
            </w:r>
          </w:p>
        </w:tc>
        <w:tc>
          <w:tcPr>
            <w:tcW w:w="426" w:type="pct"/>
            <w:vAlign w:val="center"/>
          </w:tcPr>
          <w:p w14:paraId="1CE46CB1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1.371</w:t>
            </w:r>
          </w:p>
        </w:tc>
        <w:tc>
          <w:tcPr>
            <w:tcW w:w="703" w:type="pct"/>
            <w:vAlign w:val="center"/>
          </w:tcPr>
          <w:p w14:paraId="022A926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0.953-1.972</w:t>
            </w:r>
          </w:p>
        </w:tc>
        <w:tc>
          <w:tcPr>
            <w:tcW w:w="634" w:type="pct"/>
            <w:vAlign w:val="center"/>
          </w:tcPr>
          <w:p w14:paraId="363F339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0.089</w:t>
            </w:r>
            <w:r w:rsidR="00D9669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31A9F35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1.277</w:t>
            </w:r>
          </w:p>
        </w:tc>
        <w:tc>
          <w:tcPr>
            <w:tcW w:w="844" w:type="pct"/>
            <w:vAlign w:val="center"/>
          </w:tcPr>
          <w:p w14:paraId="5FE9C4F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0.913-1.787</w:t>
            </w:r>
          </w:p>
        </w:tc>
        <w:tc>
          <w:tcPr>
            <w:tcW w:w="703" w:type="pct"/>
            <w:vAlign w:val="center"/>
          </w:tcPr>
          <w:p w14:paraId="26355E6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0.153</w:t>
            </w:r>
          </w:p>
        </w:tc>
      </w:tr>
      <w:tr w:rsidR="003E1E48" w:rsidRPr="001A1E09" w14:paraId="77D6D441" w14:textId="77777777" w:rsidTr="005F1ED4">
        <w:trPr>
          <w:jc w:val="center"/>
        </w:trPr>
        <w:tc>
          <w:tcPr>
            <w:tcW w:w="1196" w:type="pct"/>
          </w:tcPr>
          <w:p w14:paraId="438821EE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Microvascular invasion</w:t>
            </w:r>
          </w:p>
        </w:tc>
        <w:tc>
          <w:tcPr>
            <w:tcW w:w="426" w:type="pct"/>
            <w:vAlign w:val="center"/>
          </w:tcPr>
          <w:p w14:paraId="588A8EA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1.619</w:t>
            </w:r>
          </w:p>
        </w:tc>
        <w:tc>
          <w:tcPr>
            <w:tcW w:w="703" w:type="pct"/>
            <w:vAlign w:val="center"/>
          </w:tcPr>
          <w:p w14:paraId="568EE1A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1.029-2.548</w:t>
            </w:r>
          </w:p>
        </w:tc>
        <w:tc>
          <w:tcPr>
            <w:tcW w:w="634" w:type="pct"/>
            <w:vAlign w:val="center"/>
          </w:tcPr>
          <w:p w14:paraId="42728BD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0.037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3F6CAE3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1.983</w:t>
            </w:r>
          </w:p>
        </w:tc>
        <w:tc>
          <w:tcPr>
            <w:tcW w:w="844" w:type="pct"/>
            <w:vAlign w:val="center"/>
          </w:tcPr>
          <w:p w14:paraId="4763993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1.306-3.012</w:t>
            </w:r>
          </w:p>
        </w:tc>
        <w:tc>
          <w:tcPr>
            <w:tcW w:w="703" w:type="pct"/>
            <w:vAlign w:val="center"/>
          </w:tcPr>
          <w:p w14:paraId="52FABAA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1A1B237B" w14:textId="77777777" w:rsidTr="005F1ED4">
        <w:trPr>
          <w:jc w:val="center"/>
        </w:trPr>
        <w:tc>
          <w:tcPr>
            <w:tcW w:w="1196" w:type="pct"/>
          </w:tcPr>
          <w:p w14:paraId="0799C80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Liver capsule invasion</w:t>
            </w:r>
          </w:p>
        </w:tc>
        <w:tc>
          <w:tcPr>
            <w:tcW w:w="426" w:type="pct"/>
            <w:vAlign w:val="center"/>
          </w:tcPr>
          <w:p w14:paraId="319BD60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0.815</w:t>
            </w:r>
          </w:p>
        </w:tc>
        <w:tc>
          <w:tcPr>
            <w:tcW w:w="703" w:type="pct"/>
            <w:vAlign w:val="center"/>
          </w:tcPr>
          <w:p w14:paraId="426E1BA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0.586-1.134</w:t>
            </w:r>
          </w:p>
        </w:tc>
        <w:tc>
          <w:tcPr>
            <w:tcW w:w="634" w:type="pct"/>
            <w:vAlign w:val="center"/>
          </w:tcPr>
          <w:p w14:paraId="1527214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0.225</w:t>
            </w:r>
          </w:p>
        </w:tc>
        <w:tc>
          <w:tcPr>
            <w:tcW w:w="494" w:type="pct"/>
            <w:vAlign w:val="center"/>
          </w:tcPr>
          <w:p w14:paraId="1935155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1.140</w:t>
            </w:r>
          </w:p>
        </w:tc>
        <w:tc>
          <w:tcPr>
            <w:tcW w:w="844" w:type="pct"/>
            <w:vAlign w:val="center"/>
          </w:tcPr>
          <w:p w14:paraId="24813F7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0.833-1.561</w:t>
            </w:r>
          </w:p>
        </w:tc>
        <w:tc>
          <w:tcPr>
            <w:tcW w:w="703" w:type="pct"/>
            <w:vAlign w:val="center"/>
          </w:tcPr>
          <w:p w14:paraId="0D6C984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0.412</w:t>
            </w:r>
          </w:p>
        </w:tc>
      </w:tr>
      <w:tr w:rsidR="003E1E48" w:rsidRPr="001A1E09" w14:paraId="2965A2ED" w14:textId="77777777" w:rsidTr="005F1ED4">
        <w:trPr>
          <w:jc w:val="center"/>
        </w:trPr>
        <w:tc>
          <w:tcPr>
            <w:tcW w:w="1196" w:type="pct"/>
          </w:tcPr>
          <w:p w14:paraId="1E2CDBEF" w14:textId="37597F73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Node</w:t>
            </w:r>
            <w:r w:rsidR="00527988"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positive</w:t>
            </w:r>
          </w:p>
        </w:tc>
        <w:tc>
          <w:tcPr>
            <w:tcW w:w="426" w:type="pct"/>
            <w:vAlign w:val="center"/>
          </w:tcPr>
          <w:p w14:paraId="39FE26C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2.846</w:t>
            </w:r>
          </w:p>
        </w:tc>
        <w:tc>
          <w:tcPr>
            <w:tcW w:w="703" w:type="pct"/>
            <w:vAlign w:val="center"/>
          </w:tcPr>
          <w:p w14:paraId="6622A10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2.030-3.989</w:t>
            </w:r>
          </w:p>
        </w:tc>
        <w:tc>
          <w:tcPr>
            <w:tcW w:w="634" w:type="pct"/>
            <w:vAlign w:val="center"/>
          </w:tcPr>
          <w:p w14:paraId="598818E7" w14:textId="59EDD87B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553038D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2.484</w:t>
            </w:r>
          </w:p>
        </w:tc>
        <w:tc>
          <w:tcPr>
            <w:tcW w:w="844" w:type="pct"/>
            <w:vAlign w:val="center"/>
          </w:tcPr>
          <w:p w14:paraId="3600C78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1.810-3.409</w:t>
            </w:r>
          </w:p>
        </w:tc>
        <w:tc>
          <w:tcPr>
            <w:tcW w:w="703" w:type="pct"/>
            <w:vAlign w:val="center"/>
          </w:tcPr>
          <w:p w14:paraId="56F252F7" w14:textId="1496CC24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459EAFC7" w14:textId="77777777" w:rsidTr="005F1ED4">
        <w:trPr>
          <w:jc w:val="center"/>
        </w:trPr>
        <w:tc>
          <w:tcPr>
            <w:tcW w:w="1196" w:type="pct"/>
          </w:tcPr>
          <w:p w14:paraId="3B2825B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Perineural invasion</w:t>
            </w:r>
          </w:p>
        </w:tc>
        <w:tc>
          <w:tcPr>
            <w:tcW w:w="426" w:type="pct"/>
            <w:vAlign w:val="center"/>
          </w:tcPr>
          <w:p w14:paraId="0E3C434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1.737</w:t>
            </w:r>
          </w:p>
        </w:tc>
        <w:tc>
          <w:tcPr>
            <w:tcW w:w="703" w:type="pct"/>
            <w:vAlign w:val="center"/>
          </w:tcPr>
          <w:p w14:paraId="38EE24E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1.129-2.673</w:t>
            </w:r>
          </w:p>
        </w:tc>
        <w:tc>
          <w:tcPr>
            <w:tcW w:w="634" w:type="pct"/>
            <w:vAlign w:val="center"/>
          </w:tcPr>
          <w:p w14:paraId="2309B20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0.012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45FF1AF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1.245</w:t>
            </w:r>
          </w:p>
        </w:tc>
        <w:tc>
          <w:tcPr>
            <w:tcW w:w="844" w:type="pct"/>
            <w:vAlign w:val="center"/>
          </w:tcPr>
          <w:p w14:paraId="66BA7BE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0.821-1.887</w:t>
            </w:r>
          </w:p>
        </w:tc>
        <w:tc>
          <w:tcPr>
            <w:tcW w:w="703" w:type="pct"/>
            <w:vAlign w:val="center"/>
          </w:tcPr>
          <w:p w14:paraId="1B31192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0.302</w:t>
            </w:r>
          </w:p>
        </w:tc>
      </w:tr>
      <w:tr w:rsidR="003E1E48" w:rsidRPr="001A1E09" w14:paraId="64699A56" w14:textId="77777777" w:rsidTr="005F1ED4">
        <w:trPr>
          <w:jc w:val="center"/>
        </w:trPr>
        <w:tc>
          <w:tcPr>
            <w:tcW w:w="1196" w:type="pct"/>
          </w:tcPr>
          <w:p w14:paraId="73CA517D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Cirrhosis</w:t>
            </w:r>
          </w:p>
        </w:tc>
        <w:tc>
          <w:tcPr>
            <w:tcW w:w="426" w:type="pct"/>
            <w:vAlign w:val="center"/>
          </w:tcPr>
          <w:p w14:paraId="33A50D5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1.526</w:t>
            </w:r>
          </w:p>
        </w:tc>
        <w:tc>
          <w:tcPr>
            <w:tcW w:w="703" w:type="pct"/>
            <w:vAlign w:val="center"/>
          </w:tcPr>
          <w:p w14:paraId="5DFD8FD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1.094-2.130</w:t>
            </w:r>
          </w:p>
        </w:tc>
        <w:tc>
          <w:tcPr>
            <w:tcW w:w="634" w:type="pct"/>
            <w:vAlign w:val="center"/>
          </w:tcPr>
          <w:p w14:paraId="6384A8D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0.013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734D0EB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1.182</w:t>
            </w:r>
          </w:p>
        </w:tc>
        <w:tc>
          <w:tcPr>
            <w:tcW w:w="844" w:type="pct"/>
            <w:vAlign w:val="center"/>
          </w:tcPr>
          <w:p w14:paraId="6E3BB7C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0.863-1.617</w:t>
            </w:r>
          </w:p>
        </w:tc>
        <w:tc>
          <w:tcPr>
            <w:tcW w:w="703" w:type="pct"/>
            <w:vAlign w:val="center"/>
          </w:tcPr>
          <w:p w14:paraId="04058FC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0.297</w:t>
            </w:r>
          </w:p>
        </w:tc>
      </w:tr>
      <w:tr w:rsidR="003E1E48" w:rsidRPr="001A1E09" w14:paraId="0C5515C0" w14:textId="77777777" w:rsidTr="005F1ED4">
        <w:trPr>
          <w:jc w:val="center"/>
        </w:trPr>
        <w:tc>
          <w:tcPr>
            <w:tcW w:w="1196" w:type="pct"/>
          </w:tcPr>
          <w:p w14:paraId="4252B54D" w14:textId="361AECDB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TNM stage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III/I-II</w:t>
            </w:r>
          </w:p>
        </w:tc>
        <w:tc>
          <w:tcPr>
            <w:tcW w:w="426" w:type="pct"/>
            <w:vAlign w:val="center"/>
          </w:tcPr>
          <w:p w14:paraId="7A021F9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1.067</w:t>
            </w:r>
          </w:p>
        </w:tc>
        <w:tc>
          <w:tcPr>
            <w:tcW w:w="703" w:type="pct"/>
            <w:vAlign w:val="center"/>
          </w:tcPr>
          <w:p w14:paraId="3E81DA4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0.745-1.529</w:t>
            </w:r>
          </w:p>
        </w:tc>
        <w:tc>
          <w:tcPr>
            <w:tcW w:w="634" w:type="pct"/>
            <w:vAlign w:val="center"/>
          </w:tcPr>
          <w:p w14:paraId="16A00FD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0.722</w:t>
            </w:r>
          </w:p>
        </w:tc>
        <w:tc>
          <w:tcPr>
            <w:tcW w:w="494" w:type="pct"/>
            <w:vAlign w:val="center"/>
          </w:tcPr>
          <w:p w14:paraId="158C857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1.431</w:t>
            </w:r>
          </w:p>
        </w:tc>
        <w:tc>
          <w:tcPr>
            <w:tcW w:w="844" w:type="pct"/>
            <w:vAlign w:val="center"/>
          </w:tcPr>
          <w:p w14:paraId="4AE928A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1.010-2.028</w:t>
            </w:r>
          </w:p>
        </w:tc>
        <w:tc>
          <w:tcPr>
            <w:tcW w:w="703" w:type="pct"/>
            <w:vAlign w:val="center"/>
          </w:tcPr>
          <w:p w14:paraId="6DCA7E1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0.044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73BB8678" w14:textId="77777777" w:rsidTr="005F1ED4">
        <w:trPr>
          <w:jc w:val="center"/>
        </w:trPr>
        <w:tc>
          <w:tcPr>
            <w:tcW w:w="1196" w:type="pct"/>
          </w:tcPr>
          <w:p w14:paraId="373019ED" w14:textId="2E9A6694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BCLC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B-C/0-A</w:t>
            </w:r>
          </w:p>
        </w:tc>
        <w:tc>
          <w:tcPr>
            <w:tcW w:w="426" w:type="pct"/>
            <w:vAlign w:val="center"/>
          </w:tcPr>
          <w:p w14:paraId="4B5F754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1.295</w:t>
            </w:r>
          </w:p>
        </w:tc>
        <w:tc>
          <w:tcPr>
            <w:tcW w:w="703" w:type="pct"/>
            <w:vAlign w:val="center"/>
          </w:tcPr>
          <w:p w14:paraId="28224ED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0.906-1.850</w:t>
            </w:r>
          </w:p>
        </w:tc>
        <w:tc>
          <w:tcPr>
            <w:tcW w:w="634" w:type="pct"/>
            <w:vAlign w:val="center"/>
          </w:tcPr>
          <w:p w14:paraId="4737CDE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0.156</w:t>
            </w:r>
          </w:p>
        </w:tc>
        <w:tc>
          <w:tcPr>
            <w:tcW w:w="494" w:type="pct"/>
            <w:vAlign w:val="center"/>
          </w:tcPr>
          <w:p w14:paraId="42E3B09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1.607</w:t>
            </w:r>
          </w:p>
        </w:tc>
        <w:tc>
          <w:tcPr>
            <w:tcW w:w="844" w:type="pct"/>
            <w:vAlign w:val="center"/>
          </w:tcPr>
          <w:p w14:paraId="33F9C91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1.150-2.246</w:t>
            </w:r>
          </w:p>
        </w:tc>
        <w:tc>
          <w:tcPr>
            <w:tcW w:w="703" w:type="pct"/>
            <w:vAlign w:val="center"/>
          </w:tcPr>
          <w:p w14:paraId="10A3B74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0.005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712614A8" w14:textId="77777777" w:rsidTr="005F1ED4">
        <w:trPr>
          <w:jc w:val="center"/>
        </w:trPr>
        <w:tc>
          <w:tcPr>
            <w:tcW w:w="1196" w:type="pct"/>
          </w:tcPr>
          <w:p w14:paraId="7C229BB5" w14:textId="54425D1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NLR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&gt;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2.62/≤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2.62</w:t>
            </w:r>
          </w:p>
        </w:tc>
        <w:tc>
          <w:tcPr>
            <w:tcW w:w="426" w:type="pct"/>
            <w:vAlign w:val="center"/>
          </w:tcPr>
          <w:p w14:paraId="56BC612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1.701</w:t>
            </w:r>
          </w:p>
        </w:tc>
        <w:tc>
          <w:tcPr>
            <w:tcW w:w="703" w:type="pct"/>
            <w:vAlign w:val="center"/>
          </w:tcPr>
          <w:p w14:paraId="13E8968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1.221-2.371</w:t>
            </w:r>
          </w:p>
        </w:tc>
        <w:tc>
          <w:tcPr>
            <w:tcW w:w="634" w:type="pct"/>
            <w:vAlign w:val="center"/>
          </w:tcPr>
          <w:p w14:paraId="5CE4503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0.002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3DE692F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1.422</w:t>
            </w:r>
          </w:p>
        </w:tc>
        <w:tc>
          <w:tcPr>
            <w:tcW w:w="844" w:type="pct"/>
            <w:vAlign w:val="center"/>
          </w:tcPr>
          <w:p w14:paraId="51A0FC0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1.057-1.912</w:t>
            </w:r>
          </w:p>
        </w:tc>
        <w:tc>
          <w:tcPr>
            <w:tcW w:w="703" w:type="pct"/>
            <w:vAlign w:val="center"/>
          </w:tcPr>
          <w:p w14:paraId="27F15A6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0.020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38FB666C" w14:textId="77777777" w:rsidTr="005F1ED4">
        <w:trPr>
          <w:jc w:val="center"/>
        </w:trPr>
        <w:tc>
          <w:tcPr>
            <w:tcW w:w="1196" w:type="pct"/>
          </w:tcPr>
          <w:p w14:paraId="5CF358CE" w14:textId="64C6F3F0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PLR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&gt;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103/≤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103</w:t>
            </w:r>
          </w:p>
        </w:tc>
        <w:tc>
          <w:tcPr>
            <w:tcW w:w="426" w:type="pct"/>
            <w:vAlign w:val="center"/>
          </w:tcPr>
          <w:p w14:paraId="7EA2C6B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1.366</w:t>
            </w:r>
          </w:p>
        </w:tc>
        <w:tc>
          <w:tcPr>
            <w:tcW w:w="703" w:type="pct"/>
            <w:vAlign w:val="center"/>
          </w:tcPr>
          <w:p w14:paraId="45ADC87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0.983-1.897</w:t>
            </w:r>
          </w:p>
        </w:tc>
        <w:tc>
          <w:tcPr>
            <w:tcW w:w="634" w:type="pct"/>
            <w:vAlign w:val="center"/>
          </w:tcPr>
          <w:p w14:paraId="36F1999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0.063</w:t>
            </w:r>
            <w:r w:rsidR="00D9669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6D9CF29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1.360</w:t>
            </w:r>
          </w:p>
        </w:tc>
        <w:tc>
          <w:tcPr>
            <w:tcW w:w="844" w:type="pct"/>
            <w:vAlign w:val="center"/>
          </w:tcPr>
          <w:p w14:paraId="39137D6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1.009-1.833</w:t>
            </w:r>
          </w:p>
        </w:tc>
        <w:tc>
          <w:tcPr>
            <w:tcW w:w="703" w:type="pct"/>
            <w:vAlign w:val="center"/>
          </w:tcPr>
          <w:p w14:paraId="3BBF67B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0.043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61E9166B" w14:textId="77777777" w:rsidTr="005F1ED4">
        <w:trPr>
          <w:jc w:val="center"/>
        </w:trPr>
        <w:tc>
          <w:tcPr>
            <w:tcW w:w="1196" w:type="pct"/>
          </w:tcPr>
          <w:p w14:paraId="1F950FE2" w14:textId="0CAD30B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GLR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&gt;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33.7/≤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33.7</w:t>
            </w:r>
          </w:p>
        </w:tc>
        <w:tc>
          <w:tcPr>
            <w:tcW w:w="426" w:type="pct"/>
            <w:vAlign w:val="center"/>
          </w:tcPr>
          <w:p w14:paraId="348F11F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2.316</w:t>
            </w:r>
          </w:p>
        </w:tc>
        <w:tc>
          <w:tcPr>
            <w:tcW w:w="703" w:type="pct"/>
            <w:vAlign w:val="center"/>
          </w:tcPr>
          <w:p w14:paraId="6FB1FC4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1.617-3.316</w:t>
            </w:r>
          </w:p>
        </w:tc>
        <w:tc>
          <w:tcPr>
            <w:tcW w:w="634" w:type="pct"/>
            <w:vAlign w:val="center"/>
          </w:tcPr>
          <w:p w14:paraId="1A287382" w14:textId="17C4B922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" w:type="pct"/>
            <w:vAlign w:val="center"/>
          </w:tcPr>
          <w:p w14:paraId="1CE406C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1.931</w:t>
            </w:r>
          </w:p>
        </w:tc>
        <w:tc>
          <w:tcPr>
            <w:tcW w:w="844" w:type="pct"/>
            <w:vAlign w:val="center"/>
          </w:tcPr>
          <w:p w14:paraId="72E52E9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1.413-2.639</w:t>
            </w:r>
          </w:p>
        </w:tc>
        <w:tc>
          <w:tcPr>
            <w:tcW w:w="703" w:type="pct"/>
            <w:vAlign w:val="center"/>
          </w:tcPr>
          <w:p w14:paraId="5D38AA46" w14:textId="70FF15CE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6480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</w:tbl>
    <w:p w14:paraId="460E02A7" w14:textId="5523F12C" w:rsidR="00DC617A" w:rsidRPr="001A1E09" w:rsidRDefault="0036480B" w:rsidP="001A1E09">
      <w:pPr>
        <w:adjustRightInd w:val="0"/>
        <w:snapToGrid w:val="0"/>
        <w:spacing w:line="360" w:lineRule="auto"/>
        <w:rPr>
          <w:rFonts w:ascii="Book Antiqua" w:hAnsi="Book Antiqua" w:cs="Times New Roman"/>
          <w:sz w:val="20"/>
          <w:szCs w:val="20"/>
        </w:rPr>
      </w:pPr>
      <w:r w:rsidRPr="001A1E09">
        <w:rPr>
          <w:rFonts w:ascii="Book Antiqua" w:hAnsi="Book Antiqua" w:cs="Times New Roman"/>
          <w:sz w:val="20"/>
          <w:szCs w:val="20"/>
          <w:vertAlign w:val="superscript"/>
        </w:rPr>
        <w:t>a</w:t>
      </w:r>
      <w:r w:rsidRPr="001A1E09">
        <w:rPr>
          <w:rFonts w:ascii="Book Antiqua" w:hAnsi="Book Antiqua" w:cs="Times New Roman"/>
          <w:i/>
          <w:sz w:val="20"/>
          <w:szCs w:val="20"/>
        </w:rPr>
        <w:t>P</w:t>
      </w:r>
      <w:r w:rsidR="00D9669B" w:rsidRPr="001A1E09">
        <w:rPr>
          <w:rFonts w:ascii="Book Antiqua" w:hAnsi="Book Antiqua" w:cs="Times New Roman"/>
          <w:sz w:val="20"/>
          <w:szCs w:val="20"/>
        </w:rPr>
        <w:t xml:space="preserve"> &lt; 0.10</w:t>
      </w:r>
      <w:r w:rsidRPr="001A1E09">
        <w:rPr>
          <w:rFonts w:ascii="Book Antiqua" w:hAnsi="Book Antiqua" w:cs="Times New Roman"/>
          <w:sz w:val="20"/>
          <w:szCs w:val="20"/>
        </w:rPr>
        <w:t xml:space="preserve">. </w:t>
      </w:r>
      <w:r w:rsidR="00DC617A" w:rsidRPr="001A1E09">
        <w:rPr>
          <w:rFonts w:ascii="Book Antiqua" w:hAnsi="Book Antiqua" w:cs="Times New Roman"/>
          <w:sz w:val="20"/>
          <w:szCs w:val="20"/>
        </w:rPr>
        <w:t>M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male; F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>Female</w:t>
      </w:r>
      <w:r w:rsidR="00DC617A" w:rsidRPr="001A1E09">
        <w:rPr>
          <w:rFonts w:ascii="Book Antiqua" w:hAnsi="Book Antiqua" w:cs="Times New Roman"/>
          <w:sz w:val="20"/>
          <w:szCs w:val="20"/>
        </w:rPr>
        <w:t>; HBV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Hepatitis </w:t>
      </w:r>
      <w:r w:rsidR="00DC617A" w:rsidRPr="001A1E09">
        <w:rPr>
          <w:rFonts w:ascii="Book Antiqua" w:hAnsi="Book Antiqua" w:cs="Times New Roman"/>
          <w:sz w:val="20"/>
          <w:szCs w:val="20"/>
        </w:rPr>
        <w:t>B virus; CA-199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: Carbohydrate </w:t>
      </w:r>
      <w:r w:rsidR="00DC617A" w:rsidRPr="001A1E09">
        <w:rPr>
          <w:rFonts w:ascii="Book Antiqua" w:hAnsi="Book Antiqua" w:cs="Times New Roman"/>
          <w:sz w:val="20"/>
          <w:szCs w:val="20"/>
        </w:rPr>
        <w:t>antigen-199; TNM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>Tumor</w:t>
      </w:r>
      <w:r w:rsidR="00DC617A" w:rsidRPr="001A1E09">
        <w:rPr>
          <w:rFonts w:ascii="Book Antiqua" w:hAnsi="Book Antiqua" w:cs="Times New Roman"/>
          <w:sz w:val="20"/>
          <w:szCs w:val="20"/>
        </w:rPr>
        <w:t>-node-metastasis; BCLC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Barcelona Clinic Liver Cancer; NLR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: Neutrophil </w:t>
      </w:r>
      <w:r w:rsidR="00DC617A" w:rsidRPr="001A1E09">
        <w:rPr>
          <w:rFonts w:ascii="Book Antiqua" w:hAnsi="Book Antiqua" w:cs="Times New Roman"/>
          <w:sz w:val="20"/>
          <w:szCs w:val="20"/>
        </w:rPr>
        <w:t>to lymphocyte ratio; PLR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Platelet </w:t>
      </w:r>
      <w:r w:rsidR="00DC617A" w:rsidRPr="001A1E09">
        <w:rPr>
          <w:rFonts w:ascii="Book Antiqua" w:hAnsi="Book Antiqua" w:cs="Times New Roman"/>
          <w:sz w:val="20"/>
          <w:szCs w:val="20"/>
        </w:rPr>
        <w:t>to lymphocyte ratio; GLR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>Gamma</w:t>
      </w:r>
      <w:r w:rsidR="00DC617A" w:rsidRPr="001A1E09">
        <w:rPr>
          <w:rFonts w:ascii="Book Antiqua" w:hAnsi="Book Antiqua" w:cs="Times New Roman"/>
          <w:sz w:val="20"/>
          <w:szCs w:val="20"/>
        </w:rPr>
        <w:t>-glutamyltransferase to lymphocyte ratio; HR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Hazard </w:t>
      </w:r>
      <w:r w:rsidR="00DC617A" w:rsidRPr="001A1E09">
        <w:rPr>
          <w:rFonts w:ascii="Book Antiqua" w:hAnsi="Book Antiqua" w:cs="Times New Roman"/>
          <w:sz w:val="20"/>
          <w:szCs w:val="20"/>
        </w:rPr>
        <w:t>ratio; CI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Confidence </w:t>
      </w:r>
      <w:r w:rsidR="00DC617A" w:rsidRPr="001A1E09">
        <w:rPr>
          <w:rFonts w:ascii="Book Antiqua" w:hAnsi="Book Antiqua" w:cs="Times New Roman"/>
          <w:sz w:val="20"/>
          <w:szCs w:val="20"/>
        </w:rPr>
        <w:t>interval.</w:t>
      </w:r>
    </w:p>
    <w:p w14:paraId="31A7EB38" w14:textId="77777777" w:rsidR="005F1ED4" w:rsidRPr="001A1E09" w:rsidRDefault="005F1ED4" w:rsidP="001A1E09">
      <w:pPr>
        <w:widowControl/>
        <w:snapToGrid w:val="0"/>
        <w:spacing w:line="360" w:lineRule="auto"/>
        <w:rPr>
          <w:rFonts w:ascii="Book Antiqua" w:hAnsi="Book Antiqua" w:cs="Times New Roman"/>
          <w:sz w:val="20"/>
          <w:szCs w:val="20"/>
        </w:rPr>
      </w:pPr>
      <w:r w:rsidRPr="001A1E09">
        <w:rPr>
          <w:rFonts w:ascii="Book Antiqua" w:hAnsi="Book Antiqua" w:cs="Times New Roman"/>
          <w:sz w:val="20"/>
          <w:szCs w:val="20"/>
        </w:rPr>
        <w:br w:type="page"/>
      </w:r>
    </w:p>
    <w:p w14:paraId="07632015" w14:textId="5A1D508C" w:rsidR="00DC617A" w:rsidRPr="001A1E09" w:rsidRDefault="00DC617A" w:rsidP="001A1E09">
      <w:pPr>
        <w:adjustRightInd w:val="0"/>
        <w:snapToGrid w:val="0"/>
        <w:spacing w:line="360" w:lineRule="auto"/>
        <w:rPr>
          <w:rFonts w:ascii="Book Antiqua" w:hAnsi="Book Antiqua" w:cs="Times New Roman"/>
          <w:sz w:val="20"/>
          <w:szCs w:val="20"/>
        </w:rPr>
      </w:pPr>
      <w:r w:rsidRPr="001A1E09">
        <w:rPr>
          <w:rFonts w:ascii="Book Antiqua" w:hAnsi="Book Antiqua" w:cs="Times New Roman"/>
          <w:b/>
          <w:sz w:val="20"/>
          <w:szCs w:val="20"/>
        </w:rPr>
        <w:lastRenderedPageBreak/>
        <w:t>Table 3 Univariate an</w:t>
      </w:r>
      <w:r w:rsidR="00707FF9" w:rsidRPr="001A1E09">
        <w:rPr>
          <w:rFonts w:ascii="Book Antiqua" w:hAnsi="Book Antiqua" w:cs="Times New Roman"/>
          <w:b/>
          <w:sz w:val="20"/>
          <w:szCs w:val="20"/>
        </w:rPr>
        <w:t>alysis in the validation cohort</w:t>
      </w:r>
    </w:p>
    <w:tbl>
      <w:tblPr>
        <w:tblStyle w:val="a9"/>
        <w:tblW w:w="580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61"/>
        <w:gridCol w:w="1576"/>
        <w:gridCol w:w="1263"/>
        <w:gridCol w:w="1102"/>
        <w:gridCol w:w="1574"/>
        <w:gridCol w:w="1267"/>
      </w:tblGrid>
      <w:tr w:rsidR="003E1E48" w:rsidRPr="001A1E09" w14:paraId="170480A6" w14:textId="77777777" w:rsidTr="005006AD">
        <w:trPr>
          <w:jc w:val="center"/>
        </w:trPr>
        <w:tc>
          <w:tcPr>
            <w:tcW w:w="1255" w:type="pct"/>
            <w:vMerge w:val="restart"/>
            <w:tcBorders>
              <w:top w:val="single" w:sz="6" w:space="0" w:color="auto"/>
            </w:tcBorders>
            <w:vAlign w:val="center"/>
          </w:tcPr>
          <w:p w14:paraId="00D26EC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1909" w:type="pct"/>
            <w:gridSpan w:val="3"/>
            <w:tcBorders>
              <w:top w:val="single" w:sz="6" w:space="0" w:color="auto"/>
            </w:tcBorders>
            <w:vAlign w:val="center"/>
          </w:tcPr>
          <w:p w14:paraId="23F02454" w14:textId="77777777" w:rsidR="00DC617A" w:rsidRPr="001A1E09" w:rsidRDefault="00DC617A" w:rsidP="005006A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Overall survival</w:t>
            </w:r>
          </w:p>
        </w:tc>
        <w:tc>
          <w:tcPr>
            <w:tcW w:w="1837" w:type="pct"/>
            <w:gridSpan w:val="3"/>
            <w:tcBorders>
              <w:top w:val="single" w:sz="6" w:space="0" w:color="auto"/>
            </w:tcBorders>
            <w:vAlign w:val="center"/>
          </w:tcPr>
          <w:p w14:paraId="4EAE7D2A" w14:textId="77777777" w:rsidR="00DC617A" w:rsidRPr="001A1E09" w:rsidRDefault="00DC617A" w:rsidP="005006A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Recurrence-free survival</w:t>
            </w:r>
          </w:p>
        </w:tc>
      </w:tr>
      <w:tr w:rsidR="003E1E48" w:rsidRPr="001A1E09" w14:paraId="41CE2DD3" w14:textId="77777777" w:rsidTr="005006AD">
        <w:trPr>
          <w:jc w:val="center"/>
        </w:trPr>
        <w:tc>
          <w:tcPr>
            <w:tcW w:w="1255" w:type="pct"/>
            <w:vMerge/>
            <w:tcBorders>
              <w:bottom w:val="single" w:sz="6" w:space="0" w:color="auto"/>
            </w:tcBorders>
            <w:vAlign w:val="center"/>
          </w:tcPr>
          <w:p w14:paraId="22C82DE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bottom w:val="single" w:sz="6" w:space="0" w:color="auto"/>
            </w:tcBorders>
            <w:vAlign w:val="center"/>
          </w:tcPr>
          <w:p w14:paraId="7496E431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734" w:type="pct"/>
            <w:tcBorders>
              <w:bottom w:val="single" w:sz="6" w:space="0" w:color="auto"/>
            </w:tcBorders>
            <w:vAlign w:val="center"/>
          </w:tcPr>
          <w:p w14:paraId="5BBD18BF" w14:textId="5674BD0F" w:rsidR="00DC617A" w:rsidRPr="001A1E09" w:rsidRDefault="005F1ED4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95%</w:t>
            </w:r>
            <w:r w:rsidR="00DC617A" w:rsidRPr="001A1E09">
              <w:rPr>
                <w:rFonts w:ascii="Book Antiqua" w:hAnsi="Book Antiqua" w:cs="Times New Roman"/>
                <w:b/>
                <w:sz w:val="20"/>
                <w:szCs w:val="20"/>
              </w:rPr>
              <w:t>CI</w:t>
            </w:r>
          </w:p>
        </w:tc>
        <w:tc>
          <w:tcPr>
            <w:tcW w:w="588" w:type="pct"/>
            <w:tcBorders>
              <w:bottom w:val="single" w:sz="6" w:space="0" w:color="auto"/>
            </w:tcBorders>
            <w:vAlign w:val="center"/>
          </w:tcPr>
          <w:p w14:paraId="006B356D" w14:textId="429AD59F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i/>
                <w:sz w:val="20"/>
                <w:szCs w:val="20"/>
              </w:rPr>
              <w:t>P</w:t>
            </w:r>
            <w:r w:rsidR="005F1ED4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value</w:t>
            </w:r>
          </w:p>
        </w:tc>
        <w:tc>
          <w:tcPr>
            <w:tcW w:w="513" w:type="pct"/>
            <w:tcBorders>
              <w:bottom w:val="single" w:sz="6" w:space="0" w:color="auto"/>
            </w:tcBorders>
            <w:vAlign w:val="center"/>
          </w:tcPr>
          <w:p w14:paraId="2BED488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733" w:type="pct"/>
            <w:tcBorders>
              <w:bottom w:val="single" w:sz="6" w:space="0" w:color="auto"/>
            </w:tcBorders>
            <w:vAlign w:val="center"/>
          </w:tcPr>
          <w:p w14:paraId="49032F4A" w14:textId="70612B52" w:rsidR="00DC617A" w:rsidRPr="001A1E09" w:rsidRDefault="005F1ED4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95%</w:t>
            </w:r>
            <w:r w:rsidR="00DC617A" w:rsidRPr="001A1E09">
              <w:rPr>
                <w:rFonts w:ascii="Book Antiqua" w:hAnsi="Book Antiqua" w:cs="Times New Roman"/>
                <w:b/>
                <w:sz w:val="20"/>
                <w:szCs w:val="20"/>
              </w:rPr>
              <w:t>CI</w:t>
            </w:r>
          </w:p>
        </w:tc>
        <w:tc>
          <w:tcPr>
            <w:tcW w:w="591" w:type="pct"/>
            <w:tcBorders>
              <w:bottom w:val="single" w:sz="6" w:space="0" w:color="auto"/>
            </w:tcBorders>
            <w:vAlign w:val="center"/>
          </w:tcPr>
          <w:p w14:paraId="1A3A1898" w14:textId="3F1D4E3B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i/>
                <w:sz w:val="20"/>
                <w:szCs w:val="20"/>
              </w:rPr>
              <w:t>P</w:t>
            </w:r>
            <w:r w:rsidR="005F1ED4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value</w:t>
            </w:r>
          </w:p>
        </w:tc>
      </w:tr>
      <w:tr w:rsidR="003E1E48" w:rsidRPr="001A1E09" w14:paraId="6594D33C" w14:textId="77777777" w:rsidTr="005006AD">
        <w:trPr>
          <w:jc w:val="center"/>
        </w:trPr>
        <w:tc>
          <w:tcPr>
            <w:tcW w:w="1255" w:type="pct"/>
            <w:tcBorders>
              <w:top w:val="single" w:sz="6" w:space="0" w:color="auto"/>
            </w:tcBorders>
            <w:vAlign w:val="center"/>
          </w:tcPr>
          <w:p w14:paraId="1DC0D0BF" w14:textId="0E43E9AE" w:rsidR="00DC617A" w:rsidRPr="001A1E09" w:rsidRDefault="005F1ED4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Age</w:t>
            </w:r>
          </w:p>
        </w:tc>
        <w:tc>
          <w:tcPr>
            <w:tcW w:w="587" w:type="pct"/>
            <w:tcBorders>
              <w:top w:val="single" w:sz="6" w:space="0" w:color="auto"/>
            </w:tcBorders>
            <w:vAlign w:val="center"/>
          </w:tcPr>
          <w:p w14:paraId="0914E1B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0.996</w:t>
            </w:r>
          </w:p>
        </w:tc>
        <w:tc>
          <w:tcPr>
            <w:tcW w:w="734" w:type="pct"/>
            <w:tcBorders>
              <w:top w:val="single" w:sz="6" w:space="0" w:color="auto"/>
            </w:tcBorders>
            <w:vAlign w:val="center"/>
          </w:tcPr>
          <w:p w14:paraId="0124EBE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0.981-1.011</w:t>
            </w:r>
          </w:p>
        </w:tc>
        <w:tc>
          <w:tcPr>
            <w:tcW w:w="588" w:type="pct"/>
            <w:tcBorders>
              <w:top w:val="single" w:sz="6" w:space="0" w:color="auto"/>
            </w:tcBorders>
            <w:vAlign w:val="center"/>
          </w:tcPr>
          <w:p w14:paraId="007AA10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0.594</w:t>
            </w:r>
          </w:p>
        </w:tc>
        <w:tc>
          <w:tcPr>
            <w:tcW w:w="513" w:type="pct"/>
            <w:tcBorders>
              <w:top w:val="single" w:sz="6" w:space="0" w:color="auto"/>
            </w:tcBorders>
            <w:vAlign w:val="center"/>
          </w:tcPr>
          <w:p w14:paraId="7B809ED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0.990</w:t>
            </w:r>
          </w:p>
        </w:tc>
        <w:tc>
          <w:tcPr>
            <w:tcW w:w="733" w:type="pct"/>
            <w:tcBorders>
              <w:top w:val="single" w:sz="6" w:space="0" w:color="auto"/>
            </w:tcBorders>
            <w:vAlign w:val="center"/>
          </w:tcPr>
          <w:p w14:paraId="105BDD1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0.976-1.004</w:t>
            </w:r>
          </w:p>
        </w:tc>
        <w:tc>
          <w:tcPr>
            <w:tcW w:w="591" w:type="pct"/>
            <w:tcBorders>
              <w:top w:val="single" w:sz="6" w:space="0" w:color="auto"/>
            </w:tcBorders>
            <w:vAlign w:val="center"/>
          </w:tcPr>
          <w:p w14:paraId="2F3D814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0.148</w:t>
            </w:r>
          </w:p>
        </w:tc>
      </w:tr>
      <w:tr w:rsidR="003E1E48" w:rsidRPr="001A1E09" w14:paraId="7E0967A1" w14:textId="77777777" w:rsidTr="005006AD">
        <w:trPr>
          <w:jc w:val="center"/>
        </w:trPr>
        <w:tc>
          <w:tcPr>
            <w:tcW w:w="1255" w:type="pct"/>
            <w:vAlign w:val="center"/>
          </w:tcPr>
          <w:p w14:paraId="19789438" w14:textId="0CD8068B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Gender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F/M</w:t>
            </w:r>
          </w:p>
        </w:tc>
        <w:tc>
          <w:tcPr>
            <w:tcW w:w="587" w:type="pct"/>
            <w:vAlign w:val="center"/>
          </w:tcPr>
          <w:p w14:paraId="41DADFA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0.907</w:t>
            </w:r>
          </w:p>
        </w:tc>
        <w:tc>
          <w:tcPr>
            <w:tcW w:w="734" w:type="pct"/>
            <w:vAlign w:val="center"/>
          </w:tcPr>
          <w:p w14:paraId="04C2725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0.667-1.233</w:t>
            </w:r>
          </w:p>
        </w:tc>
        <w:tc>
          <w:tcPr>
            <w:tcW w:w="588" w:type="pct"/>
            <w:vAlign w:val="center"/>
          </w:tcPr>
          <w:p w14:paraId="32AA472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0.534</w:t>
            </w:r>
          </w:p>
        </w:tc>
        <w:tc>
          <w:tcPr>
            <w:tcW w:w="513" w:type="pct"/>
            <w:vAlign w:val="center"/>
          </w:tcPr>
          <w:p w14:paraId="4979910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0.920</w:t>
            </w:r>
          </w:p>
        </w:tc>
        <w:tc>
          <w:tcPr>
            <w:tcW w:w="733" w:type="pct"/>
            <w:vAlign w:val="center"/>
          </w:tcPr>
          <w:p w14:paraId="57BE2AF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0.695-1.218</w:t>
            </w:r>
          </w:p>
        </w:tc>
        <w:tc>
          <w:tcPr>
            <w:tcW w:w="591" w:type="pct"/>
            <w:vAlign w:val="center"/>
          </w:tcPr>
          <w:p w14:paraId="358302A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0.560</w:t>
            </w:r>
          </w:p>
        </w:tc>
      </w:tr>
      <w:tr w:rsidR="003E1E48" w:rsidRPr="001A1E09" w14:paraId="0FE699B5" w14:textId="77777777" w:rsidTr="005006AD">
        <w:trPr>
          <w:jc w:val="center"/>
        </w:trPr>
        <w:tc>
          <w:tcPr>
            <w:tcW w:w="1255" w:type="pct"/>
          </w:tcPr>
          <w:p w14:paraId="49D976B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HBsAg</w:t>
            </w:r>
          </w:p>
        </w:tc>
        <w:tc>
          <w:tcPr>
            <w:tcW w:w="587" w:type="pct"/>
            <w:vAlign w:val="center"/>
          </w:tcPr>
          <w:p w14:paraId="36ABFB4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1.004</w:t>
            </w:r>
          </w:p>
        </w:tc>
        <w:tc>
          <w:tcPr>
            <w:tcW w:w="734" w:type="pct"/>
            <w:vAlign w:val="center"/>
          </w:tcPr>
          <w:p w14:paraId="7ED2F65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0.717-1.405</w:t>
            </w:r>
          </w:p>
        </w:tc>
        <w:tc>
          <w:tcPr>
            <w:tcW w:w="588" w:type="pct"/>
            <w:vAlign w:val="center"/>
          </w:tcPr>
          <w:p w14:paraId="7E40EF2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0.982</w:t>
            </w:r>
          </w:p>
        </w:tc>
        <w:tc>
          <w:tcPr>
            <w:tcW w:w="513" w:type="pct"/>
            <w:vAlign w:val="center"/>
          </w:tcPr>
          <w:p w14:paraId="1C24522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1.110</w:t>
            </w:r>
          </w:p>
        </w:tc>
        <w:tc>
          <w:tcPr>
            <w:tcW w:w="733" w:type="pct"/>
            <w:vAlign w:val="center"/>
          </w:tcPr>
          <w:p w14:paraId="3870CD61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0.819-1.505</w:t>
            </w:r>
          </w:p>
        </w:tc>
        <w:tc>
          <w:tcPr>
            <w:tcW w:w="591" w:type="pct"/>
            <w:vAlign w:val="center"/>
          </w:tcPr>
          <w:p w14:paraId="5A83DDF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0.500</w:t>
            </w:r>
          </w:p>
        </w:tc>
      </w:tr>
      <w:tr w:rsidR="003E1E48" w:rsidRPr="001A1E09" w14:paraId="23828233" w14:textId="77777777" w:rsidTr="005006AD">
        <w:trPr>
          <w:jc w:val="center"/>
        </w:trPr>
        <w:tc>
          <w:tcPr>
            <w:tcW w:w="1255" w:type="pct"/>
          </w:tcPr>
          <w:p w14:paraId="1CA373D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Hepatolithiasis</w:t>
            </w:r>
          </w:p>
        </w:tc>
        <w:tc>
          <w:tcPr>
            <w:tcW w:w="587" w:type="pct"/>
            <w:vAlign w:val="center"/>
          </w:tcPr>
          <w:p w14:paraId="459FFD0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1.092</w:t>
            </w:r>
          </w:p>
        </w:tc>
        <w:tc>
          <w:tcPr>
            <w:tcW w:w="734" w:type="pct"/>
            <w:vAlign w:val="center"/>
          </w:tcPr>
          <w:p w14:paraId="25BC0F41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0.744-1.602</w:t>
            </w:r>
          </w:p>
        </w:tc>
        <w:tc>
          <w:tcPr>
            <w:tcW w:w="588" w:type="pct"/>
            <w:vAlign w:val="center"/>
          </w:tcPr>
          <w:p w14:paraId="3AA1EC2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0.654</w:t>
            </w:r>
          </w:p>
        </w:tc>
        <w:tc>
          <w:tcPr>
            <w:tcW w:w="513" w:type="pct"/>
            <w:vAlign w:val="center"/>
          </w:tcPr>
          <w:p w14:paraId="70EE8A0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0.799</w:t>
            </w:r>
          </w:p>
        </w:tc>
        <w:tc>
          <w:tcPr>
            <w:tcW w:w="733" w:type="pct"/>
            <w:vAlign w:val="center"/>
          </w:tcPr>
          <w:p w14:paraId="0A334A21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0.551-1.158</w:t>
            </w:r>
          </w:p>
        </w:tc>
        <w:tc>
          <w:tcPr>
            <w:tcW w:w="591" w:type="pct"/>
            <w:vAlign w:val="center"/>
          </w:tcPr>
          <w:p w14:paraId="6CAF7E0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0.236</w:t>
            </w:r>
          </w:p>
        </w:tc>
      </w:tr>
      <w:tr w:rsidR="003E1E48" w:rsidRPr="001A1E09" w14:paraId="3C707DE1" w14:textId="77777777" w:rsidTr="005006AD">
        <w:trPr>
          <w:jc w:val="center"/>
        </w:trPr>
        <w:tc>
          <w:tcPr>
            <w:tcW w:w="1255" w:type="pct"/>
          </w:tcPr>
          <w:p w14:paraId="60C9A615" w14:textId="7C8BE21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Child-Pugh grade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A /B</w:t>
            </w:r>
          </w:p>
        </w:tc>
        <w:tc>
          <w:tcPr>
            <w:tcW w:w="587" w:type="pct"/>
            <w:vAlign w:val="center"/>
          </w:tcPr>
          <w:p w14:paraId="32F55F6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0.852</w:t>
            </w:r>
          </w:p>
        </w:tc>
        <w:tc>
          <w:tcPr>
            <w:tcW w:w="734" w:type="pct"/>
            <w:vAlign w:val="center"/>
          </w:tcPr>
          <w:p w14:paraId="0A58C75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0.435-1.671</w:t>
            </w:r>
          </w:p>
        </w:tc>
        <w:tc>
          <w:tcPr>
            <w:tcW w:w="588" w:type="pct"/>
            <w:vAlign w:val="center"/>
          </w:tcPr>
          <w:p w14:paraId="0AE4D3F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0.642</w:t>
            </w:r>
          </w:p>
        </w:tc>
        <w:tc>
          <w:tcPr>
            <w:tcW w:w="513" w:type="pct"/>
            <w:vAlign w:val="center"/>
          </w:tcPr>
          <w:p w14:paraId="07A45F6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0.751</w:t>
            </w:r>
          </w:p>
        </w:tc>
        <w:tc>
          <w:tcPr>
            <w:tcW w:w="733" w:type="pct"/>
            <w:vAlign w:val="center"/>
          </w:tcPr>
          <w:p w14:paraId="47ECE6D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0.418-1.350</w:t>
            </w:r>
          </w:p>
        </w:tc>
        <w:tc>
          <w:tcPr>
            <w:tcW w:w="591" w:type="pct"/>
            <w:vAlign w:val="center"/>
          </w:tcPr>
          <w:p w14:paraId="666143B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0.339</w:t>
            </w:r>
          </w:p>
        </w:tc>
      </w:tr>
      <w:tr w:rsidR="003E1E48" w:rsidRPr="001A1E09" w14:paraId="62508EFA" w14:textId="77777777" w:rsidTr="005006AD">
        <w:trPr>
          <w:jc w:val="center"/>
        </w:trPr>
        <w:tc>
          <w:tcPr>
            <w:tcW w:w="1255" w:type="pct"/>
          </w:tcPr>
          <w:p w14:paraId="429A00DF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Ascites</w:t>
            </w:r>
          </w:p>
        </w:tc>
        <w:tc>
          <w:tcPr>
            <w:tcW w:w="587" w:type="pct"/>
            <w:vAlign w:val="center"/>
          </w:tcPr>
          <w:p w14:paraId="2920469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1.440</w:t>
            </w:r>
          </w:p>
        </w:tc>
        <w:tc>
          <w:tcPr>
            <w:tcW w:w="734" w:type="pct"/>
            <w:vAlign w:val="center"/>
          </w:tcPr>
          <w:p w14:paraId="56404DE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0.871-2.382</w:t>
            </w:r>
          </w:p>
        </w:tc>
        <w:tc>
          <w:tcPr>
            <w:tcW w:w="588" w:type="pct"/>
            <w:vAlign w:val="center"/>
          </w:tcPr>
          <w:p w14:paraId="7BF9118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0.155</w:t>
            </w:r>
          </w:p>
        </w:tc>
        <w:tc>
          <w:tcPr>
            <w:tcW w:w="513" w:type="pct"/>
            <w:vAlign w:val="center"/>
          </w:tcPr>
          <w:p w14:paraId="1D22188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1.580</w:t>
            </w:r>
          </w:p>
        </w:tc>
        <w:tc>
          <w:tcPr>
            <w:tcW w:w="733" w:type="pct"/>
            <w:vAlign w:val="center"/>
          </w:tcPr>
          <w:p w14:paraId="4013943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1.004-2.487</w:t>
            </w:r>
          </w:p>
        </w:tc>
        <w:tc>
          <w:tcPr>
            <w:tcW w:w="591" w:type="pct"/>
            <w:vAlign w:val="center"/>
          </w:tcPr>
          <w:p w14:paraId="4A2AAD8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0.048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60CA00E3" w14:textId="77777777" w:rsidTr="005006AD">
        <w:trPr>
          <w:jc w:val="center"/>
        </w:trPr>
        <w:tc>
          <w:tcPr>
            <w:tcW w:w="1255" w:type="pct"/>
          </w:tcPr>
          <w:p w14:paraId="4789F2B9" w14:textId="0F73D32A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CA-199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≥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22/&lt;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22</w:t>
            </w:r>
          </w:p>
        </w:tc>
        <w:tc>
          <w:tcPr>
            <w:tcW w:w="587" w:type="pct"/>
            <w:vAlign w:val="center"/>
          </w:tcPr>
          <w:p w14:paraId="12317E3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1.744</w:t>
            </w:r>
          </w:p>
        </w:tc>
        <w:tc>
          <w:tcPr>
            <w:tcW w:w="734" w:type="pct"/>
            <w:vAlign w:val="center"/>
          </w:tcPr>
          <w:p w14:paraId="0FC504F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1.390-2.188</w:t>
            </w:r>
          </w:p>
        </w:tc>
        <w:tc>
          <w:tcPr>
            <w:tcW w:w="588" w:type="pct"/>
            <w:vAlign w:val="center"/>
          </w:tcPr>
          <w:p w14:paraId="145C358D" w14:textId="2A215B5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D9669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3" w:type="pct"/>
            <w:vAlign w:val="center"/>
          </w:tcPr>
          <w:p w14:paraId="307F101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1.402</w:t>
            </w:r>
          </w:p>
        </w:tc>
        <w:tc>
          <w:tcPr>
            <w:tcW w:w="733" w:type="pct"/>
            <w:vAlign w:val="center"/>
          </w:tcPr>
          <w:p w14:paraId="1598AF6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1.140-1.722</w:t>
            </w:r>
          </w:p>
        </w:tc>
        <w:tc>
          <w:tcPr>
            <w:tcW w:w="591" w:type="pct"/>
            <w:vAlign w:val="center"/>
          </w:tcPr>
          <w:p w14:paraId="1D8DB79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32A67C6E" w14:textId="77777777" w:rsidTr="005006AD">
        <w:trPr>
          <w:jc w:val="center"/>
        </w:trPr>
        <w:tc>
          <w:tcPr>
            <w:tcW w:w="1255" w:type="pct"/>
          </w:tcPr>
          <w:p w14:paraId="4090F229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Tumor size</w:t>
            </w:r>
          </w:p>
        </w:tc>
        <w:tc>
          <w:tcPr>
            <w:tcW w:w="587" w:type="pct"/>
            <w:vAlign w:val="center"/>
          </w:tcPr>
          <w:p w14:paraId="13A6E5B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1.054</w:t>
            </w:r>
          </w:p>
        </w:tc>
        <w:tc>
          <w:tcPr>
            <w:tcW w:w="734" w:type="pct"/>
            <w:vAlign w:val="center"/>
          </w:tcPr>
          <w:p w14:paraId="04C84B2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0.997-1.115</w:t>
            </w:r>
          </w:p>
        </w:tc>
        <w:tc>
          <w:tcPr>
            <w:tcW w:w="588" w:type="pct"/>
            <w:vAlign w:val="center"/>
          </w:tcPr>
          <w:p w14:paraId="12F788D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0.064</w:t>
            </w:r>
            <w:r w:rsidR="00D9669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3" w:type="pct"/>
            <w:vAlign w:val="center"/>
          </w:tcPr>
          <w:p w14:paraId="3D4A1F2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1.084</w:t>
            </w:r>
          </w:p>
        </w:tc>
        <w:tc>
          <w:tcPr>
            <w:tcW w:w="733" w:type="pct"/>
            <w:vAlign w:val="center"/>
          </w:tcPr>
          <w:p w14:paraId="5F9A4D6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1.030-1.141</w:t>
            </w:r>
          </w:p>
        </w:tc>
        <w:tc>
          <w:tcPr>
            <w:tcW w:w="591" w:type="pct"/>
            <w:vAlign w:val="center"/>
          </w:tcPr>
          <w:p w14:paraId="3D9906C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0.002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5B79A0A4" w14:textId="77777777" w:rsidTr="005006AD">
        <w:trPr>
          <w:jc w:val="center"/>
        </w:trPr>
        <w:tc>
          <w:tcPr>
            <w:tcW w:w="1255" w:type="pct"/>
          </w:tcPr>
          <w:p w14:paraId="380043E8" w14:textId="54F0C9AA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Tumor number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Multiple/Single</w:t>
            </w:r>
          </w:p>
        </w:tc>
        <w:tc>
          <w:tcPr>
            <w:tcW w:w="587" w:type="pct"/>
            <w:vAlign w:val="center"/>
          </w:tcPr>
          <w:p w14:paraId="7D39DAB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1.845</w:t>
            </w:r>
          </w:p>
        </w:tc>
        <w:tc>
          <w:tcPr>
            <w:tcW w:w="734" w:type="pct"/>
            <w:vAlign w:val="center"/>
          </w:tcPr>
          <w:p w14:paraId="2F89A57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1.344-2.531</w:t>
            </w:r>
          </w:p>
        </w:tc>
        <w:tc>
          <w:tcPr>
            <w:tcW w:w="588" w:type="pct"/>
            <w:vAlign w:val="center"/>
          </w:tcPr>
          <w:p w14:paraId="4E9D4BD9" w14:textId="42A7602C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D9669B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3" w:type="pct"/>
            <w:vAlign w:val="center"/>
          </w:tcPr>
          <w:p w14:paraId="0373B59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1.874</w:t>
            </w:r>
          </w:p>
        </w:tc>
        <w:tc>
          <w:tcPr>
            <w:tcW w:w="733" w:type="pct"/>
            <w:vAlign w:val="center"/>
          </w:tcPr>
          <w:p w14:paraId="090997E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1.397-2.513</w:t>
            </w:r>
          </w:p>
        </w:tc>
        <w:tc>
          <w:tcPr>
            <w:tcW w:w="591" w:type="pct"/>
            <w:vAlign w:val="center"/>
          </w:tcPr>
          <w:p w14:paraId="5015480B" w14:textId="57390CA8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3BB9B56B" w14:textId="77777777" w:rsidTr="005006AD">
        <w:trPr>
          <w:jc w:val="center"/>
        </w:trPr>
        <w:tc>
          <w:tcPr>
            <w:tcW w:w="1255" w:type="pct"/>
          </w:tcPr>
          <w:p w14:paraId="64149AD4" w14:textId="1830309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Tumor differentiation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 xml:space="preserve">,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Moderate-Poor/Well</w:t>
            </w:r>
          </w:p>
        </w:tc>
        <w:tc>
          <w:tcPr>
            <w:tcW w:w="587" w:type="pct"/>
            <w:vAlign w:val="center"/>
          </w:tcPr>
          <w:p w14:paraId="05849C6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13.449</w:t>
            </w:r>
          </w:p>
        </w:tc>
        <w:tc>
          <w:tcPr>
            <w:tcW w:w="734" w:type="pct"/>
            <w:vAlign w:val="center"/>
          </w:tcPr>
          <w:p w14:paraId="4B709F5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1.881-96.150</w:t>
            </w:r>
          </w:p>
        </w:tc>
        <w:tc>
          <w:tcPr>
            <w:tcW w:w="588" w:type="pct"/>
            <w:vAlign w:val="center"/>
          </w:tcPr>
          <w:p w14:paraId="3A9CAAF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0.010</w:t>
            </w:r>
          </w:p>
        </w:tc>
        <w:tc>
          <w:tcPr>
            <w:tcW w:w="513" w:type="pct"/>
            <w:vAlign w:val="center"/>
          </w:tcPr>
          <w:p w14:paraId="2758671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6.053</w:t>
            </w:r>
          </w:p>
        </w:tc>
        <w:tc>
          <w:tcPr>
            <w:tcW w:w="733" w:type="pct"/>
            <w:vAlign w:val="center"/>
          </w:tcPr>
          <w:p w14:paraId="05783D5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1.930-18.982</w:t>
            </w:r>
          </w:p>
        </w:tc>
        <w:tc>
          <w:tcPr>
            <w:tcW w:w="591" w:type="pct"/>
            <w:vAlign w:val="center"/>
          </w:tcPr>
          <w:p w14:paraId="70D5235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0.002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2569EA43" w14:textId="77777777" w:rsidTr="005006AD">
        <w:trPr>
          <w:jc w:val="center"/>
        </w:trPr>
        <w:tc>
          <w:tcPr>
            <w:tcW w:w="1255" w:type="pct"/>
          </w:tcPr>
          <w:p w14:paraId="5E71AA9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Macrovascular invasion</w:t>
            </w:r>
          </w:p>
        </w:tc>
        <w:tc>
          <w:tcPr>
            <w:tcW w:w="587" w:type="pct"/>
            <w:vAlign w:val="center"/>
          </w:tcPr>
          <w:p w14:paraId="49AAC2E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1.050</w:t>
            </w:r>
          </w:p>
        </w:tc>
        <w:tc>
          <w:tcPr>
            <w:tcW w:w="734" w:type="pct"/>
            <w:vAlign w:val="center"/>
          </w:tcPr>
          <w:p w14:paraId="370382B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0.730-1.511</w:t>
            </w:r>
          </w:p>
        </w:tc>
        <w:tc>
          <w:tcPr>
            <w:tcW w:w="588" w:type="pct"/>
            <w:vAlign w:val="center"/>
          </w:tcPr>
          <w:p w14:paraId="1CBA70D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0.792</w:t>
            </w:r>
          </w:p>
        </w:tc>
        <w:tc>
          <w:tcPr>
            <w:tcW w:w="513" w:type="pct"/>
            <w:vAlign w:val="center"/>
          </w:tcPr>
          <w:p w14:paraId="3786963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1.009</w:t>
            </w:r>
          </w:p>
        </w:tc>
        <w:tc>
          <w:tcPr>
            <w:tcW w:w="733" w:type="pct"/>
            <w:vAlign w:val="center"/>
          </w:tcPr>
          <w:p w14:paraId="413E37E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0.718-1.418</w:t>
            </w:r>
          </w:p>
        </w:tc>
        <w:tc>
          <w:tcPr>
            <w:tcW w:w="591" w:type="pct"/>
            <w:vAlign w:val="center"/>
          </w:tcPr>
          <w:p w14:paraId="0AF2F33C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0.959</w:t>
            </w:r>
          </w:p>
        </w:tc>
      </w:tr>
      <w:tr w:rsidR="003E1E48" w:rsidRPr="001A1E09" w14:paraId="7512796F" w14:textId="77777777" w:rsidTr="005006AD">
        <w:trPr>
          <w:jc w:val="center"/>
        </w:trPr>
        <w:tc>
          <w:tcPr>
            <w:tcW w:w="1255" w:type="pct"/>
          </w:tcPr>
          <w:p w14:paraId="6B4CDF48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Microvascular invasion</w:t>
            </w:r>
          </w:p>
        </w:tc>
        <w:tc>
          <w:tcPr>
            <w:tcW w:w="587" w:type="pct"/>
            <w:vAlign w:val="center"/>
          </w:tcPr>
          <w:p w14:paraId="7F1ED04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1.995</w:t>
            </w:r>
          </w:p>
        </w:tc>
        <w:tc>
          <w:tcPr>
            <w:tcW w:w="734" w:type="pct"/>
            <w:vAlign w:val="center"/>
          </w:tcPr>
          <w:p w14:paraId="5C292F3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1.228-3.242</w:t>
            </w:r>
          </w:p>
        </w:tc>
        <w:tc>
          <w:tcPr>
            <w:tcW w:w="588" w:type="pct"/>
            <w:vAlign w:val="center"/>
          </w:tcPr>
          <w:p w14:paraId="330497A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0.005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3" w:type="pct"/>
            <w:vAlign w:val="center"/>
          </w:tcPr>
          <w:p w14:paraId="523B09F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2.023</w:t>
            </w:r>
          </w:p>
        </w:tc>
        <w:tc>
          <w:tcPr>
            <w:tcW w:w="733" w:type="pct"/>
            <w:vAlign w:val="center"/>
          </w:tcPr>
          <w:p w14:paraId="3DF9D47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1.290-3.172</w:t>
            </w:r>
          </w:p>
        </w:tc>
        <w:tc>
          <w:tcPr>
            <w:tcW w:w="591" w:type="pct"/>
            <w:vAlign w:val="center"/>
          </w:tcPr>
          <w:p w14:paraId="3459D37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0.002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02E546A2" w14:textId="77777777" w:rsidTr="005006AD">
        <w:trPr>
          <w:jc w:val="center"/>
        </w:trPr>
        <w:tc>
          <w:tcPr>
            <w:tcW w:w="1255" w:type="pct"/>
          </w:tcPr>
          <w:p w14:paraId="60C9852B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Liver capsule invasion</w:t>
            </w:r>
          </w:p>
        </w:tc>
        <w:tc>
          <w:tcPr>
            <w:tcW w:w="587" w:type="pct"/>
            <w:vAlign w:val="center"/>
          </w:tcPr>
          <w:p w14:paraId="2E06A78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1.553</w:t>
            </w:r>
          </w:p>
        </w:tc>
        <w:tc>
          <w:tcPr>
            <w:tcW w:w="734" w:type="pct"/>
            <w:vAlign w:val="center"/>
          </w:tcPr>
          <w:p w14:paraId="5056996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1.118-2.159</w:t>
            </w:r>
          </w:p>
        </w:tc>
        <w:tc>
          <w:tcPr>
            <w:tcW w:w="588" w:type="pct"/>
            <w:vAlign w:val="center"/>
          </w:tcPr>
          <w:p w14:paraId="2547BB5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0.009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3" w:type="pct"/>
            <w:vAlign w:val="center"/>
          </w:tcPr>
          <w:p w14:paraId="4BEAD7E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1.280</w:t>
            </w:r>
          </w:p>
        </w:tc>
        <w:tc>
          <w:tcPr>
            <w:tcW w:w="733" w:type="pct"/>
            <w:vAlign w:val="center"/>
          </w:tcPr>
          <w:p w14:paraId="0B6A07A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0.955-1.716</w:t>
            </w:r>
          </w:p>
        </w:tc>
        <w:tc>
          <w:tcPr>
            <w:tcW w:w="591" w:type="pct"/>
            <w:vAlign w:val="center"/>
          </w:tcPr>
          <w:p w14:paraId="7DB4246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0.099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1109CD10" w14:textId="77777777" w:rsidTr="005006AD">
        <w:trPr>
          <w:jc w:val="center"/>
        </w:trPr>
        <w:tc>
          <w:tcPr>
            <w:tcW w:w="1255" w:type="pct"/>
          </w:tcPr>
          <w:p w14:paraId="30D365C8" w14:textId="0BC4BF51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Node</w:t>
            </w:r>
            <w:r w:rsidR="00527988"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positive</w:t>
            </w:r>
          </w:p>
        </w:tc>
        <w:tc>
          <w:tcPr>
            <w:tcW w:w="587" w:type="pct"/>
            <w:vAlign w:val="center"/>
          </w:tcPr>
          <w:p w14:paraId="38F4749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2.009</w:t>
            </w:r>
          </w:p>
        </w:tc>
        <w:tc>
          <w:tcPr>
            <w:tcW w:w="734" w:type="pct"/>
            <w:vAlign w:val="center"/>
          </w:tcPr>
          <w:p w14:paraId="1529818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1.438-2.808</w:t>
            </w:r>
          </w:p>
        </w:tc>
        <w:tc>
          <w:tcPr>
            <w:tcW w:w="588" w:type="pct"/>
            <w:vAlign w:val="center"/>
          </w:tcPr>
          <w:p w14:paraId="745BB6A4" w14:textId="6B7DE14C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3" w:type="pct"/>
            <w:vAlign w:val="center"/>
          </w:tcPr>
          <w:p w14:paraId="7D7AA92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1.525</w:t>
            </w:r>
          </w:p>
        </w:tc>
        <w:tc>
          <w:tcPr>
            <w:tcW w:w="733" w:type="pct"/>
            <w:vAlign w:val="center"/>
          </w:tcPr>
          <w:p w14:paraId="65B8863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1.115-2.085</w:t>
            </w:r>
          </w:p>
        </w:tc>
        <w:tc>
          <w:tcPr>
            <w:tcW w:w="591" w:type="pct"/>
            <w:vAlign w:val="center"/>
          </w:tcPr>
          <w:p w14:paraId="7301398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0.008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61D47BD5" w14:textId="77777777" w:rsidTr="005006AD">
        <w:trPr>
          <w:jc w:val="center"/>
        </w:trPr>
        <w:tc>
          <w:tcPr>
            <w:tcW w:w="1255" w:type="pct"/>
          </w:tcPr>
          <w:p w14:paraId="400C9596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Perineural invasion</w:t>
            </w:r>
          </w:p>
        </w:tc>
        <w:tc>
          <w:tcPr>
            <w:tcW w:w="587" w:type="pct"/>
            <w:vAlign w:val="center"/>
          </w:tcPr>
          <w:p w14:paraId="3DD36CD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1.366</w:t>
            </w:r>
          </w:p>
        </w:tc>
        <w:tc>
          <w:tcPr>
            <w:tcW w:w="734" w:type="pct"/>
            <w:vAlign w:val="center"/>
          </w:tcPr>
          <w:p w14:paraId="73043E2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0.906-2.059</w:t>
            </w:r>
          </w:p>
        </w:tc>
        <w:tc>
          <w:tcPr>
            <w:tcW w:w="588" w:type="pct"/>
            <w:vAlign w:val="center"/>
          </w:tcPr>
          <w:p w14:paraId="04D1AFF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0.136</w:t>
            </w:r>
          </w:p>
        </w:tc>
        <w:tc>
          <w:tcPr>
            <w:tcW w:w="513" w:type="pct"/>
            <w:vAlign w:val="center"/>
          </w:tcPr>
          <w:p w14:paraId="7B58875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1.262</w:t>
            </w:r>
          </w:p>
        </w:tc>
        <w:tc>
          <w:tcPr>
            <w:tcW w:w="733" w:type="pct"/>
            <w:vAlign w:val="center"/>
          </w:tcPr>
          <w:p w14:paraId="0E4D3B6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0.867-1.838</w:t>
            </w:r>
          </w:p>
        </w:tc>
        <w:tc>
          <w:tcPr>
            <w:tcW w:w="591" w:type="pct"/>
            <w:vAlign w:val="center"/>
          </w:tcPr>
          <w:p w14:paraId="43EC786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0.225</w:t>
            </w:r>
          </w:p>
        </w:tc>
      </w:tr>
      <w:tr w:rsidR="003E1E48" w:rsidRPr="001A1E09" w14:paraId="5CECF7DA" w14:textId="77777777" w:rsidTr="005006AD">
        <w:trPr>
          <w:jc w:val="center"/>
        </w:trPr>
        <w:tc>
          <w:tcPr>
            <w:tcW w:w="1255" w:type="pct"/>
          </w:tcPr>
          <w:p w14:paraId="2F9F87D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Cirrhosis</w:t>
            </w:r>
          </w:p>
        </w:tc>
        <w:tc>
          <w:tcPr>
            <w:tcW w:w="587" w:type="pct"/>
            <w:vAlign w:val="center"/>
          </w:tcPr>
          <w:p w14:paraId="162B782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0.984</w:t>
            </w:r>
          </w:p>
        </w:tc>
        <w:tc>
          <w:tcPr>
            <w:tcW w:w="734" w:type="pct"/>
            <w:vAlign w:val="center"/>
          </w:tcPr>
          <w:p w14:paraId="1CAC843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0.686-1.412</w:t>
            </w:r>
          </w:p>
        </w:tc>
        <w:tc>
          <w:tcPr>
            <w:tcW w:w="588" w:type="pct"/>
            <w:vAlign w:val="center"/>
          </w:tcPr>
          <w:p w14:paraId="215855D2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0.932</w:t>
            </w:r>
          </w:p>
        </w:tc>
        <w:tc>
          <w:tcPr>
            <w:tcW w:w="513" w:type="pct"/>
            <w:vAlign w:val="center"/>
          </w:tcPr>
          <w:p w14:paraId="54E1231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1.054</w:t>
            </w:r>
          </w:p>
        </w:tc>
        <w:tc>
          <w:tcPr>
            <w:tcW w:w="733" w:type="pct"/>
            <w:vAlign w:val="center"/>
          </w:tcPr>
          <w:p w14:paraId="5C0C265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0.762-1.459</w:t>
            </w:r>
          </w:p>
        </w:tc>
        <w:tc>
          <w:tcPr>
            <w:tcW w:w="591" w:type="pct"/>
            <w:vAlign w:val="center"/>
          </w:tcPr>
          <w:p w14:paraId="59278A2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0.749</w:t>
            </w:r>
          </w:p>
        </w:tc>
      </w:tr>
      <w:tr w:rsidR="003E1E48" w:rsidRPr="001A1E09" w14:paraId="7FFBF797" w14:textId="77777777" w:rsidTr="005006AD">
        <w:trPr>
          <w:jc w:val="center"/>
        </w:trPr>
        <w:tc>
          <w:tcPr>
            <w:tcW w:w="1255" w:type="pct"/>
          </w:tcPr>
          <w:p w14:paraId="09ED4AAE" w14:textId="2042BDF1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TNM stage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III/I-II</w:t>
            </w:r>
          </w:p>
        </w:tc>
        <w:tc>
          <w:tcPr>
            <w:tcW w:w="587" w:type="pct"/>
            <w:vAlign w:val="center"/>
          </w:tcPr>
          <w:p w14:paraId="6F56989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1.774</w:t>
            </w:r>
          </w:p>
        </w:tc>
        <w:tc>
          <w:tcPr>
            <w:tcW w:w="734" w:type="pct"/>
            <w:vAlign w:val="center"/>
          </w:tcPr>
          <w:p w14:paraId="6828356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1.242-2.533</w:t>
            </w:r>
          </w:p>
        </w:tc>
        <w:tc>
          <w:tcPr>
            <w:tcW w:w="588" w:type="pct"/>
            <w:vAlign w:val="center"/>
          </w:tcPr>
          <w:p w14:paraId="699600A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0.002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3" w:type="pct"/>
            <w:vAlign w:val="center"/>
          </w:tcPr>
          <w:p w14:paraId="3AA38B5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1.413</w:t>
            </w:r>
          </w:p>
        </w:tc>
        <w:tc>
          <w:tcPr>
            <w:tcW w:w="733" w:type="pct"/>
            <w:vAlign w:val="center"/>
          </w:tcPr>
          <w:p w14:paraId="2F245FF1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1.035-1.929</w:t>
            </w:r>
          </w:p>
        </w:tc>
        <w:tc>
          <w:tcPr>
            <w:tcW w:w="591" w:type="pct"/>
            <w:vAlign w:val="center"/>
          </w:tcPr>
          <w:p w14:paraId="21817F4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0.029</w:t>
            </w:r>
          </w:p>
        </w:tc>
      </w:tr>
      <w:tr w:rsidR="003E1E48" w:rsidRPr="001A1E09" w14:paraId="6CA10D9C" w14:textId="77777777" w:rsidTr="005006AD">
        <w:trPr>
          <w:jc w:val="center"/>
        </w:trPr>
        <w:tc>
          <w:tcPr>
            <w:tcW w:w="1255" w:type="pct"/>
          </w:tcPr>
          <w:p w14:paraId="00565C49" w14:textId="57FE6D5E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BCLC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B-C/0-A</w:t>
            </w:r>
          </w:p>
        </w:tc>
        <w:tc>
          <w:tcPr>
            <w:tcW w:w="587" w:type="pct"/>
            <w:vAlign w:val="center"/>
          </w:tcPr>
          <w:p w14:paraId="0C1F1CE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1.619</w:t>
            </w:r>
          </w:p>
        </w:tc>
        <w:tc>
          <w:tcPr>
            <w:tcW w:w="734" w:type="pct"/>
            <w:vAlign w:val="center"/>
          </w:tcPr>
          <w:p w14:paraId="20A3E511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1.136-2.308</w:t>
            </w:r>
          </w:p>
        </w:tc>
        <w:tc>
          <w:tcPr>
            <w:tcW w:w="588" w:type="pct"/>
            <w:vAlign w:val="center"/>
          </w:tcPr>
          <w:p w14:paraId="4A9792A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0.008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3" w:type="pct"/>
            <w:vAlign w:val="center"/>
          </w:tcPr>
          <w:p w14:paraId="33E231A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1.849</w:t>
            </w:r>
          </w:p>
        </w:tc>
        <w:tc>
          <w:tcPr>
            <w:tcW w:w="733" w:type="pct"/>
            <w:vAlign w:val="center"/>
          </w:tcPr>
          <w:p w14:paraId="0797A42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1.335-2.562</w:t>
            </w:r>
          </w:p>
        </w:tc>
        <w:tc>
          <w:tcPr>
            <w:tcW w:w="591" w:type="pct"/>
            <w:vAlign w:val="center"/>
          </w:tcPr>
          <w:p w14:paraId="5F80D610" w14:textId="661C6C91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06246874" w14:textId="77777777" w:rsidTr="005006AD">
        <w:trPr>
          <w:jc w:val="center"/>
        </w:trPr>
        <w:tc>
          <w:tcPr>
            <w:tcW w:w="1255" w:type="pct"/>
          </w:tcPr>
          <w:p w14:paraId="799405CA" w14:textId="3749FA33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NLR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&gt;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2.62/≤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2.62</w:t>
            </w:r>
          </w:p>
        </w:tc>
        <w:tc>
          <w:tcPr>
            <w:tcW w:w="587" w:type="pct"/>
            <w:vAlign w:val="center"/>
          </w:tcPr>
          <w:p w14:paraId="3EAF1AC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1.649</w:t>
            </w:r>
          </w:p>
        </w:tc>
        <w:tc>
          <w:tcPr>
            <w:tcW w:w="734" w:type="pct"/>
            <w:vAlign w:val="center"/>
          </w:tcPr>
          <w:p w14:paraId="5EA342F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1.202-2.261</w:t>
            </w:r>
          </w:p>
        </w:tc>
        <w:tc>
          <w:tcPr>
            <w:tcW w:w="588" w:type="pct"/>
            <w:vAlign w:val="center"/>
          </w:tcPr>
          <w:p w14:paraId="384E106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0.002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3" w:type="pct"/>
            <w:vAlign w:val="center"/>
          </w:tcPr>
          <w:p w14:paraId="25D7D1C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1.635</w:t>
            </w:r>
          </w:p>
        </w:tc>
        <w:tc>
          <w:tcPr>
            <w:tcW w:w="733" w:type="pct"/>
            <w:vAlign w:val="center"/>
          </w:tcPr>
          <w:p w14:paraId="6397860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1.226-2.180</w:t>
            </w:r>
          </w:p>
        </w:tc>
        <w:tc>
          <w:tcPr>
            <w:tcW w:w="591" w:type="pct"/>
            <w:vAlign w:val="center"/>
          </w:tcPr>
          <w:p w14:paraId="46FD800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50CF579F" w14:textId="77777777" w:rsidTr="005006AD">
        <w:trPr>
          <w:jc w:val="center"/>
        </w:trPr>
        <w:tc>
          <w:tcPr>
            <w:tcW w:w="1255" w:type="pct"/>
          </w:tcPr>
          <w:p w14:paraId="3DC7E58F" w14:textId="06AED16E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PLR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&gt;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103/≤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103</w:t>
            </w:r>
          </w:p>
        </w:tc>
        <w:tc>
          <w:tcPr>
            <w:tcW w:w="587" w:type="pct"/>
            <w:vAlign w:val="center"/>
          </w:tcPr>
          <w:p w14:paraId="38BE7A5D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1.417</w:t>
            </w:r>
          </w:p>
        </w:tc>
        <w:tc>
          <w:tcPr>
            <w:tcW w:w="734" w:type="pct"/>
            <w:vAlign w:val="center"/>
          </w:tcPr>
          <w:p w14:paraId="7E690C56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1.036-1.938</w:t>
            </w:r>
          </w:p>
        </w:tc>
        <w:tc>
          <w:tcPr>
            <w:tcW w:w="588" w:type="pct"/>
            <w:vAlign w:val="center"/>
          </w:tcPr>
          <w:p w14:paraId="1F0B352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0.029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3" w:type="pct"/>
            <w:vAlign w:val="center"/>
          </w:tcPr>
          <w:p w14:paraId="0C03FBF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1.065</w:t>
            </w:r>
          </w:p>
        </w:tc>
        <w:tc>
          <w:tcPr>
            <w:tcW w:w="733" w:type="pct"/>
            <w:vAlign w:val="center"/>
          </w:tcPr>
          <w:p w14:paraId="0FE59C1B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0.803-1.414</w:t>
            </w:r>
          </w:p>
        </w:tc>
        <w:tc>
          <w:tcPr>
            <w:tcW w:w="591" w:type="pct"/>
            <w:vAlign w:val="center"/>
          </w:tcPr>
          <w:p w14:paraId="76A270D3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0.661</w:t>
            </w:r>
          </w:p>
        </w:tc>
      </w:tr>
      <w:tr w:rsidR="003E1E48" w:rsidRPr="001A1E09" w14:paraId="3C8C2A80" w14:textId="77777777" w:rsidTr="005006AD">
        <w:trPr>
          <w:jc w:val="center"/>
        </w:trPr>
        <w:tc>
          <w:tcPr>
            <w:tcW w:w="1255" w:type="pct"/>
            <w:tcBorders>
              <w:bottom w:val="single" w:sz="6" w:space="0" w:color="auto"/>
            </w:tcBorders>
          </w:tcPr>
          <w:p w14:paraId="3D614A1A" w14:textId="09BC354B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GLR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&gt;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33.7/≤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33.7</w:t>
            </w:r>
          </w:p>
        </w:tc>
        <w:tc>
          <w:tcPr>
            <w:tcW w:w="587" w:type="pct"/>
            <w:tcBorders>
              <w:bottom w:val="single" w:sz="6" w:space="0" w:color="auto"/>
            </w:tcBorders>
            <w:vAlign w:val="center"/>
          </w:tcPr>
          <w:p w14:paraId="58648B0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1.826</w:t>
            </w:r>
          </w:p>
        </w:tc>
        <w:tc>
          <w:tcPr>
            <w:tcW w:w="734" w:type="pct"/>
            <w:tcBorders>
              <w:bottom w:val="single" w:sz="6" w:space="0" w:color="auto"/>
            </w:tcBorders>
            <w:vAlign w:val="center"/>
          </w:tcPr>
          <w:p w14:paraId="2436859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1.300-2.565</w:t>
            </w:r>
          </w:p>
        </w:tc>
        <w:tc>
          <w:tcPr>
            <w:tcW w:w="588" w:type="pct"/>
            <w:tcBorders>
              <w:bottom w:val="single" w:sz="6" w:space="0" w:color="auto"/>
            </w:tcBorders>
            <w:vAlign w:val="center"/>
          </w:tcPr>
          <w:p w14:paraId="5AB03AA9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3" w:type="pct"/>
            <w:tcBorders>
              <w:bottom w:val="single" w:sz="6" w:space="0" w:color="auto"/>
            </w:tcBorders>
            <w:vAlign w:val="center"/>
          </w:tcPr>
          <w:p w14:paraId="35C75DC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1.780</w:t>
            </w:r>
          </w:p>
        </w:tc>
        <w:tc>
          <w:tcPr>
            <w:tcW w:w="733" w:type="pct"/>
            <w:tcBorders>
              <w:bottom w:val="single" w:sz="6" w:space="0" w:color="auto"/>
            </w:tcBorders>
            <w:vAlign w:val="center"/>
          </w:tcPr>
          <w:p w14:paraId="3C667DB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1.315-2.408</w:t>
            </w:r>
          </w:p>
        </w:tc>
        <w:tc>
          <w:tcPr>
            <w:tcW w:w="591" w:type="pct"/>
            <w:tcBorders>
              <w:bottom w:val="single" w:sz="6" w:space="0" w:color="auto"/>
            </w:tcBorders>
            <w:vAlign w:val="center"/>
          </w:tcPr>
          <w:p w14:paraId="42F14260" w14:textId="7170DA76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3860A0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</w:tbl>
    <w:p w14:paraId="6847513B" w14:textId="673A7DD9" w:rsidR="00DC617A" w:rsidRPr="001A1E09" w:rsidRDefault="003860A0" w:rsidP="001A1E09">
      <w:pPr>
        <w:adjustRightInd w:val="0"/>
        <w:snapToGrid w:val="0"/>
        <w:spacing w:line="360" w:lineRule="auto"/>
        <w:rPr>
          <w:rFonts w:ascii="Book Antiqua" w:hAnsi="Book Antiqua" w:cs="Times New Roman"/>
          <w:sz w:val="20"/>
          <w:szCs w:val="20"/>
        </w:rPr>
      </w:pPr>
      <w:r w:rsidRPr="001A1E09">
        <w:rPr>
          <w:rFonts w:ascii="Book Antiqua" w:hAnsi="Book Antiqua" w:cs="Times New Roman"/>
          <w:sz w:val="20"/>
          <w:szCs w:val="20"/>
          <w:vertAlign w:val="superscript"/>
        </w:rPr>
        <w:t>a</w:t>
      </w:r>
      <w:r w:rsidRPr="001A1E09">
        <w:rPr>
          <w:rFonts w:ascii="Book Antiqua" w:hAnsi="Book Antiqua" w:cs="Times New Roman"/>
          <w:i/>
          <w:sz w:val="20"/>
          <w:szCs w:val="20"/>
        </w:rPr>
        <w:t>P</w:t>
      </w:r>
      <w:r w:rsidRPr="001A1E09">
        <w:rPr>
          <w:rFonts w:ascii="Book Antiqua" w:hAnsi="Book Antiqua" w:cs="Times New Roman"/>
          <w:sz w:val="20"/>
          <w:szCs w:val="20"/>
        </w:rPr>
        <w:t xml:space="preserve"> &lt; 0.10. </w:t>
      </w:r>
      <w:r w:rsidR="00DC617A" w:rsidRPr="001A1E09">
        <w:rPr>
          <w:rFonts w:ascii="Book Antiqua" w:hAnsi="Book Antiqua" w:cs="Times New Roman"/>
          <w:sz w:val="20"/>
          <w:szCs w:val="20"/>
        </w:rPr>
        <w:t>M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>Male</w:t>
      </w:r>
      <w:r w:rsidR="00DC617A" w:rsidRPr="001A1E09">
        <w:rPr>
          <w:rFonts w:ascii="Book Antiqua" w:hAnsi="Book Antiqua" w:cs="Times New Roman"/>
          <w:sz w:val="20"/>
          <w:szCs w:val="20"/>
        </w:rPr>
        <w:t>; F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>Female</w:t>
      </w:r>
      <w:r w:rsidR="00DC617A" w:rsidRPr="001A1E09">
        <w:rPr>
          <w:rFonts w:ascii="Book Antiqua" w:hAnsi="Book Antiqua" w:cs="Times New Roman"/>
          <w:sz w:val="20"/>
          <w:szCs w:val="20"/>
        </w:rPr>
        <w:t>; HBV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Hepatitis </w:t>
      </w:r>
      <w:r w:rsidR="00DC617A" w:rsidRPr="001A1E09">
        <w:rPr>
          <w:rFonts w:ascii="Book Antiqua" w:hAnsi="Book Antiqua" w:cs="Times New Roman"/>
          <w:sz w:val="20"/>
          <w:szCs w:val="20"/>
        </w:rPr>
        <w:t>B virus; CA-199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Carbohydrate </w:t>
      </w:r>
      <w:r w:rsidR="00DC617A" w:rsidRPr="001A1E09">
        <w:rPr>
          <w:rFonts w:ascii="Book Antiqua" w:hAnsi="Book Antiqua" w:cs="Times New Roman"/>
          <w:sz w:val="20"/>
          <w:szCs w:val="20"/>
        </w:rPr>
        <w:t>antigen-199; TNM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>Tumor</w:t>
      </w:r>
      <w:r w:rsidR="00DC617A" w:rsidRPr="001A1E09">
        <w:rPr>
          <w:rFonts w:ascii="Book Antiqua" w:hAnsi="Book Antiqua" w:cs="Times New Roman"/>
          <w:sz w:val="20"/>
          <w:szCs w:val="20"/>
        </w:rPr>
        <w:t>-node-metastasis; BCLC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Barcelona </w:t>
      </w:r>
      <w:r w:rsidR="00DC617A" w:rsidRPr="001A1E09">
        <w:rPr>
          <w:rFonts w:ascii="Book Antiqua" w:hAnsi="Book Antiqua" w:cs="Times New Roman"/>
          <w:sz w:val="20"/>
          <w:szCs w:val="20"/>
        </w:rPr>
        <w:t>Clinic Liver Cancer; NLR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Neutrophil </w:t>
      </w:r>
      <w:r w:rsidR="00DC617A" w:rsidRPr="001A1E09">
        <w:rPr>
          <w:rFonts w:ascii="Book Antiqua" w:hAnsi="Book Antiqua" w:cs="Times New Roman"/>
          <w:sz w:val="20"/>
          <w:szCs w:val="20"/>
        </w:rPr>
        <w:t>to lymphocyte ratio; PLR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Platelet </w:t>
      </w:r>
      <w:r w:rsidR="00DC617A" w:rsidRPr="001A1E09">
        <w:rPr>
          <w:rFonts w:ascii="Book Antiqua" w:hAnsi="Book Antiqua" w:cs="Times New Roman"/>
          <w:sz w:val="20"/>
          <w:szCs w:val="20"/>
        </w:rPr>
        <w:t>to lymphocyte ratio; GLR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>Gamma</w:t>
      </w:r>
      <w:r w:rsidR="00DC617A" w:rsidRPr="001A1E09">
        <w:rPr>
          <w:rFonts w:ascii="Book Antiqua" w:hAnsi="Book Antiqua" w:cs="Times New Roman"/>
          <w:sz w:val="20"/>
          <w:szCs w:val="20"/>
        </w:rPr>
        <w:t>-gl</w:t>
      </w:r>
      <w:r w:rsidR="001D6DE0" w:rsidRPr="001A1E09">
        <w:rPr>
          <w:rFonts w:ascii="Book Antiqua" w:hAnsi="Book Antiqua" w:cs="Times New Roman"/>
          <w:sz w:val="20"/>
          <w:szCs w:val="20"/>
        </w:rPr>
        <w:t>utamyl</w:t>
      </w:r>
      <w:r w:rsidR="00DC617A" w:rsidRPr="001A1E09">
        <w:rPr>
          <w:rFonts w:ascii="Book Antiqua" w:hAnsi="Book Antiqua" w:cs="Times New Roman"/>
          <w:sz w:val="20"/>
          <w:szCs w:val="20"/>
        </w:rPr>
        <w:t>transferase to lymphocyte ratio; HR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Hazard </w:t>
      </w:r>
      <w:r w:rsidR="00DC617A" w:rsidRPr="001A1E09">
        <w:rPr>
          <w:rFonts w:ascii="Book Antiqua" w:hAnsi="Book Antiqua" w:cs="Times New Roman"/>
          <w:sz w:val="20"/>
          <w:szCs w:val="20"/>
        </w:rPr>
        <w:t>ratio; CI</w:t>
      </w:r>
      <w:r w:rsidR="005F1ED4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5F1ED4" w:rsidRPr="001A1E09">
        <w:rPr>
          <w:rFonts w:ascii="Book Antiqua" w:hAnsi="Book Antiqua" w:cs="Times New Roman"/>
          <w:sz w:val="20"/>
          <w:szCs w:val="20"/>
        </w:rPr>
        <w:t xml:space="preserve">Confidence </w:t>
      </w:r>
      <w:r w:rsidR="00DC617A" w:rsidRPr="001A1E09">
        <w:rPr>
          <w:rFonts w:ascii="Book Antiqua" w:hAnsi="Book Antiqua" w:cs="Times New Roman"/>
          <w:sz w:val="20"/>
          <w:szCs w:val="20"/>
        </w:rPr>
        <w:t>interval.</w:t>
      </w:r>
    </w:p>
    <w:p w14:paraId="36D8EB7E" w14:textId="77777777" w:rsidR="005F1ED4" w:rsidRPr="001A1E09" w:rsidRDefault="005F1ED4" w:rsidP="001A1E09">
      <w:pPr>
        <w:widowControl/>
        <w:snapToGrid w:val="0"/>
        <w:spacing w:line="360" w:lineRule="auto"/>
        <w:rPr>
          <w:rFonts w:ascii="Book Antiqua" w:hAnsi="Book Antiqua" w:cs="Arial"/>
          <w:sz w:val="20"/>
          <w:szCs w:val="20"/>
        </w:rPr>
      </w:pPr>
      <w:r w:rsidRPr="001A1E09">
        <w:rPr>
          <w:rFonts w:ascii="Book Antiqua" w:hAnsi="Book Antiqua" w:cs="Arial"/>
          <w:sz w:val="20"/>
          <w:szCs w:val="20"/>
        </w:rPr>
        <w:br w:type="page"/>
      </w:r>
    </w:p>
    <w:p w14:paraId="2178BD31" w14:textId="77A5FE87" w:rsidR="00DC617A" w:rsidRPr="001A1E09" w:rsidRDefault="00DC617A" w:rsidP="001A1E09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0"/>
          <w:szCs w:val="20"/>
        </w:rPr>
      </w:pPr>
      <w:r w:rsidRPr="001A1E09">
        <w:rPr>
          <w:rFonts w:ascii="Book Antiqua" w:hAnsi="Book Antiqua" w:cs="Times New Roman"/>
          <w:b/>
          <w:sz w:val="20"/>
          <w:szCs w:val="20"/>
        </w:rPr>
        <w:lastRenderedPageBreak/>
        <w:t>Table 4 Multivariate analysis of pr</w:t>
      </w:r>
      <w:r w:rsidR="007F1F60" w:rsidRPr="001A1E09">
        <w:rPr>
          <w:rFonts w:ascii="Book Antiqua" w:hAnsi="Book Antiqua" w:cs="Times New Roman"/>
          <w:b/>
          <w:sz w:val="20"/>
          <w:szCs w:val="20"/>
        </w:rPr>
        <w:t xml:space="preserve">ognostic factors for </w:t>
      </w:r>
      <w:r w:rsidR="005F1ED4" w:rsidRPr="001A1E09">
        <w:rPr>
          <w:rFonts w:ascii="Book Antiqua" w:hAnsi="Book Antiqua" w:cs="Times New Roman"/>
          <w:b/>
          <w:sz w:val="20"/>
          <w:szCs w:val="20"/>
        </w:rPr>
        <w:t>overall survival</w:t>
      </w:r>
      <w:r w:rsidR="007F1F60" w:rsidRPr="001A1E09">
        <w:rPr>
          <w:rFonts w:ascii="Book Antiqua" w:hAnsi="Book Antiqua" w:cs="Times New Roman"/>
          <w:b/>
          <w:sz w:val="20"/>
          <w:szCs w:val="20"/>
        </w:rPr>
        <w:t xml:space="preserve"> and </w:t>
      </w:r>
      <w:r w:rsidR="005F1ED4" w:rsidRPr="001A1E09">
        <w:rPr>
          <w:rFonts w:ascii="Book Antiqua" w:hAnsi="Book Antiqua" w:cs="Times New Roman"/>
          <w:b/>
          <w:sz w:val="20"/>
          <w:szCs w:val="20"/>
        </w:rPr>
        <w:t>recurrence-free survival</w:t>
      </w:r>
    </w:p>
    <w:tbl>
      <w:tblPr>
        <w:tblStyle w:val="a9"/>
        <w:tblW w:w="572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4"/>
        <w:gridCol w:w="1404"/>
        <w:gridCol w:w="1736"/>
        <w:gridCol w:w="1421"/>
        <w:gridCol w:w="949"/>
        <w:gridCol w:w="1734"/>
        <w:gridCol w:w="1265"/>
      </w:tblGrid>
      <w:tr w:rsidR="003E1E48" w:rsidRPr="001A1E09" w14:paraId="12CA460B" w14:textId="77777777" w:rsidTr="00147FB6">
        <w:trPr>
          <w:jc w:val="center"/>
        </w:trPr>
        <w:tc>
          <w:tcPr>
            <w:tcW w:w="976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FFED0C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OS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B2852" w14:textId="6457E48C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Derivation cohort (</w:t>
            </w:r>
            <w:r w:rsidRPr="001A1E09">
              <w:rPr>
                <w:rFonts w:ascii="Book Antiqua" w:hAnsi="Book Antiqua" w:cs="Times New Roman"/>
                <w:b/>
                <w:i/>
                <w:sz w:val="20"/>
                <w:szCs w:val="20"/>
              </w:rPr>
              <w:t>n</w:t>
            </w:r>
            <w:r w:rsidR="005F1ED4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=</w:t>
            </w:r>
            <w:r w:rsidR="005F1ED4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264)</w:t>
            </w:r>
          </w:p>
        </w:tc>
        <w:tc>
          <w:tcPr>
            <w:tcW w:w="186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213" w14:textId="45B27C04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Validation cohort (</w:t>
            </w:r>
            <w:r w:rsidRPr="001A1E09">
              <w:rPr>
                <w:rFonts w:ascii="Book Antiqua" w:hAnsi="Book Antiqua" w:cs="Times New Roman"/>
                <w:b/>
                <w:i/>
                <w:sz w:val="20"/>
                <w:szCs w:val="20"/>
              </w:rPr>
              <w:t>n</w:t>
            </w:r>
            <w:r w:rsidR="005F1ED4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=</w:t>
            </w:r>
            <w:r w:rsidR="005F1ED4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263)</w:t>
            </w:r>
          </w:p>
        </w:tc>
      </w:tr>
      <w:tr w:rsidR="003E1E48" w:rsidRPr="001A1E09" w14:paraId="7875F0FC" w14:textId="77777777" w:rsidTr="00147FB6">
        <w:trPr>
          <w:jc w:val="center"/>
        </w:trPr>
        <w:tc>
          <w:tcPr>
            <w:tcW w:w="97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4EDBDE1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A4F2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C8E06" w14:textId="4B455AEB" w:rsidR="00DC617A" w:rsidRPr="001A1E09" w:rsidRDefault="005F1ED4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95%</w:t>
            </w:r>
            <w:r w:rsidR="00DC617A" w:rsidRPr="001A1E09">
              <w:rPr>
                <w:rFonts w:ascii="Book Antiqua" w:hAnsi="Book Antiqua" w:cs="Times New Roman"/>
                <w:b/>
                <w:sz w:val="20"/>
                <w:szCs w:val="20"/>
              </w:rPr>
              <w:t>CI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14EC0" w14:textId="0C8C3D46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i/>
                <w:sz w:val="20"/>
                <w:szCs w:val="20"/>
              </w:rPr>
              <w:t>P</w:t>
            </w:r>
            <w:r w:rsidR="005F1ED4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value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6FC08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FA86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C6E07" w14:textId="746C4639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b/>
                <w:i/>
                <w:sz w:val="20"/>
                <w:szCs w:val="20"/>
              </w:rPr>
              <w:t>P</w:t>
            </w:r>
            <w:r w:rsidR="005F1ED4" w:rsidRPr="001A1E09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b/>
                <w:sz w:val="20"/>
                <w:szCs w:val="20"/>
              </w:rPr>
              <w:t>value</w:t>
            </w:r>
          </w:p>
        </w:tc>
      </w:tr>
      <w:tr w:rsidR="003E1E48" w:rsidRPr="001A1E09" w14:paraId="450EA89D" w14:textId="77777777" w:rsidTr="00147FB6">
        <w:trPr>
          <w:jc w:val="center"/>
        </w:trPr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14:paraId="5FAAE9B5" w14:textId="224D644C" w:rsidR="00DC617A" w:rsidRPr="001A1E09" w:rsidRDefault="005F1ED4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Gender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F/M</w:t>
            </w:r>
          </w:p>
        </w:tc>
        <w:tc>
          <w:tcPr>
            <w:tcW w:w="664" w:type="pct"/>
            <w:tcBorders>
              <w:top w:val="single" w:sz="4" w:space="0" w:color="auto"/>
            </w:tcBorders>
            <w:vAlign w:val="center"/>
          </w:tcPr>
          <w:p w14:paraId="3AD4AFD4" w14:textId="77777777" w:rsidR="00DC617A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0.847</w:t>
            </w:r>
          </w:p>
        </w:tc>
        <w:tc>
          <w:tcPr>
            <w:tcW w:w="821" w:type="pct"/>
            <w:tcBorders>
              <w:top w:val="single" w:sz="4" w:space="0" w:color="auto"/>
            </w:tcBorders>
            <w:vAlign w:val="center"/>
          </w:tcPr>
          <w:p w14:paraId="0C6A2126" w14:textId="77777777" w:rsidR="00DC617A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0.58-1.216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5E866D12" w14:textId="77777777" w:rsidR="00DC617A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0.367</w:t>
            </w:r>
          </w:p>
        </w:tc>
        <w:tc>
          <w:tcPr>
            <w:tcW w:w="449" w:type="pct"/>
            <w:tcBorders>
              <w:top w:val="single" w:sz="4" w:space="0" w:color="auto"/>
            </w:tcBorders>
            <w:vAlign w:val="center"/>
          </w:tcPr>
          <w:p w14:paraId="6613233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14:paraId="073A6FA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14:paraId="67DA8434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1B543760" w14:textId="77777777" w:rsidTr="00147FB6">
        <w:trPr>
          <w:jc w:val="center"/>
        </w:trPr>
        <w:tc>
          <w:tcPr>
            <w:tcW w:w="976" w:type="pct"/>
          </w:tcPr>
          <w:p w14:paraId="5E677430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Hepatolithiasis</w:t>
            </w:r>
          </w:p>
        </w:tc>
        <w:tc>
          <w:tcPr>
            <w:tcW w:w="664" w:type="pct"/>
            <w:vAlign w:val="center"/>
          </w:tcPr>
          <w:p w14:paraId="41E13785" w14:textId="77777777" w:rsidR="00DC617A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1.073</w:t>
            </w:r>
          </w:p>
        </w:tc>
        <w:tc>
          <w:tcPr>
            <w:tcW w:w="821" w:type="pct"/>
            <w:vAlign w:val="center"/>
          </w:tcPr>
          <w:p w14:paraId="781BBA3C" w14:textId="77777777" w:rsidR="00DC617A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0.677-1.699</w:t>
            </w:r>
          </w:p>
        </w:tc>
        <w:tc>
          <w:tcPr>
            <w:tcW w:w="672" w:type="pct"/>
            <w:vAlign w:val="center"/>
          </w:tcPr>
          <w:p w14:paraId="5AC49697" w14:textId="77777777" w:rsidR="00DC617A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0.765</w:t>
            </w:r>
          </w:p>
        </w:tc>
        <w:tc>
          <w:tcPr>
            <w:tcW w:w="449" w:type="pct"/>
            <w:vAlign w:val="center"/>
          </w:tcPr>
          <w:p w14:paraId="42D2165E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820" w:type="pct"/>
            <w:vAlign w:val="center"/>
          </w:tcPr>
          <w:p w14:paraId="10B0E320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6D060755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1C3EA4B8" w14:textId="77777777" w:rsidTr="00147FB6">
        <w:trPr>
          <w:jc w:val="center"/>
        </w:trPr>
        <w:tc>
          <w:tcPr>
            <w:tcW w:w="976" w:type="pct"/>
          </w:tcPr>
          <w:p w14:paraId="08DD1C25" w14:textId="358CA8C0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Child-Pugh grade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A /B</w:t>
            </w:r>
          </w:p>
        </w:tc>
        <w:tc>
          <w:tcPr>
            <w:tcW w:w="664" w:type="pct"/>
            <w:vAlign w:val="center"/>
          </w:tcPr>
          <w:p w14:paraId="258D68BF" w14:textId="77777777" w:rsidR="00DC617A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0.775</w:t>
            </w:r>
          </w:p>
        </w:tc>
        <w:tc>
          <w:tcPr>
            <w:tcW w:w="821" w:type="pct"/>
            <w:vAlign w:val="center"/>
          </w:tcPr>
          <w:p w14:paraId="3CF82ECB" w14:textId="77777777" w:rsidR="00DC617A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0.38-1.583</w:t>
            </w:r>
          </w:p>
        </w:tc>
        <w:tc>
          <w:tcPr>
            <w:tcW w:w="672" w:type="pct"/>
            <w:vAlign w:val="center"/>
          </w:tcPr>
          <w:p w14:paraId="1827FF8F" w14:textId="77777777" w:rsidR="00DC617A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0.485</w:t>
            </w:r>
          </w:p>
        </w:tc>
        <w:tc>
          <w:tcPr>
            <w:tcW w:w="449" w:type="pct"/>
            <w:vAlign w:val="center"/>
          </w:tcPr>
          <w:p w14:paraId="5183D44F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820" w:type="pct"/>
            <w:vAlign w:val="center"/>
          </w:tcPr>
          <w:p w14:paraId="4974BFDA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1EF0F047" w14:textId="77777777" w:rsidR="00DC617A" w:rsidRPr="001A1E09" w:rsidRDefault="00DC617A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3C19D571" w14:textId="77777777" w:rsidTr="00147FB6">
        <w:trPr>
          <w:jc w:val="center"/>
        </w:trPr>
        <w:tc>
          <w:tcPr>
            <w:tcW w:w="976" w:type="pct"/>
          </w:tcPr>
          <w:p w14:paraId="2A41E0EA" w14:textId="77777777" w:rsidR="00DC617A" w:rsidRPr="001A1E09" w:rsidRDefault="00DC617A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Ascites</w:t>
            </w:r>
          </w:p>
        </w:tc>
        <w:tc>
          <w:tcPr>
            <w:tcW w:w="664" w:type="pct"/>
            <w:vAlign w:val="center"/>
          </w:tcPr>
          <w:p w14:paraId="3C5E4215" w14:textId="77777777" w:rsidR="00DC617A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0.758</w:t>
            </w:r>
          </w:p>
        </w:tc>
        <w:tc>
          <w:tcPr>
            <w:tcW w:w="821" w:type="pct"/>
            <w:vAlign w:val="center"/>
          </w:tcPr>
          <w:p w14:paraId="0719E7A4" w14:textId="77777777" w:rsidR="00DC617A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0.428-1.339</w:t>
            </w:r>
          </w:p>
        </w:tc>
        <w:tc>
          <w:tcPr>
            <w:tcW w:w="672" w:type="pct"/>
            <w:vAlign w:val="center"/>
          </w:tcPr>
          <w:p w14:paraId="07D8210D" w14:textId="77777777" w:rsidR="00DC617A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0.34</w:t>
            </w:r>
            <w:r w:rsidR="00A17FC8" w:rsidRPr="001A1E09">
              <w:rPr>
                <w:rFonts w:ascii="Book Antiqua" w:hAnsi="Book Antiqua" w:cs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  <w:vAlign w:val="center"/>
          </w:tcPr>
          <w:p w14:paraId="0978921E" w14:textId="77777777" w:rsidR="00DC617A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0.640</w:t>
            </w:r>
          </w:p>
        </w:tc>
        <w:tc>
          <w:tcPr>
            <w:tcW w:w="820" w:type="pct"/>
            <w:vAlign w:val="center"/>
          </w:tcPr>
          <w:p w14:paraId="718A4AAF" w14:textId="77777777" w:rsidR="00DC617A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0.376-1.090</w:t>
            </w:r>
          </w:p>
        </w:tc>
        <w:tc>
          <w:tcPr>
            <w:tcW w:w="599" w:type="pct"/>
            <w:vAlign w:val="center"/>
          </w:tcPr>
          <w:p w14:paraId="616007D8" w14:textId="77777777" w:rsidR="00DC617A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0.100</w:t>
            </w:r>
          </w:p>
        </w:tc>
      </w:tr>
      <w:tr w:rsidR="003E1E48" w:rsidRPr="001A1E09" w14:paraId="799DCC62" w14:textId="77777777" w:rsidTr="00147FB6">
        <w:trPr>
          <w:jc w:val="center"/>
        </w:trPr>
        <w:tc>
          <w:tcPr>
            <w:tcW w:w="976" w:type="pct"/>
          </w:tcPr>
          <w:p w14:paraId="461E2013" w14:textId="5F23C241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CA-199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≥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22/&lt;</w:t>
            </w:r>
            <w:r w:rsidR="005F1ED4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22</w:t>
            </w:r>
          </w:p>
        </w:tc>
        <w:tc>
          <w:tcPr>
            <w:tcW w:w="664" w:type="pct"/>
            <w:vAlign w:val="center"/>
          </w:tcPr>
          <w:p w14:paraId="0CC15272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1.731</w:t>
            </w:r>
          </w:p>
        </w:tc>
        <w:tc>
          <w:tcPr>
            <w:tcW w:w="821" w:type="pct"/>
            <w:vAlign w:val="center"/>
          </w:tcPr>
          <w:p w14:paraId="6F849536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1.331-2.252</w:t>
            </w:r>
          </w:p>
        </w:tc>
        <w:tc>
          <w:tcPr>
            <w:tcW w:w="672" w:type="pct"/>
            <w:vAlign w:val="center"/>
          </w:tcPr>
          <w:p w14:paraId="4C5D227E" w14:textId="157000E9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9" w:type="pct"/>
            <w:vAlign w:val="center"/>
          </w:tcPr>
          <w:p w14:paraId="2C010894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1.612</w:t>
            </w:r>
          </w:p>
        </w:tc>
        <w:tc>
          <w:tcPr>
            <w:tcW w:w="820" w:type="pct"/>
            <w:vAlign w:val="center"/>
          </w:tcPr>
          <w:p w14:paraId="3EB2D036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1.252-2.075</w:t>
            </w:r>
          </w:p>
        </w:tc>
        <w:tc>
          <w:tcPr>
            <w:tcW w:w="599" w:type="pct"/>
            <w:vAlign w:val="center"/>
          </w:tcPr>
          <w:p w14:paraId="6CEA752A" w14:textId="04DFA851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66A91ED6" w14:textId="77777777" w:rsidTr="00147FB6">
        <w:trPr>
          <w:jc w:val="center"/>
        </w:trPr>
        <w:tc>
          <w:tcPr>
            <w:tcW w:w="976" w:type="pct"/>
          </w:tcPr>
          <w:p w14:paraId="35B6BCD2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Tumor size</w:t>
            </w:r>
          </w:p>
        </w:tc>
        <w:tc>
          <w:tcPr>
            <w:tcW w:w="664" w:type="pct"/>
            <w:vAlign w:val="center"/>
          </w:tcPr>
          <w:p w14:paraId="3E768973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1.053</w:t>
            </w:r>
          </w:p>
        </w:tc>
        <w:tc>
          <w:tcPr>
            <w:tcW w:w="821" w:type="pct"/>
            <w:vAlign w:val="center"/>
          </w:tcPr>
          <w:p w14:paraId="6483CD5A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0.967-1.146</w:t>
            </w:r>
          </w:p>
        </w:tc>
        <w:tc>
          <w:tcPr>
            <w:tcW w:w="672" w:type="pct"/>
            <w:vAlign w:val="center"/>
          </w:tcPr>
          <w:p w14:paraId="2F69E7F6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0.234</w:t>
            </w:r>
          </w:p>
        </w:tc>
        <w:tc>
          <w:tcPr>
            <w:tcW w:w="449" w:type="pct"/>
            <w:vAlign w:val="center"/>
          </w:tcPr>
          <w:p w14:paraId="0CF4A249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0.931</w:t>
            </w:r>
          </w:p>
        </w:tc>
        <w:tc>
          <w:tcPr>
            <w:tcW w:w="820" w:type="pct"/>
            <w:vAlign w:val="center"/>
          </w:tcPr>
          <w:p w14:paraId="20027CCC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0.857-1.011</w:t>
            </w:r>
          </w:p>
        </w:tc>
        <w:tc>
          <w:tcPr>
            <w:tcW w:w="599" w:type="pct"/>
            <w:vAlign w:val="center"/>
          </w:tcPr>
          <w:p w14:paraId="1A7A7361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0.088</w:t>
            </w:r>
          </w:p>
        </w:tc>
      </w:tr>
      <w:tr w:rsidR="003E1E48" w:rsidRPr="001A1E09" w14:paraId="445B7A1A" w14:textId="77777777" w:rsidTr="00147FB6">
        <w:trPr>
          <w:jc w:val="center"/>
        </w:trPr>
        <w:tc>
          <w:tcPr>
            <w:tcW w:w="976" w:type="pct"/>
          </w:tcPr>
          <w:p w14:paraId="0110E657" w14:textId="26EA3FB5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Tumor number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Multiple/Single</w:t>
            </w:r>
          </w:p>
        </w:tc>
        <w:tc>
          <w:tcPr>
            <w:tcW w:w="664" w:type="pct"/>
            <w:vAlign w:val="center"/>
          </w:tcPr>
          <w:p w14:paraId="00614EFB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1.662</w:t>
            </w:r>
          </w:p>
        </w:tc>
        <w:tc>
          <w:tcPr>
            <w:tcW w:w="821" w:type="pct"/>
            <w:vAlign w:val="center"/>
          </w:tcPr>
          <w:p w14:paraId="301FAF94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1.086-2.543</w:t>
            </w:r>
          </w:p>
        </w:tc>
        <w:tc>
          <w:tcPr>
            <w:tcW w:w="672" w:type="pct"/>
            <w:vAlign w:val="center"/>
          </w:tcPr>
          <w:p w14:paraId="4A9F8F2D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0.019</w:t>
            </w:r>
            <w:r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9" w:type="pct"/>
            <w:vAlign w:val="center"/>
          </w:tcPr>
          <w:p w14:paraId="66448D95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1.677</w:t>
            </w:r>
          </w:p>
        </w:tc>
        <w:tc>
          <w:tcPr>
            <w:tcW w:w="820" w:type="pct"/>
            <w:vAlign w:val="center"/>
          </w:tcPr>
          <w:p w14:paraId="6EF87DF8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1.189-2.366</w:t>
            </w:r>
          </w:p>
        </w:tc>
        <w:tc>
          <w:tcPr>
            <w:tcW w:w="599" w:type="pct"/>
            <w:vAlign w:val="center"/>
          </w:tcPr>
          <w:p w14:paraId="4E058210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0.003</w:t>
            </w:r>
            <w:r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3073913D" w14:textId="77777777" w:rsidTr="00147FB6">
        <w:trPr>
          <w:jc w:val="center"/>
        </w:trPr>
        <w:tc>
          <w:tcPr>
            <w:tcW w:w="976" w:type="pct"/>
          </w:tcPr>
          <w:p w14:paraId="04680C91" w14:textId="64222683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Tumor differentiation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Moderate-Poor/Well</w:t>
            </w:r>
          </w:p>
        </w:tc>
        <w:tc>
          <w:tcPr>
            <w:tcW w:w="664" w:type="pct"/>
            <w:vAlign w:val="center"/>
          </w:tcPr>
          <w:p w14:paraId="26B6D757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vAlign w:val="center"/>
          </w:tcPr>
          <w:p w14:paraId="4F6FF514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1519DD41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1C49CA0D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7.927</w:t>
            </w:r>
          </w:p>
        </w:tc>
        <w:tc>
          <w:tcPr>
            <w:tcW w:w="820" w:type="pct"/>
            <w:vAlign w:val="center"/>
          </w:tcPr>
          <w:p w14:paraId="55D91A7B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1.083-58.02</w:t>
            </w:r>
          </w:p>
        </w:tc>
        <w:tc>
          <w:tcPr>
            <w:tcW w:w="599" w:type="pct"/>
            <w:vAlign w:val="center"/>
          </w:tcPr>
          <w:p w14:paraId="04D9BEA6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0.042</w:t>
            </w:r>
            <w:r w:rsidR="00425138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45A8E641" w14:textId="77777777" w:rsidTr="00147FB6">
        <w:trPr>
          <w:jc w:val="center"/>
        </w:trPr>
        <w:tc>
          <w:tcPr>
            <w:tcW w:w="976" w:type="pct"/>
          </w:tcPr>
          <w:p w14:paraId="5C97AE12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Macrovascular invasion</w:t>
            </w:r>
          </w:p>
        </w:tc>
        <w:tc>
          <w:tcPr>
            <w:tcW w:w="664" w:type="pct"/>
            <w:vAlign w:val="center"/>
          </w:tcPr>
          <w:p w14:paraId="41FDCB5F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1.199</w:t>
            </w:r>
          </w:p>
        </w:tc>
        <w:tc>
          <w:tcPr>
            <w:tcW w:w="821" w:type="pct"/>
            <w:vAlign w:val="center"/>
          </w:tcPr>
          <w:p w14:paraId="406FC564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0.781-1.843</w:t>
            </w:r>
          </w:p>
        </w:tc>
        <w:tc>
          <w:tcPr>
            <w:tcW w:w="672" w:type="pct"/>
            <w:vAlign w:val="center"/>
          </w:tcPr>
          <w:p w14:paraId="1AF46AEB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0.407</w:t>
            </w:r>
          </w:p>
        </w:tc>
        <w:tc>
          <w:tcPr>
            <w:tcW w:w="449" w:type="pct"/>
            <w:vAlign w:val="center"/>
          </w:tcPr>
          <w:p w14:paraId="2DB667D4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820" w:type="pct"/>
            <w:vAlign w:val="center"/>
          </w:tcPr>
          <w:p w14:paraId="49B9FB2B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7EE58193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4E5A2845" w14:textId="77777777" w:rsidTr="00147FB6">
        <w:trPr>
          <w:jc w:val="center"/>
        </w:trPr>
        <w:tc>
          <w:tcPr>
            <w:tcW w:w="976" w:type="pct"/>
          </w:tcPr>
          <w:p w14:paraId="7B961D35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Microvascular invasion</w:t>
            </w:r>
          </w:p>
        </w:tc>
        <w:tc>
          <w:tcPr>
            <w:tcW w:w="664" w:type="pct"/>
            <w:vAlign w:val="center"/>
          </w:tcPr>
          <w:p w14:paraId="48EB730A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1.082</w:t>
            </w:r>
          </w:p>
        </w:tc>
        <w:tc>
          <w:tcPr>
            <w:tcW w:w="821" w:type="pct"/>
            <w:vAlign w:val="center"/>
          </w:tcPr>
          <w:p w14:paraId="0BA918FC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0.635-1.842</w:t>
            </w:r>
          </w:p>
        </w:tc>
        <w:tc>
          <w:tcPr>
            <w:tcW w:w="672" w:type="pct"/>
            <w:vAlign w:val="center"/>
          </w:tcPr>
          <w:p w14:paraId="7130208F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0.773</w:t>
            </w:r>
          </w:p>
        </w:tc>
        <w:tc>
          <w:tcPr>
            <w:tcW w:w="449" w:type="pct"/>
            <w:vAlign w:val="center"/>
          </w:tcPr>
          <w:p w14:paraId="5E5E03CF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1.349</w:t>
            </w:r>
          </w:p>
        </w:tc>
        <w:tc>
          <w:tcPr>
            <w:tcW w:w="820" w:type="pct"/>
            <w:vAlign w:val="center"/>
          </w:tcPr>
          <w:p w14:paraId="57C511C3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0.801-2.274</w:t>
            </w:r>
          </w:p>
        </w:tc>
        <w:tc>
          <w:tcPr>
            <w:tcW w:w="599" w:type="pct"/>
            <w:vAlign w:val="center"/>
          </w:tcPr>
          <w:p w14:paraId="3E473F74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0.261</w:t>
            </w:r>
          </w:p>
        </w:tc>
      </w:tr>
      <w:tr w:rsidR="003E1E48" w:rsidRPr="001A1E09" w14:paraId="6CCB0401" w14:textId="77777777" w:rsidTr="00147FB6">
        <w:trPr>
          <w:jc w:val="center"/>
        </w:trPr>
        <w:tc>
          <w:tcPr>
            <w:tcW w:w="976" w:type="pct"/>
          </w:tcPr>
          <w:p w14:paraId="73C7C4D1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Liver capsule invasion</w:t>
            </w:r>
          </w:p>
        </w:tc>
        <w:tc>
          <w:tcPr>
            <w:tcW w:w="664" w:type="pct"/>
            <w:vAlign w:val="center"/>
          </w:tcPr>
          <w:p w14:paraId="51D67964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vAlign w:val="center"/>
          </w:tcPr>
          <w:p w14:paraId="2BFBC7B9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7529C83D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5EF3C9AA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1.036</w:t>
            </w:r>
          </w:p>
        </w:tc>
        <w:tc>
          <w:tcPr>
            <w:tcW w:w="820" w:type="pct"/>
            <w:vAlign w:val="center"/>
          </w:tcPr>
          <w:p w14:paraId="498C6230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0.533-2.013</w:t>
            </w:r>
          </w:p>
        </w:tc>
        <w:tc>
          <w:tcPr>
            <w:tcW w:w="599" w:type="pct"/>
            <w:vAlign w:val="center"/>
          </w:tcPr>
          <w:p w14:paraId="299FA6B4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0.917</w:t>
            </w:r>
          </w:p>
        </w:tc>
      </w:tr>
      <w:tr w:rsidR="003E1E48" w:rsidRPr="001A1E09" w14:paraId="52D15D60" w14:textId="77777777" w:rsidTr="00147FB6">
        <w:trPr>
          <w:jc w:val="center"/>
        </w:trPr>
        <w:tc>
          <w:tcPr>
            <w:tcW w:w="976" w:type="pct"/>
          </w:tcPr>
          <w:p w14:paraId="1E8ED81B" w14:textId="69053389" w:rsidR="0052798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Node</w:t>
            </w:r>
            <w:r w:rsidR="00527988"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  <w:p w14:paraId="4365988B" w14:textId="0D2C6CA6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positive</w:t>
            </w:r>
          </w:p>
        </w:tc>
        <w:tc>
          <w:tcPr>
            <w:tcW w:w="664" w:type="pct"/>
            <w:vAlign w:val="center"/>
          </w:tcPr>
          <w:p w14:paraId="2B99E1D7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2.038</w:t>
            </w:r>
          </w:p>
        </w:tc>
        <w:tc>
          <w:tcPr>
            <w:tcW w:w="821" w:type="pct"/>
            <w:vAlign w:val="center"/>
          </w:tcPr>
          <w:p w14:paraId="4979CAAC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1.365-3.042</w:t>
            </w:r>
          </w:p>
        </w:tc>
        <w:tc>
          <w:tcPr>
            <w:tcW w:w="672" w:type="pct"/>
            <w:vAlign w:val="center"/>
          </w:tcPr>
          <w:p w14:paraId="606112F5" w14:textId="1348CB59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&lt;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9" w:type="pct"/>
            <w:vAlign w:val="center"/>
          </w:tcPr>
          <w:p w14:paraId="07211F1E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1.269</w:t>
            </w:r>
          </w:p>
        </w:tc>
        <w:tc>
          <w:tcPr>
            <w:tcW w:w="820" w:type="pct"/>
            <w:vAlign w:val="center"/>
          </w:tcPr>
          <w:p w14:paraId="1CB37AC6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0.835-1.928</w:t>
            </w:r>
          </w:p>
        </w:tc>
        <w:tc>
          <w:tcPr>
            <w:tcW w:w="599" w:type="pct"/>
            <w:vAlign w:val="center"/>
          </w:tcPr>
          <w:p w14:paraId="2C79AC3D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0.265</w:t>
            </w:r>
          </w:p>
        </w:tc>
      </w:tr>
      <w:tr w:rsidR="003E1E48" w:rsidRPr="001A1E09" w14:paraId="5F5B4664" w14:textId="77777777" w:rsidTr="00147FB6">
        <w:trPr>
          <w:jc w:val="center"/>
        </w:trPr>
        <w:tc>
          <w:tcPr>
            <w:tcW w:w="976" w:type="pct"/>
          </w:tcPr>
          <w:p w14:paraId="44F81513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Perineural invasion</w:t>
            </w:r>
          </w:p>
        </w:tc>
        <w:tc>
          <w:tcPr>
            <w:tcW w:w="664" w:type="pct"/>
            <w:vAlign w:val="center"/>
          </w:tcPr>
          <w:p w14:paraId="7C4D54A3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1.25</w:t>
            </w:r>
            <w:r w:rsidR="00425138" w:rsidRPr="001A1E09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821" w:type="pct"/>
            <w:vAlign w:val="center"/>
          </w:tcPr>
          <w:p w14:paraId="3DB4F025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0.773-1.116</w:t>
            </w:r>
          </w:p>
        </w:tc>
        <w:tc>
          <w:tcPr>
            <w:tcW w:w="672" w:type="pct"/>
            <w:vAlign w:val="center"/>
          </w:tcPr>
          <w:p w14:paraId="616D89E4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0.169</w:t>
            </w:r>
          </w:p>
        </w:tc>
        <w:tc>
          <w:tcPr>
            <w:tcW w:w="449" w:type="pct"/>
            <w:vAlign w:val="center"/>
          </w:tcPr>
          <w:p w14:paraId="424FD07C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0.973</w:t>
            </w:r>
          </w:p>
        </w:tc>
        <w:tc>
          <w:tcPr>
            <w:tcW w:w="820" w:type="pct"/>
            <w:vAlign w:val="center"/>
          </w:tcPr>
          <w:p w14:paraId="0AFE0B07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0.591-1.603</w:t>
            </w:r>
          </w:p>
        </w:tc>
        <w:tc>
          <w:tcPr>
            <w:tcW w:w="599" w:type="pct"/>
            <w:vAlign w:val="center"/>
          </w:tcPr>
          <w:p w14:paraId="4EF9C72F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0.914</w:t>
            </w:r>
          </w:p>
        </w:tc>
      </w:tr>
      <w:tr w:rsidR="003E1E48" w:rsidRPr="001A1E09" w14:paraId="620B81CE" w14:textId="77777777" w:rsidTr="00147FB6">
        <w:trPr>
          <w:jc w:val="center"/>
        </w:trPr>
        <w:tc>
          <w:tcPr>
            <w:tcW w:w="976" w:type="pct"/>
          </w:tcPr>
          <w:p w14:paraId="4BA84EE2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Cirrhosis</w:t>
            </w:r>
          </w:p>
        </w:tc>
        <w:tc>
          <w:tcPr>
            <w:tcW w:w="664" w:type="pct"/>
            <w:vAlign w:val="center"/>
          </w:tcPr>
          <w:p w14:paraId="12E704CD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1.589</w:t>
            </w:r>
          </w:p>
        </w:tc>
        <w:tc>
          <w:tcPr>
            <w:tcW w:w="821" w:type="pct"/>
            <w:vAlign w:val="center"/>
          </w:tcPr>
          <w:p w14:paraId="43AFF800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1.074-2.351</w:t>
            </w:r>
          </w:p>
        </w:tc>
        <w:tc>
          <w:tcPr>
            <w:tcW w:w="672" w:type="pct"/>
            <w:vAlign w:val="center"/>
          </w:tcPr>
          <w:p w14:paraId="50C9F56F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0.020</w:t>
            </w:r>
            <w:r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9" w:type="pct"/>
            <w:vAlign w:val="center"/>
          </w:tcPr>
          <w:p w14:paraId="6ED99091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820" w:type="pct"/>
            <w:vAlign w:val="center"/>
          </w:tcPr>
          <w:p w14:paraId="2B8C0470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3592F69C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7D67BFE1" w14:textId="77777777" w:rsidTr="00147FB6">
        <w:trPr>
          <w:jc w:val="center"/>
        </w:trPr>
        <w:tc>
          <w:tcPr>
            <w:tcW w:w="976" w:type="pct"/>
          </w:tcPr>
          <w:p w14:paraId="6E7FB272" w14:textId="4428D2DA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TNM stage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III/I-II</w:t>
            </w:r>
          </w:p>
        </w:tc>
        <w:tc>
          <w:tcPr>
            <w:tcW w:w="664" w:type="pct"/>
            <w:vAlign w:val="center"/>
          </w:tcPr>
          <w:p w14:paraId="33EDADDC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vAlign w:val="center"/>
          </w:tcPr>
          <w:p w14:paraId="4033A0DF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17AF5D96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3DA5FD6A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1.294</w:t>
            </w:r>
          </w:p>
        </w:tc>
        <w:tc>
          <w:tcPr>
            <w:tcW w:w="820" w:type="pct"/>
            <w:vAlign w:val="center"/>
          </w:tcPr>
          <w:p w14:paraId="23F78EA5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0.607-2.761</w:t>
            </w:r>
          </w:p>
        </w:tc>
        <w:tc>
          <w:tcPr>
            <w:tcW w:w="599" w:type="pct"/>
            <w:vAlign w:val="center"/>
          </w:tcPr>
          <w:p w14:paraId="6B282030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0.505</w:t>
            </w:r>
          </w:p>
        </w:tc>
      </w:tr>
      <w:tr w:rsidR="003E1E48" w:rsidRPr="001A1E09" w14:paraId="103DDB01" w14:textId="77777777" w:rsidTr="00147FB6">
        <w:trPr>
          <w:jc w:val="center"/>
        </w:trPr>
        <w:tc>
          <w:tcPr>
            <w:tcW w:w="976" w:type="pct"/>
          </w:tcPr>
          <w:p w14:paraId="1039110E" w14:textId="1315CACE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BCLC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B-C/0-A</w:t>
            </w:r>
          </w:p>
        </w:tc>
        <w:tc>
          <w:tcPr>
            <w:tcW w:w="664" w:type="pct"/>
            <w:vAlign w:val="center"/>
          </w:tcPr>
          <w:p w14:paraId="784FF25E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0.627</w:t>
            </w:r>
          </w:p>
        </w:tc>
        <w:tc>
          <w:tcPr>
            <w:tcW w:w="821" w:type="pct"/>
            <w:vAlign w:val="center"/>
          </w:tcPr>
          <w:p w14:paraId="2E11E767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0.364-1.078</w:t>
            </w:r>
          </w:p>
        </w:tc>
        <w:tc>
          <w:tcPr>
            <w:tcW w:w="672" w:type="pct"/>
            <w:vAlign w:val="center"/>
          </w:tcPr>
          <w:p w14:paraId="7FE71994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0.091</w:t>
            </w:r>
          </w:p>
        </w:tc>
        <w:tc>
          <w:tcPr>
            <w:tcW w:w="449" w:type="pct"/>
            <w:vAlign w:val="center"/>
          </w:tcPr>
          <w:p w14:paraId="5FCD47B0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1.307</w:t>
            </w:r>
          </w:p>
        </w:tc>
        <w:tc>
          <w:tcPr>
            <w:tcW w:w="820" w:type="pct"/>
            <w:vAlign w:val="center"/>
          </w:tcPr>
          <w:p w14:paraId="61440DC4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0.813-2.101</w:t>
            </w:r>
          </w:p>
        </w:tc>
        <w:tc>
          <w:tcPr>
            <w:tcW w:w="599" w:type="pct"/>
            <w:vAlign w:val="center"/>
          </w:tcPr>
          <w:p w14:paraId="0AD10873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0.269</w:t>
            </w:r>
          </w:p>
        </w:tc>
      </w:tr>
      <w:tr w:rsidR="003E1E48" w:rsidRPr="001A1E09" w14:paraId="494BDE32" w14:textId="77777777" w:rsidTr="00147FB6">
        <w:trPr>
          <w:jc w:val="center"/>
        </w:trPr>
        <w:tc>
          <w:tcPr>
            <w:tcW w:w="976" w:type="pct"/>
          </w:tcPr>
          <w:p w14:paraId="300763D2" w14:textId="3A606C87" w:rsidR="00A17FC8" w:rsidRPr="001A1E09" w:rsidRDefault="00A17FC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NLR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="00336ED2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&gt;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2.62/≤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2.62</w:t>
            </w:r>
          </w:p>
        </w:tc>
        <w:tc>
          <w:tcPr>
            <w:tcW w:w="664" w:type="pct"/>
            <w:vAlign w:val="center"/>
          </w:tcPr>
          <w:p w14:paraId="268D3A72" w14:textId="77777777" w:rsidR="00A17FC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1.357</w:t>
            </w:r>
          </w:p>
        </w:tc>
        <w:tc>
          <w:tcPr>
            <w:tcW w:w="821" w:type="pct"/>
            <w:vAlign w:val="center"/>
          </w:tcPr>
          <w:p w14:paraId="1307E203" w14:textId="77777777" w:rsidR="00A17FC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0.912-2.017</w:t>
            </w:r>
          </w:p>
        </w:tc>
        <w:tc>
          <w:tcPr>
            <w:tcW w:w="672" w:type="pct"/>
            <w:vAlign w:val="center"/>
          </w:tcPr>
          <w:p w14:paraId="30764237" w14:textId="77777777" w:rsidR="00A17FC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0.132</w:t>
            </w:r>
          </w:p>
        </w:tc>
        <w:tc>
          <w:tcPr>
            <w:tcW w:w="449" w:type="pct"/>
            <w:vAlign w:val="center"/>
          </w:tcPr>
          <w:p w14:paraId="43D70981" w14:textId="77777777" w:rsidR="00A17FC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1.287</w:t>
            </w:r>
          </w:p>
        </w:tc>
        <w:tc>
          <w:tcPr>
            <w:tcW w:w="820" w:type="pct"/>
            <w:vAlign w:val="center"/>
          </w:tcPr>
          <w:p w14:paraId="2B946551" w14:textId="77777777" w:rsidR="00A17FC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0.897-1.846</w:t>
            </w:r>
          </w:p>
        </w:tc>
        <w:tc>
          <w:tcPr>
            <w:tcW w:w="599" w:type="pct"/>
            <w:vAlign w:val="center"/>
          </w:tcPr>
          <w:p w14:paraId="76FFAAE4" w14:textId="77777777" w:rsidR="00A17FC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0.170</w:t>
            </w:r>
          </w:p>
        </w:tc>
      </w:tr>
      <w:tr w:rsidR="003E1E48" w:rsidRPr="001A1E09" w14:paraId="69C78768" w14:textId="77777777" w:rsidTr="00147FB6">
        <w:trPr>
          <w:jc w:val="center"/>
        </w:trPr>
        <w:tc>
          <w:tcPr>
            <w:tcW w:w="976" w:type="pct"/>
          </w:tcPr>
          <w:p w14:paraId="7E97F742" w14:textId="77A48AE4" w:rsidR="00A17FC8" w:rsidRPr="001A1E09" w:rsidRDefault="00A17FC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PLR</w:t>
            </w:r>
            <w:r w:rsidR="00B8753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="00336ED2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&gt;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103/≤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103</w:t>
            </w:r>
          </w:p>
        </w:tc>
        <w:tc>
          <w:tcPr>
            <w:tcW w:w="664" w:type="pct"/>
            <w:vAlign w:val="center"/>
          </w:tcPr>
          <w:p w14:paraId="26F589AD" w14:textId="77777777" w:rsidR="00A17FC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1.141</w:t>
            </w:r>
          </w:p>
        </w:tc>
        <w:tc>
          <w:tcPr>
            <w:tcW w:w="821" w:type="pct"/>
            <w:vAlign w:val="center"/>
          </w:tcPr>
          <w:p w14:paraId="34AF7E80" w14:textId="77777777" w:rsidR="00A17FC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0.776-1.679</w:t>
            </w:r>
          </w:p>
        </w:tc>
        <w:tc>
          <w:tcPr>
            <w:tcW w:w="672" w:type="pct"/>
            <w:vAlign w:val="center"/>
          </w:tcPr>
          <w:p w14:paraId="4B94C75F" w14:textId="77777777" w:rsidR="00A17FC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0.502</w:t>
            </w:r>
          </w:p>
        </w:tc>
        <w:tc>
          <w:tcPr>
            <w:tcW w:w="449" w:type="pct"/>
            <w:vAlign w:val="center"/>
          </w:tcPr>
          <w:p w14:paraId="25B15D4E" w14:textId="77777777" w:rsidR="00A17FC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1.094</w:t>
            </w:r>
          </w:p>
        </w:tc>
        <w:tc>
          <w:tcPr>
            <w:tcW w:w="820" w:type="pct"/>
            <w:vAlign w:val="center"/>
          </w:tcPr>
          <w:p w14:paraId="2055525A" w14:textId="77777777" w:rsidR="00A17FC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0.778-1.539</w:t>
            </w:r>
          </w:p>
        </w:tc>
        <w:tc>
          <w:tcPr>
            <w:tcW w:w="599" w:type="pct"/>
            <w:vAlign w:val="center"/>
          </w:tcPr>
          <w:p w14:paraId="04451872" w14:textId="77777777" w:rsidR="00A17FC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0.604</w:t>
            </w:r>
          </w:p>
        </w:tc>
      </w:tr>
      <w:tr w:rsidR="003E1E48" w:rsidRPr="001A1E09" w14:paraId="6A5FB61D" w14:textId="77777777" w:rsidTr="00147FB6">
        <w:trPr>
          <w:jc w:val="center"/>
        </w:trPr>
        <w:tc>
          <w:tcPr>
            <w:tcW w:w="976" w:type="pct"/>
          </w:tcPr>
          <w:p w14:paraId="26A29140" w14:textId="5CF26EA6" w:rsidR="00425138" w:rsidRPr="001A1E09" w:rsidRDefault="00A17FC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GLR</w:t>
            </w:r>
            <w:r w:rsidR="00BC446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&gt;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33.7/≤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33.7</w:t>
            </w:r>
          </w:p>
        </w:tc>
        <w:tc>
          <w:tcPr>
            <w:tcW w:w="664" w:type="pct"/>
            <w:vAlign w:val="center"/>
          </w:tcPr>
          <w:p w14:paraId="45AB1061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1.620</w:t>
            </w:r>
          </w:p>
        </w:tc>
        <w:tc>
          <w:tcPr>
            <w:tcW w:w="821" w:type="pct"/>
            <w:vAlign w:val="center"/>
          </w:tcPr>
          <w:p w14:paraId="4EA021B2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1.066-2.462</w:t>
            </w:r>
          </w:p>
        </w:tc>
        <w:tc>
          <w:tcPr>
            <w:tcW w:w="672" w:type="pct"/>
            <w:vAlign w:val="center"/>
          </w:tcPr>
          <w:p w14:paraId="703975F0" w14:textId="77777777" w:rsidR="00425138" w:rsidRPr="001A1E09" w:rsidRDefault="00A17FC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0.024</w:t>
            </w:r>
            <w:r w:rsidR="00425138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9" w:type="pct"/>
            <w:vAlign w:val="center"/>
          </w:tcPr>
          <w:p w14:paraId="676E74F1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1.466</w:t>
            </w:r>
          </w:p>
        </w:tc>
        <w:tc>
          <w:tcPr>
            <w:tcW w:w="820" w:type="pct"/>
            <w:vAlign w:val="center"/>
          </w:tcPr>
          <w:p w14:paraId="13892C07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1.033-2.142</w:t>
            </w:r>
          </w:p>
        </w:tc>
        <w:tc>
          <w:tcPr>
            <w:tcW w:w="599" w:type="pct"/>
            <w:vAlign w:val="center"/>
          </w:tcPr>
          <w:p w14:paraId="106AC04B" w14:textId="77777777" w:rsidR="00425138" w:rsidRPr="001A1E09" w:rsidRDefault="00BC5F3C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0.04</w:t>
            </w:r>
            <w:r w:rsidR="00425138" w:rsidRPr="001A1E09">
              <w:rPr>
                <w:rFonts w:ascii="Book Antiqua" w:hAnsi="Book Antiqua" w:cs="Times New Roman"/>
                <w:sz w:val="20"/>
                <w:szCs w:val="20"/>
              </w:rPr>
              <w:t>8</w:t>
            </w:r>
            <w:r w:rsidR="00425138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151A0CB2" w14:textId="77777777" w:rsidTr="00147FB6">
        <w:trPr>
          <w:jc w:val="center"/>
        </w:trPr>
        <w:tc>
          <w:tcPr>
            <w:tcW w:w="976" w:type="pct"/>
          </w:tcPr>
          <w:p w14:paraId="74DA7191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RFS</w:t>
            </w:r>
          </w:p>
        </w:tc>
        <w:tc>
          <w:tcPr>
            <w:tcW w:w="664" w:type="pct"/>
            <w:vAlign w:val="center"/>
          </w:tcPr>
          <w:p w14:paraId="7B43AB41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14:paraId="6E0DC5E3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216D7740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7F84875F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1A4A3F66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2D6EF782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0D91D238" w14:textId="77777777" w:rsidTr="00147FB6">
        <w:trPr>
          <w:jc w:val="center"/>
        </w:trPr>
        <w:tc>
          <w:tcPr>
            <w:tcW w:w="976" w:type="pct"/>
          </w:tcPr>
          <w:p w14:paraId="2365D3AB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Age </w:t>
            </w:r>
          </w:p>
        </w:tc>
        <w:tc>
          <w:tcPr>
            <w:tcW w:w="664" w:type="pct"/>
            <w:vAlign w:val="center"/>
          </w:tcPr>
          <w:p w14:paraId="14761A25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vAlign w:val="center"/>
          </w:tcPr>
          <w:p w14:paraId="11D5BAD0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4F6C67F9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0CDD8DF5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0.991</w:t>
            </w:r>
          </w:p>
        </w:tc>
        <w:tc>
          <w:tcPr>
            <w:tcW w:w="820" w:type="pct"/>
            <w:vAlign w:val="center"/>
          </w:tcPr>
          <w:p w14:paraId="2A9BA2F5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0.976-1.006</w:t>
            </w:r>
          </w:p>
        </w:tc>
        <w:tc>
          <w:tcPr>
            <w:tcW w:w="599" w:type="pct"/>
            <w:vAlign w:val="center"/>
          </w:tcPr>
          <w:p w14:paraId="2FC75843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0.236</w:t>
            </w:r>
          </w:p>
        </w:tc>
      </w:tr>
      <w:tr w:rsidR="003E1E48" w:rsidRPr="001A1E09" w14:paraId="04E04AA7" w14:textId="77777777" w:rsidTr="00147FB6">
        <w:trPr>
          <w:jc w:val="center"/>
        </w:trPr>
        <w:tc>
          <w:tcPr>
            <w:tcW w:w="976" w:type="pct"/>
          </w:tcPr>
          <w:p w14:paraId="2E3A5396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HBsAg</w:t>
            </w:r>
          </w:p>
        </w:tc>
        <w:tc>
          <w:tcPr>
            <w:tcW w:w="664" w:type="pct"/>
            <w:vAlign w:val="center"/>
          </w:tcPr>
          <w:p w14:paraId="0EA55F89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1.367</w:t>
            </w:r>
          </w:p>
        </w:tc>
        <w:tc>
          <w:tcPr>
            <w:tcW w:w="821" w:type="pct"/>
            <w:vAlign w:val="center"/>
          </w:tcPr>
          <w:p w14:paraId="794ECD87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0.974-1.919</w:t>
            </w:r>
          </w:p>
        </w:tc>
        <w:tc>
          <w:tcPr>
            <w:tcW w:w="672" w:type="pct"/>
            <w:vAlign w:val="center"/>
          </w:tcPr>
          <w:p w14:paraId="5F2FAE2D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0.07</w:t>
            </w:r>
            <w:r w:rsidR="00425138" w:rsidRPr="001A1E09">
              <w:rPr>
                <w:rFonts w:ascii="Book Antiqua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449" w:type="pct"/>
            <w:vAlign w:val="center"/>
          </w:tcPr>
          <w:p w14:paraId="4339D12F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820" w:type="pct"/>
            <w:vAlign w:val="center"/>
          </w:tcPr>
          <w:p w14:paraId="1C1AD3F0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4C416C30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643EE4FA" w14:textId="77777777" w:rsidTr="00147FB6">
        <w:trPr>
          <w:jc w:val="center"/>
        </w:trPr>
        <w:tc>
          <w:tcPr>
            <w:tcW w:w="976" w:type="pct"/>
          </w:tcPr>
          <w:p w14:paraId="2B9C9AA6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Ascites</w:t>
            </w:r>
          </w:p>
        </w:tc>
        <w:tc>
          <w:tcPr>
            <w:tcW w:w="664" w:type="pct"/>
            <w:vAlign w:val="center"/>
          </w:tcPr>
          <w:p w14:paraId="31E58BB3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0.763</w:t>
            </w:r>
          </w:p>
        </w:tc>
        <w:tc>
          <w:tcPr>
            <w:tcW w:w="821" w:type="pct"/>
            <w:vAlign w:val="center"/>
          </w:tcPr>
          <w:p w14:paraId="4E2D311C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0.473-1.230</w:t>
            </w:r>
          </w:p>
        </w:tc>
        <w:tc>
          <w:tcPr>
            <w:tcW w:w="672" w:type="pct"/>
            <w:vAlign w:val="center"/>
          </w:tcPr>
          <w:p w14:paraId="36C1EC45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0.266</w:t>
            </w:r>
          </w:p>
        </w:tc>
        <w:tc>
          <w:tcPr>
            <w:tcW w:w="449" w:type="pct"/>
            <w:vAlign w:val="center"/>
          </w:tcPr>
          <w:p w14:paraId="4891D886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0.621</w:t>
            </w:r>
          </w:p>
        </w:tc>
        <w:tc>
          <w:tcPr>
            <w:tcW w:w="820" w:type="pct"/>
            <w:vAlign w:val="center"/>
          </w:tcPr>
          <w:p w14:paraId="1E2C7522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0.382-1.010</w:t>
            </w:r>
          </w:p>
        </w:tc>
        <w:tc>
          <w:tcPr>
            <w:tcW w:w="599" w:type="pct"/>
            <w:vAlign w:val="center"/>
          </w:tcPr>
          <w:p w14:paraId="2A9654C5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0.055</w:t>
            </w:r>
          </w:p>
        </w:tc>
      </w:tr>
      <w:tr w:rsidR="003E1E48" w:rsidRPr="001A1E09" w14:paraId="4F7570DE" w14:textId="77777777" w:rsidTr="00147FB6">
        <w:trPr>
          <w:jc w:val="center"/>
        </w:trPr>
        <w:tc>
          <w:tcPr>
            <w:tcW w:w="976" w:type="pct"/>
          </w:tcPr>
          <w:p w14:paraId="5BE33BBC" w14:textId="1D079E0B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CA-199</w:t>
            </w:r>
            <w:r w:rsidR="00BC446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≥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22/&lt;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22</w:t>
            </w:r>
          </w:p>
        </w:tc>
        <w:tc>
          <w:tcPr>
            <w:tcW w:w="664" w:type="pct"/>
            <w:vAlign w:val="center"/>
          </w:tcPr>
          <w:p w14:paraId="3777913C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1.406</w:t>
            </w:r>
          </w:p>
        </w:tc>
        <w:tc>
          <w:tcPr>
            <w:tcW w:w="821" w:type="pct"/>
            <w:vAlign w:val="center"/>
          </w:tcPr>
          <w:p w14:paraId="010B80E5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1.128-1.752</w:t>
            </w:r>
          </w:p>
        </w:tc>
        <w:tc>
          <w:tcPr>
            <w:tcW w:w="672" w:type="pct"/>
            <w:vAlign w:val="center"/>
          </w:tcPr>
          <w:p w14:paraId="315C795B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0.002</w:t>
            </w:r>
            <w:r w:rsidR="002A5318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9" w:type="pct"/>
            <w:vAlign w:val="center"/>
          </w:tcPr>
          <w:p w14:paraId="43A85953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1.319</w:t>
            </w:r>
          </w:p>
        </w:tc>
        <w:tc>
          <w:tcPr>
            <w:tcW w:w="820" w:type="pct"/>
            <w:vAlign w:val="center"/>
          </w:tcPr>
          <w:p w14:paraId="2C778C26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1.050-1.656</w:t>
            </w:r>
          </w:p>
        </w:tc>
        <w:tc>
          <w:tcPr>
            <w:tcW w:w="599" w:type="pct"/>
            <w:vAlign w:val="center"/>
          </w:tcPr>
          <w:p w14:paraId="01485870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0.017</w:t>
            </w:r>
            <w:r w:rsidR="00425138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5F9672E2" w14:textId="77777777" w:rsidTr="00147FB6">
        <w:trPr>
          <w:jc w:val="center"/>
        </w:trPr>
        <w:tc>
          <w:tcPr>
            <w:tcW w:w="976" w:type="pct"/>
          </w:tcPr>
          <w:p w14:paraId="6777C69E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Tumor size</w:t>
            </w:r>
          </w:p>
        </w:tc>
        <w:tc>
          <w:tcPr>
            <w:tcW w:w="664" w:type="pct"/>
            <w:vAlign w:val="center"/>
          </w:tcPr>
          <w:p w14:paraId="790B9C1F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1.073</w:t>
            </w:r>
          </w:p>
        </w:tc>
        <w:tc>
          <w:tcPr>
            <w:tcW w:w="821" w:type="pct"/>
            <w:vAlign w:val="center"/>
          </w:tcPr>
          <w:p w14:paraId="4D7153B6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0.994</w:t>
            </w:r>
            <w:r w:rsidR="00425138"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1.158</w:t>
            </w:r>
          </w:p>
        </w:tc>
        <w:tc>
          <w:tcPr>
            <w:tcW w:w="672" w:type="pct"/>
            <w:vAlign w:val="center"/>
          </w:tcPr>
          <w:p w14:paraId="0FA5501A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0.072</w:t>
            </w:r>
          </w:p>
        </w:tc>
        <w:tc>
          <w:tcPr>
            <w:tcW w:w="449" w:type="pct"/>
            <w:vAlign w:val="center"/>
          </w:tcPr>
          <w:p w14:paraId="53FEA6E6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0.975</w:t>
            </w:r>
          </w:p>
        </w:tc>
        <w:tc>
          <w:tcPr>
            <w:tcW w:w="820" w:type="pct"/>
            <w:vAlign w:val="center"/>
          </w:tcPr>
          <w:p w14:paraId="6B559AE5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0.906-1.050</w:t>
            </w:r>
          </w:p>
        </w:tc>
        <w:tc>
          <w:tcPr>
            <w:tcW w:w="599" w:type="pct"/>
            <w:vAlign w:val="center"/>
          </w:tcPr>
          <w:p w14:paraId="4E243F1F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0.501</w:t>
            </w:r>
          </w:p>
        </w:tc>
      </w:tr>
      <w:tr w:rsidR="003E1E48" w:rsidRPr="001A1E09" w14:paraId="00BA595D" w14:textId="77777777" w:rsidTr="00147FB6">
        <w:trPr>
          <w:jc w:val="center"/>
        </w:trPr>
        <w:tc>
          <w:tcPr>
            <w:tcW w:w="976" w:type="pct"/>
          </w:tcPr>
          <w:p w14:paraId="29C23426" w14:textId="5C859E21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Tumor number</w:t>
            </w:r>
            <w:r w:rsidR="00BC446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lastRenderedPageBreak/>
              <w:t>Multiple/Single</w:t>
            </w:r>
          </w:p>
        </w:tc>
        <w:tc>
          <w:tcPr>
            <w:tcW w:w="664" w:type="pct"/>
            <w:vAlign w:val="center"/>
          </w:tcPr>
          <w:p w14:paraId="1A576CCD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lastRenderedPageBreak/>
              <w:t>1.434</w:t>
            </w:r>
          </w:p>
        </w:tc>
        <w:tc>
          <w:tcPr>
            <w:tcW w:w="821" w:type="pct"/>
            <w:vAlign w:val="center"/>
          </w:tcPr>
          <w:p w14:paraId="26F5A388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0.998-2.060</w:t>
            </w:r>
          </w:p>
        </w:tc>
        <w:tc>
          <w:tcPr>
            <w:tcW w:w="672" w:type="pct"/>
            <w:vAlign w:val="center"/>
          </w:tcPr>
          <w:p w14:paraId="388F4E95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0.051</w:t>
            </w:r>
          </w:p>
        </w:tc>
        <w:tc>
          <w:tcPr>
            <w:tcW w:w="449" w:type="pct"/>
            <w:vAlign w:val="center"/>
          </w:tcPr>
          <w:p w14:paraId="6CC66A1E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1.613</w:t>
            </w:r>
          </w:p>
        </w:tc>
        <w:tc>
          <w:tcPr>
            <w:tcW w:w="820" w:type="pct"/>
            <w:vAlign w:val="center"/>
          </w:tcPr>
          <w:p w14:paraId="12E1DF63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1.172-2.219</w:t>
            </w:r>
          </w:p>
        </w:tc>
        <w:tc>
          <w:tcPr>
            <w:tcW w:w="599" w:type="pct"/>
            <w:vAlign w:val="center"/>
          </w:tcPr>
          <w:p w14:paraId="7E438E63" w14:textId="77777777" w:rsidR="00425138" w:rsidRPr="001A1E09" w:rsidRDefault="00237177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0.003</w:t>
            </w:r>
            <w:r w:rsidR="00425138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11F9759C" w14:textId="77777777" w:rsidTr="00147FB6">
        <w:trPr>
          <w:jc w:val="center"/>
        </w:trPr>
        <w:tc>
          <w:tcPr>
            <w:tcW w:w="976" w:type="pct"/>
          </w:tcPr>
          <w:p w14:paraId="0802FFC2" w14:textId="42965534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Tumor differentiation</w:t>
            </w:r>
            <w:r w:rsidR="00BC446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Moderate-Poor/Well</w:t>
            </w:r>
          </w:p>
        </w:tc>
        <w:tc>
          <w:tcPr>
            <w:tcW w:w="664" w:type="pct"/>
            <w:vAlign w:val="center"/>
          </w:tcPr>
          <w:p w14:paraId="761A6714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2.068</w:t>
            </w:r>
          </w:p>
        </w:tc>
        <w:tc>
          <w:tcPr>
            <w:tcW w:w="821" w:type="pct"/>
            <w:vAlign w:val="center"/>
          </w:tcPr>
          <w:p w14:paraId="6DF1590B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0.635-6.734</w:t>
            </w:r>
          </w:p>
        </w:tc>
        <w:tc>
          <w:tcPr>
            <w:tcW w:w="672" w:type="pct"/>
            <w:vAlign w:val="center"/>
          </w:tcPr>
          <w:p w14:paraId="5EF1FD72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0.228</w:t>
            </w:r>
          </w:p>
        </w:tc>
        <w:tc>
          <w:tcPr>
            <w:tcW w:w="449" w:type="pct"/>
            <w:vAlign w:val="center"/>
          </w:tcPr>
          <w:p w14:paraId="0494E166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3.617</w:t>
            </w:r>
          </w:p>
        </w:tc>
        <w:tc>
          <w:tcPr>
            <w:tcW w:w="820" w:type="pct"/>
            <w:vAlign w:val="center"/>
          </w:tcPr>
          <w:p w14:paraId="5E97B781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1.114-11.741</w:t>
            </w:r>
          </w:p>
        </w:tc>
        <w:tc>
          <w:tcPr>
            <w:tcW w:w="599" w:type="pct"/>
            <w:vAlign w:val="center"/>
          </w:tcPr>
          <w:p w14:paraId="7D67CB91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0.032</w:t>
            </w:r>
            <w:r w:rsidR="00425138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E1E48" w:rsidRPr="001A1E09" w14:paraId="70B5DC30" w14:textId="77777777" w:rsidTr="00147FB6">
        <w:trPr>
          <w:jc w:val="center"/>
        </w:trPr>
        <w:tc>
          <w:tcPr>
            <w:tcW w:w="976" w:type="pct"/>
          </w:tcPr>
          <w:p w14:paraId="2A21A5EF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Macrovascular invasion</w:t>
            </w:r>
          </w:p>
        </w:tc>
        <w:tc>
          <w:tcPr>
            <w:tcW w:w="664" w:type="pct"/>
            <w:vAlign w:val="center"/>
          </w:tcPr>
          <w:p w14:paraId="67E78781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1.149</w:t>
            </w:r>
          </w:p>
        </w:tc>
        <w:tc>
          <w:tcPr>
            <w:tcW w:w="821" w:type="pct"/>
            <w:vAlign w:val="center"/>
          </w:tcPr>
          <w:p w14:paraId="38465D38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0.785-1.682</w:t>
            </w:r>
          </w:p>
        </w:tc>
        <w:tc>
          <w:tcPr>
            <w:tcW w:w="672" w:type="pct"/>
            <w:vAlign w:val="center"/>
          </w:tcPr>
          <w:p w14:paraId="7E7302C2" w14:textId="77777777" w:rsidR="00425138" w:rsidRPr="001A1E09" w:rsidRDefault="002A531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0.475</w:t>
            </w:r>
          </w:p>
        </w:tc>
        <w:tc>
          <w:tcPr>
            <w:tcW w:w="449" w:type="pct"/>
            <w:vAlign w:val="center"/>
          </w:tcPr>
          <w:p w14:paraId="1D3DCF61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820" w:type="pct"/>
            <w:vAlign w:val="center"/>
          </w:tcPr>
          <w:p w14:paraId="67497C4D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09327B6E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E1E48" w:rsidRPr="001A1E09" w14:paraId="4E273AED" w14:textId="77777777" w:rsidTr="00147FB6">
        <w:trPr>
          <w:jc w:val="center"/>
        </w:trPr>
        <w:tc>
          <w:tcPr>
            <w:tcW w:w="976" w:type="pct"/>
          </w:tcPr>
          <w:p w14:paraId="0BCD043E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Microvascular invasion</w:t>
            </w:r>
          </w:p>
        </w:tc>
        <w:tc>
          <w:tcPr>
            <w:tcW w:w="664" w:type="pct"/>
            <w:vAlign w:val="center"/>
          </w:tcPr>
          <w:p w14:paraId="53287A17" w14:textId="77777777" w:rsidR="00425138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1.643</w:t>
            </w:r>
          </w:p>
        </w:tc>
        <w:tc>
          <w:tcPr>
            <w:tcW w:w="821" w:type="pct"/>
            <w:vAlign w:val="center"/>
          </w:tcPr>
          <w:p w14:paraId="52E0ADB4" w14:textId="77777777" w:rsidR="00425138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1.031-2.618</w:t>
            </w:r>
          </w:p>
        </w:tc>
        <w:tc>
          <w:tcPr>
            <w:tcW w:w="672" w:type="pct"/>
            <w:vAlign w:val="center"/>
          </w:tcPr>
          <w:p w14:paraId="1074BB12" w14:textId="77777777" w:rsidR="00425138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0.037</w:t>
            </w:r>
            <w:r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9" w:type="pct"/>
            <w:vAlign w:val="center"/>
          </w:tcPr>
          <w:p w14:paraId="69394B7F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1.607</w:t>
            </w:r>
          </w:p>
        </w:tc>
        <w:tc>
          <w:tcPr>
            <w:tcW w:w="820" w:type="pct"/>
            <w:vAlign w:val="center"/>
          </w:tcPr>
          <w:p w14:paraId="56123C8C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0.986-2.618</w:t>
            </w:r>
          </w:p>
        </w:tc>
        <w:tc>
          <w:tcPr>
            <w:tcW w:w="599" w:type="pct"/>
            <w:vAlign w:val="center"/>
          </w:tcPr>
          <w:p w14:paraId="14A9B8E7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0.057</w:t>
            </w:r>
          </w:p>
        </w:tc>
      </w:tr>
      <w:tr w:rsidR="003E1E48" w:rsidRPr="001A1E09" w14:paraId="03A2F183" w14:textId="77777777" w:rsidTr="00147FB6">
        <w:trPr>
          <w:jc w:val="center"/>
        </w:trPr>
        <w:tc>
          <w:tcPr>
            <w:tcW w:w="976" w:type="pct"/>
          </w:tcPr>
          <w:p w14:paraId="520C7B1A" w14:textId="77777777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Liver capsule invasion</w:t>
            </w:r>
          </w:p>
        </w:tc>
        <w:tc>
          <w:tcPr>
            <w:tcW w:w="664" w:type="pct"/>
            <w:vAlign w:val="center"/>
          </w:tcPr>
          <w:p w14:paraId="43DB6897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vAlign w:val="center"/>
          </w:tcPr>
          <w:p w14:paraId="53484205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16199981" w14:textId="77777777" w:rsidR="00425138" w:rsidRPr="001A1E09" w:rsidRDefault="00425138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6F229B9D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0.778</w:t>
            </w:r>
          </w:p>
        </w:tc>
        <w:tc>
          <w:tcPr>
            <w:tcW w:w="820" w:type="pct"/>
            <w:vAlign w:val="center"/>
          </w:tcPr>
          <w:p w14:paraId="1DB8C741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0.428-1.417</w:t>
            </w:r>
          </w:p>
        </w:tc>
        <w:tc>
          <w:tcPr>
            <w:tcW w:w="599" w:type="pct"/>
            <w:vAlign w:val="center"/>
          </w:tcPr>
          <w:p w14:paraId="54C0CDC5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0.413</w:t>
            </w:r>
          </w:p>
        </w:tc>
      </w:tr>
      <w:tr w:rsidR="003E1E48" w:rsidRPr="001A1E09" w14:paraId="53C5541A" w14:textId="77777777" w:rsidTr="00147FB6">
        <w:trPr>
          <w:jc w:val="center"/>
        </w:trPr>
        <w:tc>
          <w:tcPr>
            <w:tcW w:w="976" w:type="pct"/>
          </w:tcPr>
          <w:p w14:paraId="1D17D422" w14:textId="1C4F8415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Node</w:t>
            </w:r>
            <w:r w:rsidR="00964773" w:rsidRPr="001A1E09">
              <w:rPr>
                <w:rFonts w:ascii="Book Antiqua" w:hAnsi="Book Antiqua" w:cs="Times New Roman"/>
                <w:sz w:val="20"/>
                <w:szCs w:val="20"/>
              </w:rPr>
              <w:t>-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positive</w:t>
            </w:r>
          </w:p>
        </w:tc>
        <w:tc>
          <w:tcPr>
            <w:tcW w:w="664" w:type="pct"/>
            <w:vAlign w:val="center"/>
          </w:tcPr>
          <w:p w14:paraId="3631CFE7" w14:textId="77777777" w:rsidR="00425138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1.859</w:t>
            </w:r>
          </w:p>
        </w:tc>
        <w:tc>
          <w:tcPr>
            <w:tcW w:w="821" w:type="pct"/>
            <w:vAlign w:val="center"/>
          </w:tcPr>
          <w:p w14:paraId="3001A98F" w14:textId="77777777" w:rsidR="00425138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1.272-2.716</w:t>
            </w:r>
          </w:p>
        </w:tc>
        <w:tc>
          <w:tcPr>
            <w:tcW w:w="672" w:type="pct"/>
            <w:vAlign w:val="center"/>
          </w:tcPr>
          <w:p w14:paraId="4AD2A838" w14:textId="77777777" w:rsidR="00425138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0.001</w:t>
            </w:r>
            <w:r w:rsidR="00425138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9" w:type="pct"/>
            <w:vAlign w:val="center"/>
          </w:tcPr>
          <w:p w14:paraId="0E8C3AF2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0.972</w:t>
            </w:r>
          </w:p>
        </w:tc>
        <w:tc>
          <w:tcPr>
            <w:tcW w:w="820" w:type="pct"/>
            <w:vAlign w:val="center"/>
          </w:tcPr>
          <w:p w14:paraId="34BE1E25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0.664-1.421</w:t>
            </w:r>
          </w:p>
        </w:tc>
        <w:tc>
          <w:tcPr>
            <w:tcW w:w="599" w:type="pct"/>
            <w:vAlign w:val="center"/>
          </w:tcPr>
          <w:p w14:paraId="7C974F2C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0.882</w:t>
            </w:r>
          </w:p>
        </w:tc>
      </w:tr>
      <w:tr w:rsidR="003E1E48" w:rsidRPr="001A1E09" w14:paraId="5FD4234A" w14:textId="77777777" w:rsidTr="00147FB6">
        <w:trPr>
          <w:jc w:val="center"/>
        </w:trPr>
        <w:tc>
          <w:tcPr>
            <w:tcW w:w="976" w:type="pct"/>
          </w:tcPr>
          <w:p w14:paraId="543852DE" w14:textId="3977821B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TNM stage</w:t>
            </w:r>
            <w:r w:rsidR="00BC4465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III/I-II</w:t>
            </w:r>
          </w:p>
        </w:tc>
        <w:tc>
          <w:tcPr>
            <w:tcW w:w="664" w:type="pct"/>
            <w:vAlign w:val="center"/>
          </w:tcPr>
          <w:p w14:paraId="0FCFFE4B" w14:textId="77777777" w:rsidR="00425138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0.892</w:t>
            </w:r>
          </w:p>
        </w:tc>
        <w:tc>
          <w:tcPr>
            <w:tcW w:w="821" w:type="pct"/>
            <w:vAlign w:val="center"/>
          </w:tcPr>
          <w:p w14:paraId="395B4F73" w14:textId="77777777" w:rsidR="00425138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0.559-1.328</w:t>
            </w:r>
          </w:p>
        </w:tc>
        <w:tc>
          <w:tcPr>
            <w:tcW w:w="672" w:type="pct"/>
            <w:vAlign w:val="center"/>
          </w:tcPr>
          <w:p w14:paraId="7F03BE33" w14:textId="77777777" w:rsidR="00425138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0.572</w:t>
            </w:r>
          </w:p>
        </w:tc>
        <w:tc>
          <w:tcPr>
            <w:tcW w:w="449" w:type="pct"/>
            <w:vAlign w:val="center"/>
          </w:tcPr>
          <w:p w14:paraId="4DA4990C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1.524</w:t>
            </w:r>
          </w:p>
        </w:tc>
        <w:tc>
          <w:tcPr>
            <w:tcW w:w="820" w:type="pct"/>
            <w:vAlign w:val="center"/>
          </w:tcPr>
          <w:p w14:paraId="3E903834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0.778</w:t>
            </w:r>
            <w:r w:rsidR="00425138" w:rsidRPr="001A1E09">
              <w:rPr>
                <w:rFonts w:ascii="Book Antiqua" w:hAnsi="Book Antiqua" w:cs="Times New Roman"/>
                <w:sz w:val="20"/>
                <w:szCs w:val="20"/>
              </w:rPr>
              <w:t>-2.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988</w:t>
            </w:r>
          </w:p>
        </w:tc>
        <w:tc>
          <w:tcPr>
            <w:tcW w:w="599" w:type="pct"/>
            <w:vAlign w:val="center"/>
          </w:tcPr>
          <w:p w14:paraId="3DC8EA5F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0.220</w:t>
            </w:r>
          </w:p>
        </w:tc>
      </w:tr>
      <w:tr w:rsidR="003E1E48" w:rsidRPr="001A1E09" w14:paraId="7680C23E" w14:textId="77777777" w:rsidTr="00147FB6">
        <w:trPr>
          <w:jc w:val="center"/>
        </w:trPr>
        <w:tc>
          <w:tcPr>
            <w:tcW w:w="976" w:type="pct"/>
          </w:tcPr>
          <w:p w14:paraId="685AB37C" w14:textId="471C373F" w:rsidR="00425138" w:rsidRPr="001A1E09" w:rsidRDefault="00425138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BCLC</w:t>
            </w:r>
            <w:r w:rsidR="00DC66A2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B-C/0-A</w:t>
            </w:r>
          </w:p>
        </w:tc>
        <w:tc>
          <w:tcPr>
            <w:tcW w:w="664" w:type="pct"/>
            <w:vAlign w:val="center"/>
          </w:tcPr>
          <w:p w14:paraId="7AA48192" w14:textId="77777777" w:rsidR="00425138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0.784</w:t>
            </w:r>
          </w:p>
        </w:tc>
        <w:tc>
          <w:tcPr>
            <w:tcW w:w="821" w:type="pct"/>
            <w:vAlign w:val="center"/>
          </w:tcPr>
          <w:p w14:paraId="140BC2F7" w14:textId="77777777" w:rsidR="00425138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0.480-1.280</w:t>
            </w:r>
          </w:p>
        </w:tc>
        <w:tc>
          <w:tcPr>
            <w:tcW w:w="672" w:type="pct"/>
            <w:vAlign w:val="center"/>
          </w:tcPr>
          <w:p w14:paraId="22433A33" w14:textId="77777777" w:rsidR="00425138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0.331</w:t>
            </w:r>
          </w:p>
        </w:tc>
        <w:tc>
          <w:tcPr>
            <w:tcW w:w="449" w:type="pct"/>
            <w:vAlign w:val="center"/>
          </w:tcPr>
          <w:p w14:paraId="081C8069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1.339</w:t>
            </w:r>
          </w:p>
        </w:tc>
        <w:tc>
          <w:tcPr>
            <w:tcW w:w="820" w:type="pct"/>
            <w:vAlign w:val="center"/>
          </w:tcPr>
          <w:p w14:paraId="4876F35E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0.859-2.087</w:t>
            </w:r>
          </w:p>
        </w:tc>
        <w:tc>
          <w:tcPr>
            <w:tcW w:w="599" w:type="pct"/>
            <w:vAlign w:val="center"/>
          </w:tcPr>
          <w:p w14:paraId="166331F8" w14:textId="77777777" w:rsidR="00425138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0.198</w:t>
            </w:r>
          </w:p>
        </w:tc>
      </w:tr>
      <w:tr w:rsidR="003E1E48" w:rsidRPr="001A1E09" w14:paraId="087B428B" w14:textId="77777777" w:rsidTr="00147FB6">
        <w:trPr>
          <w:jc w:val="center"/>
        </w:trPr>
        <w:tc>
          <w:tcPr>
            <w:tcW w:w="976" w:type="pct"/>
          </w:tcPr>
          <w:p w14:paraId="44A8CBD8" w14:textId="769D841B" w:rsidR="00526FAF" w:rsidRPr="001A1E09" w:rsidRDefault="00526FAF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NLR</w:t>
            </w:r>
            <w:r w:rsidR="00DC66A2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="00336ED2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&gt;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2.62/≤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2.62</w:t>
            </w:r>
          </w:p>
        </w:tc>
        <w:tc>
          <w:tcPr>
            <w:tcW w:w="664" w:type="pct"/>
            <w:vAlign w:val="center"/>
          </w:tcPr>
          <w:p w14:paraId="1AA0F91C" w14:textId="77777777" w:rsidR="00526FAF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1.128</w:t>
            </w:r>
          </w:p>
        </w:tc>
        <w:tc>
          <w:tcPr>
            <w:tcW w:w="821" w:type="pct"/>
            <w:vAlign w:val="center"/>
          </w:tcPr>
          <w:p w14:paraId="2C816045" w14:textId="77777777" w:rsidR="00526FAF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0.811-1.571</w:t>
            </w:r>
          </w:p>
        </w:tc>
        <w:tc>
          <w:tcPr>
            <w:tcW w:w="672" w:type="pct"/>
            <w:vAlign w:val="center"/>
          </w:tcPr>
          <w:p w14:paraId="7A56FA46" w14:textId="77777777" w:rsidR="00526FAF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0.474</w:t>
            </w:r>
          </w:p>
        </w:tc>
        <w:tc>
          <w:tcPr>
            <w:tcW w:w="449" w:type="pct"/>
            <w:vAlign w:val="center"/>
          </w:tcPr>
          <w:p w14:paraId="75CC4D02" w14:textId="77777777" w:rsidR="00526FAF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1.352</w:t>
            </w:r>
          </w:p>
        </w:tc>
        <w:tc>
          <w:tcPr>
            <w:tcW w:w="820" w:type="pct"/>
            <w:vAlign w:val="center"/>
          </w:tcPr>
          <w:p w14:paraId="39B3300D" w14:textId="77777777" w:rsidR="00526FAF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0.967-1.891</w:t>
            </w:r>
          </w:p>
        </w:tc>
        <w:tc>
          <w:tcPr>
            <w:tcW w:w="599" w:type="pct"/>
            <w:vAlign w:val="center"/>
          </w:tcPr>
          <w:p w14:paraId="2A4732F9" w14:textId="77777777" w:rsidR="00526FAF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0.077</w:t>
            </w:r>
          </w:p>
        </w:tc>
      </w:tr>
      <w:tr w:rsidR="003E1E48" w:rsidRPr="001A1E09" w14:paraId="47262A23" w14:textId="77777777" w:rsidTr="00147FB6">
        <w:trPr>
          <w:jc w:val="center"/>
        </w:trPr>
        <w:tc>
          <w:tcPr>
            <w:tcW w:w="976" w:type="pct"/>
          </w:tcPr>
          <w:p w14:paraId="7BB477EE" w14:textId="5FEAE7A0" w:rsidR="00526FAF" w:rsidRPr="001A1E09" w:rsidRDefault="00526FAF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PLR</w:t>
            </w:r>
            <w:r w:rsidR="00DC66A2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="00336ED2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&gt;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103/≤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103</w:t>
            </w:r>
          </w:p>
        </w:tc>
        <w:tc>
          <w:tcPr>
            <w:tcW w:w="664" w:type="pct"/>
            <w:vAlign w:val="center"/>
          </w:tcPr>
          <w:p w14:paraId="5569D075" w14:textId="77777777" w:rsidR="00526FAF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1.125</w:t>
            </w:r>
          </w:p>
        </w:tc>
        <w:tc>
          <w:tcPr>
            <w:tcW w:w="821" w:type="pct"/>
            <w:vAlign w:val="center"/>
          </w:tcPr>
          <w:p w14:paraId="576F0107" w14:textId="77777777" w:rsidR="00526FAF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0.809-1.565</w:t>
            </w:r>
          </w:p>
        </w:tc>
        <w:tc>
          <w:tcPr>
            <w:tcW w:w="672" w:type="pct"/>
            <w:vAlign w:val="center"/>
          </w:tcPr>
          <w:p w14:paraId="5887524B" w14:textId="77777777" w:rsidR="00526FAF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0.483</w:t>
            </w:r>
          </w:p>
        </w:tc>
        <w:tc>
          <w:tcPr>
            <w:tcW w:w="449" w:type="pct"/>
            <w:vAlign w:val="center"/>
          </w:tcPr>
          <w:p w14:paraId="5A6CDE89" w14:textId="77777777" w:rsidR="00526FAF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0.805</w:t>
            </w:r>
          </w:p>
        </w:tc>
        <w:tc>
          <w:tcPr>
            <w:tcW w:w="820" w:type="pct"/>
            <w:vAlign w:val="center"/>
          </w:tcPr>
          <w:p w14:paraId="1DA21F10" w14:textId="77777777" w:rsidR="00526FAF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0.589-1.100</w:t>
            </w:r>
          </w:p>
        </w:tc>
        <w:tc>
          <w:tcPr>
            <w:tcW w:w="599" w:type="pct"/>
            <w:vAlign w:val="center"/>
          </w:tcPr>
          <w:p w14:paraId="6F8E74DD" w14:textId="77777777" w:rsidR="00526FAF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0.173</w:t>
            </w:r>
          </w:p>
        </w:tc>
      </w:tr>
      <w:tr w:rsidR="003E1E48" w:rsidRPr="001A1E09" w14:paraId="560C3C0D" w14:textId="77777777" w:rsidTr="00147FB6">
        <w:trPr>
          <w:jc w:val="center"/>
        </w:trPr>
        <w:tc>
          <w:tcPr>
            <w:tcW w:w="976" w:type="pct"/>
          </w:tcPr>
          <w:p w14:paraId="1E2B5144" w14:textId="075CD330" w:rsidR="00526FAF" w:rsidRPr="001A1E09" w:rsidRDefault="00526FAF" w:rsidP="001A1E0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GLR</w:t>
            </w:r>
            <w:r w:rsidR="00DC66A2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 xml:space="preserve"> &gt;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33.7/≤</w:t>
            </w:r>
            <w:r w:rsidR="00147FB6" w:rsidRPr="001A1E0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1A1E09">
              <w:rPr>
                <w:rFonts w:ascii="Book Antiqua" w:hAnsi="Book Antiqua" w:cs="Times New Roman"/>
                <w:sz w:val="20"/>
                <w:szCs w:val="20"/>
              </w:rPr>
              <w:t>33.7</w:t>
            </w:r>
          </w:p>
        </w:tc>
        <w:tc>
          <w:tcPr>
            <w:tcW w:w="664" w:type="pct"/>
            <w:vAlign w:val="center"/>
          </w:tcPr>
          <w:p w14:paraId="7ED95B4A" w14:textId="77777777" w:rsidR="00526FAF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1.471</w:t>
            </w:r>
          </w:p>
        </w:tc>
        <w:tc>
          <w:tcPr>
            <w:tcW w:w="821" w:type="pct"/>
            <w:vAlign w:val="center"/>
          </w:tcPr>
          <w:p w14:paraId="739031EC" w14:textId="77777777" w:rsidR="00526FAF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1.029-2.103</w:t>
            </w:r>
          </w:p>
        </w:tc>
        <w:tc>
          <w:tcPr>
            <w:tcW w:w="672" w:type="pct"/>
            <w:vAlign w:val="center"/>
          </w:tcPr>
          <w:p w14:paraId="7DD8174D" w14:textId="77777777" w:rsidR="00526FAF" w:rsidRPr="001A1E09" w:rsidRDefault="00526FA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0.034</w:t>
            </w:r>
            <w:r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9" w:type="pct"/>
            <w:vAlign w:val="center"/>
          </w:tcPr>
          <w:p w14:paraId="6602ECD1" w14:textId="77777777" w:rsidR="00526FAF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1.480</w:t>
            </w:r>
          </w:p>
        </w:tc>
        <w:tc>
          <w:tcPr>
            <w:tcW w:w="820" w:type="pct"/>
            <w:vAlign w:val="center"/>
          </w:tcPr>
          <w:p w14:paraId="1943F3E8" w14:textId="77777777" w:rsidR="00526FAF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1.057-2.070</w:t>
            </w:r>
          </w:p>
        </w:tc>
        <w:tc>
          <w:tcPr>
            <w:tcW w:w="599" w:type="pct"/>
            <w:vAlign w:val="center"/>
          </w:tcPr>
          <w:p w14:paraId="5EF0C6EC" w14:textId="77777777" w:rsidR="00526FAF" w:rsidRPr="001A1E09" w:rsidRDefault="0063040F" w:rsidP="001A1E09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A1E09">
              <w:rPr>
                <w:rFonts w:ascii="Book Antiqua" w:hAnsi="Book Antiqua" w:cs="Times New Roman"/>
                <w:sz w:val="20"/>
                <w:szCs w:val="20"/>
              </w:rPr>
              <w:t>0.022</w:t>
            </w:r>
            <w:r w:rsidR="00526FAF" w:rsidRPr="001A1E09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a</w:t>
            </w:r>
          </w:p>
        </w:tc>
      </w:tr>
    </w:tbl>
    <w:p w14:paraId="2E68A347" w14:textId="78A26BA8" w:rsidR="00DC617A" w:rsidRPr="001A1E09" w:rsidRDefault="007F1F60" w:rsidP="001A1E09">
      <w:pPr>
        <w:adjustRightInd w:val="0"/>
        <w:snapToGrid w:val="0"/>
        <w:spacing w:line="360" w:lineRule="auto"/>
        <w:rPr>
          <w:rFonts w:ascii="Book Antiqua" w:hAnsi="Book Antiqua" w:cs="Times New Roman"/>
          <w:sz w:val="20"/>
          <w:szCs w:val="20"/>
        </w:rPr>
      </w:pPr>
      <w:r w:rsidRPr="001A1E09">
        <w:rPr>
          <w:rFonts w:ascii="Book Antiqua" w:hAnsi="Book Antiqua" w:cs="Times New Roman"/>
          <w:sz w:val="20"/>
          <w:szCs w:val="20"/>
          <w:vertAlign w:val="superscript"/>
        </w:rPr>
        <w:t>a</w:t>
      </w:r>
      <w:r w:rsidRPr="001A1E09">
        <w:rPr>
          <w:rFonts w:ascii="Book Antiqua" w:hAnsi="Book Antiqua" w:cs="Times New Roman"/>
          <w:i/>
          <w:sz w:val="20"/>
          <w:szCs w:val="20"/>
        </w:rPr>
        <w:t>P</w:t>
      </w:r>
      <w:r w:rsidRPr="001A1E09">
        <w:rPr>
          <w:rFonts w:ascii="Book Antiqua" w:hAnsi="Book Antiqua" w:cs="Times New Roman"/>
          <w:sz w:val="20"/>
          <w:szCs w:val="20"/>
        </w:rPr>
        <w:t xml:space="preserve"> &lt; 0.05. </w:t>
      </w:r>
      <w:r w:rsidR="00DC617A" w:rsidRPr="001A1E09">
        <w:rPr>
          <w:rFonts w:ascii="Book Antiqua" w:hAnsi="Book Antiqua" w:cs="Times New Roman"/>
          <w:sz w:val="20"/>
          <w:szCs w:val="20"/>
        </w:rPr>
        <w:t>OS</w:t>
      </w:r>
      <w:r w:rsidR="00147FB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147FB6" w:rsidRPr="001A1E09">
        <w:rPr>
          <w:rFonts w:ascii="Book Antiqua" w:hAnsi="Book Antiqua" w:cs="Times New Roman"/>
          <w:sz w:val="20"/>
          <w:szCs w:val="20"/>
        </w:rPr>
        <w:t xml:space="preserve">Overall </w:t>
      </w:r>
      <w:r w:rsidR="00DC617A" w:rsidRPr="001A1E09">
        <w:rPr>
          <w:rFonts w:ascii="Book Antiqua" w:hAnsi="Book Antiqua" w:cs="Times New Roman"/>
          <w:sz w:val="20"/>
          <w:szCs w:val="20"/>
        </w:rPr>
        <w:t>survival; RFS</w:t>
      </w:r>
      <w:r w:rsidR="00147FB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147FB6" w:rsidRPr="001A1E09">
        <w:rPr>
          <w:rFonts w:ascii="Book Antiqua" w:hAnsi="Book Antiqua" w:cs="Times New Roman"/>
          <w:sz w:val="20"/>
          <w:szCs w:val="20"/>
        </w:rPr>
        <w:t>Recurrence</w:t>
      </w:r>
      <w:r w:rsidR="00DC617A" w:rsidRPr="001A1E09">
        <w:rPr>
          <w:rFonts w:ascii="Book Antiqua" w:hAnsi="Book Antiqua" w:cs="Times New Roman"/>
          <w:sz w:val="20"/>
          <w:szCs w:val="20"/>
        </w:rPr>
        <w:t>-free survival; HBV</w:t>
      </w:r>
      <w:r w:rsidR="00147FB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147FB6" w:rsidRPr="001A1E09">
        <w:rPr>
          <w:rFonts w:ascii="Book Antiqua" w:hAnsi="Book Antiqua" w:cs="Times New Roman"/>
          <w:sz w:val="20"/>
          <w:szCs w:val="20"/>
        </w:rPr>
        <w:t xml:space="preserve">Hepatitis </w:t>
      </w:r>
      <w:r w:rsidR="00DC617A" w:rsidRPr="001A1E09">
        <w:rPr>
          <w:rFonts w:ascii="Book Antiqua" w:hAnsi="Book Antiqua" w:cs="Times New Roman"/>
          <w:sz w:val="20"/>
          <w:szCs w:val="20"/>
        </w:rPr>
        <w:t>B virus; CA-199</w:t>
      </w:r>
      <w:r w:rsidR="00147FB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147FB6" w:rsidRPr="001A1E09">
        <w:rPr>
          <w:rFonts w:ascii="Book Antiqua" w:hAnsi="Book Antiqua" w:cs="Times New Roman"/>
          <w:sz w:val="20"/>
          <w:szCs w:val="20"/>
        </w:rPr>
        <w:t xml:space="preserve">Carbohydrate </w:t>
      </w:r>
      <w:r w:rsidR="00DC617A" w:rsidRPr="001A1E09">
        <w:rPr>
          <w:rFonts w:ascii="Book Antiqua" w:hAnsi="Book Antiqua" w:cs="Times New Roman"/>
          <w:sz w:val="20"/>
          <w:szCs w:val="20"/>
        </w:rPr>
        <w:t>antigen-199; TNM</w:t>
      </w:r>
      <w:r w:rsidR="00147FB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147FB6" w:rsidRPr="001A1E09">
        <w:rPr>
          <w:rFonts w:ascii="Book Antiqua" w:hAnsi="Book Antiqua" w:cs="Times New Roman"/>
          <w:sz w:val="20"/>
          <w:szCs w:val="20"/>
        </w:rPr>
        <w:t>Tumor</w:t>
      </w:r>
      <w:r w:rsidR="00DC617A" w:rsidRPr="001A1E09">
        <w:rPr>
          <w:rFonts w:ascii="Book Antiqua" w:hAnsi="Book Antiqua" w:cs="Times New Roman"/>
          <w:sz w:val="20"/>
          <w:szCs w:val="20"/>
        </w:rPr>
        <w:t>-node-metastasis; BCLC</w:t>
      </w:r>
      <w:r w:rsidR="00147FB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Barcelona Clinic Liver Cancer; GLR</w:t>
      </w:r>
      <w:r w:rsidR="00147FB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147FB6" w:rsidRPr="001A1E09">
        <w:rPr>
          <w:rFonts w:ascii="Book Antiqua" w:hAnsi="Book Antiqua" w:cs="Times New Roman"/>
          <w:sz w:val="20"/>
          <w:szCs w:val="20"/>
        </w:rPr>
        <w:t>Gamma</w:t>
      </w:r>
      <w:r w:rsidR="00DC617A" w:rsidRPr="001A1E09">
        <w:rPr>
          <w:rFonts w:ascii="Book Antiqua" w:hAnsi="Book Antiqua" w:cs="Times New Roman"/>
          <w:sz w:val="20"/>
          <w:szCs w:val="20"/>
        </w:rPr>
        <w:t>-glutamyltransferase to lymphocyte ratio; HR</w:t>
      </w:r>
      <w:r w:rsidR="00147FB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147FB6" w:rsidRPr="001A1E09">
        <w:rPr>
          <w:rFonts w:ascii="Book Antiqua" w:hAnsi="Book Antiqua" w:cs="Times New Roman"/>
          <w:sz w:val="20"/>
          <w:szCs w:val="20"/>
        </w:rPr>
        <w:t xml:space="preserve">Hazard </w:t>
      </w:r>
      <w:r w:rsidR="00DC617A" w:rsidRPr="001A1E09">
        <w:rPr>
          <w:rFonts w:ascii="Book Antiqua" w:hAnsi="Book Antiqua" w:cs="Times New Roman"/>
          <w:sz w:val="20"/>
          <w:szCs w:val="20"/>
        </w:rPr>
        <w:t>ratio; CI</w:t>
      </w:r>
      <w:r w:rsidR="00147FB6" w:rsidRPr="001A1E09">
        <w:rPr>
          <w:rFonts w:ascii="Book Antiqua" w:hAnsi="Book Antiqua" w:cs="Times New Roman"/>
          <w:sz w:val="20"/>
          <w:szCs w:val="20"/>
        </w:rPr>
        <w:t>:</w:t>
      </w:r>
      <w:r w:rsidR="00DC617A" w:rsidRPr="001A1E09">
        <w:rPr>
          <w:rFonts w:ascii="Book Antiqua" w:hAnsi="Book Antiqua" w:cs="Times New Roman"/>
          <w:sz w:val="20"/>
          <w:szCs w:val="20"/>
        </w:rPr>
        <w:t xml:space="preserve"> </w:t>
      </w:r>
      <w:r w:rsidR="00147FB6" w:rsidRPr="001A1E09">
        <w:rPr>
          <w:rFonts w:ascii="Book Antiqua" w:hAnsi="Book Antiqua" w:cs="Times New Roman"/>
          <w:sz w:val="20"/>
          <w:szCs w:val="20"/>
        </w:rPr>
        <w:t>Confidence interval.</w:t>
      </w:r>
    </w:p>
    <w:sectPr w:rsidR="00DC617A" w:rsidRPr="001A1E09" w:rsidSect="001A1E09">
      <w:footerReference w:type="even" r:id="rId9"/>
      <w:footerReference w:type="default" r:id="rId10"/>
      <w:pgSz w:w="11906" w:h="16838"/>
      <w:pgMar w:top="1440" w:right="1440" w:bottom="1440" w:left="1440" w:header="850" w:footer="99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7F882" w14:textId="77777777" w:rsidR="00C863DE" w:rsidRDefault="00C863DE" w:rsidP="00921569">
      <w:r>
        <w:separator/>
      </w:r>
    </w:p>
  </w:endnote>
  <w:endnote w:type="continuationSeparator" w:id="0">
    <w:p w14:paraId="00F58F47" w14:textId="77777777" w:rsidR="00C863DE" w:rsidRDefault="00C863DE" w:rsidP="0092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rjvqnAdvTT86d47313">
    <w:altName w:val="Times New Roman"/>
    <w:panose1 w:val="020B0604020202020204"/>
    <w:charset w:val="00"/>
    <w:family w:val="roman"/>
    <w:notTrueType/>
    <w:pitch w:val="default"/>
  </w:font>
  <w:font w:name="VbrxprAdvTT86d47313+22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幼圆">
    <w:altName w:val="Arial Unicode MS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32A20" w14:textId="77777777" w:rsidR="001A1E09" w:rsidRDefault="001A1E09" w:rsidP="00F44C59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E07ABB6" w14:textId="77777777" w:rsidR="001A1E09" w:rsidRDefault="001A1E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C605" w14:textId="77777777" w:rsidR="001A1E09" w:rsidRPr="005006AD" w:rsidRDefault="001A1E09" w:rsidP="00F44C59">
    <w:pPr>
      <w:pStyle w:val="a5"/>
      <w:framePr w:wrap="around" w:vAnchor="text" w:hAnchor="margin" w:xAlign="center" w:y="1"/>
      <w:rPr>
        <w:rStyle w:val="af1"/>
        <w:rFonts w:ascii="Book Antiqua" w:hAnsi="Book Antiqua"/>
        <w:sz w:val="20"/>
        <w:szCs w:val="20"/>
      </w:rPr>
    </w:pPr>
    <w:r w:rsidRPr="005006AD">
      <w:rPr>
        <w:rStyle w:val="af1"/>
        <w:rFonts w:ascii="Book Antiqua" w:hAnsi="Book Antiqua"/>
        <w:sz w:val="20"/>
        <w:szCs w:val="20"/>
      </w:rPr>
      <w:fldChar w:fldCharType="begin"/>
    </w:r>
    <w:r w:rsidRPr="005006AD">
      <w:rPr>
        <w:rStyle w:val="af1"/>
        <w:rFonts w:ascii="Book Antiqua" w:hAnsi="Book Antiqua"/>
        <w:sz w:val="20"/>
        <w:szCs w:val="20"/>
      </w:rPr>
      <w:instrText xml:space="preserve">PAGE  </w:instrText>
    </w:r>
    <w:r w:rsidRPr="005006AD">
      <w:rPr>
        <w:rStyle w:val="af1"/>
        <w:rFonts w:ascii="Book Antiqua" w:hAnsi="Book Antiqua"/>
        <w:sz w:val="20"/>
        <w:szCs w:val="20"/>
      </w:rPr>
      <w:fldChar w:fldCharType="separate"/>
    </w:r>
    <w:r>
      <w:rPr>
        <w:rStyle w:val="af1"/>
        <w:rFonts w:ascii="Book Antiqua" w:hAnsi="Book Antiqua"/>
        <w:noProof/>
        <w:sz w:val="20"/>
        <w:szCs w:val="20"/>
      </w:rPr>
      <w:t>30</w:t>
    </w:r>
    <w:r w:rsidRPr="005006AD">
      <w:rPr>
        <w:rStyle w:val="af1"/>
        <w:rFonts w:ascii="Book Antiqua" w:hAnsi="Book Antiqua"/>
        <w:sz w:val="20"/>
        <w:szCs w:val="20"/>
      </w:rPr>
      <w:fldChar w:fldCharType="end"/>
    </w:r>
  </w:p>
  <w:p w14:paraId="4CFFDEA2" w14:textId="77777777" w:rsidR="001A1E09" w:rsidRDefault="001A1E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3ADFC" w14:textId="77777777" w:rsidR="00C863DE" w:rsidRDefault="00C863DE" w:rsidP="00921569">
      <w:r>
        <w:separator/>
      </w:r>
    </w:p>
  </w:footnote>
  <w:footnote w:type="continuationSeparator" w:id="0">
    <w:p w14:paraId="3000F57D" w14:textId="77777777" w:rsidR="00C863DE" w:rsidRDefault="00C863DE" w:rsidP="00921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removePersonalInformation/>
  <w:removeDateAndTim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v5252vz5st2p9ept5xprr28w9wx0r9a2pww&quot;&gt;hiv-transplantEndNote Library&lt;record-ids&gt;&lt;item&gt;1938&lt;/item&gt;&lt;item&gt;1939&lt;/item&gt;&lt;item&gt;1940&lt;/item&gt;&lt;item&gt;1941&lt;/item&gt;&lt;item&gt;1942&lt;/item&gt;&lt;item&gt;1943&lt;/item&gt;&lt;item&gt;1944&lt;/item&gt;&lt;item&gt;1945&lt;/item&gt;&lt;item&gt;1946&lt;/item&gt;&lt;item&gt;1947&lt;/item&gt;&lt;item&gt;1948&lt;/item&gt;&lt;item&gt;1949&lt;/item&gt;&lt;item&gt;1950&lt;/item&gt;&lt;item&gt;1951&lt;/item&gt;&lt;item&gt;1952&lt;/item&gt;&lt;item&gt;1953&lt;/item&gt;&lt;item&gt;1955&lt;/item&gt;&lt;item&gt;1956&lt;/item&gt;&lt;item&gt;1957&lt;/item&gt;&lt;item&gt;1958&lt;/item&gt;&lt;item&gt;1959&lt;/item&gt;&lt;item&gt;1960&lt;/item&gt;&lt;item&gt;1961&lt;/item&gt;&lt;item&gt;1962&lt;/item&gt;&lt;item&gt;1963&lt;/item&gt;&lt;item&gt;1966&lt;/item&gt;&lt;item&gt;1967&lt;/item&gt;&lt;item&gt;1968&lt;/item&gt;&lt;/record-ids&gt;&lt;/item&gt;&lt;/Libraries&gt;"/>
  </w:docVars>
  <w:rsids>
    <w:rsidRoot w:val="00166C62"/>
    <w:rsid w:val="0001155F"/>
    <w:rsid w:val="000161A6"/>
    <w:rsid w:val="00020BF6"/>
    <w:rsid w:val="00023980"/>
    <w:rsid w:val="00034D34"/>
    <w:rsid w:val="000360DC"/>
    <w:rsid w:val="0003624C"/>
    <w:rsid w:val="000435DA"/>
    <w:rsid w:val="0005044C"/>
    <w:rsid w:val="0005263F"/>
    <w:rsid w:val="000538EE"/>
    <w:rsid w:val="000540C8"/>
    <w:rsid w:val="00056498"/>
    <w:rsid w:val="0005779E"/>
    <w:rsid w:val="0006510C"/>
    <w:rsid w:val="00067413"/>
    <w:rsid w:val="0007097E"/>
    <w:rsid w:val="000709A9"/>
    <w:rsid w:val="0007112B"/>
    <w:rsid w:val="000749B3"/>
    <w:rsid w:val="00076ED0"/>
    <w:rsid w:val="00077AF9"/>
    <w:rsid w:val="00080668"/>
    <w:rsid w:val="00082E15"/>
    <w:rsid w:val="00084D73"/>
    <w:rsid w:val="00085302"/>
    <w:rsid w:val="00087259"/>
    <w:rsid w:val="0009480C"/>
    <w:rsid w:val="00094E1F"/>
    <w:rsid w:val="0009536F"/>
    <w:rsid w:val="000968FE"/>
    <w:rsid w:val="000A11B5"/>
    <w:rsid w:val="000A1725"/>
    <w:rsid w:val="000A200C"/>
    <w:rsid w:val="000A3D43"/>
    <w:rsid w:val="000A6383"/>
    <w:rsid w:val="000A6F26"/>
    <w:rsid w:val="000B18C5"/>
    <w:rsid w:val="000B338A"/>
    <w:rsid w:val="000B6742"/>
    <w:rsid w:val="000C029A"/>
    <w:rsid w:val="000C056B"/>
    <w:rsid w:val="000C1E02"/>
    <w:rsid w:val="000C48CD"/>
    <w:rsid w:val="000C4CA6"/>
    <w:rsid w:val="000C5132"/>
    <w:rsid w:val="000C6B7B"/>
    <w:rsid w:val="000D0278"/>
    <w:rsid w:val="000D0987"/>
    <w:rsid w:val="000E1F14"/>
    <w:rsid w:val="000E2EBB"/>
    <w:rsid w:val="000E7423"/>
    <w:rsid w:val="000F02E6"/>
    <w:rsid w:val="000F07F2"/>
    <w:rsid w:val="000F1883"/>
    <w:rsid w:val="000F33CE"/>
    <w:rsid w:val="000F5344"/>
    <w:rsid w:val="000F6BB2"/>
    <w:rsid w:val="00102D2F"/>
    <w:rsid w:val="0010451C"/>
    <w:rsid w:val="0010615C"/>
    <w:rsid w:val="0010622E"/>
    <w:rsid w:val="001126D1"/>
    <w:rsid w:val="00113C00"/>
    <w:rsid w:val="001154FD"/>
    <w:rsid w:val="0011554E"/>
    <w:rsid w:val="00115D99"/>
    <w:rsid w:val="00117477"/>
    <w:rsid w:val="001215D2"/>
    <w:rsid w:val="00123AB5"/>
    <w:rsid w:val="00123C8F"/>
    <w:rsid w:val="001247BD"/>
    <w:rsid w:val="00124942"/>
    <w:rsid w:val="0013330B"/>
    <w:rsid w:val="001347A5"/>
    <w:rsid w:val="00140597"/>
    <w:rsid w:val="001414F6"/>
    <w:rsid w:val="00143F73"/>
    <w:rsid w:val="00145293"/>
    <w:rsid w:val="001479A3"/>
    <w:rsid w:val="00147FB6"/>
    <w:rsid w:val="0015065C"/>
    <w:rsid w:val="00154AEB"/>
    <w:rsid w:val="00156084"/>
    <w:rsid w:val="00161563"/>
    <w:rsid w:val="00161B68"/>
    <w:rsid w:val="001626D3"/>
    <w:rsid w:val="00164F93"/>
    <w:rsid w:val="00166C62"/>
    <w:rsid w:val="00172E6F"/>
    <w:rsid w:val="00172FBA"/>
    <w:rsid w:val="00173CB7"/>
    <w:rsid w:val="0017535D"/>
    <w:rsid w:val="001762F3"/>
    <w:rsid w:val="0018052B"/>
    <w:rsid w:val="0018443E"/>
    <w:rsid w:val="00184B0F"/>
    <w:rsid w:val="001A1BE9"/>
    <w:rsid w:val="001A1E09"/>
    <w:rsid w:val="001A1F68"/>
    <w:rsid w:val="001B2FE6"/>
    <w:rsid w:val="001C66E4"/>
    <w:rsid w:val="001D35F7"/>
    <w:rsid w:val="001D461C"/>
    <w:rsid w:val="001D4F6F"/>
    <w:rsid w:val="001D5F3F"/>
    <w:rsid w:val="001D69A8"/>
    <w:rsid w:val="001D6DE0"/>
    <w:rsid w:val="001D7AAA"/>
    <w:rsid w:val="001E13B3"/>
    <w:rsid w:val="001E2B43"/>
    <w:rsid w:val="001E308C"/>
    <w:rsid w:val="001E44C4"/>
    <w:rsid w:val="001E5925"/>
    <w:rsid w:val="001E63B4"/>
    <w:rsid w:val="001E6FD1"/>
    <w:rsid w:val="001E753A"/>
    <w:rsid w:val="001E758A"/>
    <w:rsid w:val="001E7C83"/>
    <w:rsid w:val="001F2999"/>
    <w:rsid w:val="001F3DC0"/>
    <w:rsid w:val="002017BA"/>
    <w:rsid w:val="00202EBC"/>
    <w:rsid w:val="00203FDC"/>
    <w:rsid w:val="0020697E"/>
    <w:rsid w:val="00210D6C"/>
    <w:rsid w:val="00211917"/>
    <w:rsid w:val="002119EB"/>
    <w:rsid w:val="00216145"/>
    <w:rsid w:val="0022160B"/>
    <w:rsid w:val="002219F9"/>
    <w:rsid w:val="00223B60"/>
    <w:rsid w:val="00224018"/>
    <w:rsid w:val="00224DAE"/>
    <w:rsid w:val="002315D2"/>
    <w:rsid w:val="00232492"/>
    <w:rsid w:val="002328B9"/>
    <w:rsid w:val="00235004"/>
    <w:rsid w:val="00237177"/>
    <w:rsid w:val="00240832"/>
    <w:rsid w:val="00240C53"/>
    <w:rsid w:val="0024313A"/>
    <w:rsid w:val="00243E91"/>
    <w:rsid w:val="00244CB7"/>
    <w:rsid w:val="00247012"/>
    <w:rsid w:val="00247A3D"/>
    <w:rsid w:val="00250356"/>
    <w:rsid w:val="002533FE"/>
    <w:rsid w:val="00254AFB"/>
    <w:rsid w:val="0025551E"/>
    <w:rsid w:val="0025630A"/>
    <w:rsid w:val="00256BEC"/>
    <w:rsid w:val="00257B7F"/>
    <w:rsid w:val="0026337F"/>
    <w:rsid w:val="00263AA9"/>
    <w:rsid w:val="00263F0B"/>
    <w:rsid w:val="0026464F"/>
    <w:rsid w:val="0026620E"/>
    <w:rsid w:val="00277930"/>
    <w:rsid w:val="00290F08"/>
    <w:rsid w:val="00292CE8"/>
    <w:rsid w:val="00295F92"/>
    <w:rsid w:val="002A04DB"/>
    <w:rsid w:val="002A1A23"/>
    <w:rsid w:val="002A36D9"/>
    <w:rsid w:val="002A5318"/>
    <w:rsid w:val="002A5333"/>
    <w:rsid w:val="002B231C"/>
    <w:rsid w:val="002C1FAA"/>
    <w:rsid w:val="002C2D07"/>
    <w:rsid w:val="002C6B5F"/>
    <w:rsid w:val="002D63F5"/>
    <w:rsid w:val="002E3691"/>
    <w:rsid w:val="002E5B90"/>
    <w:rsid w:val="002E7575"/>
    <w:rsid w:val="002F5392"/>
    <w:rsid w:val="002F6304"/>
    <w:rsid w:val="002F7E08"/>
    <w:rsid w:val="00300350"/>
    <w:rsid w:val="00300AB3"/>
    <w:rsid w:val="003036DB"/>
    <w:rsid w:val="0030373D"/>
    <w:rsid w:val="003040A8"/>
    <w:rsid w:val="00306ADF"/>
    <w:rsid w:val="00307185"/>
    <w:rsid w:val="00310135"/>
    <w:rsid w:val="00310F69"/>
    <w:rsid w:val="003137E6"/>
    <w:rsid w:val="003142B7"/>
    <w:rsid w:val="003166FE"/>
    <w:rsid w:val="0032024E"/>
    <w:rsid w:val="003270EB"/>
    <w:rsid w:val="0032797F"/>
    <w:rsid w:val="00336ED2"/>
    <w:rsid w:val="0034108A"/>
    <w:rsid w:val="00350F77"/>
    <w:rsid w:val="00352560"/>
    <w:rsid w:val="00352957"/>
    <w:rsid w:val="00355BBD"/>
    <w:rsid w:val="00356EF2"/>
    <w:rsid w:val="0036480B"/>
    <w:rsid w:val="00374698"/>
    <w:rsid w:val="003771AC"/>
    <w:rsid w:val="00383CA3"/>
    <w:rsid w:val="003860A0"/>
    <w:rsid w:val="00395469"/>
    <w:rsid w:val="003B07C7"/>
    <w:rsid w:val="003B243D"/>
    <w:rsid w:val="003B4FD1"/>
    <w:rsid w:val="003B629E"/>
    <w:rsid w:val="003B75F3"/>
    <w:rsid w:val="003D538E"/>
    <w:rsid w:val="003D5EEB"/>
    <w:rsid w:val="003D7B47"/>
    <w:rsid w:val="003E0391"/>
    <w:rsid w:val="003E1E48"/>
    <w:rsid w:val="003E6198"/>
    <w:rsid w:val="003F0D83"/>
    <w:rsid w:val="003F2D53"/>
    <w:rsid w:val="003F5FFB"/>
    <w:rsid w:val="003F6306"/>
    <w:rsid w:val="003F6566"/>
    <w:rsid w:val="00401F96"/>
    <w:rsid w:val="0040398D"/>
    <w:rsid w:val="00407052"/>
    <w:rsid w:val="00407D26"/>
    <w:rsid w:val="0041369A"/>
    <w:rsid w:val="0041481E"/>
    <w:rsid w:val="004218CC"/>
    <w:rsid w:val="004220CE"/>
    <w:rsid w:val="00425138"/>
    <w:rsid w:val="00426A47"/>
    <w:rsid w:val="00426D16"/>
    <w:rsid w:val="0043424B"/>
    <w:rsid w:val="00437B25"/>
    <w:rsid w:val="004419D1"/>
    <w:rsid w:val="00442053"/>
    <w:rsid w:val="00442EF2"/>
    <w:rsid w:val="00456A19"/>
    <w:rsid w:val="0046216D"/>
    <w:rsid w:val="004632EF"/>
    <w:rsid w:val="00467181"/>
    <w:rsid w:val="004675B9"/>
    <w:rsid w:val="00472B16"/>
    <w:rsid w:val="00472D47"/>
    <w:rsid w:val="00474165"/>
    <w:rsid w:val="00474EA7"/>
    <w:rsid w:val="00485263"/>
    <w:rsid w:val="00486472"/>
    <w:rsid w:val="004939A9"/>
    <w:rsid w:val="00495DD8"/>
    <w:rsid w:val="00496418"/>
    <w:rsid w:val="004975ED"/>
    <w:rsid w:val="004A22E9"/>
    <w:rsid w:val="004A2707"/>
    <w:rsid w:val="004A4369"/>
    <w:rsid w:val="004A44DB"/>
    <w:rsid w:val="004A4B5F"/>
    <w:rsid w:val="004A536A"/>
    <w:rsid w:val="004A5383"/>
    <w:rsid w:val="004C0FC2"/>
    <w:rsid w:val="004D0BA9"/>
    <w:rsid w:val="004D1390"/>
    <w:rsid w:val="004D31A2"/>
    <w:rsid w:val="004D382A"/>
    <w:rsid w:val="004D7975"/>
    <w:rsid w:val="004E22AA"/>
    <w:rsid w:val="004E2A07"/>
    <w:rsid w:val="004E5296"/>
    <w:rsid w:val="004E6553"/>
    <w:rsid w:val="004E6EFA"/>
    <w:rsid w:val="004F1347"/>
    <w:rsid w:val="004F25CF"/>
    <w:rsid w:val="004F39E3"/>
    <w:rsid w:val="005006AD"/>
    <w:rsid w:val="00501E61"/>
    <w:rsid w:val="0050486D"/>
    <w:rsid w:val="0050613F"/>
    <w:rsid w:val="00506B2F"/>
    <w:rsid w:val="0050762A"/>
    <w:rsid w:val="00510C1D"/>
    <w:rsid w:val="00512735"/>
    <w:rsid w:val="00513F90"/>
    <w:rsid w:val="00515DC1"/>
    <w:rsid w:val="0052372A"/>
    <w:rsid w:val="00524979"/>
    <w:rsid w:val="00526FAF"/>
    <w:rsid w:val="00527988"/>
    <w:rsid w:val="00530644"/>
    <w:rsid w:val="0054023F"/>
    <w:rsid w:val="005427FB"/>
    <w:rsid w:val="00543920"/>
    <w:rsid w:val="00545946"/>
    <w:rsid w:val="005505C3"/>
    <w:rsid w:val="00555F9B"/>
    <w:rsid w:val="00556B4C"/>
    <w:rsid w:val="005604AA"/>
    <w:rsid w:val="005617C1"/>
    <w:rsid w:val="00564EDE"/>
    <w:rsid w:val="00565815"/>
    <w:rsid w:val="00566F33"/>
    <w:rsid w:val="0056730F"/>
    <w:rsid w:val="005720CB"/>
    <w:rsid w:val="00572A0C"/>
    <w:rsid w:val="00582DCB"/>
    <w:rsid w:val="00586F26"/>
    <w:rsid w:val="00590AA0"/>
    <w:rsid w:val="0059413D"/>
    <w:rsid w:val="0059635C"/>
    <w:rsid w:val="005A0023"/>
    <w:rsid w:val="005A5C95"/>
    <w:rsid w:val="005A7E51"/>
    <w:rsid w:val="005B115F"/>
    <w:rsid w:val="005B2347"/>
    <w:rsid w:val="005B2DC3"/>
    <w:rsid w:val="005B45F8"/>
    <w:rsid w:val="005B7D4F"/>
    <w:rsid w:val="005C197B"/>
    <w:rsid w:val="005C2244"/>
    <w:rsid w:val="005C2323"/>
    <w:rsid w:val="005C62B4"/>
    <w:rsid w:val="005C7A57"/>
    <w:rsid w:val="005D1C80"/>
    <w:rsid w:val="005D3CA4"/>
    <w:rsid w:val="005D3E66"/>
    <w:rsid w:val="005D52E4"/>
    <w:rsid w:val="005D7EB7"/>
    <w:rsid w:val="005E0F06"/>
    <w:rsid w:val="005E24E4"/>
    <w:rsid w:val="005E7314"/>
    <w:rsid w:val="005E73B6"/>
    <w:rsid w:val="005E73E3"/>
    <w:rsid w:val="005F016A"/>
    <w:rsid w:val="005F1ED4"/>
    <w:rsid w:val="005F396B"/>
    <w:rsid w:val="005F425C"/>
    <w:rsid w:val="006009EF"/>
    <w:rsid w:val="00600DF6"/>
    <w:rsid w:val="006053B0"/>
    <w:rsid w:val="006105B5"/>
    <w:rsid w:val="0061546B"/>
    <w:rsid w:val="00616C9F"/>
    <w:rsid w:val="00620733"/>
    <w:rsid w:val="006217DE"/>
    <w:rsid w:val="00623F9E"/>
    <w:rsid w:val="0063040F"/>
    <w:rsid w:val="0063361D"/>
    <w:rsid w:val="0063476C"/>
    <w:rsid w:val="00642814"/>
    <w:rsid w:val="00643F3F"/>
    <w:rsid w:val="006440FA"/>
    <w:rsid w:val="006448B1"/>
    <w:rsid w:val="00647579"/>
    <w:rsid w:val="006476BB"/>
    <w:rsid w:val="006564D8"/>
    <w:rsid w:val="00662EBD"/>
    <w:rsid w:val="00663E5A"/>
    <w:rsid w:val="006653D0"/>
    <w:rsid w:val="00665569"/>
    <w:rsid w:val="006842B2"/>
    <w:rsid w:val="006A2021"/>
    <w:rsid w:val="006A580C"/>
    <w:rsid w:val="006B5337"/>
    <w:rsid w:val="006C1B74"/>
    <w:rsid w:val="006D2D0F"/>
    <w:rsid w:val="006D4116"/>
    <w:rsid w:val="006E3321"/>
    <w:rsid w:val="006E5034"/>
    <w:rsid w:val="006F23A5"/>
    <w:rsid w:val="006F3B1E"/>
    <w:rsid w:val="006F5182"/>
    <w:rsid w:val="0070057D"/>
    <w:rsid w:val="0070203F"/>
    <w:rsid w:val="00704B13"/>
    <w:rsid w:val="0070694B"/>
    <w:rsid w:val="007075D3"/>
    <w:rsid w:val="00707FF9"/>
    <w:rsid w:val="007111CD"/>
    <w:rsid w:val="007159E9"/>
    <w:rsid w:val="00733A52"/>
    <w:rsid w:val="00734766"/>
    <w:rsid w:val="007358B6"/>
    <w:rsid w:val="0073679E"/>
    <w:rsid w:val="007379DE"/>
    <w:rsid w:val="00743200"/>
    <w:rsid w:val="00743FC9"/>
    <w:rsid w:val="00745F3F"/>
    <w:rsid w:val="0074648D"/>
    <w:rsid w:val="007500C9"/>
    <w:rsid w:val="00755978"/>
    <w:rsid w:val="00756FC8"/>
    <w:rsid w:val="00761BF5"/>
    <w:rsid w:val="00767C0F"/>
    <w:rsid w:val="00770A57"/>
    <w:rsid w:val="00770B82"/>
    <w:rsid w:val="007712CB"/>
    <w:rsid w:val="0077590F"/>
    <w:rsid w:val="00777E5A"/>
    <w:rsid w:val="007836C2"/>
    <w:rsid w:val="00784808"/>
    <w:rsid w:val="00791F67"/>
    <w:rsid w:val="00792717"/>
    <w:rsid w:val="00793D8C"/>
    <w:rsid w:val="00794BE6"/>
    <w:rsid w:val="0079700C"/>
    <w:rsid w:val="007A2624"/>
    <w:rsid w:val="007A6A2D"/>
    <w:rsid w:val="007B0D83"/>
    <w:rsid w:val="007C08F6"/>
    <w:rsid w:val="007C7330"/>
    <w:rsid w:val="007D0EB8"/>
    <w:rsid w:val="007D4D76"/>
    <w:rsid w:val="007D5483"/>
    <w:rsid w:val="007E1F15"/>
    <w:rsid w:val="007E4160"/>
    <w:rsid w:val="007E5FF4"/>
    <w:rsid w:val="007E6EC8"/>
    <w:rsid w:val="007F1F60"/>
    <w:rsid w:val="007F34ED"/>
    <w:rsid w:val="007F7445"/>
    <w:rsid w:val="00800102"/>
    <w:rsid w:val="008003FF"/>
    <w:rsid w:val="00807D76"/>
    <w:rsid w:val="0081091F"/>
    <w:rsid w:val="0081733B"/>
    <w:rsid w:val="00817F9B"/>
    <w:rsid w:val="008237B5"/>
    <w:rsid w:val="00825223"/>
    <w:rsid w:val="008303CD"/>
    <w:rsid w:val="00830F15"/>
    <w:rsid w:val="00842451"/>
    <w:rsid w:val="00844422"/>
    <w:rsid w:val="008464F3"/>
    <w:rsid w:val="00850559"/>
    <w:rsid w:val="00852676"/>
    <w:rsid w:val="00852862"/>
    <w:rsid w:val="0085331A"/>
    <w:rsid w:val="0085400D"/>
    <w:rsid w:val="008561EE"/>
    <w:rsid w:val="00864025"/>
    <w:rsid w:val="00874C60"/>
    <w:rsid w:val="00875C2E"/>
    <w:rsid w:val="00881253"/>
    <w:rsid w:val="00883541"/>
    <w:rsid w:val="00890703"/>
    <w:rsid w:val="00895D92"/>
    <w:rsid w:val="008A0289"/>
    <w:rsid w:val="008A0EC7"/>
    <w:rsid w:val="008A1512"/>
    <w:rsid w:val="008A176C"/>
    <w:rsid w:val="008A34F7"/>
    <w:rsid w:val="008A732E"/>
    <w:rsid w:val="008B0E24"/>
    <w:rsid w:val="008B0FEA"/>
    <w:rsid w:val="008B1042"/>
    <w:rsid w:val="008B3305"/>
    <w:rsid w:val="008B332D"/>
    <w:rsid w:val="008B3AC8"/>
    <w:rsid w:val="008B4706"/>
    <w:rsid w:val="008B5766"/>
    <w:rsid w:val="008B6698"/>
    <w:rsid w:val="008C1C16"/>
    <w:rsid w:val="008C5564"/>
    <w:rsid w:val="008C7368"/>
    <w:rsid w:val="008D4CAF"/>
    <w:rsid w:val="008E0175"/>
    <w:rsid w:val="008E4670"/>
    <w:rsid w:val="008F3F59"/>
    <w:rsid w:val="008F64BA"/>
    <w:rsid w:val="008F7CEF"/>
    <w:rsid w:val="008F7D6C"/>
    <w:rsid w:val="0090336E"/>
    <w:rsid w:val="00905126"/>
    <w:rsid w:val="009107A6"/>
    <w:rsid w:val="00910A3E"/>
    <w:rsid w:val="00912BDB"/>
    <w:rsid w:val="00914A22"/>
    <w:rsid w:val="009155DB"/>
    <w:rsid w:val="00920008"/>
    <w:rsid w:val="00921219"/>
    <w:rsid w:val="00921569"/>
    <w:rsid w:val="009217DA"/>
    <w:rsid w:val="0092236D"/>
    <w:rsid w:val="00927331"/>
    <w:rsid w:val="00930675"/>
    <w:rsid w:val="00932C16"/>
    <w:rsid w:val="00934BD4"/>
    <w:rsid w:val="009434B7"/>
    <w:rsid w:val="00944045"/>
    <w:rsid w:val="0095112D"/>
    <w:rsid w:val="00951960"/>
    <w:rsid w:val="0095625E"/>
    <w:rsid w:val="00957095"/>
    <w:rsid w:val="0095773F"/>
    <w:rsid w:val="009614CE"/>
    <w:rsid w:val="009623C1"/>
    <w:rsid w:val="00962E05"/>
    <w:rsid w:val="009630BE"/>
    <w:rsid w:val="00963794"/>
    <w:rsid w:val="00964773"/>
    <w:rsid w:val="00965167"/>
    <w:rsid w:val="00970910"/>
    <w:rsid w:val="009714C5"/>
    <w:rsid w:val="00972034"/>
    <w:rsid w:val="009747DD"/>
    <w:rsid w:val="00976FBE"/>
    <w:rsid w:val="00994AB9"/>
    <w:rsid w:val="00995478"/>
    <w:rsid w:val="009A07B0"/>
    <w:rsid w:val="009A349C"/>
    <w:rsid w:val="009A3A55"/>
    <w:rsid w:val="009A3B7F"/>
    <w:rsid w:val="009B5F25"/>
    <w:rsid w:val="009C33F1"/>
    <w:rsid w:val="009C3ED8"/>
    <w:rsid w:val="009C4146"/>
    <w:rsid w:val="009C690B"/>
    <w:rsid w:val="009E1213"/>
    <w:rsid w:val="009E1EE0"/>
    <w:rsid w:val="009E27FF"/>
    <w:rsid w:val="009E2CE6"/>
    <w:rsid w:val="009E393C"/>
    <w:rsid w:val="009E3EB2"/>
    <w:rsid w:val="009E3F4E"/>
    <w:rsid w:val="009E5304"/>
    <w:rsid w:val="009F6FA8"/>
    <w:rsid w:val="00A00BEF"/>
    <w:rsid w:val="00A03ECB"/>
    <w:rsid w:val="00A05446"/>
    <w:rsid w:val="00A11F81"/>
    <w:rsid w:val="00A1213B"/>
    <w:rsid w:val="00A12A31"/>
    <w:rsid w:val="00A136F9"/>
    <w:rsid w:val="00A13B83"/>
    <w:rsid w:val="00A13E02"/>
    <w:rsid w:val="00A14BC5"/>
    <w:rsid w:val="00A176FB"/>
    <w:rsid w:val="00A17FC8"/>
    <w:rsid w:val="00A20ACA"/>
    <w:rsid w:val="00A37B43"/>
    <w:rsid w:val="00A44FEE"/>
    <w:rsid w:val="00A4670C"/>
    <w:rsid w:val="00A47821"/>
    <w:rsid w:val="00A50F94"/>
    <w:rsid w:val="00A51AD7"/>
    <w:rsid w:val="00A5236F"/>
    <w:rsid w:val="00A52610"/>
    <w:rsid w:val="00A5613D"/>
    <w:rsid w:val="00A56E41"/>
    <w:rsid w:val="00A579FF"/>
    <w:rsid w:val="00A64E86"/>
    <w:rsid w:val="00A67805"/>
    <w:rsid w:val="00A7742B"/>
    <w:rsid w:val="00A804BD"/>
    <w:rsid w:val="00A83C49"/>
    <w:rsid w:val="00A91913"/>
    <w:rsid w:val="00A94547"/>
    <w:rsid w:val="00A951B3"/>
    <w:rsid w:val="00AA0CD8"/>
    <w:rsid w:val="00AA6619"/>
    <w:rsid w:val="00AA6D63"/>
    <w:rsid w:val="00AA7ACF"/>
    <w:rsid w:val="00AB3283"/>
    <w:rsid w:val="00AB4D5F"/>
    <w:rsid w:val="00AB6BB1"/>
    <w:rsid w:val="00AB7EEC"/>
    <w:rsid w:val="00AC192D"/>
    <w:rsid w:val="00AC5C04"/>
    <w:rsid w:val="00AC6137"/>
    <w:rsid w:val="00AD0D55"/>
    <w:rsid w:val="00AD1BEB"/>
    <w:rsid w:val="00AD1DE6"/>
    <w:rsid w:val="00AD2DE0"/>
    <w:rsid w:val="00AD4B07"/>
    <w:rsid w:val="00AD5901"/>
    <w:rsid w:val="00AE00AE"/>
    <w:rsid w:val="00AE43AD"/>
    <w:rsid w:val="00AE4870"/>
    <w:rsid w:val="00AE5D40"/>
    <w:rsid w:val="00B01978"/>
    <w:rsid w:val="00B03281"/>
    <w:rsid w:val="00B12723"/>
    <w:rsid w:val="00B1661B"/>
    <w:rsid w:val="00B21611"/>
    <w:rsid w:val="00B230DD"/>
    <w:rsid w:val="00B311F0"/>
    <w:rsid w:val="00B4145C"/>
    <w:rsid w:val="00B45463"/>
    <w:rsid w:val="00B5288B"/>
    <w:rsid w:val="00B57461"/>
    <w:rsid w:val="00B609B9"/>
    <w:rsid w:val="00B65C28"/>
    <w:rsid w:val="00B67215"/>
    <w:rsid w:val="00B72A33"/>
    <w:rsid w:val="00B77EAB"/>
    <w:rsid w:val="00B81195"/>
    <w:rsid w:val="00B84409"/>
    <w:rsid w:val="00B86788"/>
    <w:rsid w:val="00B87535"/>
    <w:rsid w:val="00B87E4E"/>
    <w:rsid w:val="00BA0A56"/>
    <w:rsid w:val="00BA19DD"/>
    <w:rsid w:val="00BA59D6"/>
    <w:rsid w:val="00BA5FFE"/>
    <w:rsid w:val="00BA62CE"/>
    <w:rsid w:val="00BB1418"/>
    <w:rsid w:val="00BB66C9"/>
    <w:rsid w:val="00BC1F24"/>
    <w:rsid w:val="00BC4465"/>
    <w:rsid w:val="00BC4DBA"/>
    <w:rsid w:val="00BC5E00"/>
    <w:rsid w:val="00BC5F3C"/>
    <w:rsid w:val="00BD0166"/>
    <w:rsid w:val="00BD5294"/>
    <w:rsid w:val="00BD70B7"/>
    <w:rsid w:val="00BE1E22"/>
    <w:rsid w:val="00BE572E"/>
    <w:rsid w:val="00BE65B8"/>
    <w:rsid w:val="00BE6E5B"/>
    <w:rsid w:val="00BF7D19"/>
    <w:rsid w:val="00C02BE9"/>
    <w:rsid w:val="00C05D1C"/>
    <w:rsid w:val="00C062E5"/>
    <w:rsid w:val="00C07BB8"/>
    <w:rsid w:val="00C15E51"/>
    <w:rsid w:val="00C20C83"/>
    <w:rsid w:val="00C24D5E"/>
    <w:rsid w:val="00C34921"/>
    <w:rsid w:val="00C351F9"/>
    <w:rsid w:val="00C363D9"/>
    <w:rsid w:val="00C42758"/>
    <w:rsid w:val="00C44070"/>
    <w:rsid w:val="00C449DA"/>
    <w:rsid w:val="00C4726A"/>
    <w:rsid w:val="00C476F2"/>
    <w:rsid w:val="00C51E05"/>
    <w:rsid w:val="00C546FE"/>
    <w:rsid w:val="00C57BF5"/>
    <w:rsid w:val="00C630E2"/>
    <w:rsid w:val="00C64094"/>
    <w:rsid w:val="00C820AA"/>
    <w:rsid w:val="00C863DE"/>
    <w:rsid w:val="00C87266"/>
    <w:rsid w:val="00C92B97"/>
    <w:rsid w:val="00C96E9D"/>
    <w:rsid w:val="00CA1510"/>
    <w:rsid w:val="00CA15D3"/>
    <w:rsid w:val="00CA6DD3"/>
    <w:rsid w:val="00CB0769"/>
    <w:rsid w:val="00CC1F78"/>
    <w:rsid w:val="00CC5AC6"/>
    <w:rsid w:val="00CC6381"/>
    <w:rsid w:val="00CD214B"/>
    <w:rsid w:val="00CD3DDC"/>
    <w:rsid w:val="00CD4A5C"/>
    <w:rsid w:val="00CE22E7"/>
    <w:rsid w:val="00CE4EEC"/>
    <w:rsid w:val="00CF3345"/>
    <w:rsid w:val="00CF353F"/>
    <w:rsid w:val="00D06755"/>
    <w:rsid w:val="00D07EC4"/>
    <w:rsid w:val="00D12024"/>
    <w:rsid w:val="00D12D82"/>
    <w:rsid w:val="00D1411F"/>
    <w:rsid w:val="00D14715"/>
    <w:rsid w:val="00D15546"/>
    <w:rsid w:val="00D15DFA"/>
    <w:rsid w:val="00D20E3F"/>
    <w:rsid w:val="00D20E89"/>
    <w:rsid w:val="00D22276"/>
    <w:rsid w:val="00D222D6"/>
    <w:rsid w:val="00D313D4"/>
    <w:rsid w:val="00D328C7"/>
    <w:rsid w:val="00D36B71"/>
    <w:rsid w:val="00D375AB"/>
    <w:rsid w:val="00D4399F"/>
    <w:rsid w:val="00D47604"/>
    <w:rsid w:val="00D53F47"/>
    <w:rsid w:val="00D54DDE"/>
    <w:rsid w:val="00D61B52"/>
    <w:rsid w:val="00D6569E"/>
    <w:rsid w:val="00D756E6"/>
    <w:rsid w:val="00D8108E"/>
    <w:rsid w:val="00D8122F"/>
    <w:rsid w:val="00D812B9"/>
    <w:rsid w:val="00D838C3"/>
    <w:rsid w:val="00D858DF"/>
    <w:rsid w:val="00D8630B"/>
    <w:rsid w:val="00D869F6"/>
    <w:rsid w:val="00D90C3F"/>
    <w:rsid w:val="00D91012"/>
    <w:rsid w:val="00D93DB7"/>
    <w:rsid w:val="00D93EF8"/>
    <w:rsid w:val="00D95442"/>
    <w:rsid w:val="00D9669B"/>
    <w:rsid w:val="00D97CA4"/>
    <w:rsid w:val="00DA087E"/>
    <w:rsid w:val="00DA3415"/>
    <w:rsid w:val="00DB07BB"/>
    <w:rsid w:val="00DB3BAB"/>
    <w:rsid w:val="00DC0BFD"/>
    <w:rsid w:val="00DC2929"/>
    <w:rsid w:val="00DC3FE1"/>
    <w:rsid w:val="00DC59CF"/>
    <w:rsid w:val="00DC617A"/>
    <w:rsid w:val="00DC66A2"/>
    <w:rsid w:val="00DD0EA2"/>
    <w:rsid w:val="00DD0F50"/>
    <w:rsid w:val="00DD1442"/>
    <w:rsid w:val="00DD325C"/>
    <w:rsid w:val="00DD3F4B"/>
    <w:rsid w:val="00DD4378"/>
    <w:rsid w:val="00DD4C5B"/>
    <w:rsid w:val="00DD5213"/>
    <w:rsid w:val="00DE1B66"/>
    <w:rsid w:val="00DE5F1C"/>
    <w:rsid w:val="00E02A36"/>
    <w:rsid w:val="00E10587"/>
    <w:rsid w:val="00E132CA"/>
    <w:rsid w:val="00E164E4"/>
    <w:rsid w:val="00E21005"/>
    <w:rsid w:val="00E31365"/>
    <w:rsid w:val="00E332F5"/>
    <w:rsid w:val="00E35467"/>
    <w:rsid w:val="00E36C1E"/>
    <w:rsid w:val="00E4155D"/>
    <w:rsid w:val="00E43E1D"/>
    <w:rsid w:val="00E440EC"/>
    <w:rsid w:val="00E4465E"/>
    <w:rsid w:val="00E456A6"/>
    <w:rsid w:val="00E5052E"/>
    <w:rsid w:val="00E5406F"/>
    <w:rsid w:val="00E6762C"/>
    <w:rsid w:val="00E67B1B"/>
    <w:rsid w:val="00E73D4B"/>
    <w:rsid w:val="00E75AEE"/>
    <w:rsid w:val="00E80C31"/>
    <w:rsid w:val="00E8444A"/>
    <w:rsid w:val="00E84770"/>
    <w:rsid w:val="00E86124"/>
    <w:rsid w:val="00E93E89"/>
    <w:rsid w:val="00E95CA0"/>
    <w:rsid w:val="00EA0BA8"/>
    <w:rsid w:val="00EA1C0F"/>
    <w:rsid w:val="00EA6F88"/>
    <w:rsid w:val="00EA74BA"/>
    <w:rsid w:val="00EB0DF9"/>
    <w:rsid w:val="00EB28C9"/>
    <w:rsid w:val="00EB5B97"/>
    <w:rsid w:val="00EC06E7"/>
    <w:rsid w:val="00EC7018"/>
    <w:rsid w:val="00ED3E3E"/>
    <w:rsid w:val="00ED562E"/>
    <w:rsid w:val="00ED78B5"/>
    <w:rsid w:val="00ED7F43"/>
    <w:rsid w:val="00EE23DE"/>
    <w:rsid w:val="00EE2F70"/>
    <w:rsid w:val="00EE40F2"/>
    <w:rsid w:val="00EF061D"/>
    <w:rsid w:val="00EF47B3"/>
    <w:rsid w:val="00F02218"/>
    <w:rsid w:val="00F03472"/>
    <w:rsid w:val="00F1162C"/>
    <w:rsid w:val="00F122EB"/>
    <w:rsid w:val="00F163C5"/>
    <w:rsid w:val="00F16F63"/>
    <w:rsid w:val="00F22700"/>
    <w:rsid w:val="00F22F48"/>
    <w:rsid w:val="00F30B87"/>
    <w:rsid w:val="00F345E7"/>
    <w:rsid w:val="00F4321C"/>
    <w:rsid w:val="00F44C59"/>
    <w:rsid w:val="00F52A0E"/>
    <w:rsid w:val="00F532A5"/>
    <w:rsid w:val="00F53BAC"/>
    <w:rsid w:val="00F54E14"/>
    <w:rsid w:val="00F57C8E"/>
    <w:rsid w:val="00F61936"/>
    <w:rsid w:val="00F63CA6"/>
    <w:rsid w:val="00F6575C"/>
    <w:rsid w:val="00F7119E"/>
    <w:rsid w:val="00F7381F"/>
    <w:rsid w:val="00F80ECE"/>
    <w:rsid w:val="00F82A68"/>
    <w:rsid w:val="00F858F3"/>
    <w:rsid w:val="00F92C19"/>
    <w:rsid w:val="00F97DDC"/>
    <w:rsid w:val="00FA0A6E"/>
    <w:rsid w:val="00FA115B"/>
    <w:rsid w:val="00FA2CAD"/>
    <w:rsid w:val="00FA2FAE"/>
    <w:rsid w:val="00FA3150"/>
    <w:rsid w:val="00FA6BB6"/>
    <w:rsid w:val="00FB0EC0"/>
    <w:rsid w:val="00FC1C36"/>
    <w:rsid w:val="00FD0511"/>
    <w:rsid w:val="00FD10E7"/>
    <w:rsid w:val="00FD2256"/>
    <w:rsid w:val="00FD25AC"/>
    <w:rsid w:val="00FD2C71"/>
    <w:rsid w:val="00FD346C"/>
    <w:rsid w:val="00FD4E31"/>
    <w:rsid w:val="00FF1B77"/>
    <w:rsid w:val="00FF25C5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894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216145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216145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216145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216145"/>
    <w:rPr>
      <w:rFonts w:ascii="Calibri" w:hAnsi="Calibri" w:cs="Calibri"/>
      <w:noProof/>
      <w:sz w:val="20"/>
    </w:rPr>
  </w:style>
  <w:style w:type="paragraph" w:styleId="a3">
    <w:name w:val="header"/>
    <w:basedOn w:val="a"/>
    <w:link w:val="a4"/>
    <w:uiPriority w:val="99"/>
    <w:unhideWhenUsed/>
    <w:rsid w:val="00921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15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1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1569"/>
    <w:rPr>
      <w:sz w:val="18"/>
      <w:szCs w:val="18"/>
    </w:rPr>
  </w:style>
  <w:style w:type="character" w:styleId="a7">
    <w:name w:val="Placeholder Text"/>
    <w:basedOn w:val="a0"/>
    <w:uiPriority w:val="99"/>
    <w:semiHidden/>
    <w:rsid w:val="003166FE"/>
    <w:rPr>
      <w:color w:val="808080"/>
    </w:rPr>
  </w:style>
  <w:style w:type="character" w:customStyle="1" w:styleId="fontstyle01">
    <w:name w:val="fontstyle01"/>
    <w:basedOn w:val="a0"/>
    <w:rsid w:val="00B21611"/>
    <w:rPr>
      <w:rFonts w:ascii="WrjvqnAdvTT86d47313" w:hAnsi="WrjvqnAdvTT86d47313" w:hint="default"/>
      <w:b w:val="0"/>
      <w:bCs w:val="0"/>
      <w:i w:val="0"/>
      <w:iCs w:val="0"/>
      <w:color w:val="131413"/>
      <w:sz w:val="20"/>
      <w:szCs w:val="20"/>
    </w:rPr>
  </w:style>
  <w:style w:type="character" w:customStyle="1" w:styleId="fontstyle21">
    <w:name w:val="fontstyle21"/>
    <w:basedOn w:val="a0"/>
    <w:rsid w:val="00B21611"/>
    <w:rPr>
      <w:rFonts w:ascii="VbrxprAdvTT86d47313+22" w:hAnsi="VbrxprAdvTT86d47313+22" w:hint="default"/>
      <w:b w:val="0"/>
      <w:bCs w:val="0"/>
      <w:i w:val="0"/>
      <w:iCs w:val="0"/>
      <w:color w:val="131413"/>
      <w:sz w:val="20"/>
      <w:szCs w:val="20"/>
    </w:rPr>
  </w:style>
  <w:style w:type="character" w:styleId="a8">
    <w:name w:val="Hyperlink"/>
    <w:basedOn w:val="a0"/>
    <w:uiPriority w:val="99"/>
    <w:unhideWhenUsed/>
    <w:rsid w:val="001E7C83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C6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无格式表格 41"/>
    <w:basedOn w:val="a1"/>
    <w:uiPriority w:val="44"/>
    <w:rsid w:val="00DC61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a">
    <w:name w:val="annotation reference"/>
    <w:uiPriority w:val="99"/>
    <w:semiHidden/>
    <w:unhideWhenUsed/>
    <w:rsid w:val="00BA0A56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BA0A56"/>
    <w:pPr>
      <w:widowControl/>
      <w:spacing w:line="276" w:lineRule="auto"/>
      <w:jc w:val="left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character" w:customStyle="1" w:styleId="ac">
    <w:name w:val="批注文字 字符"/>
    <w:basedOn w:val="a0"/>
    <w:link w:val="ab"/>
    <w:uiPriority w:val="99"/>
    <w:rsid w:val="00BA0A56"/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A0A56"/>
    <w:pPr>
      <w:widowControl w:val="0"/>
      <w:spacing w:line="240" w:lineRule="auto"/>
    </w:pPr>
    <w:rPr>
      <w:rFonts w:asciiTheme="minorHAnsi" w:eastAsiaTheme="minorEastAsia" w:hAnsiTheme="minorHAnsi" w:cstheme="minorBidi"/>
      <w:b/>
      <w:bCs/>
      <w:color w:val="auto"/>
      <w:kern w:val="2"/>
      <w:sz w:val="21"/>
      <w:szCs w:val="22"/>
      <w:lang w:val="en-US" w:eastAsia="zh-CN"/>
    </w:rPr>
  </w:style>
  <w:style w:type="character" w:customStyle="1" w:styleId="ae">
    <w:name w:val="批注主题 字符"/>
    <w:basedOn w:val="ac"/>
    <w:link w:val="ad"/>
    <w:uiPriority w:val="99"/>
    <w:semiHidden/>
    <w:rsid w:val="00BA0A56"/>
    <w:rPr>
      <w:rFonts w:ascii="Arial" w:eastAsia="宋体" w:hAnsi="Arial" w:cs="Arial"/>
      <w:b/>
      <w:bCs/>
      <w:color w:val="000000"/>
      <w:kern w:val="0"/>
      <w:sz w:val="22"/>
      <w:szCs w:val="20"/>
      <w:lang w:val="pl-PL" w:eastAsia="pl-PL"/>
    </w:rPr>
  </w:style>
  <w:style w:type="paragraph" w:styleId="af">
    <w:name w:val="Balloon Text"/>
    <w:basedOn w:val="a"/>
    <w:link w:val="af0"/>
    <w:uiPriority w:val="99"/>
    <w:semiHidden/>
    <w:unhideWhenUsed/>
    <w:rsid w:val="00BA0A56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A0A56"/>
    <w:rPr>
      <w:sz w:val="18"/>
      <w:szCs w:val="18"/>
    </w:rPr>
  </w:style>
  <w:style w:type="character" w:styleId="af1">
    <w:name w:val="page number"/>
    <w:basedOn w:val="a0"/>
    <w:uiPriority w:val="99"/>
    <w:semiHidden/>
    <w:unhideWhenUsed/>
    <w:rsid w:val="00EB0DF9"/>
  </w:style>
  <w:style w:type="character" w:customStyle="1" w:styleId="st">
    <w:name w:val="st"/>
    <w:basedOn w:val="a0"/>
    <w:rsid w:val="00EB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A2AD-1984-034A-B867-48540226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21</Pages>
  <Words>6073</Words>
  <Characters>34619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2020-03-06T02:09:00Z</dcterms:created>
  <dcterms:modified xsi:type="dcterms:W3CDTF">2020-03-20T03:31:00Z</dcterms:modified>
</cp:coreProperties>
</file>