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Name of Journal: </w:t>
      </w:r>
      <w:r w:rsidRPr="00387988">
        <w:rPr>
          <w:rFonts w:ascii="Book Antiqua" w:eastAsia="Book Antiqua" w:hAnsi="Book Antiqua" w:cs="Book Antiqua"/>
          <w:i/>
          <w:color w:val="000000"/>
        </w:rPr>
        <w:t>World Journal of Hepatology</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Manuscript NO: </w:t>
      </w:r>
      <w:r w:rsidRPr="00387988">
        <w:rPr>
          <w:rFonts w:ascii="Book Antiqua" w:eastAsia="Book Antiqua" w:hAnsi="Book Antiqua" w:cs="Book Antiqua"/>
          <w:color w:val="000000"/>
        </w:rPr>
        <w:t>52988</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Manuscript Type: </w:t>
      </w:r>
      <w:r w:rsidRPr="00387988">
        <w:rPr>
          <w:rFonts w:ascii="Book Antiqua" w:eastAsia="Book Antiqua" w:hAnsi="Book Antiqua" w:cs="Book Antiqua"/>
          <w:color w:val="000000"/>
        </w:rPr>
        <w:t>ORIGINAL ARTICLE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Basic Study</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N-acetylcysteine and glycyrrhizin combination: Benefit outcome in a murine model of acetaminophen-induced liver failure</w:t>
      </w:r>
    </w:p>
    <w:p w:rsidR="00A77B3E" w:rsidRPr="00387988" w:rsidRDefault="00A77B3E" w:rsidP="00387988">
      <w:pPr>
        <w:snapToGrid w:val="0"/>
        <w:spacing w:line="360" w:lineRule="auto"/>
        <w:jc w:val="both"/>
      </w:pPr>
    </w:p>
    <w:p w:rsidR="00A77B3E" w:rsidRPr="00387988" w:rsidRDefault="00A41113" w:rsidP="00387988">
      <w:pPr>
        <w:snapToGrid w:val="0"/>
        <w:spacing w:line="360" w:lineRule="auto"/>
        <w:jc w:val="both"/>
      </w:pPr>
      <w:r w:rsidRPr="00387988">
        <w:rPr>
          <w:rFonts w:ascii="Book Antiqua" w:eastAsia="Book Antiqua" w:hAnsi="Book Antiqua" w:cs="Book Antiqua"/>
          <w:color w:val="000000"/>
        </w:rPr>
        <w:t xml:space="preserve">Minsart </w:t>
      </w:r>
      <w:r w:rsidRPr="00387988">
        <w:rPr>
          <w:rFonts w:ascii="Book Antiqua" w:hAnsi="Book Antiqua" w:cs="Book Antiqua"/>
          <w:color w:val="000000"/>
          <w:lang w:eastAsia="zh-CN"/>
        </w:rPr>
        <w:t xml:space="preserve">C </w:t>
      </w:r>
      <w:r w:rsidRPr="00387988">
        <w:rPr>
          <w:rFonts w:ascii="Book Antiqua" w:hAnsi="Book Antiqua" w:cs="Book Antiqua"/>
          <w:i/>
          <w:color w:val="000000"/>
          <w:lang w:eastAsia="zh-CN"/>
        </w:rPr>
        <w:t>et al.</w:t>
      </w:r>
      <w:r w:rsidRPr="00387988">
        <w:rPr>
          <w:rFonts w:ascii="Book Antiqua" w:hAnsi="Book Antiqua" w:cs="Book Antiqua"/>
          <w:color w:val="000000"/>
          <w:lang w:eastAsia="zh-CN"/>
        </w:rPr>
        <w:t xml:space="preserve"> </w:t>
      </w:r>
      <w:r w:rsidR="00107D11" w:rsidRPr="00387988">
        <w:rPr>
          <w:rFonts w:ascii="Book Antiqua" w:eastAsia="Book Antiqua" w:hAnsi="Book Antiqua" w:cs="Book Antiqua"/>
          <w:color w:val="000000"/>
        </w:rPr>
        <w:t>Translational mouse model of acetaminophen hepatotoxicity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Charlotte Minsart, Sandrine Rorive, Arnaud Lemmers, Eric Quertinmont, Thierry Gustot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Charlotte Minsart, Arnaud Lemmers, Eric Quertinmont, Thierry Gustot, </w:t>
      </w:r>
      <w:r w:rsidRPr="00387988">
        <w:rPr>
          <w:rFonts w:ascii="Book Antiqua" w:eastAsia="Book Antiqua" w:hAnsi="Book Antiqua" w:cs="Book Antiqua"/>
          <w:color w:val="000000"/>
        </w:rPr>
        <w:t>Laboratory of Experimental Gastroenterology, Erasme Hospital, Université Libre de Bruxelles, Brussels 1070, Belgium</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Sandrine Rorive, </w:t>
      </w:r>
      <w:r w:rsidRPr="00387988">
        <w:rPr>
          <w:rFonts w:ascii="Book Antiqua" w:eastAsia="Book Antiqua" w:hAnsi="Book Antiqua" w:cs="Book Antiqua"/>
          <w:color w:val="000000"/>
        </w:rPr>
        <w:t>Department of Pathology, Erasme Hospital,</w:t>
      </w:r>
      <w:r w:rsidR="000911DC" w:rsidRPr="00387988">
        <w:rPr>
          <w:rFonts w:ascii="Book Antiqua" w:eastAsia="Book Antiqua" w:hAnsi="Book Antiqua" w:cs="Book Antiqua"/>
          <w:color w:val="000000"/>
        </w:rPr>
        <w:t xml:space="preserve"> Université Libre de Bruxelles,</w:t>
      </w:r>
      <w:r w:rsidRPr="00387988">
        <w:rPr>
          <w:rFonts w:ascii="Book Antiqua" w:eastAsia="Book Antiqua" w:hAnsi="Book Antiqua" w:cs="Book Antiqua"/>
          <w:color w:val="000000"/>
        </w:rPr>
        <w:t xml:space="preserve"> Brussels 1070, Belgium</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Sandrine Rorive, </w:t>
      </w:r>
      <w:r w:rsidRPr="00387988">
        <w:rPr>
          <w:rFonts w:ascii="Book Antiqua" w:eastAsia="Book Antiqua" w:hAnsi="Book Antiqua" w:cs="Book Antiqua"/>
          <w:color w:val="000000"/>
        </w:rPr>
        <w:t>DIAPATH-</w:t>
      </w:r>
      <w:r w:rsidR="00B646AE" w:rsidRPr="00387988">
        <w:rPr>
          <w:rFonts w:ascii="Book Antiqua" w:eastAsia="Book Antiqua" w:hAnsi="Book Antiqua" w:cs="Book Antiqua"/>
          <w:color w:val="000000"/>
        </w:rPr>
        <w:t>Center</w:t>
      </w:r>
      <w:r w:rsidRPr="00387988">
        <w:rPr>
          <w:rFonts w:ascii="Book Antiqua" w:eastAsia="Book Antiqua" w:hAnsi="Book Antiqua" w:cs="Book Antiqua"/>
          <w:color w:val="000000"/>
        </w:rPr>
        <w:t xml:space="preserve"> for </w:t>
      </w:r>
      <w:r w:rsidR="00B646AE" w:rsidRPr="00387988">
        <w:rPr>
          <w:rFonts w:ascii="Book Antiqua" w:eastAsia="Book Antiqua" w:hAnsi="Book Antiqua" w:cs="Book Antiqua"/>
          <w:color w:val="000000"/>
        </w:rPr>
        <w:t>Microscopy</w:t>
      </w:r>
      <w:r w:rsidRPr="00387988">
        <w:rPr>
          <w:rFonts w:ascii="Book Antiqua" w:eastAsia="Book Antiqua" w:hAnsi="Book Antiqua" w:cs="Book Antiqua"/>
          <w:color w:val="000000"/>
        </w:rPr>
        <w:t xml:space="preserve"> and </w:t>
      </w:r>
      <w:r w:rsidR="00B646AE" w:rsidRPr="00387988">
        <w:rPr>
          <w:rFonts w:ascii="Book Antiqua" w:eastAsia="Book Antiqua" w:hAnsi="Book Antiqua" w:cs="Book Antiqua"/>
          <w:color w:val="000000"/>
        </w:rPr>
        <w:t>Molecular Imagi</w:t>
      </w:r>
      <w:r w:rsidRPr="00387988">
        <w:rPr>
          <w:rFonts w:ascii="Book Antiqua" w:eastAsia="Book Antiqua" w:hAnsi="Book Antiqua" w:cs="Book Antiqua"/>
          <w:color w:val="000000"/>
        </w:rPr>
        <w:t>ng, Université Libre de Bruxelles, Gosselies 6041, Belgium</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Arnaud Lemmers, Thierry Gustot, </w:t>
      </w:r>
      <w:r w:rsidRPr="00387988">
        <w:rPr>
          <w:rFonts w:ascii="Book Antiqua" w:eastAsia="Book Antiqua" w:hAnsi="Book Antiqua" w:cs="Book Antiqua"/>
          <w:color w:val="000000"/>
        </w:rPr>
        <w:t>Department of Gastroenterology, Hepato</w:t>
      </w:r>
      <w:r w:rsidR="00B646AE"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Pancreatology and Digestive Oncology, Erasme Hospital, Université Libre de Bruxelles, Brussels 1070, Belgium</w:t>
      </w:r>
    </w:p>
    <w:p w:rsidR="00A77B3E" w:rsidRPr="00387988" w:rsidRDefault="00A77B3E" w:rsidP="00387988">
      <w:pPr>
        <w:snapToGrid w:val="0"/>
        <w:spacing w:line="360" w:lineRule="auto"/>
        <w:jc w:val="both"/>
      </w:pPr>
    </w:p>
    <w:p w:rsidR="00A77B3E" w:rsidRPr="004060DA" w:rsidRDefault="00107D11" w:rsidP="00387988">
      <w:pPr>
        <w:snapToGrid w:val="0"/>
        <w:spacing w:line="360" w:lineRule="auto"/>
        <w:jc w:val="both"/>
        <w:rPr>
          <w:lang w:val="fr-BE"/>
        </w:rPr>
      </w:pPr>
      <w:r w:rsidRPr="004060DA">
        <w:rPr>
          <w:rFonts w:ascii="Book Antiqua" w:eastAsia="Book Antiqua" w:hAnsi="Book Antiqua" w:cs="Book Antiqua"/>
          <w:b/>
          <w:bCs/>
          <w:color w:val="000000"/>
          <w:lang w:val="fr-BE"/>
        </w:rPr>
        <w:t xml:space="preserve">Thierry Gustot, </w:t>
      </w:r>
      <w:r w:rsidRPr="004060DA">
        <w:rPr>
          <w:rFonts w:ascii="Book Antiqua" w:eastAsia="Book Antiqua" w:hAnsi="Book Antiqua" w:cs="Book Antiqua"/>
          <w:color w:val="000000"/>
          <w:lang w:val="fr-BE"/>
        </w:rPr>
        <w:t>Inserm Unité 1149, Centre de Recherche sur l’inflammation, Paris 75006, France</w:t>
      </w:r>
    </w:p>
    <w:p w:rsidR="00A77B3E" w:rsidRPr="004060DA" w:rsidRDefault="00A77B3E" w:rsidP="00387988">
      <w:pPr>
        <w:snapToGrid w:val="0"/>
        <w:spacing w:line="360" w:lineRule="auto"/>
        <w:jc w:val="both"/>
        <w:rPr>
          <w:lang w:val="fr-BE"/>
        </w:rPr>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lastRenderedPageBreak/>
        <w:t xml:space="preserve">Thierry Gustot, </w:t>
      </w:r>
      <w:r w:rsidRPr="00387988">
        <w:rPr>
          <w:rFonts w:ascii="Book Antiqua" w:eastAsia="Book Antiqua" w:hAnsi="Book Antiqua" w:cs="Book Antiqua"/>
          <w:color w:val="000000"/>
        </w:rPr>
        <w:t>UMR S_1149, Université Paris Diderot, Paris 75006, France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Author contributions: </w:t>
      </w:r>
      <w:r w:rsidRPr="00387988">
        <w:rPr>
          <w:rFonts w:ascii="Book Antiqua" w:eastAsia="Book Antiqua" w:hAnsi="Book Antiqua" w:cs="Book Antiqua"/>
          <w:color w:val="000000"/>
        </w:rPr>
        <w:t>All authors contributed to the study conception and design</w:t>
      </w:r>
      <w:r w:rsidR="000911DC"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Material preparation, data collection and analysis were performed by Minsart C</w:t>
      </w:r>
      <w:r w:rsidR="000911DC"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Immunohistochemistry and histological </w:t>
      </w:r>
      <w:r w:rsidR="001B43C3" w:rsidRPr="00387988">
        <w:rPr>
          <w:rFonts w:ascii="Book Antiqua" w:eastAsia="Book Antiqua" w:hAnsi="Book Antiqua" w:cs="Book Antiqua"/>
          <w:color w:val="000000"/>
        </w:rPr>
        <w:t>analyses were</w:t>
      </w:r>
      <w:r w:rsidRPr="00387988">
        <w:rPr>
          <w:rFonts w:ascii="Book Antiqua" w:eastAsia="Book Antiqua" w:hAnsi="Book Antiqua" w:cs="Book Antiqua"/>
          <w:color w:val="000000"/>
        </w:rPr>
        <w:t xml:space="preserve"> carried out with the help of Rorive</w:t>
      </w:r>
      <w:r w:rsidR="001B43C3" w:rsidRPr="00387988">
        <w:rPr>
          <w:rFonts w:ascii="Book Antiqua" w:hAnsi="Book Antiqua" w:cs="Book Antiqua"/>
          <w:color w:val="000000"/>
          <w:lang w:eastAsia="zh-CN"/>
        </w:rPr>
        <w:t xml:space="preserve"> S</w:t>
      </w:r>
      <w:r w:rsidR="000911DC"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The first draft of the manuscript was written by Minsart C</w:t>
      </w:r>
      <w:r w:rsidR="001B43C3" w:rsidRPr="00387988">
        <w:rPr>
          <w:rFonts w:ascii="Book Antiqua" w:hAnsi="Book Antiqua" w:cs="Book Antiqua"/>
          <w:color w:val="000000"/>
          <w:lang w:eastAsia="zh-CN"/>
        </w:rPr>
        <w:t xml:space="preserve"> and</w:t>
      </w:r>
      <w:r w:rsidRPr="00387988">
        <w:rPr>
          <w:rFonts w:ascii="Book Antiqua" w:eastAsia="Book Antiqua" w:hAnsi="Book Antiqua" w:cs="Book Antiqua"/>
          <w:color w:val="000000"/>
        </w:rPr>
        <w:t xml:space="preserve"> Gustot T</w:t>
      </w:r>
      <w:r w:rsidR="001B43C3"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w:t>
      </w:r>
      <w:r w:rsidR="004060DA">
        <w:rPr>
          <w:rFonts w:ascii="Book Antiqua" w:eastAsia="Book Antiqua" w:hAnsi="Book Antiqua" w:cs="Book Antiqua"/>
          <w:color w:val="000000"/>
        </w:rPr>
        <w:t>a</w:t>
      </w:r>
      <w:r w:rsidR="004060DA" w:rsidRPr="00387988">
        <w:rPr>
          <w:rFonts w:ascii="Book Antiqua" w:eastAsia="Book Antiqua" w:hAnsi="Book Antiqua" w:cs="Book Antiqua"/>
          <w:color w:val="000000"/>
        </w:rPr>
        <w:t xml:space="preserve">ll </w:t>
      </w:r>
      <w:r w:rsidRPr="00387988">
        <w:rPr>
          <w:rFonts w:ascii="Book Antiqua" w:eastAsia="Book Antiqua" w:hAnsi="Book Antiqua" w:cs="Book Antiqua"/>
          <w:color w:val="000000"/>
        </w:rPr>
        <w:t>authors commented on previous versions of the manuscript</w:t>
      </w:r>
      <w:r w:rsidR="00171FE5">
        <w:rPr>
          <w:rFonts w:ascii="Book Antiqua" w:hAnsi="Book Antiqua" w:cs="Book Antiqua"/>
          <w:color w:val="000000"/>
          <w:lang w:eastAsia="zh-CN"/>
        </w:rPr>
        <w:t>, and</w:t>
      </w:r>
      <w:r w:rsidRPr="00387988">
        <w:rPr>
          <w:rFonts w:ascii="Book Antiqua" w:eastAsia="Book Antiqua" w:hAnsi="Book Antiqua" w:cs="Book Antiqua"/>
          <w:color w:val="000000"/>
        </w:rPr>
        <w:t xml:space="preserve"> </w:t>
      </w:r>
      <w:r w:rsidR="000911DC" w:rsidRPr="00387988">
        <w:rPr>
          <w:rFonts w:ascii="Book Antiqua" w:eastAsia="Book Antiqua" w:hAnsi="Book Antiqua" w:cs="Book Antiqua"/>
          <w:color w:val="000000"/>
        </w:rPr>
        <w:t>a</w:t>
      </w:r>
      <w:r w:rsidRPr="00387988">
        <w:rPr>
          <w:rFonts w:ascii="Book Antiqua" w:eastAsia="Book Antiqua" w:hAnsi="Book Antiqua" w:cs="Book Antiqua"/>
          <w:color w:val="000000"/>
        </w:rPr>
        <w:t>ll read and approved the final manuscript.</w:t>
      </w:r>
    </w:p>
    <w:p w:rsidR="00A77B3E" w:rsidRPr="00387988" w:rsidRDefault="00A77B3E" w:rsidP="00387988">
      <w:pPr>
        <w:snapToGrid w:val="0"/>
        <w:spacing w:line="360" w:lineRule="auto"/>
        <w:jc w:val="both"/>
      </w:pPr>
    </w:p>
    <w:p w:rsidR="001C6564" w:rsidRPr="00387988" w:rsidRDefault="001C6564" w:rsidP="00387988">
      <w:pPr>
        <w:snapToGrid w:val="0"/>
        <w:spacing w:line="360" w:lineRule="auto"/>
        <w:jc w:val="both"/>
        <w:rPr>
          <w:rFonts w:ascii="Book Antiqua" w:hAnsi="Book Antiqua"/>
        </w:rPr>
      </w:pPr>
      <w:r w:rsidRPr="00387988">
        <w:rPr>
          <w:rFonts w:ascii="Book Antiqua" w:hAnsi="Book Antiqua"/>
          <w:b/>
          <w:bCs/>
        </w:rPr>
        <w:t xml:space="preserve">Supported by </w:t>
      </w:r>
      <w:r w:rsidRPr="00387988">
        <w:rPr>
          <w:rFonts w:ascii="Book Antiqua" w:hAnsi="Book Antiqua"/>
        </w:rPr>
        <w:t>the Bourse du Conseil Médical de l’hôpital Erasme, Fonds E. et S. Jacobs and Novartis Grant</w:t>
      </w:r>
      <w:r w:rsidR="000911DC" w:rsidRPr="00387988">
        <w:rPr>
          <w:rFonts w:ascii="Book Antiqua" w:hAnsi="Book Antiqua"/>
          <w:lang w:eastAsia="zh-CN"/>
        </w:rPr>
        <w:t xml:space="preserve">; </w:t>
      </w:r>
      <w:r w:rsidRPr="00387988">
        <w:rPr>
          <w:rFonts w:ascii="Book Antiqua" w:hAnsi="Book Antiqua"/>
        </w:rPr>
        <w:t>The CMMI is supported by the European Regional Development Fund and Wallonia.</w:t>
      </w:r>
    </w:p>
    <w:p w:rsidR="001C6564" w:rsidRPr="00387988" w:rsidRDefault="001C6564"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Corresponding author: Charlotte Minsart, PhD, Research Scientist, </w:t>
      </w:r>
      <w:r w:rsidRPr="00387988">
        <w:rPr>
          <w:rFonts w:ascii="Book Antiqua" w:eastAsia="Book Antiqua" w:hAnsi="Book Antiqua" w:cs="Book Antiqua"/>
          <w:color w:val="000000"/>
        </w:rPr>
        <w:t>Laboratory of Experimental Gastroenterology, Erasme Hospital, Université Libre de Bruxelles, 808, Route de Lennik, Brussels 1070, Belgium. charlotte.minsart@erasme.ulb.ac.be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Received: </w:t>
      </w:r>
      <w:r w:rsidRPr="00387988">
        <w:rPr>
          <w:rFonts w:ascii="Book Antiqua" w:eastAsia="Book Antiqua" w:hAnsi="Book Antiqua" w:cs="Book Antiqua"/>
          <w:color w:val="000000"/>
        </w:rPr>
        <w:t>November 28, 2019</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Revised: </w:t>
      </w:r>
      <w:r w:rsidRPr="00387988">
        <w:rPr>
          <w:rFonts w:ascii="Book Antiqua" w:eastAsia="Book Antiqua" w:hAnsi="Book Antiqua" w:cs="Book Antiqua"/>
          <w:color w:val="000000"/>
        </w:rPr>
        <w:t>June 29, 2020</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Accepted: </w:t>
      </w:r>
      <w:r w:rsidR="006373E8" w:rsidRPr="00387988">
        <w:rPr>
          <w:rFonts w:ascii="Book Antiqua" w:eastAsia="Book Antiqua" w:hAnsi="Book Antiqua" w:cs="Book Antiqua"/>
          <w:bCs/>
          <w:color w:val="000000"/>
          <w:lang w:eastAsia="zh-CN"/>
        </w:rPr>
        <w:t>August 25, 2020</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Published online: </w:t>
      </w:r>
    </w:p>
    <w:p w:rsidR="00A77B3E" w:rsidRPr="00387988" w:rsidRDefault="00A77B3E" w:rsidP="00387988">
      <w:pPr>
        <w:snapToGrid w:val="0"/>
        <w:spacing w:line="360" w:lineRule="auto"/>
        <w:jc w:val="both"/>
        <w:sectPr w:rsidR="00A77B3E" w:rsidRPr="00387988">
          <w:footerReference w:type="default" r:id="rId7"/>
          <w:pgSz w:w="12240" w:h="15840"/>
          <w:pgMar w:top="1440" w:right="1440" w:bottom="1440" w:left="1440" w:header="720" w:footer="720" w:gutter="0"/>
          <w:cols w:space="720"/>
          <w:docGrid w:linePitch="360"/>
        </w:sectPr>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lastRenderedPageBreak/>
        <w:t>Abstract</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BACKGROUND</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Acetaminophen overdose is the most frequent cause of drug-induced liver fail</w:t>
      </w:r>
      <w:r w:rsidR="00BD6BD1" w:rsidRPr="00387988">
        <w:rPr>
          <w:rFonts w:ascii="Book Antiqua" w:eastAsia="Book Antiqua" w:hAnsi="Book Antiqua" w:cs="Book Antiqua"/>
          <w:color w:val="000000"/>
        </w:rPr>
        <w:t>ure in developed countries</w:t>
      </w:r>
      <w:r w:rsidRPr="00387988">
        <w:rPr>
          <w:rFonts w:ascii="Book Antiqua" w:eastAsia="Book Antiqua" w:hAnsi="Book Antiqua" w:cs="Book Antiqua"/>
          <w:color w:val="000000"/>
        </w:rPr>
        <w:t xml:space="preserve">. Substantial progress has been made in understanding the mechanism of hepatocellular injury, but N-acetylcysteine remains the only effective treatment despite its short therapeutic window. Thus, other hepatoprotective drugs are needed for the delayed treatment of acetaminophen-induced hepatotoxicity. Our interest focused on glycyrrhizin for its role as an inhibitor of </w:t>
      </w:r>
      <w:bookmarkStart w:id="0" w:name="OLE_LINK14"/>
      <w:bookmarkStart w:id="1" w:name="OLE_LINK15"/>
      <w:r w:rsidRPr="00387988">
        <w:rPr>
          <w:rFonts w:ascii="Book Antiqua" w:eastAsia="Book Antiqua" w:hAnsi="Book Antiqua" w:cs="Book Antiqua"/>
          <w:color w:val="000000"/>
        </w:rPr>
        <w:t>high mobility group box</w:t>
      </w:r>
      <w:r w:rsidR="00046678">
        <w:rPr>
          <w:rFonts w:ascii="Book Antiqua" w:eastAsia="Book Antiqua" w:hAnsi="Book Antiqua" w:cs="Book Antiqua"/>
          <w:color w:val="000000"/>
        </w:rPr>
        <w:t xml:space="preserve"> </w:t>
      </w:r>
      <w:r w:rsidRPr="00387988">
        <w:rPr>
          <w:rFonts w:ascii="Book Antiqua" w:eastAsia="Book Antiqua" w:hAnsi="Book Antiqua" w:cs="Book Antiqua"/>
          <w:color w:val="000000"/>
        </w:rPr>
        <w:t>1</w:t>
      </w:r>
      <w:bookmarkEnd w:id="0"/>
      <w:bookmarkEnd w:id="1"/>
      <w:r w:rsidRPr="00387988">
        <w:rPr>
          <w:rFonts w:ascii="Book Antiqua" w:eastAsia="Book Antiqua" w:hAnsi="Book Antiqua" w:cs="Book Antiqua"/>
          <w:color w:val="000000"/>
        </w:rPr>
        <w:t xml:space="preserve"> </w:t>
      </w:r>
      <w:bookmarkStart w:id="2" w:name="OLE_LINK4"/>
      <w:bookmarkStart w:id="3" w:name="OLE_LINK5"/>
      <w:r w:rsidRPr="00387988">
        <w:rPr>
          <w:rFonts w:ascii="Book Antiqua" w:eastAsia="Book Antiqua" w:hAnsi="Book Antiqua" w:cs="Book Antiqua"/>
          <w:color w:val="000000"/>
        </w:rPr>
        <w:t xml:space="preserve">(HMGB1) </w:t>
      </w:r>
      <w:bookmarkEnd w:id="2"/>
      <w:bookmarkEnd w:id="3"/>
      <w:r w:rsidRPr="00387988">
        <w:rPr>
          <w:rFonts w:ascii="Book Antiqua" w:eastAsia="Book Antiqua" w:hAnsi="Book Antiqua" w:cs="Book Antiqua"/>
          <w:color w:val="000000"/>
        </w:rPr>
        <w:t>protein, a member of the family of damage</w:t>
      </w:r>
      <w:r w:rsidR="00046678">
        <w:rPr>
          <w:rFonts w:ascii="Book Antiqua" w:eastAsia="Book Antiqua" w:hAnsi="Book Antiqua" w:cs="Book Antiqua"/>
          <w:color w:val="000000"/>
        </w:rPr>
        <w:t>-</w:t>
      </w:r>
      <w:r w:rsidRPr="00387988">
        <w:rPr>
          <w:rFonts w:ascii="Book Antiqua" w:eastAsia="Book Antiqua" w:hAnsi="Book Antiqua" w:cs="Book Antiqua"/>
          <w:color w:val="000000"/>
        </w:rPr>
        <w:t>associated molecular pattern</w:t>
      </w:r>
      <w:r w:rsidR="00763410">
        <w:rPr>
          <w:rFonts w:ascii="Book Antiqua" w:eastAsia="Book Antiqua" w:hAnsi="Book Antiqua" w:cs="Book Antiqua"/>
          <w:color w:val="000000"/>
        </w:rPr>
        <w:t xml:space="preserve">, </w:t>
      </w:r>
      <w:r w:rsidRPr="00387988">
        <w:rPr>
          <w:rFonts w:ascii="Book Antiqua" w:eastAsia="Book Antiqua" w:hAnsi="Book Antiqua" w:cs="Book Antiqua"/>
          <w:color w:val="000000"/>
        </w:rPr>
        <w:t>known to play an important pathological role in</w:t>
      </w:r>
      <w:r w:rsidR="00F074B1" w:rsidRPr="00387988">
        <w:rPr>
          <w:rFonts w:ascii="Book Antiqua" w:eastAsia="Book Antiqua" w:hAnsi="Book Antiqua" w:cs="Book Antiqua"/>
          <w:color w:val="000000"/>
        </w:rPr>
        <w:t xml:space="preserve"> various diseases</w:t>
      </w:r>
      <w:r w:rsidRPr="00387988">
        <w:rPr>
          <w:rFonts w:ascii="Book Antiqua" w:eastAsia="Book Antiqua" w:hAnsi="Book Antiqua" w:cs="Book Antiqua"/>
          <w:color w:val="000000"/>
        </w:rPr>
        <w:t xml:space="preserve">.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AIM</w:t>
      </w:r>
      <w:bookmarkStart w:id="4" w:name="_GoBack"/>
      <w:bookmarkEnd w:id="4"/>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To investigate the efficacy of the N-acetylcysteine/glycyrrhizin combination compared to N-acetylcysteine alone in the prevention of liver 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METHODS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Eight-week-old C57BL/6J wild-type female mice were used for all our experiments. Mice fasted for 15 h were treated with acetaminophen (500</w:t>
      </w:r>
      <w:r w:rsidR="00792CAA" w:rsidRPr="00387988">
        <w:rPr>
          <w:rFonts w:ascii="Book Antiqua" w:hAnsi="Book Antiqua" w:cs="Book Antiqua"/>
          <w:color w:val="000000"/>
          <w:lang w:eastAsia="zh-CN"/>
        </w:rPr>
        <w:t xml:space="preserve"> </w:t>
      </w:r>
      <w:r w:rsidR="00792CAA" w:rsidRPr="00387988">
        <w:rPr>
          <w:rFonts w:ascii="Book Antiqua" w:eastAsia="Book Antiqua" w:hAnsi="Book Antiqua" w:cs="Book Antiqua"/>
          <w:color w:val="000000"/>
        </w:rPr>
        <w:t>mg/kg)</w:t>
      </w:r>
      <w:r w:rsidRPr="00387988">
        <w:rPr>
          <w:rFonts w:ascii="Book Antiqua" w:eastAsia="Book Antiqua" w:hAnsi="Book Antiqua" w:cs="Book Antiqua"/>
          <w:color w:val="000000"/>
        </w:rPr>
        <w:t xml:space="preserve"> or vehicle (phosphate-buffered saline) by intraperitoneal injection and separated into </w:t>
      </w:r>
      <w:r w:rsidR="00046678">
        <w:rPr>
          <w:rFonts w:ascii="Book Antiqua" w:eastAsia="Book Antiqua" w:hAnsi="Book Antiqua" w:cs="Book Antiqua"/>
          <w:color w:val="000000"/>
        </w:rPr>
        <w:t xml:space="preserve">the </w:t>
      </w:r>
      <w:r w:rsidRPr="00387988">
        <w:rPr>
          <w:rFonts w:ascii="Book Antiqua" w:eastAsia="Book Antiqua" w:hAnsi="Book Antiqua" w:cs="Book Antiqua"/>
          <w:color w:val="000000"/>
        </w:rPr>
        <w:t>following groups: glycyrrhizin (200 mg/kg)</w:t>
      </w:r>
      <w:r w:rsidR="00046678">
        <w:rPr>
          <w:rFonts w:ascii="Book Antiqua" w:eastAsia="Book Antiqua" w:hAnsi="Book Antiqua" w:cs="Book Antiqua"/>
          <w:color w:val="000000"/>
        </w:rPr>
        <w:t>;</w:t>
      </w:r>
      <w:r w:rsidRPr="00387988">
        <w:rPr>
          <w:rFonts w:ascii="Book Antiqua" w:eastAsia="Book Antiqua" w:hAnsi="Book Antiqua" w:cs="Book Antiqua"/>
          <w:color w:val="000000"/>
        </w:rPr>
        <w:t xml:space="preserve"> N-acetylcysteine (150 mg/kg)</w:t>
      </w:r>
      <w:r w:rsidR="00046678">
        <w:rPr>
          <w:rFonts w:ascii="Book Antiqua" w:eastAsia="Book Antiqua" w:hAnsi="Book Antiqua" w:cs="Book Antiqua"/>
          <w:color w:val="000000"/>
        </w:rPr>
        <w:t>;</w:t>
      </w:r>
      <w:r w:rsidRPr="00387988">
        <w:rPr>
          <w:rFonts w:ascii="Book Antiqua" w:eastAsia="Book Antiqua" w:hAnsi="Book Antiqua" w:cs="Book Antiqua"/>
          <w:color w:val="000000"/>
        </w:rPr>
        <w:t xml:space="preserve"> and N-acetylcysteine/glycyrrhizin. In all groups, mice were sacrificed 12 h following acetaminophen administration. The assessment of hepatotoxicity was performed by measuring plasma levels of alanine aminotransferase, aspartate aminotransferase and lactate dehydrogenase. Hepatotoxicity was also evaluated by histological examination of hematoxylin and eosin-stained tissues sections. Survival rates were compared between various groups using Kaplan-Meier curves.</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RESULTS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Consistent with data published in the literature, we confirmed that intraperitoneal administration of acetaminophen (500</w:t>
      </w:r>
      <w:r w:rsidR="00792CAA"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mg/kg) in mice induced severe liver injury as evidenced by increases in alanine aminotransferase, aspartate aminotransferase and lactate dehydrogenase but also by liver necrosis score. Glycyrrhizin administration was shown to reduce the release of HMGB1 and significantly decreased the severity of liver injury. Thus, the co-administration of glycyrrhizin and N-acetylcysteine was investigated. Administered concomitantly with acetaminophen, the combination signifi</w:t>
      </w:r>
      <w:r w:rsidR="00320810" w:rsidRPr="00387988">
        <w:rPr>
          <w:rFonts w:ascii="Book Antiqua" w:eastAsia="Book Antiqua" w:hAnsi="Book Antiqua" w:cs="Book Antiqua"/>
          <w:color w:val="000000"/>
        </w:rPr>
        <w:t>cantly reduced the severity of </w:t>
      </w:r>
      <w:r w:rsidRPr="00387988">
        <w:rPr>
          <w:rFonts w:ascii="Book Antiqua" w:eastAsia="Book Antiqua" w:hAnsi="Book Antiqua" w:cs="Book Antiqua"/>
          <w:color w:val="000000"/>
        </w:rPr>
        <w:t>liver inj</w:t>
      </w:r>
      <w:r w:rsidR="00320810" w:rsidRPr="00387988">
        <w:rPr>
          <w:rFonts w:ascii="Book Antiqua" w:eastAsia="Book Antiqua" w:hAnsi="Book Antiqua" w:cs="Book Antiqua"/>
          <w:color w:val="000000"/>
        </w:rPr>
        <w:t>ury. Delayed administration of </w:t>
      </w:r>
      <w:r w:rsidRPr="00387988">
        <w:rPr>
          <w:rFonts w:ascii="Book Antiqua" w:eastAsia="Book Antiqua" w:hAnsi="Book Antiqua" w:cs="Book Antiqua"/>
          <w:color w:val="000000"/>
        </w:rPr>
        <w:t xml:space="preserve">the combination of drugs, </w:t>
      </w:r>
      <w:r w:rsidR="00046678">
        <w:rPr>
          <w:rFonts w:ascii="Book Antiqua" w:eastAsia="Book Antiqua" w:hAnsi="Book Antiqua" w:cs="Book Antiqua"/>
          <w:color w:val="000000"/>
        </w:rPr>
        <w:t>2 h</w:t>
      </w:r>
      <w:r w:rsidRPr="00387988">
        <w:rPr>
          <w:rFonts w:ascii="Book Antiqua" w:eastAsia="Book Antiqua" w:hAnsi="Book Antiqua" w:cs="Book Antiqua"/>
          <w:color w:val="000000"/>
        </w:rPr>
        <w:t xml:space="preserve"> or </w:t>
      </w:r>
      <w:r w:rsidR="00046678">
        <w:rPr>
          <w:rFonts w:ascii="Book Antiqua" w:eastAsia="Book Antiqua" w:hAnsi="Book Antiqua" w:cs="Book Antiqua"/>
          <w:color w:val="000000"/>
        </w:rPr>
        <w:t>6 h</w:t>
      </w:r>
      <w:r w:rsidRPr="00387988">
        <w:rPr>
          <w:rFonts w:ascii="Book Antiqua" w:eastAsia="Book Antiqua" w:hAnsi="Book Antiqua" w:cs="Book Antiqua"/>
          <w:color w:val="000000"/>
        </w:rPr>
        <w:t xml:space="preserve"> after acetaminophen, also induced a significant decrease in hepatocyte necrosis compared to mice treated with N-acetylcysteine alone. In addition, administration of N-acetylcysteine/glycyrrhizin combination was associated with an improved survival rate compared to mice treated with only N-acetylcysteine.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CONCLUSION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We demonstrate that, compared to N-acetylcysteine alone, co-administration of glycyrrhizin decreases the liver necrosis score and improves survival in a murine model of acetaminophen-induced liver injury. Our study opens a potential new therapeutic pathway in the prevention of acetaminophen hepatotoxicity.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Key words: </w:t>
      </w:r>
      <w:r w:rsidRPr="00387988">
        <w:rPr>
          <w:rFonts w:ascii="Book Antiqua" w:eastAsia="Book Antiqua" w:hAnsi="Book Antiqua" w:cs="Book Antiqua"/>
          <w:color w:val="000000"/>
        </w:rPr>
        <w:t>Acetaminophen; Acute liver injury; Glycyrrhizin; N-acetylcysteine; N-acetylcysteine/glycyrrhizin combination; Murine model; High mobility group box</w:t>
      </w:r>
      <w:r w:rsidR="00046678">
        <w:rPr>
          <w:rFonts w:ascii="Book Antiqua" w:eastAsia="Book Antiqua" w:hAnsi="Book Antiqua" w:cs="Book Antiqua"/>
          <w:color w:val="000000"/>
        </w:rPr>
        <w:t xml:space="preserve"> </w:t>
      </w:r>
      <w:r w:rsidRPr="00387988">
        <w:rPr>
          <w:rFonts w:ascii="Book Antiqua" w:eastAsia="Book Antiqua" w:hAnsi="Book Antiqua" w:cs="Book Antiqua"/>
          <w:color w:val="000000"/>
        </w:rPr>
        <w:t>1</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Minsart C, Rorive S, Lemmers A, Quertinmont E, Gustot T. N-acetylcysteine and glycyrrhizin combination: Benefit outcome in a murine model of acetaminophen-induced liver failure. </w:t>
      </w:r>
      <w:r w:rsidRPr="00387988">
        <w:rPr>
          <w:rFonts w:ascii="Book Antiqua" w:eastAsia="Book Antiqua" w:hAnsi="Book Antiqua" w:cs="Book Antiqua"/>
          <w:i/>
          <w:iCs/>
          <w:color w:val="000000"/>
        </w:rPr>
        <w:t>World J Hepatol</w:t>
      </w:r>
      <w:r w:rsidRPr="00387988">
        <w:rPr>
          <w:rFonts w:ascii="Book Antiqua" w:eastAsia="Book Antiqua" w:hAnsi="Book Antiqua" w:cs="Book Antiqua"/>
          <w:color w:val="000000"/>
        </w:rPr>
        <w:t xml:space="preserve"> 2020; In press</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Core tip: </w:t>
      </w:r>
      <w:r w:rsidRPr="00387988">
        <w:rPr>
          <w:rFonts w:ascii="Book Antiqua" w:eastAsia="Book Antiqua" w:hAnsi="Book Antiqua" w:cs="Book Antiqua"/>
          <w:color w:val="000000"/>
        </w:rPr>
        <w:t xml:space="preserve">Acetaminophen overdose is the most common cause of drug-induced liver failure in the developed countries. Substantial progress has been made in </w:t>
      </w:r>
      <w:r w:rsidRPr="00387988">
        <w:rPr>
          <w:rFonts w:ascii="Book Antiqua" w:eastAsia="Book Antiqua" w:hAnsi="Book Antiqua" w:cs="Book Antiqua"/>
          <w:color w:val="000000"/>
        </w:rPr>
        <w:lastRenderedPageBreak/>
        <w:t>understanding the mechanism of hepatocellular injury, but N-acetylcysteine remains the only effective treatment despite its short therapeutic window. We present here our first results on the combination of N-acetylcysteine and glycyrrhizin in a murine model of acetaminophen-induced liver injury. Acetaminophen toxicity was induced by an intraperitoneal dose of 500 mg/kg. Hepatotoxicity was assessed by biochemical and histopathological ana</w:t>
      </w:r>
      <w:r w:rsidR="00320810" w:rsidRPr="00387988">
        <w:rPr>
          <w:rFonts w:ascii="Book Antiqua" w:eastAsia="Book Antiqua" w:hAnsi="Book Antiqua" w:cs="Book Antiqua"/>
          <w:color w:val="000000"/>
        </w:rPr>
        <w:t>lyses. </w:t>
      </w:r>
      <w:r w:rsidRPr="00387988">
        <w:rPr>
          <w:rFonts w:ascii="Book Antiqua" w:eastAsia="Book Antiqua" w:hAnsi="Book Antiqua" w:cs="Book Antiqua"/>
          <w:color w:val="000000"/>
        </w:rPr>
        <w:t>Survival rates were also compared. Our results suggest, for the first time, that the combination of N-acetylcysteine and glycyrrhizin may be effective in preventing acetaminophen-induced liver injury</w:t>
      </w:r>
      <w:r w:rsidR="001C6564" w:rsidRPr="00387988">
        <w:rPr>
          <w:rFonts w:ascii="Book Antiqua" w:eastAsia="Book Antiqua" w:hAnsi="Book Antiqua" w:cs="Book Antiqua"/>
          <w:color w:val="000000"/>
        </w:rPr>
        <w:t xml:space="preserve"> in mice</w:t>
      </w:r>
      <w:r w:rsidRPr="00387988">
        <w:rPr>
          <w:rFonts w:ascii="Book Antiqua" w:eastAsia="Book Antiqua" w:hAnsi="Book Antiqua" w:cs="Book Antiqua"/>
          <w:color w:val="000000"/>
        </w:rPr>
        <w:t>.</w:t>
      </w:r>
    </w:p>
    <w:p w:rsidR="00A77B3E" w:rsidRPr="00387988" w:rsidRDefault="000911DC" w:rsidP="00387988">
      <w:pPr>
        <w:snapToGrid w:val="0"/>
        <w:spacing w:line="360" w:lineRule="auto"/>
        <w:jc w:val="both"/>
      </w:pPr>
      <w:r w:rsidRPr="00387988">
        <w:br w:type="page"/>
      </w:r>
      <w:r w:rsidR="00107D11" w:rsidRPr="00387988">
        <w:rPr>
          <w:rFonts w:ascii="Book Antiqua" w:eastAsia="Book Antiqua" w:hAnsi="Book Antiqua" w:cs="Book Antiqua"/>
          <w:b/>
          <w:caps/>
          <w:color w:val="000000"/>
          <w:u w:val="single"/>
        </w:rPr>
        <w:lastRenderedPageBreak/>
        <w:t>INTRODUCTION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Acetaminophen, also known as </w:t>
      </w:r>
      <w:bookmarkStart w:id="5" w:name="OLE_LINK10"/>
      <w:bookmarkStart w:id="6" w:name="OLE_LINK11"/>
      <w:r w:rsidRPr="00387988">
        <w:rPr>
          <w:rFonts w:ascii="Book Antiqua" w:eastAsia="Book Antiqua" w:hAnsi="Book Antiqua" w:cs="Book Antiqua"/>
          <w:color w:val="000000"/>
        </w:rPr>
        <w:t>N-acetyl-p-aminophenol</w:t>
      </w:r>
      <w:bookmarkEnd w:id="5"/>
      <w:bookmarkEnd w:id="6"/>
      <w:r w:rsidRPr="00387988">
        <w:rPr>
          <w:rFonts w:ascii="Book Antiqua" w:eastAsia="Book Antiqua" w:hAnsi="Book Antiqua" w:cs="Book Antiqua"/>
          <w:color w:val="000000"/>
        </w:rPr>
        <w:t xml:space="preserve"> (APAP), is one of the most widely used drugs for its analgesic and antipyretic properties. Although acetaminophen is a safe and effective drug at recommended doses, it can cause hepatotoxicity and acute liver failure in the event of over</w:t>
      </w:r>
      <w:r w:rsidR="00792CAA" w:rsidRPr="00387988">
        <w:rPr>
          <w:rFonts w:ascii="Book Antiqua" w:eastAsia="Book Antiqua" w:hAnsi="Book Antiqua" w:cs="Book Antiqua"/>
          <w:color w:val="000000"/>
        </w:rPr>
        <w:t>dose</w:t>
      </w:r>
      <w:r w:rsidR="00792CAA" w:rsidRPr="00387988">
        <w:rPr>
          <w:rFonts w:ascii="Book Antiqua" w:eastAsia="Book Antiqua" w:hAnsi="Book Antiqua" w:cs="Book Antiqua"/>
          <w:color w:val="000000"/>
          <w:vertAlign w:val="superscript"/>
        </w:rPr>
        <w:t>[1</w:t>
      </w:r>
      <w:r w:rsidR="00792CAA"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2]</w:t>
      </w:r>
      <w:r w:rsidRPr="00387988">
        <w:rPr>
          <w:rFonts w:ascii="Book Antiqua" w:eastAsia="Book Antiqua" w:hAnsi="Book Antiqua" w:cs="Book Antiqua"/>
          <w:color w:val="000000"/>
        </w:rPr>
        <w:t xml:space="preserve">. The hepatotoxicity of acetaminophen remains the leading cause of acute liver failure in the United States and Europe but the mechanism of hepatotoxicity is still incompletely understood and </w:t>
      </w:r>
      <w:r w:rsidR="007629D8" w:rsidRPr="00387988">
        <w:rPr>
          <w:rFonts w:ascii="Book Antiqua" w:eastAsia="Book Antiqua" w:hAnsi="Book Antiqua" w:cs="Book Antiqua"/>
          <w:color w:val="000000"/>
        </w:rPr>
        <w:t>therapeutic options are limited</w:t>
      </w:r>
      <w:r w:rsidR="007629D8" w:rsidRPr="00387988">
        <w:rPr>
          <w:rFonts w:ascii="Book Antiqua" w:eastAsia="Book Antiqua" w:hAnsi="Book Antiqua" w:cs="Book Antiqua"/>
          <w:color w:val="000000"/>
          <w:vertAlign w:val="superscript"/>
        </w:rPr>
        <w:t>[3</w:t>
      </w:r>
      <w:r w:rsidR="007629D8"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4]</w:t>
      </w:r>
      <w:r w:rsidRPr="00387988">
        <w:rPr>
          <w:rFonts w:ascii="Book Antiqua" w:eastAsia="Book Antiqua" w:hAnsi="Book Antiqua" w:cs="Book Antiqua"/>
          <w:color w:val="000000"/>
        </w:rPr>
        <w:t>. After ingestion, a majority (&gt;</w:t>
      </w:r>
      <w:r w:rsidR="006136A6"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90%) of acetaminophen is metabolized by glucuronidation and sulfation reactions to produce non-toxic metabolites. A small fraction (&lt;</w:t>
      </w:r>
      <w:r w:rsidR="00F132AB"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10%), undergoing oxidation</w:t>
      </w:r>
      <w:r w:rsidR="00750C35">
        <w:rPr>
          <w:rFonts w:ascii="Book Antiqua" w:eastAsia="Book Antiqua" w:hAnsi="Book Antiqua" w:cs="Book Antiqua"/>
          <w:color w:val="000000"/>
        </w:rPr>
        <w:t>,</w:t>
      </w:r>
      <w:r w:rsidRPr="00387988">
        <w:rPr>
          <w:rFonts w:ascii="Book Antiqua" w:eastAsia="Book Antiqua" w:hAnsi="Book Antiqua" w:cs="Book Antiqua"/>
          <w:color w:val="000000"/>
        </w:rPr>
        <w:t xml:space="preserve"> is metabolized by CYP450 isoforms, mainly CYP2E1, to N-acetyl-p-benzoquinone imine (NAPQI), a toxic metabolite. Under normal conditions NAPQI, which binds covalently to cysteine groups on proteins (APAP adducts), is rapidly </w:t>
      </w:r>
      <w:r w:rsidR="00F132AB" w:rsidRPr="00387988">
        <w:rPr>
          <w:rFonts w:ascii="Book Antiqua" w:eastAsia="Book Antiqua" w:hAnsi="Book Antiqua" w:cs="Book Antiqua"/>
          <w:color w:val="000000"/>
        </w:rPr>
        <w:t xml:space="preserve">detoxified by </w:t>
      </w:r>
      <w:bookmarkStart w:id="7" w:name="OLE_LINK12"/>
      <w:bookmarkStart w:id="8" w:name="OLE_LINK13"/>
      <w:r w:rsidR="00F132AB" w:rsidRPr="00387988">
        <w:rPr>
          <w:rFonts w:ascii="Book Antiqua" w:eastAsia="Book Antiqua" w:hAnsi="Book Antiqua" w:cs="Book Antiqua"/>
          <w:color w:val="000000"/>
        </w:rPr>
        <w:t>glutathione</w:t>
      </w:r>
      <w:bookmarkEnd w:id="7"/>
      <w:bookmarkEnd w:id="8"/>
      <w:r w:rsidR="00F132AB" w:rsidRPr="00387988">
        <w:rPr>
          <w:rFonts w:ascii="Book Antiqua" w:eastAsia="Book Antiqua" w:hAnsi="Book Antiqua" w:cs="Book Antiqua"/>
          <w:color w:val="000000"/>
        </w:rPr>
        <w:t xml:space="preserve"> (GSH)</w:t>
      </w:r>
      <w:r w:rsidRPr="00387988">
        <w:rPr>
          <w:rFonts w:ascii="Book Antiqua" w:eastAsia="Book Antiqua" w:hAnsi="Book Antiqua" w:cs="Book Antiqua"/>
          <w:color w:val="000000"/>
          <w:vertAlign w:val="superscript"/>
        </w:rPr>
        <w:t>[5]</w:t>
      </w:r>
      <w:r w:rsidRPr="00387988">
        <w:rPr>
          <w:rFonts w:ascii="Book Antiqua" w:eastAsia="Book Antiqua" w:hAnsi="Book Antiqua" w:cs="Book Antiqua"/>
          <w:color w:val="000000"/>
        </w:rPr>
        <w:t xml:space="preserve">. There is strong evidence that depletion of hepatic </w:t>
      </w:r>
      <w:r w:rsidR="00C32CE4">
        <w:rPr>
          <w:rFonts w:ascii="Book Antiqua" w:eastAsia="Book Antiqua" w:hAnsi="Book Antiqua" w:cs="Book Antiqua"/>
          <w:color w:val="000000"/>
        </w:rPr>
        <w:t>GSH</w:t>
      </w:r>
      <w:r w:rsidR="00C32CE4"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and the covalent binding of NAPQI to cellular macromolecule contribute to protein modification and mitochondrial dysfunction </w:t>
      </w:r>
      <w:r w:rsidR="00F132AB" w:rsidRPr="00387988">
        <w:rPr>
          <w:rFonts w:ascii="Book Antiqua" w:eastAsia="Book Antiqua" w:hAnsi="Book Antiqua" w:cs="Book Antiqua"/>
          <w:color w:val="000000"/>
        </w:rPr>
        <w:t xml:space="preserve">with ATP depletion, leading to </w:t>
      </w:r>
      <w:r w:rsidRPr="00387988">
        <w:rPr>
          <w:rFonts w:ascii="Book Antiqua" w:eastAsia="Book Antiqua" w:hAnsi="Book Antiqua" w:cs="Book Antiqua"/>
          <w:color w:val="000000"/>
        </w:rPr>
        <w:t>massive centrilobular necrosis</w:t>
      </w:r>
      <w:r w:rsidRPr="00387988">
        <w:rPr>
          <w:rFonts w:ascii="Book Antiqua" w:eastAsia="Book Antiqua" w:hAnsi="Book Antiqua" w:cs="Book Antiqua"/>
          <w:color w:val="000000"/>
          <w:vertAlign w:val="superscript"/>
        </w:rPr>
        <w:t>[6]</w:t>
      </w:r>
      <w:r w:rsidRPr="00387988">
        <w:rPr>
          <w:rFonts w:ascii="Book Antiqua" w:eastAsia="Book Antiqua" w:hAnsi="Book Antiqua" w:cs="Book Antiqua"/>
          <w:color w:val="000000"/>
        </w:rPr>
        <w:t>.</w:t>
      </w:r>
    </w:p>
    <w:p w:rsidR="00A77B3E" w:rsidRPr="00387988" w:rsidRDefault="00107D11" w:rsidP="00387988">
      <w:pPr>
        <w:snapToGrid w:val="0"/>
        <w:spacing w:line="360" w:lineRule="auto"/>
        <w:ind w:firstLineChars="100" w:firstLine="240"/>
        <w:jc w:val="both"/>
      </w:pPr>
      <w:bookmarkStart w:id="9" w:name="OLE_LINK60"/>
      <w:r w:rsidRPr="00387988">
        <w:rPr>
          <w:rFonts w:ascii="Book Antiqua" w:eastAsia="Book Antiqua" w:hAnsi="Book Antiqua" w:cs="Book Antiqua"/>
          <w:color w:val="000000"/>
        </w:rPr>
        <w:t>N-acetylcysteine</w:t>
      </w:r>
      <w:bookmarkEnd w:id="9"/>
      <w:r w:rsidRPr="00387988">
        <w:rPr>
          <w:rFonts w:ascii="Book Antiqua" w:eastAsia="Book Antiqua" w:hAnsi="Book Antiqua" w:cs="Book Antiqua"/>
          <w:color w:val="000000"/>
        </w:rPr>
        <w:t xml:space="preserve"> (NAC) is the standard therapy for treatment of APAP overdose. This drug counters acetaminophen toxicity by increasing the detoxification of NAPQI by direct conjugation with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or by increasing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synthesis</w:t>
      </w:r>
      <w:r w:rsidRPr="00387988">
        <w:rPr>
          <w:rFonts w:ascii="Book Antiqua" w:eastAsia="Book Antiqua" w:hAnsi="Book Antiqua" w:cs="Book Antiqua"/>
          <w:color w:val="000000"/>
          <w:vertAlign w:val="superscript"/>
        </w:rPr>
        <w:t>[7]</w:t>
      </w:r>
      <w:r w:rsidRPr="00387988">
        <w:rPr>
          <w:rFonts w:ascii="Book Antiqua" w:eastAsia="Book Antiqua" w:hAnsi="Book Antiqua" w:cs="Book Antiqua"/>
          <w:color w:val="000000"/>
        </w:rPr>
        <w:t xml:space="preserve">. In this way,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acts to prevent the accumulation of the toxic metabolites of APAP in hepatocytes and thereby prevents hepatocytes necrosis. However, to ensure effective treatment, NAC should be administered within 8-10 h after ingestion of acetaminophen</w:t>
      </w:r>
      <w:r w:rsidRPr="00387988">
        <w:rPr>
          <w:rFonts w:ascii="Book Antiqua" w:eastAsia="Book Antiqua" w:hAnsi="Book Antiqua" w:cs="Book Antiqua"/>
          <w:color w:val="000000"/>
          <w:vertAlign w:val="superscript"/>
        </w:rPr>
        <w:t>[</w:t>
      </w:r>
      <w:r w:rsidR="00F132AB" w:rsidRPr="00387988">
        <w:rPr>
          <w:rFonts w:ascii="Book Antiqua" w:hAnsi="Book Antiqua" w:cs="Book Antiqua"/>
          <w:color w:val="000000"/>
          <w:vertAlign w:val="superscript"/>
          <w:lang w:eastAsia="zh-CN"/>
        </w:rPr>
        <w:t>8,</w:t>
      </w:r>
      <w:r w:rsidRPr="00387988">
        <w:rPr>
          <w:rFonts w:ascii="Book Antiqua" w:eastAsia="Book Antiqua" w:hAnsi="Book Antiqua" w:cs="Book Antiqua"/>
          <w:color w:val="000000"/>
          <w:vertAlign w:val="superscript"/>
        </w:rPr>
        <w:t>9]</w:t>
      </w:r>
      <w:r w:rsidRPr="00387988">
        <w:rPr>
          <w:rFonts w:ascii="Book Antiqua" w:eastAsia="Book Antiqua" w:hAnsi="Book Antiqua" w:cs="Book Antiqua"/>
          <w:color w:val="000000"/>
        </w:rPr>
        <w:t>. Since the symptoms of APAP overdosage are often overlooked, the administration of NAC is often insufficient or ineffective due to its short therapeutic window. In addition, restoration of the GSH store is not sufficient to stop the progression</w:t>
      </w:r>
      <w:r w:rsidR="00F132AB" w:rsidRPr="00387988">
        <w:rPr>
          <w:rFonts w:ascii="Book Antiqua" w:eastAsia="Book Antiqua" w:hAnsi="Book Antiqua" w:cs="Book Antiqua"/>
          <w:color w:val="000000"/>
        </w:rPr>
        <w:t xml:space="preserve"> of APAP-induced hepatotoxicity</w:t>
      </w:r>
      <w:r w:rsidRPr="00387988">
        <w:rPr>
          <w:rFonts w:ascii="Book Antiqua" w:eastAsia="Book Antiqua" w:hAnsi="Book Antiqua" w:cs="Book Antiqua"/>
          <w:color w:val="000000"/>
          <w:vertAlign w:val="superscript"/>
        </w:rPr>
        <w:t>[10</w:t>
      </w:r>
      <w:r w:rsidR="00F132AB"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12]</w:t>
      </w:r>
      <w:r w:rsidRPr="00387988">
        <w:rPr>
          <w:rFonts w:ascii="Book Antiqua" w:eastAsia="Book Antiqua" w:hAnsi="Book Antiqua" w:cs="Book Antiqua"/>
          <w:color w:val="000000"/>
        </w:rPr>
        <w:t xml:space="preserve">. Thus, in case of acute liver failure, the only alternative remains liver transplantation, a rare resource associated with significant consequences (long-term immunosuppression, frequent medical follow-up, cost). New therapies are clearly needed.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lastRenderedPageBreak/>
        <w:t xml:space="preserve">As a medicinal resource, traditional Chinese herbs have attracted attention as food with health benefits and as herbal medicines. </w:t>
      </w:r>
      <w:bookmarkStart w:id="10" w:name="OLE_LINK36"/>
      <w:bookmarkStart w:id="11" w:name="OLE_LINK37"/>
      <w:r w:rsidRPr="00387988">
        <w:rPr>
          <w:rFonts w:ascii="Book Antiqua" w:eastAsia="Book Antiqua" w:hAnsi="Book Antiqua" w:cs="Book Antiqua"/>
          <w:color w:val="000000"/>
        </w:rPr>
        <w:t>Glycyrrhizin</w:t>
      </w:r>
      <w:bookmarkEnd w:id="10"/>
      <w:bookmarkEnd w:id="11"/>
      <w:r w:rsidRPr="00387988">
        <w:rPr>
          <w:rFonts w:ascii="Book Antiqua" w:eastAsia="Book Antiqua" w:hAnsi="Book Antiqua" w:cs="Book Antiqua"/>
          <w:color w:val="000000"/>
        </w:rPr>
        <w:t xml:space="preserve"> (GL), an aqueous extract of </w:t>
      </w:r>
      <w:r w:rsidR="00441D22" w:rsidRPr="00387988">
        <w:rPr>
          <w:rFonts w:ascii="Book Antiqua" w:eastAsia="Book Antiqua" w:hAnsi="Book Antiqua" w:cs="Book Antiqua"/>
          <w:color w:val="000000"/>
        </w:rPr>
        <w:t>licorice</w:t>
      </w:r>
      <w:r w:rsidRPr="00387988">
        <w:rPr>
          <w:rFonts w:ascii="Book Antiqua" w:eastAsia="Book Antiqua" w:hAnsi="Book Antiqua" w:cs="Book Antiqua"/>
          <w:color w:val="000000"/>
        </w:rPr>
        <w:t xml:space="preserve"> root, is composed of glycyrrhetinic acid and two molecules of glucuronic acid. In patients with chronic hepatitis, it is already commonly used i</w:t>
      </w:r>
      <w:r w:rsidR="00320810" w:rsidRPr="00387988">
        <w:rPr>
          <w:rFonts w:ascii="Book Antiqua" w:eastAsia="Book Antiqua" w:hAnsi="Book Antiqua" w:cs="Book Antiqua"/>
          <w:color w:val="000000"/>
        </w:rPr>
        <w:t>n Japan and has been evaluated </w:t>
      </w:r>
      <w:r w:rsidRPr="00387988">
        <w:rPr>
          <w:rFonts w:ascii="Book Antiqua" w:eastAsia="Book Antiqua" w:hAnsi="Book Antiqua" w:cs="Book Antiqua"/>
          <w:color w:val="000000"/>
        </w:rPr>
        <w:t>in therapeutic trials in Europe</w:t>
      </w:r>
      <w:r w:rsidRPr="00387988">
        <w:rPr>
          <w:rFonts w:ascii="Book Antiqua" w:eastAsia="Book Antiqua" w:hAnsi="Book Antiqua" w:cs="Book Antiqua"/>
          <w:color w:val="000000"/>
          <w:vertAlign w:val="superscript"/>
        </w:rPr>
        <w:t>[13</w:t>
      </w:r>
      <w:r w:rsidR="00B0698E"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14]</w:t>
      </w:r>
      <w:r w:rsidR="00320810" w:rsidRPr="00387988">
        <w:rPr>
          <w:rFonts w:ascii="Book Antiqua" w:eastAsia="Book Antiqua" w:hAnsi="Book Antiqua" w:cs="Book Antiqua"/>
          <w:color w:val="000000"/>
        </w:rPr>
        <w:t>. </w:t>
      </w:r>
      <w:r w:rsidRPr="00387988">
        <w:rPr>
          <w:rFonts w:ascii="Book Antiqua" w:eastAsia="Book Antiqua" w:hAnsi="Book Antiqua" w:cs="Book Antiqua"/>
          <w:color w:val="000000"/>
        </w:rPr>
        <w:t xml:space="preserve">GL has various pharmacological actions, including anti-inflammatory, anti-viral, antioxidative, anti-liver cancer, immunomodulatory and cardioprotective activities.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is also known f</w:t>
      </w:r>
      <w:r w:rsidR="00B0698E" w:rsidRPr="00387988">
        <w:rPr>
          <w:rFonts w:ascii="Book Antiqua" w:eastAsia="Book Antiqua" w:hAnsi="Book Antiqua" w:cs="Book Antiqua"/>
          <w:color w:val="000000"/>
        </w:rPr>
        <w:t>or its hepatoprotective effects</w:t>
      </w:r>
      <w:r w:rsidRPr="00387988">
        <w:rPr>
          <w:rFonts w:ascii="Book Antiqua" w:eastAsia="Book Antiqua" w:hAnsi="Book Antiqua" w:cs="Book Antiqua"/>
          <w:color w:val="000000"/>
          <w:vertAlign w:val="superscript"/>
        </w:rPr>
        <w:t>[15]</w:t>
      </w:r>
      <w:r w:rsidRPr="00387988">
        <w:rPr>
          <w:rFonts w:ascii="Book Antiqua" w:eastAsia="Book Antiqua" w:hAnsi="Book Antiqua" w:cs="Book Antiqua"/>
          <w:color w:val="000000"/>
        </w:rPr>
        <w:t xml:space="preserve">. The different mechanisms of action of GL are not yet all known. However, GL has been described as an inhibitor of the </w:t>
      </w:r>
      <w:r w:rsidR="007865B2">
        <w:rPr>
          <w:rFonts w:ascii="Book Antiqua" w:eastAsia="Book Antiqua" w:hAnsi="Book Antiqua" w:cs="Book Antiqua"/>
          <w:color w:val="000000"/>
        </w:rPr>
        <w:t>h</w:t>
      </w:r>
      <w:r w:rsidRPr="00387988">
        <w:rPr>
          <w:rFonts w:ascii="Book Antiqua" w:eastAsia="Book Antiqua" w:hAnsi="Book Antiqua" w:cs="Book Antiqua"/>
          <w:color w:val="000000"/>
        </w:rPr>
        <w:t>i</w:t>
      </w:r>
      <w:r w:rsidR="00320810" w:rsidRPr="00387988">
        <w:rPr>
          <w:rFonts w:ascii="Book Antiqua" w:eastAsia="Book Antiqua" w:hAnsi="Book Antiqua" w:cs="Book Antiqua"/>
          <w:color w:val="000000"/>
        </w:rPr>
        <w:t xml:space="preserve">gh </w:t>
      </w:r>
      <w:r w:rsidR="007865B2">
        <w:rPr>
          <w:rFonts w:ascii="Book Antiqua" w:eastAsia="Book Antiqua" w:hAnsi="Book Antiqua" w:cs="Book Antiqua"/>
          <w:color w:val="000000"/>
        </w:rPr>
        <w:t>m</w:t>
      </w:r>
      <w:r w:rsidR="00320810" w:rsidRPr="00387988">
        <w:rPr>
          <w:rFonts w:ascii="Book Antiqua" w:eastAsia="Book Antiqua" w:hAnsi="Book Antiqua" w:cs="Book Antiqua"/>
          <w:color w:val="000000"/>
        </w:rPr>
        <w:t xml:space="preserve">obility </w:t>
      </w:r>
      <w:r w:rsidR="007865B2">
        <w:rPr>
          <w:rFonts w:ascii="Book Antiqua" w:eastAsia="Book Antiqua" w:hAnsi="Book Antiqua" w:cs="Book Antiqua"/>
          <w:color w:val="000000"/>
        </w:rPr>
        <w:t>g</w:t>
      </w:r>
      <w:r w:rsidR="00320810" w:rsidRPr="00387988">
        <w:rPr>
          <w:rFonts w:ascii="Book Antiqua" w:eastAsia="Book Antiqua" w:hAnsi="Book Antiqua" w:cs="Book Antiqua"/>
          <w:color w:val="000000"/>
        </w:rPr>
        <w:t xml:space="preserve">roup </w:t>
      </w:r>
      <w:r w:rsidR="007865B2">
        <w:rPr>
          <w:rFonts w:ascii="Book Antiqua" w:eastAsia="Book Antiqua" w:hAnsi="Book Antiqua" w:cs="Book Antiqua"/>
          <w:color w:val="000000"/>
        </w:rPr>
        <w:t>b</w:t>
      </w:r>
      <w:r w:rsidR="00320810" w:rsidRPr="00387988">
        <w:rPr>
          <w:rFonts w:ascii="Book Antiqua" w:eastAsia="Book Antiqua" w:hAnsi="Book Antiqua" w:cs="Book Antiqua"/>
          <w:color w:val="000000"/>
        </w:rPr>
        <w:t>ox</w:t>
      </w:r>
      <w:r w:rsidR="007865B2">
        <w:rPr>
          <w:rFonts w:ascii="Book Antiqua" w:eastAsia="Book Antiqua" w:hAnsi="Book Antiqua" w:cs="Book Antiqua"/>
          <w:color w:val="000000"/>
        </w:rPr>
        <w:t xml:space="preserve"> </w:t>
      </w:r>
      <w:r w:rsidR="00320810" w:rsidRPr="00387988">
        <w:rPr>
          <w:rFonts w:ascii="Book Antiqua" w:eastAsia="Book Antiqua" w:hAnsi="Book Antiqua" w:cs="Book Antiqua"/>
          <w:color w:val="000000"/>
        </w:rPr>
        <w:t>1 (HMGB1) </w:t>
      </w:r>
      <w:r w:rsidRPr="00387988">
        <w:rPr>
          <w:rFonts w:ascii="Book Antiqua" w:eastAsia="Book Antiqua" w:hAnsi="Book Antiqua" w:cs="Book Antiqua"/>
          <w:color w:val="000000"/>
        </w:rPr>
        <w:t>protein that binds directly to both HMGB boxes and i</w:t>
      </w:r>
      <w:r w:rsidR="00A42A3B" w:rsidRPr="00387988">
        <w:rPr>
          <w:rFonts w:ascii="Book Antiqua" w:eastAsia="Book Antiqua" w:hAnsi="Book Antiqua" w:cs="Book Antiqua"/>
          <w:color w:val="000000"/>
        </w:rPr>
        <w:t>nhibits its cytokine activities</w:t>
      </w:r>
      <w:r w:rsidRPr="00387988">
        <w:rPr>
          <w:rFonts w:ascii="Book Antiqua" w:eastAsia="Book Antiqua" w:hAnsi="Book Antiqua" w:cs="Book Antiqua"/>
          <w:color w:val="000000"/>
          <w:vertAlign w:val="superscript"/>
        </w:rPr>
        <w:t>[16]</w:t>
      </w:r>
      <w:r w:rsidRPr="00387988">
        <w:rPr>
          <w:rFonts w:ascii="Book Antiqua" w:eastAsia="Book Antiqua" w:hAnsi="Book Antiqua" w:cs="Book Antiqua"/>
          <w:color w:val="000000"/>
        </w:rPr>
        <w:t xml:space="preserve">. In our previous </w:t>
      </w:r>
      <w:r w:rsidRPr="00387988">
        <w:rPr>
          <w:rFonts w:ascii="Book Antiqua" w:eastAsia="Book Antiqua" w:hAnsi="Book Antiqua" w:cs="Book Antiqua"/>
          <w:i/>
          <w:color w:val="000000"/>
        </w:rPr>
        <w:t>in vitro</w:t>
      </w:r>
      <w:r w:rsidRPr="00387988">
        <w:rPr>
          <w:rFonts w:ascii="Book Antiqua" w:eastAsia="Book Antiqua" w:hAnsi="Book Antiqua" w:cs="Book Antiqua"/>
          <w:color w:val="000000"/>
        </w:rPr>
        <w:t xml:space="preserve"> experiments, we observed that APAP induced release of HMGB1 from damaged hepatocytes and we demonstrated the released HMGB1 contributed to the d</w:t>
      </w:r>
      <w:r w:rsidR="002A2E78" w:rsidRPr="00387988">
        <w:rPr>
          <w:rFonts w:ascii="Book Antiqua" w:eastAsia="Book Antiqua" w:hAnsi="Book Antiqua" w:cs="Book Antiqua"/>
          <w:color w:val="000000"/>
        </w:rPr>
        <w:t>eath of neighboring hepatocytes</w:t>
      </w:r>
      <w:r w:rsidRPr="00387988">
        <w:rPr>
          <w:rFonts w:ascii="Book Antiqua" w:eastAsia="Book Antiqua" w:hAnsi="Book Antiqua" w:cs="Book Antiqua"/>
          <w:color w:val="000000"/>
          <w:vertAlign w:val="superscript"/>
        </w:rPr>
        <w:t>[17]</w:t>
      </w:r>
      <w:r w:rsidRPr="00387988">
        <w:rPr>
          <w:rFonts w:ascii="Book Antiqua" w:eastAsia="Book Antiqua" w:hAnsi="Book Antiqua" w:cs="Book Antiqua"/>
          <w:color w:val="000000"/>
        </w:rPr>
        <w:t>.</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In the present study, we focused on the effects of GL, NAC, or co-administration of these two drugs in a murine model of APAP hepatotoxicity. The aim was to explore the efficacy of the combination of two drugs that act at different stages of the acetaminophen metabolism process and to evaluate the potential protective role of this combination in acute liver injury induced by APAP overdose.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MATERIALS AND METHODS</w:t>
      </w: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Animal model of APAP-induced liver injury and treatments.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Eight-week-old C57BL/6J wild-type female mice were obtained from The Jackson</w:t>
      </w:r>
      <w:r w:rsidR="002A2E78" w:rsidRPr="00387988">
        <w:rPr>
          <w:rFonts w:ascii="Book Antiqua" w:eastAsia="Book Antiqua" w:hAnsi="Book Antiqua" w:cs="Book Antiqua"/>
          <w:color w:val="000000"/>
        </w:rPr>
        <w:t xml:space="preserve"> Laboratory (Bar Harbor, ME, U</w:t>
      </w:r>
      <w:r w:rsidR="002A2E78" w:rsidRPr="00387988">
        <w:rPr>
          <w:rFonts w:ascii="Book Antiqua" w:hAnsi="Book Antiqua" w:cs="Book Antiqua"/>
          <w:color w:val="000000"/>
          <w:lang w:eastAsia="zh-CN"/>
        </w:rPr>
        <w:t>nited States</w:t>
      </w:r>
      <w:r w:rsidRPr="00387988">
        <w:rPr>
          <w:rFonts w:ascii="Book Antiqua" w:eastAsia="Book Antiqua" w:hAnsi="Book Antiqua" w:cs="Book Antiqua"/>
          <w:color w:val="000000"/>
        </w:rPr>
        <w:t xml:space="preserve">). Upon arrival, </w:t>
      </w:r>
      <w:r w:rsidR="007865B2">
        <w:rPr>
          <w:rFonts w:ascii="Book Antiqua" w:eastAsia="Book Antiqua" w:hAnsi="Book Antiqua" w:cs="Book Antiqua"/>
          <w:color w:val="000000"/>
        </w:rPr>
        <w:t xml:space="preserve">the </w:t>
      </w:r>
      <w:r w:rsidRPr="00387988">
        <w:rPr>
          <w:rFonts w:ascii="Book Antiqua" w:eastAsia="Book Antiqua" w:hAnsi="Book Antiqua" w:cs="Book Antiqua"/>
          <w:color w:val="000000"/>
        </w:rPr>
        <w:t>mice were acclimatized to laboratory conditions (21 °C, humidity 50%) for</w:t>
      </w:r>
      <w:r w:rsidR="002A2E78" w:rsidRPr="00387988">
        <w:rPr>
          <w:rFonts w:ascii="Book Antiqua" w:eastAsia="Book Antiqua" w:hAnsi="Book Antiqua" w:cs="Book Antiqua"/>
          <w:color w:val="000000"/>
        </w:rPr>
        <w:t xml:space="preserve"> 1 w</w:t>
      </w:r>
      <w:r w:rsidRPr="00387988">
        <w:rPr>
          <w:rFonts w:ascii="Book Antiqua" w:eastAsia="Book Antiqua" w:hAnsi="Book Antiqua" w:cs="Book Antiqua"/>
          <w:color w:val="000000"/>
        </w:rPr>
        <w:t xml:space="preserve">k prior to experimentation. Mice were maintained on 12-h light-dark cycle with free access to food and water in accordance with </w:t>
      </w:r>
      <w:r w:rsidRPr="00387988">
        <w:rPr>
          <w:rFonts w:ascii="Book Antiqua" w:eastAsia="Book Antiqua" w:hAnsi="Book Antiqua" w:cs="Book Antiqua"/>
          <w:iCs/>
          <w:color w:val="000000"/>
        </w:rPr>
        <w:t>the Guide for the Care and Use of Laboratory Animals</w:t>
      </w:r>
      <w:r w:rsidRPr="00387988">
        <w:rPr>
          <w:rFonts w:ascii="Book Antiqua" w:eastAsia="Book Antiqua" w:hAnsi="Book Antiqua" w:cs="Book Antiqua"/>
          <w:color w:val="000000"/>
        </w:rPr>
        <w:t xml:space="preserve">. Animal protocols were approved by the local Ethic </w:t>
      </w:r>
      <w:r w:rsidR="007865B2">
        <w:rPr>
          <w:rFonts w:ascii="Book Antiqua" w:eastAsia="Book Antiqua" w:hAnsi="Book Antiqua" w:cs="Book Antiqua"/>
          <w:color w:val="000000"/>
        </w:rPr>
        <w:t>C</w:t>
      </w:r>
      <w:r w:rsidRPr="00387988">
        <w:rPr>
          <w:rFonts w:ascii="Book Antiqua" w:eastAsia="Book Antiqua" w:hAnsi="Book Antiqua" w:cs="Book Antiqua"/>
          <w:color w:val="000000"/>
        </w:rPr>
        <w:t>ommittee of the Université Libre de Bruxelles (Protocol Identifiers: 488N).</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lastRenderedPageBreak/>
        <w:t>In all experiments, after 15</w:t>
      </w:r>
      <w:r w:rsidR="007865B2">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h fasting with free access to water, mice received an intraperitoneal injection of APAP at the dose of 500 mg/kg body weight. In some experiments,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(200 mg/kg),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(150 mg/kg) or phosphate-buffered saline, as vehicle, was administered to the animals at various times after APAP injection. Mice were </w:t>
      </w:r>
      <w:r w:rsidRPr="00387988">
        <w:rPr>
          <w:rStyle w:val="hps"/>
          <w:rFonts w:ascii="Book Antiqua" w:eastAsia="Book Antiqua" w:hAnsi="Book Antiqua" w:cs="Book Antiqua"/>
          <w:color w:val="000000"/>
        </w:rPr>
        <w:t>sacrificed</w:t>
      </w:r>
      <w:r w:rsidRPr="00387988">
        <w:rPr>
          <w:rStyle w:val="shorttext"/>
          <w:rFonts w:ascii="Book Antiqua" w:eastAsia="Book Antiqua" w:hAnsi="Book Antiqua" w:cs="Book Antiqua"/>
          <w:color w:val="000000"/>
        </w:rPr>
        <w:t xml:space="preserve"> at different time points</w:t>
      </w:r>
      <w:r w:rsidRPr="00387988">
        <w:rPr>
          <w:rFonts w:ascii="Book Antiqua" w:eastAsia="Book Antiqua" w:hAnsi="Book Antiqua" w:cs="Book Antiqua"/>
          <w:color w:val="000000"/>
        </w:rPr>
        <w:t xml:space="preserve"> after APAP challenge</w:t>
      </w:r>
      <w:r w:rsidRPr="00387988">
        <w:rPr>
          <w:rStyle w:val="hps"/>
          <w:rFonts w:ascii="Book Antiqua" w:eastAsia="Book Antiqua" w:hAnsi="Book Antiqua" w:cs="Book Antiqua"/>
          <w:color w:val="000000"/>
        </w:rPr>
        <w:t xml:space="preserve"> by cervical dislocation under anesthesia</w:t>
      </w:r>
      <w:r w:rsidRPr="00387988">
        <w:rPr>
          <w:rFonts w:ascii="Book Antiqua" w:eastAsia="Book Antiqua" w:hAnsi="Book Antiqua" w:cs="Book Antiqua"/>
          <w:color w:val="000000"/>
        </w:rPr>
        <w:t>; blood was collected, and the liver was removed. Blood</w:t>
      </w:r>
      <w:r w:rsidR="002A2E78" w:rsidRPr="00387988">
        <w:rPr>
          <w:rFonts w:ascii="Book Antiqua" w:eastAsia="Book Antiqua" w:hAnsi="Book Antiqua" w:cs="Book Antiqua"/>
          <w:color w:val="000000"/>
        </w:rPr>
        <w:t xml:space="preserve"> samples were centrifuged at 13</w:t>
      </w:r>
      <w:r w:rsidR="0063639C" w:rsidRPr="00387988">
        <w:rPr>
          <w:rFonts w:ascii="Book Antiqua" w:eastAsia="Book Antiqua" w:hAnsi="Book Antiqua" w:cs="Book Antiqua"/>
          <w:color w:val="000000"/>
        </w:rPr>
        <w:t xml:space="preserve">523 </w:t>
      </w:r>
      <w:r w:rsidR="0063639C"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 xml:space="preserve"> for 5 min and supernatant</w:t>
      </w:r>
      <w:r w:rsidR="007865B2">
        <w:rPr>
          <w:rFonts w:ascii="Book Antiqua" w:eastAsia="Book Antiqua" w:hAnsi="Book Antiqua" w:cs="Book Antiqua"/>
          <w:color w:val="000000"/>
        </w:rPr>
        <w:t>s</w:t>
      </w:r>
      <w:r w:rsidRPr="00387988">
        <w:rPr>
          <w:rFonts w:ascii="Book Antiqua" w:eastAsia="Book Antiqua" w:hAnsi="Book Antiqua" w:cs="Book Antiqua"/>
          <w:color w:val="000000"/>
        </w:rPr>
        <w:t xml:space="preserve"> were stored at -20 °C. Upon removal, the biggest lobe of each liver was fixed in </w:t>
      </w:r>
      <w:r w:rsidR="007865B2" w:rsidRPr="00387988">
        <w:rPr>
          <w:rFonts w:ascii="Book Antiqua" w:eastAsia="Book Antiqua" w:hAnsi="Book Antiqua" w:cs="Book Antiqua"/>
          <w:color w:val="000000"/>
        </w:rPr>
        <w:t>4%</w:t>
      </w:r>
      <w:r w:rsidR="007865B2">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formaldehyde and </w:t>
      </w:r>
      <w:r w:rsidR="007865B2">
        <w:rPr>
          <w:rFonts w:ascii="Book Antiqua" w:eastAsia="Book Antiqua" w:hAnsi="Book Antiqua" w:cs="Book Antiqua"/>
          <w:color w:val="000000"/>
        </w:rPr>
        <w:t>three</w:t>
      </w:r>
      <w:r w:rsidRPr="00387988">
        <w:rPr>
          <w:rFonts w:ascii="Book Antiqua" w:eastAsia="Book Antiqua" w:hAnsi="Book Antiqua" w:cs="Book Antiqua"/>
          <w:color w:val="000000"/>
        </w:rPr>
        <w:t xml:space="preserve"> other lobes were snap-frozen and stored at -80 °C for RNA isolation. For survival experiments, animals were followed for 172 h. Mice were euthanized when they became moribund per the criteria of lack of response to stimuli or lack of righting reflex. </w:t>
      </w:r>
    </w:p>
    <w:p w:rsidR="002A2E78" w:rsidRPr="00387988" w:rsidRDefault="002A2E78" w:rsidP="00387988">
      <w:pPr>
        <w:snapToGrid w:val="0"/>
        <w:spacing w:line="360" w:lineRule="auto"/>
        <w:jc w:val="both"/>
        <w:rPr>
          <w:rFonts w:ascii="Book Antiqua" w:hAnsi="Book Antiqua" w:cs="Book Antiqua"/>
          <w:b/>
          <w:bCs/>
          <w:i/>
          <w:iCs/>
          <w:color w:val="000000"/>
          <w:lang w:eastAsia="zh-CN"/>
        </w:rPr>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Assessment of hepatotoxicity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Liver injury was determined by measuring plasma levels of </w:t>
      </w:r>
      <w:bookmarkStart w:id="12" w:name="OLE_LINK23"/>
      <w:bookmarkStart w:id="13" w:name="OLE_LINK24"/>
      <w:r w:rsidRPr="00387988">
        <w:rPr>
          <w:rFonts w:ascii="Book Antiqua" w:eastAsia="Book Antiqua" w:hAnsi="Book Antiqua" w:cs="Book Antiqua"/>
          <w:color w:val="000000"/>
        </w:rPr>
        <w:t>alanine aminotransferase</w:t>
      </w:r>
      <w:bookmarkEnd w:id="12"/>
      <w:bookmarkEnd w:id="13"/>
      <w:r w:rsidRPr="00387988">
        <w:rPr>
          <w:rFonts w:ascii="Book Antiqua" w:eastAsia="Book Antiqua" w:hAnsi="Book Antiqua" w:cs="Book Antiqua"/>
          <w:color w:val="000000"/>
        </w:rPr>
        <w:t xml:space="preserve"> (ALT), </w:t>
      </w:r>
      <w:bookmarkStart w:id="14" w:name="OLE_LINK34"/>
      <w:bookmarkStart w:id="15" w:name="OLE_LINK35"/>
      <w:r w:rsidRPr="00387988">
        <w:rPr>
          <w:rFonts w:ascii="Book Antiqua" w:eastAsia="Book Antiqua" w:hAnsi="Book Antiqua" w:cs="Book Antiqua"/>
          <w:color w:val="000000"/>
        </w:rPr>
        <w:t>aspartate aminotransferase</w:t>
      </w:r>
      <w:bookmarkEnd w:id="14"/>
      <w:bookmarkEnd w:id="15"/>
      <w:r w:rsidRPr="00387988">
        <w:rPr>
          <w:rFonts w:ascii="Book Antiqua" w:eastAsia="Book Antiqua" w:hAnsi="Book Antiqua" w:cs="Book Antiqua"/>
          <w:color w:val="000000"/>
        </w:rPr>
        <w:t xml:space="preserve"> (AST) </w:t>
      </w:r>
      <w:r w:rsidR="00320810" w:rsidRPr="00387988">
        <w:rPr>
          <w:rFonts w:ascii="Book Antiqua" w:eastAsia="Book Antiqua" w:hAnsi="Book Antiqua" w:cs="Book Antiqua"/>
          <w:color w:val="000000"/>
        </w:rPr>
        <w:t xml:space="preserve">and </w:t>
      </w:r>
      <w:bookmarkStart w:id="16" w:name="OLE_LINK50"/>
      <w:bookmarkStart w:id="17" w:name="OLE_LINK51"/>
      <w:r w:rsidR="00320810" w:rsidRPr="00387988">
        <w:rPr>
          <w:rFonts w:ascii="Book Antiqua" w:eastAsia="Book Antiqua" w:hAnsi="Book Antiqua" w:cs="Book Antiqua"/>
          <w:color w:val="000000"/>
        </w:rPr>
        <w:t>lactate dehydrogenase</w:t>
      </w:r>
      <w:bookmarkEnd w:id="16"/>
      <w:bookmarkEnd w:id="17"/>
      <w:r w:rsidR="00320810" w:rsidRPr="00387988">
        <w:rPr>
          <w:rFonts w:ascii="Book Antiqua" w:eastAsia="Book Antiqua" w:hAnsi="Book Antiqua" w:cs="Book Antiqua"/>
          <w:color w:val="000000"/>
        </w:rPr>
        <w:t xml:space="preserve"> (LDH)</w:t>
      </w:r>
      <w:r w:rsidRPr="00387988">
        <w:rPr>
          <w:rFonts w:ascii="Book Antiqua" w:eastAsia="Book Antiqua" w:hAnsi="Book Antiqua" w:cs="Book Antiqua"/>
          <w:color w:val="000000"/>
        </w:rPr>
        <w:t xml:space="preserve"> but also by histological examination of </w:t>
      </w:r>
      <w:bookmarkStart w:id="18" w:name="OLE_LINK25"/>
      <w:bookmarkStart w:id="19" w:name="OLE_LINK26"/>
      <w:r w:rsidRPr="00387988">
        <w:rPr>
          <w:rFonts w:ascii="Book Antiqua" w:eastAsia="Book Antiqua" w:hAnsi="Book Antiqua" w:cs="Book Antiqua"/>
          <w:color w:val="000000"/>
        </w:rPr>
        <w:t>hematoxylin and eosin</w:t>
      </w:r>
      <w:bookmarkEnd w:id="18"/>
      <w:bookmarkEnd w:id="19"/>
      <w:r w:rsidRPr="00387988">
        <w:rPr>
          <w:rFonts w:ascii="Book Antiqua" w:eastAsia="Book Antiqua" w:hAnsi="Book Antiqua" w:cs="Book Antiqua"/>
          <w:color w:val="000000"/>
        </w:rPr>
        <w:t xml:space="preserve"> (H&amp;E)-stained tissues sections.</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ALT, AST and LDH measurements were performed using commercially available kits (Roche/Hitachi, Brussels, Belgium), based on methods recommended by the International Federation of Clinical Chemistry. Briefly, blood was collected by retroorbital puncture and</w:t>
      </w:r>
      <w:r w:rsidR="0063639C" w:rsidRPr="00387988">
        <w:rPr>
          <w:rFonts w:ascii="Book Antiqua" w:eastAsia="Book Antiqua" w:hAnsi="Book Antiqua" w:cs="Book Antiqua"/>
          <w:color w:val="000000"/>
        </w:rPr>
        <w:t xml:space="preserve"> centrifuged in </w:t>
      </w:r>
      <w:r w:rsidR="007865B2">
        <w:rPr>
          <w:rFonts w:ascii="Book Antiqua" w:eastAsia="Book Antiqua" w:hAnsi="Book Antiqua" w:cs="Book Antiqua"/>
          <w:color w:val="000000"/>
        </w:rPr>
        <w:t xml:space="preserve">a </w:t>
      </w:r>
      <w:r w:rsidR="0063639C" w:rsidRPr="00387988">
        <w:rPr>
          <w:rFonts w:ascii="Book Antiqua" w:eastAsia="Book Antiqua" w:hAnsi="Book Antiqua" w:cs="Book Antiqua"/>
          <w:color w:val="000000"/>
        </w:rPr>
        <w:t xml:space="preserve">cold room (13523 </w:t>
      </w:r>
      <w:r w:rsidR="0063639C" w:rsidRPr="00387988">
        <w:rPr>
          <w:rFonts w:eastAsia="Book Antiqua"/>
          <w:color w:val="000000"/>
        </w:rPr>
        <w:t>×</w:t>
      </w:r>
      <w:r w:rsidRPr="00387988">
        <w:rPr>
          <w:rFonts w:ascii="Book Antiqua" w:eastAsia="Book Antiqua" w:hAnsi="Book Antiqua" w:cs="Book Antiqua"/>
          <w:color w:val="000000"/>
        </w:rPr>
        <w:t xml:space="preserve"> g; 5 min) before stor</w:t>
      </w:r>
      <w:r w:rsidR="007865B2">
        <w:rPr>
          <w:rFonts w:ascii="Book Antiqua" w:eastAsia="Book Antiqua" w:hAnsi="Book Antiqua" w:cs="Book Antiqua"/>
          <w:color w:val="000000"/>
        </w:rPr>
        <w:t>age</w:t>
      </w:r>
      <w:r w:rsidRPr="00387988">
        <w:rPr>
          <w:rFonts w:ascii="Book Antiqua" w:eastAsia="Book Antiqua" w:hAnsi="Book Antiqua" w:cs="Book Antiqua"/>
          <w:color w:val="000000"/>
        </w:rPr>
        <w:t xml:space="preserve"> at -20 °C for 24 h</w:t>
      </w:r>
      <w:r w:rsidR="00320810" w:rsidRPr="00387988">
        <w:rPr>
          <w:rFonts w:ascii="Book Antiqua" w:eastAsia="Book Antiqua" w:hAnsi="Book Antiqua" w:cs="Book Antiqua"/>
          <w:color w:val="000000"/>
        </w:rPr>
        <w:t xml:space="preserve">. ALT </w:t>
      </w:r>
      <w:r w:rsidRPr="00387988">
        <w:rPr>
          <w:rFonts w:ascii="Book Antiqua" w:eastAsia="Book Antiqua" w:hAnsi="Book Antiqua" w:cs="Book Antiqua"/>
          <w:color w:val="000000"/>
        </w:rPr>
        <w:t xml:space="preserve">and AST concentrations were then measured in plasma samples at 37 °C using a photometric method based on the rate of decrease of NADH, which is directly proportional to the rate of pyruvate formation and therefore to the activity of ALT or AST. The latter, directly proportional to the quantity of ALT or AST present in the cells, is expressed in International Units per liter (IU/L). The reading of the kinetics </w:t>
      </w:r>
      <w:r w:rsidR="007865B2">
        <w:rPr>
          <w:rFonts w:ascii="Book Antiqua" w:eastAsia="Book Antiqua" w:hAnsi="Book Antiqua" w:cs="Book Antiqua"/>
          <w:color w:val="000000"/>
        </w:rPr>
        <w:t>was conducted</w:t>
      </w:r>
      <w:r w:rsidRPr="00387988">
        <w:rPr>
          <w:rFonts w:ascii="Book Antiqua" w:eastAsia="Book Antiqua" w:hAnsi="Book Antiqua" w:cs="Book Antiqua"/>
          <w:color w:val="000000"/>
        </w:rPr>
        <w:t xml:space="preserve"> during 4 min at 340 nm. LDH concentration was measured by </w:t>
      </w:r>
      <w:r w:rsidR="007865B2">
        <w:rPr>
          <w:rFonts w:ascii="Book Antiqua" w:eastAsia="Book Antiqua" w:hAnsi="Book Antiqua" w:cs="Book Antiqua"/>
          <w:color w:val="000000"/>
        </w:rPr>
        <w:t>ultraviolet</w:t>
      </w:r>
      <w:r w:rsidRPr="00387988">
        <w:rPr>
          <w:rFonts w:ascii="Book Antiqua" w:eastAsia="Book Antiqua" w:hAnsi="Book Antiqua" w:cs="Book Antiqua"/>
          <w:color w:val="000000"/>
        </w:rPr>
        <w:t xml:space="preserve"> assay. Briefly, lactate dehydrogenase catalyzes the conversion of lactate to pyruvate; NAD is reduced to NADH in the process. The initial rate of the NADH </w:t>
      </w:r>
      <w:r w:rsidRPr="00387988">
        <w:rPr>
          <w:rFonts w:ascii="Book Antiqua" w:eastAsia="Book Antiqua" w:hAnsi="Book Antiqua" w:cs="Book Antiqua"/>
          <w:color w:val="000000"/>
        </w:rPr>
        <w:lastRenderedPageBreak/>
        <w:t xml:space="preserve">formation is directly proportional to the catalytic LDH activity. It is determined by photometrically measuring the increase in absorbance. </w:t>
      </w:r>
    </w:p>
    <w:p w:rsidR="00A77B3E" w:rsidRPr="00387988" w:rsidRDefault="00107D11" w:rsidP="00387988">
      <w:pPr>
        <w:snapToGrid w:val="0"/>
        <w:spacing w:line="360" w:lineRule="auto"/>
        <w:ind w:firstLineChars="100" w:firstLine="240"/>
        <w:jc w:val="both"/>
        <w:rPr>
          <w:lang w:eastAsia="zh-CN"/>
        </w:rPr>
      </w:pPr>
      <w:r w:rsidRPr="00387988">
        <w:rPr>
          <w:rFonts w:ascii="Book Antiqua" w:eastAsia="Book Antiqua" w:hAnsi="Book Antiqua" w:cs="Book Antiqua"/>
          <w:color w:val="000000"/>
        </w:rPr>
        <w:t>Necrosis score was determined by histological examination of H&amp;E-stai</w:t>
      </w:r>
      <w:r w:rsidR="0028024D" w:rsidRPr="00387988">
        <w:rPr>
          <w:rFonts w:ascii="Book Antiqua" w:eastAsia="Book Antiqua" w:hAnsi="Book Antiqua" w:cs="Book Antiqua"/>
          <w:color w:val="000000"/>
        </w:rPr>
        <w:t>ned tissue sections. Briefly, </w:t>
      </w:r>
      <w:r w:rsidRPr="00387988">
        <w:rPr>
          <w:rFonts w:ascii="Book Antiqua" w:eastAsia="Book Antiqua" w:hAnsi="Book Antiqua" w:cs="Book Antiqua"/>
          <w:color w:val="000000"/>
        </w:rPr>
        <w:t>the large lobes of the liver, taken after each sacrifice, were fixed in a buffered isotonic solution of pH 7.4 of 4% formaldehyde for at least 24 h</w:t>
      </w:r>
      <w:r w:rsidR="00320810" w:rsidRPr="00387988">
        <w:rPr>
          <w:rFonts w:ascii="Book Antiqua" w:eastAsia="Book Antiqua" w:hAnsi="Book Antiqua" w:cs="Book Antiqua"/>
          <w:color w:val="000000"/>
        </w:rPr>
        <w:t>. </w:t>
      </w:r>
      <w:r w:rsidRPr="00387988">
        <w:rPr>
          <w:rFonts w:ascii="Book Antiqua" w:eastAsia="Book Antiqua" w:hAnsi="Book Antiqua" w:cs="Book Antiqua"/>
          <w:color w:val="000000"/>
        </w:rPr>
        <w:t xml:space="preserve">Then, they were cut in half widthwise and placed in cassettes which </w:t>
      </w:r>
      <w:r w:rsidR="007865B2">
        <w:rPr>
          <w:rFonts w:ascii="Book Antiqua" w:eastAsia="Book Antiqua" w:hAnsi="Book Antiqua" w:cs="Book Antiqua"/>
          <w:color w:val="000000"/>
        </w:rPr>
        <w:t>we</w:t>
      </w:r>
      <w:r w:rsidRPr="00387988">
        <w:rPr>
          <w:rFonts w:ascii="Book Antiqua" w:eastAsia="Book Antiqua" w:hAnsi="Book Antiqua" w:cs="Book Antiqua"/>
          <w:color w:val="000000"/>
        </w:rPr>
        <w:t>re plac</w:t>
      </w:r>
      <w:r w:rsidR="00320810" w:rsidRPr="00387988">
        <w:rPr>
          <w:rFonts w:ascii="Book Antiqua" w:eastAsia="Book Antiqua" w:hAnsi="Book Antiqua" w:cs="Book Antiqua"/>
          <w:color w:val="000000"/>
        </w:rPr>
        <w:t>ed directly into the formalin. </w:t>
      </w:r>
      <w:r w:rsidRPr="00387988">
        <w:rPr>
          <w:rFonts w:ascii="Book Antiqua" w:eastAsia="Book Antiqua" w:hAnsi="Book Antiqua" w:cs="Book Antiqua"/>
          <w:color w:val="000000"/>
        </w:rPr>
        <w:t xml:space="preserve">After that, pieces of liver were dehydrated by successive baths of isopropanol and toluene and impregnated with paraffin to form blocks. Sections 5 µm thick </w:t>
      </w:r>
      <w:r w:rsidR="007865B2">
        <w:rPr>
          <w:rFonts w:ascii="Book Antiqua" w:eastAsia="Book Antiqua" w:hAnsi="Book Antiqua" w:cs="Book Antiqua"/>
          <w:color w:val="000000"/>
        </w:rPr>
        <w:t>we</w:t>
      </w:r>
      <w:r w:rsidRPr="00387988">
        <w:rPr>
          <w:rFonts w:ascii="Book Antiqua" w:eastAsia="Book Antiqua" w:hAnsi="Book Antiqua" w:cs="Book Antiqua"/>
          <w:color w:val="000000"/>
        </w:rPr>
        <w:t xml:space="preserve">re made using the microtome and deposited on glass slides, which were then soaked in gelatinous water. Finally, slides were incubated for at least 30 min in an oven at 35-40 °C before being stained with </w:t>
      </w:r>
      <w:r w:rsidR="007865B2">
        <w:rPr>
          <w:rFonts w:ascii="Book Antiqua" w:eastAsia="Book Antiqua" w:hAnsi="Book Antiqua" w:cs="Book Antiqua"/>
          <w:color w:val="000000"/>
        </w:rPr>
        <w:t>H&amp;E</w:t>
      </w:r>
      <w:r w:rsidRPr="00387988">
        <w:rPr>
          <w:rFonts w:ascii="Book Antiqua" w:eastAsia="Book Antiqua" w:hAnsi="Book Antiqua" w:cs="Book Antiqua"/>
          <w:color w:val="000000"/>
        </w:rPr>
        <w:t xml:space="preserve"> to reveal the cell structures, respectively the nucleus and the cytoplasm.</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H&amp;E-stained slides obtained were then analyzed under an optical microscope in a blinded manner. Centrilobular necrosis following treatment with APAP was scored by a grading</w:t>
      </w:r>
      <w:r w:rsidR="00CE7671" w:rsidRPr="00387988">
        <w:rPr>
          <w:rFonts w:ascii="Book Antiqua" w:eastAsia="Book Antiqua" w:hAnsi="Book Antiqua" w:cs="Book Antiqua"/>
          <w:color w:val="000000"/>
        </w:rPr>
        <w:t xml:space="preserve"> system as described previously</w:t>
      </w:r>
      <w:r w:rsidRPr="00387988">
        <w:rPr>
          <w:rFonts w:ascii="Book Antiqua" w:eastAsia="Book Antiqua" w:hAnsi="Book Antiqua" w:cs="Book Antiqua"/>
          <w:color w:val="000000"/>
          <w:vertAlign w:val="superscript"/>
        </w:rPr>
        <w:t>[18]</w:t>
      </w:r>
      <w:r w:rsidRPr="00387988">
        <w:rPr>
          <w:rFonts w:ascii="Book Antiqua" w:eastAsia="Book Antiqua" w:hAnsi="Book Antiqua" w:cs="Book Antiqua"/>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Style w:val="maintext"/>
          <w:rFonts w:ascii="Book Antiqua" w:eastAsia="Book Antiqua" w:hAnsi="Book Antiqua" w:cs="Book Antiqua"/>
          <w:b/>
          <w:bCs/>
          <w:i/>
          <w:iCs/>
          <w:color w:val="000000"/>
        </w:rPr>
        <w:t xml:space="preserve">Assessment of hepatic </w:t>
      </w:r>
      <w:r w:rsidR="00C32CE4">
        <w:rPr>
          <w:rStyle w:val="maintext"/>
          <w:rFonts w:ascii="Book Antiqua" w:eastAsia="Book Antiqua" w:hAnsi="Book Antiqua" w:cs="Book Antiqua"/>
          <w:b/>
          <w:bCs/>
          <w:i/>
          <w:iCs/>
          <w:color w:val="000000"/>
        </w:rPr>
        <w:t>GSH</w:t>
      </w:r>
      <w:r w:rsidRPr="00387988">
        <w:rPr>
          <w:rStyle w:val="maintext"/>
          <w:rFonts w:ascii="Book Antiqua" w:eastAsia="Book Antiqua" w:hAnsi="Book Antiqua" w:cs="Book Antiqua"/>
          <w:b/>
          <w:bCs/>
          <w:i/>
          <w:iCs/>
          <w:color w:val="000000"/>
        </w:rPr>
        <w:t xml:space="preserve">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Assessment of hepatic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levels was performed using B</w:t>
      </w:r>
      <w:r w:rsidR="00C32CE4">
        <w:rPr>
          <w:rFonts w:ascii="Book Antiqua" w:eastAsia="Book Antiqua" w:hAnsi="Book Antiqua" w:cs="Book Antiqua"/>
          <w:color w:val="000000"/>
        </w:rPr>
        <w:t>ioxytech</w:t>
      </w:r>
      <w:r w:rsidRPr="00387988">
        <w:rPr>
          <w:rFonts w:ascii="Book Antiqua" w:eastAsia="Book Antiqua" w:hAnsi="Book Antiqua" w:cs="Book Antiqua"/>
          <w:color w:val="000000"/>
        </w:rPr>
        <w:t xml:space="preserve"> GSH-400 colorimetric assay kit and following the manufacturer’s protocol (OxisResearch</w:t>
      </w:r>
      <w:r w:rsidRPr="00387988">
        <w:rPr>
          <w:rFonts w:ascii="Book Antiqua" w:eastAsia="Book Antiqua" w:hAnsi="Book Antiqua" w:cs="Book Antiqua"/>
          <w:color w:val="000000"/>
          <w:vertAlign w:val="superscript"/>
        </w:rPr>
        <w:t>TM</w:t>
      </w:r>
      <w:r w:rsidR="0028024D" w:rsidRPr="00387988">
        <w:rPr>
          <w:rFonts w:ascii="Book Antiqua" w:eastAsia="Book Antiqua" w:hAnsi="Book Antiqua" w:cs="Book Antiqua"/>
          <w:color w:val="000000"/>
        </w:rPr>
        <w:t>,</w:t>
      </w:r>
      <w:r w:rsidR="00C32CE4">
        <w:rPr>
          <w:rFonts w:ascii="Book Antiqua" w:eastAsia="Book Antiqua" w:hAnsi="Book Antiqua" w:cs="Book Antiqua"/>
          <w:color w:val="000000"/>
        </w:rPr>
        <w:t xml:space="preserve"> Foster City, CA, </w:t>
      </w:r>
      <w:r w:rsidR="0028024D" w:rsidRPr="00387988">
        <w:rPr>
          <w:rFonts w:ascii="Book Antiqua" w:eastAsia="Book Antiqua" w:hAnsi="Book Antiqua" w:cs="Book Antiqua"/>
          <w:color w:val="000000"/>
        </w:rPr>
        <w:t>U</w:t>
      </w:r>
      <w:r w:rsidR="0028024D" w:rsidRPr="00387988">
        <w:rPr>
          <w:rFonts w:ascii="Book Antiqua" w:hAnsi="Book Antiqua" w:cs="Book Antiqua"/>
          <w:color w:val="000000"/>
          <w:lang w:eastAsia="zh-CN"/>
        </w:rPr>
        <w:t>nited States</w:t>
      </w:r>
      <w:r w:rsidRPr="00387988">
        <w:rPr>
          <w:rFonts w:ascii="Book Antiqua" w:eastAsia="Book Antiqua" w:hAnsi="Book Antiqua" w:cs="Book Antiqua"/>
          <w:color w:val="000000"/>
        </w:rPr>
        <w:t>). Briefly, the lobe</w:t>
      </w:r>
      <w:r w:rsidR="0028024D" w:rsidRPr="00387988">
        <w:rPr>
          <w:rFonts w:ascii="Book Antiqua" w:eastAsia="Book Antiqua" w:hAnsi="Book Antiqua" w:cs="Book Antiqua"/>
          <w:color w:val="000000"/>
        </w:rPr>
        <w:t xml:space="preserve"> of the liver was washed with 0</w:t>
      </w:r>
      <w:r w:rsidR="0028024D" w:rsidRPr="00387988">
        <w:rPr>
          <w:rFonts w:ascii="Book Antiqua" w:hAnsi="Book Antiqua" w:cs="Book Antiqua"/>
          <w:color w:val="000000"/>
          <w:lang w:eastAsia="zh-CN"/>
        </w:rPr>
        <w:t>.</w:t>
      </w:r>
      <w:r w:rsidRPr="00387988">
        <w:rPr>
          <w:rFonts w:ascii="Book Antiqua" w:eastAsia="Book Antiqua" w:hAnsi="Book Antiqua" w:cs="Book Antiqua"/>
          <w:color w:val="000000"/>
        </w:rPr>
        <w:t>9% NaCl before being</w:t>
      </w:r>
      <w:r w:rsidR="00320810" w:rsidRPr="00387988">
        <w:rPr>
          <w:rFonts w:ascii="Book Antiqua" w:eastAsia="Book Antiqua" w:hAnsi="Book Antiqua" w:cs="Book Antiqua"/>
          <w:color w:val="000000"/>
        </w:rPr>
        <w:t xml:space="preserve"> blotted on paper and weighed. </w:t>
      </w:r>
      <w:r w:rsidRPr="00387988">
        <w:rPr>
          <w:rFonts w:ascii="Book Antiqua" w:eastAsia="Book Antiqua" w:hAnsi="Book Antiqua" w:cs="Book Antiqua"/>
          <w:color w:val="000000"/>
        </w:rPr>
        <w:t xml:space="preserve">Then, tissue </w:t>
      </w:r>
      <w:r w:rsidR="00320810" w:rsidRPr="00387988">
        <w:rPr>
          <w:rFonts w:ascii="Book Antiqua" w:eastAsia="Book Antiqua" w:hAnsi="Book Antiqua" w:cs="Book Antiqua"/>
          <w:color w:val="000000"/>
        </w:rPr>
        <w:t>was homogenized in 5% ice cold </w:t>
      </w:r>
      <w:r w:rsidRPr="00387988">
        <w:rPr>
          <w:rFonts w:ascii="Book Antiqua" w:eastAsia="Book Antiqua" w:hAnsi="Book Antiqua" w:cs="Book Antiqua"/>
          <w:color w:val="000000"/>
        </w:rPr>
        <w:t>metaphosphoric acid and centrifuged at 3000</w:t>
      </w:r>
      <w:r w:rsidR="0028024D" w:rsidRPr="00387988">
        <w:rPr>
          <w:rFonts w:ascii="Book Antiqua" w:eastAsia="Book Antiqua" w:hAnsi="Book Antiqua" w:cs="Book Antiqua"/>
          <w:color w:val="000000"/>
        </w:rPr>
        <w:t xml:space="preserve"> </w:t>
      </w:r>
      <w:r w:rsidR="0028024D"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 xml:space="preserve"> for 10 min at 4 °C. Finally, the clear upper aqueous layer was collected for the assay. The enzyme concentration obtained is expressed as nmol of enzyme per milligram of protein using bovine serum as a standard. The protein concentration was evaluated in liver homogenates using Quick Start Brad</w:t>
      </w:r>
      <w:r w:rsidR="0028024D" w:rsidRPr="00387988">
        <w:rPr>
          <w:rFonts w:ascii="Book Antiqua" w:eastAsia="Book Antiqua" w:hAnsi="Book Antiqua" w:cs="Book Antiqua"/>
          <w:color w:val="000000"/>
        </w:rPr>
        <w:t xml:space="preserve">ford Protein Assay (Bio-Rad, </w:t>
      </w:r>
      <w:r w:rsidR="00C32CE4">
        <w:rPr>
          <w:rFonts w:ascii="Book Antiqua" w:eastAsia="Book Antiqua" w:hAnsi="Book Antiqua" w:cs="Book Antiqua"/>
          <w:color w:val="000000"/>
        </w:rPr>
        <w:t xml:space="preserve">Hercules, CA, </w:t>
      </w:r>
      <w:r w:rsidR="0028024D" w:rsidRPr="00387988">
        <w:rPr>
          <w:rFonts w:ascii="Book Antiqua" w:eastAsia="Book Antiqua" w:hAnsi="Book Antiqua" w:cs="Book Antiqua"/>
          <w:color w:val="000000"/>
        </w:rPr>
        <w:t>U</w:t>
      </w:r>
      <w:r w:rsidR="0028024D" w:rsidRPr="00387988">
        <w:rPr>
          <w:rFonts w:ascii="Book Antiqua" w:hAnsi="Book Antiqua" w:cs="Book Antiqua"/>
          <w:color w:val="000000"/>
          <w:lang w:eastAsia="zh-CN"/>
        </w:rPr>
        <w:t>nited States</w:t>
      </w:r>
      <w:r w:rsidRPr="00387988">
        <w:rPr>
          <w:rFonts w:ascii="Book Antiqua" w:eastAsia="Book Antiqua" w:hAnsi="Book Antiqua" w:cs="Book Antiqua"/>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Assessment of ratio GSH/</w:t>
      </w:r>
      <w:r w:rsidR="00E66AEA">
        <w:rPr>
          <w:rFonts w:ascii="Book Antiqua" w:eastAsia="Book Antiqua" w:hAnsi="Book Antiqua" w:cs="Book Antiqua"/>
          <w:b/>
          <w:bCs/>
          <w:i/>
          <w:iCs/>
          <w:color w:val="000000"/>
        </w:rPr>
        <w:t>the oxidized state (</w:t>
      </w:r>
      <w:r w:rsidRPr="00387988">
        <w:rPr>
          <w:rFonts w:ascii="Book Antiqua" w:eastAsia="Book Antiqua" w:hAnsi="Book Antiqua" w:cs="Book Antiqua"/>
          <w:b/>
          <w:bCs/>
          <w:i/>
          <w:iCs/>
          <w:color w:val="000000"/>
        </w:rPr>
        <w:t>GSSG</w:t>
      </w:r>
      <w:r w:rsidR="00E66AEA">
        <w:rPr>
          <w:rFonts w:ascii="Book Antiqua" w:eastAsia="Book Antiqua" w:hAnsi="Book Antiqua" w:cs="Book Antiqua"/>
          <w:b/>
          <w:bCs/>
          <w:i/>
          <w:iCs/>
          <w:color w:val="000000"/>
        </w:rPr>
        <w:t>)</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 xml:space="preserve">Assessment of </w:t>
      </w:r>
      <w:r w:rsidR="00C32CE4">
        <w:rPr>
          <w:rFonts w:ascii="Book Antiqua" w:eastAsia="Book Antiqua" w:hAnsi="Book Antiqua" w:cs="Book Antiqua"/>
          <w:color w:val="000000"/>
        </w:rPr>
        <w:t>the</w:t>
      </w:r>
      <w:r w:rsidR="00C32CE4"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GSH/GSSG </w:t>
      </w:r>
      <w:r w:rsidR="00C32CE4">
        <w:rPr>
          <w:rFonts w:ascii="Book Antiqua" w:eastAsia="Book Antiqua" w:hAnsi="Book Antiqua" w:cs="Book Antiqua"/>
          <w:color w:val="000000"/>
        </w:rPr>
        <w:t xml:space="preserve">ratio </w:t>
      </w:r>
      <w:r w:rsidRPr="00387988">
        <w:rPr>
          <w:rFonts w:ascii="Book Antiqua" w:eastAsia="Book Antiqua" w:hAnsi="Book Antiqua" w:cs="Book Antiqua"/>
          <w:color w:val="000000"/>
        </w:rPr>
        <w:t>was performed using</w:t>
      </w:r>
      <w:r w:rsidRPr="00387988">
        <w:rPr>
          <w:rFonts w:ascii="Book Antiqua" w:eastAsia="Book Antiqua" w:hAnsi="Book Antiqua" w:cs="Book Antiqua"/>
          <w:b/>
          <w:bCs/>
          <w:i/>
          <w:iCs/>
          <w:color w:val="000000"/>
        </w:rPr>
        <w:t xml:space="preserve"> </w:t>
      </w:r>
      <w:r w:rsidRPr="00387988">
        <w:rPr>
          <w:rFonts w:ascii="Book Antiqua" w:eastAsia="Book Antiqua" w:hAnsi="Book Antiqua" w:cs="Book Antiqua"/>
          <w:iCs/>
          <w:color w:val="000000"/>
        </w:rPr>
        <w:t>GSH/GSSG Ratio Detection As</w:t>
      </w:r>
      <w:r w:rsidR="0028024D" w:rsidRPr="00387988">
        <w:rPr>
          <w:rFonts w:ascii="Book Antiqua" w:eastAsia="Book Antiqua" w:hAnsi="Book Antiqua" w:cs="Book Antiqua"/>
          <w:iCs/>
          <w:color w:val="000000"/>
        </w:rPr>
        <w:t xml:space="preserve">say Kit (Fluorometric - Green) </w:t>
      </w:r>
      <w:r w:rsidRPr="00387988">
        <w:rPr>
          <w:rFonts w:ascii="Book Antiqua" w:eastAsia="Book Antiqua" w:hAnsi="Book Antiqua" w:cs="Book Antiqua"/>
          <w:color w:val="000000"/>
        </w:rPr>
        <w:t xml:space="preserve">and following the manufacturer’s protocol (Abcam, Cambridge, </w:t>
      </w:r>
      <w:r w:rsidR="005A43E2">
        <w:rPr>
          <w:rFonts w:ascii="Book Antiqua" w:eastAsia="Book Antiqua" w:hAnsi="Book Antiqua" w:cs="Book Antiqua"/>
          <w:color w:val="000000"/>
        </w:rPr>
        <w:t>United Kingdom</w:t>
      </w:r>
      <w:r w:rsidRPr="00387988">
        <w:rPr>
          <w:rFonts w:ascii="Book Antiqua" w:eastAsia="Book Antiqua" w:hAnsi="Book Antiqua" w:cs="Book Antiqua"/>
          <w:color w:val="000000"/>
        </w:rPr>
        <w:t>). Briefly, t</w:t>
      </w:r>
      <w:r w:rsidR="003A6AC9" w:rsidRPr="00387988">
        <w:rPr>
          <w:rFonts w:ascii="Book Antiqua" w:eastAsia="Book Antiqua" w:hAnsi="Book Antiqua" w:cs="Book Antiqua"/>
          <w:color w:val="000000"/>
        </w:rPr>
        <w:t>he liver lobe was washed with 0</w:t>
      </w:r>
      <w:r w:rsidR="003A6AC9" w:rsidRPr="00387988">
        <w:rPr>
          <w:rFonts w:ascii="Book Antiqua" w:hAnsi="Book Antiqua" w:cs="Book Antiqua"/>
          <w:color w:val="000000"/>
          <w:lang w:eastAsia="zh-CN"/>
        </w:rPr>
        <w:t>.</w:t>
      </w:r>
      <w:r w:rsidRPr="00387988">
        <w:rPr>
          <w:rFonts w:ascii="Book Antiqua" w:eastAsia="Book Antiqua" w:hAnsi="Book Antiqua" w:cs="Book Antiqua"/>
          <w:color w:val="000000"/>
        </w:rPr>
        <w:t>9% NaCl before being blotted on paper and weighed (20</w:t>
      </w:r>
      <w:r w:rsidR="003A6AC9"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mg of tissue was required by the protocol). Then,</w:t>
      </w:r>
      <w:r w:rsidR="00320810" w:rsidRPr="00387988">
        <w:rPr>
          <w:rFonts w:ascii="Book Antiqua" w:eastAsia="Book Antiqua" w:hAnsi="Book Antiqua" w:cs="Book Antiqua"/>
          <w:color w:val="000000"/>
        </w:rPr>
        <w:t xml:space="preserve"> </w:t>
      </w:r>
      <w:r w:rsidR="005A43E2">
        <w:rPr>
          <w:rFonts w:ascii="Book Antiqua" w:eastAsia="Book Antiqua" w:hAnsi="Book Antiqua" w:cs="Book Antiqua"/>
          <w:color w:val="000000"/>
        </w:rPr>
        <w:t xml:space="preserve">the </w:t>
      </w:r>
      <w:r w:rsidRPr="00387988">
        <w:rPr>
          <w:rFonts w:ascii="Book Antiqua" w:eastAsia="Book Antiqua" w:hAnsi="Book Antiqua" w:cs="Book Antiqua"/>
          <w:color w:val="000000"/>
        </w:rPr>
        <w:t>tissue was homogenized in 5% ice cold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metaphosphoric acid and centrifuged at </w:t>
      </w:r>
      <w:r w:rsidR="003A6AC9" w:rsidRPr="00387988">
        <w:rPr>
          <w:rFonts w:ascii="Book Antiqua" w:eastAsia="Book Antiqua" w:hAnsi="Book Antiqua" w:cs="Book Antiqua"/>
          <w:color w:val="000000"/>
        </w:rPr>
        <w:t xml:space="preserve">14000 </w:t>
      </w:r>
      <w:r w:rsidR="003A6AC9"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 xml:space="preserve"> for 10 min at 4 °C. The clear upper aqueous layer was collected and sample deproteinization was performed using trichloroacetic acid and sodium bicarbonate. After this step, thiol green indicator reaction mix was added to the deproteinized samples and the fluorescence measurement was performed (Ex/Em</w:t>
      </w:r>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 490/520</w:t>
      </w:r>
      <w:r w:rsidR="003A6AC9"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nm). In two separate assay reactions, GSH (reduced) was measured directly with a GSH standard and total GSH (GSH</w:t>
      </w:r>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w:t>
      </w:r>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GSSG) was measured by using a GSSG standard.</w:t>
      </w:r>
    </w:p>
    <w:p w:rsidR="00A77B3E" w:rsidRPr="00387988" w:rsidRDefault="00A77B3E" w:rsidP="00387988">
      <w:pPr>
        <w:snapToGrid w:val="0"/>
        <w:spacing w:line="360" w:lineRule="auto"/>
        <w:jc w:val="both"/>
      </w:pPr>
    </w:p>
    <w:p w:rsidR="003A6AC9" w:rsidRPr="00387988" w:rsidRDefault="00107D11" w:rsidP="00387988">
      <w:pPr>
        <w:snapToGrid w:val="0"/>
        <w:spacing w:line="360" w:lineRule="auto"/>
        <w:jc w:val="both"/>
        <w:rPr>
          <w:rFonts w:ascii="Book Antiqua" w:hAnsi="Book Antiqua" w:cs="Book Antiqua"/>
          <w:b/>
          <w:bCs/>
          <w:i/>
          <w:iCs/>
          <w:color w:val="000000"/>
          <w:lang w:eastAsia="zh-CN"/>
        </w:rPr>
      </w:pPr>
      <w:r w:rsidRPr="00387988">
        <w:rPr>
          <w:rFonts w:ascii="Book Antiqua" w:eastAsia="Book Antiqua" w:hAnsi="Book Antiqua" w:cs="Book Antiqua"/>
          <w:b/>
          <w:bCs/>
          <w:i/>
          <w:iCs/>
          <w:color w:val="000000"/>
        </w:rPr>
        <w:t>Enzyme-</w:t>
      </w:r>
      <w:r w:rsidR="005A43E2">
        <w:rPr>
          <w:rFonts w:ascii="Book Antiqua" w:eastAsia="Book Antiqua" w:hAnsi="Book Antiqua" w:cs="Book Antiqua"/>
          <w:b/>
          <w:bCs/>
          <w:i/>
          <w:iCs/>
          <w:color w:val="000000"/>
        </w:rPr>
        <w:t>l</w:t>
      </w:r>
      <w:r w:rsidRPr="00387988">
        <w:rPr>
          <w:rFonts w:ascii="Book Antiqua" w:eastAsia="Book Antiqua" w:hAnsi="Book Antiqua" w:cs="Book Antiqua"/>
          <w:b/>
          <w:bCs/>
          <w:i/>
          <w:iCs/>
          <w:color w:val="000000"/>
        </w:rPr>
        <w:t xml:space="preserve">inked </w:t>
      </w:r>
      <w:r w:rsidR="005A43E2">
        <w:rPr>
          <w:rFonts w:ascii="Book Antiqua" w:eastAsia="Book Antiqua" w:hAnsi="Book Antiqua" w:cs="Book Antiqua"/>
          <w:b/>
          <w:bCs/>
          <w:i/>
          <w:iCs/>
          <w:color w:val="000000"/>
        </w:rPr>
        <w:t>i</w:t>
      </w:r>
      <w:r w:rsidRPr="00387988">
        <w:rPr>
          <w:rFonts w:ascii="Book Antiqua" w:eastAsia="Book Antiqua" w:hAnsi="Book Antiqua" w:cs="Book Antiqua"/>
          <w:b/>
          <w:bCs/>
          <w:i/>
          <w:iCs/>
          <w:color w:val="000000"/>
        </w:rPr>
        <w:t>mmuno</w:t>
      </w:r>
      <w:r w:rsidR="005A43E2">
        <w:rPr>
          <w:rFonts w:ascii="Book Antiqua" w:eastAsia="Book Antiqua" w:hAnsi="Book Antiqua" w:cs="Book Antiqua"/>
          <w:b/>
          <w:bCs/>
          <w:i/>
          <w:iCs/>
          <w:color w:val="000000"/>
        </w:rPr>
        <w:t>s</w:t>
      </w:r>
      <w:r w:rsidRPr="00387988">
        <w:rPr>
          <w:rFonts w:ascii="Book Antiqua" w:eastAsia="Book Antiqua" w:hAnsi="Book Antiqua" w:cs="Book Antiqua"/>
          <w:b/>
          <w:bCs/>
          <w:i/>
          <w:iCs/>
          <w:color w:val="000000"/>
        </w:rPr>
        <w:t xml:space="preserve">orbent </w:t>
      </w:r>
      <w:r w:rsidR="005A43E2">
        <w:rPr>
          <w:rFonts w:ascii="Book Antiqua" w:eastAsia="Book Antiqua" w:hAnsi="Book Antiqua" w:cs="Book Antiqua"/>
          <w:b/>
          <w:bCs/>
          <w:i/>
          <w:iCs/>
          <w:color w:val="000000"/>
        </w:rPr>
        <w:t>a</w:t>
      </w:r>
      <w:r w:rsidRPr="00387988">
        <w:rPr>
          <w:rFonts w:ascii="Book Antiqua" w:eastAsia="Book Antiqua" w:hAnsi="Book Antiqua" w:cs="Book Antiqua"/>
          <w:b/>
          <w:bCs/>
          <w:i/>
          <w:iCs/>
          <w:color w:val="000000"/>
        </w:rPr>
        <w:t xml:space="preserve">ssay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HMGB1 concentrations in the plasma of mice were measured by a sandwich-enzyme immunoassay (IBL International GmbH, Hamburg, Germany) following the manufacturer’s protocol. Briefly, </w:t>
      </w:r>
      <w:r w:rsidR="005A43E2">
        <w:rPr>
          <w:rFonts w:ascii="Book Antiqua" w:eastAsia="Book Antiqua" w:hAnsi="Book Antiqua" w:cs="Book Antiqua"/>
          <w:color w:val="000000"/>
        </w:rPr>
        <w:t xml:space="preserve">with </w:t>
      </w:r>
      <w:r w:rsidRPr="00387988">
        <w:rPr>
          <w:rFonts w:ascii="Book Antiqua" w:eastAsia="Book Antiqua" w:hAnsi="Book Antiqua" w:cs="Book Antiqua"/>
          <w:color w:val="000000"/>
        </w:rPr>
        <w:t>the wells of the plate being coated with purified anti-HMGB1 antibody, the protein of interest binds specifically to the immobilized antibody during the first incubation (24 h, 37 °C). After the washing step to remove all unbound components of the starting sample, a second peroxidase-labelled antibody was distributed to the wells. After</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incubation (2 h, room temperature), the enzyme substrate (solution containing TMB and buffer with 0.005 M hydrogen peroxide) was added. The enzyme reaction took place for 30</w:t>
      </w:r>
      <w:r w:rsidR="00E018FE"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min and was stopped by</w:t>
      </w:r>
      <w:r w:rsidR="005A43E2">
        <w:rPr>
          <w:rFonts w:ascii="Book Antiqua" w:eastAsia="Book Antiqua" w:hAnsi="Book Antiqua" w:cs="Book Antiqua"/>
          <w:color w:val="000000"/>
        </w:rPr>
        <w:t xml:space="preserve"> addition of</w:t>
      </w:r>
      <w:r w:rsidRPr="00387988">
        <w:rPr>
          <w:rFonts w:ascii="Book Antiqua" w:eastAsia="Book Antiqua" w:hAnsi="Book Antiqua" w:cs="Book Antiqua"/>
          <w:color w:val="000000"/>
        </w:rPr>
        <w:t xml:space="preserve"> a 0.35</w:t>
      </w:r>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M hydrogen sulfate solution. The intensity of the light produced, directly proportional to the amount of HMGB1 present in our sample, was measured using a spectrophotometer (Multiskan Ascent) at a wavelength of 450</w:t>
      </w:r>
      <w:r w:rsidR="005A43E2">
        <w:rPr>
          <w:rFonts w:ascii="Book Antiqua" w:eastAsia="Book Antiqua" w:hAnsi="Book Antiqua" w:cs="Book Antiqua"/>
          <w:color w:val="000000"/>
        </w:rPr>
        <w:t xml:space="preserve"> </w:t>
      </w:r>
      <w:r w:rsidRPr="00387988">
        <w:rPr>
          <w:rFonts w:ascii="Book Antiqua" w:eastAsia="Book Antiqua" w:hAnsi="Book Antiqua" w:cs="Book Antiqua"/>
          <w:color w:val="000000"/>
        </w:rPr>
        <w:t>nm. Concentratio</w:t>
      </w:r>
      <w:r w:rsidR="00E018FE" w:rsidRPr="00387988">
        <w:rPr>
          <w:rFonts w:ascii="Book Antiqua" w:eastAsia="Book Antiqua" w:hAnsi="Book Antiqua" w:cs="Book Antiqua"/>
          <w:color w:val="000000"/>
        </w:rPr>
        <w:t>n of HMGB1 is expressed as ng/m</w:t>
      </w:r>
      <w:r w:rsidR="00E018FE" w:rsidRPr="00387988">
        <w:rPr>
          <w:rFonts w:ascii="Book Antiqua" w:hAnsi="Book Antiqua" w:cs="Book Antiqua"/>
          <w:color w:val="000000"/>
          <w:lang w:eastAsia="zh-CN"/>
        </w:rPr>
        <w:t>L</w:t>
      </w:r>
      <w:r w:rsidRPr="00387988">
        <w:rPr>
          <w:rFonts w:ascii="Book Antiqua" w:eastAsia="Book Antiqua" w:hAnsi="Book Antiqua" w:cs="Book Antiqua"/>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Immu</w:t>
      </w:r>
      <w:r w:rsidR="00441D22">
        <w:rPr>
          <w:rFonts w:ascii="Book Antiqua" w:eastAsia="Book Antiqua" w:hAnsi="Book Antiqua" w:cs="Book Antiqua"/>
          <w:b/>
          <w:bCs/>
          <w:i/>
          <w:iCs/>
          <w:color w:val="000000"/>
        </w:rPr>
        <w:t>no</w:t>
      </w:r>
      <w:r w:rsidRPr="00387988">
        <w:rPr>
          <w:rFonts w:ascii="Book Antiqua" w:eastAsia="Book Antiqua" w:hAnsi="Book Antiqua" w:cs="Book Antiqua"/>
          <w:b/>
          <w:bCs/>
          <w:i/>
          <w:iCs/>
          <w:color w:val="000000"/>
        </w:rPr>
        <w:t>histochemical staining of HMGB1 in the liver</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Serial sections (5 µm thickness) of formalin-fixed and paraffin-embedded live</w:t>
      </w:r>
      <w:r w:rsidR="00E018FE" w:rsidRPr="00387988">
        <w:rPr>
          <w:rFonts w:ascii="Book Antiqua" w:eastAsia="Book Antiqua" w:hAnsi="Book Antiqua" w:cs="Book Antiqua"/>
          <w:color w:val="000000"/>
        </w:rPr>
        <w:t xml:space="preserve">r were immunostained for HMGB1 </w:t>
      </w:r>
      <w:r w:rsidR="00E018FE" w:rsidRPr="00387988">
        <w:rPr>
          <w:rFonts w:ascii="Book Antiqua" w:hAnsi="Book Antiqua" w:cs="Book Antiqua"/>
          <w:color w:val="000000"/>
          <w:lang w:eastAsia="zh-CN"/>
        </w:rPr>
        <w:t>(</w:t>
      </w:r>
      <w:r w:rsidR="00E018FE" w:rsidRPr="00387988">
        <w:rPr>
          <w:rFonts w:ascii="Book Antiqua" w:eastAsia="Book Antiqua" w:hAnsi="Book Antiqua" w:cs="Book Antiqua"/>
          <w:color w:val="000000"/>
        </w:rPr>
        <w:t>1:1000</w:t>
      </w:r>
      <w:r w:rsidR="00E018FE" w:rsidRPr="00387988">
        <w:rPr>
          <w:rFonts w:ascii="Book Antiqua" w:hAnsi="Book Antiqua" w:cs="Book Antiqua"/>
          <w:color w:val="000000"/>
          <w:lang w:eastAsia="zh-CN"/>
        </w:rPr>
        <w:t>)</w:t>
      </w:r>
      <w:r w:rsidRPr="00387988">
        <w:rPr>
          <w:rFonts w:ascii="Book Antiqua" w:eastAsia="Book Antiqua" w:hAnsi="Book Antiqua" w:cs="Book Antiqua"/>
          <w:color w:val="000000"/>
        </w:rPr>
        <w:t xml:space="preserve"> by indirect immuno-peroxidase method using Discovery Ventana (Roche Diagnostics GmbH, Mannheim, Germany).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rPr>
          <w:i/>
        </w:rPr>
      </w:pPr>
      <w:r w:rsidRPr="00387988">
        <w:rPr>
          <w:rFonts w:ascii="Book Antiqua" w:eastAsia="Book Antiqua" w:hAnsi="Book Antiqua" w:cs="Book Antiqua"/>
          <w:b/>
          <w:bCs/>
          <w:i/>
          <w:color w:val="000000"/>
        </w:rPr>
        <w:t>Quantification of HMGB1 in the liver</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Immunohistochemical expression of nuclear HMGB1 was quantifi</w:t>
      </w:r>
      <w:r w:rsidR="00E018FE" w:rsidRPr="00387988">
        <w:rPr>
          <w:rFonts w:ascii="Book Antiqua" w:eastAsia="Book Antiqua" w:hAnsi="Book Antiqua" w:cs="Book Antiqua"/>
          <w:color w:val="000000"/>
        </w:rPr>
        <w:t>ed as previously described</w:t>
      </w:r>
      <w:r w:rsidR="00E018FE" w:rsidRPr="00387988">
        <w:rPr>
          <w:rFonts w:ascii="Book Antiqua" w:eastAsia="Book Antiqua" w:hAnsi="Book Antiqua" w:cs="Book Antiqua"/>
          <w:color w:val="000000"/>
          <w:vertAlign w:val="superscript"/>
        </w:rPr>
        <w:t>[19</w:t>
      </w:r>
      <w:r w:rsidR="00E018FE"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20]</w:t>
      </w:r>
      <w:r w:rsidRPr="00387988">
        <w:rPr>
          <w:rFonts w:ascii="Book Antiqua" w:eastAsia="Book Antiqua" w:hAnsi="Book Antiqua" w:cs="Book Antiqua"/>
          <w:color w:val="000000"/>
        </w:rPr>
        <w:t>. The immunostain</w:t>
      </w:r>
      <w:r w:rsidR="00E07FDF" w:rsidRPr="00387988">
        <w:rPr>
          <w:rFonts w:ascii="Book Antiqua" w:eastAsia="Book Antiqua" w:hAnsi="Book Antiqua" w:cs="Book Antiqua"/>
          <w:color w:val="000000"/>
        </w:rPr>
        <w:t>ed sections were acquired at 20</w:t>
      </w:r>
      <w:r w:rsidR="00E07FDF" w:rsidRPr="00387988">
        <w:rPr>
          <w:rFonts w:ascii="Book Antiqua" w:hAnsi="Book Antiqua" w:cs="Book Antiqua"/>
          <w:color w:val="000000"/>
          <w:lang w:eastAsia="zh-CN"/>
        </w:rPr>
        <w:t xml:space="preserve"> </w:t>
      </w:r>
      <w:r w:rsidR="00E07FDF" w:rsidRPr="00387988">
        <w:rPr>
          <w:color w:val="000000"/>
          <w:lang w:eastAsia="zh-CN"/>
        </w:rPr>
        <w:t>×</w:t>
      </w:r>
      <w:r w:rsidRPr="00387988">
        <w:rPr>
          <w:rFonts w:ascii="Book Antiqua" w:eastAsia="Book Antiqua" w:hAnsi="Book Antiqua" w:cs="Book Antiqua"/>
          <w:color w:val="000000"/>
        </w:rPr>
        <w:t xml:space="preserve"> using a Hamamatsu NanoZoomer HT2.0 whole slide scanner (Hamamatsu Photonic</w:t>
      </w:r>
      <w:r w:rsidR="00E07FDF" w:rsidRPr="00387988">
        <w:rPr>
          <w:rFonts w:ascii="Book Antiqua" w:eastAsia="Book Antiqua" w:hAnsi="Book Antiqua" w:cs="Book Antiqua"/>
          <w:color w:val="000000"/>
        </w:rPr>
        <w:t>s</w:t>
      </w:r>
      <w:r w:rsidR="005A37DE">
        <w:rPr>
          <w:rFonts w:ascii="Book Antiqua" w:eastAsia="Book Antiqua" w:hAnsi="Book Antiqua" w:cs="Book Antiqua"/>
          <w:color w:val="000000"/>
        </w:rPr>
        <w:t>, Hamamatsu City, Japan</w:t>
      </w:r>
      <w:r w:rsidR="00E07FDF" w:rsidRPr="00387988">
        <w:rPr>
          <w:rFonts w:ascii="Book Antiqua" w:eastAsia="Book Antiqua" w:hAnsi="Book Antiqua" w:cs="Book Antiqua"/>
          <w:color w:val="000000"/>
        </w:rPr>
        <w:t>)</w:t>
      </w:r>
      <w:r w:rsidRPr="00387988">
        <w:rPr>
          <w:rFonts w:ascii="Book Antiqua" w:eastAsia="Book Antiqua" w:hAnsi="Book Antiqua" w:cs="Book Antiqua"/>
          <w:color w:val="000000"/>
        </w:rPr>
        <w:t>.</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Finally, semi-quantitative image analysis software (Tissue Map 3.0</w:t>
      </w:r>
      <w:r w:rsidR="0001322B">
        <w:rPr>
          <w:rFonts w:ascii="Book Antiqua" w:eastAsia="Book Antiqua" w:hAnsi="Book Antiqua" w:cs="Book Antiqua"/>
          <w:color w:val="000000"/>
        </w:rPr>
        <w:t>;</w:t>
      </w:r>
      <w:r w:rsidRPr="00387988">
        <w:rPr>
          <w:rFonts w:ascii="Book Antiqua" w:eastAsia="Book Antiqua" w:hAnsi="Book Antiqua" w:cs="Book Antiqua"/>
          <w:color w:val="000000"/>
        </w:rPr>
        <w:t xml:space="preserve"> Definiens, </w:t>
      </w:r>
      <w:r w:rsidR="0001322B">
        <w:rPr>
          <w:rFonts w:ascii="Book Antiqua" w:eastAsia="Book Antiqua" w:hAnsi="Book Antiqua" w:cs="Book Antiqua"/>
          <w:color w:val="000000"/>
        </w:rPr>
        <w:t xml:space="preserve">Munich, </w:t>
      </w:r>
      <w:r w:rsidRPr="00387988">
        <w:rPr>
          <w:rFonts w:ascii="Book Antiqua" w:eastAsia="Book Antiqua" w:hAnsi="Book Antiqua" w:cs="Book Antiqua"/>
          <w:color w:val="000000"/>
        </w:rPr>
        <w:t>Germany) was independently applied to all corresponding digitalized slides.</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An average of 695146.9 ±</w:t>
      </w:r>
      <w:r w:rsidR="00E07FDF"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 xml:space="preserve">238143.2 nuclei was analyzed per liver and HMGB1 staining intensity, expressed as </w:t>
      </w:r>
      <w:r w:rsidR="0001322B">
        <w:rPr>
          <w:rFonts w:ascii="Book Antiqua" w:eastAsia="Book Antiqua" w:hAnsi="Book Antiqua" w:cs="Book Antiqua"/>
          <w:color w:val="000000"/>
        </w:rPr>
        <w:t>the l</w:t>
      </w:r>
      <w:r w:rsidRPr="00387988">
        <w:rPr>
          <w:rFonts w:ascii="Book Antiqua" w:eastAsia="Book Antiqua" w:hAnsi="Book Antiqua" w:cs="Book Antiqua"/>
          <w:color w:val="000000"/>
        </w:rPr>
        <w:t>abelling index</w:t>
      </w:r>
      <w:r w:rsidR="0001322B">
        <w:rPr>
          <w:rFonts w:ascii="Book Antiqua" w:eastAsia="Book Antiqua" w:hAnsi="Book Antiqua" w:cs="Book Antiqua"/>
          <w:color w:val="000000"/>
        </w:rPr>
        <w:t>,</w:t>
      </w:r>
      <w:r w:rsidRPr="00387988">
        <w:rPr>
          <w:rFonts w:ascii="Book Antiqua" w:eastAsia="Book Antiqua" w:hAnsi="Book Antiqua" w:cs="Book Antiqua"/>
          <w:color w:val="000000"/>
        </w:rPr>
        <w:t xml:space="preserve"> wh</w:t>
      </w:r>
      <w:r w:rsidR="0001322B">
        <w:rPr>
          <w:rFonts w:ascii="Book Antiqua" w:eastAsia="Book Antiqua" w:hAnsi="Book Antiqua" w:cs="Book Antiqua"/>
          <w:color w:val="000000"/>
        </w:rPr>
        <w:t>ich</w:t>
      </w:r>
      <w:r w:rsidRPr="00387988">
        <w:rPr>
          <w:rFonts w:ascii="Book Antiqua" w:eastAsia="Book Antiqua" w:hAnsi="Book Antiqua" w:cs="Book Antiqua"/>
          <w:color w:val="000000"/>
        </w:rPr>
        <w:t xml:space="preserve"> represent</w:t>
      </w:r>
      <w:r w:rsidR="0001322B">
        <w:rPr>
          <w:rFonts w:ascii="Book Antiqua" w:eastAsia="Book Antiqua" w:hAnsi="Book Antiqua" w:cs="Book Antiqua"/>
          <w:color w:val="000000"/>
        </w:rPr>
        <w:t>ed</w:t>
      </w:r>
      <w:r w:rsidRPr="00387988">
        <w:rPr>
          <w:rFonts w:ascii="Book Antiqua" w:eastAsia="Book Antiqua" w:hAnsi="Book Antiqua" w:cs="Book Antiqua"/>
          <w:color w:val="000000"/>
        </w:rPr>
        <w:t xml:space="preserve"> the percentage of stained pixels in the nuclear area, was quantified.</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rPr>
          <w:i/>
        </w:rPr>
      </w:pPr>
      <w:r w:rsidRPr="00387988">
        <w:rPr>
          <w:rFonts w:ascii="Book Antiqua" w:eastAsia="Book Antiqua" w:hAnsi="Book Antiqua" w:cs="Book Antiqua"/>
          <w:b/>
          <w:bCs/>
          <w:i/>
          <w:color w:val="000000"/>
        </w:rPr>
        <w:t>RNA extraction and RT-qPCR</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Frozen liver samples were homogenized in lysis buffer by MagNa Lyser (Roche Diagnostics, Brussels, Belgium). mRNA was extracted by High Pure RNA Tissue kit (Roche Diagnostic</w:t>
      </w:r>
      <w:r w:rsidR="0001322B">
        <w:rPr>
          <w:rFonts w:ascii="Book Antiqua" w:eastAsia="Book Antiqua" w:hAnsi="Book Antiqua" w:cs="Book Antiqua"/>
          <w:color w:val="000000"/>
        </w:rPr>
        <w:t>s</w:t>
      </w:r>
      <w:r w:rsidRPr="00387988">
        <w:rPr>
          <w:rFonts w:ascii="Book Antiqua" w:eastAsia="Book Antiqua" w:hAnsi="Book Antiqua" w:cs="Book Antiqua"/>
          <w:color w:val="000000"/>
        </w:rPr>
        <w:t>). Briefly, the homogena</w:t>
      </w:r>
      <w:r w:rsidR="00E07FDF" w:rsidRPr="00387988">
        <w:rPr>
          <w:rFonts w:ascii="Book Antiqua" w:eastAsia="Book Antiqua" w:hAnsi="Book Antiqua" w:cs="Book Antiqua"/>
          <w:color w:val="000000"/>
        </w:rPr>
        <w:t>tes were</w:t>
      </w:r>
      <w:r w:rsidR="00320810" w:rsidRPr="00387988">
        <w:rPr>
          <w:rFonts w:ascii="Book Antiqua" w:eastAsia="Book Antiqua" w:hAnsi="Book Antiqua" w:cs="Book Antiqua"/>
          <w:color w:val="000000"/>
        </w:rPr>
        <w:t xml:space="preserve"> </w:t>
      </w:r>
      <w:r w:rsidR="00E07FDF" w:rsidRPr="00387988">
        <w:rPr>
          <w:rFonts w:ascii="Book Antiqua" w:eastAsia="Book Antiqua" w:hAnsi="Book Antiqua" w:cs="Book Antiqua"/>
          <w:color w:val="000000"/>
        </w:rPr>
        <w:t xml:space="preserve">first centrifuged (15871 </w:t>
      </w:r>
      <w:r w:rsidR="00E07FDF"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 for 10 min. Chloroform was added to the supernatant recovered and the mixture was centrifuged for 15 min at 4 °C.</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Ethanol 70% was added before transfer to a column (</w:t>
      </w:r>
      <w:r w:rsidR="0001322B">
        <w:rPr>
          <w:rFonts w:ascii="Book Antiqua" w:eastAsia="Book Antiqua" w:hAnsi="Book Antiqua" w:cs="Book Antiqua"/>
          <w:color w:val="000000"/>
        </w:rPr>
        <w:t>h</w:t>
      </w:r>
      <w:r w:rsidRPr="00387988">
        <w:rPr>
          <w:rFonts w:ascii="Book Antiqua" w:eastAsia="Book Antiqua" w:hAnsi="Book Antiqua" w:cs="Book Antiqua"/>
          <w:color w:val="000000"/>
        </w:rPr>
        <w:t>igh pure spin filter t</w:t>
      </w:r>
      <w:r w:rsidR="00E07FDF" w:rsidRPr="00387988">
        <w:rPr>
          <w:rFonts w:ascii="Book Antiqua" w:eastAsia="Book Antiqua" w:hAnsi="Book Antiqua" w:cs="Book Antiqua"/>
          <w:color w:val="000000"/>
        </w:rPr>
        <w:t xml:space="preserve">ubes) and centrifuged for 30 s at 13000 </w:t>
      </w:r>
      <w:r w:rsidR="00E07FDF" w:rsidRPr="00387988">
        <w:rPr>
          <w:rFonts w:eastAsia="Book Antiqua"/>
          <w:color w:val="000000"/>
        </w:rPr>
        <w:t>×</w:t>
      </w:r>
      <w:r w:rsidRPr="00387988">
        <w:rPr>
          <w:rFonts w:ascii="Book Antiqua" w:eastAsia="Book Antiqua" w:hAnsi="Book Antiqua" w:cs="Book Antiqua"/>
          <w:color w:val="000000"/>
        </w:rPr>
        <w:t xml:space="preserve"> </w:t>
      </w:r>
      <w:r w:rsidRPr="004060DA">
        <w:rPr>
          <w:rFonts w:ascii="Book Antiqua" w:eastAsia="Book Antiqua" w:hAnsi="Book Antiqua" w:cs="Book Antiqua"/>
          <w:i/>
          <w:iCs/>
          <w:color w:val="000000"/>
        </w:rPr>
        <w:t>g</w:t>
      </w:r>
      <w:r w:rsidRPr="00387988">
        <w:rPr>
          <w:rFonts w:ascii="Book Antiqua" w:eastAsia="Book Antiqua" w:hAnsi="Book Antiqua" w:cs="Book Antiqua"/>
          <w:color w:val="000000"/>
        </w:rPr>
        <w:t>.</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DNAse was added to the column and incubated for 15 min at room temperature. Then, three successive washes of the column were performed. Finally, the column was washed with elution buffer to remove all the RNA retained in the filter and recover it in a clean Eppendorf.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The mRNA quality/purity of each sample was evaluated before RT-qPCR using </w:t>
      </w:r>
      <w:r w:rsidR="0001322B">
        <w:rPr>
          <w:rFonts w:ascii="Book Antiqua" w:eastAsia="Book Antiqua" w:hAnsi="Book Antiqua" w:cs="Book Antiqua"/>
          <w:color w:val="000000"/>
        </w:rPr>
        <w:t xml:space="preserve">the </w:t>
      </w:r>
      <w:r w:rsidRPr="00387988">
        <w:rPr>
          <w:rFonts w:ascii="Book Antiqua" w:eastAsia="Book Antiqua" w:hAnsi="Book Antiqua" w:cs="Book Antiqua"/>
          <w:color w:val="000000"/>
        </w:rPr>
        <w:t>NanoDrop™ 1000 Spectrophotometer (ThermoFisher</w:t>
      </w:r>
      <w:r w:rsidR="00E07FDF" w:rsidRPr="00387988">
        <w:rPr>
          <w:rFonts w:ascii="Book Antiqua" w:eastAsia="Book Antiqua" w:hAnsi="Book Antiqua" w:cs="Book Antiqua"/>
          <w:color w:val="000000"/>
        </w:rPr>
        <w:t xml:space="preserve"> Scientific, Waltham, MA, </w:t>
      </w:r>
      <w:bookmarkStart w:id="20" w:name="OLE_LINK2"/>
      <w:bookmarkStart w:id="21" w:name="OLE_LINK3"/>
      <w:r w:rsidR="00E07FDF" w:rsidRPr="00387988">
        <w:rPr>
          <w:rFonts w:ascii="Book Antiqua" w:eastAsia="Book Antiqua" w:hAnsi="Book Antiqua" w:cs="Book Antiqua"/>
          <w:color w:val="000000"/>
        </w:rPr>
        <w:t>U</w:t>
      </w:r>
      <w:r w:rsidR="00E07FDF" w:rsidRPr="00387988">
        <w:rPr>
          <w:rFonts w:ascii="Book Antiqua" w:hAnsi="Book Antiqua" w:cs="Book Antiqua"/>
          <w:color w:val="000000"/>
          <w:lang w:eastAsia="zh-CN"/>
        </w:rPr>
        <w:t>nited States</w:t>
      </w:r>
      <w:bookmarkEnd w:id="20"/>
      <w:bookmarkEnd w:id="21"/>
      <w:r w:rsidRPr="00387988">
        <w:rPr>
          <w:rFonts w:ascii="Book Antiqua" w:eastAsia="Book Antiqua" w:hAnsi="Book Antiqua" w:cs="Book Antiqua"/>
          <w:color w:val="000000"/>
        </w:rPr>
        <w:t xml:space="preserve">). We evaluated the concentration of RNA in each sample </w:t>
      </w:r>
      <w:r w:rsidR="0001322B">
        <w:rPr>
          <w:rFonts w:ascii="Book Antiqua" w:eastAsia="Book Antiqua" w:hAnsi="Book Antiqua" w:cs="Book Antiqua"/>
          <w:color w:val="000000"/>
        </w:rPr>
        <w:t>as well as</w:t>
      </w:r>
      <w:r w:rsidRPr="00387988">
        <w:rPr>
          <w:rFonts w:ascii="Book Antiqua" w:eastAsia="Book Antiqua" w:hAnsi="Book Antiqua" w:cs="Book Antiqua"/>
          <w:color w:val="000000"/>
        </w:rPr>
        <w:t xml:space="preserve"> the ratio 260/280 (to exclude the presence of protein, phenol and other contaminants) and the </w:t>
      </w:r>
      <w:r w:rsidRPr="00387988">
        <w:rPr>
          <w:rFonts w:ascii="Book Antiqua" w:eastAsia="Book Antiqua" w:hAnsi="Book Antiqua" w:cs="Book Antiqua"/>
          <w:color w:val="000000"/>
        </w:rPr>
        <w:lastRenderedPageBreak/>
        <w:t>ratio 260/230 (to exclude the presence of co-purified contaminants). None of the samples used had a ratio less than 1.8.</w:t>
      </w:r>
      <w:r w:rsidR="00320810" w:rsidRPr="00387988">
        <w:rPr>
          <w:rFonts w:ascii="Book Antiqua" w:eastAsia="Book Antiqua" w:hAnsi="Book Antiqua" w:cs="Book Antiqua"/>
          <w:color w:val="000000"/>
        </w:rPr>
        <w:t xml:space="preserve">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Retro-transcription of the mRNA into cDNA</w:t>
      </w:r>
      <w:r w:rsidR="00E07FDF" w:rsidRPr="00387988">
        <w:rPr>
          <w:rFonts w:ascii="Book Antiqua" w:eastAsia="Book Antiqua" w:hAnsi="Book Antiqua" w:cs="Book Antiqua"/>
          <w:color w:val="000000"/>
        </w:rPr>
        <w:t xml:space="preserve"> was performed as follows: 4 µ</w:t>
      </w:r>
      <w:r w:rsidR="00E07FDF" w:rsidRPr="00387988">
        <w:rPr>
          <w:rFonts w:ascii="Book Antiqua" w:hAnsi="Book Antiqua" w:cs="Book Antiqua"/>
          <w:color w:val="000000"/>
          <w:lang w:eastAsia="zh-CN"/>
        </w:rPr>
        <w:t>L</w:t>
      </w:r>
      <w:r w:rsidR="00E07FDF" w:rsidRPr="00387988">
        <w:rPr>
          <w:rFonts w:ascii="Book Antiqua" w:eastAsia="Book Antiqua" w:hAnsi="Book Antiqua" w:cs="Book Antiqua"/>
          <w:color w:val="000000"/>
        </w:rPr>
        <w:t xml:space="preserve"> of oligo-dT primer (0.1 µg/µ</w:t>
      </w:r>
      <w:r w:rsidR="00E07FDF" w:rsidRPr="00387988">
        <w:rPr>
          <w:rFonts w:ascii="Book Antiqua" w:hAnsi="Book Antiqua" w:cs="Book Antiqua"/>
          <w:color w:val="000000"/>
          <w:lang w:eastAsia="zh-CN"/>
        </w:rPr>
        <w:t>L</w:t>
      </w:r>
      <w:r w:rsidR="00E07FDF" w:rsidRPr="00387988">
        <w:rPr>
          <w:rFonts w:ascii="Book Antiqua" w:eastAsia="Book Antiqua" w:hAnsi="Book Antiqua" w:cs="Book Antiqua"/>
          <w:color w:val="000000"/>
        </w:rPr>
        <w:t>; Eurogentec</w:t>
      </w:r>
      <w:r w:rsidR="00947CC2">
        <w:rPr>
          <w:rFonts w:ascii="Book Antiqua" w:eastAsia="Book Antiqua" w:hAnsi="Book Antiqua" w:cs="Book Antiqua"/>
          <w:color w:val="000000"/>
        </w:rPr>
        <w:t>, Liege, Belgium</w:t>
      </w:r>
      <w:r w:rsidR="00E07FDF" w:rsidRPr="00387988">
        <w:rPr>
          <w:rFonts w:ascii="Book Antiqua" w:eastAsia="Book Antiqua" w:hAnsi="Book Antiqua" w:cs="Book Antiqua"/>
          <w:color w:val="000000"/>
        </w:rPr>
        <w:t xml:space="preserve">) </w:t>
      </w:r>
      <w:r w:rsidR="00947CC2">
        <w:rPr>
          <w:rFonts w:ascii="Book Antiqua" w:eastAsia="Book Antiqua" w:hAnsi="Book Antiqua" w:cs="Book Antiqua"/>
          <w:color w:val="000000"/>
        </w:rPr>
        <w:t>wa</w:t>
      </w:r>
      <w:r w:rsidR="00E07FDF" w:rsidRPr="00387988">
        <w:rPr>
          <w:rFonts w:ascii="Book Antiqua" w:eastAsia="Book Antiqua" w:hAnsi="Book Antiqua" w:cs="Book Antiqua"/>
          <w:color w:val="000000"/>
        </w:rPr>
        <w:t>s joined to 9 µ</w:t>
      </w:r>
      <w:r w:rsidR="00E07FDF" w:rsidRPr="00387988">
        <w:rPr>
          <w:rFonts w:ascii="Book Antiqua" w:hAnsi="Book Antiqua" w:cs="Book Antiqua"/>
          <w:color w:val="000000"/>
          <w:lang w:eastAsia="zh-CN"/>
        </w:rPr>
        <w:t>L</w:t>
      </w:r>
      <w:r w:rsidRPr="00387988">
        <w:rPr>
          <w:rFonts w:ascii="Book Antiqua" w:eastAsia="Book Antiqua" w:hAnsi="Book Antiqua" w:cs="Book Antiqua"/>
          <w:color w:val="000000"/>
        </w:rPr>
        <w:t xml:space="preserve"> of H</w:t>
      </w:r>
      <w:r w:rsidRPr="004060DA">
        <w:rPr>
          <w:rFonts w:ascii="Book Antiqua" w:eastAsia="Book Antiqua" w:hAnsi="Book Antiqua" w:cs="Book Antiqua"/>
          <w:color w:val="000000"/>
          <w:vertAlign w:val="subscript"/>
        </w:rPr>
        <w:t>2</w:t>
      </w:r>
      <w:r w:rsidRPr="00387988">
        <w:rPr>
          <w:rFonts w:ascii="Book Antiqua" w:eastAsia="Book Antiqua" w:hAnsi="Book Antiqua" w:cs="Book Antiqua"/>
          <w:color w:val="000000"/>
        </w:rPr>
        <w:t>O containing 1 µg of RNA.</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This mixture </w:t>
      </w:r>
      <w:r w:rsidR="00947CC2">
        <w:rPr>
          <w:rFonts w:ascii="Book Antiqua" w:eastAsia="Book Antiqua" w:hAnsi="Book Antiqua" w:cs="Book Antiqua"/>
          <w:color w:val="000000"/>
        </w:rPr>
        <w:t>wa</w:t>
      </w:r>
      <w:r w:rsidRPr="00387988">
        <w:rPr>
          <w:rFonts w:ascii="Book Antiqua" w:eastAsia="Book Antiqua" w:hAnsi="Book Antiqua" w:cs="Book Antiqua"/>
          <w:color w:val="000000"/>
        </w:rPr>
        <w:t>s incubated at 65 °C for 5 min and then</w:t>
      </w:r>
      <w:r w:rsidR="00E07FDF" w:rsidRPr="00387988">
        <w:rPr>
          <w:rFonts w:ascii="Book Antiqua" w:eastAsia="Book Antiqua" w:hAnsi="Book Antiqua" w:cs="Book Antiqua"/>
          <w:color w:val="000000"/>
        </w:rPr>
        <w:t xml:space="preserve"> cooled on ice. After that, 7 µ</w:t>
      </w:r>
      <w:r w:rsidR="00E07FDF" w:rsidRPr="00387988">
        <w:rPr>
          <w:rFonts w:ascii="Book Antiqua" w:hAnsi="Book Antiqua" w:cs="Book Antiqua"/>
          <w:color w:val="000000"/>
          <w:lang w:eastAsia="zh-CN"/>
        </w:rPr>
        <w:t>L</w:t>
      </w:r>
      <w:r w:rsidR="00E07FDF" w:rsidRPr="00387988">
        <w:rPr>
          <w:rFonts w:ascii="Book Antiqua" w:eastAsia="Book Antiqua" w:hAnsi="Book Antiqua" w:cs="Book Antiqua"/>
          <w:color w:val="000000"/>
        </w:rPr>
        <w:t xml:space="preserve"> of RT mix, consisting of 5</w:t>
      </w:r>
      <w:r w:rsidR="00E07FDF" w:rsidRPr="00387988">
        <w:rPr>
          <w:rFonts w:ascii="Book Antiqua" w:hAnsi="Book Antiqua" w:cs="Book Antiqua"/>
          <w:color w:val="000000"/>
          <w:lang w:eastAsia="zh-CN"/>
        </w:rPr>
        <w:t xml:space="preserve"> </w:t>
      </w:r>
      <w:r w:rsidR="00E07FDF" w:rsidRPr="00387988">
        <w:rPr>
          <w:rFonts w:eastAsia="Book Antiqua"/>
          <w:color w:val="000000"/>
        </w:rPr>
        <w:t>×</w:t>
      </w:r>
      <w:r w:rsidRPr="00387988">
        <w:rPr>
          <w:rFonts w:ascii="Book Antiqua" w:eastAsia="Book Antiqua" w:hAnsi="Book Antiqua" w:cs="Book Antiqua"/>
          <w:color w:val="000000"/>
        </w:rPr>
        <w:t xml:space="preserve"> buffer, deoxyribonucleotide triphosphates (10 mmol/L), </w:t>
      </w:r>
      <w:r w:rsidR="00E07FDF" w:rsidRPr="00387988">
        <w:rPr>
          <w:rFonts w:ascii="Book Antiqua" w:eastAsia="Book Antiqua" w:hAnsi="Book Antiqua" w:cs="Book Antiqua"/>
          <w:color w:val="000000"/>
        </w:rPr>
        <w:t>porcine R</w:t>
      </w:r>
      <w:r w:rsidR="00947CC2">
        <w:rPr>
          <w:rFonts w:ascii="Book Antiqua" w:eastAsia="Book Antiqua" w:hAnsi="Book Antiqua" w:cs="Book Antiqua"/>
          <w:color w:val="000000"/>
        </w:rPr>
        <w:t>NA</w:t>
      </w:r>
      <w:r w:rsidR="00E07FDF" w:rsidRPr="00387988">
        <w:rPr>
          <w:rFonts w:ascii="Book Antiqua" w:eastAsia="Book Antiqua" w:hAnsi="Book Antiqua" w:cs="Book Antiqua"/>
          <w:color w:val="000000"/>
        </w:rPr>
        <w:t>se inhibitor (50 U/µ</w:t>
      </w:r>
      <w:r w:rsidR="00E07FDF" w:rsidRPr="00387988">
        <w:rPr>
          <w:rFonts w:ascii="Book Antiqua" w:hAnsi="Book Antiqua" w:cs="Book Antiqua"/>
          <w:color w:val="000000"/>
          <w:lang w:eastAsia="zh-CN"/>
        </w:rPr>
        <w:t>L</w:t>
      </w:r>
      <w:r w:rsidRPr="00387988">
        <w:rPr>
          <w:rFonts w:ascii="Book Antiqua" w:eastAsia="Book Antiqua" w:hAnsi="Book Antiqua" w:cs="Book Antiqua"/>
          <w:color w:val="000000"/>
        </w:rPr>
        <w:t>) an</w:t>
      </w:r>
      <w:r w:rsidR="00E07FDF" w:rsidRPr="00387988">
        <w:rPr>
          <w:rFonts w:ascii="Book Antiqua" w:eastAsia="Book Antiqua" w:hAnsi="Book Antiqua" w:cs="Book Antiqua"/>
          <w:color w:val="000000"/>
        </w:rPr>
        <w:t>d reverse transcriptase (20 U/µ</w:t>
      </w:r>
      <w:r w:rsidR="00E07FDF" w:rsidRPr="00387988">
        <w:rPr>
          <w:rFonts w:ascii="Book Antiqua" w:hAnsi="Book Antiqua" w:cs="Book Antiqua"/>
          <w:color w:val="000000"/>
          <w:lang w:eastAsia="zh-CN"/>
        </w:rPr>
        <w:t>L</w:t>
      </w:r>
      <w:r w:rsidRPr="00387988">
        <w:rPr>
          <w:rFonts w:ascii="Book Antiqua" w:eastAsia="Book Antiqua" w:hAnsi="Book Antiqua" w:cs="Book Antiqua"/>
          <w:color w:val="000000"/>
        </w:rPr>
        <w:t>), were added.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Finally, the mixture was incubated at 42 °C for 1 h, and then at 70 °C for 15 min.</w:t>
      </w:r>
      <w:r w:rsidR="00320810" w:rsidRPr="00387988">
        <w:rPr>
          <w:rFonts w:ascii="Book Antiqua" w:eastAsia="Book Antiqua" w:hAnsi="Book Antiqua" w:cs="Book Antiqua"/>
          <w:color w:val="000000"/>
        </w:rPr>
        <w:t xml:space="preserve">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Quantification of cDNA was performed by real time PCR using the LightCycler (Roche Diagnostics). Detection of the amplified product </w:t>
      </w:r>
      <w:r w:rsidR="00947CC2">
        <w:rPr>
          <w:rFonts w:ascii="Book Antiqua" w:eastAsia="Book Antiqua" w:hAnsi="Book Antiqua" w:cs="Book Antiqua"/>
          <w:color w:val="000000"/>
        </w:rPr>
        <w:t>was carried out</w:t>
      </w:r>
      <w:r w:rsidRPr="00387988">
        <w:rPr>
          <w:rFonts w:ascii="Book Antiqua" w:eastAsia="Book Antiqua" w:hAnsi="Book Antiqua" w:cs="Book Antiqua"/>
          <w:color w:val="000000"/>
        </w:rPr>
        <w:t xml:space="preserve"> using a fluorescent probe (</w:t>
      </w:r>
      <w:r w:rsidRPr="004060DA">
        <w:rPr>
          <w:rFonts w:ascii="Book Antiqua" w:eastAsia="Book Antiqua" w:hAnsi="Book Antiqua" w:cs="Book Antiqua"/>
          <w:i/>
          <w:iCs/>
          <w:color w:val="000000"/>
        </w:rPr>
        <w:t>Taq</w:t>
      </w:r>
      <w:r w:rsidRPr="00387988">
        <w:rPr>
          <w:rFonts w:ascii="Book Antiqua" w:eastAsia="Book Antiqua" w:hAnsi="Book Antiqua" w:cs="Book Antiqua"/>
          <w:color w:val="000000"/>
        </w:rPr>
        <w:t xml:space="preserve">Man; Roche) and the relative expression of the gene of interest was calculated against β-actin and GAPDH gene (housekeeping gene) following the </w:t>
      </w:r>
      <w:r w:rsidRPr="00387988">
        <w:rPr>
          <w:rFonts w:ascii="Book Antiqua" w:eastAsia="Book Antiqua" w:hAnsi="Book Antiqua" w:cs="Book Antiqua"/>
          <w:iCs/>
          <w:color w:val="000000"/>
        </w:rPr>
        <w:t>Pfaffi</w:t>
      </w:r>
      <w:r w:rsidRPr="00387988">
        <w:rPr>
          <w:rFonts w:ascii="Book Antiqua" w:eastAsia="Book Antiqua" w:hAnsi="Book Antiqua" w:cs="Book Antiqua"/>
          <w:color w:val="000000"/>
        </w:rPr>
        <w:t xml:space="preserve"> </w:t>
      </w:r>
      <w:r w:rsidR="00947CC2">
        <w:rPr>
          <w:rFonts w:ascii="Book Antiqua" w:eastAsia="Book Antiqua" w:hAnsi="Book Antiqua" w:cs="Book Antiqua"/>
          <w:color w:val="000000"/>
        </w:rPr>
        <w:t>m</w:t>
      </w:r>
      <w:r w:rsidRPr="00387988">
        <w:rPr>
          <w:rFonts w:ascii="Book Antiqua" w:eastAsia="Book Antiqua" w:hAnsi="Book Antiqua" w:cs="Book Antiqua"/>
          <w:color w:val="000000"/>
        </w:rPr>
        <w:t>ethod</w:t>
      </w:r>
      <w:r w:rsidRPr="00387988">
        <w:rPr>
          <w:rFonts w:ascii="Book Antiqua" w:eastAsia="Book Antiqua" w:hAnsi="Book Antiqua" w:cs="Book Antiqua"/>
          <w:color w:val="000000"/>
          <w:vertAlign w:val="superscript"/>
        </w:rPr>
        <w:t>[21]</w:t>
      </w:r>
      <w:r w:rsidRPr="00387988">
        <w:rPr>
          <w:rFonts w:ascii="Book Antiqua" w:eastAsia="Book Antiqua" w:hAnsi="Book Antiqua" w:cs="Book Antiqua"/>
          <w:color w:val="000000"/>
        </w:rPr>
        <w:t xml:space="preserve">. The sequences of primers used are listed in </w:t>
      </w:r>
      <w:r w:rsidRPr="00387988">
        <w:rPr>
          <w:rFonts w:ascii="Book Antiqua" w:eastAsia="Book Antiqua" w:hAnsi="Book Antiqua" w:cs="Book Antiqua"/>
          <w:caps/>
          <w:color w:val="000000"/>
        </w:rPr>
        <w:t>t</w:t>
      </w:r>
      <w:r w:rsidRPr="00387988">
        <w:rPr>
          <w:rFonts w:ascii="Book Antiqua" w:eastAsia="Book Antiqua" w:hAnsi="Book Antiqua" w:cs="Book Antiqua"/>
          <w:color w:val="000000"/>
        </w:rPr>
        <w:t xml:space="preserve">able 1.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Reagents</w:t>
      </w:r>
    </w:p>
    <w:p w:rsidR="00A77B3E" w:rsidRPr="00387988" w:rsidRDefault="007865B2" w:rsidP="00387988">
      <w:pPr>
        <w:snapToGrid w:val="0"/>
        <w:spacing w:line="360" w:lineRule="auto"/>
        <w:jc w:val="both"/>
      </w:pPr>
      <w:r>
        <w:rPr>
          <w:rFonts w:ascii="Book Antiqua" w:eastAsia="Book Antiqua" w:hAnsi="Book Antiqua" w:cs="Book Antiqua"/>
          <w:color w:val="000000"/>
        </w:rPr>
        <w:t>GL</w:t>
      </w:r>
      <w:r w:rsidRPr="00387988">
        <w:rPr>
          <w:rFonts w:ascii="Book Antiqua" w:eastAsia="Book Antiqua" w:hAnsi="Book Antiqua" w:cs="Book Antiqua"/>
          <w:color w:val="000000"/>
        </w:rPr>
        <w:t xml:space="preserve"> </w:t>
      </w:r>
      <w:r w:rsidR="00107D11" w:rsidRPr="00387988">
        <w:rPr>
          <w:rFonts w:ascii="Book Antiqua" w:eastAsia="Book Antiqua" w:hAnsi="Book Antiqua" w:cs="Book Antiqua"/>
          <w:color w:val="000000"/>
        </w:rPr>
        <w:t xml:space="preserve">was purchased from Sigma-Aldrich (Darmstadt, Germany). </w:t>
      </w:r>
      <w:r w:rsidR="00750C35">
        <w:rPr>
          <w:rFonts w:ascii="Book Antiqua" w:eastAsia="Book Antiqua" w:hAnsi="Book Antiqua" w:cs="Book Antiqua"/>
          <w:color w:val="000000"/>
        </w:rPr>
        <w:t>NAC</w:t>
      </w:r>
      <w:r w:rsidR="00107D11" w:rsidRPr="00387988">
        <w:rPr>
          <w:rFonts w:ascii="Book Antiqua" w:eastAsia="Book Antiqua" w:hAnsi="Book Antiqua" w:cs="Book Antiqua"/>
          <w:color w:val="000000"/>
        </w:rPr>
        <w:t xml:space="preserve"> (Lysomucil</w:t>
      </w:r>
      <w:r w:rsidR="001C6564" w:rsidRPr="00387988">
        <w:rPr>
          <w:rFonts w:ascii="Book Antiqua" w:eastAsia="Book Antiqua" w:hAnsi="Book Antiqua" w:cs="Book Antiqua"/>
          <w:color w:val="000000"/>
          <w:vertAlign w:val="superscript"/>
        </w:rPr>
        <w:t>®</w:t>
      </w:r>
      <w:r w:rsidR="00107D11" w:rsidRPr="00387988">
        <w:rPr>
          <w:rFonts w:ascii="Book Antiqua" w:eastAsia="Book Antiqua" w:hAnsi="Book Antiqua" w:cs="Book Antiqua"/>
          <w:color w:val="000000"/>
        </w:rPr>
        <w:t>) was provided by Zambon (Brussels, Belgium). Acetaminophen (Paracetamol Fresenius Kabi) was purchased from Fresenius Kabi (Homburg, Germany).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Statistical analysis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Statistical analyses were performed using SPSS Statistics 18.0 (Chicago, IL</w:t>
      </w:r>
      <w:r w:rsidR="00357AF1" w:rsidRPr="00387988">
        <w:rPr>
          <w:rFonts w:ascii="Book Antiqua" w:hAnsi="Book Antiqua" w:cs="Book Antiqua"/>
          <w:color w:val="000000"/>
          <w:lang w:eastAsia="zh-CN"/>
        </w:rPr>
        <w:t xml:space="preserve">, </w:t>
      </w:r>
      <w:r w:rsidR="00357AF1" w:rsidRPr="00387988">
        <w:rPr>
          <w:rFonts w:ascii="Book Antiqua" w:eastAsia="Book Antiqua" w:hAnsi="Book Antiqua" w:cs="Book Antiqua"/>
          <w:color w:val="000000"/>
        </w:rPr>
        <w:t>U</w:t>
      </w:r>
      <w:r w:rsidR="00357AF1" w:rsidRPr="00387988">
        <w:rPr>
          <w:rFonts w:ascii="Book Antiqua" w:hAnsi="Book Antiqua" w:cs="Book Antiqua"/>
          <w:color w:val="000000"/>
          <w:lang w:eastAsia="zh-CN"/>
        </w:rPr>
        <w:t>nited States</w:t>
      </w:r>
      <w:r w:rsidRPr="00387988">
        <w:rPr>
          <w:rFonts w:ascii="Book Antiqua" w:eastAsia="Book Antiqua" w:hAnsi="Book Antiqua" w:cs="Book Antiqua"/>
          <w:color w:val="000000"/>
        </w:rPr>
        <w:t xml:space="preserve">). Difference testing between groups was performed using the Mann-Whitney </w:t>
      </w:r>
      <w:r w:rsidRPr="00387988">
        <w:rPr>
          <w:rFonts w:ascii="Book Antiqua" w:eastAsia="Book Antiqua" w:hAnsi="Book Antiqua" w:cs="Book Antiqua"/>
          <w:i/>
          <w:iCs/>
          <w:color w:val="000000"/>
        </w:rPr>
        <w:t>U</w:t>
      </w:r>
      <w:r w:rsidRPr="00387988">
        <w:rPr>
          <w:rFonts w:ascii="Book Antiqua" w:eastAsia="Book Antiqua" w:hAnsi="Book Antiqua" w:cs="Book Antiqua"/>
          <w:color w:val="000000"/>
        </w:rPr>
        <w:t xml:space="preserve"> or Student</w:t>
      </w:r>
      <w:r w:rsidR="00947CC2">
        <w:rPr>
          <w:rFonts w:ascii="Book Antiqua" w:eastAsia="Book Antiqua" w:hAnsi="Book Antiqua" w:cs="Book Antiqua"/>
          <w:color w:val="000000"/>
        </w:rPr>
        <w:t>’s</w:t>
      </w:r>
      <w:r w:rsidRPr="00387988">
        <w:rPr>
          <w:rFonts w:ascii="Book Antiqua" w:eastAsia="Book Antiqua" w:hAnsi="Book Antiqua" w:cs="Book Antiqua"/>
          <w:color w:val="000000"/>
        </w:rPr>
        <w:t xml:space="preserve"> </w:t>
      </w:r>
      <w:r w:rsidRPr="00387988">
        <w:rPr>
          <w:rFonts w:ascii="Book Antiqua" w:eastAsia="Book Antiqua" w:hAnsi="Book Antiqua" w:cs="Book Antiqua"/>
          <w:i/>
          <w:iCs/>
          <w:color w:val="000000"/>
        </w:rPr>
        <w:t>t</w:t>
      </w:r>
      <w:r w:rsidRPr="00387988">
        <w:rPr>
          <w:rFonts w:ascii="Book Antiqua" w:eastAsia="Book Antiqua" w:hAnsi="Book Antiqua" w:cs="Book Antiqua"/>
          <w:color w:val="000000"/>
        </w:rPr>
        <w:t xml:space="preserve"> tests, as appropriate. We assessed mice rates of survival using the Kaplan-Meier method and compared survival between gro</w:t>
      </w:r>
      <w:r w:rsidR="00357AF1" w:rsidRPr="00387988">
        <w:rPr>
          <w:rFonts w:ascii="Book Antiqua" w:eastAsia="Book Antiqua" w:hAnsi="Book Antiqua" w:cs="Book Antiqua"/>
          <w:color w:val="000000"/>
        </w:rPr>
        <w:t xml:space="preserve">ups using the log-rank test. A </w:t>
      </w:r>
      <w:r w:rsidR="00357AF1" w:rsidRPr="00387988">
        <w:rPr>
          <w:rFonts w:ascii="Book Antiqua" w:hAnsi="Book Antiqua" w:cs="Book Antiqua"/>
          <w:i/>
          <w:color w:val="000000"/>
          <w:lang w:eastAsia="zh-CN"/>
        </w:rPr>
        <w:t>P</w:t>
      </w:r>
      <w:r w:rsidR="00357AF1"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value of &lt;</w:t>
      </w:r>
      <w:r w:rsidR="00D21223"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0.05 was considered statistically significant.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RESULTS</w:t>
      </w: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Administration of </w:t>
      </w:r>
      <w:r w:rsidR="007865B2">
        <w:rPr>
          <w:rFonts w:ascii="Book Antiqua" w:eastAsia="Book Antiqua" w:hAnsi="Book Antiqua" w:cs="Book Antiqua"/>
          <w:b/>
          <w:bCs/>
          <w:i/>
          <w:iCs/>
          <w:color w:val="000000"/>
        </w:rPr>
        <w:t>GL</w:t>
      </w:r>
      <w:r w:rsidRPr="00387988">
        <w:rPr>
          <w:rFonts w:ascii="Book Antiqua" w:eastAsia="Book Antiqua" w:hAnsi="Book Antiqua" w:cs="Book Antiqua"/>
          <w:b/>
          <w:bCs/>
          <w:i/>
          <w:iCs/>
          <w:color w:val="000000"/>
        </w:rPr>
        <w:t xml:space="preserve">, at the same time as APAP, reduced the severity of liver injury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Female C57BL/6J</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mice treated with overdose of APAP (500</w:t>
      </w:r>
      <w:r w:rsidR="00615AB1"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mg/kg) showed evidence of severe hepatic injury as indicated by significantly increased ALT values (Figure 1A), necrosis of centrilobular hepatocytes (Figure 1B and F) and GSH depletion (Figure 1C). Moreover, increased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HMGB1 concentrations were observed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with a peak 6 h after APAP administration (Figure 1D).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Parallel to this phenomenon, a decrease in</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the nuclear</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staining of HMGB1 in hepatocytes was observed</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from 6 h after APAP injection (Figure 1E and F).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Concomitant administration of GL (2</w:t>
      </w:r>
      <w:r w:rsidR="00615AB1" w:rsidRPr="00387988">
        <w:rPr>
          <w:rFonts w:ascii="Book Antiqua" w:eastAsia="Book Antiqua" w:hAnsi="Book Antiqua" w:cs="Book Antiqua"/>
          <w:color w:val="000000"/>
        </w:rPr>
        <w:t>00 mg/kg) and APAP (500 mg/kg)</w:t>
      </w:r>
      <w:r w:rsidRPr="00387988">
        <w:rPr>
          <w:rFonts w:ascii="Book Antiqua" w:eastAsia="Book Antiqua" w:hAnsi="Book Antiqua" w:cs="Book Antiqua"/>
          <w:color w:val="000000"/>
        </w:rPr>
        <w:t> reduced the severity of the liver injury</w:t>
      </w:r>
      <w:r w:rsidR="00947CC2">
        <w:rPr>
          <w:rFonts w:ascii="Book Antiqua" w:eastAsia="Book Antiqua" w:hAnsi="Book Antiqua" w:cs="Book Antiqua"/>
          <w:color w:val="000000"/>
        </w:rPr>
        <w:t>,</w:t>
      </w:r>
      <w:r w:rsidRPr="00387988">
        <w:rPr>
          <w:rFonts w:ascii="Book Antiqua" w:eastAsia="Book Antiqua" w:hAnsi="Book Antiqua" w:cs="Book Antiqua"/>
          <w:color w:val="000000"/>
        </w:rPr>
        <w:t xml:space="preserve"> as shown by ALT levels (Figure 2A), AST levels (Figure 2B), LDH levels (Figure 2C), </w:t>
      </w:r>
      <w:r w:rsidR="00947CC2">
        <w:rPr>
          <w:rFonts w:ascii="Book Antiqua" w:eastAsia="Book Antiqua" w:hAnsi="Book Antiqua" w:cs="Book Antiqua"/>
          <w:color w:val="000000"/>
        </w:rPr>
        <w:t xml:space="preserve">and </w:t>
      </w:r>
      <w:r w:rsidRPr="00387988">
        <w:rPr>
          <w:rFonts w:ascii="Book Antiqua" w:eastAsia="Book Antiqua" w:hAnsi="Book Antiqua" w:cs="Book Antiqua"/>
          <w:color w:val="000000"/>
        </w:rPr>
        <w:t>hepatocyte necrosis (Figure 2D and E) in mice sacrificed after 12 hours. In addition, a reduction in HMGB1 concentration was observed (Figure 2F)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as well as maintenance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nuclear HMGB1 immunostaining in hepatocytes (Figure 2E and G). </w:t>
      </w:r>
    </w:p>
    <w:p w:rsidR="00615AB1" w:rsidRPr="00387988" w:rsidRDefault="00615AB1" w:rsidP="00387988">
      <w:pPr>
        <w:snapToGrid w:val="0"/>
        <w:spacing w:line="360" w:lineRule="auto"/>
        <w:jc w:val="both"/>
        <w:rPr>
          <w:rFonts w:ascii="Book Antiqua" w:hAnsi="Book Antiqua" w:cs="Book Antiqua"/>
          <w:b/>
          <w:bCs/>
          <w:i/>
          <w:iCs/>
          <w:color w:val="000000"/>
          <w:lang w:eastAsia="zh-CN"/>
        </w:rPr>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Administration of NAC/GL combination, at the same time as APAP, reduced the severity of liver injury as well as GL or NAC alone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The efficacy of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treatment after APAP overdose is well documented in the literature and we have confirmed these results in our murine model. Indeed, after co-administration of NAC (150 m</w:t>
      </w:r>
      <w:r w:rsidR="00615AB1" w:rsidRPr="00387988">
        <w:rPr>
          <w:rFonts w:ascii="Book Antiqua" w:eastAsia="Book Antiqua" w:hAnsi="Book Antiqua" w:cs="Book Antiqua"/>
          <w:color w:val="000000"/>
        </w:rPr>
        <w:t>g/</w:t>
      </w:r>
      <w:r w:rsidR="00615AB1" w:rsidRPr="00387988">
        <w:rPr>
          <w:rFonts w:ascii="Book Antiqua" w:hAnsi="Book Antiqua" w:cs="Book Antiqua"/>
          <w:color w:val="000000"/>
          <w:lang w:eastAsia="zh-CN"/>
        </w:rPr>
        <w:t>k</w:t>
      </w:r>
      <w:r w:rsidRPr="00387988">
        <w:rPr>
          <w:rFonts w:ascii="Book Antiqua" w:eastAsia="Book Antiqua" w:hAnsi="Book Antiqua" w:cs="Book Antiqua"/>
          <w:color w:val="000000"/>
        </w:rPr>
        <w:t>g) and APAP (500 mg/kg), a significant decrease in ALT levels (Figure 3A), AST levels (Figure 3B), LDH levels (Figure 3C), and necrosis score (Figure 3D and E) was observed in mice sacrificed after 12 h. In addition, a reduction in HMGB1 concentration was observed (Figure 2F)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as well as the maintenance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nuclear HMGB1 immunostaining in hepatocytes (Figure 2E and G).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Co-administration of NAC/GL and APAP was then investigated in the same murine model (APAP 500 mg/kg; sacrificed after 12 h). As shown in Figure 4, significant decreases in ALT levels (Figure 4A), AST levels (Figure 4B), LDH levels (Figure 4C), and centrilobular hepatocytes necrosis (Figure 4D and E) were observed. In addition, a reduction in HMGB1 concentration was observed (Figure 4F)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as well as the maintenance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nuclear HMGB1 immunostaining in hepatocytes (Figure 4E and G). The </w:t>
      </w:r>
      <w:r w:rsidRPr="00387988">
        <w:rPr>
          <w:rFonts w:ascii="Book Antiqua" w:eastAsia="Book Antiqua" w:hAnsi="Book Antiqua" w:cs="Book Antiqua"/>
          <w:color w:val="000000"/>
        </w:rPr>
        <w:lastRenderedPageBreak/>
        <w:t xml:space="preserve">latter results demonstrated that the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combination is as effective as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alone when treatment is administered at the same time of APAP.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GSH levels (Figure 5A) and GSH/GSSG ratio (Figure 5B) were also assessed. As expected, administration of GL did not influence GSH levels</w:t>
      </w:r>
      <w:r w:rsidR="00947CC2">
        <w:rPr>
          <w:rFonts w:ascii="Book Antiqua" w:eastAsia="Book Antiqua" w:hAnsi="Book Antiqua" w:cs="Book Antiqua"/>
          <w:color w:val="000000"/>
        </w:rPr>
        <w:t>,</w:t>
      </w:r>
      <w:r w:rsidRPr="00387988">
        <w:rPr>
          <w:rFonts w:ascii="Book Antiqua" w:eastAsia="Book Antiqua" w:hAnsi="Book Antiqua" w:cs="Book Antiqua"/>
          <w:color w:val="000000"/>
        </w:rPr>
        <w:t xml:space="preserve"> while administration of NAC restored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stores. When mice were given NAC/GL combination, partial restoration of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stores was observed. GSH is known to reduce NAPQI and protect against oxidative damage. As expected, after an overdose of APAP, we observed an increase in oxidative stress resulting in a drastic decrease in the GSH/GSSG ratio. This situation return</w:t>
      </w:r>
      <w:r w:rsidR="00947CC2">
        <w:rPr>
          <w:rFonts w:ascii="Book Antiqua" w:eastAsia="Book Antiqua" w:hAnsi="Book Antiqua" w:cs="Book Antiqua"/>
          <w:color w:val="000000"/>
        </w:rPr>
        <w:t>ed</w:t>
      </w:r>
      <w:r w:rsidRPr="00387988">
        <w:rPr>
          <w:rFonts w:ascii="Book Antiqua" w:eastAsia="Book Antiqua" w:hAnsi="Book Antiqua" w:cs="Book Antiqua"/>
          <w:color w:val="000000"/>
        </w:rPr>
        <w:t xml:space="preserve"> to normal after administration of NAC and NAC/GL, as shown by the high ratio, whereas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offer</w:t>
      </w:r>
      <w:r w:rsidR="00947CC2">
        <w:rPr>
          <w:rFonts w:ascii="Book Antiqua" w:eastAsia="Book Antiqua" w:hAnsi="Book Antiqua" w:cs="Book Antiqua"/>
          <w:color w:val="000000"/>
        </w:rPr>
        <w:t>ed</w:t>
      </w:r>
      <w:r w:rsidRPr="00387988">
        <w:rPr>
          <w:rFonts w:ascii="Book Antiqua" w:eastAsia="Book Antiqua" w:hAnsi="Book Antiqua" w:cs="Book Antiqua"/>
          <w:color w:val="000000"/>
        </w:rPr>
        <w:t xml:space="preserve"> less protection.</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Delayed administration of NAC/GL combination reduced APAP-induced hepatocytes necrosis compare to GL or NAC alone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We explored the effect of delayed administration of GL, NAC or NAC/GL combination under the same conditions (APAP 500 mg/kg; mice sacrificed after 12 h). As shown in Figure 6A and B, all treatments (GL, NAC and NAC/GL) administered 2 h or 6 h after APAP administration, resulted in significant decreases in ALT and AST at similar levels. </w:t>
      </w:r>
      <w:r w:rsidR="006C1C89">
        <w:rPr>
          <w:rFonts w:ascii="Book Antiqua" w:eastAsia="Book Antiqua" w:hAnsi="Book Antiqua" w:cs="Book Antiqua"/>
          <w:color w:val="000000"/>
        </w:rPr>
        <w:t>Regarding</w:t>
      </w:r>
      <w:r w:rsidRPr="00387988">
        <w:rPr>
          <w:rFonts w:ascii="Book Antiqua" w:eastAsia="Book Antiqua" w:hAnsi="Book Antiqua" w:cs="Book Antiqua"/>
          <w:color w:val="000000"/>
        </w:rPr>
        <w:t xml:space="preserve"> the plasma concentration of LDH, NAC and the NAC/GL combination remained effective at 2 h and 6 h, in contrast to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which no longer </w:t>
      </w:r>
      <w:r w:rsidR="006C1C89">
        <w:rPr>
          <w:rFonts w:ascii="Book Antiqua" w:eastAsia="Book Antiqua" w:hAnsi="Book Antiqua" w:cs="Book Antiqua"/>
          <w:color w:val="000000"/>
        </w:rPr>
        <w:t>showed</w:t>
      </w:r>
      <w:r w:rsidRPr="00387988">
        <w:rPr>
          <w:rFonts w:ascii="Book Antiqua" w:eastAsia="Book Antiqua" w:hAnsi="Book Antiqua" w:cs="Book Antiqua"/>
          <w:color w:val="000000"/>
        </w:rPr>
        <w:t xml:space="preserve"> a protective effect </w:t>
      </w:r>
      <w:r w:rsidR="006C1C89">
        <w:rPr>
          <w:rFonts w:ascii="Book Antiqua" w:eastAsia="Book Antiqua" w:hAnsi="Book Antiqua" w:cs="Book Antiqua"/>
          <w:color w:val="000000"/>
        </w:rPr>
        <w:t xml:space="preserve">at </w:t>
      </w:r>
      <w:r w:rsidRPr="00387988">
        <w:rPr>
          <w:rFonts w:ascii="Book Antiqua" w:eastAsia="Book Antiqua" w:hAnsi="Book Antiqua" w:cs="Book Antiqua"/>
          <w:color w:val="000000"/>
        </w:rPr>
        <w:t>6 h after APAP administration. Furthermore, in Figure 6D and E, we observed a decrease in the necrosis score in all treatment groups. It is interesting to note that when treatment was administered 2</w:t>
      </w:r>
      <w:r w:rsidR="009F61E7" w:rsidRPr="00387988">
        <w:rPr>
          <w:rFonts w:ascii="Book Antiqua" w:hAnsi="Book Antiqua" w:cs="Book Antiqua"/>
          <w:color w:val="000000"/>
          <w:lang w:eastAsia="zh-CN"/>
        </w:rPr>
        <w:t xml:space="preserve"> h</w:t>
      </w:r>
      <w:r w:rsidRPr="00387988">
        <w:rPr>
          <w:rFonts w:ascii="Book Antiqua" w:eastAsia="Book Antiqua" w:hAnsi="Book Antiqua" w:cs="Book Antiqua"/>
          <w:color w:val="000000"/>
        </w:rPr>
        <w:t xml:space="preserve"> and 6 h after APAP, NAC/GL combination was associated with a lower necrosis score than NAC or GL alone. </w:t>
      </w:r>
    </w:p>
    <w:p w:rsidR="00A77B3E" w:rsidRPr="00387988" w:rsidRDefault="006C1C89" w:rsidP="00387988">
      <w:pPr>
        <w:snapToGrid w:val="0"/>
        <w:spacing w:line="360" w:lineRule="auto"/>
        <w:ind w:firstLineChars="100" w:firstLine="240"/>
        <w:jc w:val="both"/>
      </w:pPr>
      <w:r>
        <w:rPr>
          <w:rFonts w:ascii="Book Antiqua" w:eastAsia="Book Antiqua" w:hAnsi="Book Antiqua" w:cs="Book Antiqua"/>
          <w:color w:val="000000"/>
        </w:rPr>
        <w:t>Regarding the</w:t>
      </w:r>
      <w:r w:rsidR="00107D11" w:rsidRPr="00387988">
        <w:rPr>
          <w:rFonts w:ascii="Book Antiqua" w:eastAsia="Book Antiqua" w:hAnsi="Book Antiqua" w:cs="Book Antiqua"/>
          <w:color w:val="000000"/>
        </w:rPr>
        <w:t xml:space="preserve"> HMGB1 protein, all treatments (GL, NAC and NAC/GL) given at 2 h or 6 h after APAP administration decreased HMGB1 concentration (Figure 7A). GL and NAC/GL combination continued to maintain the nuclear localization of HMGB1 immunostaining in hepatocytes (Figure 7B and C).</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The administration of NAC and NAC/GL was still effective in restoring </w:t>
      </w:r>
      <w:r w:rsidR="00C32CE4">
        <w:rPr>
          <w:rFonts w:ascii="Book Antiqua" w:eastAsia="Book Antiqua" w:hAnsi="Book Antiqua" w:cs="Book Antiqua"/>
          <w:color w:val="000000"/>
        </w:rPr>
        <w:t>GSH</w:t>
      </w:r>
      <w:r w:rsidRPr="00387988">
        <w:rPr>
          <w:rFonts w:ascii="Book Antiqua" w:eastAsia="Book Antiqua" w:hAnsi="Book Antiqua" w:cs="Book Antiqua"/>
          <w:color w:val="000000"/>
        </w:rPr>
        <w:t xml:space="preserve"> stores and protecting against oxidative stress, </w:t>
      </w:r>
      <w:r w:rsidR="00F22B08" w:rsidRPr="00387988">
        <w:rPr>
          <w:rFonts w:ascii="Book Antiqua" w:eastAsia="Book Antiqua" w:hAnsi="Book Antiqua" w:cs="Book Antiqua"/>
          <w:color w:val="000000"/>
        </w:rPr>
        <w:t xml:space="preserve">as shown in Figure 8A and </w:t>
      </w:r>
      <w:r w:rsidRPr="00387988">
        <w:rPr>
          <w:rFonts w:ascii="Book Antiqua" w:eastAsia="Book Antiqua" w:hAnsi="Book Antiqua" w:cs="Book Antiqua"/>
          <w:color w:val="000000"/>
        </w:rPr>
        <w:t xml:space="preserve">B, respectively. On </w:t>
      </w:r>
      <w:r w:rsidRPr="00387988">
        <w:rPr>
          <w:rFonts w:ascii="Book Antiqua" w:eastAsia="Book Antiqua" w:hAnsi="Book Antiqua" w:cs="Book Antiqua"/>
          <w:color w:val="000000"/>
        </w:rPr>
        <w:lastRenderedPageBreak/>
        <w:t xml:space="preserve">the other hand, delayed administration of </w:t>
      </w:r>
      <w:r w:rsidR="007865B2">
        <w:rPr>
          <w:rFonts w:ascii="Book Antiqua" w:eastAsia="Book Antiqua" w:hAnsi="Book Antiqua" w:cs="Book Antiqua"/>
          <w:color w:val="000000"/>
        </w:rPr>
        <w:t>GL</w:t>
      </w:r>
      <w:r w:rsidRPr="00387988">
        <w:rPr>
          <w:rFonts w:ascii="Book Antiqua" w:eastAsia="Book Antiqua" w:hAnsi="Book Antiqua" w:cs="Book Antiqua"/>
          <w:color w:val="000000"/>
        </w:rPr>
        <w:t>, 2</w:t>
      </w:r>
      <w:r w:rsidR="00F22B08" w:rsidRPr="00387988">
        <w:rPr>
          <w:rFonts w:ascii="Book Antiqua" w:hAnsi="Book Antiqua" w:cs="Book Antiqua"/>
          <w:color w:val="000000"/>
          <w:lang w:eastAsia="zh-CN"/>
        </w:rPr>
        <w:t xml:space="preserve"> h</w:t>
      </w:r>
      <w:r w:rsidRPr="00387988">
        <w:rPr>
          <w:rFonts w:ascii="Book Antiqua" w:eastAsia="Book Antiqua" w:hAnsi="Book Antiqua" w:cs="Book Antiqua"/>
          <w:color w:val="000000"/>
        </w:rPr>
        <w:t xml:space="preserve"> and 6 h after acetaminophen, </w:t>
      </w:r>
      <w:r w:rsidR="006C1C89">
        <w:rPr>
          <w:rFonts w:ascii="Book Antiqua" w:eastAsia="Book Antiqua" w:hAnsi="Book Antiqua" w:cs="Book Antiqua"/>
          <w:color w:val="000000"/>
        </w:rPr>
        <w:t>wa</w:t>
      </w:r>
      <w:r w:rsidRPr="00387988">
        <w:rPr>
          <w:rFonts w:ascii="Book Antiqua" w:eastAsia="Book Antiqua" w:hAnsi="Book Antiqua" w:cs="Book Antiqua"/>
          <w:color w:val="000000"/>
        </w:rPr>
        <w:t>s no longer effective in restoring GSH stores and protecting against oxidative stress.</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i/>
          <w:iCs/>
          <w:color w:val="000000"/>
        </w:rPr>
        <w:t xml:space="preserve">Delayed administration of NAC/GL combination increased mice survival following APAP-induced liver injury compared to GL or NAC alone </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Survival rates were then analyzed for each treatment using Kaplan-Meier curves.</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As shown in Figure 9, administration of NAC/GL combination was associated with improved survival rates. Indeed, we observed that when treatment (GL, NAC or NAC/GL)</w:t>
      </w:r>
      <w:r w:rsidR="00320810" w:rsidRPr="00387988">
        <w:rPr>
          <w:rFonts w:ascii="Book Antiqua" w:eastAsia="Book Antiqua" w:hAnsi="Book Antiqua" w:cs="Book Antiqua"/>
          <w:color w:val="000000"/>
        </w:rPr>
        <w:t xml:space="preserve"> </w:t>
      </w:r>
      <w:r w:rsidR="006C1C89">
        <w:rPr>
          <w:rFonts w:ascii="Book Antiqua" w:eastAsia="Book Antiqua" w:hAnsi="Book Antiqua" w:cs="Book Antiqua"/>
          <w:color w:val="000000"/>
        </w:rPr>
        <w:t>wa</w:t>
      </w:r>
      <w:r w:rsidRPr="00387988">
        <w:rPr>
          <w:rFonts w:ascii="Book Antiqua" w:eastAsia="Book Antiqua" w:hAnsi="Book Antiqua" w:cs="Book Antiqua"/>
          <w:color w:val="000000"/>
        </w:rPr>
        <w:t>s administered at the same time as APAP, the survival of mice was significantly increased regardless of the treatment. However, if treatment (GL, NAC or</w:t>
      </w:r>
      <w:r w:rsidR="00F22B08" w:rsidRPr="00387988">
        <w:rPr>
          <w:rFonts w:ascii="Book Antiqua" w:eastAsia="Book Antiqua" w:hAnsi="Book Antiqua" w:cs="Book Antiqua"/>
          <w:color w:val="000000"/>
        </w:rPr>
        <w:t xml:space="preserve"> NAC/GL)</w:t>
      </w:r>
      <w:r w:rsidRPr="00387988">
        <w:rPr>
          <w:rFonts w:ascii="Book Antiqua" w:eastAsia="Book Antiqua" w:hAnsi="Book Antiqua" w:cs="Book Antiqua"/>
          <w:color w:val="000000"/>
        </w:rPr>
        <w:t> </w:t>
      </w:r>
      <w:r w:rsidR="006C1C89">
        <w:rPr>
          <w:rFonts w:ascii="Book Antiqua" w:eastAsia="Book Antiqua" w:hAnsi="Book Antiqua" w:cs="Book Antiqua"/>
          <w:color w:val="000000"/>
        </w:rPr>
        <w:t>wa</w:t>
      </w:r>
      <w:r w:rsidRPr="00387988">
        <w:rPr>
          <w:rFonts w:ascii="Book Antiqua" w:eastAsia="Book Antiqua" w:hAnsi="Book Antiqua" w:cs="Book Antiqua"/>
          <w:color w:val="000000"/>
        </w:rPr>
        <w:t>s given 2 h after APAP administration, both NAC and NAC/GL significantly improved survival in mice, but the GL los</w:t>
      </w:r>
      <w:r w:rsidR="006C1C89">
        <w:rPr>
          <w:rFonts w:ascii="Book Antiqua" w:eastAsia="Book Antiqua" w:hAnsi="Book Antiqua" w:cs="Book Antiqua"/>
          <w:color w:val="000000"/>
        </w:rPr>
        <w:t>t</w:t>
      </w:r>
      <w:r w:rsidRPr="00387988">
        <w:rPr>
          <w:rFonts w:ascii="Book Antiqua" w:eastAsia="Book Antiqua" w:hAnsi="Book Antiqua" w:cs="Book Antiqua"/>
          <w:color w:val="000000"/>
        </w:rPr>
        <w:t xml:space="preserve"> its protective effect.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Thereafter, if treatment (GL, NAC or NAC/GL) </w:t>
      </w:r>
      <w:r w:rsidR="006C1C89">
        <w:rPr>
          <w:rFonts w:ascii="Book Antiqua" w:eastAsia="Book Antiqua" w:hAnsi="Book Antiqua" w:cs="Book Antiqua"/>
          <w:color w:val="000000"/>
        </w:rPr>
        <w:t>wa</w:t>
      </w:r>
      <w:r w:rsidRPr="00387988">
        <w:rPr>
          <w:rFonts w:ascii="Book Antiqua" w:eastAsia="Book Antiqua" w:hAnsi="Book Antiqua" w:cs="Book Antiqua"/>
          <w:color w:val="000000"/>
        </w:rPr>
        <w:t xml:space="preserve">s administered </w:t>
      </w:r>
      <w:r w:rsidR="006C1C89">
        <w:rPr>
          <w:rFonts w:ascii="Book Antiqua" w:eastAsia="Book Antiqua" w:hAnsi="Book Antiqua" w:cs="Book Antiqua"/>
          <w:color w:val="000000"/>
        </w:rPr>
        <w:t>6 h</w:t>
      </w:r>
      <w:r w:rsidRPr="00387988">
        <w:rPr>
          <w:rFonts w:ascii="Book Antiqua" w:eastAsia="Book Antiqua" w:hAnsi="Book Antiqua" w:cs="Book Antiqua"/>
          <w:color w:val="000000"/>
        </w:rPr>
        <w:t xml:space="preserve"> after APAP administration, only the NAC/GL combination </w:t>
      </w:r>
      <w:r w:rsidR="006C1C89">
        <w:rPr>
          <w:rFonts w:ascii="Book Antiqua" w:eastAsia="Book Antiqua" w:hAnsi="Book Antiqua" w:cs="Book Antiqua"/>
          <w:color w:val="000000"/>
        </w:rPr>
        <w:t>showed</w:t>
      </w:r>
      <w:r w:rsidRPr="00387988">
        <w:rPr>
          <w:rFonts w:ascii="Book Antiqua" w:eastAsia="Book Antiqua" w:hAnsi="Book Antiqua" w:cs="Book Antiqua"/>
          <w:color w:val="000000"/>
        </w:rPr>
        <w:t xml:space="preserve"> significant survival efficacy. </w:t>
      </w:r>
    </w:p>
    <w:p w:rsidR="00A77B3E" w:rsidRPr="00387988" w:rsidRDefault="00A77B3E" w:rsidP="00387988">
      <w:pPr>
        <w:snapToGrid w:val="0"/>
        <w:spacing w:line="360" w:lineRule="auto"/>
        <w:jc w:val="both"/>
      </w:pPr>
    </w:p>
    <w:p w:rsidR="00A77B3E" w:rsidRPr="00387988" w:rsidRDefault="006C1C89" w:rsidP="00387988">
      <w:pPr>
        <w:snapToGrid w:val="0"/>
        <w:spacing w:line="360" w:lineRule="auto"/>
        <w:jc w:val="both"/>
      </w:pPr>
      <w:r>
        <w:rPr>
          <w:rFonts w:ascii="Book Antiqua" w:eastAsia="Book Antiqua" w:hAnsi="Book Antiqua" w:cs="Book Antiqua"/>
          <w:b/>
          <w:bCs/>
          <w:i/>
          <w:iCs/>
          <w:color w:val="000000"/>
        </w:rPr>
        <w:t>P</w:t>
      </w:r>
      <w:r w:rsidR="00107D11" w:rsidRPr="00387988">
        <w:rPr>
          <w:rFonts w:ascii="Book Antiqua" w:eastAsia="Book Antiqua" w:hAnsi="Book Antiqua" w:cs="Book Antiqua"/>
          <w:b/>
          <w:bCs/>
          <w:i/>
          <w:iCs/>
          <w:color w:val="000000"/>
        </w:rPr>
        <w:t>rotective effects of the NAC/GL combination do not result from inhibition of hepatic expression of CYP2E1</w:t>
      </w:r>
    </w:p>
    <w:p w:rsidR="00A77B3E" w:rsidRPr="00387988" w:rsidRDefault="00D43E81" w:rsidP="00387988">
      <w:pPr>
        <w:snapToGrid w:val="0"/>
        <w:spacing w:line="360" w:lineRule="auto"/>
        <w:jc w:val="both"/>
      </w:pPr>
      <w:r w:rsidRPr="00387988">
        <w:rPr>
          <w:rFonts w:ascii="Book Antiqua" w:eastAsia="Book Antiqua" w:hAnsi="Book Antiqua" w:cs="Book Antiqua"/>
          <w:color w:val="000000"/>
        </w:rPr>
        <w:t xml:space="preserve">Yang </w:t>
      </w:r>
      <w:r w:rsidR="0094011E" w:rsidRPr="00387988">
        <w:rPr>
          <w:rFonts w:ascii="Book Antiqua" w:eastAsia="Book Antiqua" w:hAnsi="Book Antiqua" w:cs="Book Antiqua"/>
          <w:i/>
          <w:color w:val="000000"/>
        </w:rPr>
        <w:t>et al</w:t>
      </w:r>
      <w:r w:rsidRPr="00387988">
        <w:rPr>
          <w:rFonts w:ascii="Book Antiqua" w:hAnsi="Book Antiqua" w:cs="Book Antiqua"/>
          <w:color w:val="000000"/>
          <w:vertAlign w:val="superscript"/>
          <w:lang w:eastAsia="zh-CN"/>
        </w:rPr>
        <w:t>[</w:t>
      </w:r>
      <w:r w:rsidRPr="00387988">
        <w:rPr>
          <w:rFonts w:ascii="Book Antiqua" w:eastAsia="Book Antiqua" w:hAnsi="Book Antiqua" w:cs="Book Antiqua"/>
          <w:color w:val="000000"/>
          <w:vertAlign w:val="superscript"/>
        </w:rPr>
        <w:t>22</w:t>
      </w:r>
      <w:r w:rsidRPr="00387988">
        <w:rPr>
          <w:rFonts w:ascii="Book Antiqua" w:hAnsi="Book Antiqua" w:cs="Book Antiqua"/>
          <w:color w:val="000000"/>
          <w:vertAlign w:val="superscript"/>
          <w:lang w:eastAsia="zh-CN"/>
        </w:rPr>
        <w:t>]</w:t>
      </w:r>
      <w:r w:rsidR="00107D11" w:rsidRPr="00387988">
        <w:rPr>
          <w:rFonts w:ascii="Book Antiqua" w:eastAsia="Book Antiqua" w:hAnsi="Book Antiqua" w:cs="Book Antiqua"/>
          <w:color w:val="000000"/>
        </w:rPr>
        <w:t xml:space="preserve"> observed a decrease in CYP2E1 mRNA expression after glycyrrhetinic acid administration in a murine model of APAP-induced liver injury</w:t>
      </w:r>
      <w:r w:rsidR="006C1C89">
        <w:rPr>
          <w:rFonts w:ascii="Book Antiqua" w:eastAsia="Book Antiqua" w:hAnsi="Book Antiqua" w:cs="Book Antiqua"/>
          <w:color w:val="000000"/>
        </w:rPr>
        <w:t>;</w:t>
      </w:r>
      <w:r w:rsidR="00107D11" w:rsidRPr="00387988">
        <w:rPr>
          <w:rFonts w:ascii="Book Antiqua" w:eastAsia="Book Antiqua" w:hAnsi="Book Antiqua" w:cs="Book Antiqua"/>
          <w:b/>
          <w:bCs/>
          <w:i/>
          <w:iCs/>
          <w:color w:val="000000"/>
        </w:rPr>
        <w:t xml:space="preserve"> </w:t>
      </w:r>
      <w:r w:rsidR="006C1C89">
        <w:rPr>
          <w:rFonts w:ascii="Book Antiqua" w:eastAsia="Book Antiqua" w:hAnsi="Book Antiqua" w:cs="Book Antiqua"/>
          <w:color w:val="000000"/>
        </w:rPr>
        <w:t>t</w:t>
      </w:r>
      <w:r w:rsidR="00107D11" w:rsidRPr="00387988">
        <w:rPr>
          <w:rFonts w:ascii="Book Antiqua" w:eastAsia="Book Antiqua" w:hAnsi="Book Antiqua" w:cs="Book Antiqua"/>
          <w:color w:val="000000"/>
        </w:rPr>
        <w:t>hese results suggest</w:t>
      </w:r>
      <w:r w:rsidR="006C1C89">
        <w:rPr>
          <w:rFonts w:ascii="Book Antiqua" w:eastAsia="Book Antiqua" w:hAnsi="Book Antiqua" w:cs="Book Antiqua"/>
          <w:color w:val="000000"/>
        </w:rPr>
        <w:t>ed</w:t>
      </w:r>
      <w:r w:rsidR="00107D11" w:rsidRPr="00387988">
        <w:rPr>
          <w:rFonts w:ascii="Book Antiqua" w:eastAsia="Book Antiqua" w:hAnsi="Book Antiqua" w:cs="Book Antiqua"/>
          <w:color w:val="000000"/>
        </w:rPr>
        <w:t xml:space="preserve"> the influence of glycyrrhetinic acid, a metabolite of </w:t>
      </w:r>
      <w:r w:rsidR="007865B2">
        <w:rPr>
          <w:rFonts w:ascii="Book Antiqua" w:eastAsia="Book Antiqua" w:hAnsi="Book Antiqua" w:cs="Book Antiqua"/>
          <w:color w:val="000000"/>
        </w:rPr>
        <w:t>GL</w:t>
      </w:r>
      <w:r w:rsidR="00107D11" w:rsidRPr="00387988">
        <w:rPr>
          <w:rFonts w:ascii="Book Antiqua" w:eastAsia="Book Antiqua" w:hAnsi="Book Antiqua" w:cs="Book Antiqua"/>
          <w:color w:val="000000"/>
        </w:rPr>
        <w:t>, on APAP metabolism. To exclude this possibility in our murine model,</w:t>
      </w:r>
      <w:r w:rsidR="00320810" w:rsidRPr="00387988">
        <w:rPr>
          <w:rFonts w:ascii="Book Antiqua" w:eastAsia="Book Antiqua" w:hAnsi="Book Antiqua" w:cs="Book Antiqua"/>
          <w:color w:val="000000"/>
        </w:rPr>
        <w:t xml:space="preserve"> </w:t>
      </w:r>
      <w:r w:rsidR="00107D11" w:rsidRPr="00387988">
        <w:rPr>
          <w:rFonts w:ascii="Book Antiqua" w:eastAsia="Book Antiqua" w:hAnsi="Book Antiqua" w:cs="Book Antiqua"/>
          <w:color w:val="000000"/>
        </w:rPr>
        <w:t xml:space="preserve">RT-qPCR </w:t>
      </w:r>
      <w:r w:rsidR="006C1C89">
        <w:rPr>
          <w:rFonts w:ascii="Book Antiqua" w:eastAsia="Book Antiqua" w:hAnsi="Book Antiqua" w:cs="Book Antiqua"/>
          <w:color w:val="000000"/>
        </w:rPr>
        <w:t>was</w:t>
      </w:r>
      <w:r w:rsidR="006C1C89" w:rsidRPr="00387988">
        <w:rPr>
          <w:rFonts w:ascii="Book Antiqua" w:eastAsia="Book Antiqua" w:hAnsi="Book Antiqua" w:cs="Book Antiqua"/>
          <w:color w:val="000000"/>
        </w:rPr>
        <w:t xml:space="preserve"> </w:t>
      </w:r>
      <w:r w:rsidR="00107D11" w:rsidRPr="00387988">
        <w:rPr>
          <w:rFonts w:ascii="Book Antiqua" w:eastAsia="Book Antiqua" w:hAnsi="Book Antiqua" w:cs="Book Antiqua"/>
          <w:color w:val="000000"/>
        </w:rPr>
        <w:t xml:space="preserve">performed </w:t>
      </w:r>
      <w:r w:rsidR="006C1C89">
        <w:rPr>
          <w:rFonts w:ascii="Book Antiqua" w:eastAsia="Book Antiqua" w:hAnsi="Book Antiqua" w:cs="Book Antiqua"/>
          <w:color w:val="000000"/>
        </w:rPr>
        <w:t>o</w:t>
      </w:r>
      <w:r w:rsidR="00107D11" w:rsidRPr="00387988">
        <w:rPr>
          <w:rFonts w:ascii="Book Antiqua" w:eastAsia="Book Antiqua" w:hAnsi="Book Antiqua" w:cs="Book Antiqua"/>
          <w:color w:val="000000"/>
        </w:rPr>
        <w:t>n liver extracts. Decreased expression of CYP2E1 was observed over time in mice after APAP administration, as shown in Figure 10A. However, this decrease is no longer observed in mice treated with GL, NAC or NAC/GL combination. These r</w:t>
      </w:r>
      <w:r w:rsidR="009403D3" w:rsidRPr="00387988">
        <w:rPr>
          <w:rFonts w:ascii="Book Antiqua" w:eastAsia="Book Antiqua" w:hAnsi="Book Antiqua" w:cs="Book Antiqua"/>
          <w:color w:val="000000"/>
        </w:rPr>
        <w:t>esults, consistent with others</w:t>
      </w:r>
      <w:r w:rsidR="009403D3" w:rsidRPr="00387988">
        <w:rPr>
          <w:rFonts w:ascii="Book Antiqua" w:hAnsi="Book Antiqua" w:cs="Book Antiqua"/>
          <w:color w:val="000000"/>
          <w:vertAlign w:val="superscript"/>
          <w:lang w:eastAsia="zh-CN"/>
        </w:rPr>
        <w:t>[</w:t>
      </w:r>
      <w:r w:rsidR="009403D3" w:rsidRPr="00387988">
        <w:rPr>
          <w:rFonts w:ascii="Book Antiqua" w:eastAsia="Book Antiqua" w:hAnsi="Book Antiqua" w:cs="Book Antiqua"/>
          <w:color w:val="000000"/>
          <w:vertAlign w:val="superscript"/>
        </w:rPr>
        <w:t>23</w:t>
      </w:r>
      <w:r w:rsidR="009403D3" w:rsidRPr="00387988">
        <w:rPr>
          <w:rFonts w:ascii="Book Antiqua" w:hAnsi="Book Antiqua" w:cs="Book Antiqua"/>
          <w:color w:val="000000"/>
          <w:vertAlign w:val="superscript"/>
          <w:lang w:eastAsia="zh-CN"/>
        </w:rPr>
        <w:t>]</w:t>
      </w:r>
      <w:r w:rsidR="00107D11" w:rsidRPr="00387988">
        <w:rPr>
          <w:rFonts w:ascii="Book Antiqua" w:eastAsia="Book Antiqua" w:hAnsi="Book Antiqua" w:cs="Book Antiqua"/>
          <w:color w:val="000000"/>
        </w:rPr>
        <w:t xml:space="preserve">, demonstrated the lack of inhibition of CYP2E1 mRNA expression by the treatments used in our murine model.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DISCUSSION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 xml:space="preserve">Since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is less efficient for delayed treatment of acetaminophen-induced liver injury, other therapies need to be explore</w:t>
      </w:r>
      <w:r w:rsidR="006C1C89">
        <w:rPr>
          <w:rFonts w:ascii="Book Antiqua" w:eastAsia="Book Antiqua" w:hAnsi="Book Antiqua" w:cs="Book Antiqua"/>
          <w:color w:val="000000"/>
        </w:rPr>
        <w:t>d</w:t>
      </w:r>
      <w:r w:rsidRPr="00387988">
        <w:rPr>
          <w:rFonts w:ascii="Book Antiqua" w:eastAsia="Book Antiqua" w:hAnsi="Book Antiqua" w:cs="Book Antiqua"/>
          <w:color w:val="000000"/>
        </w:rPr>
        <w:t xml:space="preserve">. One such a drug is GL, the main biologically active component of </w:t>
      </w:r>
      <w:r w:rsidR="00441D22" w:rsidRPr="00387988">
        <w:rPr>
          <w:rFonts w:ascii="Book Antiqua" w:eastAsia="Book Antiqua" w:hAnsi="Book Antiqua" w:cs="Book Antiqua"/>
          <w:color w:val="000000"/>
        </w:rPr>
        <w:t>licorice</w:t>
      </w:r>
      <w:r w:rsidRPr="00387988">
        <w:rPr>
          <w:rFonts w:ascii="Book Antiqua" w:eastAsia="Book Antiqua" w:hAnsi="Book Antiqua" w:cs="Book Antiqua"/>
          <w:color w:val="000000"/>
        </w:rPr>
        <w:t>. This drug has already shown</w:t>
      </w:r>
      <w:r w:rsidR="006C1C89">
        <w:rPr>
          <w:rFonts w:ascii="Book Antiqua" w:eastAsia="Book Antiqua" w:hAnsi="Book Antiqua" w:cs="Book Antiqua"/>
          <w:color w:val="000000"/>
        </w:rPr>
        <w:t>,</w:t>
      </w:r>
      <w:r w:rsidRPr="00387988">
        <w:rPr>
          <w:rFonts w:ascii="Book Antiqua" w:eastAsia="Book Antiqua" w:hAnsi="Book Antiqua" w:cs="Book Antiqua"/>
          <w:color w:val="000000"/>
        </w:rPr>
        <w:t xml:space="preserve"> in other diseases</w:t>
      </w:r>
      <w:r w:rsidR="006C1C89">
        <w:rPr>
          <w:rFonts w:ascii="Book Antiqua" w:eastAsia="Book Antiqua" w:hAnsi="Book Antiqua" w:cs="Book Antiqua"/>
          <w:color w:val="000000"/>
        </w:rPr>
        <w:t>,</w:t>
      </w:r>
      <w:r w:rsidRPr="00387988">
        <w:rPr>
          <w:rFonts w:ascii="Book Antiqua" w:eastAsia="Book Antiqua" w:hAnsi="Book Antiqua" w:cs="Book Antiqua"/>
          <w:color w:val="000000"/>
        </w:rPr>
        <w:t xml:space="preserve"> a variety of pharmacological effect resulting from anti-inflammatory and antioxidant activities. We have previously confirmed the hepatoprotective effect of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in a murine model of APAP-induced liver injury and these results have been replicated i</w:t>
      </w:r>
      <w:r w:rsidR="00F22B08" w:rsidRPr="00387988">
        <w:rPr>
          <w:rFonts w:ascii="Book Antiqua" w:eastAsia="Book Antiqua" w:hAnsi="Book Antiqua" w:cs="Book Antiqua"/>
          <w:color w:val="000000"/>
        </w:rPr>
        <w:t>n a human hepatocyte cell line</w:t>
      </w:r>
      <w:r w:rsidRPr="00387988">
        <w:rPr>
          <w:rFonts w:ascii="Book Antiqua" w:eastAsia="Book Antiqua" w:hAnsi="Book Antiqua" w:cs="Book Antiqua"/>
          <w:color w:val="000000"/>
          <w:vertAlign w:val="superscript"/>
        </w:rPr>
        <w:t>[17]</w:t>
      </w:r>
      <w:r w:rsidRPr="00387988">
        <w:rPr>
          <w:rFonts w:ascii="Book Antiqua" w:eastAsia="Book Antiqua" w:hAnsi="Book Antiqua" w:cs="Book Antiqua"/>
          <w:color w:val="000000"/>
        </w:rPr>
        <w:t>.</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The aim of this study was to compare the potential efficacy of the NAC/GL combination </w:t>
      </w:r>
      <w:r w:rsidRPr="004060DA">
        <w:rPr>
          <w:rFonts w:ascii="Book Antiqua" w:eastAsia="Book Antiqua" w:hAnsi="Book Antiqua" w:cs="Book Antiqua"/>
          <w:i/>
          <w:iCs/>
          <w:color w:val="000000"/>
        </w:rPr>
        <w:t>vs</w:t>
      </w:r>
      <w:r w:rsidRPr="00387988">
        <w:rPr>
          <w:rFonts w:ascii="Book Antiqua" w:eastAsia="Book Antiqua" w:hAnsi="Book Antiqua" w:cs="Book Antiqua"/>
          <w:color w:val="000000"/>
        </w:rPr>
        <w:t xml:space="preserve"> GL or NAC alone. This study is based on the desire to combine an antioxidant drug that acts on the early phase of acetaminophen toxicity and an anti-inflammatory drug that acts on the late phase, after hepatocyte necrosis induced by the accumulation of the acetaminophen toxic metabolite.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We compared these three additional treatments on the liver injury by analysis of biochemical and histopathological parameters. At first, we studied the efficacy of each treatment when administered at the same time of APAP. Regardless of the treatment administered, an improvement in liver injury was observed. Next, we investigated the delayed administration of these three treatments. We observed a similar improvement in ALT, AST and LDH levels. Interestingly, the administration of NAC/GL, 2</w:t>
      </w:r>
      <w:r w:rsidR="00043501" w:rsidRPr="00387988">
        <w:rPr>
          <w:rFonts w:ascii="Book Antiqua" w:hAnsi="Book Antiqua" w:cs="Book Antiqua"/>
          <w:color w:val="000000"/>
          <w:lang w:eastAsia="zh-CN"/>
        </w:rPr>
        <w:t xml:space="preserve"> h</w:t>
      </w:r>
      <w:r w:rsidRPr="00387988">
        <w:rPr>
          <w:rFonts w:ascii="Book Antiqua" w:eastAsia="Book Antiqua" w:hAnsi="Book Antiqua" w:cs="Book Antiqua"/>
          <w:color w:val="000000"/>
        </w:rPr>
        <w:t xml:space="preserve"> and 6 h after APAP, decrease</w:t>
      </w:r>
      <w:r w:rsidR="00E66AEA">
        <w:rPr>
          <w:rFonts w:ascii="Book Antiqua" w:eastAsia="Book Antiqua" w:hAnsi="Book Antiqua" w:cs="Book Antiqua"/>
          <w:color w:val="000000"/>
        </w:rPr>
        <w:t>d</w:t>
      </w:r>
      <w:r w:rsidRPr="00387988">
        <w:rPr>
          <w:rFonts w:ascii="Book Antiqua" w:eastAsia="Book Antiqua" w:hAnsi="Book Antiqua" w:cs="Book Antiqua"/>
          <w:color w:val="000000"/>
        </w:rPr>
        <w:t xml:space="preserve"> centrilobular hepatocyte necrosis</w:t>
      </w:r>
      <w:r w:rsidR="00E66AEA">
        <w:rPr>
          <w:rFonts w:ascii="Book Antiqua" w:eastAsia="Book Antiqua" w:hAnsi="Book Antiqua" w:cs="Book Antiqua"/>
          <w:color w:val="000000"/>
        </w:rPr>
        <w:t>,</w:t>
      </w:r>
      <w:r w:rsidRPr="00387988">
        <w:rPr>
          <w:rFonts w:ascii="Book Antiqua" w:eastAsia="Book Antiqua" w:hAnsi="Book Antiqua" w:cs="Book Antiqua"/>
          <w:color w:val="000000"/>
        </w:rPr>
        <w:t xml:space="preserve"> in contrast to NAC and GL.</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Third, we assessed treatment</w:t>
      </w:r>
      <w:r w:rsidR="00E66AEA">
        <w:rPr>
          <w:rFonts w:ascii="Book Antiqua" w:eastAsia="Book Antiqua" w:hAnsi="Book Antiqua" w:cs="Book Antiqua"/>
          <w:color w:val="000000"/>
        </w:rPr>
        <w:t>-</w:t>
      </w:r>
      <w:r w:rsidRPr="00387988">
        <w:rPr>
          <w:rFonts w:ascii="Book Antiqua" w:eastAsia="Book Antiqua" w:hAnsi="Book Antiqua" w:cs="Book Antiqua"/>
          <w:color w:val="000000"/>
        </w:rPr>
        <w:t>dependent survival rates. We observed that GL already lo</w:t>
      </w:r>
      <w:r w:rsidR="00E66AEA">
        <w:rPr>
          <w:rFonts w:ascii="Book Antiqua" w:eastAsia="Book Antiqua" w:hAnsi="Book Antiqua" w:cs="Book Antiqua"/>
          <w:color w:val="000000"/>
        </w:rPr>
        <w:t>st</w:t>
      </w:r>
      <w:r w:rsidRPr="00387988">
        <w:rPr>
          <w:rFonts w:ascii="Book Antiqua" w:eastAsia="Book Antiqua" w:hAnsi="Book Antiqua" w:cs="Book Antiqua"/>
          <w:color w:val="000000"/>
        </w:rPr>
        <w:t xml:space="preserve"> its efficacy when administered 2 h after APAP and NAC when administered 6 h after APAP. It is important to note that the survival benefit was only observed in mice receiving NAC/GL. These observations suggest potential alternative mechanisms for this survival benefit. </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 xml:space="preserve">In view of the encouraging results obtained with the NAC/GL combination in the prevention of APAP-induced liver damage, it was important to examine whether the properties of each drug were maintained. Therefore, in each experiment we focused on the HMGB1 protein and the level of GSH. Regardless of when the NAC/GL combination was injected, the concentration of HMGB1 in the plasma of our mice was </w:t>
      </w:r>
      <w:r w:rsidRPr="00387988">
        <w:rPr>
          <w:rFonts w:ascii="Book Antiqua" w:eastAsia="Book Antiqua" w:hAnsi="Book Antiqua" w:cs="Book Antiqua"/>
          <w:color w:val="000000"/>
        </w:rPr>
        <w:lastRenderedPageBreak/>
        <w:t>significantly reduced. In addition, we observed the maintenance of the immunohistochemical staining of the protein in hepatocytes. Knowing the properties of HMGB1 as a “damage associated molecular pattern”</w:t>
      </w:r>
      <w:r w:rsidR="00E66AEA">
        <w:rPr>
          <w:rFonts w:ascii="Book Antiqua" w:eastAsia="Book Antiqua" w:hAnsi="Book Antiqua" w:cs="Book Antiqua"/>
          <w:color w:val="000000"/>
        </w:rPr>
        <w:t xml:space="preserve"> protein</w:t>
      </w:r>
      <w:r w:rsidRPr="00387988">
        <w:rPr>
          <w:rFonts w:ascii="Book Antiqua" w:eastAsia="Book Antiqua" w:hAnsi="Book Antiqua" w:cs="Book Antiqua"/>
          <w:color w:val="000000"/>
        </w:rPr>
        <w:t xml:space="preserve">, these </w:t>
      </w:r>
      <w:r w:rsidR="00E66AEA">
        <w:rPr>
          <w:rFonts w:ascii="Book Antiqua" w:eastAsia="Book Antiqua" w:hAnsi="Book Antiqua" w:cs="Book Antiqua"/>
          <w:color w:val="000000"/>
        </w:rPr>
        <w:t>two</w:t>
      </w:r>
      <w:r w:rsidRPr="00387988">
        <w:rPr>
          <w:rFonts w:ascii="Book Antiqua" w:eastAsia="Book Antiqua" w:hAnsi="Book Antiqua" w:cs="Book Antiqua"/>
          <w:color w:val="000000"/>
        </w:rPr>
        <w:t xml:space="preserve"> observations confirm </w:t>
      </w:r>
      <w:r w:rsidR="00E66AEA">
        <w:rPr>
          <w:rFonts w:ascii="Book Antiqua" w:eastAsia="Book Antiqua" w:hAnsi="Book Antiqua" w:cs="Book Antiqua"/>
          <w:color w:val="000000"/>
        </w:rPr>
        <w:t xml:space="preserve">in </w:t>
      </w:r>
      <w:r w:rsidRPr="00387988">
        <w:rPr>
          <w:rFonts w:ascii="Book Antiqua" w:eastAsia="Book Antiqua" w:hAnsi="Book Antiqua" w:cs="Book Antiqua"/>
          <w:color w:val="000000"/>
        </w:rPr>
        <w:t>us the idea of a protective effect. The main mechanism of action of NAC is to promote hepatic GSH synthesis which supports the detox</w:t>
      </w:r>
      <w:r w:rsidR="00043501" w:rsidRPr="00387988">
        <w:rPr>
          <w:rFonts w:ascii="Book Antiqua" w:hAnsi="Book Antiqua" w:cs="Book Antiqua"/>
          <w:color w:val="000000"/>
          <w:lang w:eastAsia="zh-CN"/>
        </w:rPr>
        <w:t>ifi</w:t>
      </w:r>
      <w:r w:rsidRPr="00387988">
        <w:rPr>
          <w:rFonts w:ascii="Book Antiqua" w:eastAsia="Book Antiqua" w:hAnsi="Book Antiqua" w:cs="Book Antiqua"/>
          <w:color w:val="000000"/>
        </w:rPr>
        <w:t>cation of NA</w:t>
      </w:r>
      <w:r w:rsidR="00043501" w:rsidRPr="00387988">
        <w:rPr>
          <w:rFonts w:ascii="Book Antiqua" w:eastAsia="Book Antiqua" w:hAnsi="Book Antiqua" w:cs="Book Antiqua"/>
          <w:color w:val="000000"/>
        </w:rPr>
        <w:t>PQI and reduces protein binding</w:t>
      </w:r>
      <w:r w:rsidR="00043501" w:rsidRPr="00387988">
        <w:rPr>
          <w:rFonts w:ascii="Book Antiqua" w:eastAsia="Book Antiqua" w:hAnsi="Book Antiqua" w:cs="Book Antiqua"/>
          <w:color w:val="000000"/>
          <w:vertAlign w:val="superscript"/>
        </w:rPr>
        <w:t>[24</w:t>
      </w:r>
      <w:r w:rsidRPr="00387988">
        <w:rPr>
          <w:rFonts w:ascii="Book Antiqua" w:eastAsia="Book Antiqua" w:hAnsi="Book Antiqua" w:cs="Book Antiqua"/>
          <w:color w:val="000000"/>
          <w:vertAlign w:val="superscript"/>
        </w:rPr>
        <w:t>]</w:t>
      </w:r>
      <w:r w:rsidRPr="00387988">
        <w:rPr>
          <w:rFonts w:ascii="Book Antiqua" w:eastAsia="Book Antiqua" w:hAnsi="Book Antiqua" w:cs="Book Antiqua"/>
          <w:color w:val="000000"/>
        </w:rPr>
        <w:t>. In our model, a complete recovery of hepatic GSH content was observed when treatment, NAC or NAC/GL, was administered at the same time of APAP. In addition, hepatic GSSG levels are decreased compared to APAP alone, as shown by the GSH/GSSG ratio, suggesting the absence of increasing levels of oxidative stress. When treatment was administered later than APAP, partial recovery of hepatic GSH levels was observed while the GSH/GSSG ratio remained similar. Thus, it appears that NAC loses its efficacy in the synthesis of GSH when administered at later times</w:t>
      </w:r>
      <w:r w:rsidR="00E66AEA">
        <w:rPr>
          <w:rFonts w:ascii="Book Antiqua" w:eastAsia="Book Antiqua" w:hAnsi="Book Antiqua" w:cs="Book Antiqua"/>
          <w:color w:val="000000"/>
        </w:rPr>
        <w:t>,</w:t>
      </w:r>
      <w:r w:rsidRPr="00387988">
        <w:rPr>
          <w:rFonts w:ascii="Book Antiqua" w:eastAsia="Book Antiqua" w:hAnsi="Book Antiqua" w:cs="Book Antiqua"/>
          <w:color w:val="000000"/>
        </w:rPr>
        <w:t xml:space="preserve"> when oxidative stress does not appear to be higher. These results need further explorations.</w:t>
      </w:r>
    </w:p>
    <w:p w:rsidR="00A77B3E" w:rsidRPr="00387988" w:rsidRDefault="00E66AEA" w:rsidP="00387988">
      <w:pPr>
        <w:snapToGrid w:val="0"/>
        <w:spacing w:line="360" w:lineRule="auto"/>
        <w:ind w:firstLineChars="100" w:firstLine="240"/>
        <w:jc w:val="both"/>
      </w:pPr>
      <w:r>
        <w:rPr>
          <w:rFonts w:ascii="Book Antiqua" w:eastAsia="Book Antiqua" w:hAnsi="Book Antiqua" w:cs="Book Antiqua"/>
          <w:color w:val="000000"/>
        </w:rPr>
        <w:t>To</w:t>
      </w:r>
      <w:r w:rsidR="00107D11" w:rsidRPr="00387988">
        <w:rPr>
          <w:rFonts w:ascii="Book Antiqua" w:eastAsia="Book Antiqua" w:hAnsi="Book Antiqua" w:cs="Book Antiqua"/>
          <w:color w:val="000000"/>
        </w:rPr>
        <w:t xml:space="preserve"> our knowledge, this combination was not already te</w:t>
      </w:r>
      <w:r w:rsidR="00043501" w:rsidRPr="00387988">
        <w:rPr>
          <w:rFonts w:ascii="Book Antiqua" w:eastAsia="Book Antiqua" w:hAnsi="Book Antiqua" w:cs="Book Antiqua"/>
          <w:color w:val="000000"/>
        </w:rPr>
        <w:t xml:space="preserve">sted in mice. Xu </w:t>
      </w:r>
      <w:r w:rsidR="00186E92" w:rsidRPr="00387988">
        <w:rPr>
          <w:rFonts w:ascii="Book Antiqua" w:eastAsia="Book Antiqua" w:hAnsi="Book Antiqua" w:cs="Book Antiqua"/>
          <w:i/>
          <w:color w:val="000000"/>
        </w:rPr>
        <w:t>et al</w:t>
      </w:r>
      <w:r w:rsidR="00107D11" w:rsidRPr="00387988">
        <w:rPr>
          <w:rFonts w:ascii="Book Antiqua" w:eastAsia="Book Antiqua" w:hAnsi="Book Antiqua" w:cs="Book Antiqua"/>
          <w:color w:val="000000"/>
          <w:vertAlign w:val="superscript"/>
        </w:rPr>
        <w:t>[25]</w:t>
      </w:r>
      <w:r w:rsidR="00107D11" w:rsidRPr="00387988">
        <w:rPr>
          <w:rFonts w:ascii="Book Antiqua" w:eastAsia="Book Antiqua" w:hAnsi="Book Antiqua" w:cs="Book Antiqua"/>
          <w:color w:val="000000"/>
        </w:rPr>
        <w:t xml:space="preserve"> ha</w:t>
      </w:r>
      <w:r>
        <w:rPr>
          <w:rFonts w:ascii="Book Antiqua" w:eastAsia="Book Antiqua" w:hAnsi="Book Antiqua" w:cs="Book Antiqua"/>
          <w:color w:val="000000"/>
        </w:rPr>
        <w:t>d</w:t>
      </w:r>
      <w:r w:rsidR="00107D11" w:rsidRPr="00387988">
        <w:rPr>
          <w:rFonts w:ascii="Book Antiqua" w:eastAsia="Book Antiqua" w:hAnsi="Book Antiqua" w:cs="Book Antiqua"/>
          <w:color w:val="000000"/>
        </w:rPr>
        <w:t xml:space="preserve"> investigated this association in rats</w:t>
      </w:r>
      <w:r>
        <w:rPr>
          <w:rFonts w:ascii="Book Antiqua" w:eastAsia="Book Antiqua" w:hAnsi="Book Antiqua" w:cs="Book Antiqua"/>
          <w:color w:val="000000"/>
        </w:rPr>
        <w:t>, however</w:t>
      </w:r>
      <w:r w:rsidR="00107D11" w:rsidRPr="00387988">
        <w:rPr>
          <w:rFonts w:ascii="Book Antiqua" w:eastAsia="Book Antiqua" w:hAnsi="Book Antiqua" w:cs="Book Antiqua"/>
          <w:color w:val="000000"/>
        </w:rPr>
        <w:t xml:space="preserve">. They showed no benefit of NAC/GL combination </w:t>
      </w:r>
      <w:r w:rsidR="00107D11" w:rsidRPr="00387988">
        <w:rPr>
          <w:rFonts w:ascii="Book Antiqua" w:eastAsia="Book Antiqua" w:hAnsi="Book Antiqua" w:cs="Book Antiqua"/>
          <w:i/>
          <w:color w:val="000000"/>
        </w:rPr>
        <w:t>vs</w:t>
      </w:r>
      <w:r w:rsidR="00107D11" w:rsidRPr="00387988">
        <w:rPr>
          <w:rFonts w:ascii="Book Antiqua" w:eastAsia="Book Antiqua" w:hAnsi="Book Antiqua" w:cs="Book Antiqua"/>
          <w:color w:val="000000"/>
        </w:rPr>
        <w:t xml:space="preserve"> the use of NAC alone in the APAP-induced liver injury. However, these results are to be interpreted with caution. Inde</w:t>
      </w:r>
      <w:r w:rsidR="00C20214" w:rsidRPr="00387988">
        <w:rPr>
          <w:rFonts w:ascii="Book Antiqua" w:eastAsia="Book Antiqua" w:hAnsi="Book Antiqua" w:cs="Book Antiqua"/>
          <w:color w:val="000000"/>
        </w:rPr>
        <w:t xml:space="preserve">ed, </w:t>
      </w:r>
      <w:r w:rsidR="00107D11" w:rsidRPr="00387988">
        <w:rPr>
          <w:rFonts w:ascii="Book Antiqua" w:eastAsia="Book Antiqua" w:hAnsi="Book Antiqua" w:cs="Book Antiqua"/>
          <w:color w:val="000000"/>
        </w:rPr>
        <w:t>as described in the literature,</w:t>
      </w:r>
      <w:r w:rsidR="00320810" w:rsidRPr="00387988">
        <w:rPr>
          <w:rFonts w:ascii="Book Antiqua" w:eastAsia="Book Antiqua" w:hAnsi="Book Antiqua" w:cs="Book Antiqua"/>
          <w:color w:val="000000"/>
        </w:rPr>
        <w:t xml:space="preserve"> </w:t>
      </w:r>
      <w:r w:rsidR="00107D11" w:rsidRPr="00387988">
        <w:rPr>
          <w:rFonts w:ascii="Book Antiqua" w:eastAsia="Book Antiqua" w:hAnsi="Book Antiqua" w:cs="Book Antiqua"/>
          <w:color w:val="000000"/>
        </w:rPr>
        <w:t>rats are defined as resistant to the liver-damaging effects of APAP due to low mitochondrial dysfunction wh</w:t>
      </w:r>
      <w:r>
        <w:rPr>
          <w:rFonts w:ascii="Book Antiqua" w:eastAsia="Book Antiqua" w:hAnsi="Book Antiqua" w:cs="Book Antiqua"/>
          <w:color w:val="000000"/>
        </w:rPr>
        <w:t>ich</w:t>
      </w:r>
      <w:r w:rsidR="00107D11" w:rsidRPr="00387988">
        <w:rPr>
          <w:rFonts w:ascii="Book Antiqua" w:eastAsia="Book Antiqua" w:hAnsi="Book Antiqua" w:cs="Book Antiqua"/>
          <w:color w:val="000000"/>
        </w:rPr>
        <w:t xml:space="preserve"> prevented oxidative stress</w:t>
      </w:r>
      <w:r w:rsidR="00107D11" w:rsidRPr="00387988">
        <w:rPr>
          <w:rFonts w:ascii="Book Antiqua" w:eastAsia="Book Antiqua" w:hAnsi="Book Antiqua" w:cs="Book Antiqua"/>
          <w:color w:val="000000"/>
          <w:vertAlign w:val="superscript"/>
        </w:rPr>
        <w:t>[26</w:t>
      </w:r>
      <w:r w:rsidR="00C20214" w:rsidRPr="00387988">
        <w:rPr>
          <w:rFonts w:ascii="Book Antiqua" w:hAnsi="Book Antiqua" w:cs="Book Antiqua"/>
          <w:color w:val="000000"/>
          <w:vertAlign w:val="superscript"/>
          <w:lang w:eastAsia="zh-CN"/>
        </w:rPr>
        <w:t>-</w:t>
      </w:r>
      <w:r w:rsidR="00107D11" w:rsidRPr="00387988">
        <w:rPr>
          <w:rFonts w:ascii="Book Antiqua" w:eastAsia="Book Antiqua" w:hAnsi="Book Antiqua" w:cs="Book Antiqua"/>
          <w:color w:val="000000"/>
          <w:vertAlign w:val="superscript"/>
        </w:rPr>
        <w:t>28]</w:t>
      </w:r>
      <w:r w:rsidR="00107D11" w:rsidRPr="00387988">
        <w:rPr>
          <w:rFonts w:ascii="Book Antiqua" w:eastAsia="Book Antiqua" w:hAnsi="Book Antiqua" w:cs="Book Antiqua"/>
          <w:color w:val="000000"/>
        </w:rPr>
        <w:t>. This could explain why this combination works in our murine model.</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By browsing the literature, we observed that female mice are describe</w:t>
      </w:r>
      <w:r w:rsidR="00C20214" w:rsidRPr="00387988">
        <w:rPr>
          <w:rFonts w:ascii="Book Antiqua" w:eastAsia="Book Antiqua" w:hAnsi="Book Antiqua" w:cs="Book Antiqua"/>
          <w:color w:val="000000"/>
        </w:rPr>
        <w:t>d as resistant to acetaminophen</w:t>
      </w:r>
      <w:r w:rsidRPr="00387988">
        <w:rPr>
          <w:rFonts w:ascii="Book Antiqua" w:eastAsia="Book Antiqua" w:hAnsi="Book Antiqua" w:cs="Book Antiqua"/>
          <w:color w:val="000000"/>
        </w:rPr>
        <w:t xml:space="preserve">. In order to rule out the possibility of impact </w:t>
      </w:r>
      <w:r w:rsidR="00E66AEA">
        <w:rPr>
          <w:rFonts w:ascii="Book Antiqua" w:eastAsia="Book Antiqua" w:hAnsi="Book Antiqua" w:cs="Book Antiqua"/>
          <w:color w:val="000000"/>
        </w:rPr>
        <w:t xml:space="preserve">of sex </w:t>
      </w:r>
      <w:r w:rsidRPr="00387988">
        <w:rPr>
          <w:rFonts w:ascii="Book Antiqua" w:eastAsia="Book Antiqua" w:hAnsi="Book Antiqua" w:cs="Book Antiqua"/>
          <w:color w:val="000000"/>
        </w:rPr>
        <w:t>on the efficacy of the NAC/GL combination on paracetamol-induced liver lesions, we confirmed our results on male mice (supplementary data).</w:t>
      </w:r>
    </w:p>
    <w:p w:rsidR="00A77B3E" w:rsidRPr="00387988" w:rsidRDefault="00107D11" w:rsidP="00387988">
      <w:pPr>
        <w:snapToGrid w:val="0"/>
        <w:spacing w:line="360" w:lineRule="auto"/>
        <w:ind w:firstLineChars="100" w:firstLine="240"/>
        <w:jc w:val="both"/>
      </w:pPr>
      <w:r w:rsidRPr="00387988">
        <w:rPr>
          <w:rFonts w:ascii="Book Antiqua" w:eastAsia="Book Antiqua" w:hAnsi="Book Antiqua" w:cs="Book Antiqua"/>
          <w:color w:val="000000"/>
        </w:rPr>
        <w:t>This study open</w:t>
      </w:r>
      <w:r w:rsidR="00E66AEA">
        <w:rPr>
          <w:rFonts w:ascii="Book Antiqua" w:eastAsia="Book Antiqua" w:hAnsi="Book Antiqua" w:cs="Book Antiqua"/>
          <w:color w:val="000000"/>
        </w:rPr>
        <w:t>s</w:t>
      </w:r>
      <w:r w:rsidRPr="00387988">
        <w:rPr>
          <w:rFonts w:ascii="Book Antiqua" w:eastAsia="Book Antiqua" w:hAnsi="Book Antiqua" w:cs="Book Antiqua"/>
          <w:color w:val="000000"/>
        </w:rPr>
        <w:t xml:space="preserve"> a potential new therapeutic pathway in the prevention of acetaminophen hepatotoxicity.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CONCLUSION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lastRenderedPageBreak/>
        <w:t xml:space="preserve">In conclusion, compared to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alone, concomitant administration of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decreased the liver necrosis score and improve</w:t>
      </w:r>
      <w:r w:rsidR="008D614B">
        <w:rPr>
          <w:rFonts w:ascii="Book Antiqua" w:eastAsia="Book Antiqua" w:hAnsi="Book Antiqua" w:cs="Book Antiqua"/>
          <w:color w:val="000000"/>
        </w:rPr>
        <w:t>d</w:t>
      </w:r>
      <w:r w:rsidRPr="00387988">
        <w:rPr>
          <w:rFonts w:ascii="Book Antiqua" w:eastAsia="Book Antiqua" w:hAnsi="Book Antiqua" w:cs="Book Antiqua"/>
          <w:color w:val="000000"/>
        </w:rPr>
        <w:t xml:space="preserve"> the survival during acetaminophen-induced liver injury in mice. These results suggest</w:t>
      </w:r>
      <w:r w:rsidR="008D614B">
        <w:rPr>
          <w:rFonts w:ascii="Book Antiqua" w:eastAsia="Book Antiqua" w:hAnsi="Book Antiqua" w:cs="Book Antiqua"/>
          <w:color w:val="000000"/>
        </w:rPr>
        <w:t>,</w:t>
      </w:r>
      <w:r w:rsidRPr="00387988">
        <w:rPr>
          <w:rFonts w:ascii="Book Antiqua" w:eastAsia="Book Antiqua" w:hAnsi="Book Antiqua" w:cs="Book Antiqua"/>
          <w:color w:val="000000"/>
        </w:rPr>
        <w:t xml:space="preserve"> for the first time</w:t>
      </w:r>
      <w:r w:rsidR="008D614B">
        <w:rPr>
          <w:rFonts w:ascii="Book Antiqua" w:eastAsia="Book Antiqua" w:hAnsi="Book Antiqua" w:cs="Book Antiqua"/>
          <w:color w:val="000000"/>
        </w:rPr>
        <w:t>,</w:t>
      </w:r>
      <w:r w:rsidRPr="00387988">
        <w:rPr>
          <w:rFonts w:ascii="Book Antiqua" w:eastAsia="Book Antiqua" w:hAnsi="Book Antiqua" w:cs="Book Antiqua"/>
          <w:color w:val="000000"/>
        </w:rPr>
        <w:t xml:space="preserve"> that the combination of an antioxidant like </w:t>
      </w:r>
      <w:r w:rsidR="00750C35">
        <w:rPr>
          <w:rFonts w:ascii="Book Antiqua" w:eastAsia="Book Antiqua" w:hAnsi="Book Antiqua" w:cs="Book Antiqua"/>
          <w:color w:val="000000"/>
        </w:rPr>
        <w:t>NAC</w:t>
      </w:r>
      <w:r w:rsidRPr="00387988">
        <w:rPr>
          <w:rFonts w:ascii="Book Antiqua" w:eastAsia="Book Antiqua" w:hAnsi="Book Antiqua" w:cs="Book Antiqua"/>
          <w:color w:val="000000"/>
        </w:rPr>
        <w:t xml:space="preserve"> and an anti-inflammatory drug like </w:t>
      </w:r>
      <w:r w:rsidR="007865B2">
        <w:rPr>
          <w:rFonts w:ascii="Book Antiqua" w:eastAsia="Book Antiqua" w:hAnsi="Book Antiqua" w:cs="Book Antiqua"/>
          <w:color w:val="000000"/>
        </w:rPr>
        <w:t>GL</w:t>
      </w:r>
      <w:r w:rsidR="007865B2"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prevent</w:t>
      </w:r>
      <w:r w:rsidR="008D614B">
        <w:rPr>
          <w:rFonts w:ascii="Book Antiqua" w:eastAsia="Book Antiqua" w:hAnsi="Book Antiqua" w:cs="Book Antiqua"/>
          <w:color w:val="000000"/>
        </w:rPr>
        <w:t>s</w:t>
      </w:r>
      <w:r w:rsidRPr="00387988">
        <w:rPr>
          <w:rFonts w:ascii="Book Antiqua" w:eastAsia="Book Antiqua" w:hAnsi="Book Antiqua" w:cs="Book Antiqua"/>
          <w:color w:val="000000"/>
        </w:rPr>
        <w:t xml:space="preserve"> the liver damage induced by acetaminophen intoxication.</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ARTICLE HIGHLIGHTS</w:t>
      </w: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background</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 xml:space="preserve">Acetaminophen overdose is the most frequent cause of drug-induced liver failure in the developed countries. Despite substantial progress in the understanding of the mechanism of hepatocellular injury, N-acetylcysteine remains the only effective treatment if administered within 8 </w:t>
      </w:r>
      <w:r w:rsidR="008D614B">
        <w:rPr>
          <w:rFonts w:ascii="Book Antiqua" w:eastAsia="Book Antiqua" w:hAnsi="Book Antiqua" w:cs="Book Antiqua"/>
          <w:color w:val="000000"/>
        </w:rPr>
        <w:t xml:space="preserve">h </w:t>
      </w:r>
      <w:r w:rsidRPr="00387988">
        <w:rPr>
          <w:rFonts w:ascii="Book Antiqua" w:eastAsia="Book Antiqua" w:hAnsi="Book Antiqua" w:cs="Book Antiqua"/>
          <w:color w:val="000000"/>
        </w:rPr>
        <w:t>to 10 h of acetaminophen ingestion. Thus, other hepatoprotective drugs are needed for the delayed treatment of acetaminophen-induced hepatotoxicity.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motivation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Our interest focused on glycyrrhizin</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for its role as an inhibitor of </w:t>
      </w:r>
      <w:r w:rsidR="00C20214" w:rsidRPr="00387988">
        <w:rPr>
          <w:rFonts w:ascii="Book Antiqua" w:eastAsia="Book Antiqua" w:hAnsi="Book Antiqua" w:cs="Book Antiqua"/>
          <w:color w:val="000000"/>
        </w:rPr>
        <w:t>high mobility group box</w:t>
      </w:r>
      <w:r w:rsidR="008D614B">
        <w:rPr>
          <w:rFonts w:ascii="Book Antiqua" w:eastAsia="Book Antiqua" w:hAnsi="Book Antiqua" w:cs="Book Antiqua"/>
          <w:color w:val="000000"/>
        </w:rPr>
        <w:t xml:space="preserve"> </w:t>
      </w:r>
      <w:r w:rsidR="00C20214" w:rsidRPr="00387988">
        <w:rPr>
          <w:rFonts w:ascii="Book Antiqua" w:eastAsia="Book Antiqua" w:hAnsi="Book Antiqua" w:cs="Book Antiqua"/>
          <w:color w:val="000000"/>
        </w:rPr>
        <w:t xml:space="preserve">1 </w:t>
      </w:r>
      <w:r w:rsidRPr="00387988">
        <w:rPr>
          <w:rFonts w:ascii="Book Antiqua" w:eastAsia="Book Antiqua" w:hAnsi="Book Antiqua" w:cs="Book Antiqua"/>
          <w:color w:val="000000"/>
        </w:rPr>
        <w:t>protein, a member of the family of damage associated molecular pattern</w:t>
      </w:r>
      <w:r w:rsidR="00763410">
        <w:rPr>
          <w:rFonts w:ascii="Book Antiqua" w:eastAsia="Book Antiqua" w:hAnsi="Book Antiqua" w:cs="Book Antiqua"/>
          <w:color w:val="000000"/>
        </w:rPr>
        <w:t xml:space="preserve">, </w:t>
      </w:r>
      <w:r w:rsidRPr="00387988">
        <w:rPr>
          <w:rFonts w:ascii="Book Antiqua" w:eastAsia="Book Antiqua" w:hAnsi="Book Antiqua" w:cs="Book Antiqua"/>
          <w:color w:val="000000"/>
        </w:rPr>
        <w:t>known to play important pathological role</w:t>
      </w:r>
      <w:r w:rsidR="008D614B">
        <w:rPr>
          <w:rFonts w:ascii="Book Antiqua" w:eastAsia="Book Antiqua" w:hAnsi="Book Antiqua" w:cs="Book Antiqua"/>
          <w:color w:val="000000"/>
        </w:rPr>
        <w:t>s</w:t>
      </w:r>
      <w:r w:rsidRPr="00387988">
        <w:rPr>
          <w:rFonts w:ascii="Book Antiqua" w:eastAsia="Book Antiqua" w:hAnsi="Book Antiqua" w:cs="Book Antiqua"/>
          <w:color w:val="000000"/>
        </w:rPr>
        <w:t xml:space="preserve"> in different diseases.</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objectives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The present study aimed to investigate the efficacy of the N-acetylcysteine/glycyrrhizin combination compared to N-acetylcysteine alone in the prevention of liver toxicity.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methods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Eight-week-old C57BL/6J wild-type female mice were used for all our experiments. Mice fasted for 15 h were treated with acetaminophen (500</w:t>
      </w:r>
      <w:r w:rsidR="00C20214" w:rsidRPr="00387988">
        <w:rPr>
          <w:rFonts w:ascii="Book Antiqua" w:hAnsi="Book Antiqua" w:cs="Book Antiqua"/>
          <w:color w:val="000000"/>
          <w:lang w:eastAsia="zh-CN"/>
        </w:rPr>
        <w:t xml:space="preserve"> </w:t>
      </w:r>
      <w:r w:rsidRPr="00387988">
        <w:rPr>
          <w:rFonts w:ascii="Book Antiqua" w:eastAsia="Book Antiqua" w:hAnsi="Book Antiqua" w:cs="Book Antiqua"/>
          <w:color w:val="000000"/>
        </w:rPr>
        <w:t>mg/kg)</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or vehicle (phosphate-buffered saline) by intraperitoneal injection and separated into</w:t>
      </w:r>
      <w:r w:rsidR="008D614B">
        <w:rPr>
          <w:rFonts w:ascii="Book Antiqua" w:eastAsia="Book Antiqua" w:hAnsi="Book Antiqua" w:cs="Book Antiqua"/>
          <w:color w:val="000000"/>
        </w:rPr>
        <w:t xml:space="preserve"> the</w:t>
      </w:r>
      <w:r w:rsidRPr="00387988">
        <w:rPr>
          <w:rFonts w:ascii="Book Antiqua" w:eastAsia="Book Antiqua" w:hAnsi="Book Antiqua" w:cs="Book Antiqua"/>
          <w:color w:val="000000"/>
        </w:rPr>
        <w:t xml:space="preserve"> following groups: glycyrrhizin (200 mg/kg)</w:t>
      </w:r>
      <w:r w:rsidR="008D614B">
        <w:rPr>
          <w:rFonts w:ascii="Book Antiqua" w:eastAsia="Book Antiqua" w:hAnsi="Book Antiqua" w:cs="Book Antiqua"/>
          <w:color w:val="000000"/>
        </w:rPr>
        <w:t>;</w:t>
      </w:r>
      <w:r w:rsidRPr="00387988">
        <w:rPr>
          <w:rFonts w:ascii="Book Antiqua" w:eastAsia="Book Antiqua" w:hAnsi="Book Antiqua" w:cs="Book Antiqua"/>
          <w:color w:val="000000"/>
        </w:rPr>
        <w:t xml:space="preserve"> N-acetylcysteine (150 mg/kg)</w:t>
      </w:r>
      <w:r w:rsidR="008D614B">
        <w:rPr>
          <w:rFonts w:ascii="Book Antiqua" w:eastAsia="Book Antiqua" w:hAnsi="Book Antiqua" w:cs="Book Antiqua"/>
          <w:color w:val="000000"/>
        </w:rPr>
        <w:t>;</w:t>
      </w:r>
      <w:r w:rsidRPr="00387988">
        <w:rPr>
          <w:rFonts w:ascii="Book Antiqua" w:eastAsia="Book Antiqua" w:hAnsi="Book Antiqua" w:cs="Book Antiqua"/>
          <w:color w:val="000000"/>
        </w:rPr>
        <w:t xml:space="preserve"> and N-</w:t>
      </w:r>
      <w:r w:rsidRPr="00387988">
        <w:rPr>
          <w:rFonts w:ascii="Book Antiqua" w:eastAsia="Book Antiqua" w:hAnsi="Book Antiqua" w:cs="Book Antiqua"/>
          <w:color w:val="000000"/>
        </w:rPr>
        <w:lastRenderedPageBreak/>
        <w:t>acetylcysteine/glycyrrhizin. Hepatotoxicity was assessed by biochemical and histopathological analyses.</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Survival rates were also compared.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results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In C57BL/6J mice,</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glycyrrhizin administration was shown to reduce the release of HMGB1 and </w:t>
      </w:r>
      <w:r w:rsidR="008D614B">
        <w:rPr>
          <w:rFonts w:ascii="Book Antiqua" w:eastAsia="Book Antiqua" w:hAnsi="Book Antiqua" w:cs="Book Antiqua"/>
          <w:color w:val="000000"/>
        </w:rPr>
        <w:t xml:space="preserve">to </w:t>
      </w:r>
      <w:r w:rsidRPr="00387988">
        <w:rPr>
          <w:rFonts w:ascii="Book Antiqua" w:eastAsia="Book Antiqua" w:hAnsi="Book Antiqua" w:cs="Book Antiqua"/>
          <w:color w:val="000000"/>
        </w:rPr>
        <w:t>significantly decrease the severity of acetaminophen-induced liver injury. Thus, the co-administration of glycyrrhizin and N-acetylcysteine was investigated. Administered concomitantly with acetaminophen, the combination significantly reduced the severity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liver injury. Delayed administration of</w:t>
      </w:r>
      <w:r w:rsidR="00320810"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 xml:space="preserve">the combination of drugs, </w:t>
      </w:r>
      <w:r w:rsidR="008D614B">
        <w:rPr>
          <w:rFonts w:ascii="Book Antiqua" w:eastAsia="Book Antiqua" w:hAnsi="Book Antiqua" w:cs="Book Antiqua"/>
          <w:color w:val="000000"/>
        </w:rPr>
        <w:t>2 h or 6 h</w:t>
      </w:r>
      <w:r w:rsidRPr="00387988">
        <w:rPr>
          <w:rFonts w:ascii="Book Antiqua" w:eastAsia="Book Antiqua" w:hAnsi="Book Antiqua" w:cs="Book Antiqua"/>
          <w:color w:val="000000"/>
        </w:rPr>
        <w:t xml:space="preserve"> after acetaminophen, also induced a significant decrease in hepatocyte necrosis compared to mice treated with N-acetylcysteine alone. In addition, administration of N-acetylcysteine/glycyrrhizin combination was associated with an improved survival rate compared to mice treated with only N-acetylcysteine.</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conclusions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Compared to N-acetylcysteine alone, co-administration of glycyrrhizin decreases the liver necrosis score and improves survival in our murine model of acetaminophen-induced liver injury.</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i/>
          <w:color w:val="000000"/>
        </w:rPr>
        <w:t>Research perspectives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Further experiments are needed to better investigate the efficacy of the N-acetylcysteine/glycyrrhizin combination, but these results suggest for the first time that the combination of an antioxidant like N-acetylcysteine and an anti-inflammatory drug like glycyrrhizin prevent</w:t>
      </w:r>
      <w:r w:rsidR="008D614B">
        <w:rPr>
          <w:rFonts w:ascii="Book Antiqua" w:eastAsia="Book Antiqua" w:hAnsi="Book Antiqua" w:cs="Book Antiqua"/>
          <w:color w:val="000000"/>
        </w:rPr>
        <w:t>s</w:t>
      </w:r>
      <w:r w:rsidRPr="00387988">
        <w:rPr>
          <w:rFonts w:ascii="Book Antiqua" w:eastAsia="Book Antiqua" w:hAnsi="Book Antiqua" w:cs="Book Antiqua"/>
          <w:color w:val="000000"/>
        </w:rPr>
        <w:t xml:space="preserve"> the liver damage induced by acetaminophen intoxication.</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aps/>
          <w:color w:val="000000"/>
          <w:u w:val="single"/>
        </w:rPr>
        <w:t>ACKNOWLEDGMENTS</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We thank Justine Allard and Mélanie Derock (DIAPATH-</w:t>
      </w:r>
      <w:r w:rsidR="008D614B">
        <w:rPr>
          <w:rFonts w:ascii="Book Antiqua" w:eastAsia="Book Antiqua" w:hAnsi="Book Antiqua" w:cs="Book Antiqua"/>
          <w:color w:val="000000"/>
        </w:rPr>
        <w:t>C</w:t>
      </w:r>
      <w:r w:rsidRPr="00387988">
        <w:rPr>
          <w:rFonts w:ascii="Book Antiqua" w:eastAsia="Book Antiqua" w:hAnsi="Book Antiqua" w:cs="Book Antiqua"/>
          <w:color w:val="000000"/>
        </w:rPr>
        <w:t xml:space="preserve">enter for </w:t>
      </w:r>
      <w:r w:rsidR="008D614B">
        <w:rPr>
          <w:rFonts w:ascii="Book Antiqua" w:eastAsia="Book Antiqua" w:hAnsi="Book Antiqua" w:cs="Book Antiqua"/>
          <w:color w:val="000000"/>
        </w:rPr>
        <w:t>M</w:t>
      </w:r>
      <w:r w:rsidRPr="00387988">
        <w:rPr>
          <w:rFonts w:ascii="Book Antiqua" w:eastAsia="Book Antiqua" w:hAnsi="Book Antiqua" w:cs="Book Antiqua"/>
          <w:color w:val="000000"/>
        </w:rPr>
        <w:t xml:space="preserve">icroscopy and </w:t>
      </w:r>
      <w:r w:rsidR="008D614B">
        <w:rPr>
          <w:rFonts w:ascii="Book Antiqua" w:eastAsia="Book Antiqua" w:hAnsi="Book Antiqua" w:cs="Book Antiqua"/>
          <w:color w:val="000000"/>
        </w:rPr>
        <w:t>M</w:t>
      </w:r>
      <w:r w:rsidRPr="00387988">
        <w:rPr>
          <w:rFonts w:ascii="Book Antiqua" w:eastAsia="Book Antiqua" w:hAnsi="Book Antiqua" w:cs="Book Antiqua"/>
          <w:color w:val="000000"/>
        </w:rPr>
        <w:t xml:space="preserve">olecular </w:t>
      </w:r>
      <w:r w:rsidR="008D614B">
        <w:rPr>
          <w:rFonts w:ascii="Book Antiqua" w:eastAsia="Book Antiqua" w:hAnsi="Book Antiqua" w:cs="Book Antiqua"/>
          <w:color w:val="000000"/>
        </w:rPr>
        <w:t>I</w:t>
      </w:r>
      <w:r w:rsidRPr="00387988">
        <w:rPr>
          <w:rFonts w:ascii="Book Antiqua" w:eastAsia="Book Antiqua" w:hAnsi="Book Antiqua" w:cs="Book Antiqua"/>
          <w:color w:val="000000"/>
        </w:rPr>
        <w:t xml:space="preserve">maging (CMMI), Gosselies, Belgium) for technical assistance in histological </w:t>
      </w:r>
      <w:r w:rsidRPr="00387988">
        <w:rPr>
          <w:rFonts w:ascii="Book Antiqua" w:eastAsia="Book Antiqua" w:hAnsi="Book Antiqua" w:cs="Book Antiqua"/>
          <w:color w:val="000000"/>
        </w:rPr>
        <w:lastRenderedPageBreak/>
        <w:t xml:space="preserve">and immunohistological staining. We </w:t>
      </w:r>
      <w:r w:rsidR="008D614B">
        <w:rPr>
          <w:rFonts w:ascii="Book Antiqua" w:eastAsia="Book Antiqua" w:hAnsi="Book Antiqua" w:cs="Book Antiqua"/>
          <w:color w:val="000000"/>
        </w:rPr>
        <w:t xml:space="preserve">also </w:t>
      </w:r>
      <w:r w:rsidRPr="00387988">
        <w:rPr>
          <w:rFonts w:ascii="Book Antiqua" w:eastAsia="Book Antiqua" w:hAnsi="Book Antiqua" w:cs="Book Antiqua"/>
          <w:color w:val="000000"/>
        </w:rPr>
        <w:t xml:space="preserve">thank Christine Decaestecker (DIAPATH-CMMI) for technical assistance in immunohistological staining quantification and statistical analysis. We would like to acknowledge the contribution of a medical writer, Sandy Field, PhD, </w:t>
      </w:r>
      <w:r w:rsidR="008D614B">
        <w:rPr>
          <w:rFonts w:ascii="Book Antiqua" w:eastAsia="Book Antiqua" w:hAnsi="Book Antiqua" w:cs="Book Antiqua"/>
          <w:color w:val="000000"/>
        </w:rPr>
        <w:t>for the</w:t>
      </w:r>
      <w:r w:rsidRPr="00387988">
        <w:rPr>
          <w:rFonts w:ascii="Book Antiqua" w:eastAsia="Book Antiqua" w:hAnsi="Book Antiqua" w:cs="Book Antiqua"/>
          <w:color w:val="000000"/>
        </w:rPr>
        <w:t xml:space="preserve"> English-language editing of this manuscript.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REFERENCES</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 </w:t>
      </w:r>
      <w:r w:rsidRPr="00387988">
        <w:rPr>
          <w:rFonts w:ascii="Book Antiqua" w:eastAsia="宋体" w:hAnsi="Book Antiqua"/>
          <w:b/>
          <w:kern w:val="2"/>
          <w:lang w:eastAsia="zh-CN"/>
        </w:rPr>
        <w:t>Bunchorntavakul C</w:t>
      </w:r>
      <w:r w:rsidRPr="00387988">
        <w:rPr>
          <w:rFonts w:ascii="Book Antiqua" w:eastAsia="宋体" w:hAnsi="Book Antiqua"/>
          <w:kern w:val="2"/>
          <w:lang w:eastAsia="zh-CN"/>
        </w:rPr>
        <w:t xml:space="preserve">, Reddy KR. Acetaminophen-related hepatotoxicity. </w:t>
      </w:r>
      <w:r w:rsidRPr="00387988">
        <w:rPr>
          <w:rFonts w:ascii="Book Antiqua" w:eastAsia="宋体" w:hAnsi="Book Antiqua"/>
          <w:i/>
          <w:kern w:val="2"/>
          <w:lang w:eastAsia="zh-CN"/>
        </w:rPr>
        <w:t>Clin Liver Dis</w:t>
      </w:r>
      <w:r w:rsidRPr="00387988">
        <w:rPr>
          <w:rFonts w:ascii="Book Antiqua" w:eastAsia="宋体" w:hAnsi="Book Antiqua"/>
          <w:kern w:val="2"/>
          <w:lang w:eastAsia="zh-CN"/>
        </w:rPr>
        <w:t xml:space="preserve"> 2013; </w:t>
      </w:r>
      <w:r w:rsidRPr="00387988">
        <w:rPr>
          <w:rFonts w:ascii="Book Antiqua" w:eastAsia="宋体" w:hAnsi="Book Antiqua"/>
          <w:b/>
          <w:kern w:val="2"/>
          <w:lang w:eastAsia="zh-CN"/>
        </w:rPr>
        <w:t>17</w:t>
      </w:r>
      <w:r w:rsidRPr="00387988">
        <w:rPr>
          <w:rFonts w:ascii="Book Antiqua" w:eastAsia="宋体" w:hAnsi="Book Antiqua"/>
          <w:kern w:val="2"/>
          <w:lang w:eastAsia="zh-CN"/>
        </w:rPr>
        <w:t>: 587-607, viii [PMID: 24099020 DOI: 10.1016/j.cld.2013.07.005]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 </w:t>
      </w:r>
      <w:r w:rsidRPr="00387988">
        <w:rPr>
          <w:rFonts w:ascii="Book Antiqua" w:eastAsia="宋体" w:hAnsi="Book Antiqua"/>
          <w:b/>
          <w:kern w:val="2"/>
          <w:lang w:eastAsia="zh-CN"/>
        </w:rPr>
        <w:t>Chun LJ</w:t>
      </w:r>
      <w:r w:rsidRPr="00387988">
        <w:rPr>
          <w:rFonts w:ascii="Book Antiqua" w:eastAsia="宋体" w:hAnsi="Book Antiqua"/>
          <w:kern w:val="2"/>
          <w:lang w:eastAsia="zh-CN"/>
        </w:rPr>
        <w:t xml:space="preserve">, Tong MJ, Busuttil RW, Hiatt JR. Acetaminophen hepatotoxicity and acute liver failure. </w:t>
      </w:r>
      <w:r w:rsidRPr="00387988">
        <w:rPr>
          <w:rFonts w:ascii="Book Antiqua" w:eastAsia="宋体" w:hAnsi="Book Antiqua"/>
          <w:i/>
          <w:kern w:val="2"/>
          <w:lang w:eastAsia="zh-CN"/>
        </w:rPr>
        <w:t>J Clin Gastroenterol</w:t>
      </w:r>
      <w:r w:rsidRPr="00387988">
        <w:rPr>
          <w:rFonts w:ascii="Book Antiqua" w:eastAsia="宋体" w:hAnsi="Book Antiqua"/>
          <w:kern w:val="2"/>
          <w:lang w:eastAsia="zh-CN"/>
        </w:rPr>
        <w:t xml:space="preserve"> 2009; </w:t>
      </w:r>
      <w:r w:rsidRPr="00387988">
        <w:rPr>
          <w:rFonts w:ascii="Book Antiqua" w:eastAsia="宋体" w:hAnsi="Book Antiqua"/>
          <w:b/>
          <w:kern w:val="2"/>
          <w:lang w:eastAsia="zh-CN"/>
        </w:rPr>
        <w:t>43</w:t>
      </w:r>
      <w:r w:rsidRPr="00387988">
        <w:rPr>
          <w:rFonts w:ascii="Book Antiqua" w:eastAsia="宋体" w:hAnsi="Book Antiqua"/>
          <w:kern w:val="2"/>
          <w:lang w:eastAsia="zh-CN"/>
        </w:rPr>
        <w:t>: 342-349 [PMID: 19169150 DOI: 10.1097/MCG.0b013e31818a3854]</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3 </w:t>
      </w:r>
      <w:r w:rsidRPr="00387988">
        <w:rPr>
          <w:rFonts w:ascii="Book Antiqua" w:eastAsia="宋体" w:hAnsi="Book Antiqua"/>
          <w:b/>
          <w:kern w:val="2"/>
          <w:lang w:eastAsia="zh-CN"/>
        </w:rPr>
        <w:t>Blieden M</w:t>
      </w:r>
      <w:r w:rsidRPr="00387988">
        <w:rPr>
          <w:rFonts w:ascii="Book Antiqua" w:eastAsia="宋体" w:hAnsi="Book Antiqua"/>
          <w:kern w:val="2"/>
          <w:lang w:eastAsia="zh-CN"/>
        </w:rPr>
        <w:t xml:space="preserve">, Paramore LC, Shah D, Ben-Joseph R. A perspective on the epidemiology of acetaminophen exposure and toxicity in the United States. </w:t>
      </w:r>
      <w:r w:rsidRPr="00387988">
        <w:rPr>
          <w:rFonts w:ascii="Book Antiqua" w:eastAsia="宋体" w:hAnsi="Book Antiqua"/>
          <w:i/>
          <w:kern w:val="2"/>
          <w:lang w:eastAsia="zh-CN"/>
        </w:rPr>
        <w:t>Expert Rev Clin Pharmacol</w:t>
      </w:r>
      <w:r w:rsidRPr="00387988">
        <w:rPr>
          <w:rFonts w:ascii="Book Antiqua" w:eastAsia="宋体" w:hAnsi="Book Antiqua"/>
          <w:kern w:val="2"/>
          <w:lang w:eastAsia="zh-CN"/>
        </w:rPr>
        <w:t xml:space="preserve"> 2014; </w:t>
      </w:r>
      <w:r w:rsidRPr="00387988">
        <w:rPr>
          <w:rFonts w:ascii="Book Antiqua" w:eastAsia="宋体" w:hAnsi="Book Antiqua"/>
          <w:b/>
          <w:kern w:val="2"/>
          <w:lang w:eastAsia="zh-CN"/>
        </w:rPr>
        <w:t>7</w:t>
      </w:r>
      <w:r w:rsidRPr="00387988">
        <w:rPr>
          <w:rFonts w:ascii="Book Antiqua" w:eastAsia="宋体" w:hAnsi="Book Antiqua"/>
          <w:kern w:val="2"/>
          <w:lang w:eastAsia="zh-CN"/>
        </w:rPr>
        <w:t>: 341-348 [PMID: 24678654 DOI: 10.1586/17512433.2014.904744]</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4 </w:t>
      </w:r>
      <w:r w:rsidRPr="00387988">
        <w:rPr>
          <w:rFonts w:ascii="Book Antiqua" w:eastAsia="宋体" w:hAnsi="Book Antiqua"/>
          <w:b/>
          <w:kern w:val="2"/>
          <w:lang w:eastAsia="zh-CN"/>
        </w:rPr>
        <w:t>Larson AM</w:t>
      </w:r>
      <w:r w:rsidRPr="00387988">
        <w:rPr>
          <w:rFonts w:ascii="Book Antiqua" w:eastAsia="宋体" w:hAnsi="Book Antiqua"/>
          <w:kern w:val="2"/>
          <w:lang w:eastAsia="zh-CN"/>
        </w:rPr>
        <w:t xml:space="preserve">, Polson J, Fontana RJ, Davern TJ, Lalani E, Hynan LS, Reisch JS, Schiødt FV, Ostapowicz G, Shakil AO, Lee WM; Acute Liver Failure Study Group. Acetaminophen-induced acute liver failure: results of a United States multicenter, prospective study. </w:t>
      </w:r>
      <w:r w:rsidRPr="00387988">
        <w:rPr>
          <w:rFonts w:ascii="Book Antiqua" w:eastAsia="宋体" w:hAnsi="Book Antiqua"/>
          <w:i/>
          <w:kern w:val="2"/>
          <w:lang w:eastAsia="zh-CN"/>
        </w:rPr>
        <w:t>Hepatology</w:t>
      </w:r>
      <w:r w:rsidRPr="00387988">
        <w:rPr>
          <w:rFonts w:ascii="Book Antiqua" w:eastAsia="宋体" w:hAnsi="Book Antiqua"/>
          <w:kern w:val="2"/>
          <w:lang w:eastAsia="zh-CN"/>
        </w:rPr>
        <w:t xml:space="preserve"> 2005; </w:t>
      </w:r>
      <w:r w:rsidRPr="00387988">
        <w:rPr>
          <w:rFonts w:ascii="Book Antiqua" w:eastAsia="宋体" w:hAnsi="Book Antiqua"/>
          <w:b/>
          <w:kern w:val="2"/>
          <w:lang w:eastAsia="zh-CN"/>
        </w:rPr>
        <w:t>42</w:t>
      </w:r>
      <w:r w:rsidRPr="00387988">
        <w:rPr>
          <w:rFonts w:ascii="Book Antiqua" w:eastAsia="宋体" w:hAnsi="Book Antiqua"/>
          <w:kern w:val="2"/>
          <w:lang w:eastAsia="zh-CN"/>
        </w:rPr>
        <w:t>: 1364-1372 [PMID: 16317692 DOI: 10.1002/hep.20948]</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5 </w:t>
      </w:r>
      <w:r w:rsidRPr="00387988">
        <w:rPr>
          <w:rFonts w:ascii="Book Antiqua" w:eastAsia="宋体" w:hAnsi="Book Antiqua"/>
          <w:b/>
          <w:kern w:val="2"/>
          <w:lang w:eastAsia="zh-CN"/>
        </w:rPr>
        <w:t>Nelson SD</w:t>
      </w:r>
      <w:r w:rsidRPr="00387988">
        <w:rPr>
          <w:rFonts w:ascii="Book Antiqua" w:eastAsia="宋体" w:hAnsi="Book Antiqua"/>
          <w:kern w:val="2"/>
          <w:lang w:eastAsia="zh-CN"/>
        </w:rPr>
        <w:t xml:space="preserve">. Molecular mechanisms of the hepatotoxicity caused by acetaminophen. </w:t>
      </w:r>
      <w:r w:rsidRPr="00387988">
        <w:rPr>
          <w:rFonts w:ascii="Book Antiqua" w:eastAsia="宋体" w:hAnsi="Book Antiqua"/>
          <w:i/>
          <w:kern w:val="2"/>
          <w:lang w:eastAsia="zh-CN"/>
        </w:rPr>
        <w:t>Semin Liver Dis</w:t>
      </w:r>
      <w:r w:rsidRPr="00387988">
        <w:rPr>
          <w:rFonts w:ascii="Book Antiqua" w:eastAsia="宋体" w:hAnsi="Book Antiqua"/>
          <w:kern w:val="2"/>
          <w:lang w:eastAsia="zh-CN"/>
        </w:rPr>
        <w:t xml:space="preserve"> 1990; </w:t>
      </w:r>
      <w:r w:rsidRPr="00387988">
        <w:rPr>
          <w:rFonts w:ascii="Book Antiqua" w:eastAsia="宋体" w:hAnsi="Book Antiqua"/>
          <w:b/>
          <w:kern w:val="2"/>
          <w:lang w:eastAsia="zh-CN"/>
        </w:rPr>
        <w:t>10</w:t>
      </w:r>
      <w:r w:rsidRPr="00387988">
        <w:rPr>
          <w:rFonts w:ascii="Book Antiqua" w:eastAsia="宋体" w:hAnsi="Book Antiqua"/>
          <w:kern w:val="2"/>
          <w:lang w:eastAsia="zh-CN"/>
        </w:rPr>
        <w:t>: 267-278 [PMID: 2281334 DOI: 10.1055/s-2008-1040482]</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6 </w:t>
      </w:r>
      <w:r w:rsidRPr="00387988">
        <w:rPr>
          <w:rFonts w:ascii="Book Antiqua" w:eastAsia="宋体" w:hAnsi="Book Antiqua"/>
          <w:b/>
          <w:kern w:val="2"/>
          <w:lang w:eastAsia="zh-CN"/>
        </w:rPr>
        <w:t>Martin-Murphy BV</w:t>
      </w:r>
      <w:r w:rsidRPr="00387988">
        <w:rPr>
          <w:rFonts w:ascii="Book Antiqua" w:eastAsia="宋体" w:hAnsi="Book Antiqua"/>
          <w:kern w:val="2"/>
          <w:lang w:eastAsia="zh-CN"/>
        </w:rPr>
        <w:t xml:space="preserve">, Holt MP, Ju C. The role of damage associated molecular pattern molecules in acetaminophen-induced liver injury in mice. </w:t>
      </w:r>
      <w:r w:rsidRPr="00387988">
        <w:rPr>
          <w:rFonts w:ascii="Book Antiqua" w:eastAsia="宋体" w:hAnsi="Book Antiqua"/>
          <w:i/>
          <w:kern w:val="2"/>
          <w:lang w:eastAsia="zh-CN"/>
        </w:rPr>
        <w:t>Toxicol Lett</w:t>
      </w:r>
      <w:r w:rsidRPr="00387988">
        <w:rPr>
          <w:rFonts w:ascii="Book Antiqua" w:eastAsia="宋体" w:hAnsi="Book Antiqua"/>
          <w:kern w:val="2"/>
          <w:lang w:eastAsia="zh-CN"/>
        </w:rPr>
        <w:t xml:space="preserve"> 2010; </w:t>
      </w:r>
      <w:r w:rsidRPr="00387988">
        <w:rPr>
          <w:rFonts w:ascii="Book Antiqua" w:eastAsia="宋体" w:hAnsi="Book Antiqua"/>
          <w:b/>
          <w:kern w:val="2"/>
          <w:lang w:eastAsia="zh-CN"/>
        </w:rPr>
        <w:t>192</w:t>
      </w:r>
      <w:r w:rsidRPr="00387988">
        <w:rPr>
          <w:rFonts w:ascii="Book Antiqua" w:eastAsia="宋体" w:hAnsi="Book Antiqua"/>
          <w:kern w:val="2"/>
          <w:lang w:eastAsia="zh-CN"/>
        </w:rPr>
        <w:t>: 387-394 [PMID: 19931603 DOI: 10.1016/j.toxlet.2009.11.016]</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7 </w:t>
      </w:r>
      <w:r w:rsidRPr="00387988">
        <w:rPr>
          <w:rFonts w:ascii="Book Antiqua" w:eastAsia="宋体" w:hAnsi="Book Antiqua"/>
          <w:b/>
          <w:kern w:val="2"/>
          <w:lang w:eastAsia="zh-CN"/>
        </w:rPr>
        <w:t>Hinson JA</w:t>
      </w:r>
      <w:r w:rsidRPr="00387988">
        <w:rPr>
          <w:rFonts w:ascii="Book Antiqua" w:eastAsia="宋体" w:hAnsi="Book Antiqua"/>
          <w:kern w:val="2"/>
          <w:lang w:eastAsia="zh-CN"/>
        </w:rPr>
        <w:t xml:space="preserve">, Roberts DW, James LP. Mechanisms of acetaminophen-induced liver necrosis. </w:t>
      </w:r>
      <w:r w:rsidRPr="00387988">
        <w:rPr>
          <w:rFonts w:ascii="Book Antiqua" w:eastAsia="宋体" w:hAnsi="Book Antiqua"/>
          <w:i/>
          <w:kern w:val="2"/>
          <w:lang w:eastAsia="zh-CN"/>
        </w:rPr>
        <w:t>Handb Exp Pharmacol</w:t>
      </w:r>
      <w:r w:rsidRPr="00387988">
        <w:rPr>
          <w:rFonts w:ascii="Book Antiqua" w:eastAsia="宋体" w:hAnsi="Book Antiqua"/>
          <w:kern w:val="2"/>
          <w:lang w:eastAsia="zh-CN"/>
        </w:rPr>
        <w:t xml:space="preserve"> 2010; : 369-405 [PMID: 20020268 DOI: 10.1007/978-3-642-00663-0_12]</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8 </w:t>
      </w:r>
      <w:r w:rsidRPr="00387988">
        <w:rPr>
          <w:rFonts w:ascii="Book Antiqua" w:eastAsia="宋体" w:hAnsi="Book Antiqua"/>
          <w:b/>
          <w:kern w:val="2"/>
          <w:lang w:eastAsia="zh-CN"/>
        </w:rPr>
        <w:t>Green JL</w:t>
      </w:r>
      <w:r w:rsidRPr="00387988">
        <w:rPr>
          <w:rFonts w:ascii="Book Antiqua" w:eastAsia="宋体" w:hAnsi="Book Antiqua"/>
          <w:kern w:val="2"/>
          <w:lang w:eastAsia="zh-CN"/>
        </w:rPr>
        <w:t xml:space="preserve">, Heard KJ, Reynolds KM, Albert D. Oral and Intravenous Acetylcysteine for Treatment of Acetaminophen Toxicity: A Systematic Review and Meta-analysis. </w:t>
      </w:r>
      <w:r w:rsidRPr="00387988">
        <w:rPr>
          <w:rFonts w:ascii="Book Antiqua" w:eastAsia="宋体" w:hAnsi="Book Antiqua"/>
          <w:i/>
          <w:kern w:val="2"/>
          <w:lang w:eastAsia="zh-CN"/>
        </w:rPr>
        <w:t xml:space="preserve">West J </w:t>
      </w:r>
      <w:r w:rsidRPr="00387988">
        <w:rPr>
          <w:rFonts w:ascii="Book Antiqua" w:eastAsia="宋体" w:hAnsi="Book Antiqua"/>
          <w:i/>
          <w:kern w:val="2"/>
          <w:lang w:eastAsia="zh-CN"/>
        </w:rPr>
        <w:lastRenderedPageBreak/>
        <w:t>Emerg Med</w:t>
      </w:r>
      <w:r w:rsidRPr="00387988">
        <w:rPr>
          <w:rFonts w:ascii="Book Antiqua" w:eastAsia="宋体" w:hAnsi="Book Antiqua"/>
          <w:kern w:val="2"/>
          <w:lang w:eastAsia="zh-CN"/>
        </w:rPr>
        <w:t xml:space="preserve"> 2013; </w:t>
      </w:r>
      <w:r w:rsidRPr="00387988">
        <w:rPr>
          <w:rFonts w:ascii="Book Antiqua" w:eastAsia="宋体" w:hAnsi="Book Antiqua"/>
          <w:b/>
          <w:kern w:val="2"/>
          <w:lang w:eastAsia="zh-CN"/>
        </w:rPr>
        <w:t>14</w:t>
      </w:r>
      <w:r w:rsidRPr="00387988">
        <w:rPr>
          <w:rFonts w:ascii="Book Antiqua" w:eastAsia="宋体" w:hAnsi="Book Antiqua"/>
          <w:kern w:val="2"/>
          <w:lang w:eastAsia="zh-CN"/>
        </w:rPr>
        <w:t>: 218-226 [PMID: 23687539 DOI: 10.5811/westjem.2012.4.6885]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9 </w:t>
      </w:r>
      <w:r w:rsidRPr="00387988">
        <w:rPr>
          <w:rFonts w:ascii="Book Antiqua" w:eastAsia="宋体" w:hAnsi="Book Antiqua"/>
          <w:b/>
          <w:kern w:val="2"/>
          <w:lang w:eastAsia="zh-CN"/>
        </w:rPr>
        <w:t>Kerr F</w:t>
      </w:r>
      <w:r w:rsidRPr="00387988">
        <w:rPr>
          <w:rFonts w:ascii="Book Antiqua" w:eastAsia="宋体" w:hAnsi="Book Antiqua"/>
          <w:kern w:val="2"/>
          <w:lang w:eastAsia="zh-CN"/>
        </w:rPr>
        <w:t xml:space="preserve">, Dawson A, Whyte IM, Buckley N, Murray L, Graudins A, Chan B, Trudinger B. The Australasian Clinical Toxicology Investigators Collaboration randomized trial of different loading infusion rates of N-acetylcysteine. </w:t>
      </w:r>
      <w:r w:rsidRPr="00387988">
        <w:rPr>
          <w:rFonts w:ascii="Book Antiqua" w:eastAsia="宋体" w:hAnsi="Book Antiqua"/>
          <w:i/>
          <w:kern w:val="2"/>
          <w:lang w:eastAsia="zh-CN"/>
        </w:rPr>
        <w:t>Ann Emerg Med</w:t>
      </w:r>
      <w:r w:rsidRPr="00387988">
        <w:rPr>
          <w:rFonts w:ascii="Book Antiqua" w:eastAsia="宋体" w:hAnsi="Book Antiqua"/>
          <w:kern w:val="2"/>
          <w:lang w:eastAsia="zh-CN"/>
        </w:rPr>
        <w:t xml:space="preserve"> 2005; </w:t>
      </w:r>
      <w:r w:rsidRPr="00387988">
        <w:rPr>
          <w:rFonts w:ascii="Book Antiqua" w:eastAsia="宋体" w:hAnsi="Book Antiqua"/>
          <w:b/>
          <w:kern w:val="2"/>
          <w:lang w:eastAsia="zh-CN"/>
        </w:rPr>
        <w:t>45</w:t>
      </w:r>
      <w:r w:rsidRPr="00387988">
        <w:rPr>
          <w:rFonts w:ascii="Book Antiqua" w:eastAsia="宋体" w:hAnsi="Book Antiqua"/>
          <w:kern w:val="2"/>
          <w:lang w:eastAsia="zh-CN"/>
        </w:rPr>
        <w:t>: 402-408 [PMID: 15795719 DOI: 10.1016/j.annemergmed.2004.08.040]</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10 </w:t>
      </w:r>
      <w:r w:rsidRPr="00387988">
        <w:rPr>
          <w:rFonts w:ascii="Book Antiqua" w:eastAsia="宋体" w:hAnsi="Book Antiqua"/>
          <w:b/>
          <w:kern w:val="2"/>
          <w:lang w:eastAsia="zh-CN"/>
        </w:rPr>
        <w:t>Heard KJ</w:t>
      </w:r>
      <w:r w:rsidRPr="00387988">
        <w:rPr>
          <w:rFonts w:ascii="Book Antiqua" w:eastAsia="宋体" w:hAnsi="Book Antiqua"/>
          <w:kern w:val="2"/>
          <w:lang w:eastAsia="zh-CN"/>
        </w:rPr>
        <w:t xml:space="preserve">. Acetylcysteine for acetaminophen poisoning. </w:t>
      </w:r>
      <w:r w:rsidRPr="00387988">
        <w:rPr>
          <w:rFonts w:ascii="Book Antiqua" w:eastAsia="宋体" w:hAnsi="Book Antiqua"/>
          <w:i/>
          <w:kern w:val="2"/>
          <w:lang w:eastAsia="zh-CN"/>
        </w:rPr>
        <w:t>N Engl J Med</w:t>
      </w:r>
      <w:r w:rsidRPr="00387988">
        <w:rPr>
          <w:rFonts w:ascii="Book Antiqua" w:eastAsia="宋体" w:hAnsi="Book Antiqua"/>
          <w:kern w:val="2"/>
          <w:lang w:eastAsia="zh-CN"/>
        </w:rPr>
        <w:t xml:space="preserve"> 2008; </w:t>
      </w:r>
      <w:r w:rsidRPr="00387988">
        <w:rPr>
          <w:rFonts w:ascii="Book Antiqua" w:eastAsia="宋体" w:hAnsi="Book Antiqua"/>
          <w:b/>
          <w:kern w:val="2"/>
          <w:lang w:eastAsia="zh-CN"/>
        </w:rPr>
        <w:t>359</w:t>
      </w:r>
      <w:r w:rsidRPr="00387988">
        <w:rPr>
          <w:rFonts w:ascii="Book Antiqua" w:eastAsia="宋体" w:hAnsi="Book Antiqua"/>
          <w:kern w:val="2"/>
          <w:lang w:eastAsia="zh-CN"/>
        </w:rPr>
        <w:t>: 285-292 [PMID: 18635433 DOI: 10.1056/NEJMct0708278]</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11 </w:t>
      </w:r>
      <w:r w:rsidRPr="00387988">
        <w:rPr>
          <w:rFonts w:ascii="Book Antiqua" w:eastAsia="宋体" w:hAnsi="Book Antiqua"/>
          <w:b/>
          <w:kern w:val="2"/>
          <w:lang w:eastAsia="zh-CN"/>
        </w:rPr>
        <w:t>Dawson AH</w:t>
      </w:r>
      <w:r w:rsidRPr="00387988">
        <w:rPr>
          <w:rFonts w:ascii="Book Antiqua" w:eastAsia="宋体" w:hAnsi="Book Antiqua"/>
          <w:kern w:val="2"/>
          <w:lang w:eastAsia="zh-CN"/>
        </w:rPr>
        <w:t xml:space="preserve">, Henry DA, McEwen J. Adverse reactions to N-acetylcysteine during treatment for paracetamol poisoning. </w:t>
      </w:r>
      <w:r w:rsidRPr="00387988">
        <w:rPr>
          <w:rFonts w:ascii="Book Antiqua" w:eastAsia="宋体" w:hAnsi="Book Antiqua"/>
          <w:i/>
          <w:kern w:val="2"/>
          <w:lang w:eastAsia="zh-CN"/>
        </w:rPr>
        <w:t>Med J Aust</w:t>
      </w:r>
      <w:r w:rsidRPr="00387988">
        <w:rPr>
          <w:rFonts w:ascii="Book Antiqua" w:eastAsia="宋体" w:hAnsi="Book Antiqua"/>
          <w:kern w:val="2"/>
          <w:lang w:eastAsia="zh-CN"/>
        </w:rPr>
        <w:t xml:space="preserve"> 1989; </w:t>
      </w:r>
      <w:r w:rsidRPr="00387988">
        <w:rPr>
          <w:rFonts w:ascii="Book Antiqua" w:eastAsia="宋体" w:hAnsi="Book Antiqua"/>
          <w:b/>
          <w:kern w:val="2"/>
          <w:lang w:eastAsia="zh-CN"/>
        </w:rPr>
        <w:t>150</w:t>
      </w:r>
      <w:r w:rsidRPr="00387988">
        <w:rPr>
          <w:rFonts w:ascii="Book Antiqua" w:eastAsia="宋体" w:hAnsi="Book Antiqua"/>
          <w:kern w:val="2"/>
          <w:lang w:eastAsia="zh-CN"/>
        </w:rPr>
        <w:t>: 329-331 [PMID: 2716644]</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12 </w:t>
      </w:r>
      <w:r w:rsidRPr="00387988">
        <w:rPr>
          <w:rFonts w:ascii="Book Antiqua" w:eastAsia="宋体" w:hAnsi="Book Antiqua"/>
          <w:b/>
          <w:kern w:val="2"/>
          <w:lang w:eastAsia="zh-CN"/>
        </w:rPr>
        <w:t>Gum SI</w:t>
      </w:r>
      <w:r w:rsidRPr="00387988">
        <w:rPr>
          <w:rFonts w:ascii="Book Antiqua" w:eastAsia="宋体" w:hAnsi="Book Antiqua"/>
          <w:kern w:val="2"/>
          <w:lang w:eastAsia="zh-CN"/>
        </w:rPr>
        <w:t xml:space="preserve">, Cho MK. Recent updates on acetaminophen hepatotoxicity: the role of nrf2 in hepatoprotection. </w:t>
      </w:r>
      <w:r w:rsidRPr="00387988">
        <w:rPr>
          <w:rFonts w:ascii="Book Antiqua" w:eastAsia="宋体" w:hAnsi="Book Antiqua"/>
          <w:i/>
          <w:kern w:val="2"/>
          <w:lang w:eastAsia="zh-CN"/>
        </w:rPr>
        <w:t>Toxicol Res</w:t>
      </w:r>
      <w:r w:rsidRPr="00387988">
        <w:rPr>
          <w:rFonts w:ascii="Book Antiqua" w:eastAsia="宋体" w:hAnsi="Book Antiqua"/>
          <w:kern w:val="2"/>
          <w:lang w:eastAsia="zh-CN"/>
        </w:rPr>
        <w:t xml:space="preserve"> 2013; </w:t>
      </w:r>
      <w:r w:rsidRPr="00387988">
        <w:rPr>
          <w:rFonts w:ascii="Book Antiqua" w:eastAsia="宋体" w:hAnsi="Book Antiqua"/>
          <w:b/>
          <w:kern w:val="2"/>
          <w:lang w:eastAsia="zh-CN"/>
        </w:rPr>
        <w:t>29</w:t>
      </w:r>
      <w:r w:rsidRPr="00387988">
        <w:rPr>
          <w:rFonts w:ascii="Book Antiqua" w:eastAsia="宋体" w:hAnsi="Book Antiqua"/>
          <w:kern w:val="2"/>
          <w:lang w:eastAsia="zh-CN"/>
        </w:rPr>
        <w:t>: 165-172 [PMID: 24386516 DOI: 10.5487/TR.2013.29.3.165]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13 </w:t>
      </w:r>
      <w:r w:rsidRPr="00387988">
        <w:rPr>
          <w:rFonts w:ascii="Book Antiqua" w:eastAsia="宋体" w:hAnsi="Book Antiqua"/>
          <w:b/>
          <w:kern w:val="2"/>
          <w:lang w:eastAsia="zh-CN"/>
        </w:rPr>
        <w:t>Orlent H</w:t>
      </w:r>
      <w:r w:rsidRPr="00387988">
        <w:rPr>
          <w:rFonts w:ascii="Book Antiqua" w:eastAsia="宋体" w:hAnsi="Book Antiqua"/>
          <w:kern w:val="2"/>
          <w:lang w:eastAsia="zh-CN"/>
        </w:rPr>
        <w:t xml:space="preserve">, Hansen BE, Willems M, Brouwer JT, Huber R, Kullak-Ublick GA, Gerken G, Zeuzem S, Nevens F, Tielemans WC, Zondervan PE, Lagging M, Westin J, Schalm SW. Biochemical and histological effects of 26 weeks of glycyrrhizin treatment in chronic hepatitis C: a randomized phase II trial. </w:t>
      </w:r>
      <w:r w:rsidRPr="00387988">
        <w:rPr>
          <w:rFonts w:ascii="Book Antiqua" w:eastAsia="宋体" w:hAnsi="Book Antiqua"/>
          <w:i/>
          <w:kern w:val="2"/>
          <w:lang w:eastAsia="zh-CN"/>
        </w:rPr>
        <w:t>J Hepatol</w:t>
      </w:r>
      <w:r w:rsidRPr="00387988">
        <w:rPr>
          <w:rFonts w:ascii="Book Antiqua" w:eastAsia="宋体" w:hAnsi="Book Antiqua"/>
          <w:kern w:val="2"/>
          <w:lang w:eastAsia="zh-CN"/>
        </w:rPr>
        <w:t xml:space="preserve"> 2006; </w:t>
      </w:r>
      <w:r w:rsidRPr="00387988">
        <w:rPr>
          <w:rFonts w:ascii="Book Antiqua" w:eastAsia="宋体" w:hAnsi="Book Antiqua"/>
          <w:b/>
          <w:kern w:val="2"/>
          <w:lang w:eastAsia="zh-CN"/>
        </w:rPr>
        <w:t>45</w:t>
      </w:r>
      <w:r w:rsidRPr="00387988">
        <w:rPr>
          <w:rFonts w:ascii="Book Antiqua" w:eastAsia="宋体" w:hAnsi="Book Antiqua"/>
          <w:kern w:val="2"/>
          <w:lang w:eastAsia="zh-CN"/>
        </w:rPr>
        <w:t>: 539-546 [PMID: 16905220 DOI: 10.1016/j.jhep.2006.05.015]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14 </w:t>
      </w:r>
      <w:r w:rsidRPr="00387988">
        <w:rPr>
          <w:rFonts w:ascii="Book Antiqua" w:eastAsia="宋体" w:hAnsi="Book Antiqua"/>
          <w:b/>
          <w:kern w:val="2"/>
          <w:lang w:eastAsia="zh-CN"/>
        </w:rPr>
        <w:t>Abe M</w:t>
      </w:r>
      <w:r w:rsidRPr="00387988">
        <w:rPr>
          <w:rFonts w:ascii="Book Antiqua" w:eastAsia="宋体" w:hAnsi="Book Antiqua"/>
          <w:kern w:val="2"/>
          <w:lang w:eastAsia="zh-CN"/>
        </w:rPr>
        <w:t xml:space="preserve">, Akbar F, Hasebe A, Horiike N, Onji M. Glycyrrhizin enhances interleukin-10 production by liver dendritic cells in mice with hepatitis. </w:t>
      </w:r>
      <w:r w:rsidRPr="00387988">
        <w:rPr>
          <w:rFonts w:ascii="Book Antiqua" w:eastAsia="宋体" w:hAnsi="Book Antiqua"/>
          <w:i/>
          <w:kern w:val="2"/>
          <w:lang w:eastAsia="zh-CN"/>
        </w:rPr>
        <w:t>J Gastroenterol</w:t>
      </w:r>
      <w:r w:rsidRPr="00387988">
        <w:rPr>
          <w:rFonts w:ascii="Book Antiqua" w:eastAsia="宋体" w:hAnsi="Book Antiqua"/>
          <w:kern w:val="2"/>
          <w:lang w:eastAsia="zh-CN"/>
        </w:rPr>
        <w:t xml:space="preserve"> 2003; </w:t>
      </w:r>
      <w:r w:rsidRPr="00387988">
        <w:rPr>
          <w:rFonts w:ascii="Book Antiqua" w:eastAsia="宋体" w:hAnsi="Book Antiqua"/>
          <w:b/>
          <w:kern w:val="2"/>
          <w:lang w:eastAsia="zh-CN"/>
        </w:rPr>
        <w:t>38</w:t>
      </w:r>
      <w:r w:rsidRPr="00387988">
        <w:rPr>
          <w:rFonts w:ascii="Book Antiqua" w:eastAsia="宋体" w:hAnsi="Book Antiqua"/>
          <w:kern w:val="2"/>
          <w:lang w:eastAsia="zh-CN"/>
        </w:rPr>
        <w:t>: 962-967 [PMID: 14614603 DOI: 10.1007/s00535-003-1179-7]</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15 </w:t>
      </w:r>
      <w:r w:rsidRPr="00387988">
        <w:rPr>
          <w:rFonts w:ascii="Book Antiqua" w:eastAsia="宋体" w:hAnsi="Book Antiqua"/>
          <w:b/>
          <w:kern w:val="2"/>
          <w:lang w:eastAsia="zh-CN"/>
        </w:rPr>
        <w:t>Wan XY</w:t>
      </w:r>
      <w:r w:rsidRPr="00387988">
        <w:rPr>
          <w:rFonts w:ascii="Book Antiqua" w:eastAsia="宋体" w:hAnsi="Book Antiqua"/>
          <w:kern w:val="2"/>
          <w:lang w:eastAsia="zh-CN"/>
        </w:rPr>
        <w:t xml:space="preserve">, Luo M, Li XD, He P. Hepatoprotective and anti-hepatocarcinogenic effects of glycyrrhizin and matrine. </w:t>
      </w:r>
      <w:r w:rsidRPr="00387988">
        <w:rPr>
          <w:rFonts w:ascii="Book Antiqua" w:eastAsia="宋体" w:hAnsi="Book Antiqua"/>
          <w:i/>
          <w:kern w:val="2"/>
          <w:lang w:eastAsia="zh-CN"/>
        </w:rPr>
        <w:t>Chem Biol Interact</w:t>
      </w:r>
      <w:r w:rsidRPr="00387988">
        <w:rPr>
          <w:rFonts w:ascii="Book Antiqua" w:eastAsia="宋体" w:hAnsi="Book Antiqua"/>
          <w:kern w:val="2"/>
          <w:lang w:eastAsia="zh-CN"/>
        </w:rPr>
        <w:t xml:space="preserve"> 2009; </w:t>
      </w:r>
      <w:r w:rsidRPr="00387988">
        <w:rPr>
          <w:rFonts w:ascii="Book Antiqua" w:eastAsia="宋体" w:hAnsi="Book Antiqua"/>
          <w:b/>
          <w:kern w:val="2"/>
          <w:lang w:eastAsia="zh-CN"/>
        </w:rPr>
        <w:t>181</w:t>
      </w:r>
      <w:r w:rsidRPr="00387988">
        <w:rPr>
          <w:rFonts w:ascii="Book Antiqua" w:eastAsia="宋体" w:hAnsi="Book Antiqua"/>
          <w:kern w:val="2"/>
          <w:lang w:eastAsia="zh-CN"/>
        </w:rPr>
        <w:t>: 15-19 [PMID: 19426721 DOI: 10.1016/j.cbi.2009.04.013]</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16 </w:t>
      </w:r>
      <w:r w:rsidRPr="00387988">
        <w:rPr>
          <w:rFonts w:ascii="Book Antiqua" w:eastAsia="宋体" w:hAnsi="Book Antiqua"/>
          <w:b/>
          <w:kern w:val="2"/>
          <w:lang w:eastAsia="zh-CN"/>
        </w:rPr>
        <w:t>Mollica L</w:t>
      </w:r>
      <w:r w:rsidRPr="00387988">
        <w:rPr>
          <w:rFonts w:ascii="Book Antiqua" w:eastAsia="宋体" w:hAnsi="Book Antiqua"/>
          <w:kern w:val="2"/>
          <w:lang w:eastAsia="zh-CN"/>
        </w:rPr>
        <w:t xml:space="preserve">, De Marchis F, Spitaleri A, Dallacosta C, Pennacchini D, Zamai M, Agresti A, Trisciuoglio L, Musco G, Bianchi ME. Glycyrrhizin binds to high-mobility group box 1 protein and inhibits its cytokine activities. </w:t>
      </w:r>
      <w:r w:rsidRPr="00387988">
        <w:rPr>
          <w:rFonts w:ascii="Book Antiqua" w:eastAsia="宋体" w:hAnsi="Book Antiqua"/>
          <w:i/>
          <w:kern w:val="2"/>
          <w:lang w:eastAsia="zh-CN"/>
        </w:rPr>
        <w:t>Chem Biol</w:t>
      </w:r>
      <w:r w:rsidRPr="00387988">
        <w:rPr>
          <w:rFonts w:ascii="Book Antiqua" w:eastAsia="宋体" w:hAnsi="Book Antiqua"/>
          <w:kern w:val="2"/>
          <w:lang w:eastAsia="zh-CN"/>
        </w:rPr>
        <w:t xml:space="preserve"> 2007; </w:t>
      </w:r>
      <w:r w:rsidRPr="00387988">
        <w:rPr>
          <w:rFonts w:ascii="Book Antiqua" w:eastAsia="宋体" w:hAnsi="Book Antiqua"/>
          <w:b/>
          <w:kern w:val="2"/>
          <w:lang w:eastAsia="zh-CN"/>
        </w:rPr>
        <w:t>14</w:t>
      </w:r>
      <w:r w:rsidRPr="00387988">
        <w:rPr>
          <w:rFonts w:ascii="Book Antiqua" w:eastAsia="宋体" w:hAnsi="Book Antiqua"/>
          <w:kern w:val="2"/>
          <w:lang w:eastAsia="zh-CN"/>
        </w:rPr>
        <w:t>: 431-441 [PMID: 17462578 DOI: 10.1016/j.chembiol.2007.03.007]</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17 </w:t>
      </w:r>
      <w:r w:rsidRPr="00387988">
        <w:rPr>
          <w:rFonts w:ascii="Book Antiqua" w:eastAsia="宋体" w:hAnsi="Book Antiqua"/>
          <w:b/>
          <w:kern w:val="2"/>
          <w:lang w:eastAsia="zh-CN"/>
        </w:rPr>
        <w:t>Minsart C</w:t>
      </w:r>
      <w:r w:rsidRPr="00387988">
        <w:rPr>
          <w:rFonts w:ascii="Book Antiqua" w:eastAsia="宋体" w:hAnsi="Book Antiqua"/>
          <w:kern w:val="2"/>
          <w:lang w:eastAsia="zh-CN"/>
        </w:rPr>
        <w:t xml:space="preserve">, Liefferinckx C, Lemmers A, Dressen C, Quertinmont E, Leclercq I, Devière J, Moreau R, Gustot T. New insights in acetaminophen toxicity: HMGB1 </w:t>
      </w:r>
      <w:r w:rsidRPr="00387988">
        <w:rPr>
          <w:rFonts w:ascii="Book Antiqua" w:eastAsia="宋体" w:hAnsi="Book Antiqua"/>
          <w:kern w:val="2"/>
          <w:lang w:eastAsia="zh-CN"/>
        </w:rPr>
        <w:lastRenderedPageBreak/>
        <w:t xml:space="preserve">contributes by itself to amplify hepatocyte necrosis in vitro through the TLR4-TRIF-RIPK3 axis. </w:t>
      </w:r>
      <w:r w:rsidRPr="00387988">
        <w:rPr>
          <w:rFonts w:ascii="Book Antiqua" w:eastAsia="宋体" w:hAnsi="Book Antiqua"/>
          <w:i/>
          <w:kern w:val="2"/>
          <w:lang w:eastAsia="zh-CN"/>
        </w:rPr>
        <w:t>Sci Rep</w:t>
      </w:r>
      <w:r w:rsidRPr="00387988">
        <w:rPr>
          <w:rFonts w:ascii="Book Antiqua" w:eastAsia="宋体" w:hAnsi="Book Antiqua"/>
          <w:kern w:val="2"/>
          <w:lang w:eastAsia="zh-CN"/>
        </w:rPr>
        <w:t xml:space="preserve"> 2020; </w:t>
      </w:r>
      <w:r w:rsidRPr="00387988">
        <w:rPr>
          <w:rFonts w:ascii="Book Antiqua" w:eastAsia="宋体" w:hAnsi="Book Antiqua"/>
          <w:b/>
          <w:kern w:val="2"/>
          <w:lang w:eastAsia="zh-CN"/>
        </w:rPr>
        <w:t>10</w:t>
      </w:r>
      <w:r w:rsidRPr="00387988">
        <w:rPr>
          <w:rFonts w:ascii="Book Antiqua" w:eastAsia="宋体" w:hAnsi="Book Antiqua"/>
          <w:kern w:val="2"/>
          <w:lang w:eastAsia="zh-CN"/>
        </w:rPr>
        <w:t>: 5557 [PMID: 32221312 DOI: 10.1038/s41598-020-61270-1]</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18 </w:t>
      </w:r>
      <w:r w:rsidRPr="00387988">
        <w:rPr>
          <w:rFonts w:ascii="Book Antiqua" w:eastAsia="宋体" w:hAnsi="Book Antiqua"/>
          <w:b/>
          <w:kern w:val="2"/>
          <w:lang w:eastAsia="zh-CN"/>
        </w:rPr>
        <w:t>Antoine DJ</w:t>
      </w:r>
      <w:r w:rsidRPr="00387988">
        <w:rPr>
          <w:rFonts w:ascii="Book Antiqua" w:eastAsia="宋体" w:hAnsi="Book Antiqua"/>
          <w:kern w:val="2"/>
          <w:lang w:eastAsia="zh-CN"/>
        </w:rPr>
        <w:t xml:space="preserve">, Williams DP, Kipar A, Jenkins RE, Regan SL, Sathish JG, Kitteringham NR, Park BK. High-mobility group box-1 protein and keratin-18, circulating serum proteins informative of acetaminophen-induced necrosis and apoptosis in vivo. </w:t>
      </w:r>
      <w:r w:rsidRPr="00387988">
        <w:rPr>
          <w:rFonts w:ascii="Book Antiqua" w:eastAsia="宋体" w:hAnsi="Book Antiqua"/>
          <w:i/>
          <w:kern w:val="2"/>
          <w:lang w:eastAsia="zh-CN"/>
        </w:rPr>
        <w:t>Toxicol Sci</w:t>
      </w:r>
      <w:r w:rsidRPr="00387988">
        <w:rPr>
          <w:rFonts w:ascii="Book Antiqua" w:eastAsia="宋体" w:hAnsi="Book Antiqua"/>
          <w:kern w:val="2"/>
          <w:lang w:eastAsia="zh-CN"/>
        </w:rPr>
        <w:t xml:space="preserve"> 2009; </w:t>
      </w:r>
      <w:r w:rsidRPr="00387988">
        <w:rPr>
          <w:rFonts w:ascii="Book Antiqua" w:eastAsia="宋体" w:hAnsi="Book Antiqua"/>
          <w:b/>
          <w:kern w:val="2"/>
          <w:lang w:eastAsia="zh-CN"/>
        </w:rPr>
        <w:t>112</w:t>
      </w:r>
      <w:r w:rsidRPr="00387988">
        <w:rPr>
          <w:rFonts w:ascii="Book Antiqua" w:eastAsia="宋体" w:hAnsi="Book Antiqua"/>
          <w:kern w:val="2"/>
          <w:lang w:eastAsia="zh-CN"/>
        </w:rPr>
        <w:t>: 521-531 [PMID: 19783637 DOI: 10.1093/toxsci/kfp235]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19 </w:t>
      </w:r>
      <w:r w:rsidRPr="00387988">
        <w:rPr>
          <w:rFonts w:ascii="Book Antiqua" w:eastAsia="宋体" w:hAnsi="Book Antiqua"/>
          <w:b/>
          <w:kern w:val="2"/>
          <w:lang w:eastAsia="zh-CN"/>
        </w:rPr>
        <w:t>Cnop M</w:t>
      </w:r>
      <w:r w:rsidRPr="00387988">
        <w:rPr>
          <w:rFonts w:ascii="Book Antiqua" w:eastAsia="宋体" w:hAnsi="Book Antiqua"/>
          <w:kern w:val="2"/>
          <w:lang w:eastAsia="zh-CN"/>
        </w:rPr>
        <w:t xml:space="preserve">, Igoillo-Esteve M, Rai M, Begu A, Serroukh Y, Depondt C, Musuaya AE, Marhfour I, Ladrière L, Moles Lopez X, Lefkaditis D, Moore F, Brion JP, Cooper JM, Schapira AH, Clark A, Koeppen AH, Marchetti P, Pandolfo M, Eizirik DL, Féry F. Central role and mechanisms of β-cell dysfunction and death in friedreich ataxia-associated diabetes. </w:t>
      </w:r>
      <w:r w:rsidRPr="00387988">
        <w:rPr>
          <w:rFonts w:ascii="Book Antiqua" w:eastAsia="宋体" w:hAnsi="Book Antiqua"/>
          <w:i/>
          <w:kern w:val="2"/>
          <w:lang w:eastAsia="zh-CN"/>
        </w:rPr>
        <w:t>Ann Neurol</w:t>
      </w:r>
      <w:r w:rsidRPr="00387988">
        <w:rPr>
          <w:rFonts w:ascii="Book Antiqua" w:eastAsia="宋体" w:hAnsi="Book Antiqua"/>
          <w:kern w:val="2"/>
          <w:lang w:eastAsia="zh-CN"/>
        </w:rPr>
        <w:t xml:space="preserve"> 2012; </w:t>
      </w:r>
      <w:r w:rsidRPr="00387988">
        <w:rPr>
          <w:rFonts w:ascii="Book Antiqua" w:eastAsia="宋体" w:hAnsi="Book Antiqua"/>
          <w:b/>
          <w:kern w:val="2"/>
          <w:lang w:eastAsia="zh-CN"/>
        </w:rPr>
        <w:t>72</w:t>
      </w:r>
      <w:r w:rsidRPr="00387988">
        <w:rPr>
          <w:rFonts w:ascii="Book Antiqua" w:eastAsia="宋体" w:hAnsi="Book Antiqua"/>
          <w:kern w:val="2"/>
          <w:lang w:eastAsia="zh-CN"/>
        </w:rPr>
        <w:t>: 971-982 [PMID: 23280845 DOI: 10.1002/ana.23698]</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20 </w:t>
      </w:r>
      <w:r w:rsidRPr="00387988">
        <w:rPr>
          <w:rFonts w:ascii="Book Antiqua" w:eastAsia="宋体" w:hAnsi="Book Antiqua"/>
          <w:b/>
          <w:kern w:val="2"/>
          <w:lang w:eastAsia="zh-CN"/>
        </w:rPr>
        <w:t>Decaestecker C</w:t>
      </w:r>
      <w:r w:rsidRPr="00387988">
        <w:rPr>
          <w:rFonts w:ascii="Book Antiqua" w:eastAsia="宋体" w:hAnsi="Book Antiqua"/>
          <w:kern w:val="2"/>
          <w:lang w:eastAsia="zh-CN"/>
        </w:rPr>
        <w:t xml:space="preserve">, Lopez XM, D'Haene N, Roland I, Guendouz S, Duponchelle C, Berton A, Debeir O, Salmon I. Requirements for the valid quantification of immunostains on tissue microarray materials using image analysis. </w:t>
      </w:r>
      <w:r w:rsidRPr="00387988">
        <w:rPr>
          <w:rFonts w:ascii="Book Antiqua" w:eastAsia="宋体" w:hAnsi="Book Antiqua"/>
          <w:i/>
          <w:kern w:val="2"/>
          <w:lang w:eastAsia="zh-CN"/>
        </w:rPr>
        <w:t>Proteomics</w:t>
      </w:r>
      <w:r w:rsidRPr="00387988">
        <w:rPr>
          <w:rFonts w:ascii="Book Antiqua" w:eastAsia="宋体" w:hAnsi="Book Antiqua"/>
          <w:kern w:val="2"/>
          <w:lang w:eastAsia="zh-CN"/>
        </w:rPr>
        <w:t xml:space="preserve"> 2009; </w:t>
      </w:r>
      <w:r w:rsidRPr="00387988">
        <w:rPr>
          <w:rFonts w:ascii="Book Antiqua" w:eastAsia="宋体" w:hAnsi="Book Antiqua"/>
          <w:b/>
          <w:kern w:val="2"/>
          <w:lang w:eastAsia="zh-CN"/>
        </w:rPr>
        <w:t>9</w:t>
      </w:r>
      <w:r w:rsidRPr="00387988">
        <w:rPr>
          <w:rFonts w:ascii="Book Antiqua" w:eastAsia="宋体" w:hAnsi="Book Antiqua"/>
          <w:kern w:val="2"/>
          <w:lang w:eastAsia="zh-CN"/>
        </w:rPr>
        <w:t>: 4478-4494 [PMID: 19670370 DOI: 10.1002/pmic.200800936]</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21 </w:t>
      </w:r>
      <w:r w:rsidRPr="00387988">
        <w:rPr>
          <w:rFonts w:ascii="Book Antiqua" w:eastAsia="宋体" w:hAnsi="Book Antiqua"/>
          <w:b/>
          <w:kern w:val="2"/>
          <w:lang w:eastAsia="zh-CN"/>
        </w:rPr>
        <w:t>Pfaffl MW</w:t>
      </w:r>
      <w:r w:rsidRPr="00387988">
        <w:rPr>
          <w:rFonts w:ascii="Book Antiqua" w:eastAsia="宋体" w:hAnsi="Book Antiqua"/>
          <w:kern w:val="2"/>
          <w:lang w:eastAsia="zh-CN"/>
        </w:rPr>
        <w:t xml:space="preserve">. A new mathematical model for relative quantification in real-time RT-PCR. </w:t>
      </w:r>
      <w:r w:rsidRPr="00387988">
        <w:rPr>
          <w:rFonts w:ascii="Book Antiqua" w:eastAsia="宋体" w:hAnsi="Book Antiqua"/>
          <w:i/>
          <w:kern w:val="2"/>
          <w:lang w:eastAsia="zh-CN"/>
        </w:rPr>
        <w:t>Nucleic Acids Res</w:t>
      </w:r>
      <w:r w:rsidRPr="00387988">
        <w:rPr>
          <w:rFonts w:ascii="Book Antiqua" w:eastAsia="宋体" w:hAnsi="Book Antiqua"/>
          <w:kern w:val="2"/>
          <w:lang w:eastAsia="zh-CN"/>
        </w:rPr>
        <w:t xml:space="preserve"> 2001; </w:t>
      </w:r>
      <w:r w:rsidRPr="00387988">
        <w:rPr>
          <w:rFonts w:ascii="Book Antiqua" w:eastAsia="宋体" w:hAnsi="Book Antiqua"/>
          <w:b/>
          <w:kern w:val="2"/>
          <w:lang w:eastAsia="zh-CN"/>
        </w:rPr>
        <w:t>29</w:t>
      </w:r>
      <w:r w:rsidRPr="00387988">
        <w:rPr>
          <w:rFonts w:ascii="Book Antiqua" w:eastAsia="宋体" w:hAnsi="Book Antiqua"/>
          <w:kern w:val="2"/>
          <w:lang w:eastAsia="zh-CN"/>
        </w:rPr>
        <w:t>: e45 [PMID: 11328886 DOI: 10.1093/nar/29.9.e45]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22 </w:t>
      </w:r>
      <w:r w:rsidRPr="00387988">
        <w:rPr>
          <w:rFonts w:ascii="Book Antiqua" w:eastAsia="宋体" w:hAnsi="Book Antiqua"/>
          <w:b/>
          <w:kern w:val="2"/>
          <w:lang w:eastAsia="zh-CN"/>
        </w:rPr>
        <w:t>Yang G</w:t>
      </w:r>
      <w:r w:rsidRPr="00387988">
        <w:rPr>
          <w:rFonts w:ascii="Book Antiqua" w:eastAsia="宋体" w:hAnsi="Book Antiqua"/>
          <w:kern w:val="2"/>
          <w:lang w:eastAsia="zh-CN"/>
        </w:rPr>
        <w:t xml:space="preserve">, Zhang L, Ma L, Jiang R, Kuang G, Li K, Tie H, Wang B, Chen X, Xie T, Gong X, Wan J. Glycyrrhetinic acid prevents acetaminophen-induced acute liver injury via the inhibition of CYP2E1 expression and HMGB1-TLR4 signal activation in mice. </w:t>
      </w:r>
      <w:r w:rsidRPr="00387988">
        <w:rPr>
          <w:rFonts w:ascii="Book Antiqua" w:eastAsia="宋体" w:hAnsi="Book Antiqua"/>
          <w:i/>
          <w:kern w:val="2"/>
          <w:lang w:eastAsia="zh-CN"/>
        </w:rPr>
        <w:t>Int Immunopharmacol</w:t>
      </w:r>
      <w:r w:rsidRPr="00387988">
        <w:rPr>
          <w:rFonts w:ascii="Book Antiqua" w:eastAsia="宋体" w:hAnsi="Book Antiqua"/>
          <w:kern w:val="2"/>
          <w:lang w:eastAsia="zh-CN"/>
        </w:rPr>
        <w:t xml:space="preserve"> 2017; </w:t>
      </w:r>
      <w:r w:rsidRPr="00387988">
        <w:rPr>
          <w:rFonts w:ascii="Book Antiqua" w:eastAsia="宋体" w:hAnsi="Book Antiqua"/>
          <w:b/>
          <w:kern w:val="2"/>
          <w:lang w:eastAsia="zh-CN"/>
        </w:rPr>
        <w:t>50</w:t>
      </w:r>
      <w:r w:rsidRPr="00387988">
        <w:rPr>
          <w:rFonts w:ascii="Book Antiqua" w:eastAsia="宋体" w:hAnsi="Book Antiqua"/>
          <w:kern w:val="2"/>
          <w:lang w:eastAsia="zh-CN"/>
        </w:rPr>
        <w:t>: 186-193 [PMID: 28668488 DOI: 10.1016/j.intimp.2017.06.027]</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23 </w:t>
      </w:r>
      <w:r w:rsidRPr="00387988">
        <w:rPr>
          <w:rFonts w:ascii="Book Antiqua" w:eastAsia="宋体" w:hAnsi="Book Antiqua"/>
          <w:b/>
          <w:kern w:val="2"/>
          <w:lang w:eastAsia="zh-CN"/>
        </w:rPr>
        <w:t>Yan T</w:t>
      </w:r>
      <w:r w:rsidRPr="00387988">
        <w:rPr>
          <w:rFonts w:ascii="Book Antiqua" w:eastAsia="宋体" w:hAnsi="Book Antiqua"/>
          <w:kern w:val="2"/>
          <w:lang w:eastAsia="zh-CN"/>
        </w:rPr>
        <w:t xml:space="preserve">, Wang H, Zhao M, Yagai T, Chai Y, Krausz KW, Xie C, Cheng X, Zhang J, Che Y, Li F, Wu Y, Brocker CN, Gonzalez FJ, Wang G, Hao H. Glycyrrhizin Protects against Acetaminophen-Induced Acute Liver Injury via Alleviating Tumor Necrosis Factor α-Mediated Apoptosis. </w:t>
      </w:r>
      <w:r w:rsidRPr="00387988">
        <w:rPr>
          <w:rFonts w:ascii="Book Antiqua" w:eastAsia="宋体" w:hAnsi="Book Antiqua"/>
          <w:i/>
          <w:kern w:val="2"/>
          <w:lang w:eastAsia="zh-CN"/>
        </w:rPr>
        <w:t>Drug Metab Dispos</w:t>
      </w:r>
      <w:r w:rsidRPr="00387988">
        <w:rPr>
          <w:rFonts w:ascii="Book Antiqua" w:eastAsia="宋体" w:hAnsi="Book Antiqua"/>
          <w:kern w:val="2"/>
          <w:lang w:eastAsia="zh-CN"/>
        </w:rPr>
        <w:t xml:space="preserve"> 2016; </w:t>
      </w:r>
      <w:r w:rsidRPr="00387988">
        <w:rPr>
          <w:rFonts w:ascii="Book Antiqua" w:eastAsia="宋体" w:hAnsi="Book Antiqua"/>
          <w:b/>
          <w:kern w:val="2"/>
          <w:lang w:eastAsia="zh-CN"/>
        </w:rPr>
        <w:t>44</w:t>
      </w:r>
      <w:r w:rsidRPr="00387988">
        <w:rPr>
          <w:rFonts w:ascii="Book Antiqua" w:eastAsia="宋体" w:hAnsi="Book Antiqua"/>
          <w:kern w:val="2"/>
          <w:lang w:eastAsia="zh-CN"/>
        </w:rPr>
        <w:t>: 720-731 [PMID: 26965985 DOI: 10.1124/dmd.116.069419]</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24 </w:t>
      </w:r>
      <w:r w:rsidRPr="00387988">
        <w:rPr>
          <w:rFonts w:ascii="Book Antiqua" w:eastAsia="宋体" w:hAnsi="Book Antiqua"/>
          <w:b/>
          <w:kern w:val="2"/>
          <w:lang w:eastAsia="zh-CN"/>
        </w:rPr>
        <w:t>Saito C</w:t>
      </w:r>
      <w:r w:rsidRPr="00387988">
        <w:rPr>
          <w:rFonts w:ascii="Book Antiqua" w:eastAsia="宋体" w:hAnsi="Book Antiqua"/>
          <w:kern w:val="2"/>
          <w:lang w:eastAsia="zh-CN"/>
        </w:rPr>
        <w:t xml:space="preserve">, Zwingmann C, Jaeschke H. Novel mechanisms of protection against acetaminophen hepatotoxicity in mice by glutathione and N-acetylcysteine. </w:t>
      </w:r>
      <w:r w:rsidRPr="00387988">
        <w:rPr>
          <w:rFonts w:ascii="Book Antiqua" w:eastAsia="宋体" w:hAnsi="Book Antiqua"/>
          <w:i/>
          <w:kern w:val="2"/>
          <w:lang w:eastAsia="zh-CN"/>
        </w:rPr>
        <w:t>Hepatology</w:t>
      </w:r>
      <w:r w:rsidRPr="00387988">
        <w:rPr>
          <w:rFonts w:ascii="Book Antiqua" w:eastAsia="宋体" w:hAnsi="Book Antiqua"/>
          <w:kern w:val="2"/>
          <w:lang w:eastAsia="zh-CN"/>
        </w:rPr>
        <w:t xml:space="preserve"> </w:t>
      </w:r>
      <w:r w:rsidRPr="00387988">
        <w:rPr>
          <w:rFonts w:ascii="Book Antiqua" w:eastAsia="宋体" w:hAnsi="Book Antiqua"/>
          <w:kern w:val="2"/>
          <w:lang w:eastAsia="zh-CN"/>
        </w:rPr>
        <w:lastRenderedPageBreak/>
        <w:t xml:space="preserve">2010; </w:t>
      </w:r>
      <w:r w:rsidRPr="00387988">
        <w:rPr>
          <w:rFonts w:ascii="Book Antiqua" w:eastAsia="宋体" w:hAnsi="Book Antiqua"/>
          <w:b/>
          <w:kern w:val="2"/>
          <w:lang w:eastAsia="zh-CN"/>
        </w:rPr>
        <w:t>51</w:t>
      </w:r>
      <w:r w:rsidRPr="00387988">
        <w:rPr>
          <w:rFonts w:ascii="Book Antiqua" w:eastAsia="宋体" w:hAnsi="Book Antiqua"/>
          <w:kern w:val="2"/>
          <w:lang w:eastAsia="zh-CN"/>
        </w:rPr>
        <w:t>: 246-254 [PMID: 19821517 DOI: 10.1002/hep.23267]</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25 </w:t>
      </w:r>
      <w:r w:rsidRPr="00387988">
        <w:rPr>
          <w:rFonts w:ascii="Book Antiqua" w:eastAsia="宋体" w:hAnsi="Book Antiqua"/>
          <w:b/>
          <w:kern w:val="2"/>
          <w:lang w:eastAsia="zh-CN"/>
        </w:rPr>
        <w:t>Xu R</w:t>
      </w:r>
      <w:r w:rsidRPr="00387988">
        <w:rPr>
          <w:rFonts w:ascii="Book Antiqua" w:eastAsia="宋体" w:hAnsi="Book Antiqua"/>
          <w:kern w:val="2"/>
          <w:lang w:eastAsia="zh-CN"/>
        </w:rPr>
        <w:t xml:space="preserve">, Wang Q, Zhang J, Zang M, Liu X, Yang J. Changes in pharmacokinetic profiles of acetaminophen and its glucuronide after pretreatment with combinations of N-acetylcysteine and either glycyrrhizin, silibinin or spironolactone in rat. </w:t>
      </w:r>
      <w:r w:rsidRPr="00387988">
        <w:rPr>
          <w:rFonts w:ascii="Book Antiqua" w:eastAsia="宋体" w:hAnsi="Book Antiqua"/>
          <w:i/>
          <w:kern w:val="2"/>
          <w:lang w:eastAsia="zh-CN"/>
        </w:rPr>
        <w:t>Xenobiotica</w:t>
      </w:r>
      <w:r w:rsidRPr="00387988">
        <w:rPr>
          <w:rFonts w:ascii="Book Antiqua" w:eastAsia="宋体" w:hAnsi="Book Antiqua"/>
          <w:kern w:val="2"/>
          <w:lang w:eastAsia="zh-CN"/>
        </w:rPr>
        <w:t xml:space="preserve"> 2014; </w:t>
      </w:r>
      <w:r w:rsidRPr="00387988">
        <w:rPr>
          <w:rFonts w:ascii="Book Antiqua" w:eastAsia="宋体" w:hAnsi="Book Antiqua"/>
          <w:b/>
          <w:kern w:val="2"/>
          <w:lang w:eastAsia="zh-CN"/>
        </w:rPr>
        <w:t>44</w:t>
      </w:r>
      <w:r w:rsidRPr="00387988">
        <w:rPr>
          <w:rFonts w:ascii="Book Antiqua" w:eastAsia="宋体" w:hAnsi="Book Antiqua"/>
          <w:kern w:val="2"/>
          <w:lang w:eastAsia="zh-CN"/>
        </w:rPr>
        <w:t>: 541-546 [PMID: 24251357 DOI: 10.3109/00498254.2013.858849]</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26 </w:t>
      </w:r>
      <w:r w:rsidRPr="00387988">
        <w:rPr>
          <w:rFonts w:ascii="Book Antiqua" w:eastAsia="宋体" w:hAnsi="Book Antiqua"/>
          <w:b/>
          <w:kern w:val="2"/>
          <w:lang w:eastAsia="zh-CN"/>
        </w:rPr>
        <w:t>McGill MR</w:t>
      </w:r>
      <w:r w:rsidRPr="00387988">
        <w:rPr>
          <w:rFonts w:ascii="Book Antiqua" w:eastAsia="宋体" w:hAnsi="Book Antiqua"/>
          <w:kern w:val="2"/>
          <w:lang w:eastAsia="zh-CN"/>
        </w:rPr>
        <w:t xml:space="preserve">, Williams CD, Xie Y, Ramachandran A, Jaeschke H. Acetaminophen-induced liver injury in rats and mice: comparison of protein adducts, mitochondrial dysfunction, and oxidative stress in the mechanism of toxicity. </w:t>
      </w:r>
      <w:r w:rsidRPr="00387988">
        <w:rPr>
          <w:rFonts w:ascii="Book Antiqua" w:eastAsia="宋体" w:hAnsi="Book Antiqua"/>
          <w:i/>
          <w:kern w:val="2"/>
          <w:lang w:eastAsia="zh-CN"/>
        </w:rPr>
        <w:t>Toxicol Appl Pharmacol</w:t>
      </w:r>
      <w:r w:rsidRPr="00387988">
        <w:rPr>
          <w:rFonts w:ascii="Book Antiqua" w:eastAsia="宋体" w:hAnsi="Book Antiqua"/>
          <w:kern w:val="2"/>
          <w:lang w:eastAsia="zh-CN"/>
        </w:rPr>
        <w:t xml:space="preserve"> 2012; </w:t>
      </w:r>
      <w:r w:rsidRPr="00387988">
        <w:rPr>
          <w:rFonts w:ascii="Book Antiqua" w:eastAsia="宋体" w:hAnsi="Book Antiqua"/>
          <w:b/>
          <w:kern w:val="2"/>
          <w:lang w:eastAsia="zh-CN"/>
        </w:rPr>
        <w:t>264</w:t>
      </w:r>
      <w:r w:rsidRPr="00387988">
        <w:rPr>
          <w:rFonts w:ascii="Book Antiqua" w:eastAsia="宋体" w:hAnsi="Book Antiqua"/>
          <w:kern w:val="2"/>
          <w:lang w:eastAsia="zh-CN"/>
        </w:rPr>
        <w:t>: 387-394 [PMID: 22980195 DOI: 10.1016/j.taap.2012.08.015]</w:t>
      </w:r>
    </w:p>
    <w:p w:rsidR="00B1105A" w:rsidRPr="00387988" w:rsidRDefault="00B1105A" w:rsidP="00387988">
      <w:pPr>
        <w:widowControl w:val="0"/>
        <w:adjustRightInd w:val="0"/>
        <w:snapToGrid w:val="0"/>
        <w:spacing w:line="360" w:lineRule="auto"/>
        <w:jc w:val="both"/>
        <w:rPr>
          <w:rFonts w:ascii="Book Antiqua" w:eastAsia="宋体" w:hAnsi="Book Antiqua"/>
          <w:kern w:val="2"/>
          <w:lang w:eastAsia="zh-CN"/>
        </w:rPr>
      </w:pPr>
      <w:r w:rsidRPr="00387988">
        <w:rPr>
          <w:rFonts w:ascii="Book Antiqua" w:eastAsia="宋体" w:hAnsi="Book Antiqua"/>
          <w:kern w:val="2"/>
          <w:lang w:eastAsia="zh-CN"/>
        </w:rPr>
        <w:t xml:space="preserve">27 </w:t>
      </w:r>
      <w:r w:rsidRPr="00387988">
        <w:rPr>
          <w:rFonts w:ascii="Book Antiqua" w:eastAsia="宋体" w:hAnsi="Book Antiqua"/>
          <w:b/>
          <w:kern w:val="2"/>
          <w:lang w:eastAsia="zh-CN"/>
        </w:rPr>
        <w:t>Jaeschke H</w:t>
      </w:r>
      <w:r w:rsidRPr="00387988">
        <w:rPr>
          <w:rFonts w:ascii="Book Antiqua" w:eastAsia="宋体" w:hAnsi="Book Antiqua"/>
          <w:kern w:val="2"/>
          <w:lang w:eastAsia="zh-CN"/>
        </w:rPr>
        <w:t xml:space="preserve">, Xie Y, McGill MR. Acetaminophen-induced Liver Injury: from Animal Models to Humans. </w:t>
      </w:r>
      <w:r w:rsidRPr="00387988">
        <w:rPr>
          <w:rFonts w:ascii="Book Antiqua" w:eastAsia="宋体" w:hAnsi="Book Antiqua"/>
          <w:i/>
          <w:kern w:val="2"/>
          <w:lang w:eastAsia="zh-CN"/>
        </w:rPr>
        <w:t>J Clin Transl Hepatol</w:t>
      </w:r>
      <w:r w:rsidRPr="00387988">
        <w:rPr>
          <w:rFonts w:ascii="Book Antiqua" w:eastAsia="宋体" w:hAnsi="Book Antiqua"/>
          <w:kern w:val="2"/>
          <w:lang w:eastAsia="zh-CN"/>
        </w:rPr>
        <w:t xml:space="preserve"> 2014; </w:t>
      </w:r>
      <w:r w:rsidRPr="00387988">
        <w:rPr>
          <w:rFonts w:ascii="Book Antiqua" w:eastAsia="宋体" w:hAnsi="Book Antiqua"/>
          <w:b/>
          <w:kern w:val="2"/>
          <w:lang w:eastAsia="zh-CN"/>
        </w:rPr>
        <w:t>2</w:t>
      </w:r>
      <w:r w:rsidRPr="00387988">
        <w:rPr>
          <w:rFonts w:ascii="Book Antiqua" w:eastAsia="宋体" w:hAnsi="Book Antiqua"/>
          <w:kern w:val="2"/>
          <w:lang w:eastAsia="zh-CN"/>
        </w:rPr>
        <w:t>: 153-161 [PMID: 26355817 DOI: 10.14218/JCTH.2014.00014]</w:t>
      </w:r>
    </w:p>
    <w:p w:rsidR="00B1105A" w:rsidRPr="00387988" w:rsidRDefault="00B1105A" w:rsidP="00387988">
      <w:pPr>
        <w:widowControl w:val="0"/>
        <w:adjustRightInd w:val="0"/>
        <w:snapToGrid w:val="0"/>
        <w:spacing w:line="360" w:lineRule="auto"/>
        <w:jc w:val="both"/>
        <w:rPr>
          <w:rFonts w:ascii="Calibri" w:eastAsia="宋体" w:hAnsi="Calibri"/>
          <w:kern w:val="2"/>
          <w:lang w:eastAsia="zh-CN"/>
        </w:rPr>
      </w:pPr>
      <w:r w:rsidRPr="00387988">
        <w:rPr>
          <w:rFonts w:ascii="Book Antiqua" w:eastAsia="宋体" w:hAnsi="Book Antiqua"/>
          <w:kern w:val="2"/>
          <w:lang w:eastAsia="zh-CN"/>
        </w:rPr>
        <w:t xml:space="preserve">28 </w:t>
      </w:r>
      <w:r w:rsidRPr="00387988">
        <w:rPr>
          <w:rFonts w:ascii="Book Antiqua" w:eastAsia="宋体" w:hAnsi="Book Antiqua"/>
          <w:b/>
          <w:kern w:val="2"/>
          <w:lang w:eastAsia="zh-CN"/>
        </w:rPr>
        <w:t>Gregus Z</w:t>
      </w:r>
      <w:r w:rsidRPr="00387988">
        <w:rPr>
          <w:rFonts w:ascii="Book Antiqua" w:eastAsia="宋体" w:hAnsi="Book Antiqua"/>
          <w:kern w:val="2"/>
          <w:lang w:eastAsia="zh-CN"/>
        </w:rPr>
        <w:t xml:space="preserve">, Madhu C, Klaassen CD. Species variation in toxication and detoxication of acetaminophen in vivo: a comparative study of biliary and urinary excretion of acetaminophen metabolites. </w:t>
      </w:r>
      <w:r w:rsidRPr="00387988">
        <w:rPr>
          <w:rFonts w:ascii="Book Antiqua" w:eastAsia="宋体" w:hAnsi="Book Antiqua"/>
          <w:i/>
          <w:kern w:val="2"/>
          <w:lang w:eastAsia="zh-CN"/>
        </w:rPr>
        <w:t>J Pharmacol Exp Ther</w:t>
      </w:r>
      <w:r w:rsidRPr="00387988">
        <w:rPr>
          <w:rFonts w:ascii="Book Antiqua" w:eastAsia="宋体" w:hAnsi="Book Antiqua"/>
          <w:kern w:val="2"/>
          <w:lang w:eastAsia="zh-CN"/>
        </w:rPr>
        <w:t xml:space="preserve"> 1988; </w:t>
      </w:r>
      <w:r w:rsidRPr="00387988">
        <w:rPr>
          <w:rFonts w:ascii="Book Antiqua" w:eastAsia="宋体" w:hAnsi="Book Antiqua"/>
          <w:b/>
          <w:kern w:val="2"/>
          <w:lang w:eastAsia="zh-CN"/>
        </w:rPr>
        <w:t>244</w:t>
      </w:r>
      <w:r w:rsidRPr="00387988">
        <w:rPr>
          <w:rFonts w:ascii="Book Antiqua" w:eastAsia="宋体" w:hAnsi="Book Antiqua"/>
          <w:kern w:val="2"/>
          <w:lang w:eastAsia="zh-CN"/>
        </w:rPr>
        <w:t>: 91-99 [PMID: 3336012]</w:t>
      </w:r>
    </w:p>
    <w:p w:rsidR="00A77B3E" w:rsidRPr="00387988" w:rsidRDefault="00A77B3E" w:rsidP="00387988">
      <w:pPr>
        <w:snapToGrid w:val="0"/>
        <w:spacing w:line="360" w:lineRule="auto"/>
        <w:jc w:val="both"/>
        <w:rPr>
          <w:lang w:eastAsia="zh-CN"/>
        </w:rPr>
        <w:sectPr w:rsidR="00A77B3E" w:rsidRPr="00387988">
          <w:pgSz w:w="12240" w:h="15840"/>
          <w:pgMar w:top="1440" w:right="1440" w:bottom="1440" w:left="1440" w:header="720" w:footer="720" w:gutter="0"/>
          <w:cols w:space="720"/>
          <w:docGrid w:linePitch="360"/>
        </w:sectPr>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lastRenderedPageBreak/>
        <w:t>Footnotes</w:t>
      </w: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Institutional review board statement: </w:t>
      </w:r>
      <w:r w:rsidRPr="00387988">
        <w:rPr>
          <w:rFonts w:ascii="Book Antiqua" w:eastAsia="Book Antiqua" w:hAnsi="Book Antiqua" w:cs="Book Antiqua"/>
          <w:color w:val="000000"/>
        </w:rPr>
        <w:t xml:space="preserve">This study </w:t>
      </w:r>
      <w:r w:rsidR="008D614B">
        <w:rPr>
          <w:rFonts w:ascii="Book Antiqua" w:eastAsia="Book Antiqua" w:hAnsi="Book Antiqua" w:cs="Book Antiqua"/>
          <w:color w:val="000000"/>
        </w:rPr>
        <w:t>did</w:t>
      </w:r>
      <w:r w:rsidR="008D614B" w:rsidRPr="00387988">
        <w:rPr>
          <w:rFonts w:ascii="Book Antiqua" w:eastAsia="Book Antiqua" w:hAnsi="Book Antiqua" w:cs="Book Antiqua"/>
          <w:color w:val="000000"/>
        </w:rPr>
        <w:t xml:space="preserve"> </w:t>
      </w:r>
      <w:r w:rsidRPr="00387988">
        <w:rPr>
          <w:rFonts w:ascii="Book Antiqua" w:eastAsia="Book Antiqua" w:hAnsi="Book Antiqua" w:cs="Book Antiqua"/>
          <w:color w:val="000000"/>
        </w:rPr>
        <w:t>not involve human</w:t>
      </w:r>
      <w:r w:rsidR="008D614B">
        <w:rPr>
          <w:rFonts w:ascii="Book Antiqua" w:eastAsia="Book Antiqua" w:hAnsi="Book Antiqua" w:cs="Book Antiqua"/>
          <w:color w:val="000000"/>
        </w:rPr>
        <w:t>s and thus was exempt</w:t>
      </w:r>
      <w:r w:rsidRPr="00387988">
        <w:rPr>
          <w:rFonts w:ascii="Book Antiqua" w:eastAsia="Book Antiqua" w:hAnsi="Book Antiqua" w:cs="Book Antiqua"/>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Institutional animal care and use committee statement: </w:t>
      </w:r>
      <w:r w:rsidRPr="00387988">
        <w:rPr>
          <w:rFonts w:ascii="Book Antiqua" w:eastAsia="Book Antiqua" w:hAnsi="Book Antiqua" w:cs="Book Antiqua"/>
          <w:color w:val="000000"/>
        </w:rPr>
        <w:t xml:space="preserve">All animal experiments conformed to the internationally accepted principles for the care and use of laboratory animals. Animal protocols were approved by the local Ethic </w:t>
      </w:r>
      <w:r w:rsidR="008D614B">
        <w:rPr>
          <w:rFonts w:ascii="Book Antiqua" w:eastAsia="Book Antiqua" w:hAnsi="Book Antiqua" w:cs="Book Antiqua"/>
          <w:color w:val="000000"/>
        </w:rPr>
        <w:t>C</w:t>
      </w:r>
      <w:r w:rsidRPr="00387988">
        <w:rPr>
          <w:rFonts w:ascii="Book Antiqua" w:eastAsia="Book Antiqua" w:hAnsi="Book Antiqua" w:cs="Book Antiqua"/>
          <w:color w:val="000000"/>
        </w:rPr>
        <w:t>ommittee of the Universi</w:t>
      </w:r>
      <w:r w:rsidR="001D1F95" w:rsidRPr="00387988">
        <w:rPr>
          <w:rFonts w:ascii="Book Antiqua" w:eastAsia="Book Antiqua" w:hAnsi="Book Antiqua" w:cs="Book Antiqua"/>
          <w:color w:val="000000"/>
        </w:rPr>
        <w:t>té Libre de Bruxelles (</w:t>
      </w:r>
      <w:r w:rsidR="00441D22">
        <w:rPr>
          <w:rFonts w:ascii="Book Antiqua" w:eastAsia="Book Antiqua" w:hAnsi="Book Antiqua" w:cs="Book Antiqua"/>
          <w:color w:val="000000"/>
        </w:rPr>
        <w:t>L</w:t>
      </w:r>
      <w:r w:rsidR="00441D22" w:rsidRPr="00387988">
        <w:rPr>
          <w:rFonts w:ascii="Book Antiqua" w:eastAsia="Book Antiqua" w:hAnsi="Book Antiqua" w:cs="Book Antiqua"/>
          <w:color w:val="000000"/>
        </w:rPr>
        <w:t>i</w:t>
      </w:r>
      <w:r w:rsidR="00441D22">
        <w:rPr>
          <w:rFonts w:ascii="Book Antiqua" w:eastAsia="Book Antiqua" w:hAnsi="Book Antiqua" w:cs="Book Antiqua"/>
          <w:color w:val="000000"/>
        </w:rPr>
        <w:t>c</w:t>
      </w:r>
      <w:r w:rsidR="00441D22" w:rsidRPr="00387988">
        <w:rPr>
          <w:rFonts w:ascii="Book Antiqua" w:eastAsia="Book Antiqua" w:hAnsi="Book Antiqua" w:cs="Book Antiqua"/>
          <w:color w:val="000000"/>
        </w:rPr>
        <w:t>ense</w:t>
      </w:r>
      <w:r w:rsidR="001D1F95" w:rsidRPr="00387988">
        <w:rPr>
          <w:rFonts w:ascii="Book Antiqua" w:eastAsia="Book Antiqua" w:hAnsi="Book Antiqua" w:cs="Book Antiqua"/>
          <w:color w:val="000000"/>
        </w:rPr>
        <w:t xml:space="preserve"> </w:t>
      </w:r>
      <w:r w:rsidR="001D1F95" w:rsidRPr="00387988">
        <w:rPr>
          <w:rFonts w:ascii="Book Antiqua" w:hAnsi="Book Antiqua" w:cs="Book Antiqua"/>
          <w:color w:val="000000"/>
          <w:lang w:eastAsia="zh-CN"/>
        </w:rPr>
        <w:t>N</w:t>
      </w:r>
      <w:r w:rsidRPr="00387988">
        <w:rPr>
          <w:rFonts w:ascii="Book Antiqua" w:eastAsia="Book Antiqua" w:hAnsi="Book Antiqua" w:cs="Book Antiqua"/>
          <w:color w:val="000000"/>
        </w:rPr>
        <w:t>o. 1230406, Animalerie de la Faculté de Médecine du Campus Erasme, Brussels, Belgium;</w:t>
      </w:r>
      <w:r w:rsidR="008D614B">
        <w:rPr>
          <w:rFonts w:ascii="Book Antiqua" w:eastAsia="Book Antiqua" w:hAnsi="Book Antiqua" w:cs="Book Antiqua"/>
          <w:color w:val="000000"/>
        </w:rPr>
        <w:t xml:space="preserve"> P</w:t>
      </w:r>
      <w:r w:rsidRPr="00387988">
        <w:rPr>
          <w:rFonts w:ascii="Book Antiqua" w:eastAsia="Book Antiqua" w:hAnsi="Book Antiqua" w:cs="Book Antiqua"/>
          <w:color w:val="000000"/>
        </w:rPr>
        <w:t xml:space="preserve">rotocol </w:t>
      </w:r>
      <w:r w:rsidR="008D614B">
        <w:rPr>
          <w:rFonts w:ascii="Book Antiqua" w:eastAsia="Book Antiqua" w:hAnsi="Book Antiqua" w:cs="Book Antiqua"/>
          <w:color w:val="000000"/>
        </w:rPr>
        <w:t>N</w:t>
      </w:r>
      <w:r w:rsidRPr="00387988">
        <w:rPr>
          <w:rFonts w:ascii="Book Antiqua" w:eastAsia="Book Antiqua" w:hAnsi="Book Antiqua" w:cs="Book Antiqua"/>
          <w:color w:val="000000"/>
        </w:rPr>
        <w:t>o</w:t>
      </w:r>
      <w:r w:rsidR="008D614B">
        <w:rPr>
          <w:rFonts w:ascii="Book Antiqua" w:eastAsia="Book Antiqua" w:hAnsi="Book Antiqua" w:cs="Book Antiqua"/>
          <w:color w:val="000000"/>
        </w:rPr>
        <w:t>s</w:t>
      </w:r>
      <w:r w:rsidRPr="00387988">
        <w:rPr>
          <w:rFonts w:ascii="Book Antiqua" w:eastAsia="Book Antiqua" w:hAnsi="Book Antiqua" w:cs="Book Antiqua"/>
          <w:color w:val="000000"/>
        </w:rPr>
        <w:t>. 488N and 734N).</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Conflict-of-interest statement: </w:t>
      </w:r>
      <w:r w:rsidRPr="00387988">
        <w:rPr>
          <w:rFonts w:ascii="Book Antiqua" w:eastAsia="Book Antiqua" w:hAnsi="Book Antiqua" w:cs="Book Antiqua"/>
          <w:color w:val="000000"/>
        </w:rPr>
        <w:t>The authors declare they have no conflicts of interest in relation to this paper.</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Data sharing statement: </w:t>
      </w:r>
      <w:r w:rsidRPr="00387988">
        <w:rPr>
          <w:rFonts w:ascii="Book Antiqua" w:eastAsia="Book Antiqua" w:hAnsi="Book Antiqua" w:cs="Book Antiqua"/>
          <w:color w:val="000000"/>
        </w:rPr>
        <w:t xml:space="preserve">No additional data are available.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ARRIVE guidelines statement: </w:t>
      </w:r>
      <w:r w:rsidRPr="00387988">
        <w:rPr>
          <w:rFonts w:ascii="Book Antiqua" w:eastAsia="Book Antiqua" w:hAnsi="Book Antiqua" w:cs="Book Antiqua"/>
          <w:color w:val="000000"/>
        </w:rPr>
        <w:t>The authors have read the ARRIVE guidelines, and the manuscript was prepared and revised according to the ARRIVE guidelines</w:t>
      </w:r>
      <w:r w:rsidRPr="00387988">
        <w:rPr>
          <w:rFonts w:ascii="Book Antiqua" w:eastAsia="Book Antiqua" w:hAnsi="Book Antiqua" w:cs="Book Antiqua"/>
          <w:b/>
          <w:bCs/>
          <w:color w:val="000000"/>
        </w:rPr>
        <w: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bCs/>
          <w:color w:val="000000"/>
        </w:rPr>
        <w:t xml:space="preserve">Open-Access: </w:t>
      </w:r>
      <w:r w:rsidRPr="0038798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Manuscript source: </w:t>
      </w:r>
      <w:r w:rsidRPr="00387988">
        <w:rPr>
          <w:rFonts w:ascii="Book Antiqua" w:eastAsia="Book Antiqua" w:hAnsi="Book Antiqua" w:cs="Book Antiqua"/>
          <w:color w:val="000000"/>
        </w:rPr>
        <w:t xml:space="preserve">Invited </w:t>
      </w:r>
      <w:r w:rsidR="008D614B">
        <w:rPr>
          <w:rFonts w:ascii="Book Antiqua" w:eastAsia="Book Antiqua" w:hAnsi="Book Antiqua" w:cs="Book Antiqua"/>
          <w:color w:val="000000"/>
        </w:rPr>
        <w:t>m</w:t>
      </w:r>
      <w:r w:rsidRPr="00387988">
        <w:rPr>
          <w:rFonts w:ascii="Book Antiqua" w:eastAsia="Book Antiqua" w:hAnsi="Book Antiqua" w:cs="Book Antiqua"/>
          <w:color w:val="000000"/>
        </w:rPr>
        <w:t>anuscript</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Peer-review started: </w:t>
      </w:r>
      <w:r w:rsidRPr="00387988">
        <w:rPr>
          <w:rFonts w:ascii="Book Antiqua" w:eastAsia="Book Antiqua" w:hAnsi="Book Antiqua" w:cs="Book Antiqua"/>
          <w:color w:val="000000"/>
        </w:rPr>
        <w:t>November 28, 2019</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lastRenderedPageBreak/>
        <w:t xml:space="preserve">First decision: </w:t>
      </w:r>
      <w:r w:rsidRPr="00387988">
        <w:rPr>
          <w:rFonts w:ascii="Book Antiqua" w:eastAsia="Book Antiqua" w:hAnsi="Book Antiqua" w:cs="Book Antiqua"/>
          <w:color w:val="000000"/>
        </w:rPr>
        <w:t>December 30, 2019</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Article in press: </w:t>
      </w:r>
    </w:p>
    <w:p w:rsidR="00A77B3E" w:rsidRPr="00387988" w:rsidRDefault="00A77B3E" w:rsidP="00387988">
      <w:pPr>
        <w:snapToGrid w:val="0"/>
        <w:spacing w:line="360" w:lineRule="auto"/>
        <w:jc w:val="both"/>
      </w:pP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Specialty type: </w:t>
      </w:r>
      <w:r w:rsidRPr="00387988">
        <w:rPr>
          <w:rFonts w:ascii="Book Antiqua" w:eastAsia="Book Antiqua" w:hAnsi="Book Antiqua" w:cs="Book Antiqua"/>
          <w:color w:val="000000"/>
        </w:rPr>
        <w:t>Gastroenterology and Hepatology</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 xml:space="preserve">Country/Territory of origin: </w:t>
      </w:r>
      <w:r w:rsidRPr="00387988">
        <w:rPr>
          <w:rFonts w:ascii="Book Antiqua" w:eastAsia="Book Antiqua" w:hAnsi="Book Antiqua" w:cs="Book Antiqua"/>
          <w:color w:val="000000"/>
        </w:rPr>
        <w:t>Belgium</w:t>
      </w:r>
    </w:p>
    <w:p w:rsidR="00A77B3E" w:rsidRPr="00387988" w:rsidRDefault="00107D11" w:rsidP="00387988">
      <w:pPr>
        <w:snapToGrid w:val="0"/>
        <w:spacing w:line="360" w:lineRule="auto"/>
        <w:jc w:val="both"/>
      </w:pPr>
      <w:r w:rsidRPr="00387988">
        <w:rPr>
          <w:rFonts w:ascii="Book Antiqua" w:eastAsia="Book Antiqua" w:hAnsi="Book Antiqua" w:cs="Book Antiqua"/>
          <w:b/>
          <w:color w:val="000000"/>
        </w:rPr>
        <w:t>Peer-review report’s scientific quality classification</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Grade A (Excellent): 0</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Grade B (Very good): B</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Grade C (Good): C</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Grade D (Fair): D</w:t>
      </w:r>
    </w:p>
    <w:p w:rsidR="00A77B3E" w:rsidRPr="00387988" w:rsidRDefault="00107D11" w:rsidP="00387988">
      <w:pPr>
        <w:snapToGrid w:val="0"/>
        <w:spacing w:line="360" w:lineRule="auto"/>
        <w:jc w:val="both"/>
      </w:pPr>
      <w:r w:rsidRPr="00387988">
        <w:rPr>
          <w:rFonts w:ascii="Book Antiqua" w:eastAsia="Book Antiqua" w:hAnsi="Book Antiqua" w:cs="Book Antiqua"/>
          <w:color w:val="000000"/>
        </w:rPr>
        <w:t>Grade E (Poor): E</w:t>
      </w:r>
    </w:p>
    <w:p w:rsidR="00A77B3E" w:rsidRPr="00387988" w:rsidRDefault="00A77B3E" w:rsidP="00387988">
      <w:pPr>
        <w:snapToGrid w:val="0"/>
        <w:spacing w:line="360" w:lineRule="auto"/>
        <w:jc w:val="both"/>
      </w:pPr>
    </w:p>
    <w:p w:rsidR="00107D11" w:rsidRPr="00387988" w:rsidRDefault="00107D11" w:rsidP="00387988">
      <w:pPr>
        <w:snapToGrid w:val="0"/>
        <w:spacing w:line="360" w:lineRule="auto"/>
        <w:jc w:val="both"/>
        <w:rPr>
          <w:rFonts w:ascii="Book Antiqua" w:eastAsia="Book Antiqua" w:hAnsi="Book Antiqua" w:cs="Book Antiqua"/>
          <w:b/>
          <w:color w:val="000000"/>
        </w:rPr>
      </w:pPr>
      <w:r w:rsidRPr="00387988">
        <w:rPr>
          <w:rFonts w:ascii="Book Antiqua" w:eastAsia="Book Antiqua" w:hAnsi="Book Antiqua" w:cs="Book Antiqua"/>
          <w:b/>
          <w:color w:val="000000"/>
        </w:rPr>
        <w:t xml:space="preserve">P-Reviewer: </w:t>
      </w:r>
      <w:r w:rsidRPr="00387988">
        <w:rPr>
          <w:rFonts w:ascii="Book Antiqua" w:eastAsia="Book Antiqua" w:hAnsi="Book Antiqua" w:cs="Book Antiqua"/>
          <w:color w:val="000000"/>
        </w:rPr>
        <w:t>Ji LL, Manautou JE, Pajares MA, Zhai KF</w:t>
      </w:r>
      <w:r w:rsidRPr="00387988">
        <w:rPr>
          <w:rFonts w:ascii="Book Antiqua" w:eastAsia="Book Antiqua" w:hAnsi="Book Antiqua" w:cs="Book Antiqua"/>
          <w:b/>
          <w:color w:val="000000"/>
        </w:rPr>
        <w:t xml:space="preserve"> S-Editor: </w:t>
      </w:r>
      <w:r w:rsidRPr="00387988">
        <w:rPr>
          <w:rFonts w:ascii="Book Antiqua" w:eastAsia="Book Antiqua" w:hAnsi="Book Antiqua" w:cs="Book Antiqua"/>
          <w:color w:val="000000"/>
        </w:rPr>
        <w:t>Zhang H</w:t>
      </w:r>
      <w:r w:rsidRPr="00387988">
        <w:rPr>
          <w:rFonts w:ascii="Book Antiqua" w:eastAsia="Book Antiqua" w:hAnsi="Book Antiqua" w:cs="Book Antiqua"/>
          <w:b/>
          <w:color w:val="000000"/>
        </w:rPr>
        <w:t xml:space="preserve"> L-Editor:</w:t>
      </w:r>
      <w:r w:rsidR="00320810" w:rsidRPr="00387988">
        <w:rPr>
          <w:rFonts w:ascii="Book Antiqua" w:eastAsia="Book Antiqua" w:hAnsi="Book Antiqua" w:cs="Book Antiqua"/>
          <w:b/>
          <w:color w:val="000000"/>
        </w:rPr>
        <w:t xml:space="preserve"> </w:t>
      </w:r>
      <w:r w:rsidR="00304648" w:rsidRPr="00387988">
        <w:rPr>
          <w:rFonts w:ascii="Book Antiqua" w:eastAsia="Book Antiqua" w:hAnsi="Book Antiqua" w:cs="Book Antiqua"/>
          <w:bCs/>
          <w:color w:val="000000"/>
        </w:rPr>
        <w:t xml:space="preserve">Filipodia </w:t>
      </w:r>
      <w:r w:rsidRPr="00387988">
        <w:rPr>
          <w:rFonts w:ascii="Book Antiqua" w:eastAsia="Book Antiqua" w:hAnsi="Book Antiqua" w:cs="Book Antiqua"/>
          <w:b/>
          <w:color w:val="000000"/>
        </w:rPr>
        <w:t xml:space="preserve">P-Editor: </w:t>
      </w:r>
    </w:p>
    <w:p w:rsidR="00107D11" w:rsidRPr="00387988" w:rsidRDefault="00107D11" w:rsidP="00387988">
      <w:pPr>
        <w:snapToGrid w:val="0"/>
        <w:spacing w:line="360" w:lineRule="auto"/>
        <w:jc w:val="both"/>
        <w:rPr>
          <w:rFonts w:ascii="Book Antiqua" w:hAnsi="Book Antiqua"/>
          <w:b/>
          <w:bCs/>
          <w:lang w:eastAsia="zh-CN"/>
        </w:rPr>
      </w:pPr>
      <w:r w:rsidRPr="00387988">
        <w:rPr>
          <w:rFonts w:ascii="Book Antiqua" w:eastAsia="Book Antiqua" w:hAnsi="Book Antiqua" w:cs="Book Antiqua"/>
          <w:b/>
          <w:color w:val="000000"/>
        </w:rPr>
        <w:br w:type="page"/>
      </w:r>
      <w:r w:rsidRPr="00387988">
        <w:rPr>
          <w:rFonts w:ascii="Book Antiqua" w:eastAsia="Times New Roman" w:hAnsi="Book Antiqua"/>
          <w:b/>
          <w:bCs/>
          <w:lang w:eastAsia="en-GB"/>
        </w:rPr>
        <w:lastRenderedPageBreak/>
        <w:t xml:space="preserve">Figure Legends </w:t>
      </w:r>
    </w:p>
    <w:p w:rsidR="00107D11" w:rsidRPr="00387988" w:rsidRDefault="00681ACF"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noProof/>
          <w:lang w:eastAsia="zh-CN"/>
        </w:rPr>
        <w:drawing>
          <wp:inline distT="0" distB="0" distL="0" distR="0" wp14:anchorId="631C8BEA" wp14:editId="59307C6E">
            <wp:extent cx="5947233" cy="3600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9309" cy="3601707"/>
                    </a:xfrm>
                    <a:prstGeom prst="rect">
                      <a:avLst/>
                    </a:prstGeom>
                    <a:noFill/>
                  </pic:spPr>
                </pic:pic>
              </a:graphicData>
            </a:graphic>
          </wp:inline>
        </w:drawing>
      </w:r>
    </w:p>
    <w:p w:rsidR="00F35910" w:rsidRPr="00387988" w:rsidRDefault="00107D11" w:rsidP="00387988">
      <w:pPr>
        <w:snapToGrid w:val="0"/>
        <w:spacing w:line="360" w:lineRule="auto"/>
        <w:jc w:val="both"/>
        <w:rPr>
          <w:rFonts w:ascii="Book Antiqua" w:hAnsi="Book Antiqua"/>
          <w:lang w:eastAsia="zh-CN"/>
        </w:rPr>
      </w:pPr>
      <w:r w:rsidRPr="00387988">
        <w:rPr>
          <w:rFonts w:ascii="Book Antiqua" w:eastAsia="Times New Roman" w:hAnsi="Book Antiqua"/>
          <w:b/>
          <w:bCs/>
          <w:lang w:eastAsia="en-GB"/>
        </w:rPr>
        <w:t xml:space="preserve">Figure 1 Murine model of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-induced liver injury: hepatotoxicity assessment.</w:t>
      </w:r>
      <w:r w:rsidRPr="00387988">
        <w:rPr>
          <w:rFonts w:ascii="Book Antiqua" w:eastAsia="Times New Roman" w:hAnsi="Book Antiqua"/>
          <w:lang w:eastAsia="en-GB"/>
        </w:rPr>
        <w:t xml:space="preserve"> A: A</w:t>
      </w:r>
      <w:r w:rsidR="00D859D5">
        <w:rPr>
          <w:rFonts w:ascii="Book Antiqua" w:eastAsia="Times New Roman" w:hAnsi="Book Antiqua"/>
          <w:lang w:eastAsia="en-GB"/>
        </w:rPr>
        <w:t>lanine aminotransferase (A</w:t>
      </w:r>
      <w:r w:rsidRPr="00387988">
        <w:rPr>
          <w:rFonts w:ascii="Book Antiqua" w:eastAsia="Times New Roman" w:hAnsi="Book Antiqua"/>
          <w:lang w:eastAsia="en-GB"/>
        </w:rPr>
        <w:t>LT</w:t>
      </w:r>
      <w:r w:rsidR="00D859D5">
        <w:rPr>
          <w:rFonts w:ascii="Book Antiqua" w:eastAsia="Times New Roman" w:hAnsi="Book Antiqua"/>
          <w:lang w:eastAsia="en-GB"/>
        </w:rPr>
        <w:t>)</w:t>
      </w:r>
      <w:r w:rsidRPr="00387988">
        <w:rPr>
          <w:rFonts w:ascii="Book Antiqua" w:eastAsia="Times New Roman" w:hAnsi="Book Antiqua"/>
          <w:lang w:eastAsia="en-GB"/>
        </w:rPr>
        <w:t xml:space="preserve"> levels were measured in sera of vehicle-treated mice (0</w:t>
      </w:r>
      <w:r w:rsidR="00C85F4E" w:rsidRPr="00387988">
        <w:rPr>
          <w:rFonts w:ascii="Book Antiqua" w:hAnsi="Book Antiqua"/>
          <w:lang w:eastAsia="zh-CN"/>
        </w:rPr>
        <w:t xml:space="preserve"> </w:t>
      </w:r>
      <w:r w:rsidRPr="00387988">
        <w:rPr>
          <w:rFonts w:ascii="Book Antiqua" w:eastAsia="Times New Roman" w:hAnsi="Book Antiqua"/>
          <w:lang w:eastAsia="en-GB"/>
        </w:rPr>
        <w:t xml:space="preserve">h) and in sera of mice sacrificed 2, 6, </w:t>
      </w:r>
      <w:r w:rsidR="0092350D" w:rsidRPr="00387988">
        <w:rPr>
          <w:rFonts w:ascii="Book Antiqua" w:eastAsia="Times New Roman" w:hAnsi="Book Antiqua"/>
          <w:lang w:eastAsia="en-GB"/>
        </w:rPr>
        <w:t xml:space="preserve">12 or 24 h after acetaminophen </w:t>
      </w:r>
      <w:r w:rsidR="0092350D" w:rsidRPr="00387988">
        <w:rPr>
          <w:rFonts w:ascii="Book Antiqua" w:hAnsi="Book Antiqua"/>
          <w:lang w:eastAsia="zh-CN"/>
        </w:rPr>
        <w:t>[</w:t>
      </w:r>
      <w:bookmarkStart w:id="22" w:name="OLE_LINK32"/>
      <w:bookmarkStart w:id="23" w:name="OLE_LINK33"/>
      <w:bookmarkStart w:id="24" w:name="OLE_LINK18"/>
      <w:bookmarkStart w:id="25" w:name="OLE_LINK19"/>
      <w:r w:rsidRPr="00387988">
        <w:rPr>
          <w:rFonts w:ascii="Book Antiqua" w:eastAsia="Times New Roman" w:hAnsi="Book Antiqua"/>
          <w:lang w:eastAsia="en-GB"/>
        </w:rPr>
        <w:t>APAP</w:t>
      </w:r>
      <w:bookmarkEnd w:id="22"/>
      <w:bookmarkEnd w:id="23"/>
      <w:bookmarkEnd w:id="24"/>
      <w:bookmarkEnd w:id="25"/>
      <w:r w:rsidR="0092350D" w:rsidRPr="00387988">
        <w:rPr>
          <w:rFonts w:ascii="Book Antiqua" w:eastAsia="Times New Roman" w:hAnsi="Book Antiqua"/>
          <w:lang w:eastAsia="en-GB"/>
        </w:rPr>
        <w:t>; 500 mg/kg</w:t>
      </w:r>
      <w:r w:rsidR="0092350D" w:rsidRPr="00387988">
        <w:rPr>
          <w:rFonts w:ascii="Book Antiqua" w:hAnsi="Book Antiqua"/>
          <w:lang w:eastAsia="zh-CN"/>
        </w:rPr>
        <w:t>]</w:t>
      </w:r>
      <w:r w:rsidRPr="00387988">
        <w:rPr>
          <w:rFonts w:ascii="Book Antiqua" w:eastAsia="Times New Roman" w:hAnsi="Book Antiqua"/>
          <w:lang w:eastAsia="en-GB"/>
        </w:rPr>
        <w:t xml:space="preserve"> administration (5 mice in each group); B: Liver necrosis was scored in the same groups of mice; C: Hepatic </w:t>
      </w:r>
      <w:bookmarkStart w:id="26" w:name="OLE_LINK21"/>
      <w:bookmarkStart w:id="27" w:name="OLE_LINK22"/>
      <w:r w:rsidR="00E248EC" w:rsidRPr="00387988">
        <w:rPr>
          <w:rFonts w:ascii="Book Antiqua" w:eastAsia="Times New Roman" w:hAnsi="Book Antiqua"/>
          <w:lang w:eastAsia="en-GB"/>
        </w:rPr>
        <w:t>glutathione</w:t>
      </w:r>
      <w:bookmarkEnd w:id="26"/>
      <w:bookmarkEnd w:id="27"/>
      <w:r w:rsidRPr="00387988">
        <w:rPr>
          <w:rFonts w:ascii="Book Antiqua" w:eastAsia="Times New Roman" w:hAnsi="Book Antiqua"/>
          <w:lang w:eastAsia="en-GB"/>
        </w:rPr>
        <w:t xml:space="preserve"> </w:t>
      </w:r>
      <w:r w:rsidR="00D859D5">
        <w:rPr>
          <w:rFonts w:ascii="Book Antiqua" w:eastAsia="Times New Roman" w:hAnsi="Book Antiqua"/>
          <w:lang w:eastAsia="en-GB"/>
        </w:rPr>
        <w:t xml:space="preserve">(GSH) </w:t>
      </w:r>
      <w:r w:rsidRPr="00387988">
        <w:rPr>
          <w:rFonts w:ascii="Book Antiqua" w:eastAsia="Times New Roman" w:hAnsi="Book Antiqua"/>
          <w:lang w:eastAsia="en-GB"/>
        </w:rPr>
        <w:t>levels were measured at 30</w:t>
      </w:r>
      <w:r w:rsidR="00E248EC" w:rsidRPr="00387988">
        <w:rPr>
          <w:rFonts w:ascii="Book Antiqua" w:hAnsi="Book Antiqua"/>
          <w:lang w:eastAsia="zh-CN"/>
        </w:rPr>
        <w:t xml:space="preserve"> </w:t>
      </w:r>
      <w:r w:rsidRPr="00387988">
        <w:rPr>
          <w:rFonts w:ascii="Book Antiqua" w:eastAsia="Times New Roman" w:hAnsi="Book Antiqua"/>
          <w:lang w:eastAsia="en-GB"/>
        </w:rPr>
        <w:t xml:space="preserve">min, 1 and 12 h after APAP challenge. The enzyme concentration obtained is expressed as nanomoles of enzyme per milligram of protein using bovine serum as a standard; D: </w:t>
      </w:r>
      <w:bookmarkStart w:id="28" w:name="OLE_LINK38"/>
      <w:bookmarkStart w:id="29" w:name="OLE_LINK39"/>
      <w:r w:rsidR="00E248EC" w:rsidRPr="00387988">
        <w:rPr>
          <w:rFonts w:ascii="Book Antiqua" w:hAnsi="Book Antiqua"/>
          <w:lang w:eastAsia="zh-CN"/>
        </w:rPr>
        <w:t>H</w:t>
      </w:r>
      <w:r w:rsidR="00E248EC" w:rsidRPr="00387988">
        <w:rPr>
          <w:rFonts w:ascii="Book Antiqua" w:eastAsia="Times New Roman" w:hAnsi="Book Antiqua"/>
          <w:lang w:eastAsia="en-GB"/>
        </w:rPr>
        <w:t>igh mobility group box</w:t>
      </w:r>
      <w:r w:rsidR="00D859D5">
        <w:rPr>
          <w:rFonts w:ascii="Book Antiqua" w:eastAsia="Times New Roman" w:hAnsi="Book Antiqua"/>
          <w:lang w:eastAsia="en-GB"/>
        </w:rPr>
        <w:t xml:space="preserve"> </w:t>
      </w:r>
      <w:r w:rsidR="00E248EC" w:rsidRPr="00387988">
        <w:rPr>
          <w:rFonts w:ascii="Book Antiqua" w:eastAsia="Times New Roman" w:hAnsi="Book Antiqua"/>
          <w:lang w:eastAsia="en-GB"/>
        </w:rPr>
        <w:t>1</w:t>
      </w:r>
      <w:r w:rsidR="00E248EC" w:rsidRPr="00387988">
        <w:rPr>
          <w:rFonts w:ascii="Book Antiqua" w:hAnsi="Book Antiqua"/>
          <w:lang w:eastAsia="zh-CN"/>
        </w:rPr>
        <w:t xml:space="preserve"> (</w:t>
      </w:r>
      <w:bookmarkStart w:id="30" w:name="OLE_LINK16"/>
      <w:bookmarkStart w:id="31" w:name="OLE_LINK17"/>
      <w:r w:rsidRPr="00387988">
        <w:rPr>
          <w:rFonts w:ascii="Book Antiqua" w:eastAsia="Times New Roman" w:hAnsi="Book Antiqua"/>
          <w:lang w:eastAsia="en-GB"/>
        </w:rPr>
        <w:t>HMGB1</w:t>
      </w:r>
      <w:bookmarkEnd w:id="30"/>
      <w:bookmarkEnd w:id="31"/>
      <w:r w:rsidR="00E248EC" w:rsidRPr="00387988">
        <w:rPr>
          <w:rFonts w:ascii="Book Antiqua" w:hAnsi="Book Antiqua"/>
          <w:lang w:eastAsia="zh-CN"/>
        </w:rPr>
        <w:t>)</w:t>
      </w:r>
      <w:bookmarkEnd w:id="28"/>
      <w:bookmarkEnd w:id="29"/>
      <w:r w:rsidRPr="00387988">
        <w:rPr>
          <w:rFonts w:ascii="Book Antiqua" w:eastAsia="Times New Roman" w:hAnsi="Book Antiqua"/>
          <w:lang w:eastAsia="en-GB"/>
        </w:rPr>
        <w:t xml:space="preserve"> levels were measured in the same groups of mice; E: Quantification of nuclear expression of HMGB1 in the same groups of mice; F: Representative </w:t>
      </w:r>
      <w:bookmarkStart w:id="32" w:name="OLE_LINK30"/>
      <w:bookmarkStart w:id="33" w:name="OLE_LINK31"/>
      <w:r w:rsidRPr="00387988">
        <w:rPr>
          <w:rFonts w:ascii="Book Antiqua" w:eastAsia="Times New Roman" w:hAnsi="Book Antiqua"/>
          <w:lang w:eastAsia="en-GB"/>
        </w:rPr>
        <w:t xml:space="preserve">hematoxylin </w:t>
      </w:r>
      <w:r w:rsidR="0092350D" w:rsidRPr="00387988">
        <w:rPr>
          <w:rFonts w:ascii="Book Antiqua" w:eastAsia="Times New Roman" w:hAnsi="Book Antiqua"/>
          <w:lang w:eastAsia="en-GB"/>
        </w:rPr>
        <w:t>and eosin</w:t>
      </w:r>
      <w:bookmarkEnd w:id="32"/>
      <w:bookmarkEnd w:id="33"/>
      <w:r w:rsidR="0092350D" w:rsidRPr="00387988">
        <w:rPr>
          <w:rFonts w:ascii="Book Antiqua" w:eastAsia="Times New Roman" w:hAnsi="Book Antiqua"/>
          <w:lang w:eastAsia="en-GB"/>
        </w:rPr>
        <w:t xml:space="preserve"> (magnification </w:t>
      </w:r>
      <w:r w:rsidR="0092350D" w:rsidRPr="00387988">
        <w:rPr>
          <w:rFonts w:eastAsia="Times New Roman"/>
          <w:lang w:eastAsia="en-GB"/>
        </w:rPr>
        <w:t>×</w:t>
      </w:r>
      <w:r w:rsidR="0092350D" w:rsidRPr="00387988">
        <w:rPr>
          <w:rFonts w:ascii="Book Antiqua" w:hAnsi="Book Antiqua"/>
          <w:lang w:eastAsia="zh-CN"/>
        </w:rPr>
        <w:t xml:space="preserve"> </w:t>
      </w:r>
      <w:r w:rsidRPr="00387988">
        <w:rPr>
          <w:rFonts w:ascii="Book Antiqua" w:eastAsia="Times New Roman" w:hAnsi="Book Antiqua"/>
          <w:lang w:eastAsia="en-GB"/>
        </w:rPr>
        <w:t>200) and HMGB1</w:t>
      </w:r>
      <w:r w:rsidR="0092350D" w:rsidRPr="00387988">
        <w:rPr>
          <w:rFonts w:ascii="Book Antiqua" w:eastAsia="Times New Roman" w:hAnsi="Book Antiqua"/>
          <w:lang w:eastAsia="en-GB"/>
        </w:rPr>
        <w:t xml:space="preserve">-stained images (magnification </w:t>
      </w:r>
      <w:r w:rsidR="0092350D" w:rsidRPr="00387988">
        <w:rPr>
          <w:rFonts w:eastAsia="Times New Roman"/>
          <w:lang w:eastAsia="en-GB"/>
        </w:rPr>
        <w:t>×</w:t>
      </w:r>
      <w:r w:rsidR="0092350D" w:rsidRPr="00387988">
        <w:rPr>
          <w:rFonts w:ascii="Book Antiqua" w:hAnsi="Book Antiqua"/>
          <w:lang w:eastAsia="zh-CN"/>
        </w:rPr>
        <w:t xml:space="preserve"> </w:t>
      </w:r>
      <w:r w:rsidRPr="00387988">
        <w:rPr>
          <w:rFonts w:ascii="Book Antiqua" w:eastAsia="Times New Roman" w:hAnsi="Book Antiqua"/>
          <w:lang w:eastAsia="en-GB"/>
        </w:rPr>
        <w:t>200)</w:t>
      </w:r>
      <w:r w:rsidR="00320810" w:rsidRPr="00387988">
        <w:rPr>
          <w:rFonts w:ascii="Book Antiqua" w:eastAsia="Times New Roman" w:hAnsi="Book Antiqua"/>
          <w:lang w:eastAsia="en-GB"/>
        </w:rPr>
        <w:t xml:space="preserve"> </w:t>
      </w:r>
      <w:r w:rsidRPr="00387988">
        <w:rPr>
          <w:rFonts w:ascii="Book Antiqua" w:eastAsia="Times New Roman" w:hAnsi="Book Antiqua"/>
          <w:lang w:eastAsia="en-GB"/>
        </w:rPr>
        <w:t xml:space="preserve">of murine liver 24 h after vehicle or APAP challenge. Results are expressed as mean ± </w:t>
      </w:r>
      <w:r w:rsidR="00D859D5">
        <w:rPr>
          <w:rFonts w:ascii="Book Antiqua" w:eastAsia="Times New Roman" w:hAnsi="Book Antiqua"/>
          <w:lang w:eastAsia="en-GB"/>
        </w:rPr>
        <w:t>standard error</w:t>
      </w:r>
      <w:r w:rsidRPr="00387988">
        <w:rPr>
          <w:rFonts w:ascii="Book Antiqua" w:eastAsia="Times New Roman" w:hAnsi="Book Antiqua"/>
          <w:lang w:eastAsia="en-GB"/>
        </w:rPr>
        <w:t>.</w:t>
      </w:r>
      <w:r w:rsidR="00320810"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a</w:t>
      </w:r>
      <w:r w:rsidRPr="00387988">
        <w:rPr>
          <w:rFonts w:ascii="Book Antiqua" w:eastAsia="Times New Roman" w:hAnsi="Book Antiqua"/>
          <w:i/>
          <w:iCs/>
          <w:lang w:eastAsia="en-GB"/>
        </w:rPr>
        <w:t xml:space="preserve">P </w:t>
      </w:r>
      <w:r w:rsidRPr="00387988">
        <w:rPr>
          <w:rFonts w:ascii="Book Antiqua" w:eastAsia="Times New Roman" w:hAnsi="Book Antiqua"/>
          <w:lang w:eastAsia="en-GB"/>
        </w:rPr>
        <w:t>&lt; 0.05,</w:t>
      </w:r>
      <w:r w:rsidR="00320810"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b</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0.01 </w:t>
      </w:r>
      <w:r w:rsidRPr="00387988">
        <w:rPr>
          <w:rFonts w:ascii="Book Antiqua" w:eastAsia="Times New Roman" w:hAnsi="Book Antiqua"/>
          <w:i/>
          <w:iCs/>
          <w:lang w:eastAsia="en-GB"/>
        </w:rPr>
        <w:t>vs</w:t>
      </w:r>
      <w:r w:rsidRPr="00387988">
        <w:rPr>
          <w:rFonts w:ascii="Book Antiqua" w:eastAsia="Times New Roman" w:hAnsi="Book Antiqua"/>
          <w:lang w:eastAsia="en-GB"/>
        </w:rPr>
        <w:t xml:space="preserve"> 0. Experiments were reproduced three times.</w:t>
      </w:r>
      <w:r w:rsidR="00143081" w:rsidRPr="00387988">
        <w:rPr>
          <w:rFonts w:ascii="Book Antiqua" w:eastAsia="Times New Roman" w:hAnsi="Book Antiqua"/>
          <w:lang w:eastAsia="en-GB"/>
        </w:rPr>
        <w:t xml:space="preserve"> </w:t>
      </w:r>
      <w:bookmarkStart w:id="34" w:name="OLE_LINK42"/>
      <w:bookmarkStart w:id="35" w:name="OLE_LINK43"/>
      <w:r w:rsidR="006B530C" w:rsidRPr="00387988">
        <w:rPr>
          <w:rFonts w:ascii="Book Antiqua" w:hAnsi="Book Antiqua"/>
          <w:lang w:eastAsia="zh-CN"/>
        </w:rPr>
        <w:t>H&amp;E:</w:t>
      </w:r>
      <w:r w:rsidR="006B530C" w:rsidRPr="00387988">
        <w:t xml:space="preserve"> </w:t>
      </w:r>
      <w:r w:rsidR="006B530C" w:rsidRPr="00387988">
        <w:rPr>
          <w:rFonts w:ascii="Book Antiqua" w:hAnsi="Book Antiqua"/>
          <w:lang w:eastAsia="zh-CN"/>
        </w:rPr>
        <w:t>Hematoxylin and eosin.</w:t>
      </w:r>
    </w:p>
    <w:bookmarkEnd w:id="34"/>
    <w:bookmarkEnd w:id="35"/>
    <w:p w:rsidR="00107D11" w:rsidRPr="00387988" w:rsidRDefault="00F35910" w:rsidP="00387988">
      <w:pPr>
        <w:snapToGrid w:val="0"/>
        <w:spacing w:line="360" w:lineRule="auto"/>
        <w:jc w:val="both"/>
        <w:rPr>
          <w:rFonts w:ascii="Book Antiqua" w:hAnsi="Book Antiqua"/>
          <w:lang w:eastAsia="zh-CN"/>
        </w:rPr>
      </w:pPr>
      <w:r w:rsidRPr="00387988">
        <w:rPr>
          <w:rFonts w:ascii="Book Antiqua" w:eastAsia="Times New Roman" w:hAnsi="Book Antiqua"/>
          <w:lang w:eastAsia="en-GB"/>
        </w:rPr>
        <w:br w:type="page"/>
      </w:r>
      <w:r w:rsidR="00681ACF" w:rsidRPr="00387988">
        <w:rPr>
          <w:rFonts w:ascii="Book Antiqua" w:eastAsia="Times New Roman" w:hAnsi="Book Antiqua"/>
          <w:noProof/>
          <w:lang w:eastAsia="zh-CN"/>
        </w:rPr>
        <w:lastRenderedPageBreak/>
        <w:drawing>
          <wp:inline distT="0" distB="0" distL="0" distR="0" wp14:anchorId="4CE0ADAC" wp14:editId="62738C6E">
            <wp:extent cx="5915025" cy="39422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0299" cy="3945784"/>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hAnsi="Book Antiqua"/>
          <w:lang w:eastAsia="zh-CN"/>
        </w:rPr>
      </w:pPr>
      <w:r w:rsidRPr="00387988">
        <w:rPr>
          <w:rFonts w:ascii="Book Antiqua" w:eastAsia="Times New Roman" w:hAnsi="Book Antiqua"/>
          <w:b/>
          <w:bCs/>
          <w:lang w:eastAsia="en-GB"/>
        </w:rPr>
        <w:t xml:space="preserve">Figure 2 Administration of glycyrrhizin at the same time as </w:t>
      </w:r>
      <w:bookmarkStart w:id="36" w:name="OLE_LINK52"/>
      <w:r w:rsidR="001C6564" w:rsidRPr="00387988">
        <w:rPr>
          <w:rFonts w:ascii="Book Antiqua" w:eastAsia="Times New Roman" w:hAnsi="Book Antiqua"/>
          <w:b/>
          <w:bCs/>
          <w:lang w:eastAsia="en-GB"/>
        </w:rPr>
        <w:t>acetaminophen</w:t>
      </w:r>
      <w:bookmarkEnd w:id="36"/>
      <w:r w:rsidRPr="00387988">
        <w:rPr>
          <w:rFonts w:ascii="Book Antiqua" w:eastAsia="Times New Roman" w:hAnsi="Book Antiqua"/>
          <w:b/>
          <w:bCs/>
          <w:lang w:eastAsia="en-GB"/>
        </w:rPr>
        <w:t xml:space="preserve">, reduced the severity of liver injury. </w:t>
      </w:r>
      <w:r w:rsidRPr="00387988">
        <w:rPr>
          <w:rFonts w:ascii="Book Antiqua" w:eastAsia="Times New Roman" w:hAnsi="Book Antiqua"/>
          <w:lang w:eastAsia="en-GB"/>
        </w:rPr>
        <w:t xml:space="preserve">A: </w:t>
      </w:r>
      <w:r w:rsidR="001F5380" w:rsidRPr="00387988">
        <w:rPr>
          <w:rFonts w:ascii="Book Antiqua" w:hAnsi="Book Antiqua"/>
          <w:lang w:eastAsia="zh-CN"/>
        </w:rPr>
        <w:t>Alanine aminotransferase</w:t>
      </w:r>
      <w:r w:rsidRPr="00387988">
        <w:rPr>
          <w:rFonts w:ascii="Book Antiqua" w:eastAsia="Times New Roman" w:hAnsi="Book Antiqua"/>
          <w:lang w:eastAsia="en-GB"/>
        </w:rPr>
        <w:t xml:space="preserve"> </w:t>
      </w:r>
      <w:r w:rsidR="008F38A8">
        <w:rPr>
          <w:rFonts w:ascii="Book Antiqua" w:eastAsia="Times New Roman" w:hAnsi="Book Antiqua"/>
          <w:lang w:eastAsia="en-GB"/>
        </w:rPr>
        <w:t xml:space="preserve">(ALT) </w:t>
      </w:r>
      <w:r w:rsidRPr="00387988">
        <w:rPr>
          <w:rFonts w:ascii="Book Antiqua" w:eastAsia="Times New Roman" w:hAnsi="Book Antiqua"/>
          <w:lang w:eastAsia="en-GB"/>
        </w:rPr>
        <w:t>levels were measured after 12</w:t>
      </w:r>
      <w:r w:rsidR="001F5380" w:rsidRPr="00387988">
        <w:rPr>
          <w:rFonts w:ascii="Book Antiqua" w:hAnsi="Book Antiqua"/>
          <w:lang w:eastAsia="zh-CN"/>
        </w:rPr>
        <w:t xml:space="preserve"> </w:t>
      </w:r>
      <w:r w:rsidRPr="00387988">
        <w:rPr>
          <w:rFonts w:ascii="Book Antiqua" w:eastAsia="Times New Roman" w:hAnsi="Book Antiqua"/>
          <w:lang w:eastAsia="en-GB"/>
        </w:rPr>
        <w:t xml:space="preserve">h in the plasma of mice treated by vehicle or </w:t>
      </w:r>
      <w:bookmarkStart w:id="37" w:name="OLE_LINK48"/>
      <w:bookmarkStart w:id="38" w:name="OLE_LINK49"/>
      <w:r w:rsidR="0071537A" w:rsidRPr="00387988">
        <w:rPr>
          <w:rFonts w:ascii="Book Antiqua" w:hAnsi="Book Antiqua" w:cs="Book Antiqua"/>
          <w:color w:val="000000"/>
          <w:lang w:eastAsia="zh-CN"/>
        </w:rPr>
        <w:t>g</w:t>
      </w:r>
      <w:r w:rsidR="0071537A" w:rsidRPr="00387988">
        <w:rPr>
          <w:rFonts w:ascii="Book Antiqua" w:eastAsia="Book Antiqua" w:hAnsi="Book Antiqua" w:cs="Book Antiqua"/>
          <w:color w:val="000000"/>
        </w:rPr>
        <w:t>lycyrrhizin</w:t>
      </w:r>
      <w:bookmarkEnd w:id="37"/>
      <w:bookmarkEnd w:id="38"/>
      <w:r w:rsidR="0071537A" w:rsidRPr="00387988">
        <w:rPr>
          <w:rFonts w:ascii="Book Antiqua" w:eastAsia="Times New Roman" w:hAnsi="Book Antiqua"/>
          <w:lang w:eastAsia="en-GB"/>
        </w:rPr>
        <w:t xml:space="preserve"> </w:t>
      </w:r>
      <w:r w:rsidR="0071537A" w:rsidRPr="00387988">
        <w:rPr>
          <w:rFonts w:ascii="Book Antiqua" w:hAnsi="Book Antiqua"/>
          <w:lang w:eastAsia="zh-CN"/>
        </w:rPr>
        <w:t>(</w:t>
      </w:r>
      <w:bookmarkStart w:id="39" w:name="OLE_LINK46"/>
      <w:bookmarkStart w:id="40" w:name="OLE_LINK47"/>
      <w:r w:rsidRPr="00387988">
        <w:rPr>
          <w:rFonts w:ascii="Book Antiqua" w:eastAsia="Times New Roman" w:hAnsi="Book Antiqua"/>
          <w:lang w:eastAsia="en-GB"/>
        </w:rPr>
        <w:t>GL</w:t>
      </w:r>
      <w:bookmarkEnd w:id="39"/>
      <w:bookmarkEnd w:id="40"/>
      <w:r w:rsidR="0071537A" w:rsidRPr="00387988">
        <w:rPr>
          <w:rFonts w:ascii="Book Antiqua" w:hAnsi="Book Antiqua"/>
          <w:lang w:eastAsia="zh-CN"/>
        </w:rPr>
        <w:t>)</w:t>
      </w:r>
      <w:r w:rsidRPr="00387988">
        <w:rPr>
          <w:rFonts w:ascii="Book Antiqua" w:eastAsia="Times New Roman" w:hAnsi="Book Antiqua"/>
          <w:lang w:eastAsia="en-GB"/>
        </w:rPr>
        <w:t xml:space="preserve"> at the time of </w:t>
      </w:r>
      <w:bookmarkStart w:id="41" w:name="OLE_LINK58"/>
      <w:bookmarkStart w:id="42" w:name="OLE_LINK59"/>
      <w:r w:rsidR="001C6564" w:rsidRPr="00387988">
        <w:rPr>
          <w:rFonts w:ascii="Book Antiqua" w:eastAsia="Times New Roman" w:hAnsi="Book Antiqua"/>
          <w:lang w:eastAsia="en-GB"/>
        </w:rPr>
        <w:t>acetaminophen</w:t>
      </w:r>
      <w:r w:rsidR="0071537A" w:rsidRPr="00387988">
        <w:rPr>
          <w:rFonts w:ascii="Book Antiqua" w:eastAsia="Times New Roman" w:hAnsi="Book Antiqua"/>
          <w:lang w:eastAsia="en-GB"/>
        </w:rPr>
        <w:t xml:space="preserve"> </w:t>
      </w:r>
      <w:r w:rsidR="0071537A" w:rsidRPr="00387988">
        <w:rPr>
          <w:rFonts w:ascii="Book Antiqua" w:hAnsi="Book Antiqua"/>
          <w:lang w:eastAsia="zh-CN"/>
        </w:rPr>
        <w:t>(</w:t>
      </w:r>
      <w:r w:rsidR="0071537A" w:rsidRPr="00387988">
        <w:rPr>
          <w:rFonts w:ascii="Book Antiqua" w:eastAsia="Times New Roman" w:hAnsi="Book Antiqua"/>
          <w:lang w:eastAsia="en-GB"/>
        </w:rPr>
        <w:t>APAP</w:t>
      </w:r>
      <w:r w:rsidR="0071537A" w:rsidRPr="00387988">
        <w:rPr>
          <w:rFonts w:ascii="Book Antiqua" w:hAnsi="Book Antiqua"/>
          <w:lang w:eastAsia="zh-CN"/>
        </w:rPr>
        <w:t>)</w:t>
      </w:r>
      <w:bookmarkEnd w:id="41"/>
      <w:bookmarkEnd w:id="42"/>
      <w:r w:rsidRPr="00387988">
        <w:rPr>
          <w:rFonts w:ascii="Book Antiqua" w:eastAsia="Times New Roman" w:hAnsi="Book Antiqua"/>
          <w:lang w:eastAsia="en-GB"/>
        </w:rPr>
        <w:t xml:space="preserve"> injection (10 mice in each group); B: </w:t>
      </w:r>
      <w:bookmarkStart w:id="43" w:name="OLE_LINK44"/>
      <w:bookmarkStart w:id="44" w:name="OLE_LINK45"/>
      <w:r w:rsidR="0071537A" w:rsidRPr="00387988">
        <w:rPr>
          <w:rFonts w:ascii="Book Antiqua" w:hAnsi="Book Antiqua"/>
          <w:lang w:eastAsia="zh-CN"/>
        </w:rPr>
        <w:t>A</w:t>
      </w:r>
      <w:r w:rsidR="0071537A" w:rsidRPr="00387988">
        <w:rPr>
          <w:rFonts w:ascii="Book Antiqua" w:eastAsia="Times New Roman" w:hAnsi="Book Antiqua"/>
          <w:lang w:eastAsia="en-GB"/>
        </w:rPr>
        <w:t>spartate aminotransferase</w:t>
      </w:r>
      <w:bookmarkEnd w:id="43"/>
      <w:bookmarkEnd w:id="44"/>
      <w:r w:rsidRPr="00387988">
        <w:rPr>
          <w:rFonts w:ascii="Book Antiqua" w:eastAsia="Times New Roman" w:hAnsi="Book Antiqua"/>
          <w:lang w:eastAsia="en-GB"/>
        </w:rPr>
        <w:t xml:space="preserve"> </w:t>
      </w:r>
      <w:r w:rsidR="008D0810">
        <w:rPr>
          <w:rFonts w:ascii="Book Antiqua" w:eastAsia="Times New Roman" w:hAnsi="Book Antiqua"/>
          <w:lang w:eastAsia="en-GB"/>
        </w:rPr>
        <w:t xml:space="preserve">(AST) </w:t>
      </w:r>
      <w:r w:rsidRPr="00387988">
        <w:rPr>
          <w:rFonts w:ascii="Book Antiqua" w:eastAsia="Times New Roman" w:hAnsi="Book Antiqua"/>
          <w:lang w:eastAsia="en-GB"/>
        </w:rPr>
        <w:t>levels were measured after 12</w:t>
      </w:r>
      <w:r w:rsidR="0071537A" w:rsidRPr="00387988">
        <w:rPr>
          <w:rFonts w:ascii="Book Antiqua" w:hAnsi="Book Antiqua"/>
          <w:lang w:eastAsia="zh-CN"/>
        </w:rPr>
        <w:t xml:space="preserve"> </w:t>
      </w:r>
      <w:r w:rsidRPr="00387988">
        <w:rPr>
          <w:rFonts w:ascii="Book Antiqua" w:eastAsia="Times New Roman" w:hAnsi="Book Antiqua"/>
          <w:lang w:eastAsia="en-GB"/>
        </w:rPr>
        <w:t xml:space="preserve">h in the plasma of mice treated by vehicle or GL at the time of APAP injection (10 mice in each group) C: </w:t>
      </w:r>
      <w:r w:rsidR="00513C8E">
        <w:rPr>
          <w:rFonts w:ascii="Book Antiqua" w:eastAsia="Book Antiqua" w:hAnsi="Book Antiqua" w:cs="Book Antiqua"/>
          <w:color w:val="000000"/>
        </w:rPr>
        <w:t>L</w:t>
      </w:r>
      <w:r w:rsidR="00513C8E" w:rsidRPr="00387988">
        <w:rPr>
          <w:rFonts w:ascii="Book Antiqua" w:eastAsia="Book Antiqua" w:hAnsi="Book Antiqua" w:cs="Book Antiqua"/>
          <w:color w:val="000000"/>
        </w:rPr>
        <w:t xml:space="preserve">actate dehydrogenase </w:t>
      </w:r>
      <w:r w:rsidR="00513C8E">
        <w:rPr>
          <w:rFonts w:ascii="Book Antiqua" w:eastAsia="Book Antiqua" w:hAnsi="Book Antiqua" w:cs="Book Antiqua"/>
          <w:color w:val="000000"/>
        </w:rPr>
        <w:t>(</w:t>
      </w:r>
      <w:r w:rsidRPr="00387988">
        <w:rPr>
          <w:rFonts w:ascii="Book Antiqua" w:eastAsia="Times New Roman" w:hAnsi="Book Antiqua"/>
          <w:lang w:eastAsia="en-GB"/>
        </w:rPr>
        <w:t>LDH</w:t>
      </w:r>
      <w:r w:rsidR="00513C8E">
        <w:rPr>
          <w:rFonts w:ascii="Book Antiqua" w:eastAsia="Times New Roman" w:hAnsi="Book Antiqua"/>
          <w:lang w:eastAsia="en-GB"/>
        </w:rPr>
        <w:t>)</w:t>
      </w:r>
      <w:r w:rsidRPr="00387988">
        <w:rPr>
          <w:rFonts w:ascii="Book Antiqua" w:eastAsia="Times New Roman" w:hAnsi="Book Antiqua"/>
          <w:lang w:eastAsia="en-GB"/>
        </w:rPr>
        <w:t xml:space="preserve"> levels were measured after 12</w:t>
      </w:r>
      <w:r w:rsidR="001F5380" w:rsidRPr="00387988">
        <w:rPr>
          <w:rFonts w:ascii="Book Antiqua" w:hAnsi="Book Antiqua"/>
          <w:lang w:eastAsia="zh-CN"/>
        </w:rPr>
        <w:t xml:space="preserve"> </w:t>
      </w:r>
      <w:r w:rsidRPr="00387988">
        <w:rPr>
          <w:rFonts w:ascii="Book Antiqua" w:eastAsia="Times New Roman" w:hAnsi="Book Antiqua"/>
          <w:lang w:eastAsia="en-GB"/>
        </w:rPr>
        <w:t xml:space="preserve">h in the plasma of mice treated by vehicle or GL at the time of APAP injection (10 mice in each group); D: Liver necrosis was scored in </w:t>
      </w:r>
      <w:r w:rsidR="007F7546">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E: Representative </w:t>
      </w:r>
      <w:bookmarkStart w:id="45" w:name="OLE_LINK61"/>
      <w:bookmarkStart w:id="46" w:name="OLE_LINK62"/>
      <w:r w:rsidR="001F5380" w:rsidRPr="00387988">
        <w:rPr>
          <w:rFonts w:ascii="Book Antiqua" w:eastAsia="Times New Roman" w:hAnsi="Book Antiqua"/>
          <w:lang w:eastAsia="en-GB"/>
        </w:rPr>
        <w:t>hematoxylin and eosin</w:t>
      </w:r>
      <w:bookmarkEnd w:id="45"/>
      <w:bookmarkEnd w:id="46"/>
      <w:r w:rsidRPr="00387988">
        <w:rPr>
          <w:rFonts w:ascii="Book Antiqua" w:eastAsia="Times New Roman" w:hAnsi="Book Antiqua"/>
          <w:lang w:eastAsia="en-GB"/>
        </w:rPr>
        <w:t xml:space="preserve"> (</w:t>
      </w:r>
      <w:r w:rsidR="00513C8E" w:rsidRPr="00387988">
        <w:rPr>
          <w:rFonts w:ascii="Book Antiqua" w:hAnsi="Book Antiqua"/>
          <w:lang w:eastAsia="zh-CN"/>
        </w:rPr>
        <w:t>H&amp;E</w:t>
      </w:r>
      <w:r w:rsidR="00513C8E">
        <w:rPr>
          <w:rFonts w:ascii="Book Antiqua" w:hAnsi="Book Antiqua"/>
          <w:lang w:eastAsia="zh-CN"/>
        </w:rPr>
        <w:t>;</w:t>
      </w:r>
      <w:r w:rsidR="00513C8E" w:rsidRPr="00387988">
        <w:t xml:space="preserve"> </w:t>
      </w:r>
      <w:r w:rsidRPr="00387988">
        <w:rPr>
          <w:rFonts w:ascii="Book Antiqua" w:eastAsia="Times New Roman" w:hAnsi="Book Antiqua"/>
          <w:lang w:eastAsia="en-GB"/>
        </w:rPr>
        <w:t>mag</w:t>
      </w:r>
      <w:r w:rsidR="001F5380" w:rsidRPr="00387988">
        <w:rPr>
          <w:rFonts w:ascii="Book Antiqua" w:eastAsia="Times New Roman" w:hAnsi="Book Antiqua"/>
          <w:lang w:eastAsia="en-GB"/>
        </w:rPr>
        <w:t xml:space="preserve">nification </w:t>
      </w:r>
      <w:r w:rsidR="001F5380" w:rsidRPr="00387988">
        <w:rPr>
          <w:rFonts w:eastAsia="Times New Roman"/>
          <w:lang w:eastAsia="en-GB"/>
        </w:rPr>
        <w:t>×</w:t>
      </w:r>
      <w:r w:rsidR="001F5380" w:rsidRPr="00387988">
        <w:rPr>
          <w:rFonts w:ascii="Book Antiqua" w:hAnsi="Book Antiqua"/>
          <w:lang w:eastAsia="zh-CN"/>
        </w:rPr>
        <w:t xml:space="preserve"> </w:t>
      </w:r>
      <w:r w:rsidRPr="00387988">
        <w:rPr>
          <w:rFonts w:ascii="Book Antiqua" w:eastAsia="Times New Roman" w:hAnsi="Book Antiqua"/>
          <w:lang w:eastAsia="en-GB"/>
        </w:rPr>
        <w:t>200)</w:t>
      </w:r>
      <w:r w:rsidR="00320810" w:rsidRPr="00387988">
        <w:rPr>
          <w:rFonts w:ascii="Book Antiqua" w:eastAsia="Times New Roman" w:hAnsi="Book Antiqua"/>
          <w:lang w:eastAsia="en-GB"/>
        </w:rPr>
        <w:t xml:space="preserve"> </w:t>
      </w:r>
      <w:r w:rsidRPr="00387988">
        <w:rPr>
          <w:rFonts w:ascii="Book Antiqua" w:eastAsia="Times New Roman" w:hAnsi="Book Antiqua"/>
          <w:lang w:eastAsia="en-GB"/>
        </w:rPr>
        <w:t xml:space="preserve">and </w:t>
      </w:r>
      <w:bookmarkStart w:id="47" w:name="OLE_LINK63"/>
      <w:bookmarkStart w:id="48" w:name="OLE_LINK64"/>
      <w:r w:rsidR="00D61AEF" w:rsidRPr="00387988">
        <w:rPr>
          <w:rFonts w:ascii="Book Antiqua" w:hAnsi="Book Antiqua"/>
          <w:lang w:eastAsia="zh-CN"/>
        </w:rPr>
        <w:t>h</w:t>
      </w:r>
      <w:r w:rsidR="00D61AEF" w:rsidRPr="00387988">
        <w:rPr>
          <w:rFonts w:ascii="Book Antiqua" w:eastAsia="Times New Roman" w:hAnsi="Book Antiqua"/>
          <w:lang w:eastAsia="en-GB"/>
        </w:rPr>
        <w:t>igh mobility group box</w:t>
      </w:r>
      <w:r w:rsidR="00513C8E">
        <w:rPr>
          <w:rFonts w:ascii="Book Antiqua" w:eastAsia="Times New Roman" w:hAnsi="Book Antiqua"/>
          <w:lang w:eastAsia="en-GB"/>
        </w:rPr>
        <w:t xml:space="preserve"> </w:t>
      </w:r>
      <w:r w:rsidR="00D61AEF" w:rsidRPr="00387988">
        <w:rPr>
          <w:rFonts w:ascii="Book Antiqua" w:eastAsia="Times New Roman" w:hAnsi="Book Antiqua"/>
          <w:lang w:eastAsia="en-GB"/>
        </w:rPr>
        <w:t>1</w:t>
      </w:r>
      <w:r w:rsidR="00D61AEF" w:rsidRPr="00387988">
        <w:rPr>
          <w:rFonts w:ascii="Book Antiqua" w:hAnsi="Book Antiqua"/>
          <w:lang w:eastAsia="zh-CN"/>
        </w:rPr>
        <w:t xml:space="preserve"> (</w:t>
      </w:r>
      <w:r w:rsidR="00D61AEF" w:rsidRPr="00387988">
        <w:rPr>
          <w:rFonts w:ascii="Book Antiqua" w:eastAsia="Times New Roman" w:hAnsi="Book Antiqua"/>
          <w:lang w:eastAsia="en-GB"/>
        </w:rPr>
        <w:t>HMGB1</w:t>
      </w:r>
      <w:r w:rsidR="00D61AEF" w:rsidRPr="00387988">
        <w:rPr>
          <w:rFonts w:ascii="Book Antiqua" w:hAnsi="Book Antiqua"/>
          <w:lang w:eastAsia="zh-CN"/>
        </w:rPr>
        <w:t>)</w:t>
      </w:r>
      <w:bookmarkEnd w:id="47"/>
      <w:bookmarkEnd w:id="48"/>
      <w:r w:rsidR="001F5380" w:rsidRPr="00387988">
        <w:rPr>
          <w:rFonts w:ascii="Book Antiqua" w:eastAsia="Times New Roman" w:hAnsi="Book Antiqua"/>
          <w:lang w:eastAsia="en-GB"/>
        </w:rPr>
        <w:t xml:space="preserve">-stained images (magnification </w:t>
      </w:r>
      <w:r w:rsidR="001F5380" w:rsidRPr="00387988">
        <w:rPr>
          <w:rFonts w:eastAsia="Times New Roman"/>
          <w:lang w:eastAsia="en-GB"/>
        </w:rPr>
        <w:t>×</w:t>
      </w:r>
      <w:r w:rsidR="001F5380" w:rsidRPr="00387988">
        <w:rPr>
          <w:rFonts w:ascii="Book Antiqua" w:hAnsi="Book Antiqua"/>
          <w:lang w:eastAsia="zh-CN"/>
        </w:rPr>
        <w:t xml:space="preserve"> </w:t>
      </w:r>
      <w:r w:rsidRPr="00387988">
        <w:rPr>
          <w:rFonts w:ascii="Book Antiqua" w:eastAsia="Times New Roman" w:hAnsi="Book Antiqua"/>
          <w:lang w:eastAsia="en-GB"/>
        </w:rPr>
        <w:t>400) of murine liver 12</w:t>
      </w:r>
      <w:r w:rsidR="001F5380"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in the same group of mice; F: HMGB1 levels were measured in </w:t>
      </w:r>
      <w:r w:rsidR="00513C8E">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G: Quantification of nuclear expression of HMGB1 in the same groups of mice; F: Hepatic </w:t>
      </w:r>
      <w:r w:rsidR="004B5FF6" w:rsidRPr="00387988">
        <w:rPr>
          <w:rFonts w:ascii="Book Antiqua" w:hAnsi="Book Antiqua"/>
          <w:lang w:eastAsia="zh-CN"/>
        </w:rPr>
        <w:t>g</w:t>
      </w:r>
      <w:r w:rsidR="004B5FF6" w:rsidRPr="00387988">
        <w:rPr>
          <w:rFonts w:ascii="Book Antiqua" w:eastAsia="Times New Roman" w:hAnsi="Book Antiqua"/>
          <w:lang w:eastAsia="en-GB"/>
        </w:rPr>
        <w:t>lutathione</w:t>
      </w:r>
      <w:r w:rsidRPr="00387988">
        <w:rPr>
          <w:rFonts w:ascii="Book Antiqua" w:eastAsia="Times New Roman" w:hAnsi="Book Antiqua"/>
          <w:lang w:eastAsia="en-GB"/>
        </w:rPr>
        <w:t xml:space="preserve"> levels were measured in </w:t>
      </w:r>
      <w:r w:rsidR="007F7546">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Results are expressed as mean ± </w:t>
      </w:r>
      <w:r w:rsidR="00513C8E">
        <w:rPr>
          <w:rFonts w:ascii="Book Antiqua" w:eastAsia="Times New Roman" w:hAnsi="Book Antiqua"/>
          <w:lang w:eastAsia="en-GB"/>
        </w:rPr>
        <w:t>standard error</w:t>
      </w:r>
      <w:r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0.01, </w:t>
      </w:r>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r w:rsidR="00D17F23"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r w:rsidRPr="00387988">
        <w:rPr>
          <w:rFonts w:ascii="Book Antiqua" w:eastAsia="Times New Roman" w:hAnsi="Book Antiqua"/>
          <w:i/>
          <w:iCs/>
          <w:lang w:eastAsia="en-GB"/>
        </w:rPr>
        <w:t>vs</w:t>
      </w:r>
      <w:r w:rsidRPr="00387988">
        <w:rPr>
          <w:rFonts w:ascii="Book Antiqua" w:eastAsia="Times New Roman" w:hAnsi="Book Antiqua"/>
          <w:lang w:eastAsia="en-GB"/>
        </w:rPr>
        <w:t xml:space="preserve"> APAP. Experiments were reproduced three times.</w:t>
      </w:r>
      <w:r w:rsidR="00E647A2" w:rsidRPr="00387988">
        <w:rPr>
          <w:rFonts w:ascii="Book Antiqua" w:eastAsia="Times New Roman" w:hAnsi="Book Antiqua"/>
          <w:lang w:eastAsia="en-GB"/>
        </w:rPr>
        <w:t xml:space="preserve"> </w:t>
      </w:r>
      <w:r w:rsidR="00E647A2" w:rsidRPr="00387988">
        <w:rPr>
          <w:rFonts w:ascii="Book Antiqua" w:hAnsi="Book Antiqua" w:cs="Book Antiqua"/>
          <w:color w:val="000000"/>
          <w:lang w:eastAsia="zh-CN"/>
        </w:rPr>
        <w:br w:type="page"/>
      </w:r>
      <w:r w:rsidR="00681ACF" w:rsidRPr="00387988">
        <w:rPr>
          <w:rFonts w:ascii="Book Antiqua" w:hAnsi="Book Antiqua" w:cs="Book Antiqua"/>
          <w:noProof/>
          <w:color w:val="000000"/>
          <w:lang w:eastAsia="zh-CN"/>
        </w:rPr>
        <w:lastRenderedPageBreak/>
        <w:drawing>
          <wp:inline distT="0" distB="0" distL="0" distR="0" wp14:anchorId="0DD1C223" wp14:editId="4311825F">
            <wp:extent cx="5934075" cy="39703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801" cy="3968874"/>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 xml:space="preserve">Figure 3 Administration of N-acetylcysteine, at the same time as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 reduced the severity of liver injury</w:t>
      </w:r>
      <w:r w:rsidRPr="004060DA">
        <w:rPr>
          <w:rFonts w:ascii="Book Antiqua" w:eastAsia="Times New Roman" w:hAnsi="Book Antiqua"/>
          <w:b/>
          <w:bCs/>
          <w:lang w:eastAsia="en-GB"/>
        </w:rPr>
        <w:t xml:space="preserve">. </w:t>
      </w:r>
      <w:r w:rsidRPr="00387988">
        <w:rPr>
          <w:rFonts w:ascii="Book Antiqua" w:eastAsia="Times New Roman" w:hAnsi="Book Antiqua"/>
          <w:lang w:eastAsia="en-GB"/>
        </w:rPr>
        <w:t xml:space="preserve">A: </w:t>
      </w:r>
      <w:r w:rsidR="00C75040" w:rsidRPr="00387988">
        <w:rPr>
          <w:rFonts w:ascii="Book Antiqua" w:eastAsia="Times New Roman" w:hAnsi="Book Antiqua"/>
          <w:lang w:eastAsia="en-GB"/>
        </w:rPr>
        <w:t>Alanine aminotransferase</w:t>
      </w:r>
      <w:r w:rsidRPr="00387988">
        <w:rPr>
          <w:rFonts w:ascii="Book Antiqua" w:eastAsia="Times New Roman" w:hAnsi="Book Antiqua"/>
          <w:lang w:eastAsia="en-GB"/>
        </w:rPr>
        <w:t xml:space="preserve"> </w:t>
      </w:r>
      <w:r w:rsidR="00D977C4">
        <w:rPr>
          <w:rFonts w:ascii="Book Antiqua" w:eastAsia="Times New Roman" w:hAnsi="Book Antiqua"/>
          <w:lang w:eastAsia="en-GB"/>
        </w:rPr>
        <w:t xml:space="preserve">(ALT) </w:t>
      </w:r>
      <w:r w:rsidRPr="00387988">
        <w:rPr>
          <w:rFonts w:ascii="Book Antiqua" w:eastAsia="Times New Roman" w:hAnsi="Book Antiqua"/>
          <w:lang w:eastAsia="en-GB"/>
        </w:rPr>
        <w:t>levels were measured after 12</w:t>
      </w:r>
      <w:r w:rsidR="00C75040" w:rsidRPr="00387988">
        <w:rPr>
          <w:rFonts w:ascii="Book Antiqua" w:hAnsi="Book Antiqua"/>
          <w:lang w:eastAsia="zh-CN"/>
        </w:rPr>
        <w:t xml:space="preserve"> </w:t>
      </w:r>
      <w:r w:rsidRPr="00387988">
        <w:rPr>
          <w:rFonts w:ascii="Book Antiqua" w:eastAsia="Times New Roman" w:hAnsi="Book Antiqua"/>
          <w:lang w:eastAsia="en-GB"/>
        </w:rPr>
        <w:t>h in the plasma of mice treated by vehicle (</w:t>
      </w:r>
      <w:r w:rsidR="00D977C4">
        <w:rPr>
          <w:rFonts w:ascii="Book Antiqua" w:eastAsia="Times New Roman" w:hAnsi="Book Antiqua"/>
          <w:lang w:eastAsia="en-GB"/>
        </w:rPr>
        <w:t xml:space="preserve">phosphate-buffered saline; </w:t>
      </w:r>
      <w:r w:rsidRPr="00387988">
        <w:rPr>
          <w:rFonts w:ascii="Book Antiqua" w:eastAsia="Times New Roman" w:hAnsi="Book Antiqua"/>
          <w:lang w:eastAsia="en-GB"/>
        </w:rPr>
        <w:t xml:space="preserve">PBS) or </w:t>
      </w:r>
      <w:bookmarkStart w:id="49" w:name="OLE_LINK69"/>
      <w:r w:rsidR="00577BA8" w:rsidRPr="00387988">
        <w:rPr>
          <w:rFonts w:ascii="Book Antiqua" w:eastAsia="Times New Roman" w:hAnsi="Book Antiqua"/>
          <w:lang w:eastAsia="en-GB"/>
        </w:rPr>
        <w:t>N-acetylcysteine</w:t>
      </w:r>
      <w:bookmarkEnd w:id="49"/>
      <w:r w:rsidR="00577BA8" w:rsidRPr="00387988">
        <w:rPr>
          <w:rFonts w:ascii="Book Antiqua" w:eastAsia="Times New Roman" w:hAnsi="Book Antiqua"/>
          <w:lang w:eastAsia="en-GB"/>
        </w:rPr>
        <w:t xml:space="preserve"> </w:t>
      </w:r>
      <w:r w:rsidR="00577BA8" w:rsidRPr="00387988">
        <w:rPr>
          <w:rFonts w:ascii="Book Antiqua" w:hAnsi="Book Antiqua"/>
          <w:lang w:eastAsia="zh-CN"/>
        </w:rPr>
        <w:t>(</w:t>
      </w:r>
      <w:r w:rsidRPr="00387988">
        <w:rPr>
          <w:rFonts w:ascii="Book Antiqua" w:eastAsia="Times New Roman" w:hAnsi="Book Antiqua"/>
          <w:lang w:eastAsia="en-GB"/>
        </w:rPr>
        <w:t>NAC</w:t>
      </w:r>
      <w:r w:rsidR="00577BA8" w:rsidRPr="00387988">
        <w:rPr>
          <w:rFonts w:ascii="Book Antiqua" w:hAnsi="Book Antiqua"/>
          <w:lang w:eastAsia="zh-CN"/>
        </w:rPr>
        <w:t xml:space="preserve">, </w:t>
      </w:r>
      <w:r w:rsidRPr="00387988">
        <w:rPr>
          <w:rFonts w:ascii="Book Antiqua" w:eastAsia="Times New Roman" w:hAnsi="Book Antiqua"/>
          <w:lang w:eastAsia="en-GB"/>
        </w:rPr>
        <w:t xml:space="preserve">150 mg/kg) at the time of </w:t>
      </w:r>
      <w:r w:rsidR="001C6564" w:rsidRPr="00387988">
        <w:rPr>
          <w:rFonts w:ascii="Book Antiqua" w:eastAsia="Times New Roman" w:hAnsi="Book Antiqua"/>
          <w:lang w:eastAsia="en-GB"/>
        </w:rPr>
        <w:t xml:space="preserve">acetaminophen </w:t>
      </w:r>
      <w:r w:rsidR="00C75040" w:rsidRPr="00387988">
        <w:rPr>
          <w:rFonts w:ascii="Book Antiqua" w:hAnsi="Book Antiqua"/>
          <w:lang w:eastAsia="zh-CN"/>
        </w:rPr>
        <w:t>(</w:t>
      </w:r>
      <w:r w:rsidR="00C75040" w:rsidRPr="00387988">
        <w:rPr>
          <w:rFonts w:ascii="Book Antiqua" w:eastAsia="Times New Roman" w:hAnsi="Book Antiqua"/>
          <w:lang w:eastAsia="en-GB"/>
        </w:rPr>
        <w:t>APAP</w:t>
      </w:r>
      <w:r w:rsidR="00C75040" w:rsidRPr="00387988">
        <w:rPr>
          <w:rFonts w:ascii="Book Antiqua" w:hAnsi="Book Antiqua"/>
          <w:lang w:eastAsia="zh-CN"/>
        </w:rPr>
        <w:t xml:space="preserve">, </w:t>
      </w:r>
      <w:r w:rsidRPr="00387988">
        <w:rPr>
          <w:rFonts w:ascii="Book Antiqua" w:eastAsia="Times New Roman" w:hAnsi="Book Antiqua"/>
          <w:lang w:eastAsia="en-GB"/>
        </w:rPr>
        <w:t>500 mg/kg) injection (</w:t>
      </w:r>
      <w:r w:rsidRPr="00387988">
        <w:rPr>
          <w:rFonts w:ascii="Book Antiqua" w:eastAsia="Times New Roman" w:hAnsi="Book Antiqua"/>
          <w:i/>
          <w:iCs/>
          <w:lang w:eastAsia="en-GB"/>
        </w:rPr>
        <w:t>n</w:t>
      </w:r>
      <w:r w:rsidRPr="00387988">
        <w:rPr>
          <w:rFonts w:ascii="Book Antiqua" w:eastAsia="Times New Roman" w:hAnsi="Book Antiqua"/>
          <w:lang w:eastAsia="en-GB"/>
        </w:rPr>
        <w:t xml:space="preserve"> = 10); B: </w:t>
      </w:r>
      <w:r w:rsidR="00C75040" w:rsidRPr="00387988">
        <w:rPr>
          <w:rFonts w:ascii="Book Antiqua" w:eastAsia="Times New Roman" w:hAnsi="Book Antiqua"/>
          <w:lang w:eastAsia="en-GB"/>
        </w:rPr>
        <w:t>Aspartate aminotransferase</w:t>
      </w:r>
      <w:r w:rsidRPr="00387988">
        <w:rPr>
          <w:rFonts w:ascii="Book Antiqua" w:eastAsia="Times New Roman" w:hAnsi="Book Antiqua"/>
          <w:lang w:eastAsia="en-GB"/>
        </w:rPr>
        <w:t xml:space="preserve"> </w:t>
      </w:r>
      <w:r w:rsidR="00D977C4">
        <w:rPr>
          <w:rFonts w:ascii="Book Antiqua" w:eastAsia="Times New Roman" w:hAnsi="Book Antiqua"/>
          <w:lang w:eastAsia="en-GB"/>
        </w:rPr>
        <w:t xml:space="preserve">(AST) </w:t>
      </w:r>
      <w:r w:rsidRPr="00387988">
        <w:rPr>
          <w:rFonts w:ascii="Book Antiqua" w:eastAsia="Times New Roman" w:hAnsi="Book Antiqua"/>
          <w:lang w:eastAsia="en-GB"/>
        </w:rPr>
        <w:t>levels were measured after 12</w:t>
      </w:r>
      <w:r w:rsidR="00C75040" w:rsidRPr="00387988">
        <w:rPr>
          <w:rFonts w:ascii="Book Antiqua" w:hAnsi="Book Antiqua"/>
          <w:lang w:eastAsia="zh-CN"/>
        </w:rPr>
        <w:t xml:space="preserve"> </w:t>
      </w:r>
      <w:r w:rsidRPr="00387988">
        <w:rPr>
          <w:rFonts w:ascii="Book Antiqua" w:eastAsia="Times New Roman" w:hAnsi="Book Antiqua"/>
          <w:lang w:eastAsia="en-GB"/>
        </w:rPr>
        <w:t xml:space="preserve">h in the plasma of mice treated by vehicle (PBS) or </w:t>
      </w:r>
      <w:bookmarkStart w:id="50" w:name="OLE_LINK67"/>
      <w:bookmarkStart w:id="51" w:name="OLE_LINK68"/>
      <w:r w:rsidRPr="00387988">
        <w:rPr>
          <w:rFonts w:ascii="Book Antiqua" w:eastAsia="Times New Roman" w:hAnsi="Book Antiqua"/>
          <w:lang w:eastAsia="en-GB"/>
        </w:rPr>
        <w:t>NAC</w:t>
      </w:r>
      <w:bookmarkEnd w:id="50"/>
      <w:bookmarkEnd w:id="51"/>
      <w:r w:rsidRPr="00387988">
        <w:rPr>
          <w:rFonts w:ascii="Book Antiqua" w:eastAsia="Times New Roman" w:hAnsi="Book Antiqua"/>
          <w:lang w:eastAsia="en-GB"/>
        </w:rPr>
        <w:t xml:space="preserve"> (150 mg/kg) at the time of APAP (500 mg/kg) injection (</w:t>
      </w:r>
      <w:r w:rsidRPr="00387988">
        <w:rPr>
          <w:rFonts w:ascii="Book Antiqua" w:eastAsia="Times New Roman" w:hAnsi="Book Antiqua"/>
          <w:i/>
          <w:iCs/>
          <w:lang w:eastAsia="en-GB"/>
        </w:rPr>
        <w:t>n</w:t>
      </w:r>
      <w:r w:rsidRPr="00387988">
        <w:rPr>
          <w:rFonts w:ascii="Book Antiqua" w:eastAsia="Times New Roman" w:hAnsi="Book Antiqua"/>
          <w:lang w:eastAsia="en-GB"/>
        </w:rPr>
        <w:t xml:space="preserve"> = 10); C: </w:t>
      </w:r>
      <w:r w:rsidR="00C75040" w:rsidRPr="00387988">
        <w:rPr>
          <w:rFonts w:ascii="Book Antiqua" w:eastAsia="Times New Roman" w:hAnsi="Book Antiqua"/>
          <w:lang w:eastAsia="en-GB"/>
        </w:rPr>
        <w:t>Lactate dehydrogenase</w:t>
      </w:r>
      <w:r w:rsidRPr="00387988">
        <w:rPr>
          <w:rFonts w:ascii="Book Antiqua" w:eastAsia="Times New Roman" w:hAnsi="Book Antiqua"/>
          <w:lang w:eastAsia="en-GB"/>
        </w:rPr>
        <w:t xml:space="preserve"> </w:t>
      </w:r>
      <w:r w:rsidR="00D977C4">
        <w:rPr>
          <w:rFonts w:ascii="Book Antiqua" w:eastAsia="Times New Roman" w:hAnsi="Book Antiqua"/>
          <w:lang w:eastAsia="en-GB"/>
        </w:rPr>
        <w:t xml:space="preserve">(LDH) </w:t>
      </w:r>
      <w:r w:rsidRPr="00387988">
        <w:rPr>
          <w:rFonts w:ascii="Book Antiqua" w:eastAsia="Times New Roman" w:hAnsi="Book Antiqua"/>
          <w:lang w:eastAsia="en-GB"/>
        </w:rPr>
        <w:t>levels were measured after 12</w:t>
      </w:r>
      <w:r w:rsidR="00D977C4">
        <w:rPr>
          <w:rFonts w:ascii="Book Antiqua" w:eastAsia="Times New Roman" w:hAnsi="Book Antiqua"/>
          <w:lang w:eastAsia="en-GB"/>
        </w:rPr>
        <w:t xml:space="preserve"> </w:t>
      </w:r>
      <w:r w:rsidRPr="00387988">
        <w:rPr>
          <w:rFonts w:ascii="Book Antiqua" w:eastAsia="Times New Roman" w:hAnsi="Book Antiqua"/>
          <w:lang w:eastAsia="en-GB"/>
        </w:rPr>
        <w:t>h in the plasma of mice treated by vehicle (PBS) or NAC (150 mg/kg) at the time of APAP (500 mg/kg) injection (</w:t>
      </w:r>
      <w:r w:rsidRPr="00387988">
        <w:rPr>
          <w:rFonts w:ascii="Book Antiqua" w:eastAsia="Times New Roman" w:hAnsi="Book Antiqua"/>
          <w:i/>
          <w:iCs/>
          <w:lang w:eastAsia="en-GB"/>
        </w:rPr>
        <w:t>n</w:t>
      </w:r>
      <w:r w:rsidRPr="00387988">
        <w:rPr>
          <w:rFonts w:ascii="Book Antiqua" w:eastAsia="Times New Roman" w:hAnsi="Book Antiqua"/>
          <w:lang w:eastAsia="en-GB"/>
        </w:rPr>
        <w:t xml:space="preserve"> = 10); D: Liver necrosis was scored in </w:t>
      </w:r>
      <w:r w:rsidR="00D977C4">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E: Representative </w:t>
      </w:r>
      <w:bookmarkStart w:id="52" w:name="OLE_LINK85"/>
      <w:bookmarkStart w:id="53" w:name="OLE_LINK86"/>
      <w:r w:rsidR="00EC1BE0" w:rsidRPr="00387988">
        <w:rPr>
          <w:rFonts w:ascii="Book Antiqua" w:eastAsia="Times New Roman" w:hAnsi="Book Antiqua"/>
          <w:lang w:eastAsia="en-GB"/>
        </w:rPr>
        <w:t>hematoxylin and eosin</w:t>
      </w:r>
      <w:bookmarkEnd w:id="52"/>
      <w:bookmarkEnd w:id="53"/>
      <w:r w:rsidRPr="00387988">
        <w:rPr>
          <w:rFonts w:ascii="Book Antiqua" w:eastAsia="Times New Roman" w:hAnsi="Book Antiqua"/>
          <w:lang w:eastAsia="en-GB"/>
        </w:rPr>
        <w:t xml:space="preserve"> </w:t>
      </w:r>
      <w:r w:rsidR="00D977C4">
        <w:rPr>
          <w:rFonts w:ascii="Book Antiqua" w:eastAsia="Times New Roman" w:hAnsi="Book Antiqua"/>
          <w:lang w:eastAsia="en-GB"/>
        </w:rPr>
        <w:t xml:space="preserve">(H&amp;E) </w:t>
      </w:r>
      <w:r w:rsidRPr="00387988">
        <w:rPr>
          <w:rFonts w:ascii="Book Antiqua" w:eastAsia="Times New Roman" w:hAnsi="Book Antiqua"/>
          <w:lang w:eastAsia="en-GB"/>
        </w:rPr>
        <w:t xml:space="preserve">and </w:t>
      </w:r>
      <w:bookmarkStart w:id="54" w:name="OLE_LINK87"/>
      <w:bookmarkStart w:id="55" w:name="OLE_LINK88"/>
      <w:bookmarkStart w:id="56" w:name="OLE_LINK1"/>
      <w:r w:rsidR="00EC1BE0" w:rsidRPr="00387988">
        <w:rPr>
          <w:rFonts w:ascii="Book Antiqua" w:eastAsia="Times New Roman" w:hAnsi="Book Antiqua"/>
          <w:lang w:eastAsia="en-GB"/>
        </w:rPr>
        <w:t>high mobility group box</w:t>
      </w:r>
      <w:r w:rsidR="00D977C4">
        <w:rPr>
          <w:rFonts w:ascii="Book Antiqua" w:eastAsia="Times New Roman" w:hAnsi="Book Antiqua"/>
          <w:lang w:eastAsia="en-GB"/>
        </w:rPr>
        <w:t xml:space="preserve"> </w:t>
      </w:r>
      <w:r w:rsidR="00EC1BE0" w:rsidRPr="00387988">
        <w:rPr>
          <w:rFonts w:ascii="Book Antiqua" w:eastAsia="Times New Roman" w:hAnsi="Book Antiqua"/>
          <w:lang w:eastAsia="en-GB"/>
        </w:rPr>
        <w:t>1 (HMGB1)</w:t>
      </w:r>
      <w:bookmarkEnd w:id="54"/>
      <w:bookmarkEnd w:id="55"/>
      <w:r w:rsidR="00391092" w:rsidRPr="00387988">
        <w:rPr>
          <w:rFonts w:ascii="Book Antiqua" w:eastAsia="Times New Roman" w:hAnsi="Book Antiqua"/>
          <w:lang w:eastAsia="en-GB"/>
        </w:rPr>
        <w:t>-stained images (magnification</w:t>
      </w:r>
      <w:r w:rsidR="00391092" w:rsidRPr="00387988">
        <w:rPr>
          <w:rFonts w:ascii="Book Antiqua" w:hAnsi="Book Antiqua"/>
          <w:lang w:eastAsia="zh-CN"/>
        </w:rPr>
        <w:t xml:space="preserve"> </w:t>
      </w:r>
      <w:r w:rsidR="00391092" w:rsidRPr="00387988">
        <w:rPr>
          <w:lang w:eastAsia="zh-CN"/>
        </w:rPr>
        <w:t>×</w:t>
      </w:r>
      <w:r w:rsidR="00391092" w:rsidRPr="00387988">
        <w:rPr>
          <w:rFonts w:ascii="Book Antiqua" w:hAnsi="Book Antiqua"/>
          <w:lang w:eastAsia="zh-CN"/>
        </w:rPr>
        <w:t xml:space="preserve"> </w:t>
      </w:r>
      <w:r w:rsidRPr="00387988">
        <w:rPr>
          <w:rFonts w:ascii="Book Antiqua" w:eastAsia="Times New Roman" w:hAnsi="Book Antiqua"/>
          <w:lang w:eastAsia="en-GB"/>
        </w:rPr>
        <w:t>200) of murine liver 1</w:t>
      </w:r>
      <w:bookmarkEnd w:id="56"/>
      <w:r w:rsidRPr="00387988">
        <w:rPr>
          <w:rFonts w:ascii="Book Antiqua" w:eastAsia="Times New Roman" w:hAnsi="Book Antiqua"/>
          <w:lang w:eastAsia="en-GB"/>
        </w:rPr>
        <w:t>2</w:t>
      </w:r>
      <w:r w:rsidR="00EF423B"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in the same group of mice; D: HMGB1 levels were measured in </w:t>
      </w:r>
      <w:r w:rsidR="00D977C4">
        <w:rPr>
          <w:rFonts w:ascii="Book Antiqua" w:eastAsia="Times New Roman" w:hAnsi="Book Antiqua"/>
          <w:lang w:eastAsia="en-GB"/>
        </w:rPr>
        <w:t xml:space="preserve">the </w:t>
      </w:r>
      <w:r w:rsidRPr="00387988">
        <w:rPr>
          <w:rFonts w:ascii="Book Antiqua" w:eastAsia="Times New Roman" w:hAnsi="Book Antiqua"/>
          <w:lang w:eastAsia="en-GB"/>
        </w:rPr>
        <w:t xml:space="preserve">same group of mice; F: Quantification of nuclear expression of HMGB1 in the same groups of mice; Results are expressed as mean ± </w:t>
      </w:r>
      <w:r w:rsidR="00D977C4">
        <w:rPr>
          <w:rFonts w:ascii="Book Antiqua" w:eastAsia="Times New Roman" w:hAnsi="Book Antiqua"/>
          <w:lang w:eastAsia="en-GB"/>
        </w:rPr>
        <w:t>standard error</w:t>
      </w:r>
      <w:r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0.01, </w:t>
      </w:r>
      <w:r w:rsidRPr="00387988">
        <w:rPr>
          <w:rFonts w:ascii="Book Antiqua" w:eastAsia="Times New Roman" w:hAnsi="Book Antiqua"/>
          <w:vertAlign w:val="superscript"/>
          <w:lang w:eastAsia="en-GB"/>
        </w:rPr>
        <w:t>e</w:t>
      </w:r>
      <w:r w:rsidRPr="00387988">
        <w:rPr>
          <w:rFonts w:ascii="Book Antiqua" w:eastAsia="Times New Roman" w:hAnsi="Book Antiqua"/>
          <w:lang w:eastAsia="en-GB"/>
        </w:rPr>
        <w:t>P</w:t>
      </w:r>
      <w:r w:rsidR="00441D22">
        <w:rPr>
          <w:rFonts w:ascii="Book Antiqua" w:eastAsia="Times New Roman" w:hAnsi="Book Antiqua"/>
          <w:lang w:eastAsia="en-GB"/>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r w:rsidRPr="00387988">
        <w:rPr>
          <w:rFonts w:ascii="Book Antiqua" w:eastAsia="Times New Roman" w:hAnsi="Book Antiqua"/>
          <w:i/>
          <w:iCs/>
          <w:lang w:eastAsia="en-GB"/>
        </w:rPr>
        <w:t>vs</w:t>
      </w:r>
      <w:r w:rsidRPr="00387988">
        <w:rPr>
          <w:rFonts w:ascii="Book Antiqua" w:eastAsia="Times New Roman" w:hAnsi="Book Antiqua"/>
          <w:lang w:eastAsia="en-GB"/>
        </w:rPr>
        <w:t xml:space="preserve"> APAP. Experiments were reproduced three times.</w:t>
      </w:r>
      <w:r w:rsidR="0081233F" w:rsidRPr="00387988">
        <w:t xml:space="preserve"> </w:t>
      </w:r>
      <w:bookmarkStart w:id="57" w:name="OLE_LINK89"/>
      <w:bookmarkStart w:id="58" w:name="OLE_LINK90"/>
    </w:p>
    <w:bookmarkEnd w:id="57"/>
    <w:bookmarkEnd w:id="58"/>
    <w:p w:rsidR="00107D11" w:rsidRPr="00387988" w:rsidRDefault="0068612F"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lang w:eastAsia="en-GB"/>
        </w:rPr>
        <w:lastRenderedPageBreak/>
        <w:br w:type="page"/>
      </w:r>
      <w:r w:rsidR="00681ACF" w:rsidRPr="00387988">
        <w:rPr>
          <w:rFonts w:ascii="Book Antiqua" w:eastAsia="Times New Roman" w:hAnsi="Book Antiqua"/>
          <w:noProof/>
          <w:lang w:eastAsia="zh-CN"/>
        </w:rPr>
        <w:lastRenderedPageBreak/>
        <w:drawing>
          <wp:inline distT="0" distB="0" distL="0" distR="0" wp14:anchorId="44202A6D" wp14:editId="21087BA1">
            <wp:extent cx="5924550" cy="42781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242" cy="4279362"/>
                    </a:xfrm>
                    <a:prstGeom prst="rect">
                      <a:avLst/>
                    </a:prstGeom>
                    <a:noFill/>
                  </pic:spPr>
                </pic:pic>
              </a:graphicData>
            </a:graphic>
          </wp:inline>
        </w:drawing>
      </w:r>
    </w:p>
    <w:p w:rsidR="00CC246C"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 xml:space="preserve">Figure 4 Administration of </w:t>
      </w:r>
      <w:bookmarkStart w:id="59" w:name="OLE_LINK73"/>
      <w:bookmarkStart w:id="60" w:name="OLE_LINK81"/>
      <w:bookmarkStart w:id="61" w:name="OLE_LINK114"/>
      <w:bookmarkStart w:id="62" w:name="OLE_LINK115"/>
      <w:r w:rsidR="0068612F" w:rsidRPr="00387988">
        <w:rPr>
          <w:rFonts w:ascii="Book Antiqua" w:eastAsia="Times New Roman" w:hAnsi="Book Antiqua"/>
          <w:b/>
          <w:bCs/>
          <w:lang w:eastAsia="en-GB"/>
        </w:rPr>
        <w:t>N-acetylcysteine</w:t>
      </w:r>
      <w:bookmarkEnd w:id="59"/>
      <w:bookmarkEnd w:id="60"/>
      <w:r w:rsidRPr="00387988">
        <w:rPr>
          <w:rFonts w:ascii="Book Antiqua" w:eastAsia="Times New Roman" w:hAnsi="Book Antiqua"/>
          <w:b/>
          <w:bCs/>
          <w:lang w:eastAsia="en-GB"/>
        </w:rPr>
        <w:t>/</w:t>
      </w:r>
      <w:bookmarkStart w:id="63" w:name="OLE_LINK74"/>
      <w:bookmarkStart w:id="64" w:name="OLE_LINK75"/>
      <w:bookmarkStart w:id="65" w:name="OLE_LINK82"/>
      <w:r w:rsidR="0068612F" w:rsidRPr="00387988">
        <w:rPr>
          <w:rFonts w:ascii="Book Antiqua" w:hAnsi="Book Antiqua"/>
          <w:b/>
          <w:bCs/>
          <w:lang w:eastAsia="zh-CN"/>
        </w:rPr>
        <w:t>g</w:t>
      </w:r>
      <w:r w:rsidR="0068612F" w:rsidRPr="00387988">
        <w:rPr>
          <w:rFonts w:ascii="Book Antiqua" w:eastAsia="Times New Roman" w:hAnsi="Book Antiqua"/>
          <w:b/>
          <w:bCs/>
          <w:lang w:eastAsia="en-GB"/>
        </w:rPr>
        <w:t>lycyrrhizin</w:t>
      </w:r>
      <w:bookmarkEnd w:id="61"/>
      <w:bookmarkEnd w:id="62"/>
      <w:bookmarkEnd w:id="63"/>
      <w:bookmarkEnd w:id="64"/>
      <w:bookmarkEnd w:id="65"/>
      <w:r w:rsidRPr="00387988">
        <w:rPr>
          <w:rFonts w:ascii="Book Antiqua" w:eastAsia="Times New Roman" w:hAnsi="Book Antiqua"/>
          <w:b/>
          <w:bCs/>
          <w:lang w:eastAsia="en-GB"/>
        </w:rPr>
        <w:t xml:space="preserve"> combination, at the same time as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 xml:space="preserve">, reduced the severity of liver injury as well as </w:t>
      </w:r>
      <w:r w:rsidR="0068612F" w:rsidRPr="00387988">
        <w:rPr>
          <w:rFonts w:ascii="Book Antiqua" w:eastAsia="Times New Roman" w:hAnsi="Book Antiqua"/>
          <w:b/>
          <w:bCs/>
          <w:lang w:eastAsia="en-GB"/>
        </w:rPr>
        <w:t>glycyrrhizin</w:t>
      </w:r>
      <w:r w:rsidRPr="00387988">
        <w:rPr>
          <w:rFonts w:ascii="Book Antiqua" w:eastAsia="Times New Roman" w:hAnsi="Book Antiqua"/>
          <w:b/>
          <w:bCs/>
          <w:lang w:eastAsia="en-GB"/>
        </w:rPr>
        <w:t xml:space="preserve"> or </w:t>
      </w:r>
      <w:r w:rsidR="0068612F" w:rsidRPr="00387988">
        <w:rPr>
          <w:rFonts w:ascii="Book Antiqua" w:eastAsia="Times New Roman" w:hAnsi="Book Antiqua"/>
          <w:b/>
          <w:bCs/>
          <w:lang w:eastAsia="en-GB"/>
        </w:rPr>
        <w:t>N-acetylcysteine</w:t>
      </w:r>
      <w:r w:rsidRPr="00387988">
        <w:rPr>
          <w:rFonts w:ascii="Book Antiqua" w:eastAsia="Times New Roman" w:hAnsi="Book Antiqua"/>
          <w:b/>
          <w:bCs/>
          <w:lang w:eastAsia="en-GB"/>
        </w:rPr>
        <w:t xml:space="preserve"> alone</w:t>
      </w:r>
      <w:r w:rsidRPr="00387988">
        <w:rPr>
          <w:rFonts w:ascii="Book Antiqua" w:eastAsia="Times New Roman" w:hAnsi="Book Antiqua"/>
          <w:lang w:eastAsia="en-GB"/>
        </w:rPr>
        <w:t xml:space="preserve">. A: </w:t>
      </w:r>
      <w:r w:rsidR="0068612F" w:rsidRPr="00387988">
        <w:rPr>
          <w:rFonts w:ascii="Book Antiqua" w:eastAsia="Times New Roman" w:hAnsi="Book Antiqua"/>
          <w:lang w:eastAsia="en-GB"/>
        </w:rPr>
        <w:t>Alanine aminotransferase</w:t>
      </w:r>
      <w:r w:rsidRPr="00387988">
        <w:rPr>
          <w:rFonts w:ascii="Book Antiqua" w:eastAsia="Times New Roman" w:hAnsi="Book Antiqua"/>
          <w:lang w:eastAsia="en-GB"/>
        </w:rPr>
        <w:t xml:space="preserve"> </w:t>
      </w:r>
      <w:r w:rsidR="007F7546">
        <w:rPr>
          <w:rFonts w:ascii="Book Antiqua" w:eastAsia="Times New Roman" w:hAnsi="Book Antiqua"/>
          <w:lang w:eastAsia="en-GB"/>
        </w:rPr>
        <w:t xml:space="preserve">(ALT) </w:t>
      </w:r>
      <w:r w:rsidRPr="00387988">
        <w:rPr>
          <w:rFonts w:ascii="Book Antiqua" w:eastAsia="Times New Roman" w:hAnsi="Book Antiqua"/>
          <w:lang w:eastAsia="en-GB"/>
        </w:rPr>
        <w:t>levels were measured in the plasma of vehicle-treated mice and mice treated with</w:t>
      </w:r>
      <w:bookmarkStart w:id="66" w:name="OLE_LINK96"/>
      <w:bookmarkStart w:id="67" w:name="OLE_LINK97"/>
      <w:r w:rsidRPr="00387988">
        <w:rPr>
          <w:rFonts w:ascii="Book Antiqua" w:eastAsia="Times New Roman" w:hAnsi="Book Antiqua"/>
          <w:lang w:eastAsia="en-GB"/>
        </w:rPr>
        <w:t xml:space="preserve"> </w:t>
      </w:r>
      <w:r w:rsidR="002303E6" w:rsidRPr="00387988">
        <w:rPr>
          <w:rFonts w:ascii="Book Antiqua" w:eastAsia="Times New Roman" w:hAnsi="Book Antiqua"/>
          <w:lang w:eastAsia="en-GB"/>
        </w:rPr>
        <w:t xml:space="preserve">N-acetylcysteine </w:t>
      </w:r>
      <w:r w:rsidR="002303E6" w:rsidRPr="00387988">
        <w:rPr>
          <w:rFonts w:ascii="Book Antiqua" w:hAnsi="Book Antiqua"/>
          <w:lang w:eastAsia="zh-CN"/>
        </w:rPr>
        <w:t>(</w:t>
      </w:r>
      <w:r w:rsidR="002303E6" w:rsidRPr="00387988">
        <w:rPr>
          <w:rFonts w:ascii="Book Antiqua" w:eastAsia="Times New Roman" w:hAnsi="Book Antiqua"/>
          <w:lang w:eastAsia="en-GB"/>
        </w:rPr>
        <w:t>NAC</w:t>
      </w:r>
      <w:r w:rsidR="002303E6" w:rsidRPr="00387988">
        <w:rPr>
          <w:rFonts w:ascii="Book Antiqua" w:hAnsi="Book Antiqua"/>
          <w:lang w:eastAsia="zh-CN"/>
        </w:rPr>
        <w:t xml:space="preserve">, </w:t>
      </w:r>
      <w:bookmarkEnd w:id="66"/>
      <w:bookmarkEnd w:id="67"/>
      <w:r w:rsidRPr="00387988">
        <w:rPr>
          <w:rFonts w:ascii="Book Antiqua" w:eastAsia="Times New Roman" w:hAnsi="Book Antiqua"/>
          <w:lang w:eastAsia="en-GB"/>
        </w:rPr>
        <w:t xml:space="preserve">150 mg/kg), </w:t>
      </w:r>
      <w:bookmarkStart w:id="68" w:name="OLE_LINK98"/>
      <w:bookmarkStart w:id="69" w:name="OLE_LINK99"/>
      <w:r w:rsidR="002303E6" w:rsidRPr="00387988">
        <w:rPr>
          <w:rFonts w:ascii="Book Antiqua" w:eastAsia="Times New Roman" w:hAnsi="Book Antiqua"/>
          <w:lang w:eastAsia="en-GB"/>
        </w:rPr>
        <w:t xml:space="preserve">glycyrrhizin </w:t>
      </w:r>
      <w:r w:rsidR="002303E6" w:rsidRPr="00387988">
        <w:rPr>
          <w:rFonts w:ascii="Book Antiqua" w:hAnsi="Book Antiqua"/>
          <w:lang w:eastAsia="zh-CN"/>
        </w:rPr>
        <w:t>(</w:t>
      </w:r>
      <w:r w:rsidR="002303E6" w:rsidRPr="00387988">
        <w:rPr>
          <w:rFonts w:ascii="Book Antiqua" w:eastAsia="Times New Roman" w:hAnsi="Book Antiqua"/>
          <w:lang w:eastAsia="en-GB"/>
        </w:rPr>
        <w:t>GL</w:t>
      </w:r>
      <w:r w:rsidR="002303E6" w:rsidRPr="00387988">
        <w:rPr>
          <w:rFonts w:ascii="Book Antiqua" w:hAnsi="Book Antiqua"/>
          <w:lang w:eastAsia="zh-CN"/>
        </w:rPr>
        <w:t>,</w:t>
      </w:r>
      <w:r w:rsidR="002303E6" w:rsidRPr="00387988">
        <w:rPr>
          <w:rFonts w:ascii="Book Antiqua" w:eastAsia="Times New Roman" w:hAnsi="Book Antiqua"/>
          <w:lang w:eastAsia="en-GB"/>
        </w:rPr>
        <w:t xml:space="preserve"> </w:t>
      </w:r>
      <w:bookmarkEnd w:id="68"/>
      <w:bookmarkEnd w:id="69"/>
      <w:r w:rsidRPr="00387988">
        <w:rPr>
          <w:rFonts w:ascii="Book Antiqua" w:eastAsia="Times New Roman" w:hAnsi="Book Antiqua"/>
          <w:lang w:eastAsia="en-GB"/>
        </w:rPr>
        <w:t xml:space="preserve">200 mg/kg) or NAC/GL, 2 h or 6 h after </w:t>
      </w:r>
      <w:bookmarkStart w:id="70" w:name="OLE_LINK93"/>
      <w:bookmarkStart w:id="71" w:name="OLE_LINK94"/>
      <w:bookmarkStart w:id="72" w:name="OLE_LINK100"/>
      <w:bookmarkStart w:id="73" w:name="OLE_LINK101"/>
      <w:r w:rsidR="001C6564" w:rsidRPr="00387988">
        <w:rPr>
          <w:rFonts w:ascii="Book Antiqua" w:eastAsia="Book Antiqua" w:hAnsi="Book Antiqua" w:cs="Book Antiqua"/>
          <w:color w:val="000000"/>
        </w:rPr>
        <w:t>acetaminophen</w:t>
      </w:r>
      <w:r w:rsidR="001C6564" w:rsidRPr="00387988" w:rsidDel="001C6564">
        <w:rPr>
          <w:rFonts w:ascii="Book Antiqua" w:eastAsia="Times New Roman" w:hAnsi="Book Antiqua"/>
          <w:lang w:eastAsia="en-GB"/>
        </w:rPr>
        <w:t xml:space="preserve"> </w:t>
      </w:r>
      <w:bookmarkEnd w:id="70"/>
      <w:bookmarkEnd w:id="71"/>
      <w:r w:rsidR="0068612F" w:rsidRPr="00387988">
        <w:rPr>
          <w:rFonts w:ascii="Book Antiqua" w:hAnsi="Book Antiqua"/>
          <w:lang w:eastAsia="zh-CN"/>
        </w:rPr>
        <w:t>(</w:t>
      </w:r>
      <w:r w:rsidRPr="00387988">
        <w:rPr>
          <w:rFonts w:ascii="Book Antiqua" w:eastAsia="Times New Roman" w:hAnsi="Book Antiqua"/>
          <w:lang w:eastAsia="en-GB"/>
        </w:rPr>
        <w:t>APAP</w:t>
      </w:r>
      <w:r w:rsidR="0068612F" w:rsidRPr="00387988">
        <w:rPr>
          <w:rFonts w:ascii="Book Antiqua" w:hAnsi="Book Antiqua"/>
          <w:lang w:eastAsia="zh-CN"/>
        </w:rPr>
        <w:t>)</w:t>
      </w:r>
      <w:bookmarkEnd w:id="72"/>
      <w:bookmarkEnd w:id="73"/>
      <w:r w:rsidRPr="00387988">
        <w:rPr>
          <w:rFonts w:ascii="Book Antiqua" w:eastAsia="Times New Roman" w:hAnsi="Book Antiqua"/>
          <w:lang w:eastAsia="en-GB"/>
        </w:rPr>
        <w:t xml:space="preserve"> injection (10 mice in each group); B: </w:t>
      </w:r>
      <w:r w:rsidR="0068612F" w:rsidRPr="00387988">
        <w:rPr>
          <w:rFonts w:ascii="Book Antiqua" w:eastAsia="Times New Roman" w:hAnsi="Book Antiqua"/>
          <w:lang w:eastAsia="en-GB"/>
        </w:rPr>
        <w:t>Aspartate aminotransferase</w:t>
      </w:r>
      <w:r w:rsidRPr="00387988">
        <w:rPr>
          <w:rFonts w:ascii="Book Antiqua" w:eastAsia="Times New Roman" w:hAnsi="Book Antiqua"/>
          <w:lang w:eastAsia="en-GB"/>
        </w:rPr>
        <w:t xml:space="preserve"> </w:t>
      </w:r>
      <w:r w:rsidR="007F7546">
        <w:rPr>
          <w:rFonts w:ascii="Book Antiqua" w:eastAsia="Times New Roman" w:hAnsi="Book Antiqua"/>
          <w:lang w:eastAsia="en-GB"/>
        </w:rPr>
        <w:t xml:space="preserve">(AST) </w:t>
      </w:r>
      <w:r w:rsidRPr="00387988">
        <w:rPr>
          <w:rFonts w:ascii="Book Antiqua" w:eastAsia="Times New Roman" w:hAnsi="Book Antiqua"/>
          <w:lang w:eastAsia="en-GB"/>
        </w:rPr>
        <w:t xml:space="preserve">levels were measured in the plasma of vehicle-treated mice and mice treated with NAC (150 mg/kg), GL (200 mg/kg) or NAC/GL, 2 h or 6 h after APAP injection (10 mice in each group); C: </w:t>
      </w:r>
      <w:r w:rsidR="00602020" w:rsidRPr="00387988">
        <w:rPr>
          <w:rFonts w:ascii="Book Antiqua" w:eastAsia="Times New Roman" w:hAnsi="Book Antiqua"/>
          <w:lang w:eastAsia="en-GB"/>
        </w:rPr>
        <w:t>Lactate dehydrogenase</w:t>
      </w:r>
      <w:r w:rsidRPr="00387988">
        <w:rPr>
          <w:rFonts w:ascii="Book Antiqua" w:eastAsia="Times New Roman" w:hAnsi="Book Antiqua"/>
          <w:lang w:eastAsia="en-GB"/>
        </w:rPr>
        <w:t xml:space="preserve"> </w:t>
      </w:r>
      <w:r w:rsidR="007F7546">
        <w:rPr>
          <w:rFonts w:ascii="Book Antiqua" w:eastAsia="Times New Roman" w:hAnsi="Book Antiqua"/>
          <w:lang w:eastAsia="en-GB"/>
        </w:rPr>
        <w:t xml:space="preserve">(LDH) </w:t>
      </w:r>
      <w:r w:rsidRPr="00387988">
        <w:rPr>
          <w:rFonts w:ascii="Book Antiqua" w:eastAsia="Times New Roman" w:hAnsi="Book Antiqua"/>
          <w:lang w:eastAsia="en-GB"/>
        </w:rPr>
        <w:t>levels were measured in the plasma of vehicle-treated mice and mice treated with NAC (150 mg/kg), GL (200 mg/kg) or NAC/GL, 2 h or 6 h after APAP injection (10 mice in each group); D: Liver necrosis at 12</w:t>
      </w:r>
      <w:r w:rsidR="00602020"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was scored in the same group of mice; E: Representative </w:t>
      </w:r>
      <w:r w:rsidR="00602020" w:rsidRPr="00387988">
        <w:rPr>
          <w:rFonts w:ascii="Book Antiqua" w:eastAsia="Times New Roman" w:hAnsi="Book Antiqua"/>
          <w:lang w:eastAsia="en-GB"/>
        </w:rPr>
        <w:t>hematoxylin and eosin</w:t>
      </w:r>
      <w:r w:rsidR="007F7546">
        <w:rPr>
          <w:rFonts w:ascii="Book Antiqua" w:eastAsia="Times New Roman" w:hAnsi="Book Antiqua"/>
          <w:lang w:eastAsia="en-GB"/>
        </w:rPr>
        <w:t xml:space="preserve"> (H&amp;E)</w:t>
      </w:r>
      <w:r w:rsidRPr="00387988">
        <w:rPr>
          <w:rFonts w:ascii="Book Antiqua" w:eastAsia="Times New Roman" w:hAnsi="Book Antiqua"/>
          <w:lang w:eastAsia="en-GB"/>
        </w:rPr>
        <w:t xml:space="preserve"> and </w:t>
      </w:r>
      <w:r w:rsidR="00602020" w:rsidRPr="00387988">
        <w:rPr>
          <w:rFonts w:ascii="Book Antiqua" w:eastAsia="Times New Roman" w:hAnsi="Book Antiqua"/>
          <w:lang w:eastAsia="en-GB"/>
        </w:rPr>
        <w:t>high mobility group box</w:t>
      </w:r>
      <w:r w:rsidR="007F7546">
        <w:rPr>
          <w:rFonts w:ascii="Book Antiqua" w:eastAsia="Times New Roman" w:hAnsi="Book Antiqua"/>
          <w:lang w:eastAsia="en-GB"/>
        </w:rPr>
        <w:t xml:space="preserve"> </w:t>
      </w:r>
      <w:r w:rsidR="00602020" w:rsidRPr="00387988">
        <w:rPr>
          <w:rFonts w:ascii="Book Antiqua" w:eastAsia="Times New Roman" w:hAnsi="Book Antiqua"/>
          <w:lang w:eastAsia="en-GB"/>
        </w:rPr>
        <w:t>1 (HMGB1)</w:t>
      </w:r>
      <w:r w:rsidRPr="00387988">
        <w:rPr>
          <w:rFonts w:ascii="Book Antiqua" w:eastAsia="Times New Roman" w:hAnsi="Book Antiqua"/>
          <w:lang w:eastAsia="en-GB"/>
        </w:rPr>
        <w:t>-s</w:t>
      </w:r>
      <w:r w:rsidR="00602020" w:rsidRPr="00387988">
        <w:rPr>
          <w:rFonts w:ascii="Book Antiqua" w:eastAsia="Times New Roman" w:hAnsi="Book Antiqua"/>
          <w:lang w:eastAsia="en-GB"/>
        </w:rPr>
        <w:t xml:space="preserve">tained images </w:t>
      </w:r>
      <w:r w:rsidR="00602020" w:rsidRPr="00387988">
        <w:rPr>
          <w:rFonts w:ascii="Book Antiqua" w:eastAsia="Times New Roman" w:hAnsi="Book Antiqua"/>
          <w:lang w:eastAsia="en-GB"/>
        </w:rPr>
        <w:lastRenderedPageBreak/>
        <w:t xml:space="preserve">(magnification </w:t>
      </w:r>
      <w:r w:rsidR="00602020" w:rsidRPr="00387988">
        <w:rPr>
          <w:rFonts w:eastAsia="Times New Roman"/>
          <w:lang w:eastAsia="en-GB"/>
        </w:rPr>
        <w:t>×</w:t>
      </w:r>
      <w:r w:rsidR="00602020" w:rsidRPr="00387988">
        <w:rPr>
          <w:rFonts w:ascii="Book Antiqua" w:hAnsi="Book Antiqua"/>
          <w:lang w:eastAsia="zh-CN"/>
        </w:rPr>
        <w:t xml:space="preserve"> </w:t>
      </w:r>
      <w:r w:rsidRPr="00387988">
        <w:rPr>
          <w:rFonts w:ascii="Book Antiqua" w:eastAsia="Times New Roman" w:hAnsi="Book Antiqua"/>
          <w:lang w:eastAsia="en-GB"/>
        </w:rPr>
        <w:t>200) of murine liver 12</w:t>
      </w:r>
      <w:r w:rsidR="00602020" w:rsidRPr="00387988">
        <w:rPr>
          <w:rFonts w:ascii="Book Antiqua" w:hAnsi="Book Antiqua"/>
          <w:lang w:eastAsia="zh-CN"/>
        </w:rPr>
        <w:t xml:space="preserve"> </w:t>
      </w:r>
      <w:r w:rsidRPr="00387988">
        <w:rPr>
          <w:rFonts w:ascii="Book Antiqua" w:eastAsia="Times New Roman" w:hAnsi="Book Antiqua"/>
          <w:lang w:eastAsia="en-GB"/>
        </w:rPr>
        <w:t>h after of murine liver 12</w:t>
      </w:r>
      <w:r w:rsidR="00602020" w:rsidRPr="00387988">
        <w:rPr>
          <w:rFonts w:ascii="Book Antiqua" w:hAnsi="Book Antiqua"/>
          <w:lang w:eastAsia="zh-CN"/>
        </w:rPr>
        <w:t xml:space="preserve"> </w:t>
      </w:r>
      <w:r w:rsidRPr="00387988">
        <w:rPr>
          <w:rFonts w:ascii="Book Antiqua" w:eastAsia="Times New Roman" w:hAnsi="Book Antiqua"/>
          <w:lang w:eastAsia="en-GB"/>
        </w:rPr>
        <w:t>h after vehicle or APAP challenge; F: HMGB1 levels were measured in</w:t>
      </w:r>
      <w:r w:rsidR="007F7546">
        <w:rPr>
          <w:rFonts w:ascii="Book Antiqua" w:eastAsia="Times New Roman" w:hAnsi="Book Antiqua"/>
          <w:lang w:eastAsia="en-GB"/>
        </w:rPr>
        <w:t xml:space="preserve"> the</w:t>
      </w:r>
      <w:r w:rsidRPr="00387988">
        <w:rPr>
          <w:rFonts w:ascii="Book Antiqua" w:eastAsia="Times New Roman" w:hAnsi="Book Antiqua"/>
          <w:lang w:eastAsia="en-GB"/>
        </w:rPr>
        <w:t xml:space="preserve"> same group of mice; G: Quantification of nuclear expression of HMGB1 in the same groups of mice. Mice were scarified 12</w:t>
      </w:r>
      <w:r w:rsidR="00602020" w:rsidRPr="00387988">
        <w:rPr>
          <w:rFonts w:ascii="Book Antiqua" w:hAnsi="Book Antiqua"/>
          <w:lang w:eastAsia="zh-CN"/>
        </w:rPr>
        <w:t xml:space="preserve"> </w:t>
      </w:r>
      <w:r w:rsidRPr="00387988">
        <w:rPr>
          <w:rFonts w:ascii="Book Antiqua" w:eastAsia="Times New Roman" w:hAnsi="Book Antiqua"/>
          <w:lang w:eastAsia="en-GB"/>
        </w:rPr>
        <w:t>h after APAP administration</w:t>
      </w:r>
      <w:r w:rsidR="00602020" w:rsidRPr="00387988">
        <w:rPr>
          <w:rFonts w:ascii="Book Antiqua" w:hAnsi="Book Antiqua"/>
          <w:lang w:eastAsia="zh-CN"/>
        </w:rPr>
        <w:t>.</w:t>
      </w:r>
      <w:r w:rsidRPr="00387988">
        <w:rPr>
          <w:rFonts w:ascii="Book Antiqua" w:eastAsia="Times New Roman" w:hAnsi="Book Antiqua"/>
          <w:lang w:eastAsia="en-GB"/>
        </w:rPr>
        <w:t xml:space="preserve"> Results are expressed as mean ± </w:t>
      </w:r>
      <w:r w:rsidR="007F7546">
        <w:rPr>
          <w:rFonts w:ascii="Book Antiqua" w:eastAsia="Times New Roman" w:hAnsi="Book Antiqua"/>
          <w:lang w:eastAsia="en-GB"/>
        </w:rPr>
        <w:t>standard error</w:t>
      </w:r>
      <w:r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0.01, </w:t>
      </w:r>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r w:rsidR="00602020"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001</w:t>
      </w:r>
      <w:r w:rsidR="00320810" w:rsidRPr="00387988">
        <w:rPr>
          <w:rFonts w:ascii="Book Antiqua" w:eastAsia="Times New Roman" w:hAnsi="Book Antiqua"/>
          <w:lang w:eastAsia="en-GB"/>
        </w:rPr>
        <w:t xml:space="preserve"> </w:t>
      </w:r>
      <w:r w:rsidRPr="00387988">
        <w:rPr>
          <w:rFonts w:ascii="Book Antiqua" w:eastAsia="Times New Roman" w:hAnsi="Book Antiqua"/>
          <w:i/>
          <w:iCs/>
          <w:lang w:eastAsia="en-GB"/>
        </w:rPr>
        <w:t>vs</w:t>
      </w:r>
      <w:r w:rsidRPr="00387988">
        <w:rPr>
          <w:rFonts w:ascii="Book Antiqua" w:eastAsia="Times New Roman" w:hAnsi="Book Antiqua"/>
          <w:lang w:eastAsia="en-GB"/>
        </w:rPr>
        <w:t xml:space="preserve"> APAP. Experiments were reproduced three times.</w:t>
      </w:r>
      <w:r w:rsidR="00CC246C" w:rsidRPr="00387988">
        <w:rPr>
          <w:rFonts w:ascii="Book Antiqua" w:eastAsia="Times New Roman" w:hAnsi="Book Antiqua"/>
          <w:lang w:eastAsia="en-GB"/>
        </w:rPr>
        <w:t xml:space="preserve"> </w:t>
      </w:r>
      <w:bookmarkStart w:id="74" w:name="OLE_LINK102"/>
      <w:bookmarkStart w:id="75" w:name="OLE_LINK103"/>
    </w:p>
    <w:bookmarkEnd w:id="74"/>
    <w:bookmarkEnd w:id="75"/>
    <w:p w:rsidR="00107D11" w:rsidRPr="00387988" w:rsidRDefault="00EB0430" w:rsidP="00387988">
      <w:pPr>
        <w:snapToGrid w:val="0"/>
        <w:spacing w:line="360" w:lineRule="auto"/>
        <w:jc w:val="both"/>
        <w:rPr>
          <w:rFonts w:ascii="Book Antiqua" w:hAnsi="Book Antiqua"/>
          <w:lang w:eastAsia="zh-CN"/>
        </w:rPr>
      </w:pPr>
      <w:r w:rsidRPr="00387988">
        <w:rPr>
          <w:rFonts w:ascii="Book Antiqua" w:eastAsia="Times New Roman" w:hAnsi="Book Antiqua"/>
          <w:lang w:eastAsia="en-GB"/>
        </w:rPr>
        <w:br w:type="page"/>
      </w:r>
      <w:r w:rsidR="00681ACF" w:rsidRPr="00387988">
        <w:rPr>
          <w:rFonts w:ascii="Book Antiqua" w:eastAsia="Times New Roman" w:hAnsi="Book Antiqua"/>
          <w:noProof/>
          <w:lang w:eastAsia="zh-CN"/>
        </w:rPr>
        <w:lastRenderedPageBreak/>
        <w:drawing>
          <wp:inline distT="0" distB="0" distL="0" distR="0" wp14:anchorId="53C7B9EE" wp14:editId="3034D014">
            <wp:extent cx="5943600" cy="479039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951" cy="4788258"/>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 xml:space="preserve">Figure 5 </w:t>
      </w:r>
      <w:r w:rsidR="001C6564" w:rsidRPr="00387988">
        <w:rPr>
          <w:rFonts w:ascii="Book Antiqua" w:eastAsia="Times New Roman" w:hAnsi="Book Antiqua"/>
          <w:b/>
          <w:lang w:eastAsia="en-GB"/>
        </w:rPr>
        <w:t>Acetaminophen</w:t>
      </w:r>
      <w:r w:rsidR="001C6564" w:rsidRPr="00387988" w:rsidDel="001C6564">
        <w:rPr>
          <w:rFonts w:ascii="Book Antiqua" w:eastAsia="Times New Roman" w:hAnsi="Book Antiqua"/>
          <w:b/>
          <w:lang w:eastAsia="en-GB"/>
        </w:rPr>
        <w:t xml:space="preserve"> </w:t>
      </w:r>
      <w:r w:rsidRPr="00387988">
        <w:rPr>
          <w:rFonts w:ascii="Book Antiqua" w:eastAsia="Times New Roman" w:hAnsi="Book Antiqua"/>
          <w:b/>
          <w:bCs/>
          <w:lang w:eastAsia="en-GB"/>
        </w:rPr>
        <w:t xml:space="preserve">overdose induced hepatic </w:t>
      </w:r>
      <w:r w:rsidR="00EB0430" w:rsidRPr="00387988">
        <w:rPr>
          <w:rFonts w:ascii="Book Antiqua" w:hAnsi="Book Antiqua"/>
          <w:b/>
          <w:bCs/>
          <w:lang w:eastAsia="zh-CN"/>
        </w:rPr>
        <w:t>g</w:t>
      </w:r>
      <w:r w:rsidR="00EB0430" w:rsidRPr="00387988">
        <w:rPr>
          <w:rFonts w:ascii="Book Antiqua" w:eastAsia="Times New Roman" w:hAnsi="Book Antiqua"/>
          <w:b/>
          <w:bCs/>
          <w:lang w:eastAsia="en-GB"/>
        </w:rPr>
        <w:t>lutathione</w:t>
      </w:r>
      <w:r w:rsidRPr="00387988">
        <w:rPr>
          <w:rFonts w:ascii="Book Antiqua" w:eastAsia="Times New Roman" w:hAnsi="Book Antiqua"/>
          <w:b/>
          <w:bCs/>
          <w:lang w:eastAsia="en-GB"/>
        </w:rPr>
        <w:t xml:space="preserve"> depletion hepatic </w:t>
      </w:r>
      <w:r w:rsidR="00EB0430" w:rsidRPr="00387988">
        <w:rPr>
          <w:rFonts w:ascii="Book Antiqua" w:hAnsi="Book Antiqua"/>
          <w:b/>
          <w:bCs/>
          <w:lang w:eastAsia="zh-CN"/>
        </w:rPr>
        <w:t>g</w:t>
      </w:r>
      <w:r w:rsidR="00EB0430" w:rsidRPr="00387988">
        <w:rPr>
          <w:rFonts w:ascii="Book Antiqua" w:eastAsia="Times New Roman" w:hAnsi="Book Antiqua"/>
          <w:b/>
          <w:bCs/>
          <w:lang w:eastAsia="en-GB"/>
        </w:rPr>
        <w:t>lutathione</w:t>
      </w:r>
      <w:r w:rsidRPr="00387988">
        <w:rPr>
          <w:rFonts w:ascii="Book Antiqua" w:eastAsia="Times New Roman" w:hAnsi="Book Antiqua"/>
          <w:b/>
          <w:bCs/>
          <w:lang w:eastAsia="en-GB"/>
        </w:rPr>
        <w:t xml:space="preserve"> and oxidative stress. </w:t>
      </w:r>
      <w:r w:rsidRPr="00387988">
        <w:rPr>
          <w:rFonts w:ascii="Book Antiqua" w:eastAsia="Times New Roman" w:hAnsi="Book Antiqua"/>
          <w:lang w:eastAsia="en-GB"/>
        </w:rPr>
        <w:t>A:</w:t>
      </w:r>
      <w:r w:rsidRPr="00387988">
        <w:rPr>
          <w:rFonts w:ascii="Book Antiqua" w:eastAsia="Times New Roman" w:hAnsi="Book Antiqua"/>
          <w:b/>
          <w:bCs/>
          <w:lang w:eastAsia="en-GB"/>
        </w:rPr>
        <w:t xml:space="preserve"> </w:t>
      </w:r>
      <w:r w:rsidRPr="00387988">
        <w:rPr>
          <w:rFonts w:ascii="Book Antiqua" w:eastAsia="Times New Roman" w:hAnsi="Book Antiqua"/>
          <w:lang w:eastAsia="en-GB"/>
        </w:rPr>
        <w:t xml:space="preserve">Hepatic </w:t>
      </w:r>
      <w:r w:rsidR="00A8434B" w:rsidRPr="00387988">
        <w:rPr>
          <w:rFonts w:ascii="Book Antiqua" w:hAnsi="Book Antiqua"/>
          <w:lang w:eastAsia="zh-CN"/>
        </w:rPr>
        <w:t>g</w:t>
      </w:r>
      <w:r w:rsidR="00A8434B" w:rsidRPr="00387988">
        <w:rPr>
          <w:rFonts w:ascii="Book Antiqua" w:eastAsia="Times New Roman" w:hAnsi="Book Antiqua"/>
          <w:lang w:eastAsia="en-GB"/>
        </w:rPr>
        <w:t xml:space="preserve">lutathione </w:t>
      </w:r>
      <w:r w:rsidR="00A8434B" w:rsidRPr="00387988">
        <w:rPr>
          <w:rFonts w:ascii="Book Antiqua" w:hAnsi="Book Antiqua"/>
          <w:lang w:eastAsia="zh-CN"/>
        </w:rPr>
        <w:t>(</w:t>
      </w:r>
      <w:r w:rsidRPr="00387988">
        <w:rPr>
          <w:rFonts w:ascii="Book Antiqua" w:eastAsia="Times New Roman" w:hAnsi="Book Antiqua"/>
          <w:lang w:eastAsia="en-GB"/>
        </w:rPr>
        <w:t>GSH</w:t>
      </w:r>
      <w:r w:rsidR="00A8434B" w:rsidRPr="00387988">
        <w:rPr>
          <w:rFonts w:ascii="Book Antiqua" w:hAnsi="Book Antiqua"/>
          <w:lang w:eastAsia="zh-CN"/>
        </w:rPr>
        <w:t>)</w:t>
      </w:r>
      <w:r w:rsidRPr="00387988">
        <w:rPr>
          <w:rFonts w:ascii="Book Antiqua" w:eastAsia="Times New Roman" w:hAnsi="Book Antiqua"/>
          <w:lang w:eastAsia="en-GB"/>
        </w:rPr>
        <w:t xml:space="preserve"> levels were measured in mice treated with </w:t>
      </w:r>
      <w:bookmarkStart w:id="76" w:name="OLE_LINK126"/>
      <w:bookmarkStart w:id="77" w:name="OLE_LINK127"/>
      <w:r w:rsidR="00A8434B" w:rsidRPr="00387988">
        <w:rPr>
          <w:rFonts w:ascii="Book Antiqua" w:eastAsia="Times New Roman" w:hAnsi="Book Antiqua"/>
          <w:lang w:eastAsia="en-GB"/>
        </w:rPr>
        <w:t xml:space="preserve">N-acetylcysteine </w:t>
      </w:r>
      <w:r w:rsidR="00A8434B" w:rsidRPr="00387988">
        <w:rPr>
          <w:rFonts w:ascii="Book Antiqua" w:hAnsi="Book Antiqua"/>
          <w:lang w:eastAsia="zh-CN"/>
        </w:rPr>
        <w:t>(</w:t>
      </w:r>
      <w:r w:rsidR="00A8434B" w:rsidRPr="00387988">
        <w:rPr>
          <w:rFonts w:ascii="Book Antiqua" w:eastAsia="Times New Roman" w:hAnsi="Book Antiqua"/>
          <w:lang w:eastAsia="en-GB"/>
        </w:rPr>
        <w:t>NAC</w:t>
      </w:r>
      <w:r w:rsidR="00A8434B" w:rsidRPr="00387988">
        <w:rPr>
          <w:rFonts w:ascii="Book Antiqua" w:hAnsi="Book Antiqua"/>
          <w:lang w:eastAsia="zh-CN"/>
        </w:rPr>
        <w:t>,</w:t>
      </w:r>
      <w:bookmarkEnd w:id="76"/>
      <w:bookmarkEnd w:id="77"/>
      <w:r w:rsidR="00A8434B" w:rsidRPr="00387988">
        <w:rPr>
          <w:rFonts w:ascii="Book Antiqua" w:hAnsi="Book Antiqua"/>
          <w:lang w:eastAsia="zh-CN"/>
        </w:rPr>
        <w:t xml:space="preserve"> </w:t>
      </w:r>
      <w:r w:rsidRPr="00387988">
        <w:rPr>
          <w:rFonts w:ascii="Book Antiqua" w:eastAsia="Times New Roman" w:hAnsi="Book Antiqua"/>
          <w:lang w:eastAsia="en-GB"/>
        </w:rPr>
        <w:t xml:space="preserve">150 mg/kg), </w:t>
      </w:r>
      <w:bookmarkStart w:id="78" w:name="OLE_LINK128"/>
      <w:bookmarkStart w:id="79" w:name="OLE_LINK129"/>
      <w:r w:rsidR="00A8434B" w:rsidRPr="00387988">
        <w:rPr>
          <w:rFonts w:ascii="Book Antiqua" w:eastAsia="Times New Roman" w:hAnsi="Book Antiqua"/>
          <w:lang w:eastAsia="en-GB"/>
        </w:rPr>
        <w:t xml:space="preserve">glycyrrhizin </w:t>
      </w:r>
      <w:r w:rsidR="00A8434B" w:rsidRPr="00387988">
        <w:rPr>
          <w:rFonts w:ascii="Book Antiqua" w:hAnsi="Book Antiqua"/>
          <w:lang w:eastAsia="zh-CN"/>
        </w:rPr>
        <w:t>(</w:t>
      </w:r>
      <w:r w:rsidR="00A8434B" w:rsidRPr="00387988">
        <w:rPr>
          <w:rFonts w:ascii="Book Antiqua" w:eastAsia="Times New Roman" w:hAnsi="Book Antiqua"/>
          <w:lang w:eastAsia="en-GB"/>
        </w:rPr>
        <w:t>GL</w:t>
      </w:r>
      <w:r w:rsidR="00A8434B" w:rsidRPr="00387988">
        <w:rPr>
          <w:rFonts w:ascii="Book Antiqua" w:hAnsi="Book Antiqua"/>
          <w:lang w:eastAsia="zh-CN"/>
        </w:rPr>
        <w:t>,</w:t>
      </w:r>
      <w:r w:rsidR="00A8434B" w:rsidRPr="00387988">
        <w:rPr>
          <w:rFonts w:ascii="Book Antiqua" w:eastAsia="Times New Roman" w:hAnsi="Book Antiqua"/>
          <w:lang w:eastAsia="en-GB"/>
        </w:rPr>
        <w:t xml:space="preserve"> </w:t>
      </w:r>
      <w:bookmarkEnd w:id="78"/>
      <w:bookmarkEnd w:id="79"/>
      <w:r w:rsidRPr="00387988">
        <w:rPr>
          <w:rFonts w:ascii="Book Antiqua" w:eastAsia="Times New Roman" w:hAnsi="Book Antiqua"/>
          <w:lang w:eastAsia="en-GB"/>
        </w:rPr>
        <w:t xml:space="preserve">200 mg/kg) or NAC/GL, at the same time of </w:t>
      </w:r>
      <w:bookmarkStart w:id="80" w:name="OLE_LINK116"/>
      <w:bookmarkStart w:id="81" w:name="OLE_LINK117"/>
      <w:bookmarkStart w:id="82" w:name="OLE_LINK130"/>
      <w:bookmarkStart w:id="83" w:name="OLE_LINK131"/>
      <w:r w:rsidR="001C6564" w:rsidRPr="00387988">
        <w:rPr>
          <w:rFonts w:ascii="Book Antiqua" w:eastAsia="Times New Roman" w:hAnsi="Book Antiqua"/>
          <w:lang w:eastAsia="en-GB"/>
        </w:rPr>
        <w:t>acetaminophen</w:t>
      </w:r>
      <w:bookmarkEnd w:id="80"/>
      <w:bookmarkEnd w:id="81"/>
      <w:r w:rsidR="00A8434B" w:rsidRPr="00387988">
        <w:rPr>
          <w:rFonts w:ascii="Book Antiqua" w:eastAsia="Times New Roman" w:hAnsi="Book Antiqua"/>
          <w:lang w:eastAsia="en-GB"/>
        </w:rPr>
        <w:t xml:space="preserve"> </w:t>
      </w:r>
      <w:r w:rsidR="00A8434B" w:rsidRPr="00387988">
        <w:rPr>
          <w:rFonts w:ascii="Book Antiqua" w:hAnsi="Book Antiqua"/>
          <w:lang w:eastAsia="zh-CN"/>
        </w:rPr>
        <w:t>(</w:t>
      </w:r>
      <w:r w:rsidR="00A8434B" w:rsidRPr="00387988">
        <w:rPr>
          <w:rFonts w:ascii="Book Antiqua" w:eastAsia="Times New Roman" w:hAnsi="Book Antiqua"/>
          <w:lang w:eastAsia="en-GB"/>
        </w:rPr>
        <w:t>APAP</w:t>
      </w:r>
      <w:r w:rsidR="00A8434B" w:rsidRPr="00387988">
        <w:rPr>
          <w:rFonts w:ascii="Book Antiqua" w:hAnsi="Book Antiqua"/>
          <w:lang w:eastAsia="zh-CN"/>
        </w:rPr>
        <w:t>)</w:t>
      </w:r>
      <w:r w:rsidRPr="00387988">
        <w:rPr>
          <w:rFonts w:ascii="Book Antiqua" w:eastAsia="Times New Roman" w:hAnsi="Book Antiqua"/>
          <w:lang w:eastAsia="en-GB"/>
        </w:rPr>
        <w:t xml:space="preserve"> </w:t>
      </w:r>
      <w:bookmarkEnd w:id="82"/>
      <w:bookmarkEnd w:id="83"/>
      <w:r w:rsidRPr="00387988">
        <w:rPr>
          <w:rFonts w:ascii="Book Antiqua" w:eastAsia="Times New Roman" w:hAnsi="Book Antiqua"/>
          <w:lang w:eastAsia="en-GB"/>
        </w:rPr>
        <w:t>injection (10 mice in each group). Mice were scarified 12</w:t>
      </w:r>
      <w:r w:rsidR="00A8434B" w:rsidRPr="00387988">
        <w:rPr>
          <w:rFonts w:ascii="Book Antiqua" w:hAnsi="Book Antiqua"/>
          <w:lang w:eastAsia="zh-CN"/>
        </w:rPr>
        <w:t xml:space="preserve"> </w:t>
      </w:r>
      <w:r w:rsidRPr="00387988">
        <w:rPr>
          <w:rFonts w:ascii="Book Antiqua" w:eastAsia="Times New Roman" w:hAnsi="Book Antiqua"/>
          <w:lang w:eastAsia="en-GB"/>
        </w:rPr>
        <w:t xml:space="preserve">h after APAP administration. Assessment was performed using colorimetric assay kit. The enzyme concentration obtained is expressed as nmol of enzyme per milligram of protein using bovine serum as a standard; B: </w:t>
      </w:r>
      <w:r w:rsidR="008D0810" w:rsidRPr="00387988">
        <w:rPr>
          <w:rFonts w:ascii="Book Antiqua" w:hAnsi="Book Antiqua"/>
          <w:lang w:eastAsia="zh-CN"/>
        </w:rPr>
        <w:t>G</w:t>
      </w:r>
      <w:r w:rsidR="008D0810" w:rsidRPr="00387988">
        <w:rPr>
          <w:rFonts w:ascii="Book Antiqua" w:eastAsia="Times New Roman" w:hAnsi="Book Antiqua"/>
          <w:lang w:eastAsia="en-GB"/>
        </w:rPr>
        <w:t xml:space="preserve">lutathione </w:t>
      </w:r>
      <w:r w:rsidR="008D0810">
        <w:rPr>
          <w:rFonts w:ascii="Book Antiqua" w:eastAsia="Times New Roman" w:hAnsi="Book Antiqua"/>
          <w:lang w:eastAsia="en-GB"/>
        </w:rPr>
        <w:t>(</w:t>
      </w:r>
      <w:r w:rsidRPr="00387988">
        <w:rPr>
          <w:rFonts w:ascii="Book Antiqua" w:eastAsia="Times New Roman" w:hAnsi="Book Antiqua"/>
          <w:lang w:eastAsia="en-GB"/>
        </w:rPr>
        <w:t>GSH</w:t>
      </w:r>
      <w:r w:rsidR="008D0810">
        <w:rPr>
          <w:rFonts w:ascii="Book Antiqua" w:eastAsia="Times New Roman" w:hAnsi="Book Antiqua"/>
          <w:lang w:eastAsia="en-GB"/>
        </w:rPr>
        <w:t>)</w:t>
      </w:r>
      <w:r w:rsidRPr="00387988">
        <w:rPr>
          <w:rFonts w:ascii="Book Antiqua" w:eastAsia="Times New Roman" w:hAnsi="Book Antiqua"/>
          <w:lang w:eastAsia="en-GB"/>
        </w:rPr>
        <w:t>/</w:t>
      </w:r>
      <w:r w:rsidR="00392B10">
        <w:rPr>
          <w:rFonts w:ascii="Book Antiqua" w:eastAsia="Times New Roman" w:hAnsi="Book Antiqua"/>
          <w:lang w:eastAsia="en-GB"/>
        </w:rPr>
        <w:t>the oxidized state (</w:t>
      </w:r>
      <w:r w:rsidRPr="00387988">
        <w:rPr>
          <w:rFonts w:ascii="Book Antiqua" w:eastAsia="Times New Roman" w:hAnsi="Book Antiqua"/>
          <w:lang w:eastAsia="en-GB"/>
        </w:rPr>
        <w:t>GSSG</w:t>
      </w:r>
      <w:r w:rsidR="00392B10">
        <w:rPr>
          <w:rFonts w:ascii="Book Antiqua" w:eastAsia="Times New Roman" w:hAnsi="Book Antiqua"/>
          <w:lang w:eastAsia="en-GB"/>
        </w:rPr>
        <w:t>)</w:t>
      </w:r>
      <w:r w:rsidRPr="00387988">
        <w:rPr>
          <w:rFonts w:ascii="Book Antiqua" w:eastAsia="Times New Roman" w:hAnsi="Book Antiqua"/>
          <w:lang w:eastAsia="en-GB"/>
        </w:rPr>
        <w:t xml:space="preserve"> ratio was evaluated in the same group of mice using fluorometric assay kit. In two separate assay reactions, GSH (reduced) was measured directly with a GSH standard and total GSH (GSH</w:t>
      </w:r>
      <w:r w:rsidR="00392B10">
        <w:rPr>
          <w:rFonts w:ascii="Book Antiqua" w:eastAsia="Times New Roman" w:hAnsi="Book Antiqua"/>
          <w:lang w:eastAsia="en-GB"/>
        </w:rPr>
        <w:t xml:space="preserve"> </w:t>
      </w:r>
      <w:r w:rsidRPr="00387988">
        <w:rPr>
          <w:rFonts w:ascii="Book Antiqua" w:eastAsia="Times New Roman" w:hAnsi="Book Antiqua"/>
          <w:lang w:eastAsia="en-GB"/>
        </w:rPr>
        <w:t>+</w:t>
      </w:r>
      <w:r w:rsidR="00392B10">
        <w:rPr>
          <w:rFonts w:ascii="Book Antiqua" w:eastAsia="Times New Roman" w:hAnsi="Book Antiqua"/>
          <w:lang w:eastAsia="en-GB"/>
        </w:rPr>
        <w:t xml:space="preserve"> </w:t>
      </w:r>
      <w:r w:rsidRPr="00387988">
        <w:rPr>
          <w:rFonts w:ascii="Book Antiqua" w:eastAsia="Times New Roman" w:hAnsi="Book Antiqua"/>
          <w:lang w:eastAsia="en-GB"/>
        </w:rPr>
        <w:t xml:space="preserve">GSSG) was measured by using a GSSG standard. Fluorescence measurement was performed at </w:t>
      </w:r>
      <w:r w:rsidRPr="00387988">
        <w:rPr>
          <w:rFonts w:ascii="Book Antiqua" w:eastAsia="Times New Roman" w:hAnsi="Book Antiqua"/>
          <w:lang w:eastAsia="en-GB"/>
        </w:rPr>
        <w:lastRenderedPageBreak/>
        <w:t>Ex/Em</w:t>
      </w:r>
      <w:r w:rsidR="00256E76" w:rsidRPr="00387988">
        <w:rPr>
          <w:rFonts w:ascii="Book Antiqua" w:hAnsi="Book Antiqua"/>
          <w:lang w:eastAsia="zh-CN"/>
        </w:rPr>
        <w:t xml:space="preserve"> </w:t>
      </w:r>
      <w:r w:rsidRPr="00387988">
        <w:rPr>
          <w:rFonts w:ascii="Book Antiqua" w:eastAsia="Times New Roman" w:hAnsi="Book Antiqua"/>
          <w:lang w:eastAsia="en-GB"/>
        </w:rPr>
        <w:t>= 490/520</w:t>
      </w:r>
      <w:r w:rsidR="00256E76" w:rsidRPr="00387988">
        <w:rPr>
          <w:rFonts w:ascii="Book Antiqua" w:hAnsi="Book Antiqua"/>
          <w:lang w:eastAsia="zh-CN"/>
        </w:rPr>
        <w:t xml:space="preserve"> </w:t>
      </w:r>
      <w:r w:rsidRPr="00387988">
        <w:rPr>
          <w:rFonts w:ascii="Book Antiqua" w:eastAsia="Times New Roman" w:hAnsi="Book Antiqua"/>
          <w:lang w:eastAsia="en-GB"/>
        </w:rPr>
        <w:t>nm.</w:t>
      </w:r>
      <w:r w:rsidR="00256E76" w:rsidRPr="00387988">
        <w:rPr>
          <w:rFonts w:ascii="Book Antiqua" w:hAnsi="Book Antiqua"/>
          <w:lang w:eastAsia="zh-CN"/>
        </w:rPr>
        <w:t xml:space="preserve"> </w:t>
      </w:r>
      <w:r w:rsidRPr="00387988">
        <w:rPr>
          <w:rFonts w:ascii="Book Antiqua" w:eastAsia="Times New Roman" w:hAnsi="Book Antiqua"/>
          <w:lang w:eastAsia="en-GB"/>
        </w:rPr>
        <w:t xml:space="preserve">Results are expressed as mean ± </w:t>
      </w:r>
      <w:r w:rsidR="00392B10">
        <w:rPr>
          <w:rFonts w:ascii="Book Antiqua" w:eastAsia="Times New Roman" w:hAnsi="Book Antiqua"/>
          <w:lang w:eastAsia="en-GB"/>
        </w:rPr>
        <w:t>standard deviation</w:t>
      </w:r>
      <w:r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0.01, </w:t>
      </w:r>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r w:rsidR="00A8434B"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r w:rsidRPr="00387988">
        <w:rPr>
          <w:rFonts w:ascii="Book Antiqua" w:eastAsia="Times New Roman" w:hAnsi="Book Antiqua"/>
          <w:i/>
          <w:lang w:eastAsia="en-GB"/>
        </w:rPr>
        <w:t>vs</w:t>
      </w:r>
      <w:r w:rsidRPr="00387988">
        <w:rPr>
          <w:rFonts w:ascii="Book Antiqua" w:eastAsia="Times New Roman" w:hAnsi="Book Antiqua"/>
          <w:lang w:eastAsia="en-GB"/>
        </w:rPr>
        <w:t xml:space="preserve"> APAP.</w:t>
      </w:r>
      <w:r w:rsidR="00256E76" w:rsidRPr="00387988">
        <w:t xml:space="preserve"> </w:t>
      </w:r>
    </w:p>
    <w:p w:rsidR="00107D11" w:rsidRPr="00387988" w:rsidRDefault="00681ACF"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lang w:eastAsia="en-GB"/>
        </w:rPr>
        <w:br w:type="page"/>
      </w:r>
      <w:r w:rsidRPr="00387988">
        <w:rPr>
          <w:rFonts w:ascii="Book Antiqua" w:eastAsia="Times New Roman" w:hAnsi="Book Antiqua"/>
          <w:noProof/>
          <w:lang w:eastAsia="zh-CN"/>
        </w:rPr>
        <w:lastRenderedPageBreak/>
        <w:drawing>
          <wp:inline distT="0" distB="0" distL="0" distR="0" wp14:anchorId="10C4C542" wp14:editId="67D02634">
            <wp:extent cx="5910708" cy="39715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9338" cy="3977389"/>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Figure 6</w:t>
      </w:r>
      <w:r w:rsidRPr="00387988">
        <w:rPr>
          <w:rFonts w:ascii="Book Antiqua" w:eastAsia="Times New Roman" w:hAnsi="Book Antiqua"/>
          <w:lang w:eastAsia="en-GB"/>
        </w:rPr>
        <w:t xml:space="preserve"> </w:t>
      </w:r>
      <w:r w:rsidRPr="00387988">
        <w:rPr>
          <w:rFonts w:ascii="Book Antiqua" w:eastAsia="Times New Roman" w:hAnsi="Book Antiqua"/>
          <w:b/>
          <w:bCs/>
          <w:lang w:eastAsia="en-GB"/>
        </w:rPr>
        <w:t xml:space="preserve">Delayed administration of </w:t>
      </w:r>
      <w:bookmarkStart w:id="84" w:name="OLE_LINK120"/>
      <w:bookmarkStart w:id="85" w:name="OLE_LINK121"/>
      <w:bookmarkStart w:id="86" w:name="OLE_LINK136"/>
      <w:bookmarkStart w:id="87" w:name="OLE_LINK137"/>
      <w:r w:rsidR="005623EB" w:rsidRPr="00387988">
        <w:rPr>
          <w:rFonts w:ascii="Book Antiqua" w:eastAsia="Times New Roman" w:hAnsi="Book Antiqua"/>
          <w:b/>
          <w:bCs/>
          <w:lang w:eastAsia="en-GB"/>
        </w:rPr>
        <w:t>N-acetylcysteine</w:t>
      </w:r>
      <w:bookmarkEnd w:id="84"/>
      <w:bookmarkEnd w:id="85"/>
      <w:r w:rsidR="005623EB" w:rsidRPr="00387988">
        <w:rPr>
          <w:rFonts w:ascii="Book Antiqua" w:eastAsia="Times New Roman" w:hAnsi="Book Antiqua"/>
          <w:b/>
          <w:bCs/>
          <w:lang w:eastAsia="en-GB"/>
        </w:rPr>
        <w:t>/</w:t>
      </w:r>
      <w:bookmarkStart w:id="88" w:name="OLE_LINK118"/>
      <w:bookmarkStart w:id="89" w:name="OLE_LINK119"/>
      <w:r w:rsidR="005623EB" w:rsidRPr="00387988">
        <w:rPr>
          <w:rFonts w:ascii="Book Antiqua" w:hAnsi="Book Antiqua"/>
          <w:b/>
          <w:bCs/>
          <w:lang w:eastAsia="zh-CN"/>
        </w:rPr>
        <w:t>g</w:t>
      </w:r>
      <w:r w:rsidR="005623EB" w:rsidRPr="00387988">
        <w:rPr>
          <w:rFonts w:ascii="Book Antiqua" w:eastAsia="Times New Roman" w:hAnsi="Book Antiqua"/>
          <w:b/>
          <w:bCs/>
          <w:lang w:eastAsia="en-GB"/>
        </w:rPr>
        <w:t>lycyrrhizin</w:t>
      </w:r>
      <w:bookmarkEnd w:id="86"/>
      <w:bookmarkEnd w:id="87"/>
      <w:bookmarkEnd w:id="88"/>
      <w:bookmarkEnd w:id="89"/>
      <w:r w:rsidRPr="00387988">
        <w:rPr>
          <w:rFonts w:ascii="Book Antiqua" w:eastAsia="Times New Roman" w:hAnsi="Book Antiqua"/>
          <w:b/>
          <w:bCs/>
          <w:lang w:eastAsia="en-GB"/>
        </w:rPr>
        <w:t xml:space="preserve"> combination reduced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 xml:space="preserve">-induced hepatocytes necrosis compare to </w:t>
      </w:r>
      <w:r w:rsidR="005623EB" w:rsidRPr="00387988">
        <w:rPr>
          <w:rFonts w:ascii="Book Antiqua" w:hAnsi="Book Antiqua"/>
          <w:b/>
          <w:bCs/>
          <w:lang w:eastAsia="zh-CN"/>
        </w:rPr>
        <w:t>g</w:t>
      </w:r>
      <w:r w:rsidR="005623EB" w:rsidRPr="00387988">
        <w:rPr>
          <w:rFonts w:ascii="Book Antiqua" w:eastAsia="Times New Roman" w:hAnsi="Book Antiqua"/>
          <w:b/>
          <w:bCs/>
          <w:lang w:eastAsia="en-GB"/>
        </w:rPr>
        <w:t>lycyrrhizin</w:t>
      </w:r>
      <w:r w:rsidRPr="00387988">
        <w:rPr>
          <w:rFonts w:ascii="Book Antiqua" w:eastAsia="Times New Roman" w:hAnsi="Book Antiqua"/>
          <w:b/>
          <w:bCs/>
          <w:lang w:eastAsia="en-GB"/>
        </w:rPr>
        <w:t xml:space="preserve"> or </w:t>
      </w:r>
      <w:r w:rsidR="005623EB" w:rsidRPr="00387988">
        <w:rPr>
          <w:rFonts w:ascii="Book Antiqua" w:eastAsia="Times New Roman" w:hAnsi="Book Antiqua"/>
          <w:b/>
          <w:bCs/>
          <w:lang w:eastAsia="en-GB"/>
        </w:rPr>
        <w:t>N-acetylcysteine</w:t>
      </w:r>
      <w:r w:rsidRPr="00387988">
        <w:rPr>
          <w:rFonts w:ascii="Book Antiqua" w:eastAsia="Times New Roman" w:hAnsi="Book Antiqua"/>
          <w:b/>
          <w:bCs/>
          <w:lang w:eastAsia="en-GB"/>
        </w:rPr>
        <w:t xml:space="preserve"> alone</w:t>
      </w:r>
      <w:r w:rsidRPr="00387988">
        <w:rPr>
          <w:rFonts w:ascii="Book Antiqua" w:eastAsia="Times New Roman" w:hAnsi="Book Antiqua"/>
          <w:lang w:eastAsia="en-GB"/>
        </w:rPr>
        <w:t xml:space="preserve">. A: </w:t>
      </w:r>
      <w:r w:rsidR="00CD65DC" w:rsidRPr="00387988">
        <w:rPr>
          <w:rFonts w:ascii="Book Antiqua" w:eastAsia="Times New Roman" w:hAnsi="Book Antiqua"/>
          <w:lang w:eastAsia="en-GB"/>
        </w:rPr>
        <w:t>Alanine aminotransferase</w:t>
      </w:r>
      <w:r w:rsidRPr="00387988">
        <w:rPr>
          <w:rFonts w:ascii="Book Antiqua" w:eastAsia="Times New Roman" w:hAnsi="Book Antiqua"/>
          <w:lang w:eastAsia="en-GB"/>
        </w:rPr>
        <w:t xml:space="preserve"> </w:t>
      </w:r>
      <w:r w:rsidR="00392B10">
        <w:rPr>
          <w:rFonts w:ascii="Book Antiqua" w:eastAsia="Times New Roman" w:hAnsi="Book Antiqua"/>
          <w:lang w:eastAsia="en-GB"/>
        </w:rPr>
        <w:t xml:space="preserve">(ALT) </w:t>
      </w:r>
      <w:r w:rsidRPr="00387988">
        <w:rPr>
          <w:rFonts w:ascii="Book Antiqua" w:eastAsia="Times New Roman" w:hAnsi="Book Antiqua"/>
          <w:lang w:eastAsia="en-GB"/>
        </w:rPr>
        <w:t xml:space="preserve">levels were measured in the plasma of vehicle-treated mice and mice treated with </w:t>
      </w:r>
      <w:bookmarkStart w:id="90" w:name="OLE_LINK142"/>
      <w:bookmarkStart w:id="91" w:name="OLE_LINK143"/>
      <w:r w:rsidR="00CD65DC" w:rsidRPr="00387988">
        <w:rPr>
          <w:rFonts w:ascii="Book Antiqua" w:eastAsia="Times New Roman" w:hAnsi="Book Antiqua"/>
          <w:lang w:eastAsia="en-GB"/>
        </w:rPr>
        <w:t>N-acetylcysteine (NAC,</w:t>
      </w:r>
      <w:r w:rsidR="00CD65DC" w:rsidRPr="00387988">
        <w:rPr>
          <w:rFonts w:ascii="Book Antiqua" w:hAnsi="Book Antiqua"/>
          <w:lang w:eastAsia="zh-CN"/>
        </w:rPr>
        <w:t xml:space="preserve"> </w:t>
      </w:r>
      <w:bookmarkEnd w:id="90"/>
      <w:bookmarkEnd w:id="91"/>
      <w:r w:rsidRPr="00387988">
        <w:rPr>
          <w:rFonts w:ascii="Book Antiqua" w:eastAsia="Times New Roman" w:hAnsi="Book Antiqua"/>
          <w:lang w:eastAsia="en-GB"/>
        </w:rPr>
        <w:t xml:space="preserve">150 mg/kg), </w:t>
      </w:r>
      <w:bookmarkStart w:id="92" w:name="OLE_LINK144"/>
      <w:bookmarkStart w:id="93" w:name="OLE_LINK145"/>
      <w:r w:rsidR="00CD65DC" w:rsidRPr="00387988">
        <w:rPr>
          <w:rFonts w:ascii="Book Antiqua" w:eastAsia="Times New Roman" w:hAnsi="Book Antiqua"/>
          <w:lang w:eastAsia="en-GB"/>
        </w:rPr>
        <w:t>glycyrrhizin (GL,</w:t>
      </w:r>
      <w:bookmarkEnd w:id="92"/>
      <w:bookmarkEnd w:id="93"/>
      <w:r w:rsidR="00CD65DC" w:rsidRPr="00387988">
        <w:rPr>
          <w:rFonts w:ascii="Book Antiqua" w:eastAsia="Times New Roman" w:hAnsi="Book Antiqua"/>
          <w:lang w:eastAsia="en-GB"/>
        </w:rPr>
        <w:t xml:space="preserve"> </w:t>
      </w:r>
      <w:r w:rsidRPr="00387988">
        <w:rPr>
          <w:rFonts w:ascii="Book Antiqua" w:eastAsia="Times New Roman" w:hAnsi="Book Antiqua"/>
          <w:lang w:eastAsia="en-GB"/>
        </w:rPr>
        <w:t xml:space="preserve">200 mg/kg) or NAC/GL, 2 h or 6 h after </w:t>
      </w:r>
      <w:bookmarkStart w:id="94" w:name="OLE_LINK146"/>
      <w:bookmarkStart w:id="95" w:name="OLE_LINK147"/>
      <w:r w:rsidR="001C6564" w:rsidRPr="00387988">
        <w:rPr>
          <w:rFonts w:ascii="Book Antiqua" w:eastAsia="Times New Roman" w:hAnsi="Book Antiqua"/>
          <w:lang w:eastAsia="en-GB"/>
        </w:rPr>
        <w:t>acetaminophen</w:t>
      </w:r>
      <w:r w:rsidR="00CD65DC" w:rsidRPr="00387988">
        <w:rPr>
          <w:rFonts w:ascii="Book Antiqua" w:eastAsia="Times New Roman" w:hAnsi="Book Antiqua"/>
          <w:lang w:eastAsia="en-GB"/>
        </w:rPr>
        <w:t xml:space="preserve"> (APAP)</w:t>
      </w:r>
      <w:bookmarkEnd w:id="94"/>
      <w:bookmarkEnd w:id="95"/>
      <w:r w:rsidRPr="00387988">
        <w:rPr>
          <w:rFonts w:ascii="Book Antiqua" w:eastAsia="Times New Roman" w:hAnsi="Book Antiqua"/>
          <w:lang w:eastAsia="en-GB"/>
        </w:rPr>
        <w:t xml:space="preserve"> injection (10 mice in each group). Mice were scarified 12</w:t>
      </w:r>
      <w:r w:rsidR="00CD65DC" w:rsidRPr="00387988">
        <w:rPr>
          <w:rFonts w:ascii="Book Antiqua" w:hAnsi="Book Antiqua"/>
          <w:lang w:eastAsia="zh-CN"/>
        </w:rPr>
        <w:t xml:space="preserve"> </w:t>
      </w:r>
      <w:r w:rsidRPr="00387988">
        <w:rPr>
          <w:rFonts w:ascii="Book Antiqua" w:eastAsia="Times New Roman" w:hAnsi="Book Antiqua"/>
          <w:lang w:eastAsia="en-GB"/>
        </w:rPr>
        <w:t xml:space="preserve">h after APAP administration; B: </w:t>
      </w:r>
      <w:r w:rsidR="00CD65DC" w:rsidRPr="00387988">
        <w:rPr>
          <w:rFonts w:ascii="Book Antiqua" w:eastAsia="Times New Roman" w:hAnsi="Book Antiqua"/>
          <w:lang w:eastAsia="en-GB"/>
        </w:rPr>
        <w:t>Aspartate aminotransferase</w:t>
      </w:r>
      <w:r w:rsidRPr="00387988">
        <w:rPr>
          <w:rFonts w:ascii="Book Antiqua" w:eastAsia="Times New Roman" w:hAnsi="Book Antiqua"/>
          <w:lang w:eastAsia="en-GB"/>
        </w:rPr>
        <w:t xml:space="preserve"> </w:t>
      </w:r>
      <w:r w:rsidR="00392B10">
        <w:rPr>
          <w:rFonts w:ascii="Book Antiqua" w:eastAsia="Times New Roman" w:hAnsi="Book Antiqua"/>
          <w:lang w:eastAsia="en-GB"/>
        </w:rPr>
        <w:t xml:space="preserve">(AST) </w:t>
      </w:r>
      <w:r w:rsidRPr="00387988">
        <w:rPr>
          <w:rFonts w:ascii="Book Antiqua" w:eastAsia="Times New Roman" w:hAnsi="Book Antiqua"/>
          <w:lang w:eastAsia="en-GB"/>
        </w:rPr>
        <w:t>levels were measured in the plasma of vehicle-treated mice and mice treated with NAC (150 mg/kg), GL (200 mg/kg) or NAC/GL, 2 h or 6 h after APAP injection (10 mice in each group). Mice were scarified 12</w:t>
      </w:r>
      <w:r w:rsidR="00CD65DC" w:rsidRPr="00387988">
        <w:rPr>
          <w:rFonts w:ascii="Book Antiqua" w:hAnsi="Book Antiqua"/>
          <w:lang w:eastAsia="zh-CN"/>
        </w:rPr>
        <w:t xml:space="preserve"> </w:t>
      </w:r>
      <w:r w:rsidRPr="00387988">
        <w:rPr>
          <w:rFonts w:ascii="Book Antiqua" w:eastAsia="Times New Roman" w:hAnsi="Book Antiqua"/>
          <w:lang w:eastAsia="en-GB"/>
        </w:rPr>
        <w:t xml:space="preserve">h after APAP administration; C: </w:t>
      </w:r>
      <w:r w:rsidR="0002472A" w:rsidRPr="00387988">
        <w:rPr>
          <w:rFonts w:ascii="Book Antiqua" w:eastAsia="Times New Roman" w:hAnsi="Book Antiqua"/>
          <w:lang w:eastAsia="en-GB"/>
        </w:rPr>
        <w:t>Lactate dehydrogenase</w:t>
      </w:r>
      <w:r w:rsidR="00320810" w:rsidRPr="00387988">
        <w:rPr>
          <w:rFonts w:ascii="Book Antiqua" w:eastAsia="Times New Roman" w:hAnsi="Book Antiqua"/>
          <w:lang w:eastAsia="en-GB"/>
        </w:rPr>
        <w:t xml:space="preserve"> </w:t>
      </w:r>
      <w:r w:rsidR="00392B10">
        <w:rPr>
          <w:rFonts w:ascii="Book Antiqua" w:eastAsia="Times New Roman" w:hAnsi="Book Antiqua"/>
          <w:lang w:eastAsia="en-GB"/>
        </w:rPr>
        <w:t xml:space="preserve">(LDH) </w:t>
      </w:r>
      <w:r w:rsidRPr="00387988">
        <w:rPr>
          <w:rFonts w:ascii="Book Antiqua" w:eastAsia="Times New Roman" w:hAnsi="Book Antiqua"/>
          <w:lang w:eastAsia="en-GB"/>
        </w:rPr>
        <w:t>levels were measured in the plasma of vehicle-treated mice and mice treated with NAC (150 mg/kg), GL (200 mg/kg) or NAC/GL, 2 h or 6 h after APAP injection (10 mice in each group). Mice were scarified 12</w:t>
      </w:r>
      <w:r w:rsidR="00CD65DC" w:rsidRPr="00387988">
        <w:rPr>
          <w:rFonts w:ascii="Book Antiqua" w:hAnsi="Book Antiqua"/>
          <w:lang w:eastAsia="zh-CN"/>
        </w:rPr>
        <w:t xml:space="preserve"> </w:t>
      </w:r>
      <w:r w:rsidRPr="00387988">
        <w:rPr>
          <w:rFonts w:ascii="Book Antiqua" w:eastAsia="Times New Roman" w:hAnsi="Book Antiqua"/>
          <w:lang w:eastAsia="en-GB"/>
        </w:rPr>
        <w:t>h after APAP administration; D: Liver necrosis at 12</w:t>
      </w:r>
      <w:r w:rsidR="00CD65DC"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was scored in the same group of mice; E: Representative </w:t>
      </w:r>
      <w:bookmarkStart w:id="96" w:name="OLE_LINK148"/>
      <w:bookmarkStart w:id="97" w:name="OLE_LINK149"/>
      <w:r w:rsidR="0002472A" w:rsidRPr="00387988">
        <w:rPr>
          <w:rFonts w:ascii="Book Antiqua" w:hAnsi="Book Antiqua"/>
          <w:lang w:eastAsia="zh-CN"/>
        </w:rPr>
        <w:t>h</w:t>
      </w:r>
      <w:r w:rsidR="0002472A" w:rsidRPr="00387988">
        <w:rPr>
          <w:rFonts w:ascii="Book Antiqua" w:eastAsia="Times New Roman" w:hAnsi="Book Antiqua"/>
          <w:lang w:eastAsia="en-GB"/>
        </w:rPr>
        <w:t>ematoxylin and eosin</w:t>
      </w:r>
      <w:bookmarkEnd w:id="96"/>
      <w:bookmarkEnd w:id="97"/>
      <w:r w:rsidR="00392B10">
        <w:rPr>
          <w:rFonts w:ascii="Book Antiqua" w:eastAsia="Times New Roman" w:hAnsi="Book Antiqua"/>
          <w:lang w:eastAsia="en-GB"/>
        </w:rPr>
        <w:t xml:space="preserve"> (H&amp;E)</w:t>
      </w:r>
      <w:r w:rsidR="00CD65DC" w:rsidRPr="00387988">
        <w:rPr>
          <w:rFonts w:ascii="Book Antiqua" w:eastAsia="Times New Roman" w:hAnsi="Book Antiqua"/>
          <w:lang w:eastAsia="en-GB"/>
        </w:rPr>
        <w:t xml:space="preserve">–stained images (magnification </w:t>
      </w:r>
      <w:r w:rsidR="00CD65DC" w:rsidRPr="00387988">
        <w:rPr>
          <w:rFonts w:eastAsia="Times New Roman"/>
          <w:lang w:eastAsia="en-GB"/>
        </w:rPr>
        <w:t>×</w:t>
      </w:r>
      <w:r w:rsidR="00CD65DC" w:rsidRPr="00387988">
        <w:rPr>
          <w:rFonts w:ascii="Book Antiqua" w:hAnsi="Book Antiqua"/>
          <w:lang w:eastAsia="zh-CN"/>
        </w:rPr>
        <w:t xml:space="preserve"> </w:t>
      </w:r>
      <w:r w:rsidRPr="00387988">
        <w:rPr>
          <w:rFonts w:ascii="Book Antiqua" w:eastAsia="Times New Roman" w:hAnsi="Book Antiqua"/>
          <w:lang w:eastAsia="en-GB"/>
        </w:rPr>
        <w:t>200) of murine liver 12</w:t>
      </w:r>
      <w:r w:rsidR="00CD65DC" w:rsidRPr="00387988">
        <w:rPr>
          <w:rFonts w:ascii="Book Antiqua" w:hAnsi="Book Antiqua"/>
          <w:lang w:eastAsia="zh-CN"/>
        </w:rPr>
        <w:t xml:space="preserve"> </w:t>
      </w:r>
      <w:r w:rsidRPr="00387988">
        <w:rPr>
          <w:rFonts w:ascii="Book Antiqua" w:eastAsia="Times New Roman" w:hAnsi="Book Antiqua"/>
          <w:lang w:eastAsia="en-GB"/>
        </w:rPr>
        <w:t xml:space="preserve">h </w:t>
      </w:r>
      <w:r w:rsidRPr="00387988">
        <w:rPr>
          <w:rFonts w:ascii="Book Antiqua" w:eastAsia="Times New Roman" w:hAnsi="Book Antiqua"/>
          <w:lang w:eastAsia="en-GB"/>
        </w:rPr>
        <w:lastRenderedPageBreak/>
        <w:t xml:space="preserve">after vehicle or APAP challenge. Results are expressed as mean ± </w:t>
      </w:r>
      <w:r w:rsidR="00392B10">
        <w:rPr>
          <w:rFonts w:ascii="Book Antiqua" w:eastAsia="Times New Roman" w:hAnsi="Book Antiqua"/>
          <w:lang w:eastAsia="en-GB"/>
        </w:rPr>
        <w:t>standard deviation</w:t>
      </w:r>
      <w:r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0.01, </w:t>
      </w:r>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r w:rsidR="00CD65DC"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r w:rsidRPr="00387988">
        <w:rPr>
          <w:rFonts w:ascii="Book Antiqua" w:eastAsia="Times New Roman" w:hAnsi="Book Antiqua"/>
          <w:i/>
          <w:iCs/>
          <w:lang w:eastAsia="en-GB"/>
        </w:rPr>
        <w:t>vs</w:t>
      </w:r>
      <w:r w:rsidRPr="00387988">
        <w:rPr>
          <w:rFonts w:ascii="Book Antiqua" w:eastAsia="Times New Roman" w:hAnsi="Book Antiqua"/>
          <w:lang w:eastAsia="en-GB"/>
        </w:rPr>
        <w:t xml:space="preserve"> APAP. Experiments were reproduced three times.</w:t>
      </w:r>
      <w:r w:rsidR="0002472A" w:rsidRPr="00387988">
        <w:t xml:space="preserve"> </w:t>
      </w:r>
      <w:bookmarkStart w:id="98" w:name="OLE_LINK150"/>
    </w:p>
    <w:bookmarkEnd w:id="98"/>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B8494D" w:rsidP="00387988">
      <w:pPr>
        <w:snapToGrid w:val="0"/>
        <w:spacing w:line="360" w:lineRule="auto"/>
        <w:jc w:val="both"/>
        <w:rPr>
          <w:rFonts w:ascii="Book Antiqua" w:hAnsi="Book Antiqua"/>
          <w:lang w:eastAsia="zh-CN"/>
        </w:rPr>
      </w:pPr>
      <w:r w:rsidRPr="00387988">
        <w:rPr>
          <w:rFonts w:ascii="Book Antiqua" w:eastAsia="Times New Roman" w:hAnsi="Book Antiqua"/>
          <w:lang w:eastAsia="en-GB"/>
        </w:rPr>
        <w:br w:type="page"/>
      </w:r>
      <w:r w:rsidR="00681ACF" w:rsidRPr="00387988">
        <w:rPr>
          <w:rFonts w:ascii="Book Antiqua" w:eastAsia="Times New Roman" w:hAnsi="Book Antiqua"/>
          <w:noProof/>
          <w:lang w:eastAsia="zh-CN"/>
        </w:rPr>
        <w:lastRenderedPageBreak/>
        <w:drawing>
          <wp:inline distT="0" distB="0" distL="0" distR="0" wp14:anchorId="6555E0E9" wp14:editId="2AA23425">
            <wp:extent cx="5924550" cy="423536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332" cy="4239502"/>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Figure 7</w:t>
      </w:r>
      <w:r w:rsidRPr="00387988">
        <w:rPr>
          <w:rFonts w:ascii="Book Antiqua" w:eastAsia="Times New Roman" w:hAnsi="Book Antiqua"/>
          <w:lang w:eastAsia="en-GB"/>
        </w:rPr>
        <w:t xml:space="preserve"> </w:t>
      </w:r>
      <w:r w:rsidRPr="00387988">
        <w:rPr>
          <w:rFonts w:ascii="Book Antiqua" w:eastAsia="Times New Roman" w:hAnsi="Book Antiqua"/>
          <w:b/>
          <w:bCs/>
          <w:lang w:eastAsia="en-GB"/>
        </w:rPr>
        <w:t xml:space="preserve">Delayed administration of </w:t>
      </w:r>
      <w:bookmarkStart w:id="99" w:name="OLE_LINK155"/>
      <w:bookmarkStart w:id="100" w:name="OLE_LINK156"/>
      <w:r w:rsidR="00B8494D" w:rsidRPr="00387988">
        <w:rPr>
          <w:rFonts w:ascii="Book Antiqua" w:eastAsia="Times New Roman" w:hAnsi="Book Antiqua"/>
          <w:b/>
          <w:bCs/>
          <w:lang w:eastAsia="en-GB"/>
        </w:rPr>
        <w:t>N-acetylcysteine/</w:t>
      </w:r>
      <w:bookmarkStart w:id="101" w:name="OLE_LINK140"/>
      <w:r w:rsidR="00B8494D" w:rsidRPr="00387988">
        <w:rPr>
          <w:rFonts w:ascii="Book Antiqua" w:eastAsia="Times New Roman" w:hAnsi="Book Antiqua"/>
          <w:b/>
          <w:bCs/>
          <w:lang w:eastAsia="en-GB"/>
        </w:rPr>
        <w:t>glycyrrhizin</w:t>
      </w:r>
      <w:bookmarkEnd w:id="99"/>
      <w:bookmarkEnd w:id="100"/>
      <w:bookmarkEnd w:id="101"/>
      <w:r w:rsidRPr="00387988">
        <w:rPr>
          <w:rFonts w:ascii="Book Antiqua" w:eastAsia="Times New Roman" w:hAnsi="Book Antiqua"/>
          <w:b/>
          <w:bCs/>
          <w:lang w:eastAsia="en-GB"/>
        </w:rPr>
        <w:t xml:space="preserve"> combination reduced </w:t>
      </w:r>
      <w:r w:rsidR="00392B10">
        <w:rPr>
          <w:rFonts w:ascii="Book Antiqua" w:hAnsi="Book Antiqua"/>
          <w:b/>
          <w:bCs/>
          <w:lang w:eastAsia="zh-CN"/>
        </w:rPr>
        <w:t>h</w:t>
      </w:r>
      <w:r w:rsidR="00B8494D" w:rsidRPr="00387988">
        <w:rPr>
          <w:rFonts w:ascii="Book Antiqua" w:eastAsia="Times New Roman" w:hAnsi="Book Antiqua"/>
          <w:b/>
          <w:bCs/>
          <w:lang w:eastAsia="en-GB"/>
        </w:rPr>
        <w:t>igh mobility group box</w:t>
      </w:r>
      <w:r w:rsidR="00392B10">
        <w:rPr>
          <w:rFonts w:ascii="Book Antiqua" w:eastAsia="Times New Roman" w:hAnsi="Book Antiqua"/>
          <w:b/>
          <w:bCs/>
          <w:lang w:eastAsia="en-GB"/>
        </w:rPr>
        <w:t xml:space="preserve"> </w:t>
      </w:r>
      <w:r w:rsidR="00B8494D" w:rsidRPr="00387988">
        <w:rPr>
          <w:rFonts w:ascii="Book Antiqua" w:eastAsia="Times New Roman" w:hAnsi="Book Antiqua"/>
          <w:b/>
          <w:bCs/>
          <w:lang w:eastAsia="en-GB"/>
        </w:rPr>
        <w:t>1</w:t>
      </w:r>
      <w:r w:rsidRPr="00387988">
        <w:rPr>
          <w:rFonts w:ascii="Book Antiqua" w:eastAsia="Times New Roman" w:hAnsi="Book Antiqua"/>
          <w:b/>
          <w:bCs/>
          <w:lang w:eastAsia="en-GB"/>
        </w:rPr>
        <w:t xml:space="preserve"> release as well as </w:t>
      </w:r>
      <w:r w:rsidR="00B8494D" w:rsidRPr="00387988">
        <w:rPr>
          <w:rFonts w:ascii="Book Antiqua" w:eastAsia="Times New Roman" w:hAnsi="Book Antiqua"/>
          <w:b/>
          <w:bCs/>
          <w:lang w:eastAsia="en-GB"/>
        </w:rPr>
        <w:t xml:space="preserve">glycyrrhizin </w:t>
      </w:r>
      <w:r w:rsidRPr="00387988">
        <w:rPr>
          <w:rFonts w:ascii="Book Antiqua" w:eastAsia="Times New Roman" w:hAnsi="Book Antiqua"/>
          <w:b/>
          <w:bCs/>
          <w:lang w:eastAsia="en-GB"/>
        </w:rPr>
        <w:t>alone.</w:t>
      </w:r>
      <w:r w:rsidR="00320810" w:rsidRPr="00387988">
        <w:rPr>
          <w:rFonts w:ascii="Book Antiqua" w:eastAsia="Times New Roman" w:hAnsi="Book Antiqua"/>
          <w:b/>
          <w:bCs/>
          <w:lang w:eastAsia="en-GB"/>
        </w:rPr>
        <w:t xml:space="preserve"> </w:t>
      </w:r>
      <w:r w:rsidRPr="00387988">
        <w:rPr>
          <w:rFonts w:ascii="Book Antiqua" w:eastAsia="Times New Roman" w:hAnsi="Book Antiqua"/>
          <w:lang w:eastAsia="en-GB"/>
        </w:rPr>
        <w:t>A:</w:t>
      </w:r>
      <w:r w:rsidRPr="00387988">
        <w:rPr>
          <w:rFonts w:ascii="Book Antiqua" w:eastAsia="Times New Roman" w:hAnsi="Book Antiqua"/>
          <w:b/>
          <w:bCs/>
          <w:lang w:eastAsia="en-GB"/>
        </w:rPr>
        <w:t xml:space="preserve"> </w:t>
      </w:r>
      <w:r w:rsidR="000F0194" w:rsidRPr="00387988">
        <w:rPr>
          <w:rFonts w:ascii="Book Antiqua" w:eastAsia="Times New Roman" w:hAnsi="Book Antiqua"/>
          <w:bCs/>
          <w:lang w:eastAsia="en-GB"/>
        </w:rPr>
        <w:t>High mobility group box</w:t>
      </w:r>
      <w:r w:rsidR="00392B10">
        <w:rPr>
          <w:rFonts w:ascii="Book Antiqua" w:eastAsia="Times New Roman" w:hAnsi="Book Antiqua"/>
          <w:bCs/>
          <w:lang w:eastAsia="en-GB"/>
        </w:rPr>
        <w:t xml:space="preserve"> </w:t>
      </w:r>
      <w:r w:rsidR="000F0194" w:rsidRPr="00387988">
        <w:rPr>
          <w:rFonts w:ascii="Book Antiqua" w:eastAsia="Times New Roman" w:hAnsi="Book Antiqua"/>
          <w:bCs/>
          <w:lang w:eastAsia="en-GB"/>
        </w:rPr>
        <w:t>1</w:t>
      </w:r>
      <w:r w:rsidR="000F0194" w:rsidRPr="00387988">
        <w:rPr>
          <w:rFonts w:ascii="Book Antiqua" w:hAnsi="Book Antiqua"/>
          <w:lang w:eastAsia="zh-CN"/>
        </w:rPr>
        <w:t xml:space="preserve"> (</w:t>
      </w:r>
      <w:r w:rsidRPr="00387988">
        <w:rPr>
          <w:rFonts w:ascii="Book Antiqua" w:eastAsia="Times New Roman" w:hAnsi="Book Antiqua"/>
          <w:lang w:eastAsia="en-GB"/>
        </w:rPr>
        <w:t>HMGB1</w:t>
      </w:r>
      <w:r w:rsidR="000F0194" w:rsidRPr="00387988">
        <w:rPr>
          <w:rFonts w:ascii="Book Antiqua" w:hAnsi="Book Antiqua"/>
          <w:lang w:eastAsia="zh-CN"/>
        </w:rPr>
        <w:t>)</w:t>
      </w:r>
      <w:r w:rsidRPr="00387988">
        <w:rPr>
          <w:rFonts w:ascii="Book Antiqua" w:eastAsia="Times New Roman" w:hAnsi="Book Antiqua"/>
          <w:lang w:eastAsia="en-GB"/>
        </w:rPr>
        <w:t xml:space="preserve"> levels were measured in the plasma of vehicle-treated mice and mice treated with </w:t>
      </w:r>
      <w:bookmarkStart w:id="102" w:name="OLE_LINK158"/>
      <w:bookmarkStart w:id="103" w:name="OLE_LINK159"/>
      <w:r w:rsidR="000F0194" w:rsidRPr="00387988">
        <w:rPr>
          <w:rFonts w:ascii="Book Antiqua" w:eastAsia="Times New Roman" w:hAnsi="Book Antiqua"/>
          <w:lang w:eastAsia="en-GB"/>
        </w:rPr>
        <w:t xml:space="preserve">N-acetylcysteine (NAC, </w:t>
      </w:r>
      <w:bookmarkEnd w:id="102"/>
      <w:bookmarkEnd w:id="103"/>
      <w:r w:rsidRPr="00387988">
        <w:rPr>
          <w:rFonts w:ascii="Book Antiqua" w:eastAsia="Times New Roman" w:hAnsi="Book Antiqua"/>
          <w:lang w:eastAsia="en-GB"/>
        </w:rPr>
        <w:t xml:space="preserve">150 mg/kg), </w:t>
      </w:r>
      <w:bookmarkStart w:id="104" w:name="OLE_LINK160"/>
      <w:bookmarkStart w:id="105" w:name="OLE_LINK161"/>
      <w:r w:rsidR="000F0194" w:rsidRPr="00387988">
        <w:rPr>
          <w:rFonts w:ascii="Book Antiqua" w:eastAsia="Times New Roman" w:hAnsi="Book Antiqua"/>
          <w:lang w:eastAsia="en-GB"/>
        </w:rPr>
        <w:t>glycyrrhizin (GL,</w:t>
      </w:r>
      <w:r w:rsidR="000F0194" w:rsidRPr="00387988">
        <w:rPr>
          <w:rFonts w:ascii="Book Antiqua" w:hAnsi="Book Antiqua"/>
          <w:lang w:eastAsia="zh-CN"/>
        </w:rPr>
        <w:t xml:space="preserve"> </w:t>
      </w:r>
      <w:bookmarkEnd w:id="104"/>
      <w:bookmarkEnd w:id="105"/>
      <w:r w:rsidRPr="00387988">
        <w:rPr>
          <w:rFonts w:ascii="Book Antiqua" w:eastAsia="Times New Roman" w:hAnsi="Book Antiqua"/>
          <w:lang w:eastAsia="en-GB"/>
        </w:rPr>
        <w:t xml:space="preserve">200 mg/kg) or NAC/GL, 2 h or 6 h after </w:t>
      </w:r>
      <w:bookmarkStart w:id="106" w:name="OLE_LINK162"/>
      <w:bookmarkStart w:id="107" w:name="OLE_LINK163"/>
      <w:r w:rsidR="001C6564" w:rsidRPr="00387988">
        <w:rPr>
          <w:rFonts w:ascii="Book Antiqua" w:eastAsia="Book Antiqua" w:hAnsi="Book Antiqua" w:cs="Book Antiqua"/>
          <w:color w:val="000000"/>
        </w:rPr>
        <w:t>acetaminophen</w:t>
      </w:r>
      <w:r w:rsidR="000F0194" w:rsidRPr="00387988">
        <w:rPr>
          <w:rFonts w:ascii="Book Antiqua" w:eastAsia="Times New Roman" w:hAnsi="Book Antiqua"/>
          <w:lang w:eastAsia="en-GB"/>
        </w:rPr>
        <w:t xml:space="preserve"> (APAP)</w:t>
      </w:r>
      <w:bookmarkEnd w:id="106"/>
      <w:bookmarkEnd w:id="107"/>
      <w:r w:rsidRPr="00387988">
        <w:rPr>
          <w:rFonts w:ascii="Book Antiqua" w:eastAsia="Times New Roman" w:hAnsi="Book Antiqua"/>
          <w:lang w:eastAsia="en-GB"/>
        </w:rPr>
        <w:t xml:space="preserve"> injection (10 mice in each group). Mice were scarified 12</w:t>
      </w:r>
      <w:r w:rsidR="000F0194" w:rsidRPr="00387988">
        <w:rPr>
          <w:rFonts w:ascii="Book Antiqua" w:hAnsi="Book Antiqua"/>
          <w:lang w:eastAsia="zh-CN"/>
        </w:rPr>
        <w:t xml:space="preserve"> </w:t>
      </w:r>
      <w:r w:rsidRPr="00387988">
        <w:rPr>
          <w:rFonts w:ascii="Book Antiqua" w:eastAsia="Times New Roman" w:hAnsi="Book Antiqua"/>
          <w:lang w:eastAsia="en-GB"/>
        </w:rPr>
        <w:t xml:space="preserve">h after APAP administration; B: Quantification of nuclear expression of HMGB1 in the same groups of mice; C: Representative </w:t>
      </w:r>
      <w:r w:rsidR="000F0194" w:rsidRPr="00387988">
        <w:rPr>
          <w:rFonts w:ascii="Book Antiqua" w:eastAsia="Times New Roman" w:hAnsi="Book Antiqua"/>
          <w:lang w:eastAsia="en-GB"/>
        </w:rPr>
        <w:t>hematoxylin and eosin</w:t>
      </w:r>
      <w:r w:rsidRPr="00387988">
        <w:rPr>
          <w:rFonts w:ascii="Book Antiqua" w:eastAsia="Times New Roman" w:hAnsi="Book Antiqua"/>
          <w:lang w:eastAsia="en-GB"/>
        </w:rPr>
        <w:t xml:space="preserve"> </w:t>
      </w:r>
      <w:r w:rsidR="00392B10">
        <w:rPr>
          <w:rFonts w:ascii="Book Antiqua" w:eastAsia="Times New Roman" w:hAnsi="Book Antiqua"/>
          <w:lang w:eastAsia="en-GB"/>
        </w:rPr>
        <w:t xml:space="preserve">(H&amp;E) </w:t>
      </w:r>
      <w:r w:rsidRPr="00387988">
        <w:rPr>
          <w:rFonts w:ascii="Book Antiqua" w:eastAsia="Times New Roman" w:hAnsi="Book Antiqua"/>
          <w:lang w:eastAsia="en-GB"/>
        </w:rPr>
        <w:t>and HMGB1</w:t>
      </w:r>
      <w:r w:rsidR="000F0194" w:rsidRPr="00387988">
        <w:rPr>
          <w:rFonts w:ascii="Book Antiqua" w:eastAsia="Times New Roman" w:hAnsi="Book Antiqua"/>
          <w:lang w:eastAsia="en-GB"/>
        </w:rPr>
        <w:t xml:space="preserve">-stained images (magnification </w:t>
      </w:r>
      <w:r w:rsidR="000F0194" w:rsidRPr="00387988">
        <w:rPr>
          <w:rFonts w:eastAsia="Times New Roman"/>
          <w:lang w:eastAsia="en-GB"/>
        </w:rPr>
        <w:t>×</w:t>
      </w:r>
      <w:r w:rsidR="000F0194" w:rsidRPr="00387988">
        <w:rPr>
          <w:rFonts w:ascii="Book Antiqua" w:hAnsi="Book Antiqua"/>
          <w:lang w:eastAsia="zh-CN"/>
        </w:rPr>
        <w:t xml:space="preserve"> </w:t>
      </w:r>
      <w:r w:rsidRPr="00387988">
        <w:rPr>
          <w:rFonts w:ascii="Book Antiqua" w:eastAsia="Times New Roman" w:hAnsi="Book Antiqua"/>
          <w:lang w:eastAsia="en-GB"/>
        </w:rPr>
        <w:t>200) of murine liver 12</w:t>
      </w:r>
      <w:r w:rsidR="000F0194" w:rsidRPr="00387988">
        <w:rPr>
          <w:rFonts w:ascii="Book Antiqua" w:hAnsi="Book Antiqua"/>
          <w:lang w:eastAsia="zh-CN"/>
        </w:rPr>
        <w:t xml:space="preserve"> </w:t>
      </w:r>
      <w:r w:rsidRPr="00387988">
        <w:rPr>
          <w:rFonts w:ascii="Book Antiqua" w:eastAsia="Times New Roman" w:hAnsi="Book Antiqua"/>
          <w:lang w:eastAsia="en-GB"/>
        </w:rPr>
        <w:t xml:space="preserve">h after APAP challenge in the same group of mice. Results are expressed as mean ± </w:t>
      </w:r>
      <w:r w:rsidR="00392B10">
        <w:rPr>
          <w:rFonts w:ascii="Book Antiqua" w:eastAsia="Times New Roman" w:hAnsi="Book Antiqua"/>
          <w:lang w:eastAsia="en-GB"/>
        </w:rPr>
        <w:t>standard error</w:t>
      </w:r>
      <w:r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0.01, </w:t>
      </w:r>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r w:rsidR="000F0194" w:rsidRPr="00387988">
        <w:rPr>
          <w:rFonts w:ascii="Book Antiqua" w:hAnsi="Book Antiqua"/>
          <w:lang w:eastAsia="zh-CN"/>
        </w:rPr>
        <w:t xml:space="preserve"> </w:t>
      </w:r>
      <w:r w:rsidRPr="00387988">
        <w:rPr>
          <w:rFonts w:ascii="Book Antiqua" w:eastAsia="Times New Roman" w:hAnsi="Book Antiqua"/>
          <w:lang w:eastAsia="en-GB"/>
        </w:rPr>
        <w:t>&lt; 0</w:t>
      </w:r>
      <w:r w:rsidR="00441D22">
        <w:rPr>
          <w:rFonts w:ascii="Book Antiqua" w:eastAsia="Times New Roman" w:hAnsi="Book Antiqua"/>
          <w:lang w:eastAsia="en-GB"/>
        </w:rPr>
        <w:t>.</w:t>
      </w:r>
      <w:r w:rsidRPr="00387988">
        <w:rPr>
          <w:rFonts w:ascii="Book Antiqua" w:eastAsia="Times New Roman" w:hAnsi="Book Antiqua"/>
          <w:lang w:eastAsia="en-GB"/>
        </w:rPr>
        <w:t xml:space="preserve">001 </w:t>
      </w:r>
      <w:r w:rsidRPr="00387988">
        <w:rPr>
          <w:rFonts w:ascii="Book Antiqua" w:eastAsia="Times New Roman" w:hAnsi="Book Antiqua"/>
          <w:i/>
          <w:iCs/>
          <w:lang w:eastAsia="en-GB"/>
        </w:rPr>
        <w:t>vs</w:t>
      </w:r>
      <w:r w:rsidRPr="00387988">
        <w:rPr>
          <w:rFonts w:ascii="Book Antiqua" w:eastAsia="Times New Roman" w:hAnsi="Book Antiqua"/>
          <w:lang w:eastAsia="en-GB"/>
        </w:rPr>
        <w:t xml:space="preserve"> APAP. Experiments were reproduced three times.</w:t>
      </w:r>
      <w:r w:rsidR="00EC2069" w:rsidRPr="00387988">
        <w:t xml:space="preserve"> </w:t>
      </w:r>
      <w:r w:rsidR="00681ACF" w:rsidRPr="00387988">
        <w:rPr>
          <w:rFonts w:ascii="Book Antiqua" w:eastAsia="Times New Roman" w:hAnsi="Book Antiqua"/>
          <w:lang w:eastAsia="zh-CN"/>
        </w:rPr>
        <w:br w:type="page"/>
      </w:r>
      <w:r w:rsidR="00681ACF" w:rsidRPr="00387988">
        <w:rPr>
          <w:rFonts w:ascii="Book Antiqua" w:eastAsia="Times New Roman" w:hAnsi="Book Antiqua"/>
          <w:noProof/>
          <w:lang w:eastAsia="zh-CN"/>
        </w:rPr>
        <w:lastRenderedPageBreak/>
        <w:drawing>
          <wp:inline distT="0" distB="0" distL="0" distR="0" wp14:anchorId="45873015" wp14:editId="6E4C5CA9">
            <wp:extent cx="5917422" cy="55435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3084" cy="5548854"/>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hAnsi="Book Antiqua"/>
          <w:lang w:eastAsia="zh-CN"/>
        </w:rPr>
      </w:pPr>
      <w:r w:rsidRPr="00387988">
        <w:rPr>
          <w:rFonts w:ascii="Book Antiqua" w:eastAsia="Times New Roman" w:hAnsi="Book Antiqua"/>
          <w:b/>
          <w:bCs/>
          <w:lang w:eastAsia="en-GB"/>
        </w:rPr>
        <w:t xml:space="preserve">Figure 8 Delayed administration of </w:t>
      </w:r>
      <w:bookmarkStart w:id="108" w:name="OLE_LINK170"/>
      <w:bookmarkStart w:id="109" w:name="OLE_LINK171"/>
      <w:r w:rsidR="00B30612" w:rsidRPr="00387988">
        <w:rPr>
          <w:rFonts w:ascii="Book Antiqua" w:eastAsia="Times New Roman" w:hAnsi="Book Antiqua"/>
          <w:b/>
          <w:bCs/>
          <w:lang w:eastAsia="en-GB"/>
        </w:rPr>
        <w:t>N-acetylcysteine/glycyrrhizin</w:t>
      </w:r>
      <w:bookmarkEnd w:id="108"/>
      <w:bookmarkEnd w:id="109"/>
      <w:r w:rsidRPr="00387988">
        <w:rPr>
          <w:rFonts w:ascii="Book Antiqua" w:eastAsia="Times New Roman" w:hAnsi="Book Antiqua"/>
          <w:b/>
          <w:bCs/>
          <w:lang w:eastAsia="en-GB"/>
        </w:rPr>
        <w:t xml:space="preserve"> combination restores partially </w:t>
      </w:r>
      <w:r w:rsidR="00B30612" w:rsidRPr="00387988">
        <w:rPr>
          <w:rFonts w:ascii="Book Antiqua" w:hAnsi="Book Antiqua"/>
          <w:b/>
          <w:bCs/>
          <w:lang w:eastAsia="zh-CN"/>
        </w:rPr>
        <w:t>g</w:t>
      </w:r>
      <w:r w:rsidR="00B30612" w:rsidRPr="00387988">
        <w:rPr>
          <w:rFonts w:ascii="Book Antiqua" w:eastAsia="Times New Roman" w:hAnsi="Book Antiqua"/>
          <w:b/>
          <w:bCs/>
          <w:lang w:eastAsia="en-GB"/>
        </w:rPr>
        <w:t>lutathione</w:t>
      </w:r>
      <w:r w:rsidRPr="00387988">
        <w:rPr>
          <w:rFonts w:ascii="Book Antiqua" w:eastAsia="Times New Roman" w:hAnsi="Book Antiqua"/>
          <w:b/>
          <w:bCs/>
          <w:lang w:eastAsia="en-GB"/>
        </w:rPr>
        <w:t xml:space="preserve"> stores.</w:t>
      </w:r>
      <w:r w:rsidR="00320810" w:rsidRPr="00387988">
        <w:rPr>
          <w:rFonts w:ascii="Book Antiqua" w:eastAsia="Times New Roman" w:hAnsi="Book Antiqua"/>
          <w:b/>
          <w:bCs/>
          <w:lang w:eastAsia="en-GB"/>
        </w:rPr>
        <w:t xml:space="preserve"> </w:t>
      </w:r>
      <w:r w:rsidRPr="00387988">
        <w:rPr>
          <w:rFonts w:ascii="Book Antiqua" w:eastAsia="Times New Roman" w:hAnsi="Book Antiqua"/>
          <w:lang w:eastAsia="en-GB"/>
        </w:rPr>
        <w:t>A:</w:t>
      </w:r>
      <w:r w:rsidRPr="00387988">
        <w:rPr>
          <w:rFonts w:ascii="Book Antiqua" w:eastAsia="Times New Roman" w:hAnsi="Book Antiqua"/>
          <w:b/>
          <w:bCs/>
          <w:lang w:eastAsia="en-GB"/>
        </w:rPr>
        <w:t xml:space="preserve"> </w:t>
      </w:r>
      <w:r w:rsidRPr="00387988">
        <w:rPr>
          <w:rFonts w:ascii="Book Antiqua" w:eastAsia="Times New Roman" w:hAnsi="Book Antiqua"/>
          <w:lang w:eastAsia="en-GB"/>
        </w:rPr>
        <w:t xml:space="preserve">Hepatic </w:t>
      </w:r>
      <w:bookmarkStart w:id="110" w:name="OLE_LINK168"/>
      <w:bookmarkStart w:id="111" w:name="OLE_LINK169"/>
      <w:r w:rsidR="00B30612" w:rsidRPr="00387988">
        <w:rPr>
          <w:rFonts w:ascii="Book Antiqua" w:hAnsi="Book Antiqua"/>
          <w:lang w:eastAsia="zh-CN"/>
        </w:rPr>
        <w:t>g</w:t>
      </w:r>
      <w:r w:rsidR="00B30612" w:rsidRPr="00387988">
        <w:rPr>
          <w:rFonts w:ascii="Book Antiqua" w:eastAsia="Times New Roman" w:hAnsi="Book Antiqua"/>
          <w:lang w:eastAsia="en-GB"/>
        </w:rPr>
        <w:t>lutathione</w:t>
      </w:r>
      <w:bookmarkEnd w:id="110"/>
      <w:bookmarkEnd w:id="111"/>
      <w:r w:rsidR="00B30612" w:rsidRPr="00387988">
        <w:rPr>
          <w:rFonts w:ascii="Book Antiqua" w:eastAsia="Times New Roman" w:hAnsi="Book Antiqua"/>
          <w:lang w:eastAsia="en-GB"/>
        </w:rPr>
        <w:t xml:space="preserve"> </w:t>
      </w:r>
      <w:r w:rsidR="00B30612" w:rsidRPr="00387988">
        <w:rPr>
          <w:rFonts w:ascii="Book Antiqua" w:hAnsi="Book Antiqua"/>
          <w:lang w:eastAsia="zh-CN"/>
        </w:rPr>
        <w:t>(</w:t>
      </w:r>
      <w:r w:rsidRPr="00387988">
        <w:rPr>
          <w:rFonts w:ascii="Book Antiqua" w:eastAsia="Times New Roman" w:hAnsi="Book Antiqua"/>
          <w:lang w:eastAsia="en-GB"/>
        </w:rPr>
        <w:t>GSH</w:t>
      </w:r>
      <w:r w:rsidR="00B30612" w:rsidRPr="00387988">
        <w:rPr>
          <w:rFonts w:ascii="Book Antiqua" w:hAnsi="Book Antiqua"/>
          <w:lang w:eastAsia="zh-CN"/>
        </w:rPr>
        <w:t>)</w:t>
      </w:r>
      <w:r w:rsidRPr="00387988">
        <w:rPr>
          <w:rFonts w:ascii="Book Antiqua" w:eastAsia="Times New Roman" w:hAnsi="Book Antiqua"/>
          <w:lang w:eastAsia="en-GB"/>
        </w:rPr>
        <w:t xml:space="preserve"> levels were measured in mice treated with </w:t>
      </w:r>
      <w:r w:rsidR="00B30612" w:rsidRPr="00387988">
        <w:rPr>
          <w:rFonts w:ascii="Book Antiqua" w:eastAsia="Times New Roman" w:hAnsi="Book Antiqua"/>
          <w:lang w:eastAsia="en-GB"/>
        </w:rPr>
        <w:t xml:space="preserve">N-acetylcysteine (NAC, </w:t>
      </w:r>
      <w:r w:rsidRPr="00387988">
        <w:rPr>
          <w:rFonts w:ascii="Book Antiqua" w:eastAsia="Times New Roman" w:hAnsi="Book Antiqua"/>
          <w:lang w:eastAsia="en-GB"/>
        </w:rPr>
        <w:t xml:space="preserve">150 mg/kg), </w:t>
      </w:r>
      <w:r w:rsidR="00B30612" w:rsidRPr="00387988">
        <w:rPr>
          <w:rFonts w:ascii="Book Antiqua" w:eastAsia="Times New Roman" w:hAnsi="Book Antiqua"/>
          <w:lang w:eastAsia="en-GB"/>
        </w:rPr>
        <w:t xml:space="preserve">glycyrrhizin (GL, </w:t>
      </w:r>
      <w:r w:rsidRPr="00387988">
        <w:rPr>
          <w:rFonts w:ascii="Book Antiqua" w:eastAsia="Times New Roman" w:hAnsi="Book Antiqua"/>
          <w:lang w:eastAsia="en-GB"/>
        </w:rPr>
        <w:t xml:space="preserve">200 mg/kg) or NAC/GL, 2 h or 6 h after </w:t>
      </w:r>
      <w:r w:rsidR="00392B10" w:rsidRPr="00387988">
        <w:rPr>
          <w:rFonts w:ascii="Book Antiqua" w:eastAsia="Book Antiqua" w:hAnsi="Book Antiqua" w:cs="Book Antiqua"/>
          <w:color w:val="000000"/>
        </w:rPr>
        <w:t>acetaminophen</w:t>
      </w:r>
      <w:r w:rsidR="00392B10" w:rsidRPr="00387988">
        <w:rPr>
          <w:rFonts w:ascii="Book Antiqua" w:eastAsia="Times New Roman" w:hAnsi="Book Antiqua"/>
          <w:lang w:eastAsia="en-GB"/>
        </w:rPr>
        <w:t xml:space="preserve"> (</w:t>
      </w:r>
      <w:r w:rsidRPr="00387988">
        <w:rPr>
          <w:rFonts w:ascii="Book Antiqua" w:eastAsia="Times New Roman" w:hAnsi="Book Antiqua"/>
          <w:lang w:eastAsia="en-GB"/>
        </w:rPr>
        <w:t>APAP</w:t>
      </w:r>
      <w:r w:rsidR="00392B10">
        <w:rPr>
          <w:rFonts w:ascii="Book Antiqua" w:eastAsia="Times New Roman" w:hAnsi="Book Antiqua"/>
          <w:lang w:eastAsia="en-GB"/>
        </w:rPr>
        <w:t>)</w:t>
      </w:r>
      <w:r w:rsidRPr="00387988">
        <w:rPr>
          <w:rFonts w:ascii="Book Antiqua" w:eastAsia="Times New Roman" w:hAnsi="Book Antiqua"/>
          <w:lang w:eastAsia="en-GB"/>
        </w:rPr>
        <w:t xml:space="preserve"> injection (10 mice in each group). Mice were scarified 12</w:t>
      </w:r>
      <w:r w:rsidR="00561BBF" w:rsidRPr="00387988">
        <w:rPr>
          <w:rFonts w:ascii="Book Antiqua" w:hAnsi="Book Antiqua"/>
          <w:lang w:eastAsia="zh-CN"/>
        </w:rPr>
        <w:t xml:space="preserve"> </w:t>
      </w:r>
      <w:r w:rsidRPr="00387988">
        <w:rPr>
          <w:rFonts w:ascii="Book Antiqua" w:eastAsia="Times New Roman" w:hAnsi="Book Antiqua"/>
          <w:lang w:eastAsia="en-GB"/>
        </w:rPr>
        <w:t xml:space="preserve">h after </w:t>
      </w:r>
      <w:r w:rsidR="00561BBF" w:rsidRPr="00387988">
        <w:rPr>
          <w:rFonts w:ascii="Book Antiqua" w:eastAsia="Times New Roman" w:hAnsi="Book Antiqua"/>
          <w:lang w:eastAsia="en-GB"/>
        </w:rPr>
        <w:t>APAP</w:t>
      </w:r>
      <w:r w:rsidRPr="00387988">
        <w:rPr>
          <w:rFonts w:ascii="Book Antiqua" w:eastAsia="Times New Roman" w:hAnsi="Book Antiqua"/>
          <w:lang w:eastAsia="en-GB"/>
        </w:rPr>
        <w:t xml:space="preserve"> administration. Assessment was performed using colorimetric assay kit. The enzyme concentration obtained is expressed as nmol of enzyme per milligram of protein using bovine serum as a standard; B: </w:t>
      </w:r>
      <w:r w:rsidR="00B86101" w:rsidRPr="00387988">
        <w:rPr>
          <w:rFonts w:ascii="Book Antiqua" w:hAnsi="Book Antiqua"/>
          <w:lang w:eastAsia="zh-CN"/>
        </w:rPr>
        <w:t>G</w:t>
      </w:r>
      <w:r w:rsidR="00B86101" w:rsidRPr="00387988">
        <w:rPr>
          <w:rFonts w:ascii="Book Antiqua" w:eastAsia="Times New Roman" w:hAnsi="Book Antiqua"/>
          <w:lang w:eastAsia="en-GB"/>
        </w:rPr>
        <w:t xml:space="preserve">lutathione </w:t>
      </w:r>
      <w:r w:rsidR="00B86101">
        <w:rPr>
          <w:rFonts w:ascii="Book Antiqua" w:eastAsia="Times New Roman" w:hAnsi="Book Antiqua"/>
          <w:lang w:eastAsia="en-GB"/>
        </w:rPr>
        <w:t>(</w:t>
      </w:r>
      <w:r w:rsidR="00B86101" w:rsidRPr="00387988">
        <w:rPr>
          <w:rFonts w:ascii="Book Antiqua" w:eastAsia="Times New Roman" w:hAnsi="Book Antiqua"/>
          <w:lang w:eastAsia="en-GB"/>
        </w:rPr>
        <w:t>GSH</w:t>
      </w:r>
      <w:r w:rsidR="00B86101">
        <w:rPr>
          <w:rFonts w:ascii="Book Antiqua" w:eastAsia="Times New Roman" w:hAnsi="Book Antiqua"/>
          <w:lang w:eastAsia="en-GB"/>
        </w:rPr>
        <w:t>)</w:t>
      </w:r>
      <w:r w:rsidR="00B86101" w:rsidRPr="00387988">
        <w:rPr>
          <w:rFonts w:ascii="Book Antiqua" w:eastAsia="Times New Roman" w:hAnsi="Book Antiqua"/>
          <w:lang w:eastAsia="en-GB"/>
        </w:rPr>
        <w:t>/</w:t>
      </w:r>
      <w:r w:rsidR="00B86101">
        <w:rPr>
          <w:rFonts w:ascii="Book Antiqua" w:eastAsia="Times New Roman" w:hAnsi="Book Antiqua"/>
          <w:lang w:eastAsia="en-GB"/>
        </w:rPr>
        <w:t>the oxidized state (</w:t>
      </w:r>
      <w:r w:rsidR="00B86101" w:rsidRPr="00387988">
        <w:rPr>
          <w:rFonts w:ascii="Book Antiqua" w:eastAsia="Times New Roman" w:hAnsi="Book Antiqua"/>
          <w:lang w:eastAsia="en-GB"/>
        </w:rPr>
        <w:t>GSSG</w:t>
      </w:r>
      <w:r w:rsidR="00B86101">
        <w:rPr>
          <w:rFonts w:ascii="Book Antiqua" w:eastAsia="Times New Roman" w:hAnsi="Book Antiqua"/>
          <w:lang w:eastAsia="en-GB"/>
        </w:rPr>
        <w:t>)</w:t>
      </w:r>
      <w:r w:rsidR="00B86101" w:rsidRPr="00387988">
        <w:rPr>
          <w:rFonts w:ascii="Book Antiqua" w:eastAsia="Times New Roman" w:hAnsi="Book Antiqua"/>
          <w:lang w:eastAsia="en-GB"/>
        </w:rPr>
        <w:t xml:space="preserve"> </w:t>
      </w:r>
      <w:r w:rsidRPr="00387988">
        <w:rPr>
          <w:rFonts w:ascii="Book Antiqua" w:eastAsia="Times New Roman" w:hAnsi="Book Antiqua"/>
          <w:lang w:eastAsia="en-GB"/>
        </w:rPr>
        <w:t xml:space="preserve">ratio was evaluated in the same group of mice using fluorometric assay kit. In two separate assay reactions, </w:t>
      </w:r>
      <w:bookmarkStart w:id="112" w:name="OLE_LINK166"/>
      <w:bookmarkStart w:id="113" w:name="OLE_LINK167"/>
      <w:r w:rsidRPr="00387988">
        <w:rPr>
          <w:rFonts w:ascii="Book Antiqua" w:eastAsia="Times New Roman" w:hAnsi="Book Antiqua"/>
          <w:lang w:eastAsia="en-GB"/>
        </w:rPr>
        <w:t>GSH</w:t>
      </w:r>
      <w:bookmarkEnd w:id="112"/>
      <w:bookmarkEnd w:id="113"/>
      <w:r w:rsidRPr="00387988">
        <w:rPr>
          <w:rFonts w:ascii="Book Antiqua" w:eastAsia="Times New Roman" w:hAnsi="Book Antiqua"/>
          <w:lang w:eastAsia="en-GB"/>
        </w:rPr>
        <w:t xml:space="preserve"> </w:t>
      </w:r>
      <w:r w:rsidRPr="00387988">
        <w:rPr>
          <w:rFonts w:ascii="Book Antiqua" w:eastAsia="Times New Roman" w:hAnsi="Book Antiqua"/>
          <w:lang w:eastAsia="en-GB"/>
        </w:rPr>
        <w:lastRenderedPageBreak/>
        <w:t>(reduced) was measured directly with a GSH standard and total GSH (GSH</w:t>
      </w:r>
      <w:r w:rsidR="00B86101">
        <w:rPr>
          <w:rFonts w:ascii="Book Antiqua" w:eastAsia="Times New Roman" w:hAnsi="Book Antiqua"/>
          <w:lang w:eastAsia="en-GB"/>
        </w:rPr>
        <w:t xml:space="preserve"> </w:t>
      </w:r>
      <w:r w:rsidRPr="00387988">
        <w:rPr>
          <w:rFonts w:ascii="Book Antiqua" w:eastAsia="Times New Roman" w:hAnsi="Book Antiqua"/>
          <w:lang w:eastAsia="en-GB"/>
        </w:rPr>
        <w:t>+</w:t>
      </w:r>
      <w:r w:rsidR="00B86101">
        <w:rPr>
          <w:rFonts w:ascii="Book Antiqua" w:eastAsia="Times New Roman" w:hAnsi="Book Antiqua"/>
          <w:lang w:eastAsia="en-GB"/>
        </w:rPr>
        <w:t xml:space="preserve"> </w:t>
      </w:r>
      <w:r w:rsidRPr="00387988">
        <w:rPr>
          <w:rFonts w:ascii="Book Antiqua" w:eastAsia="Times New Roman" w:hAnsi="Book Antiqua"/>
          <w:lang w:eastAsia="en-GB"/>
        </w:rPr>
        <w:t>GSSG) was measured by using a GSSG standard. Fluorescence measurement was performed at Ex/Em</w:t>
      </w:r>
      <w:r w:rsidR="00561BBF" w:rsidRPr="00387988">
        <w:rPr>
          <w:rFonts w:ascii="Book Antiqua" w:hAnsi="Book Antiqua"/>
          <w:lang w:eastAsia="zh-CN"/>
        </w:rPr>
        <w:t xml:space="preserve"> </w:t>
      </w:r>
      <w:r w:rsidRPr="00387988">
        <w:rPr>
          <w:rFonts w:ascii="Book Antiqua" w:eastAsia="Times New Roman" w:hAnsi="Book Antiqua"/>
          <w:lang w:eastAsia="en-GB"/>
        </w:rPr>
        <w:t>= 490/520</w:t>
      </w:r>
      <w:r w:rsidR="00561BBF" w:rsidRPr="00387988">
        <w:rPr>
          <w:rFonts w:ascii="Book Antiqua" w:hAnsi="Book Antiqua"/>
          <w:lang w:eastAsia="zh-CN"/>
        </w:rPr>
        <w:t xml:space="preserve"> </w:t>
      </w:r>
      <w:r w:rsidRPr="00387988">
        <w:rPr>
          <w:rFonts w:ascii="Book Antiqua" w:eastAsia="Times New Roman" w:hAnsi="Book Antiqua"/>
          <w:lang w:eastAsia="en-GB"/>
        </w:rPr>
        <w:t xml:space="preserve">nm. Results are expressed as mean ± </w:t>
      </w:r>
      <w:r w:rsidR="00B86101">
        <w:rPr>
          <w:rFonts w:ascii="Book Antiqua" w:eastAsia="Times New Roman" w:hAnsi="Book Antiqua"/>
          <w:lang w:eastAsia="en-GB"/>
        </w:rPr>
        <w:t>standard error</w:t>
      </w:r>
      <w:r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0.01, </w:t>
      </w:r>
      <w:r w:rsidRPr="00387988">
        <w:rPr>
          <w:rFonts w:ascii="Book Antiqua" w:eastAsia="Times New Roman" w:hAnsi="Book Antiqua"/>
          <w:vertAlign w:val="superscript"/>
          <w:lang w:eastAsia="en-GB"/>
        </w:rPr>
        <w:t>e</w:t>
      </w:r>
      <w:r w:rsidRPr="00387988">
        <w:rPr>
          <w:rFonts w:ascii="Book Antiqua" w:eastAsia="Times New Roman" w:hAnsi="Book Antiqua"/>
          <w:i/>
          <w:lang w:eastAsia="en-GB"/>
        </w:rPr>
        <w:t>P</w:t>
      </w:r>
      <w:r w:rsidR="00561BBF" w:rsidRPr="00387988">
        <w:rPr>
          <w:rFonts w:ascii="Book Antiqua" w:hAnsi="Book Antiqua"/>
          <w:lang w:eastAsia="zh-CN"/>
        </w:rPr>
        <w:t xml:space="preserve"> </w:t>
      </w:r>
      <w:r w:rsidRPr="00387988">
        <w:rPr>
          <w:rFonts w:ascii="Book Antiqua" w:eastAsia="Times New Roman" w:hAnsi="Book Antiqua"/>
          <w:lang w:eastAsia="en-GB"/>
        </w:rPr>
        <w:t>&lt; 0</w:t>
      </w:r>
      <w:r w:rsidR="00C634B8">
        <w:rPr>
          <w:rFonts w:ascii="Book Antiqua" w:eastAsia="Times New Roman" w:hAnsi="Book Antiqua"/>
          <w:lang w:eastAsia="en-GB"/>
        </w:rPr>
        <w:t>.</w:t>
      </w:r>
      <w:r w:rsidRPr="00387988">
        <w:rPr>
          <w:rFonts w:ascii="Book Antiqua" w:eastAsia="Times New Roman" w:hAnsi="Book Antiqua"/>
          <w:lang w:eastAsia="en-GB"/>
        </w:rPr>
        <w:t xml:space="preserve">001 </w:t>
      </w:r>
      <w:r w:rsidRPr="00387988">
        <w:rPr>
          <w:rFonts w:ascii="Book Antiqua" w:eastAsia="Times New Roman" w:hAnsi="Book Antiqua"/>
          <w:i/>
          <w:iCs/>
          <w:lang w:eastAsia="en-GB"/>
        </w:rPr>
        <w:t>vs</w:t>
      </w:r>
      <w:r w:rsidRPr="00387988">
        <w:rPr>
          <w:rFonts w:ascii="Book Antiqua" w:eastAsia="Times New Roman" w:hAnsi="Book Antiqua"/>
          <w:lang w:eastAsia="en-GB"/>
        </w:rPr>
        <w:t xml:space="preserve"> APAP.</w:t>
      </w:r>
      <w:r w:rsidR="00164CA5" w:rsidRPr="00387988">
        <w:t xml:space="preserve"> </w:t>
      </w:r>
      <w:bookmarkStart w:id="114" w:name="OLE_LINK188"/>
      <w:bookmarkStart w:id="115" w:name="OLE_LINK189"/>
    </w:p>
    <w:bookmarkEnd w:id="114"/>
    <w:bookmarkEnd w:id="115"/>
    <w:p w:rsidR="00107D11" w:rsidRPr="00387988" w:rsidRDefault="00F13E63"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lang w:eastAsia="en-GB"/>
        </w:rPr>
        <w:br w:type="page"/>
      </w:r>
      <w:r w:rsidR="00F95CF3" w:rsidRPr="00387988">
        <w:rPr>
          <w:rFonts w:ascii="Book Antiqua" w:eastAsia="Times New Roman" w:hAnsi="Book Antiqua"/>
          <w:noProof/>
          <w:lang w:eastAsia="zh-CN"/>
        </w:rPr>
        <w:lastRenderedPageBreak/>
        <w:drawing>
          <wp:inline distT="0" distB="0" distL="0" distR="0" wp14:anchorId="0BF347EA" wp14:editId="0F1AA2E5">
            <wp:extent cx="5863126" cy="56577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0389" cy="5655098"/>
                    </a:xfrm>
                    <a:prstGeom prst="rect">
                      <a:avLst/>
                    </a:prstGeom>
                    <a:noFill/>
                  </pic:spPr>
                </pic:pic>
              </a:graphicData>
            </a:graphic>
          </wp:inline>
        </w:drawing>
      </w:r>
    </w:p>
    <w:p w:rsidR="00107D11" w:rsidRPr="00387988" w:rsidRDefault="00107D11"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 xml:space="preserve">Figure 9 Delayed administration of </w:t>
      </w:r>
      <w:bookmarkStart w:id="116" w:name="OLE_LINK182"/>
      <w:bookmarkStart w:id="117" w:name="OLE_LINK183"/>
      <w:r w:rsidR="00F13E63" w:rsidRPr="00387988">
        <w:rPr>
          <w:rFonts w:ascii="Book Antiqua" w:eastAsia="Times New Roman" w:hAnsi="Book Antiqua"/>
          <w:b/>
          <w:bCs/>
          <w:lang w:eastAsia="en-GB"/>
        </w:rPr>
        <w:t>N-acetylcysteine/glycyrrhizin</w:t>
      </w:r>
      <w:bookmarkEnd w:id="116"/>
      <w:bookmarkEnd w:id="117"/>
      <w:r w:rsidRPr="00387988">
        <w:rPr>
          <w:rFonts w:ascii="Book Antiqua" w:eastAsia="Times New Roman" w:hAnsi="Book Antiqua"/>
          <w:b/>
          <w:bCs/>
          <w:lang w:eastAsia="en-GB"/>
        </w:rPr>
        <w:t xml:space="preserve"> combination increased mice survival following </w:t>
      </w:r>
      <w:r w:rsidR="001C6564" w:rsidRPr="00387988">
        <w:rPr>
          <w:rFonts w:ascii="Book Antiqua" w:eastAsia="Times New Roman" w:hAnsi="Book Antiqua"/>
          <w:b/>
          <w:bCs/>
          <w:lang w:eastAsia="en-GB"/>
        </w:rPr>
        <w:t>acetaminophen</w:t>
      </w:r>
      <w:r w:rsidRPr="00387988">
        <w:rPr>
          <w:rFonts w:ascii="Book Antiqua" w:eastAsia="Times New Roman" w:hAnsi="Book Antiqua"/>
          <w:b/>
          <w:bCs/>
          <w:lang w:eastAsia="en-GB"/>
        </w:rPr>
        <w:t xml:space="preserve">-induced liver injury compared to </w:t>
      </w:r>
      <w:r w:rsidR="004C5FB7" w:rsidRPr="00387988">
        <w:rPr>
          <w:rFonts w:ascii="Book Antiqua" w:eastAsia="Times New Roman" w:hAnsi="Book Antiqua"/>
          <w:b/>
          <w:bCs/>
          <w:lang w:eastAsia="en-GB"/>
        </w:rPr>
        <w:t>glycyrrhizin</w:t>
      </w:r>
      <w:r w:rsidRPr="00387988">
        <w:rPr>
          <w:rFonts w:ascii="Book Antiqua" w:eastAsia="Times New Roman" w:hAnsi="Book Antiqua"/>
          <w:b/>
          <w:bCs/>
          <w:lang w:eastAsia="en-GB"/>
        </w:rPr>
        <w:t xml:space="preserve"> or </w:t>
      </w:r>
      <w:r w:rsidR="004C5FB7" w:rsidRPr="00387988">
        <w:rPr>
          <w:rFonts w:ascii="Book Antiqua" w:eastAsia="Times New Roman" w:hAnsi="Book Antiqua"/>
          <w:b/>
          <w:bCs/>
          <w:lang w:eastAsia="en-GB"/>
        </w:rPr>
        <w:t>N-acetylcysteine</w:t>
      </w:r>
      <w:r w:rsidRPr="00387988">
        <w:rPr>
          <w:rFonts w:ascii="Book Antiqua" w:eastAsia="Times New Roman" w:hAnsi="Book Antiqua"/>
          <w:b/>
          <w:bCs/>
          <w:lang w:eastAsia="en-GB"/>
        </w:rPr>
        <w:t xml:space="preserve"> alone.</w:t>
      </w:r>
      <w:r w:rsidRPr="00387988">
        <w:rPr>
          <w:rFonts w:ascii="Book Antiqua" w:eastAsia="Times New Roman" w:hAnsi="Book Antiqua"/>
          <w:lang w:eastAsia="en-GB"/>
        </w:rPr>
        <w:t xml:space="preserve"> Comparison of cumulative probability mice survival after </w:t>
      </w:r>
      <w:r w:rsidR="001C6564" w:rsidRPr="00387988">
        <w:rPr>
          <w:rFonts w:ascii="Book Antiqua" w:eastAsia="Book Antiqua" w:hAnsi="Book Antiqua" w:cs="Book Antiqua"/>
          <w:color w:val="000000"/>
        </w:rPr>
        <w:t>acetaminophen</w:t>
      </w:r>
      <w:r w:rsidR="004C5FB7" w:rsidRPr="00387988">
        <w:rPr>
          <w:rFonts w:ascii="Book Antiqua" w:eastAsia="Times New Roman" w:hAnsi="Book Antiqua"/>
          <w:lang w:eastAsia="en-GB"/>
        </w:rPr>
        <w:t xml:space="preserve"> </w:t>
      </w:r>
      <w:r w:rsidR="004C5FB7" w:rsidRPr="00387988">
        <w:rPr>
          <w:rFonts w:ascii="Book Antiqua" w:hAnsi="Book Antiqua"/>
          <w:lang w:eastAsia="zh-CN"/>
        </w:rPr>
        <w:t>(</w:t>
      </w:r>
      <w:r w:rsidRPr="00387988">
        <w:rPr>
          <w:rFonts w:ascii="Book Antiqua" w:eastAsia="Times New Roman" w:hAnsi="Book Antiqua"/>
          <w:lang w:eastAsia="en-GB"/>
        </w:rPr>
        <w:t>APAP</w:t>
      </w:r>
      <w:r w:rsidR="004C5FB7" w:rsidRPr="00387988">
        <w:rPr>
          <w:rFonts w:ascii="Book Antiqua" w:hAnsi="Book Antiqua"/>
          <w:lang w:eastAsia="zh-CN"/>
        </w:rPr>
        <w:t>)</w:t>
      </w:r>
      <w:r w:rsidR="004C5FB7" w:rsidRPr="00387988">
        <w:rPr>
          <w:rFonts w:ascii="Book Antiqua" w:eastAsia="Times New Roman" w:hAnsi="Book Antiqua"/>
          <w:lang w:eastAsia="en-GB"/>
        </w:rPr>
        <w:t xml:space="preserve"> challenge</w:t>
      </w:r>
      <w:r w:rsidR="004C5FB7" w:rsidRPr="00387988">
        <w:rPr>
          <w:rFonts w:ascii="Book Antiqua" w:hAnsi="Book Antiqua"/>
          <w:lang w:eastAsia="zh-CN"/>
        </w:rPr>
        <w:t xml:space="preserve"> </w:t>
      </w:r>
      <w:r w:rsidRPr="00387988">
        <w:rPr>
          <w:rFonts w:ascii="Book Antiqua" w:eastAsia="Times New Roman" w:hAnsi="Book Antiqua"/>
          <w:lang w:eastAsia="en-GB"/>
        </w:rPr>
        <w:t xml:space="preserve">(10 mice in each group). Mice were treated with </w:t>
      </w:r>
      <w:bookmarkStart w:id="118" w:name="OLE_LINK174"/>
      <w:bookmarkStart w:id="119" w:name="OLE_LINK175"/>
      <w:bookmarkStart w:id="120" w:name="OLE_LINK184"/>
      <w:bookmarkStart w:id="121" w:name="OLE_LINK185"/>
      <w:r w:rsidRPr="00387988">
        <w:rPr>
          <w:rFonts w:ascii="Book Antiqua" w:eastAsia="Times New Roman" w:hAnsi="Book Antiqua"/>
          <w:lang w:eastAsia="en-GB"/>
        </w:rPr>
        <w:t>glycyrrhizin</w:t>
      </w:r>
      <w:bookmarkEnd w:id="118"/>
      <w:bookmarkEnd w:id="119"/>
      <w:r w:rsidR="004C5FB7" w:rsidRPr="00387988">
        <w:rPr>
          <w:rFonts w:ascii="Book Antiqua" w:eastAsia="Times New Roman" w:hAnsi="Book Antiqua"/>
          <w:lang w:eastAsia="en-GB"/>
        </w:rPr>
        <w:t xml:space="preserve"> (GL</w:t>
      </w:r>
      <w:r w:rsidR="004C5FB7" w:rsidRPr="00387988">
        <w:rPr>
          <w:rFonts w:ascii="Book Antiqua" w:hAnsi="Book Antiqua"/>
          <w:lang w:eastAsia="zh-CN"/>
        </w:rPr>
        <w:t>,</w:t>
      </w:r>
      <w:r w:rsidRPr="00387988">
        <w:rPr>
          <w:rFonts w:ascii="Book Antiqua" w:eastAsia="Times New Roman" w:hAnsi="Book Antiqua"/>
          <w:lang w:eastAsia="en-GB"/>
        </w:rPr>
        <w:t xml:space="preserve"> </w:t>
      </w:r>
      <w:bookmarkEnd w:id="120"/>
      <w:bookmarkEnd w:id="121"/>
      <w:r w:rsidRPr="00387988">
        <w:rPr>
          <w:rFonts w:ascii="Book Antiqua" w:eastAsia="Times New Roman" w:hAnsi="Book Antiqua"/>
          <w:lang w:eastAsia="en-GB"/>
        </w:rPr>
        <w:t xml:space="preserve">200 mg/kg), </w:t>
      </w:r>
      <w:bookmarkStart w:id="122" w:name="OLE_LINK176"/>
      <w:bookmarkStart w:id="123" w:name="OLE_LINK177"/>
      <w:bookmarkStart w:id="124" w:name="OLE_LINK186"/>
      <w:bookmarkStart w:id="125" w:name="OLE_LINK187"/>
      <w:r w:rsidRPr="00387988">
        <w:rPr>
          <w:rFonts w:ascii="Book Antiqua" w:eastAsia="Times New Roman" w:hAnsi="Book Antiqua"/>
          <w:lang w:eastAsia="en-GB"/>
        </w:rPr>
        <w:t>N-acetylcysteine</w:t>
      </w:r>
      <w:bookmarkEnd w:id="122"/>
      <w:bookmarkEnd w:id="123"/>
      <w:r w:rsidR="004C5FB7" w:rsidRPr="00387988">
        <w:rPr>
          <w:rFonts w:ascii="Book Antiqua" w:eastAsia="Times New Roman" w:hAnsi="Book Antiqua"/>
          <w:lang w:eastAsia="en-GB"/>
        </w:rPr>
        <w:t xml:space="preserve"> (NAC</w:t>
      </w:r>
      <w:r w:rsidR="004C5FB7" w:rsidRPr="00387988">
        <w:rPr>
          <w:rFonts w:ascii="Book Antiqua" w:hAnsi="Book Antiqua"/>
          <w:lang w:eastAsia="zh-CN"/>
        </w:rPr>
        <w:t>,</w:t>
      </w:r>
      <w:r w:rsidRPr="00387988">
        <w:rPr>
          <w:rFonts w:ascii="Book Antiqua" w:eastAsia="Times New Roman" w:hAnsi="Book Antiqua"/>
          <w:lang w:eastAsia="en-GB"/>
        </w:rPr>
        <w:t xml:space="preserve"> </w:t>
      </w:r>
      <w:bookmarkEnd w:id="124"/>
      <w:bookmarkEnd w:id="125"/>
      <w:r w:rsidRPr="00387988">
        <w:rPr>
          <w:rFonts w:ascii="Book Antiqua" w:eastAsia="Times New Roman" w:hAnsi="Book Antiqua"/>
          <w:lang w:eastAsia="en-GB"/>
        </w:rPr>
        <w:t xml:space="preserve">150 mg/kg) or by a NAC/GL combination. Treatment was co-administered with APAP or administered 2 h or 6 h after APAP injection. Mice were followed for 172 h. Mice were euthanized when they became moribund per the criteria of lack of response to stimuli or lack of righting reflex. Kaplan-Meier survival curves were compared using log-rank test. </w:t>
      </w:r>
      <w:r w:rsidRPr="00387988">
        <w:rPr>
          <w:rFonts w:ascii="Book Antiqua" w:eastAsia="Times New Roman" w:hAnsi="Book Antiqua"/>
          <w:vertAlign w:val="superscript"/>
          <w:lang w:eastAsia="en-GB"/>
        </w:rPr>
        <w:t>c</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0.01, </w:t>
      </w:r>
      <w:r w:rsidRPr="00387988">
        <w:rPr>
          <w:rFonts w:ascii="Book Antiqua" w:eastAsia="Times New Roman" w:hAnsi="Book Antiqua"/>
          <w:vertAlign w:val="superscript"/>
          <w:lang w:eastAsia="en-GB"/>
        </w:rPr>
        <w:t>d</w:t>
      </w:r>
      <w:r w:rsidRPr="00387988">
        <w:rPr>
          <w:rFonts w:ascii="Book Antiqua" w:eastAsia="Times New Roman" w:hAnsi="Book Antiqua"/>
          <w:i/>
          <w:iCs/>
          <w:lang w:eastAsia="en-GB"/>
        </w:rPr>
        <w:t>P</w:t>
      </w:r>
      <w:r w:rsidRPr="00387988">
        <w:rPr>
          <w:rFonts w:ascii="Book Antiqua" w:eastAsia="Times New Roman" w:hAnsi="Book Antiqua"/>
          <w:lang w:eastAsia="en-GB"/>
        </w:rPr>
        <w:t xml:space="preserve"> &lt; </w:t>
      </w:r>
      <w:r w:rsidRPr="00387988">
        <w:rPr>
          <w:rFonts w:ascii="Book Antiqua" w:eastAsia="Times New Roman" w:hAnsi="Book Antiqua"/>
          <w:lang w:eastAsia="en-GB"/>
        </w:rPr>
        <w:lastRenderedPageBreak/>
        <w:t xml:space="preserve">0.001 </w:t>
      </w:r>
      <w:r w:rsidRPr="00387988">
        <w:rPr>
          <w:rFonts w:ascii="Book Antiqua" w:eastAsia="Times New Roman" w:hAnsi="Book Antiqua"/>
          <w:i/>
          <w:iCs/>
          <w:lang w:eastAsia="en-GB"/>
        </w:rPr>
        <w:t>vs</w:t>
      </w:r>
      <w:r w:rsidRPr="00387988">
        <w:rPr>
          <w:rFonts w:ascii="Book Antiqua" w:eastAsia="Times New Roman" w:hAnsi="Book Antiqua"/>
          <w:lang w:eastAsia="en-GB"/>
        </w:rPr>
        <w:t xml:space="preserve"> APAP. Experiments were reproduced three times.</w:t>
      </w:r>
      <w:r w:rsidR="00654E60" w:rsidRPr="00387988">
        <w:t xml:space="preserve"> </w:t>
      </w:r>
      <w:r w:rsidR="00F95CF3" w:rsidRPr="00387988">
        <w:rPr>
          <w:rFonts w:ascii="Book Antiqua" w:eastAsia="Times New Roman" w:hAnsi="Book Antiqua"/>
          <w:lang w:eastAsia="zh-CN"/>
        </w:rPr>
        <w:br w:type="page"/>
      </w:r>
      <w:r w:rsidR="00F95CF3" w:rsidRPr="00387988">
        <w:rPr>
          <w:rFonts w:ascii="Book Antiqua" w:eastAsia="Times New Roman" w:hAnsi="Book Antiqua"/>
          <w:noProof/>
          <w:lang w:eastAsia="zh-CN"/>
        </w:rPr>
        <w:lastRenderedPageBreak/>
        <w:drawing>
          <wp:inline distT="0" distB="0" distL="0" distR="0" wp14:anchorId="7DFBE35A" wp14:editId="434DE549">
            <wp:extent cx="5912307" cy="5142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129" cy="5141675"/>
                    </a:xfrm>
                    <a:prstGeom prst="rect">
                      <a:avLst/>
                    </a:prstGeom>
                    <a:noFill/>
                  </pic:spPr>
                </pic:pic>
              </a:graphicData>
            </a:graphic>
          </wp:inline>
        </w:drawing>
      </w:r>
    </w:p>
    <w:p w:rsidR="00C42E22" w:rsidRPr="00387988" w:rsidRDefault="0018518D" w:rsidP="00387988">
      <w:pPr>
        <w:snapToGrid w:val="0"/>
        <w:spacing w:line="360" w:lineRule="auto"/>
        <w:jc w:val="both"/>
        <w:rPr>
          <w:rFonts w:ascii="Book Antiqua" w:eastAsia="Times New Roman" w:hAnsi="Book Antiqua"/>
          <w:lang w:eastAsia="en-GB"/>
        </w:rPr>
      </w:pPr>
      <w:r w:rsidRPr="00387988">
        <w:rPr>
          <w:rFonts w:ascii="Book Antiqua" w:eastAsia="Times New Roman" w:hAnsi="Book Antiqua"/>
          <w:b/>
          <w:bCs/>
          <w:lang w:eastAsia="en-GB"/>
        </w:rPr>
        <w:t>Figure 10</w:t>
      </w:r>
      <w:r w:rsidR="00107D11" w:rsidRPr="00387988">
        <w:rPr>
          <w:rFonts w:ascii="Book Antiqua" w:eastAsia="Times New Roman" w:hAnsi="Book Antiqua"/>
          <w:b/>
          <w:bCs/>
          <w:lang w:eastAsia="en-GB"/>
        </w:rPr>
        <w:t xml:space="preserve"> </w:t>
      </w:r>
      <w:r w:rsidR="000504BD" w:rsidRPr="00387988">
        <w:rPr>
          <w:rFonts w:ascii="Book Antiqua" w:hAnsi="Book Antiqua"/>
          <w:b/>
          <w:bCs/>
          <w:lang w:eastAsia="zh-CN"/>
        </w:rPr>
        <w:t>P</w:t>
      </w:r>
      <w:r w:rsidR="00107D11" w:rsidRPr="00387988">
        <w:rPr>
          <w:rFonts w:ascii="Book Antiqua" w:eastAsia="Times New Roman" w:hAnsi="Book Antiqua"/>
          <w:b/>
          <w:bCs/>
          <w:lang w:eastAsia="en-GB"/>
        </w:rPr>
        <w:t xml:space="preserve">rotective effects of the </w:t>
      </w:r>
      <w:r w:rsidR="005F3527" w:rsidRPr="00387988">
        <w:rPr>
          <w:rFonts w:ascii="Book Antiqua" w:eastAsia="Times New Roman" w:hAnsi="Book Antiqua"/>
          <w:b/>
          <w:bCs/>
          <w:lang w:eastAsia="en-GB"/>
        </w:rPr>
        <w:t>N-acetylcysteine/glycyrrhizin</w:t>
      </w:r>
      <w:r w:rsidR="00107D11" w:rsidRPr="00387988">
        <w:rPr>
          <w:rFonts w:ascii="Book Antiqua" w:eastAsia="Times New Roman" w:hAnsi="Book Antiqua"/>
          <w:b/>
          <w:bCs/>
          <w:lang w:eastAsia="en-GB"/>
        </w:rPr>
        <w:t xml:space="preserve"> combination do not result from inhibition of hepatic expression of CYP2E1. </w:t>
      </w:r>
      <w:r w:rsidR="00107D11" w:rsidRPr="00387988">
        <w:rPr>
          <w:rFonts w:ascii="Book Antiqua" w:eastAsia="Times New Roman" w:hAnsi="Book Antiqua"/>
          <w:lang w:eastAsia="en-GB"/>
        </w:rPr>
        <w:t>A: CYP2E1 mRNA expression was assessed by RT-qPCR</w:t>
      </w:r>
      <w:r w:rsidR="00107D11" w:rsidRPr="00387988">
        <w:rPr>
          <w:rFonts w:ascii="Book Antiqua" w:eastAsia="Times New Roman" w:hAnsi="Book Antiqua"/>
          <w:b/>
          <w:bCs/>
          <w:lang w:eastAsia="en-GB"/>
        </w:rPr>
        <w:t xml:space="preserve"> </w:t>
      </w:r>
      <w:r w:rsidR="00107D11" w:rsidRPr="00387988">
        <w:rPr>
          <w:rFonts w:ascii="Book Antiqua" w:eastAsia="Times New Roman" w:hAnsi="Book Antiqua"/>
          <w:lang w:eastAsia="en-GB"/>
        </w:rPr>
        <w:t>in liver extract of vehicle-treated mice and mice sacrificed 2, 6, 12 or 24 h after acetaminophe</w:t>
      </w:r>
      <w:r w:rsidR="005F3527" w:rsidRPr="00387988">
        <w:rPr>
          <w:rFonts w:ascii="Book Antiqua" w:eastAsia="Times New Roman" w:hAnsi="Book Antiqua"/>
          <w:lang w:eastAsia="en-GB"/>
        </w:rPr>
        <w:t>n (APAP</w:t>
      </w:r>
      <w:r w:rsidR="005F3527" w:rsidRPr="00387988">
        <w:rPr>
          <w:rFonts w:ascii="Book Antiqua" w:hAnsi="Book Antiqua"/>
          <w:lang w:eastAsia="zh-CN"/>
        </w:rPr>
        <w:t>,</w:t>
      </w:r>
      <w:r w:rsidR="00107D11" w:rsidRPr="00387988">
        <w:rPr>
          <w:rFonts w:ascii="Book Antiqua" w:eastAsia="Times New Roman" w:hAnsi="Book Antiqua"/>
          <w:lang w:eastAsia="en-GB"/>
        </w:rPr>
        <w:t xml:space="preserve"> 500 mg/kg) injection (5 mice in each group)</w:t>
      </w:r>
      <w:r w:rsidR="00107D11" w:rsidRPr="00387988">
        <w:rPr>
          <w:rFonts w:ascii="Book Antiqua" w:eastAsia="Times New Roman" w:hAnsi="Book Antiqua"/>
          <w:b/>
          <w:bCs/>
          <w:lang w:eastAsia="en-GB"/>
        </w:rPr>
        <w:t xml:space="preserve">; </w:t>
      </w:r>
      <w:r w:rsidR="00107D11" w:rsidRPr="00387988">
        <w:rPr>
          <w:rFonts w:ascii="Book Antiqua" w:eastAsia="Times New Roman" w:hAnsi="Book Antiqua"/>
          <w:lang w:eastAsia="en-GB"/>
        </w:rPr>
        <w:t xml:space="preserve">B: CYP2E1 mRNA expression was assessed by RT-qPCR in liver extract of mice treated with </w:t>
      </w:r>
      <w:r w:rsidR="005F3527" w:rsidRPr="00387988">
        <w:rPr>
          <w:rFonts w:ascii="Book Antiqua" w:eastAsia="Times New Roman" w:hAnsi="Book Antiqua"/>
          <w:lang w:eastAsia="en-GB"/>
        </w:rPr>
        <w:t xml:space="preserve">glycyrrhizin (GL, </w:t>
      </w:r>
      <w:r w:rsidR="00107D11" w:rsidRPr="00387988">
        <w:rPr>
          <w:rFonts w:ascii="Book Antiqua" w:eastAsia="Times New Roman" w:hAnsi="Book Antiqua"/>
          <w:lang w:eastAsia="en-GB"/>
        </w:rPr>
        <w:t xml:space="preserve">200 mg/kg), </w:t>
      </w:r>
      <w:r w:rsidR="005F3527" w:rsidRPr="00387988">
        <w:rPr>
          <w:rFonts w:ascii="Book Antiqua" w:eastAsia="Times New Roman" w:hAnsi="Book Antiqua"/>
          <w:lang w:eastAsia="en-GB"/>
        </w:rPr>
        <w:t xml:space="preserve">N-acetylcysteine (NAC, </w:t>
      </w:r>
      <w:r w:rsidR="00107D11" w:rsidRPr="00387988">
        <w:rPr>
          <w:rFonts w:ascii="Book Antiqua" w:eastAsia="Times New Roman" w:hAnsi="Book Antiqua"/>
          <w:lang w:eastAsia="en-GB"/>
        </w:rPr>
        <w:t>150 mg/kg), or NAC/GL, at the same time of APAP (10 mice in each group). Mice were scarified 12</w:t>
      </w:r>
      <w:r w:rsidR="000045F6">
        <w:rPr>
          <w:rFonts w:ascii="Book Antiqua" w:eastAsia="Times New Roman" w:hAnsi="Book Antiqua"/>
          <w:lang w:eastAsia="en-GB"/>
        </w:rPr>
        <w:t xml:space="preserve"> </w:t>
      </w:r>
      <w:r w:rsidR="00107D11" w:rsidRPr="00387988">
        <w:rPr>
          <w:rFonts w:ascii="Book Antiqua" w:eastAsia="Times New Roman" w:hAnsi="Book Antiqua"/>
          <w:lang w:eastAsia="en-GB"/>
        </w:rPr>
        <w:t>h after APAP administration. The relative expression of the gene of interest was calculated using</w:t>
      </w:r>
      <w:r w:rsidR="000045F6">
        <w:rPr>
          <w:rFonts w:ascii="Book Antiqua" w:eastAsia="Times New Roman" w:hAnsi="Book Antiqua"/>
          <w:lang w:eastAsia="en-GB"/>
        </w:rPr>
        <w:t xml:space="preserve"> the</w:t>
      </w:r>
      <w:r w:rsidR="00107D11" w:rsidRPr="00387988">
        <w:rPr>
          <w:rFonts w:ascii="Book Antiqua" w:eastAsia="Times New Roman" w:hAnsi="Book Antiqua"/>
          <w:lang w:eastAsia="en-GB"/>
        </w:rPr>
        <w:t xml:space="preserve"> </w:t>
      </w:r>
      <w:r w:rsidR="00107D11" w:rsidRPr="00387988">
        <w:rPr>
          <w:rFonts w:ascii="Book Antiqua" w:eastAsia="Times New Roman" w:hAnsi="Book Antiqua"/>
          <w:iCs/>
          <w:lang w:eastAsia="en-GB"/>
        </w:rPr>
        <w:t>Pfaffi</w:t>
      </w:r>
      <w:r w:rsidR="00107D11" w:rsidRPr="00387988">
        <w:rPr>
          <w:rFonts w:ascii="Book Antiqua" w:eastAsia="Times New Roman" w:hAnsi="Book Antiqua"/>
          <w:i/>
          <w:iCs/>
          <w:lang w:eastAsia="en-GB"/>
        </w:rPr>
        <w:t xml:space="preserve"> </w:t>
      </w:r>
      <w:r w:rsidR="000045F6">
        <w:rPr>
          <w:rFonts w:ascii="Book Antiqua" w:eastAsia="Times New Roman" w:hAnsi="Book Antiqua"/>
          <w:lang w:eastAsia="en-GB"/>
        </w:rPr>
        <w:t>m</w:t>
      </w:r>
      <w:r w:rsidR="00107D11" w:rsidRPr="00387988">
        <w:rPr>
          <w:rFonts w:ascii="Book Antiqua" w:eastAsia="Times New Roman" w:hAnsi="Book Antiqua"/>
          <w:lang w:eastAsia="en-GB"/>
        </w:rPr>
        <w:t>ethod</w:t>
      </w:r>
      <w:r w:rsidR="00107D11" w:rsidRPr="00387988">
        <w:rPr>
          <w:rFonts w:ascii="Book Antiqua" w:eastAsia="Times New Roman" w:hAnsi="Book Antiqua"/>
          <w:i/>
          <w:iCs/>
          <w:lang w:eastAsia="en-GB"/>
        </w:rPr>
        <w:t xml:space="preserve">. </w:t>
      </w:r>
      <w:r w:rsidR="00107D11" w:rsidRPr="00387988">
        <w:rPr>
          <w:rFonts w:ascii="Book Antiqua" w:eastAsia="Times New Roman" w:hAnsi="Book Antiqua"/>
          <w:vertAlign w:val="superscript"/>
          <w:lang w:eastAsia="en-GB"/>
        </w:rPr>
        <w:t>c</w:t>
      </w:r>
      <w:r w:rsidR="00107D11" w:rsidRPr="00387988">
        <w:rPr>
          <w:rFonts w:ascii="Book Antiqua" w:eastAsia="Times New Roman" w:hAnsi="Book Antiqua"/>
          <w:i/>
          <w:iCs/>
          <w:lang w:eastAsia="en-GB"/>
        </w:rPr>
        <w:t>P</w:t>
      </w:r>
      <w:r w:rsidR="00107D11" w:rsidRPr="00387988">
        <w:rPr>
          <w:rFonts w:ascii="Book Antiqua" w:eastAsia="Times New Roman" w:hAnsi="Book Antiqua"/>
          <w:lang w:eastAsia="en-GB"/>
        </w:rPr>
        <w:t xml:space="preserve"> &lt; 0.05,</w:t>
      </w:r>
      <w:r w:rsidR="00320810" w:rsidRPr="00387988">
        <w:rPr>
          <w:rFonts w:ascii="Book Antiqua" w:eastAsia="Times New Roman" w:hAnsi="Book Antiqua"/>
          <w:lang w:eastAsia="en-GB"/>
        </w:rPr>
        <w:t xml:space="preserve"> </w:t>
      </w:r>
      <w:r w:rsidR="00107D11" w:rsidRPr="00387988">
        <w:rPr>
          <w:rFonts w:ascii="Book Antiqua" w:eastAsia="Times New Roman" w:hAnsi="Book Antiqua"/>
          <w:vertAlign w:val="superscript"/>
          <w:lang w:eastAsia="en-GB"/>
        </w:rPr>
        <w:t>d</w:t>
      </w:r>
      <w:r w:rsidR="00107D11" w:rsidRPr="00387988">
        <w:rPr>
          <w:rFonts w:ascii="Book Antiqua" w:eastAsia="Times New Roman" w:hAnsi="Book Antiqua"/>
          <w:i/>
          <w:iCs/>
          <w:lang w:eastAsia="en-GB"/>
        </w:rPr>
        <w:t>P</w:t>
      </w:r>
      <w:r w:rsidR="00107D11" w:rsidRPr="00387988">
        <w:rPr>
          <w:rFonts w:ascii="Book Antiqua" w:eastAsia="Times New Roman" w:hAnsi="Book Antiqua"/>
          <w:lang w:eastAsia="en-GB"/>
        </w:rPr>
        <w:t xml:space="preserve"> &lt; 0.01, </w:t>
      </w:r>
      <w:r w:rsidR="00107D11" w:rsidRPr="00387988">
        <w:rPr>
          <w:rFonts w:ascii="Book Antiqua" w:eastAsia="Times New Roman" w:hAnsi="Book Antiqua"/>
          <w:vertAlign w:val="superscript"/>
          <w:lang w:eastAsia="en-GB"/>
        </w:rPr>
        <w:t>e</w:t>
      </w:r>
      <w:r w:rsidR="00107D11" w:rsidRPr="00387988">
        <w:rPr>
          <w:rFonts w:ascii="Book Antiqua" w:eastAsia="Times New Roman" w:hAnsi="Book Antiqua"/>
          <w:i/>
          <w:lang w:eastAsia="en-GB"/>
        </w:rPr>
        <w:t>P</w:t>
      </w:r>
      <w:r w:rsidR="00D444C7" w:rsidRPr="00387988">
        <w:rPr>
          <w:rFonts w:ascii="Book Antiqua" w:hAnsi="Book Antiqua"/>
          <w:lang w:eastAsia="zh-CN"/>
        </w:rPr>
        <w:t xml:space="preserve"> </w:t>
      </w:r>
      <w:r w:rsidR="00107D11" w:rsidRPr="00387988">
        <w:rPr>
          <w:rFonts w:ascii="Book Antiqua" w:eastAsia="Times New Roman" w:hAnsi="Book Antiqua"/>
          <w:lang w:eastAsia="en-GB"/>
        </w:rPr>
        <w:t>&lt; 0</w:t>
      </w:r>
      <w:r w:rsidR="00C634B8">
        <w:rPr>
          <w:rFonts w:ascii="Book Antiqua" w:eastAsia="Times New Roman" w:hAnsi="Book Antiqua"/>
          <w:lang w:eastAsia="en-GB"/>
        </w:rPr>
        <w:t>.</w:t>
      </w:r>
      <w:r w:rsidR="00107D11" w:rsidRPr="00387988">
        <w:rPr>
          <w:rFonts w:ascii="Book Antiqua" w:eastAsia="Times New Roman" w:hAnsi="Book Antiqua"/>
          <w:lang w:eastAsia="en-GB"/>
        </w:rPr>
        <w:t xml:space="preserve">001 </w:t>
      </w:r>
      <w:r w:rsidR="00107D11" w:rsidRPr="00387988">
        <w:rPr>
          <w:rFonts w:ascii="Book Antiqua" w:eastAsia="Times New Roman" w:hAnsi="Book Antiqua"/>
          <w:i/>
          <w:iCs/>
          <w:lang w:eastAsia="en-GB"/>
        </w:rPr>
        <w:t>vs</w:t>
      </w:r>
      <w:r w:rsidR="00107D11" w:rsidRPr="00387988">
        <w:rPr>
          <w:rFonts w:ascii="Book Antiqua" w:eastAsia="Times New Roman" w:hAnsi="Book Antiqua"/>
          <w:lang w:eastAsia="en-GB"/>
        </w:rPr>
        <w:t xml:space="preserve"> APAP. </w:t>
      </w:r>
      <w:r w:rsidR="00C42E22" w:rsidRPr="00387988">
        <w:rPr>
          <w:rFonts w:ascii="Book Antiqua" w:eastAsia="Times New Roman" w:hAnsi="Book Antiqua"/>
          <w:lang w:eastAsia="en-GB"/>
        </w:rPr>
        <w:t>Experiments were reproduced three times.</w:t>
      </w:r>
    </w:p>
    <w:p w:rsidR="00107D11" w:rsidRPr="00387988" w:rsidRDefault="00C42E22" w:rsidP="00387988">
      <w:pPr>
        <w:snapToGrid w:val="0"/>
        <w:spacing w:line="360" w:lineRule="auto"/>
        <w:jc w:val="both"/>
        <w:rPr>
          <w:rFonts w:ascii="Book Antiqua" w:eastAsia="Times New Roman" w:hAnsi="Book Antiqua"/>
          <w:b/>
          <w:lang w:eastAsia="en-GB"/>
        </w:rPr>
      </w:pPr>
      <w:r w:rsidRPr="00387988">
        <w:rPr>
          <w:rFonts w:ascii="Book Antiqua" w:eastAsia="Times New Roman" w:hAnsi="Book Antiqua"/>
          <w:lang w:eastAsia="en-GB"/>
        </w:rPr>
        <w:br w:type="page"/>
      </w:r>
      <w:r w:rsidR="00D6604A" w:rsidRPr="00387988">
        <w:rPr>
          <w:rFonts w:ascii="Book Antiqua" w:hAnsi="Book Antiqua"/>
          <w:b/>
          <w:lang w:eastAsia="zh-CN"/>
        </w:rPr>
        <w:lastRenderedPageBreak/>
        <w:t>Table 1 List and sequence of primer</w:t>
      </w:r>
      <w:r w:rsidR="000045F6">
        <w:rPr>
          <w:rFonts w:ascii="Book Antiqua" w:hAnsi="Book Antiqua"/>
          <w:b/>
          <w:lang w:eastAsia="zh-CN"/>
        </w:rPr>
        <w:t>s</w:t>
      </w:r>
      <w:r w:rsidR="00D6604A" w:rsidRPr="00387988">
        <w:rPr>
          <w:rFonts w:ascii="Book Antiqua" w:hAnsi="Book Antiqua"/>
          <w:b/>
          <w:lang w:eastAsia="zh-CN"/>
        </w:rPr>
        <w:t xml:space="preserve"> used for qPCR analysis</w:t>
      </w:r>
    </w:p>
    <w:tbl>
      <w:tblPr>
        <w:tblW w:w="0" w:type="auto"/>
        <w:tblInd w:w="108" w:type="dxa"/>
        <w:tblBorders>
          <w:top w:val="single" w:sz="4" w:space="0" w:color="auto"/>
          <w:bottom w:val="single" w:sz="4" w:space="0" w:color="auto"/>
        </w:tblBorders>
        <w:tblLook w:val="0000" w:firstRow="0" w:lastRow="0" w:firstColumn="0" w:lastColumn="0" w:noHBand="0" w:noVBand="0"/>
      </w:tblPr>
      <w:tblGrid>
        <w:gridCol w:w="1621"/>
        <w:gridCol w:w="1571"/>
        <w:gridCol w:w="1628"/>
        <w:gridCol w:w="4648"/>
      </w:tblGrid>
      <w:tr w:rsidR="00D6604A" w:rsidRPr="00387988" w:rsidTr="00D6604A">
        <w:trPr>
          <w:trHeight w:val="592"/>
        </w:trPr>
        <w:tc>
          <w:tcPr>
            <w:tcW w:w="9072" w:type="dxa"/>
            <w:gridSpan w:val="4"/>
            <w:tcBorders>
              <w:top w:val="single" w:sz="4" w:space="0" w:color="auto"/>
              <w:bottom w:val="single" w:sz="4" w:space="0" w:color="auto"/>
            </w:tcBorders>
          </w:tcPr>
          <w:p w:rsidR="00D6604A" w:rsidRPr="00387988" w:rsidRDefault="00D6604A" w:rsidP="00387988">
            <w:pPr>
              <w:snapToGrid w:val="0"/>
              <w:spacing w:line="360" w:lineRule="auto"/>
              <w:jc w:val="both"/>
              <w:rPr>
                <w:rFonts w:ascii="Book Antiqua" w:hAnsi="Book Antiqua"/>
                <w:lang w:eastAsia="zh-CN"/>
              </w:rPr>
            </w:pPr>
            <w:bookmarkStart w:id="126" w:name="OLE_LINK110"/>
            <w:bookmarkStart w:id="127" w:name="OLE_LINK111"/>
            <w:r w:rsidRPr="00387988">
              <w:rPr>
                <w:rFonts w:ascii="Book Antiqua" w:hAnsi="Book Antiqua"/>
                <w:lang w:eastAsia="zh-CN"/>
              </w:rPr>
              <w:t>Real time PCR</w:t>
            </w:r>
          </w:p>
        </w:tc>
      </w:tr>
      <w:bookmarkEnd w:id="126"/>
      <w:bookmarkEnd w:id="127"/>
      <w:tr w:rsidR="00D6604A" w:rsidRPr="00387988" w:rsidTr="00D6604A">
        <w:trPr>
          <w:trHeight w:val="280"/>
        </w:trPr>
        <w:tc>
          <w:tcPr>
            <w:tcW w:w="1821" w:type="dxa"/>
            <w:vMerge w:val="restart"/>
            <w:tcBorders>
              <w:top w:val="single" w:sz="4" w:space="0" w:color="auto"/>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CYP2E1</w:t>
            </w:r>
          </w:p>
        </w:tc>
        <w:tc>
          <w:tcPr>
            <w:tcW w:w="1821" w:type="dxa"/>
            <w:vMerge w:val="restart"/>
            <w:tcBorders>
              <w:top w:val="single" w:sz="4" w:space="0" w:color="auto"/>
            </w:tcBorders>
          </w:tcPr>
          <w:p w:rsidR="00D6604A" w:rsidRPr="00387988" w:rsidRDefault="00D6604A" w:rsidP="00387988">
            <w:pPr>
              <w:snapToGrid w:val="0"/>
              <w:spacing w:line="360" w:lineRule="auto"/>
              <w:jc w:val="both"/>
              <w:rPr>
                <w:rFonts w:ascii="Book Antiqua" w:hAnsi="Book Antiqua"/>
                <w:lang w:eastAsia="zh-CN"/>
              </w:rPr>
            </w:pPr>
            <w:bookmarkStart w:id="128" w:name="OLE_LINK108"/>
            <w:bookmarkStart w:id="129" w:name="OLE_LINK109"/>
            <w:r w:rsidRPr="00387988">
              <w:rPr>
                <w:rFonts w:ascii="Book Antiqua" w:hAnsi="Book Antiqua"/>
                <w:lang w:eastAsia="zh-CN"/>
              </w:rPr>
              <w:t>Mouse</w:t>
            </w:r>
            <w:bookmarkEnd w:id="128"/>
            <w:bookmarkEnd w:id="129"/>
          </w:p>
        </w:tc>
        <w:tc>
          <w:tcPr>
            <w:tcW w:w="1821" w:type="dxa"/>
            <w:tcBorders>
              <w:top w:val="single" w:sz="4" w:space="0" w:color="auto"/>
              <w:bottom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Forward</w:t>
            </w:r>
          </w:p>
        </w:tc>
        <w:tc>
          <w:tcPr>
            <w:tcW w:w="3609" w:type="dxa"/>
            <w:tcBorders>
              <w:top w:val="single" w:sz="4" w:space="0" w:color="auto"/>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5’-AAGCGCTTCGGGCCAG-3’</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Borders>
              <w:top w:val="nil"/>
              <w:bottom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Reverse</w:t>
            </w:r>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 TAGCCATGCAGGACCACGA-3’</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ascii="Book Antiqua" w:hAnsi="Book Antiqua"/>
                <w:lang w:eastAsia="zh-CN"/>
              </w:rPr>
            </w:pPr>
            <w:bookmarkStart w:id="130" w:name="_Hlk48571603"/>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Borders>
              <w:top w:val="nil"/>
              <w:bottom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Sonde</w:t>
            </w:r>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5’TCACACTGCACCTGGGTCAGAGGC-3’</w:t>
            </w:r>
          </w:p>
        </w:tc>
      </w:tr>
      <w:bookmarkEnd w:id="130"/>
      <w:tr w:rsidR="00D6604A" w:rsidRPr="00387988" w:rsidTr="00D6604A">
        <w:trPr>
          <w:trHeight w:val="280"/>
        </w:trPr>
        <w:tc>
          <w:tcPr>
            <w:tcW w:w="1821" w:type="dxa"/>
            <w:vMerge w:val="restart"/>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GAPDH</w:t>
            </w:r>
          </w:p>
        </w:tc>
        <w:tc>
          <w:tcPr>
            <w:tcW w:w="1821" w:type="dxa"/>
            <w:vMerge w:val="restart"/>
          </w:tcPr>
          <w:p w:rsidR="00D6604A" w:rsidRPr="00387988" w:rsidRDefault="00D6604A" w:rsidP="00387988">
            <w:pPr>
              <w:snapToGrid w:val="0"/>
              <w:spacing w:line="360" w:lineRule="auto"/>
              <w:jc w:val="both"/>
              <w:rPr>
                <w:rFonts w:ascii="Book Antiqua" w:eastAsia="Times New Roman" w:hAnsi="Book Antiqua"/>
                <w:lang w:eastAsia="en-GB"/>
              </w:rPr>
            </w:pPr>
            <w:r w:rsidRPr="00387988">
              <w:rPr>
                <w:rFonts w:ascii="Book Antiqua" w:hAnsi="Book Antiqua"/>
                <w:lang w:eastAsia="zh-CN"/>
              </w:rPr>
              <w:t>Mouse</w:t>
            </w:r>
          </w:p>
        </w:tc>
        <w:tc>
          <w:tcPr>
            <w:tcW w:w="1821" w:type="dxa"/>
            <w:tcBorders>
              <w:top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Forward</w:t>
            </w:r>
          </w:p>
        </w:tc>
        <w:tc>
          <w:tcPr>
            <w:tcW w:w="3609" w:type="dxa"/>
            <w:vMerge w:val="restart"/>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Confidential Roche diagnostics</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Borders>
              <w:top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Reverse</w:t>
            </w:r>
          </w:p>
        </w:tc>
        <w:tc>
          <w:tcPr>
            <w:tcW w:w="3609" w:type="dxa"/>
            <w:vMerge/>
          </w:tcPr>
          <w:p w:rsidR="00D6604A" w:rsidRPr="00387988" w:rsidRDefault="00D6604A" w:rsidP="00387988">
            <w:pPr>
              <w:snapToGrid w:val="0"/>
              <w:spacing w:line="360" w:lineRule="auto"/>
              <w:jc w:val="both"/>
              <w:rPr>
                <w:rFonts w:ascii="Book Antiqua" w:hAnsi="Book Antiqua"/>
                <w:lang w:eastAsia="zh-CN"/>
              </w:rPr>
            </w:pP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Borders>
              <w:top w:val="nil"/>
            </w:tcBorders>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Sonde</w:t>
            </w:r>
          </w:p>
        </w:tc>
        <w:tc>
          <w:tcPr>
            <w:tcW w:w="3609" w:type="dxa"/>
            <w:vMerge/>
          </w:tcPr>
          <w:p w:rsidR="00D6604A" w:rsidRPr="00387988" w:rsidRDefault="00D6604A" w:rsidP="00387988">
            <w:pPr>
              <w:snapToGrid w:val="0"/>
              <w:spacing w:line="360" w:lineRule="auto"/>
              <w:jc w:val="both"/>
              <w:rPr>
                <w:rFonts w:ascii="Book Antiqua" w:hAnsi="Book Antiqua"/>
                <w:lang w:eastAsia="zh-CN"/>
              </w:rPr>
            </w:pPr>
          </w:p>
        </w:tc>
      </w:tr>
      <w:tr w:rsidR="00D6604A" w:rsidRPr="00387988" w:rsidTr="00D6604A">
        <w:trPr>
          <w:trHeight w:val="280"/>
        </w:trPr>
        <w:tc>
          <w:tcPr>
            <w:tcW w:w="1821" w:type="dxa"/>
            <w:vMerge w:val="restart"/>
          </w:tcPr>
          <w:p w:rsidR="00D6604A" w:rsidRPr="00387988" w:rsidRDefault="008A73FF" w:rsidP="00387988">
            <w:pPr>
              <w:snapToGrid w:val="0"/>
              <w:spacing w:line="360" w:lineRule="auto"/>
              <w:jc w:val="both"/>
              <w:rPr>
                <w:rFonts w:ascii="Book Antiqua" w:hAnsi="Book Antiqua"/>
                <w:lang w:eastAsia="zh-CN"/>
              </w:rPr>
            </w:pPr>
            <w:r w:rsidRPr="00387988">
              <w:rPr>
                <w:rFonts w:eastAsia="Times New Roman"/>
                <w:lang w:eastAsia="en-GB"/>
              </w:rPr>
              <w:t>β</w:t>
            </w:r>
            <w:r w:rsidR="00D6604A" w:rsidRPr="00387988">
              <w:rPr>
                <w:rFonts w:ascii="Book Antiqua" w:hAnsi="Book Antiqua"/>
                <w:lang w:eastAsia="zh-CN"/>
              </w:rPr>
              <w:t>-actin</w:t>
            </w:r>
          </w:p>
        </w:tc>
        <w:tc>
          <w:tcPr>
            <w:tcW w:w="1821" w:type="dxa"/>
            <w:vMerge w:val="restart"/>
          </w:tcPr>
          <w:p w:rsidR="00D6604A" w:rsidRPr="00387988" w:rsidRDefault="00D6604A" w:rsidP="00387988">
            <w:pPr>
              <w:snapToGrid w:val="0"/>
              <w:spacing w:line="360" w:lineRule="auto"/>
              <w:jc w:val="both"/>
              <w:rPr>
                <w:rFonts w:ascii="Book Antiqua" w:eastAsia="Times New Roman" w:hAnsi="Book Antiqua"/>
                <w:lang w:eastAsia="en-GB"/>
              </w:rPr>
            </w:pPr>
            <w:r w:rsidRPr="00387988">
              <w:rPr>
                <w:rFonts w:ascii="Book Antiqua" w:hAnsi="Book Antiqua"/>
                <w:lang w:eastAsia="zh-CN"/>
              </w:rPr>
              <w:t>Mouse</w:t>
            </w:r>
          </w:p>
        </w:tc>
        <w:tc>
          <w:tcPr>
            <w:tcW w:w="1821"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Forward</w:t>
            </w:r>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5’-TCCTGAGCGCAAGTACTCTGT-3’</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eastAsia="Times New Roman"/>
                <w:lang w:eastAsia="en-GB"/>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Reverse</w:t>
            </w:r>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5’-CTGATCCACATCTGCTGGAAG-3’</w:t>
            </w:r>
          </w:p>
        </w:tc>
      </w:tr>
      <w:tr w:rsidR="00D6604A" w:rsidRPr="00387988" w:rsidTr="00D6604A">
        <w:trPr>
          <w:trHeight w:val="280"/>
        </w:trPr>
        <w:tc>
          <w:tcPr>
            <w:tcW w:w="1821" w:type="dxa"/>
            <w:vMerge/>
          </w:tcPr>
          <w:p w:rsidR="00D6604A" w:rsidRPr="00387988" w:rsidRDefault="00D6604A" w:rsidP="00387988">
            <w:pPr>
              <w:snapToGrid w:val="0"/>
              <w:spacing w:line="360" w:lineRule="auto"/>
              <w:jc w:val="both"/>
              <w:rPr>
                <w:rFonts w:eastAsia="Times New Roman"/>
                <w:lang w:eastAsia="en-GB"/>
              </w:rPr>
            </w:pPr>
          </w:p>
        </w:tc>
        <w:tc>
          <w:tcPr>
            <w:tcW w:w="1821" w:type="dxa"/>
            <w:vMerge/>
          </w:tcPr>
          <w:p w:rsidR="00D6604A" w:rsidRPr="00387988" w:rsidRDefault="00D6604A" w:rsidP="00387988">
            <w:pPr>
              <w:snapToGrid w:val="0"/>
              <w:spacing w:line="360" w:lineRule="auto"/>
              <w:jc w:val="both"/>
              <w:rPr>
                <w:rFonts w:ascii="Book Antiqua" w:hAnsi="Book Antiqua"/>
                <w:lang w:eastAsia="zh-CN"/>
              </w:rPr>
            </w:pPr>
          </w:p>
        </w:tc>
        <w:tc>
          <w:tcPr>
            <w:tcW w:w="1821"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Sonde</w:t>
            </w:r>
          </w:p>
        </w:tc>
        <w:tc>
          <w:tcPr>
            <w:tcW w:w="3609" w:type="dxa"/>
          </w:tcPr>
          <w:p w:rsidR="00D6604A" w:rsidRPr="00387988" w:rsidRDefault="00D6604A" w:rsidP="00387988">
            <w:pPr>
              <w:snapToGrid w:val="0"/>
              <w:spacing w:line="360" w:lineRule="auto"/>
              <w:jc w:val="both"/>
              <w:rPr>
                <w:rFonts w:ascii="Book Antiqua" w:hAnsi="Book Antiqua"/>
                <w:lang w:eastAsia="zh-CN"/>
              </w:rPr>
            </w:pPr>
            <w:r w:rsidRPr="00387988">
              <w:rPr>
                <w:rFonts w:ascii="Book Antiqua" w:hAnsi="Book Antiqua"/>
                <w:lang w:eastAsia="zh-CN"/>
              </w:rPr>
              <w:t>5’-ATCGGTGGCTCCATCCTGGC-3’</w:t>
            </w:r>
          </w:p>
        </w:tc>
      </w:tr>
    </w:tbl>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107D11" w:rsidRPr="00387988" w:rsidRDefault="00107D11" w:rsidP="00387988">
      <w:pPr>
        <w:snapToGrid w:val="0"/>
        <w:spacing w:line="360" w:lineRule="auto"/>
        <w:jc w:val="both"/>
        <w:rPr>
          <w:rFonts w:ascii="Book Antiqua" w:eastAsia="Times New Roman" w:hAnsi="Book Antiqua"/>
          <w:lang w:eastAsia="en-GB"/>
        </w:rPr>
      </w:pPr>
    </w:p>
    <w:p w:rsidR="00A77B3E" w:rsidRPr="00387988" w:rsidRDefault="00A77B3E" w:rsidP="00387988">
      <w:pPr>
        <w:snapToGrid w:val="0"/>
        <w:spacing w:line="360" w:lineRule="auto"/>
        <w:jc w:val="both"/>
        <w:rPr>
          <w:lang w:eastAsia="zh-CN"/>
        </w:rPr>
      </w:pPr>
    </w:p>
    <w:sectPr w:rsidR="00A77B3E" w:rsidRPr="003879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C1E" w:rsidRDefault="00CB5C1E" w:rsidP="000911DC">
      <w:r>
        <w:separator/>
      </w:r>
    </w:p>
  </w:endnote>
  <w:endnote w:type="continuationSeparator" w:id="0">
    <w:p w:rsidR="00CB5C1E" w:rsidRDefault="00CB5C1E" w:rsidP="00091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409302"/>
      <w:docPartObj>
        <w:docPartGallery w:val="Page Numbers (Bottom of Page)"/>
        <w:docPartUnique/>
      </w:docPartObj>
    </w:sdtPr>
    <w:sdtEndPr/>
    <w:sdtContent>
      <w:sdt>
        <w:sdtPr>
          <w:id w:val="98381352"/>
          <w:docPartObj>
            <w:docPartGallery w:val="Page Numbers (Top of Page)"/>
            <w:docPartUnique/>
          </w:docPartObj>
        </w:sdtPr>
        <w:sdtEndPr/>
        <w:sdtContent>
          <w:p w:rsidR="00E66AEA" w:rsidRPr="00171FE5" w:rsidRDefault="00E66AEA" w:rsidP="000911DC">
            <w:pPr>
              <w:pStyle w:val="a5"/>
              <w:jc w:val="right"/>
            </w:pPr>
            <w:r w:rsidRPr="000911DC">
              <w:rPr>
                <w:rFonts w:ascii="Book Antiqua" w:hAnsi="Book Antiqua"/>
                <w:sz w:val="24"/>
                <w:szCs w:val="24"/>
                <w:lang w:val="zh-CN" w:eastAsia="zh-CN"/>
              </w:rPr>
              <w:t xml:space="preserve"> </w:t>
            </w:r>
            <w:r w:rsidRPr="004060DA">
              <w:rPr>
                <w:rFonts w:ascii="Book Antiqua" w:hAnsi="Book Antiqua"/>
                <w:sz w:val="24"/>
                <w:szCs w:val="24"/>
              </w:rPr>
              <w:fldChar w:fldCharType="begin"/>
            </w:r>
            <w:r w:rsidRPr="004060DA">
              <w:rPr>
                <w:rFonts w:ascii="Book Antiqua" w:hAnsi="Book Antiqua"/>
                <w:sz w:val="24"/>
                <w:szCs w:val="24"/>
              </w:rPr>
              <w:instrText>PAGE</w:instrText>
            </w:r>
            <w:r w:rsidRPr="004060DA">
              <w:rPr>
                <w:rFonts w:ascii="Book Antiqua" w:hAnsi="Book Antiqua"/>
                <w:sz w:val="24"/>
                <w:szCs w:val="24"/>
              </w:rPr>
              <w:fldChar w:fldCharType="separate"/>
            </w:r>
            <w:r w:rsidR="004060DA">
              <w:rPr>
                <w:rFonts w:ascii="Book Antiqua" w:hAnsi="Book Antiqua"/>
                <w:noProof/>
                <w:sz w:val="24"/>
                <w:szCs w:val="24"/>
              </w:rPr>
              <w:t>2</w:t>
            </w:r>
            <w:r w:rsidRPr="004060DA">
              <w:rPr>
                <w:rFonts w:ascii="Book Antiqua" w:hAnsi="Book Antiqua"/>
                <w:sz w:val="24"/>
                <w:szCs w:val="24"/>
              </w:rPr>
              <w:fldChar w:fldCharType="end"/>
            </w:r>
            <w:r w:rsidRPr="00171FE5">
              <w:rPr>
                <w:rFonts w:ascii="Book Antiqua" w:hAnsi="Book Antiqua"/>
                <w:sz w:val="24"/>
                <w:szCs w:val="24"/>
                <w:lang w:val="zh-CN" w:eastAsia="zh-CN"/>
              </w:rPr>
              <w:t xml:space="preserve"> / </w:t>
            </w:r>
            <w:r w:rsidRPr="004060DA">
              <w:rPr>
                <w:rFonts w:ascii="Book Antiqua" w:hAnsi="Book Antiqua"/>
                <w:sz w:val="24"/>
                <w:szCs w:val="24"/>
              </w:rPr>
              <w:fldChar w:fldCharType="begin"/>
            </w:r>
            <w:r w:rsidRPr="004060DA">
              <w:rPr>
                <w:rFonts w:ascii="Book Antiqua" w:hAnsi="Book Antiqua"/>
                <w:sz w:val="24"/>
                <w:szCs w:val="24"/>
              </w:rPr>
              <w:instrText>NUMPAGES</w:instrText>
            </w:r>
            <w:r w:rsidRPr="004060DA">
              <w:rPr>
                <w:rFonts w:ascii="Book Antiqua" w:hAnsi="Book Antiqua"/>
                <w:sz w:val="24"/>
                <w:szCs w:val="24"/>
              </w:rPr>
              <w:fldChar w:fldCharType="separate"/>
            </w:r>
            <w:r w:rsidR="004060DA">
              <w:rPr>
                <w:rFonts w:ascii="Book Antiqua" w:hAnsi="Book Antiqua"/>
                <w:noProof/>
                <w:sz w:val="24"/>
                <w:szCs w:val="24"/>
              </w:rPr>
              <w:t>42</w:t>
            </w:r>
            <w:r w:rsidRPr="004060DA">
              <w:rPr>
                <w:rFonts w:ascii="Book Antiqua" w:hAnsi="Book Antiqua"/>
                <w:sz w:val="24"/>
                <w:szCs w:val="24"/>
              </w:rPr>
              <w:fldChar w:fldCharType="end"/>
            </w:r>
          </w:p>
        </w:sdtContent>
      </w:sdt>
    </w:sdtContent>
  </w:sdt>
  <w:p w:rsidR="00E66AEA" w:rsidRDefault="00E66AE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C1E" w:rsidRDefault="00CB5C1E" w:rsidP="000911DC">
      <w:r>
        <w:separator/>
      </w:r>
    </w:p>
  </w:footnote>
  <w:footnote w:type="continuationSeparator" w:id="0">
    <w:p w:rsidR="00CB5C1E" w:rsidRDefault="00CB5C1E" w:rsidP="000911D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rlotte Minsart">
    <w15:presenceInfo w15:providerId="AD" w15:userId="S-1-5-21-992185782-1854558730-3950294775-16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fr-F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zh-CN" w:vendorID="64" w:dllVersion="5" w:nlCheck="1" w:checkStyle="1"/>
  <w:activeWritingStyle w:appName="MSWord" w:lang="fr-BE" w:vendorID="64" w:dllVersion="0" w:nlCheck="1" w:checkStyle="0"/>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5F6"/>
    <w:rsid w:val="0001322B"/>
    <w:rsid w:val="0002472A"/>
    <w:rsid w:val="00043501"/>
    <w:rsid w:val="00046678"/>
    <w:rsid w:val="000504BD"/>
    <w:rsid w:val="000911DC"/>
    <w:rsid w:val="000E5517"/>
    <w:rsid w:val="000F0194"/>
    <w:rsid w:val="00107D11"/>
    <w:rsid w:val="00143081"/>
    <w:rsid w:val="00164CA5"/>
    <w:rsid w:val="00167E9B"/>
    <w:rsid w:val="00171FE5"/>
    <w:rsid w:val="00176AD8"/>
    <w:rsid w:val="0018518D"/>
    <w:rsid w:val="00186E92"/>
    <w:rsid w:val="001B43C3"/>
    <w:rsid w:val="001C6564"/>
    <w:rsid w:val="001D1F95"/>
    <w:rsid w:val="001F5380"/>
    <w:rsid w:val="002303E6"/>
    <w:rsid w:val="00251391"/>
    <w:rsid w:val="00256E76"/>
    <w:rsid w:val="0028024D"/>
    <w:rsid w:val="002A2E78"/>
    <w:rsid w:val="002C3D23"/>
    <w:rsid w:val="00304648"/>
    <w:rsid w:val="00320810"/>
    <w:rsid w:val="00357AF1"/>
    <w:rsid w:val="003737F6"/>
    <w:rsid w:val="00387988"/>
    <w:rsid w:val="00391092"/>
    <w:rsid w:val="00392B10"/>
    <w:rsid w:val="003A6AC9"/>
    <w:rsid w:val="003E5ADF"/>
    <w:rsid w:val="004060DA"/>
    <w:rsid w:val="00424E68"/>
    <w:rsid w:val="00441D22"/>
    <w:rsid w:val="0045281C"/>
    <w:rsid w:val="00476202"/>
    <w:rsid w:val="004B5FF6"/>
    <w:rsid w:val="004C5FB7"/>
    <w:rsid w:val="00513C8E"/>
    <w:rsid w:val="005241F9"/>
    <w:rsid w:val="00561BBF"/>
    <w:rsid w:val="005623EB"/>
    <w:rsid w:val="00567432"/>
    <w:rsid w:val="00577BA8"/>
    <w:rsid w:val="00587BD2"/>
    <w:rsid w:val="005A37DE"/>
    <w:rsid w:val="005A43E2"/>
    <w:rsid w:val="005C3847"/>
    <w:rsid w:val="005F3527"/>
    <w:rsid w:val="00602020"/>
    <w:rsid w:val="006136A6"/>
    <w:rsid w:val="00615AB1"/>
    <w:rsid w:val="0063639C"/>
    <w:rsid w:val="006373E8"/>
    <w:rsid w:val="00654E60"/>
    <w:rsid w:val="00681ACF"/>
    <w:rsid w:val="0068612F"/>
    <w:rsid w:val="006B530C"/>
    <w:rsid w:val="006C1C89"/>
    <w:rsid w:val="0071537A"/>
    <w:rsid w:val="00750C35"/>
    <w:rsid w:val="007629D8"/>
    <w:rsid w:val="00763410"/>
    <w:rsid w:val="007718F7"/>
    <w:rsid w:val="007865B2"/>
    <w:rsid w:val="00792CAA"/>
    <w:rsid w:val="007B0948"/>
    <w:rsid w:val="007F7546"/>
    <w:rsid w:val="0081233F"/>
    <w:rsid w:val="00863E7C"/>
    <w:rsid w:val="00875D9D"/>
    <w:rsid w:val="008A73FF"/>
    <w:rsid w:val="008D0810"/>
    <w:rsid w:val="008D614B"/>
    <w:rsid w:val="008F38A8"/>
    <w:rsid w:val="0092350D"/>
    <w:rsid w:val="0094011E"/>
    <w:rsid w:val="009403D3"/>
    <w:rsid w:val="00947CC2"/>
    <w:rsid w:val="00972180"/>
    <w:rsid w:val="009A411C"/>
    <w:rsid w:val="009F61E7"/>
    <w:rsid w:val="00A24FB4"/>
    <w:rsid w:val="00A41113"/>
    <w:rsid w:val="00A42A3B"/>
    <w:rsid w:val="00A56D45"/>
    <w:rsid w:val="00A77B3E"/>
    <w:rsid w:val="00A8434B"/>
    <w:rsid w:val="00AB3409"/>
    <w:rsid w:val="00B0698E"/>
    <w:rsid w:val="00B1105A"/>
    <w:rsid w:val="00B30612"/>
    <w:rsid w:val="00B646AE"/>
    <w:rsid w:val="00B8494D"/>
    <w:rsid w:val="00B86101"/>
    <w:rsid w:val="00BB2512"/>
    <w:rsid w:val="00BD6BD1"/>
    <w:rsid w:val="00BE579A"/>
    <w:rsid w:val="00C20214"/>
    <w:rsid w:val="00C32CE4"/>
    <w:rsid w:val="00C42E22"/>
    <w:rsid w:val="00C634B8"/>
    <w:rsid w:val="00C75040"/>
    <w:rsid w:val="00C85F4E"/>
    <w:rsid w:val="00CA2A55"/>
    <w:rsid w:val="00CB5C1E"/>
    <w:rsid w:val="00CC246C"/>
    <w:rsid w:val="00CD65DC"/>
    <w:rsid w:val="00CE7671"/>
    <w:rsid w:val="00D15FB6"/>
    <w:rsid w:val="00D17C1B"/>
    <w:rsid w:val="00D17F23"/>
    <w:rsid w:val="00D21223"/>
    <w:rsid w:val="00D43E81"/>
    <w:rsid w:val="00D444C7"/>
    <w:rsid w:val="00D61AEF"/>
    <w:rsid w:val="00D6604A"/>
    <w:rsid w:val="00D859D5"/>
    <w:rsid w:val="00D977C4"/>
    <w:rsid w:val="00E018FE"/>
    <w:rsid w:val="00E07FDF"/>
    <w:rsid w:val="00E248EC"/>
    <w:rsid w:val="00E3628D"/>
    <w:rsid w:val="00E647A2"/>
    <w:rsid w:val="00E66AEA"/>
    <w:rsid w:val="00EB0430"/>
    <w:rsid w:val="00EC1BE0"/>
    <w:rsid w:val="00EC2069"/>
    <w:rsid w:val="00EF423B"/>
    <w:rsid w:val="00F074B1"/>
    <w:rsid w:val="00F132AB"/>
    <w:rsid w:val="00F13E63"/>
    <w:rsid w:val="00F22B08"/>
    <w:rsid w:val="00F35910"/>
    <w:rsid w:val="00F95CF3"/>
    <w:rsid w:val="00FB2BE5"/>
    <w:rsid w:val="00FC4AD8"/>
    <w:rsid w:val="00FF6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style>
  <w:style w:type="character" w:customStyle="1" w:styleId="shorttext">
    <w:name w:val="shorttext"/>
    <w:basedOn w:val="a0"/>
  </w:style>
  <w:style w:type="character" w:customStyle="1" w:styleId="maintext">
    <w:name w:val="maintext"/>
    <w:basedOn w:val="a0"/>
  </w:style>
  <w:style w:type="paragraph" w:styleId="a3">
    <w:name w:val="Balloon Text"/>
    <w:basedOn w:val="a"/>
    <w:link w:val="Char"/>
    <w:rsid w:val="00107D11"/>
    <w:rPr>
      <w:sz w:val="18"/>
      <w:szCs w:val="18"/>
    </w:rPr>
  </w:style>
  <w:style w:type="character" w:customStyle="1" w:styleId="Char">
    <w:name w:val="批注框文本 Char"/>
    <w:basedOn w:val="a0"/>
    <w:link w:val="a3"/>
    <w:rsid w:val="00107D11"/>
    <w:rPr>
      <w:sz w:val="18"/>
      <w:szCs w:val="18"/>
    </w:rPr>
  </w:style>
  <w:style w:type="paragraph" w:styleId="a4">
    <w:name w:val="header"/>
    <w:basedOn w:val="a"/>
    <w:link w:val="Char0"/>
    <w:unhideWhenUsed/>
    <w:rsid w:val="000911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911DC"/>
    <w:rPr>
      <w:sz w:val="18"/>
      <w:szCs w:val="18"/>
    </w:rPr>
  </w:style>
  <w:style w:type="paragraph" w:styleId="a5">
    <w:name w:val="footer"/>
    <w:basedOn w:val="a"/>
    <w:link w:val="Char1"/>
    <w:uiPriority w:val="99"/>
    <w:unhideWhenUsed/>
    <w:rsid w:val="000911DC"/>
    <w:pPr>
      <w:tabs>
        <w:tab w:val="center" w:pos="4153"/>
        <w:tab w:val="right" w:pos="8306"/>
      </w:tabs>
      <w:snapToGrid w:val="0"/>
    </w:pPr>
    <w:rPr>
      <w:sz w:val="18"/>
      <w:szCs w:val="18"/>
    </w:rPr>
  </w:style>
  <w:style w:type="character" w:customStyle="1" w:styleId="Char1">
    <w:name w:val="页脚 Char"/>
    <w:basedOn w:val="a0"/>
    <w:link w:val="a5"/>
    <w:uiPriority w:val="99"/>
    <w:rsid w:val="000911D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style>
  <w:style w:type="character" w:customStyle="1" w:styleId="shorttext">
    <w:name w:val="shorttext"/>
    <w:basedOn w:val="a0"/>
  </w:style>
  <w:style w:type="character" w:customStyle="1" w:styleId="maintext">
    <w:name w:val="maintext"/>
    <w:basedOn w:val="a0"/>
  </w:style>
  <w:style w:type="paragraph" w:styleId="a3">
    <w:name w:val="Balloon Text"/>
    <w:basedOn w:val="a"/>
    <w:link w:val="Char"/>
    <w:rsid w:val="00107D11"/>
    <w:rPr>
      <w:sz w:val="18"/>
      <w:szCs w:val="18"/>
    </w:rPr>
  </w:style>
  <w:style w:type="character" w:customStyle="1" w:styleId="Char">
    <w:name w:val="批注框文本 Char"/>
    <w:basedOn w:val="a0"/>
    <w:link w:val="a3"/>
    <w:rsid w:val="00107D11"/>
    <w:rPr>
      <w:sz w:val="18"/>
      <w:szCs w:val="18"/>
    </w:rPr>
  </w:style>
  <w:style w:type="paragraph" w:styleId="a4">
    <w:name w:val="header"/>
    <w:basedOn w:val="a"/>
    <w:link w:val="Char0"/>
    <w:unhideWhenUsed/>
    <w:rsid w:val="000911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911DC"/>
    <w:rPr>
      <w:sz w:val="18"/>
      <w:szCs w:val="18"/>
    </w:rPr>
  </w:style>
  <w:style w:type="paragraph" w:styleId="a5">
    <w:name w:val="footer"/>
    <w:basedOn w:val="a"/>
    <w:link w:val="Char1"/>
    <w:uiPriority w:val="99"/>
    <w:unhideWhenUsed/>
    <w:rsid w:val="000911DC"/>
    <w:pPr>
      <w:tabs>
        <w:tab w:val="center" w:pos="4153"/>
        <w:tab w:val="right" w:pos="8306"/>
      </w:tabs>
      <w:snapToGrid w:val="0"/>
    </w:pPr>
    <w:rPr>
      <w:sz w:val="18"/>
      <w:szCs w:val="18"/>
    </w:rPr>
  </w:style>
  <w:style w:type="character" w:customStyle="1" w:styleId="Char1">
    <w:name w:val="页脚 Char"/>
    <w:basedOn w:val="a0"/>
    <w:link w:val="a5"/>
    <w:uiPriority w:val="99"/>
    <w:rsid w:val="000911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001674">
      <w:bodyDiv w:val="1"/>
      <w:marLeft w:val="0"/>
      <w:marRight w:val="0"/>
      <w:marTop w:val="0"/>
      <w:marBottom w:val="0"/>
      <w:divBdr>
        <w:top w:val="none" w:sz="0" w:space="0" w:color="auto"/>
        <w:left w:val="none" w:sz="0" w:space="0" w:color="auto"/>
        <w:bottom w:val="none" w:sz="0" w:space="0" w:color="auto"/>
        <w:right w:val="none" w:sz="0" w:space="0" w:color="auto"/>
      </w:divBdr>
    </w:div>
    <w:div w:id="2070103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8160</Words>
  <Characters>46514</Characters>
  <Application>Microsoft Office Word</Application>
  <DocSecurity>0</DocSecurity>
  <Lines>387</Lines>
  <Paragraphs>109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Minsart</dc:creator>
  <cp:lastModifiedBy>Jin-Lei Wang</cp:lastModifiedBy>
  <cp:revision>3</cp:revision>
  <dcterms:created xsi:type="dcterms:W3CDTF">2020-08-28T16:24:00Z</dcterms:created>
  <dcterms:modified xsi:type="dcterms:W3CDTF">2020-08-28T23:53:00Z</dcterms:modified>
</cp:coreProperties>
</file>