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C21F4"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t xml:space="preserve">Name of Journal: </w:t>
      </w:r>
      <w:r w:rsidRPr="00BF26F2">
        <w:rPr>
          <w:rFonts w:ascii="Book Antiqua" w:eastAsia="Book Antiqua" w:hAnsi="Book Antiqua" w:cs="Book Antiqua"/>
          <w:i/>
        </w:rPr>
        <w:t>World Journal of Gastroenterology</w:t>
      </w:r>
    </w:p>
    <w:p w14:paraId="388F57D2"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t xml:space="preserve">Manuscript NO: </w:t>
      </w:r>
      <w:r w:rsidRPr="00BF26F2">
        <w:rPr>
          <w:rFonts w:ascii="Book Antiqua" w:eastAsia="Book Antiqua" w:hAnsi="Book Antiqua" w:cs="Book Antiqua"/>
        </w:rPr>
        <w:t>53081</w:t>
      </w:r>
    </w:p>
    <w:p w14:paraId="6E28E662"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t xml:space="preserve">Manuscript Type: </w:t>
      </w:r>
      <w:r w:rsidRPr="00BF26F2">
        <w:rPr>
          <w:rFonts w:ascii="Book Antiqua" w:eastAsia="Book Antiqua" w:hAnsi="Book Antiqua" w:cs="Book Antiqua"/>
        </w:rPr>
        <w:t>ORIGINAL ARTICLE</w:t>
      </w:r>
    </w:p>
    <w:p w14:paraId="321B284D" w14:textId="77777777" w:rsidR="00D02FF1" w:rsidRPr="00BF26F2" w:rsidRDefault="00D02FF1" w:rsidP="00BF26F2">
      <w:pPr>
        <w:adjustRightInd w:val="0"/>
        <w:snapToGrid w:val="0"/>
        <w:spacing w:line="360" w:lineRule="auto"/>
        <w:jc w:val="both"/>
        <w:rPr>
          <w:rFonts w:ascii="Book Antiqua" w:hAnsi="Book Antiqua"/>
        </w:rPr>
      </w:pPr>
    </w:p>
    <w:p w14:paraId="56E5DEA0"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i/>
        </w:rPr>
        <w:t>Retrospective Cohort Study</w:t>
      </w:r>
    </w:p>
    <w:p w14:paraId="4B9A72FF"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Attention deficit hyperactivity disorder and gastrointestinal morbidity in a large cohort of young adults</w:t>
      </w:r>
    </w:p>
    <w:p w14:paraId="7F3A766D" w14:textId="77777777" w:rsidR="00D02FF1" w:rsidRPr="00BF26F2" w:rsidRDefault="00D02FF1" w:rsidP="00BF26F2">
      <w:pPr>
        <w:adjustRightInd w:val="0"/>
        <w:snapToGrid w:val="0"/>
        <w:spacing w:line="360" w:lineRule="auto"/>
        <w:jc w:val="both"/>
        <w:rPr>
          <w:rFonts w:ascii="Book Antiqua" w:hAnsi="Book Antiqua"/>
        </w:rPr>
      </w:pPr>
    </w:p>
    <w:p w14:paraId="00DE32FB"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Kedem S </w:t>
      </w:r>
      <w:r w:rsidRPr="00BF26F2">
        <w:rPr>
          <w:rFonts w:ascii="Book Antiqua" w:eastAsia="Book Antiqua" w:hAnsi="Book Antiqua" w:cs="Book Antiqua"/>
          <w:i/>
          <w:iCs/>
        </w:rPr>
        <w:t>et al</w:t>
      </w:r>
      <w:r w:rsidRPr="00BF26F2">
        <w:rPr>
          <w:rFonts w:ascii="Book Antiqua" w:eastAsia="Book Antiqua" w:hAnsi="Book Antiqua" w:cs="Book Antiqua"/>
        </w:rPr>
        <w:t>. ADHD and GI comorbidity</w:t>
      </w:r>
    </w:p>
    <w:p w14:paraId="67567291" w14:textId="77777777" w:rsidR="00D02FF1" w:rsidRPr="00BF26F2" w:rsidRDefault="00D02FF1" w:rsidP="00BF26F2">
      <w:pPr>
        <w:adjustRightInd w:val="0"/>
        <w:snapToGrid w:val="0"/>
        <w:spacing w:line="360" w:lineRule="auto"/>
        <w:jc w:val="both"/>
        <w:rPr>
          <w:rFonts w:ascii="Book Antiqua" w:hAnsi="Book Antiqua"/>
        </w:rPr>
      </w:pPr>
    </w:p>
    <w:p w14:paraId="7A760508"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Sivan Kedem, Shlomit Yust-Katz, Dan Carter, Zohar Levi, Ron Kedem, Adi Dickstein, Salah Daher, Lior H Katz</w:t>
      </w:r>
    </w:p>
    <w:p w14:paraId="1CABFFD7" w14:textId="77777777" w:rsidR="00D02FF1" w:rsidRPr="00BF26F2" w:rsidRDefault="00D02FF1" w:rsidP="00BF26F2">
      <w:pPr>
        <w:adjustRightInd w:val="0"/>
        <w:snapToGrid w:val="0"/>
        <w:spacing w:line="360" w:lineRule="auto"/>
        <w:jc w:val="both"/>
        <w:rPr>
          <w:rFonts w:ascii="Book Antiqua" w:hAnsi="Book Antiqua"/>
        </w:rPr>
      </w:pPr>
    </w:p>
    <w:p w14:paraId="0D829F5E" w14:textId="48C1E701"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Sivan Kedem, Ron Kedem, Adi Dickstein, Salah Daher, Lior H Katz, </w:t>
      </w:r>
      <w:r w:rsidRPr="00BF26F2">
        <w:rPr>
          <w:rFonts w:ascii="Book Antiqua" w:eastAsia="Book Antiqua" w:hAnsi="Book Antiqua" w:cs="Book Antiqua"/>
        </w:rPr>
        <w:t xml:space="preserve">Medical </w:t>
      </w:r>
      <w:r w:rsidR="00BF26F2">
        <w:rPr>
          <w:rFonts w:ascii="Book Antiqua" w:eastAsia="Book Antiqua" w:hAnsi="Book Antiqua" w:cs="Book Antiqua"/>
        </w:rPr>
        <w:t>C</w:t>
      </w:r>
      <w:r w:rsidRPr="00BF26F2">
        <w:rPr>
          <w:rFonts w:ascii="Book Antiqua" w:eastAsia="Book Antiqua" w:hAnsi="Book Antiqua" w:cs="Book Antiqua"/>
        </w:rPr>
        <w:t>orps, Israeli Defense Forces, Ramat-Gan 52621, Israel</w:t>
      </w:r>
    </w:p>
    <w:p w14:paraId="67289ED4" w14:textId="77777777" w:rsidR="00D02FF1" w:rsidRPr="00BF26F2" w:rsidRDefault="00D02FF1" w:rsidP="00BF26F2">
      <w:pPr>
        <w:adjustRightInd w:val="0"/>
        <w:snapToGrid w:val="0"/>
        <w:spacing w:line="360" w:lineRule="auto"/>
        <w:jc w:val="both"/>
        <w:rPr>
          <w:rFonts w:ascii="Book Antiqua" w:hAnsi="Book Antiqua"/>
        </w:rPr>
      </w:pPr>
    </w:p>
    <w:p w14:paraId="1C622860"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Sivan Kedem, </w:t>
      </w:r>
      <w:r w:rsidRPr="00BF26F2">
        <w:rPr>
          <w:rFonts w:ascii="Book Antiqua" w:eastAsia="Book Antiqua" w:hAnsi="Book Antiqua" w:cs="Book Antiqua"/>
        </w:rPr>
        <w:t>Medical School, Hebrew University - Hadassah Medical Center, Jerusalem 91120, Israel</w:t>
      </w:r>
    </w:p>
    <w:p w14:paraId="7CB399ED" w14:textId="77777777" w:rsidR="00D02FF1" w:rsidRPr="00BF26F2" w:rsidRDefault="00D02FF1" w:rsidP="00BF26F2">
      <w:pPr>
        <w:adjustRightInd w:val="0"/>
        <w:snapToGrid w:val="0"/>
        <w:spacing w:line="360" w:lineRule="auto"/>
        <w:jc w:val="both"/>
        <w:rPr>
          <w:rFonts w:ascii="Book Antiqua" w:hAnsi="Book Antiqua"/>
        </w:rPr>
      </w:pPr>
    </w:p>
    <w:p w14:paraId="11251C00"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Shlomit Yust-Katz, Dan Carter, Zohar Levi, </w:t>
      </w:r>
      <w:r w:rsidRPr="00BF26F2">
        <w:rPr>
          <w:rFonts w:ascii="Book Antiqua" w:eastAsia="Book Antiqua" w:hAnsi="Book Antiqua" w:cs="Book Antiqua"/>
        </w:rPr>
        <w:t>Sackler Faculty of Medicine, Tel-Aviv University, Tel-Aviv 77096, Israel</w:t>
      </w:r>
    </w:p>
    <w:p w14:paraId="57AFEC10" w14:textId="77777777" w:rsidR="00D02FF1" w:rsidRPr="00BF26F2" w:rsidRDefault="00D02FF1" w:rsidP="00BF26F2">
      <w:pPr>
        <w:adjustRightInd w:val="0"/>
        <w:snapToGrid w:val="0"/>
        <w:spacing w:line="360" w:lineRule="auto"/>
        <w:jc w:val="both"/>
        <w:rPr>
          <w:rFonts w:ascii="Book Antiqua" w:hAnsi="Book Antiqua"/>
        </w:rPr>
      </w:pPr>
    </w:p>
    <w:p w14:paraId="13000745"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Shlomit Yust-Katz, </w:t>
      </w:r>
      <w:r w:rsidRPr="00BF26F2">
        <w:rPr>
          <w:rFonts w:ascii="Book Antiqua" w:eastAsia="Book Antiqua" w:hAnsi="Book Antiqua" w:cs="Book Antiqua"/>
        </w:rPr>
        <w:t>Neuro-Oncology Unit, Davidoff Cancer Center, Rabin Medical Center, Petach Tikva 49100, Israel</w:t>
      </w:r>
    </w:p>
    <w:p w14:paraId="0323934C" w14:textId="77777777" w:rsidR="00D02FF1" w:rsidRPr="00BF26F2" w:rsidRDefault="00D02FF1" w:rsidP="00BF26F2">
      <w:pPr>
        <w:adjustRightInd w:val="0"/>
        <w:snapToGrid w:val="0"/>
        <w:spacing w:line="360" w:lineRule="auto"/>
        <w:jc w:val="both"/>
        <w:rPr>
          <w:rFonts w:ascii="Book Antiqua" w:hAnsi="Book Antiqua"/>
        </w:rPr>
      </w:pPr>
    </w:p>
    <w:p w14:paraId="06D68B0D"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Dan Carter, </w:t>
      </w:r>
      <w:r w:rsidRPr="00BF26F2">
        <w:rPr>
          <w:rFonts w:ascii="Book Antiqua" w:eastAsia="Book Antiqua" w:hAnsi="Book Antiqua" w:cs="Book Antiqua"/>
        </w:rPr>
        <w:t>Department of Gastroenterology, Sheba Medical Center, Ramat-Gan 52361, Israel</w:t>
      </w:r>
    </w:p>
    <w:p w14:paraId="6FA12D4A" w14:textId="77777777" w:rsidR="00D02FF1" w:rsidRPr="00BF26F2" w:rsidRDefault="00D02FF1" w:rsidP="00BF26F2">
      <w:pPr>
        <w:adjustRightInd w:val="0"/>
        <w:snapToGrid w:val="0"/>
        <w:spacing w:line="360" w:lineRule="auto"/>
        <w:jc w:val="both"/>
        <w:rPr>
          <w:rFonts w:ascii="Book Antiqua" w:hAnsi="Book Antiqua"/>
        </w:rPr>
      </w:pPr>
    </w:p>
    <w:p w14:paraId="1553703B"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lastRenderedPageBreak/>
        <w:t xml:space="preserve">Zohar Levi, </w:t>
      </w:r>
      <w:r w:rsidRPr="00BF26F2">
        <w:rPr>
          <w:rFonts w:ascii="Book Antiqua" w:eastAsia="Book Antiqua" w:hAnsi="Book Antiqua" w:cs="Book Antiqua"/>
        </w:rPr>
        <w:t>Department of Gastroenterology, Beilinson Hospital, Rabin Medical Center, Petach Tikva 49100, Israel</w:t>
      </w:r>
    </w:p>
    <w:p w14:paraId="3D053178" w14:textId="77777777" w:rsidR="00D02FF1" w:rsidRPr="00BF26F2" w:rsidRDefault="00D02FF1" w:rsidP="00BF26F2">
      <w:pPr>
        <w:adjustRightInd w:val="0"/>
        <w:snapToGrid w:val="0"/>
        <w:spacing w:line="360" w:lineRule="auto"/>
        <w:jc w:val="both"/>
        <w:rPr>
          <w:rFonts w:ascii="Book Antiqua" w:hAnsi="Book Antiqua"/>
        </w:rPr>
      </w:pPr>
    </w:p>
    <w:p w14:paraId="0B479E9D"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Salah Daher, Lior H Katz, </w:t>
      </w:r>
      <w:r w:rsidRPr="00BF26F2">
        <w:rPr>
          <w:rFonts w:ascii="Book Antiqua" w:eastAsia="Book Antiqua" w:hAnsi="Book Antiqua" w:cs="Book Antiqua"/>
        </w:rPr>
        <w:t>Department of Gastroenterology and Hepatology, Hebrew University - Hadassah Medical Center, Jerusalem 91120, Israel</w:t>
      </w:r>
    </w:p>
    <w:p w14:paraId="559CB497" w14:textId="77777777" w:rsidR="00D02FF1" w:rsidRPr="00BF26F2" w:rsidRDefault="00D02FF1" w:rsidP="00BF26F2">
      <w:pPr>
        <w:adjustRightInd w:val="0"/>
        <w:snapToGrid w:val="0"/>
        <w:spacing w:line="360" w:lineRule="auto"/>
        <w:jc w:val="both"/>
        <w:rPr>
          <w:rFonts w:ascii="Book Antiqua" w:hAnsi="Book Antiqua"/>
        </w:rPr>
      </w:pPr>
    </w:p>
    <w:p w14:paraId="77C8F099" w14:textId="26AF4F53"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Author contributions: </w:t>
      </w:r>
      <w:r w:rsidRPr="00BF26F2">
        <w:rPr>
          <w:rFonts w:ascii="Book Antiqua" w:eastAsia="Book Antiqua" w:hAnsi="Book Antiqua" w:cs="Book Antiqua"/>
        </w:rPr>
        <w:t>Kedem S was involved in data curation, investigation and analysis</w:t>
      </w:r>
      <w:r w:rsidR="00BF26F2">
        <w:rPr>
          <w:rFonts w:ascii="Book Antiqua" w:eastAsia="Book Antiqua" w:hAnsi="Book Antiqua" w:cs="Book Antiqua"/>
        </w:rPr>
        <w:t>,</w:t>
      </w:r>
      <w:r w:rsidRPr="00BF26F2">
        <w:rPr>
          <w:rFonts w:ascii="Book Antiqua" w:eastAsia="Book Antiqua" w:hAnsi="Book Antiqua" w:cs="Book Antiqua"/>
        </w:rPr>
        <w:t xml:space="preserve"> and wrote the original draft; Yust-Katz S</w:t>
      </w:r>
      <w:r w:rsidR="00BF26F2">
        <w:rPr>
          <w:rFonts w:ascii="Book Antiqua" w:eastAsia="Book Antiqua" w:hAnsi="Book Antiqua" w:cs="Book Antiqua"/>
        </w:rPr>
        <w:t>,</w:t>
      </w:r>
      <w:r w:rsidRPr="00BF26F2">
        <w:rPr>
          <w:rFonts w:ascii="Book Antiqua" w:eastAsia="Book Antiqua" w:hAnsi="Book Antiqua" w:cs="Book Antiqua"/>
        </w:rPr>
        <w:t xml:space="preserve"> </w:t>
      </w:r>
      <w:r w:rsidR="00BF26F2" w:rsidRPr="00BF26F2">
        <w:rPr>
          <w:rFonts w:ascii="Book Antiqua" w:eastAsia="Book Antiqua" w:hAnsi="Book Antiqua" w:cs="Book Antiqua"/>
        </w:rPr>
        <w:t xml:space="preserve">Cater D </w:t>
      </w:r>
      <w:r w:rsidRPr="00BF26F2">
        <w:rPr>
          <w:rFonts w:ascii="Book Antiqua" w:eastAsia="Book Antiqua" w:hAnsi="Book Antiqua" w:cs="Book Antiqua"/>
        </w:rPr>
        <w:t>was involved in the conceptualization</w:t>
      </w:r>
      <w:r w:rsidR="00BF26F2">
        <w:rPr>
          <w:rFonts w:ascii="Book Antiqua" w:eastAsia="Book Antiqua" w:hAnsi="Book Antiqua" w:cs="Book Antiqua"/>
        </w:rPr>
        <w:t xml:space="preserve"> and</w:t>
      </w:r>
      <w:r w:rsidRPr="00BF26F2">
        <w:rPr>
          <w:rFonts w:ascii="Book Antiqua" w:eastAsia="Book Antiqua" w:hAnsi="Book Antiqua" w:cs="Book Antiqua"/>
        </w:rPr>
        <w:t xml:space="preserve"> supervision</w:t>
      </w:r>
      <w:r w:rsidR="00BF26F2">
        <w:rPr>
          <w:rFonts w:ascii="Book Antiqua" w:eastAsia="Book Antiqua" w:hAnsi="Book Antiqua" w:cs="Book Antiqua"/>
        </w:rPr>
        <w:t xml:space="preserve"> of the study</w:t>
      </w:r>
      <w:r w:rsidRPr="00BF26F2">
        <w:rPr>
          <w:rFonts w:ascii="Book Antiqua" w:eastAsia="Book Antiqua" w:hAnsi="Book Antiqua" w:cs="Book Antiqua"/>
        </w:rPr>
        <w:t xml:space="preserve">, </w:t>
      </w:r>
      <w:r w:rsidR="00BF26F2">
        <w:rPr>
          <w:rFonts w:ascii="Book Antiqua" w:eastAsia="Book Antiqua" w:hAnsi="Book Antiqua" w:cs="Book Antiqua"/>
        </w:rPr>
        <w:t xml:space="preserve">and </w:t>
      </w:r>
      <w:r w:rsidRPr="00BF26F2">
        <w:rPr>
          <w:rFonts w:ascii="Book Antiqua" w:eastAsia="Book Antiqua" w:hAnsi="Book Antiqua" w:cs="Book Antiqua"/>
        </w:rPr>
        <w:t>writing</w:t>
      </w:r>
      <w:r w:rsidR="00BF26F2">
        <w:rPr>
          <w:rFonts w:ascii="Book Antiqua" w:eastAsia="Book Antiqua" w:hAnsi="Book Antiqua" w:cs="Book Antiqua"/>
        </w:rPr>
        <w:t>,</w:t>
      </w:r>
      <w:r w:rsidRPr="00BF26F2">
        <w:rPr>
          <w:rFonts w:ascii="Book Antiqua" w:eastAsia="Book Antiqua" w:hAnsi="Book Antiqua" w:cs="Book Antiqua"/>
        </w:rPr>
        <w:t xml:space="preserve"> review and editing</w:t>
      </w:r>
      <w:r w:rsidR="00BF26F2">
        <w:rPr>
          <w:rFonts w:ascii="Book Antiqua" w:eastAsia="Book Antiqua" w:hAnsi="Book Antiqua" w:cs="Book Antiqua"/>
        </w:rPr>
        <w:t xml:space="preserve"> of the manuscript</w:t>
      </w:r>
      <w:r w:rsidRPr="00BF26F2">
        <w:rPr>
          <w:rFonts w:ascii="Book Antiqua" w:eastAsia="Book Antiqua" w:hAnsi="Book Antiqua" w:cs="Book Antiqua"/>
        </w:rPr>
        <w:t xml:space="preserve">; Levi Z was involved in data analysis, </w:t>
      </w:r>
      <w:r w:rsidR="00BF26F2">
        <w:rPr>
          <w:rFonts w:ascii="Book Antiqua" w:eastAsia="Book Antiqua" w:hAnsi="Book Antiqua" w:cs="Book Antiqua"/>
        </w:rPr>
        <w:t xml:space="preserve">and </w:t>
      </w:r>
      <w:r w:rsidRPr="00BF26F2">
        <w:rPr>
          <w:rFonts w:ascii="Book Antiqua" w:eastAsia="Book Antiqua" w:hAnsi="Book Antiqua" w:cs="Book Antiqua"/>
        </w:rPr>
        <w:t>writing</w:t>
      </w:r>
      <w:r w:rsidR="00BF26F2">
        <w:rPr>
          <w:rFonts w:ascii="Book Antiqua" w:eastAsia="Book Antiqua" w:hAnsi="Book Antiqua" w:cs="Book Antiqua"/>
        </w:rPr>
        <w:t>,</w:t>
      </w:r>
      <w:r w:rsidRPr="00BF26F2">
        <w:rPr>
          <w:rFonts w:ascii="Book Antiqua" w:eastAsia="Book Antiqua" w:hAnsi="Book Antiqua" w:cs="Book Antiqua"/>
        </w:rPr>
        <w:t xml:space="preserve"> review and editing</w:t>
      </w:r>
      <w:r w:rsidR="00BF26F2">
        <w:rPr>
          <w:rFonts w:ascii="Book Antiqua" w:eastAsia="Book Antiqua" w:hAnsi="Book Antiqua" w:cs="Book Antiqua"/>
        </w:rPr>
        <w:t xml:space="preserve"> of the manuscript</w:t>
      </w:r>
      <w:r w:rsidRPr="00BF26F2">
        <w:rPr>
          <w:rFonts w:ascii="Book Antiqua" w:eastAsia="Book Antiqua" w:hAnsi="Book Antiqua" w:cs="Book Antiqua"/>
        </w:rPr>
        <w:t xml:space="preserve">; Kedem R was involved in the investigation, data analysis and statistics, </w:t>
      </w:r>
      <w:r w:rsidR="00BF26F2">
        <w:rPr>
          <w:rFonts w:ascii="Book Antiqua" w:eastAsia="Book Antiqua" w:hAnsi="Book Antiqua" w:cs="Book Antiqua"/>
        </w:rPr>
        <w:t xml:space="preserve">and </w:t>
      </w:r>
      <w:r w:rsidRPr="00BF26F2">
        <w:rPr>
          <w:rFonts w:ascii="Book Antiqua" w:eastAsia="Book Antiqua" w:hAnsi="Book Antiqua" w:cs="Book Antiqua"/>
        </w:rPr>
        <w:t>writing</w:t>
      </w:r>
      <w:r w:rsidR="00BF26F2">
        <w:rPr>
          <w:rFonts w:ascii="Book Antiqua" w:eastAsia="Book Antiqua" w:hAnsi="Book Antiqua" w:cs="Book Antiqua"/>
        </w:rPr>
        <w:t>,</w:t>
      </w:r>
      <w:r w:rsidRPr="00BF26F2">
        <w:rPr>
          <w:rFonts w:ascii="Book Antiqua" w:eastAsia="Book Antiqua" w:hAnsi="Book Antiqua" w:cs="Book Antiqua"/>
        </w:rPr>
        <w:t xml:space="preserve"> review and editing</w:t>
      </w:r>
      <w:r w:rsidR="00BF26F2">
        <w:rPr>
          <w:rFonts w:ascii="Book Antiqua" w:eastAsia="Book Antiqua" w:hAnsi="Book Antiqua" w:cs="Book Antiqua"/>
        </w:rPr>
        <w:t xml:space="preserve"> of the manuscript</w:t>
      </w:r>
      <w:r w:rsidRPr="00BF26F2">
        <w:rPr>
          <w:rFonts w:ascii="Book Antiqua" w:eastAsia="Book Antiqua" w:hAnsi="Book Antiqua" w:cs="Book Antiqua"/>
        </w:rPr>
        <w:t xml:space="preserve">; Dickstein A was involved in data curation and investigation; Daher S was involved in project administration and supervision; Katz LH performed the conceptualization, was involved in data curation, investigation and analysis, project administration, </w:t>
      </w:r>
      <w:r w:rsidR="00BF26F2">
        <w:rPr>
          <w:rFonts w:ascii="Book Antiqua" w:eastAsia="Book Antiqua" w:hAnsi="Book Antiqua" w:cs="Book Antiqua"/>
        </w:rPr>
        <w:t xml:space="preserve">and </w:t>
      </w:r>
      <w:r w:rsidRPr="00BF26F2">
        <w:rPr>
          <w:rFonts w:ascii="Book Antiqua" w:eastAsia="Book Antiqua" w:hAnsi="Book Antiqua" w:cs="Book Antiqua"/>
        </w:rPr>
        <w:t>writing</w:t>
      </w:r>
      <w:r w:rsidR="00BF26F2">
        <w:rPr>
          <w:rFonts w:ascii="Book Antiqua" w:eastAsia="Book Antiqua" w:hAnsi="Book Antiqua" w:cs="Book Antiqua"/>
        </w:rPr>
        <w:t>,</w:t>
      </w:r>
      <w:r w:rsidRPr="00BF26F2">
        <w:rPr>
          <w:rFonts w:ascii="Book Antiqua" w:eastAsia="Book Antiqua" w:hAnsi="Book Antiqua" w:cs="Book Antiqua"/>
        </w:rPr>
        <w:t xml:space="preserve"> review and editing</w:t>
      </w:r>
      <w:r w:rsidR="00BF26F2">
        <w:rPr>
          <w:rFonts w:ascii="Book Antiqua" w:eastAsia="Book Antiqua" w:hAnsi="Book Antiqua" w:cs="Book Antiqua"/>
        </w:rPr>
        <w:t xml:space="preserve"> of the manuscript</w:t>
      </w:r>
      <w:r w:rsidRPr="00BF26F2">
        <w:rPr>
          <w:rFonts w:ascii="Book Antiqua" w:eastAsia="Book Antiqua" w:hAnsi="Book Antiqua" w:cs="Book Antiqua"/>
        </w:rPr>
        <w:t xml:space="preserve">; </w:t>
      </w:r>
      <w:r w:rsidR="00BF26F2">
        <w:rPr>
          <w:rFonts w:ascii="Book Antiqua" w:eastAsia="Book Antiqua" w:hAnsi="Book Antiqua" w:cs="Book Antiqua"/>
        </w:rPr>
        <w:t>A</w:t>
      </w:r>
      <w:r w:rsidRPr="00BF26F2">
        <w:rPr>
          <w:rFonts w:ascii="Book Antiqua" w:eastAsia="Book Antiqua" w:hAnsi="Book Antiqua" w:cs="Book Antiqua"/>
        </w:rPr>
        <w:t>ll authors have read and approve the final manuscript.</w:t>
      </w:r>
    </w:p>
    <w:p w14:paraId="72C3256D" w14:textId="77777777" w:rsidR="00D02FF1" w:rsidRPr="00BF26F2" w:rsidRDefault="00D02FF1" w:rsidP="00BF26F2">
      <w:pPr>
        <w:adjustRightInd w:val="0"/>
        <w:snapToGrid w:val="0"/>
        <w:spacing w:line="360" w:lineRule="auto"/>
        <w:jc w:val="both"/>
        <w:rPr>
          <w:rFonts w:ascii="Book Antiqua" w:hAnsi="Book Antiqua"/>
        </w:rPr>
      </w:pPr>
    </w:p>
    <w:p w14:paraId="437FAC93"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Corresponding author: Lior H Katz, MD, Chairman, Doctor, </w:t>
      </w:r>
      <w:r w:rsidRPr="00BF26F2">
        <w:rPr>
          <w:rFonts w:ascii="Book Antiqua" w:eastAsia="Book Antiqua" w:hAnsi="Book Antiqua" w:cs="Book Antiqua"/>
        </w:rPr>
        <w:t>Department of Gastroenterology and Hepatology, Hebrew University - Hadassah Medical Center, Ein-Kerem, Jerusalem 91120, Israel. liorkatz5346@gmail.com</w:t>
      </w:r>
    </w:p>
    <w:p w14:paraId="140C657D" w14:textId="77777777" w:rsidR="00D02FF1" w:rsidRPr="00BF26F2" w:rsidRDefault="00D02FF1" w:rsidP="00BF26F2">
      <w:pPr>
        <w:adjustRightInd w:val="0"/>
        <w:snapToGrid w:val="0"/>
        <w:spacing w:line="360" w:lineRule="auto"/>
        <w:jc w:val="both"/>
        <w:rPr>
          <w:rFonts w:ascii="Book Antiqua" w:hAnsi="Book Antiqua"/>
        </w:rPr>
      </w:pPr>
    </w:p>
    <w:p w14:paraId="3A9E16F8"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Received: </w:t>
      </w:r>
      <w:r w:rsidRPr="00BF26F2">
        <w:rPr>
          <w:rFonts w:ascii="Book Antiqua" w:eastAsia="Book Antiqua" w:hAnsi="Book Antiqua" w:cs="Book Antiqua"/>
        </w:rPr>
        <w:t>April 6, 2020</w:t>
      </w:r>
    </w:p>
    <w:p w14:paraId="5DE40886"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Revised: </w:t>
      </w:r>
      <w:r w:rsidRPr="00BF26F2">
        <w:rPr>
          <w:rFonts w:ascii="Book Antiqua" w:eastAsia="Book Antiqua" w:hAnsi="Book Antiqua" w:cs="Book Antiqua"/>
        </w:rPr>
        <w:t>July 3, 2020</w:t>
      </w:r>
    </w:p>
    <w:p w14:paraId="1027F41E" w14:textId="1E114FDF" w:rsidR="00D02FF1" w:rsidRPr="00BF26F2" w:rsidRDefault="00D02FF1" w:rsidP="00BF26F2">
      <w:pPr>
        <w:snapToGrid w:val="0"/>
        <w:spacing w:line="360" w:lineRule="auto"/>
        <w:rPr>
          <w:rFonts w:ascii="Book Antiqua" w:hAnsi="Book Antiqua" w:cs="Arial"/>
          <w:shd w:val="clear" w:color="auto" w:fill="FFFFFF"/>
        </w:rPr>
      </w:pPr>
      <w:r w:rsidRPr="00BF26F2">
        <w:rPr>
          <w:rFonts w:ascii="Book Antiqua" w:eastAsia="Book Antiqua" w:hAnsi="Book Antiqua" w:cs="Book Antiqua"/>
          <w:b/>
          <w:bCs/>
        </w:rPr>
        <w:t xml:space="preserve">Accepted: </w:t>
      </w:r>
      <w:bookmarkStart w:id="0" w:name="_Hlk50781202"/>
      <w:bookmarkStart w:id="1" w:name="OLE_LINK106"/>
      <w:r w:rsidR="001D0045" w:rsidRPr="00BF26F2">
        <w:rPr>
          <w:rFonts w:ascii="Book Antiqua" w:hAnsi="Book Antiqua" w:cs="Arial"/>
          <w:shd w:val="clear" w:color="auto" w:fill="FFFFFF"/>
        </w:rPr>
        <w:t>September 28, 2020</w:t>
      </w:r>
      <w:bookmarkEnd w:id="0"/>
      <w:bookmarkEnd w:id="1"/>
    </w:p>
    <w:p w14:paraId="67CCEAE7"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Published online: </w:t>
      </w:r>
    </w:p>
    <w:p w14:paraId="3B5C8F1D" w14:textId="77777777" w:rsidR="00D02FF1" w:rsidRPr="00BF26F2" w:rsidRDefault="00D02FF1" w:rsidP="00BF26F2">
      <w:pPr>
        <w:adjustRightInd w:val="0"/>
        <w:snapToGrid w:val="0"/>
        <w:spacing w:line="360" w:lineRule="auto"/>
        <w:jc w:val="both"/>
        <w:rPr>
          <w:rFonts w:ascii="Book Antiqua" w:hAnsi="Book Antiqua"/>
        </w:rPr>
        <w:sectPr w:rsidR="00D02FF1" w:rsidRPr="00BF26F2">
          <w:footerReference w:type="default" r:id="rId6"/>
          <w:pgSz w:w="12240" w:h="15840"/>
          <w:pgMar w:top="1440" w:right="1440" w:bottom="1440" w:left="1440" w:header="720" w:footer="720" w:gutter="0"/>
          <w:cols w:space="720"/>
          <w:docGrid w:linePitch="360"/>
        </w:sectPr>
      </w:pPr>
    </w:p>
    <w:p w14:paraId="68EB144A"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lastRenderedPageBreak/>
        <w:t>Abstract</w:t>
      </w:r>
    </w:p>
    <w:p w14:paraId="1D764309"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BACKGROUND</w:t>
      </w:r>
    </w:p>
    <w:p w14:paraId="5CF6762D" w14:textId="534133D8"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Although the association of attention deficit hyperactivity disorder (ADHD) with psychiatric disorders is well known, its association with somatic diseases is unclear. Only few studies </w:t>
      </w:r>
      <w:r w:rsidR="00BF26F2">
        <w:rPr>
          <w:rFonts w:ascii="Book Antiqua" w:eastAsia="Book Antiqua" w:hAnsi="Book Antiqua" w:cs="Book Antiqua"/>
        </w:rPr>
        <w:t xml:space="preserve">have </w:t>
      </w:r>
      <w:r w:rsidRPr="00BF26F2">
        <w:rPr>
          <w:rFonts w:ascii="Book Antiqua" w:eastAsia="Book Antiqua" w:hAnsi="Book Antiqua" w:cs="Book Antiqua"/>
        </w:rPr>
        <w:t>investigated the gastrointestinal (GI) morbidity in adult patients with ADHD.</w:t>
      </w:r>
    </w:p>
    <w:p w14:paraId="7620883E" w14:textId="77777777" w:rsidR="00D02FF1" w:rsidRPr="00BF26F2" w:rsidRDefault="00D02FF1" w:rsidP="00BF26F2">
      <w:pPr>
        <w:adjustRightInd w:val="0"/>
        <w:snapToGrid w:val="0"/>
        <w:spacing w:line="360" w:lineRule="auto"/>
        <w:jc w:val="both"/>
        <w:rPr>
          <w:rFonts w:ascii="Book Antiqua" w:hAnsi="Book Antiqua"/>
        </w:rPr>
      </w:pPr>
    </w:p>
    <w:p w14:paraId="5917A1F1"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AIM</w:t>
      </w:r>
    </w:p>
    <w:p w14:paraId="7AAC7848"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To measure gastrointestinal comorbidity and its burden on healthcare in young adults with ADHD.</w:t>
      </w:r>
    </w:p>
    <w:p w14:paraId="458F6B46" w14:textId="77777777" w:rsidR="00D02FF1" w:rsidRPr="00BF26F2" w:rsidRDefault="00D02FF1" w:rsidP="00BF26F2">
      <w:pPr>
        <w:adjustRightInd w:val="0"/>
        <w:snapToGrid w:val="0"/>
        <w:spacing w:line="360" w:lineRule="auto"/>
        <w:jc w:val="both"/>
        <w:rPr>
          <w:rFonts w:ascii="Book Antiqua" w:hAnsi="Book Antiqua"/>
        </w:rPr>
      </w:pPr>
    </w:p>
    <w:p w14:paraId="2A1345DB"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METHODS</w:t>
      </w:r>
    </w:p>
    <w:p w14:paraId="406BABD7" w14:textId="4CECAD0C"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The cohort included subjects aged 17-35 years recruited to the Israel </w:t>
      </w:r>
      <w:r w:rsidR="00823235" w:rsidRPr="00BF26F2">
        <w:rPr>
          <w:rFonts w:ascii="Book Antiqua" w:eastAsia="Book Antiqua" w:hAnsi="Book Antiqua" w:cs="Book Antiqua"/>
        </w:rPr>
        <w:t>Defense Forces in 2007-2013, 33</w:t>
      </w:r>
      <w:r w:rsidR="00454DE9">
        <w:rPr>
          <w:rFonts w:ascii="Book Antiqua" w:eastAsia="Book Antiqua" w:hAnsi="Book Antiqua" w:cs="Book Antiqua"/>
        </w:rPr>
        <w:t>,</w:t>
      </w:r>
      <w:r w:rsidR="00823235" w:rsidRPr="00BF26F2">
        <w:rPr>
          <w:rFonts w:ascii="Book Antiqua" w:eastAsia="Book Antiqua" w:hAnsi="Book Antiqua" w:cs="Book Antiqua"/>
        </w:rPr>
        <w:t>380 with ADHD and 355</w:t>
      </w:r>
      <w:r w:rsidR="00454DE9">
        <w:rPr>
          <w:rFonts w:ascii="Book Antiqua" w:eastAsia="Book Antiqua" w:hAnsi="Book Antiqua" w:cs="Book Antiqua"/>
        </w:rPr>
        <w:t>,</w:t>
      </w:r>
      <w:r w:rsidRPr="00BF26F2">
        <w:rPr>
          <w:rFonts w:ascii="Book Antiqua" w:eastAsia="Book Antiqua" w:hAnsi="Book Antiqua" w:cs="Book Antiqua"/>
        </w:rPr>
        <w:t>652 without (controls). The groups were compared for functional and inflammatory conditions of the gastrointestinal tract and clinic and specialist visits for gastrointestinal symptoms/disease during service (to 2016). Findings were analyzed by generalized linear models adjusted for background variables</w:t>
      </w:r>
      <w:r w:rsidRPr="00BF26F2">
        <w:rPr>
          <w:rFonts w:ascii="Book Antiqua" w:eastAsia="Book Antiqua" w:hAnsi="Book Antiqua" w:cs="Book Antiqua"/>
          <w:b/>
          <w:bCs/>
        </w:rPr>
        <w:t xml:space="preserve">. </w:t>
      </w:r>
    </w:p>
    <w:p w14:paraId="7DAC234E" w14:textId="77777777" w:rsidR="00D02FF1" w:rsidRPr="00BF26F2" w:rsidRDefault="00D02FF1" w:rsidP="00BF26F2">
      <w:pPr>
        <w:adjustRightInd w:val="0"/>
        <w:snapToGrid w:val="0"/>
        <w:spacing w:line="360" w:lineRule="auto"/>
        <w:jc w:val="both"/>
        <w:rPr>
          <w:rFonts w:ascii="Book Antiqua" w:hAnsi="Book Antiqua"/>
        </w:rPr>
      </w:pPr>
    </w:p>
    <w:p w14:paraId="4FD35D1F"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RESULTS</w:t>
      </w:r>
    </w:p>
    <w:p w14:paraId="7AA85CC7" w14:textId="27AEA989"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Compared to controls, the ADHD group had more diagnoses of functional gastrointestinal disorders (</w:t>
      </w:r>
      <w:r w:rsidR="00BF26F2">
        <w:rPr>
          <w:rFonts w:ascii="Book Antiqua" w:eastAsia="Book Antiqua" w:hAnsi="Book Antiqua" w:cs="Book Antiqua"/>
        </w:rPr>
        <w:t xml:space="preserve">referred to as </w:t>
      </w:r>
      <w:r w:rsidRPr="00BF26F2">
        <w:rPr>
          <w:rFonts w:ascii="Book Antiqua" w:eastAsia="Book Antiqua" w:hAnsi="Book Antiqua" w:cs="Book Antiqua"/>
        </w:rPr>
        <w:t>FGID), namely, dyspepsia [odds ratio (OR)</w:t>
      </w:r>
      <w:r w:rsidR="00BF26F2">
        <w:rPr>
          <w:rFonts w:ascii="Book Antiqua" w:eastAsia="Book Antiqua" w:hAnsi="Book Antiqua" w:cs="Book Antiqua"/>
        </w:rPr>
        <w:t>:</w:t>
      </w:r>
      <w:r w:rsidRPr="00BF26F2">
        <w:rPr>
          <w:rFonts w:ascii="Book Antiqua" w:eastAsia="Book Antiqua" w:hAnsi="Book Antiqua" w:cs="Book Antiqua"/>
        </w:rPr>
        <w:t xml:space="preserve"> 1.48, 95% confidence interval (CI): 1.40-1.57,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chronic constipation (OR</w:t>
      </w:r>
      <w:r w:rsidR="00BF26F2">
        <w:rPr>
          <w:rFonts w:ascii="Book Antiqua" w:eastAsia="Book Antiqua" w:hAnsi="Book Antiqua" w:cs="Book Antiqua"/>
        </w:rPr>
        <w:t>:</w:t>
      </w:r>
      <w:r w:rsidRPr="00BF26F2">
        <w:rPr>
          <w:rFonts w:ascii="Book Antiqua" w:eastAsia="Book Antiqua" w:hAnsi="Book Antiqua" w:cs="Book Antiqua"/>
        </w:rPr>
        <w:t xml:space="preserve"> 1.64, 95%CI: 1.48-1.81,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and irritable bowel syndrome (OR</w:t>
      </w:r>
      <w:r w:rsidR="00BF26F2">
        <w:rPr>
          <w:rFonts w:ascii="Book Antiqua" w:eastAsia="Book Antiqua" w:hAnsi="Book Antiqua" w:cs="Book Antiqua"/>
        </w:rPr>
        <w:t>:</w:t>
      </w:r>
      <w:r w:rsidRPr="00BF26F2">
        <w:rPr>
          <w:rFonts w:ascii="Book Antiqua" w:eastAsia="Book Antiqua" w:hAnsi="Book Antiqua" w:cs="Book Antiqua"/>
        </w:rPr>
        <w:t xml:space="preserve"> 1.67, 95%CI: 1.56-1.80,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but not of organic disorders (inflammatory bowel disease, celiac disease). They had more frequent primary care visits for gastrointestinal symptoms [rate ratio (RR)</w:t>
      </w:r>
      <w:r w:rsidR="00BF26F2">
        <w:rPr>
          <w:rFonts w:ascii="Book Antiqua" w:eastAsia="Book Antiqua" w:hAnsi="Book Antiqua" w:cs="Book Antiqua"/>
        </w:rPr>
        <w:t>:</w:t>
      </w:r>
      <w:r w:rsidRPr="00BF26F2">
        <w:rPr>
          <w:rFonts w:ascii="Book Antiqua" w:eastAsia="Book Antiqua" w:hAnsi="Book Antiqua" w:cs="Book Antiqua"/>
        </w:rPr>
        <w:t xml:space="preserve"> 1.25, 95%CI: 1.24-1.26,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and referrals to gastrointestinal specialists (RR</w:t>
      </w:r>
      <w:r w:rsidR="00BF26F2">
        <w:rPr>
          <w:rFonts w:ascii="Book Antiqua" w:eastAsia="Book Antiqua" w:hAnsi="Book Antiqua" w:cs="Book Antiqua"/>
        </w:rPr>
        <w:t>:</w:t>
      </w:r>
      <w:r w:rsidRPr="00BF26F2">
        <w:rPr>
          <w:rFonts w:ascii="Book Antiqua" w:eastAsia="Book Antiqua" w:hAnsi="Book Antiqua" w:cs="Book Antiqua"/>
        </w:rPr>
        <w:t xml:space="preserve"> 1.96, 95%CI: 1.88-2.03,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and more episodes of recurrent gastrointestinal symptoms (RR</w:t>
      </w:r>
      <w:r w:rsidR="00BF26F2">
        <w:rPr>
          <w:rFonts w:ascii="Book Antiqua" w:eastAsia="Book Antiqua" w:hAnsi="Book Antiqua" w:cs="Book Antiqua"/>
        </w:rPr>
        <w:t>:</w:t>
      </w:r>
      <w:r w:rsidRPr="00BF26F2">
        <w:rPr>
          <w:rFonts w:ascii="Book Antiqua" w:eastAsia="Book Antiqua" w:hAnsi="Book Antiqua" w:cs="Book Antiqua"/>
        </w:rPr>
        <w:t xml:space="preserve"> 1.29, 95%CI: 1.21-1.38,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Methylphenidate use increased the risk of dyspepsia (OR</w:t>
      </w:r>
      <w:r w:rsidR="00BF26F2">
        <w:rPr>
          <w:rFonts w:ascii="Book Antiqua" w:eastAsia="Book Antiqua" w:hAnsi="Book Antiqua" w:cs="Book Antiqua"/>
        </w:rPr>
        <w:t>:</w:t>
      </w:r>
      <w:r w:rsidRPr="00BF26F2">
        <w:rPr>
          <w:rFonts w:ascii="Book Antiqua" w:eastAsia="Book Antiqua" w:hAnsi="Book Antiqua" w:cs="Book Antiqua"/>
        </w:rPr>
        <w:t xml:space="preserve"> 1.49, 95%CI: 1.28-1.73,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and constipation (OR</w:t>
      </w:r>
      <w:r w:rsidR="00BF26F2">
        <w:rPr>
          <w:rFonts w:ascii="Book Antiqua" w:eastAsia="Book Antiqua" w:hAnsi="Book Antiqua" w:cs="Book Antiqua"/>
        </w:rPr>
        <w:t>:</w:t>
      </w:r>
      <w:r w:rsidRPr="00BF26F2">
        <w:rPr>
          <w:rFonts w:ascii="Book Antiqua" w:eastAsia="Book Antiqua" w:hAnsi="Book Antiqua" w:cs="Book Antiqua"/>
        </w:rPr>
        <w:t xml:space="preserve"> 1.42, 95%CI: 1.09-1.84, </w:t>
      </w:r>
      <w:r w:rsidRPr="00BF26F2">
        <w:rPr>
          <w:rFonts w:ascii="Book Antiqua" w:eastAsia="Book Antiqua" w:hAnsi="Book Antiqua" w:cs="Book Antiqua"/>
          <w:i/>
          <w:iCs/>
        </w:rPr>
        <w:t xml:space="preserve">P </w:t>
      </w:r>
      <w:r w:rsidRPr="00BF26F2">
        <w:rPr>
          <w:rFonts w:ascii="Book Antiqua" w:eastAsia="Book Antiqua" w:hAnsi="Book Antiqua" w:cs="Book Antiqua"/>
        </w:rPr>
        <w:t xml:space="preserve">= 0.009). </w:t>
      </w:r>
    </w:p>
    <w:p w14:paraId="27FC3B6D" w14:textId="77777777" w:rsidR="00D02FF1" w:rsidRPr="00BF26F2" w:rsidRDefault="00D02FF1" w:rsidP="00BF26F2">
      <w:pPr>
        <w:adjustRightInd w:val="0"/>
        <w:snapToGrid w:val="0"/>
        <w:spacing w:line="360" w:lineRule="auto"/>
        <w:jc w:val="both"/>
        <w:rPr>
          <w:rFonts w:ascii="Book Antiqua" w:hAnsi="Book Antiqua"/>
        </w:rPr>
      </w:pPr>
    </w:p>
    <w:p w14:paraId="12808544"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CONCLUSION</w:t>
      </w:r>
    </w:p>
    <w:p w14:paraId="67852BD0"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ADHD in young adults is associated with an excess of FGID and increased use of related health services. Research is needed to determine if an integrative approach treating both conditions will benefit these patients and cut costs.</w:t>
      </w:r>
    </w:p>
    <w:p w14:paraId="7AEEA78C" w14:textId="77777777" w:rsidR="00D02FF1" w:rsidRPr="00BF26F2" w:rsidRDefault="00D02FF1" w:rsidP="00BF26F2">
      <w:pPr>
        <w:adjustRightInd w:val="0"/>
        <w:snapToGrid w:val="0"/>
        <w:spacing w:line="360" w:lineRule="auto"/>
        <w:jc w:val="both"/>
        <w:rPr>
          <w:rFonts w:ascii="Book Antiqua" w:hAnsi="Book Antiqua"/>
        </w:rPr>
      </w:pPr>
    </w:p>
    <w:p w14:paraId="309E8FA9" w14:textId="7918D25D"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Key Words: </w:t>
      </w:r>
      <w:r w:rsidRPr="00BF26F2">
        <w:rPr>
          <w:rFonts w:ascii="Book Antiqua" w:eastAsia="Book Antiqua" w:hAnsi="Book Antiqua" w:cs="Book Antiqua"/>
        </w:rPr>
        <w:t>Functional gastrointestinal disorders; Irritable bowel syndrome; Dyspepsia; Constipation; Adolescents</w:t>
      </w:r>
    </w:p>
    <w:p w14:paraId="4DFA0C27" w14:textId="77777777" w:rsidR="00D02FF1" w:rsidRPr="00BF26F2" w:rsidRDefault="00D02FF1" w:rsidP="00BF26F2">
      <w:pPr>
        <w:adjustRightInd w:val="0"/>
        <w:snapToGrid w:val="0"/>
        <w:spacing w:line="360" w:lineRule="auto"/>
        <w:jc w:val="both"/>
        <w:rPr>
          <w:rFonts w:ascii="Book Antiqua" w:hAnsi="Book Antiqua"/>
        </w:rPr>
      </w:pPr>
    </w:p>
    <w:p w14:paraId="0CB11222"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Kedem S, Yust-Katz S, Carter D, Levi Z, Kedem R, Dickstein A, Daher S, Katz LH. Attention deficit hyperactivity disorder and gastrointestinal morbidity in a large cohort of young adults. </w:t>
      </w:r>
      <w:r w:rsidRPr="00BF26F2">
        <w:rPr>
          <w:rFonts w:ascii="Book Antiqua" w:eastAsia="Book Antiqua" w:hAnsi="Book Antiqua" w:cs="Book Antiqua"/>
          <w:i/>
          <w:iCs/>
        </w:rPr>
        <w:t>World J Gastroenterol</w:t>
      </w:r>
      <w:r w:rsidRPr="00BF26F2">
        <w:rPr>
          <w:rFonts w:ascii="Book Antiqua" w:eastAsia="Book Antiqua" w:hAnsi="Book Antiqua" w:cs="Book Antiqua"/>
        </w:rPr>
        <w:t xml:space="preserve"> 2020; In press</w:t>
      </w:r>
    </w:p>
    <w:p w14:paraId="00114D4A" w14:textId="77777777" w:rsidR="00D02FF1" w:rsidRPr="00BF26F2" w:rsidRDefault="00D02FF1" w:rsidP="00BF26F2">
      <w:pPr>
        <w:adjustRightInd w:val="0"/>
        <w:snapToGrid w:val="0"/>
        <w:spacing w:line="360" w:lineRule="auto"/>
        <w:jc w:val="both"/>
        <w:rPr>
          <w:rFonts w:ascii="Book Antiqua" w:hAnsi="Book Antiqua"/>
        </w:rPr>
      </w:pPr>
    </w:p>
    <w:p w14:paraId="32CEC66F" w14:textId="6CE03308" w:rsidR="00D02FF1" w:rsidRPr="00BF26F2" w:rsidRDefault="00D02FF1" w:rsidP="00BF26F2">
      <w:pPr>
        <w:adjustRightInd w:val="0"/>
        <w:snapToGrid w:val="0"/>
        <w:spacing w:line="360" w:lineRule="auto"/>
        <w:jc w:val="both"/>
        <w:rPr>
          <w:rFonts w:ascii="Book Antiqua" w:eastAsia="Book Antiqua" w:hAnsi="Book Antiqua" w:cs="Book Antiqua"/>
        </w:rPr>
      </w:pPr>
      <w:r w:rsidRPr="00BF26F2">
        <w:rPr>
          <w:rFonts w:ascii="Book Antiqua" w:eastAsia="Book Antiqua" w:hAnsi="Book Antiqua" w:cs="Book Antiqua"/>
          <w:b/>
          <w:bCs/>
        </w:rPr>
        <w:t xml:space="preserve">Core Tip: </w:t>
      </w:r>
      <w:r w:rsidR="001E63E6">
        <w:rPr>
          <w:rFonts w:ascii="Book Antiqua" w:eastAsia="Book Antiqua" w:hAnsi="Book Antiqua" w:cs="Book Antiqua"/>
        </w:rPr>
        <w:t>T</w:t>
      </w:r>
      <w:r w:rsidRPr="00BF26F2">
        <w:rPr>
          <w:rFonts w:ascii="Book Antiqua" w:eastAsia="Book Antiqua" w:hAnsi="Book Antiqua" w:cs="Book Antiqua"/>
        </w:rPr>
        <w:t>he association of attention deficit hyperactivity disorder (ADHD) with gastrointestinal morbidity and gastrointestinal-associated healthcare burden is unclear. We measured it on a large cohort of young adults, containing 33380 subjects with ADHD and 355652 without. We showed for the first time that ADHD is associated with dyspepsia, chronic constipation, and irritable bowel syndrome but not with inflammatory bowel disease and celiac disease. Furthermore, young adults with ADHD have more frequent primary care visits for gastrointestinal symptoms and referrals to gastrointestinal specialists. ADHD in young adults is associated with an excess of functional gastrointestinal disorders and increased use of related health services.</w:t>
      </w:r>
    </w:p>
    <w:p w14:paraId="180F7C6F" w14:textId="77777777" w:rsidR="00D02FF1" w:rsidRPr="00BF26F2" w:rsidRDefault="00D02FF1" w:rsidP="00BF26F2">
      <w:pPr>
        <w:adjustRightInd w:val="0"/>
        <w:snapToGrid w:val="0"/>
        <w:spacing w:line="360" w:lineRule="auto"/>
        <w:rPr>
          <w:rFonts w:ascii="Book Antiqua" w:eastAsia="Book Antiqua" w:hAnsi="Book Antiqua" w:cs="Book Antiqua"/>
        </w:rPr>
      </w:pPr>
      <w:r w:rsidRPr="00BF26F2">
        <w:rPr>
          <w:rFonts w:ascii="Book Antiqua" w:eastAsia="Book Antiqua" w:hAnsi="Book Antiqua" w:cs="Book Antiqua"/>
        </w:rPr>
        <w:br w:type="page"/>
      </w:r>
    </w:p>
    <w:p w14:paraId="1751DF44"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caps/>
          <w:u w:val="single"/>
        </w:rPr>
        <w:lastRenderedPageBreak/>
        <w:t>INTRODUCTION</w:t>
      </w:r>
    </w:p>
    <w:p w14:paraId="3AEEED2C"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Attention deficit hyperactivity disorder (ADHD) is a chronic condition of inappropriate levels of inattention and/or hyperactivity-impulsiveness that interferes with the quality of social, academic, or occupational functioning. ADHD is one of the most common neuropsychiatric disorders of childhood, with the majority of cases persisting through adulthood</w:t>
      </w:r>
      <w:r w:rsidRPr="00BF26F2">
        <w:rPr>
          <w:rFonts w:ascii="Book Antiqua" w:eastAsia="Book Antiqua" w:hAnsi="Book Antiqua" w:cs="Book Antiqua"/>
          <w:vertAlign w:val="superscript"/>
        </w:rPr>
        <w:t>[1,2]</w:t>
      </w:r>
      <w:r w:rsidRPr="00BF26F2">
        <w:rPr>
          <w:rFonts w:ascii="Book Antiqua" w:eastAsia="Book Antiqua" w:hAnsi="Book Antiqua" w:cs="Book Antiqua"/>
        </w:rPr>
        <w:t>. The estimated prevalence of ADHD in the 18-44-year age group is 3.4% worldwide</w:t>
      </w:r>
      <w:r w:rsidRPr="00BF26F2">
        <w:rPr>
          <w:rFonts w:ascii="Book Antiqua" w:eastAsia="Book Antiqua" w:hAnsi="Book Antiqua" w:cs="Book Antiqua"/>
          <w:vertAlign w:val="superscript"/>
        </w:rPr>
        <w:t>[3]</w:t>
      </w:r>
      <w:r w:rsidRPr="00BF26F2">
        <w:rPr>
          <w:rFonts w:ascii="Book Antiqua" w:eastAsia="Book Antiqua" w:hAnsi="Book Antiqua" w:cs="Book Antiqua"/>
        </w:rPr>
        <w:t>.</w:t>
      </w:r>
    </w:p>
    <w:p w14:paraId="7B0D9709" w14:textId="77777777"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The association of ADHD to psychiatric comorbidity has been well described</w:t>
      </w:r>
      <w:r w:rsidRPr="00BF26F2">
        <w:rPr>
          <w:rFonts w:ascii="Book Antiqua" w:eastAsia="Book Antiqua" w:hAnsi="Book Antiqua" w:cs="Book Antiqua"/>
          <w:vertAlign w:val="superscript"/>
        </w:rPr>
        <w:t>[4-9]</w:t>
      </w:r>
      <w:r w:rsidRPr="00BF26F2">
        <w:rPr>
          <w:rFonts w:ascii="Book Antiqua" w:eastAsia="Book Antiqua" w:hAnsi="Book Antiqua" w:cs="Book Antiqua"/>
        </w:rPr>
        <w:t>, but its association to somatic diseases is less established. According to current literature, ADHD is related to obesity, sleep disorders, and asthma, and may also be associated with otitis media, allergic rhinitis, motor disturbances, urinary symptoms, migraine and celiac disease</w:t>
      </w:r>
      <w:r w:rsidRPr="00BF26F2">
        <w:rPr>
          <w:rFonts w:ascii="Book Antiqua" w:eastAsia="Book Antiqua" w:hAnsi="Book Antiqua" w:cs="Book Antiqua"/>
          <w:vertAlign w:val="superscript"/>
        </w:rPr>
        <w:t>[10-13]</w:t>
      </w:r>
      <w:r w:rsidRPr="00BF26F2">
        <w:rPr>
          <w:rFonts w:ascii="Book Antiqua" w:eastAsia="Book Antiqua" w:hAnsi="Book Antiqua" w:cs="Book Antiqua"/>
        </w:rPr>
        <w:t>.</w:t>
      </w:r>
    </w:p>
    <w:p w14:paraId="53681D3E" w14:textId="7012B5E9"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The literature on gastrointestinal (GI) morbidity in ADHD is scarce in adults. There are more data for children</w:t>
      </w:r>
      <w:r w:rsidR="001E63E6">
        <w:rPr>
          <w:rFonts w:ascii="Book Antiqua" w:eastAsia="Book Antiqua" w:hAnsi="Book Antiqua" w:cs="Book Antiqua"/>
        </w:rPr>
        <w:t xml:space="preserve"> </w:t>
      </w:r>
      <w:r w:rsidRPr="00BF26F2">
        <w:rPr>
          <w:rFonts w:ascii="Book Antiqua" w:eastAsia="Book Antiqua" w:hAnsi="Book Antiqua" w:cs="Book Antiqua"/>
        </w:rPr>
        <w:t xml:space="preserve">but the findings are </w:t>
      </w:r>
      <w:proofErr w:type="gramStart"/>
      <w:r w:rsidRPr="00BF26F2">
        <w:rPr>
          <w:rFonts w:ascii="Book Antiqua" w:eastAsia="Book Antiqua" w:hAnsi="Book Antiqua" w:cs="Book Antiqua"/>
        </w:rPr>
        <w:t>inconsistent</w:t>
      </w:r>
      <w:r w:rsidRPr="00BF26F2">
        <w:rPr>
          <w:rFonts w:ascii="Book Antiqua" w:eastAsia="Book Antiqua" w:hAnsi="Book Antiqua" w:cs="Book Antiqua"/>
          <w:vertAlign w:val="superscript"/>
        </w:rPr>
        <w:t>[</w:t>
      </w:r>
      <w:proofErr w:type="gramEnd"/>
      <w:r w:rsidRPr="00BF26F2">
        <w:rPr>
          <w:rFonts w:ascii="Book Antiqua" w:eastAsia="Book Antiqua" w:hAnsi="Book Antiqua" w:cs="Book Antiqua"/>
          <w:vertAlign w:val="superscript"/>
        </w:rPr>
        <w:t>14}</w:t>
      </w:r>
      <w:r w:rsidRPr="00BF26F2">
        <w:rPr>
          <w:rFonts w:ascii="Book Antiqua" w:eastAsia="Book Antiqua" w:hAnsi="Book Antiqua" w:cs="Book Antiqua"/>
        </w:rPr>
        <w:t>. A few studies reported an increased prevalence of ADHD in children with GI symptoms</w:t>
      </w:r>
      <w:r w:rsidR="001E63E6">
        <w:rPr>
          <w:rFonts w:ascii="Book Antiqua" w:eastAsia="Book Antiqua" w:hAnsi="Book Antiqua" w:cs="Book Antiqua"/>
        </w:rPr>
        <w:t>,</w:t>
      </w:r>
      <w:r w:rsidRPr="00BF26F2">
        <w:rPr>
          <w:rFonts w:ascii="Book Antiqua" w:eastAsia="Book Antiqua" w:hAnsi="Book Antiqua" w:cs="Book Antiqua"/>
        </w:rPr>
        <w:t xml:space="preserve"> such as encopresis, constipation, chronic diarrhea, and irritable bowel syndrome (IBS)</w:t>
      </w:r>
      <w:r w:rsidRPr="00BF26F2">
        <w:rPr>
          <w:rFonts w:ascii="Book Antiqua" w:eastAsia="Book Antiqua" w:hAnsi="Book Antiqua" w:cs="Book Antiqua"/>
          <w:vertAlign w:val="superscript"/>
        </w:rPr>
        <w:t xml:space="preserve"> [15,16}</w:t>
      </w:r>
      <w:r w:rsidRPr="00BF26F2">
        <w:rPr>
          <w:rFonts w:ascii="Book Antiqua" w:eastAsia="Book Antiqua" w:hAnsi="Book Antiqua" w:cs="Book Antiqua"/>
        </w:rPr>
        <w:t>, and others noted higher rates of abdominal distention, abdominal pain, overweight, and food allergy in children with ADHD</w:t>
      </w:r>
      <w:r w:rsidRPr="00BF26F2">
        <w:rPr>
          <w:rFonts w:ascii="Book Antiqua" w:eastAsia="Book Antiqua" w:hAnsi="Book Antiqua" w:cs="Book Antiqua"/>
          <w:vertAlign w:val="superscript"/>
        </w:rPr>
        <w:t>[17-20]</w:t>
      </w:r>
      <w:r w:rsidRPr="00BF26F2">
        <w:rPr>
          <w:rFonts w:ascii="Book Antiqua" w:eastAsia="Book Antiqua" w:hAnsi="Book Antiqua" w:cs="Book Antiqua"/>
        </w:rPr>
        <w:t>. Some studies, however, found no association between ADHD and GI symptoms or body mass index (BMI)</w:t>
      </w:r>
      <w:r w:rsidRPr="00BF26F2">
        <w:rPr>
          <w:rFonts w:ascii="Book Antiqua" w:eastAsia="Book Antiqua" w:hAnsi="Book Antiqua" w:cs="Book Antiqua"/>
          <w:vertAlign w:val="superscript"/>
        </w:rPr>
        <w:t xml:space="preserve"> [21,22}</w:t>
      </w:r>
      <w:r w:rsidRPr="00BF26F2">
        <w:rPr>
          <w:rFonts w:ascii="Book Antiqua" w:eastAsia="Book Antiqua" w:hAnsi="Book Antiqua" w:cs="Book Antiqua"/>
        </w:rPr>
        <w:t>.</w:t>
      </w:r>
    </w:p>
    <w:p w14:paraId="5C36BFCB" w14:textId="77777777"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The aim of this study was to investigate the prevalence and types of gastrointestinal comorbidities in young adults with ADHD and their burden on the healthcare system.</w:t>
      </w:r>
    </w:p>
    <w:p w14:paraId="3B68BAA5" w14:textId="77777777" w:rsidR="00D02FF1" w:rsidRPr="00BF26F2" w:rsidRDefault="00D02FF1" w:rsidP="00BF26F2">
      <w:pPr>
        <w:adjustRightInd w:val="0"/>
        <w:snapToGrid w:val="0"/>
        <w:spacing w:line="360" w:lineRule="auto"/>
        <w:ind w:firstLine="240"/>
        <w:jc w:val="both"/>
        <w:rPr>
          <w:rFonts w:ascii="Book Antiqua" w:hAnsi="Book Antiqua"/>
        </w:rPr>
      </w:pPr>
    </w:p>
    <w:p w14:paraId="3BCD14FF"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caps/>
          <w:u w:val="single"/>
        </w:rPr>
        <w:t>MATERIALS AND METHODS</w:t>
      </w:r>
    </w:p>
    <w:p w14:paraId="45AB584C"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i/>
          <w:iCs/>
        </w:rPr>
        <w:t>Study population</w:t>
      </w:r>
    </w:p>
    <w:p w14:paraId="59673765"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In Israel, one year prior to mandatory recruitment to the Israel Defense Forces (IDF), all eligible men of Jewish, Druze, and Circassian origin, and the majority of women of Jewish origin, undergo a medical assessment which includes review of their primary care medical files, medical history taking, physical examination, and if necessary, referral for further evaluation. The findings are recorded and coded as medical profile. If a major </w:t>
      </w:r>
      <w:r w:rsidRPr="00BF26F2">
        <w:rPr>
          <w:rFonts w:ascii="Book Antiqua" w:eastAsia="Book Antiqua" w:hAnsi="Book Antiqua" w:cs="Book Antiqua"/>
        </w:rPr>
        <w:lastRenderedPageBreak/>
        <w:t>medical problem develops, the profile is adjusted accordingly based on type, duration, and severity</w:t>
      </w:r>
      <w:r w:rsidRPr="00BF26F2">
        <w:rPr>
          <w:rFonts w:ascii="Book Antiqua" w:eastAsia="Book Antiqua" w:hAnsi="Book Antiqua" w:cs="Book Antiqua"/>
          <w:vertAlign w:val="superscript"/>
        </w:rPr>
        <w:t>[23]</w:t>
      </w:r>
      <w:r w:rsidRPr="00BF26F2">
        <w:rPr>
          <w:rFonts w:ascii="Book Antiqua" w:eastAsia="Book Antiqua" w:hAnsi="Book Antiqua" w:cs="Book Antiqua"/>
        </w:rPr>
        <w:t xml:space="preserve">. </w:t>
      </w:r>
    </w:p>
    <w:p w14:paraId="67C50B16" w14:textId="77777777"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 xml:space="preserve">The population of the present study consisted of all young adults of both sexes who were recruited to the IDF between January 2007 and February 2013 and assigned to active duty. This population accounts for about 50% of all Israeli young adult population. The three main groups that are underrepresented in the database are ultra-orthodox men and women, orthodox women and Arabs that are not recruited to active military service. Data were collected retrospectively from the central Medical Corp database for each participant, from recruitment until discharge from military service (mandatory or career) or the end of the study (February 29, 2016). </w:t>
      </w:r>
    </w:p>
    <w:p w14:paraId="0D472C54" w14:textId="18D99D2A"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The study was approved on June 29</w:t>
      </w:r>
      <w:r w:rsidRPr="00BF26F2">
        <w:rPr>
          <w:rFonts w:ascii="Book Antiqua" w:eastAsia="Book Antiqua" w:hAnsi="Book Antiqua" w:cs="Book Antiqua"/>
          <w:vertAlign w:val="superscript"/>
        </w:rPr>
        <w:t>th</w:t>
      </w:r>
      <w:r w:rsidRPr="00BF26F2">
        <w:rPr>
          <w:rFonts w:ascii="Book Antiqua" w:eastAsia="Book Antiqua" w:hAnsi="Book Antiqua" w:cs="Book Antiqua"/>
        </w:rPr>
        <w:t xml:space="preserve"> 2015 by the institutional review board (IRB) of the IDF Medical Corps in accordance with the Helsinki </w:t>
      </w:r>
      <w:r w:rsidR="005842ED">
        <w:rPr>
          <w:rFonts w:ascii="Book Antiqua" w:eastAsia="Book Antiqua" w:hAnsi="Book Antiqua" w:cs="Book Antiqua"/>
        </w:rPr>
        <w:t>D</w:t>
      </w:r>
      <w:r w:rsidRPr="00BF26F2">
        <w:rPr>
          <w:rFonts w:ascii="Book Antiqua" w:eastAsia="Book Antiqua" w:hAnsi="Book Antiqua" w:cs="Book Antiqua"/>
        </w:rPr>
        <w:t xml:space="preserve">eclaration. Since it was a database study and participants could not be identified, exemption from informed consent was given by the IRB. </w:t>
      </w:r>
    </w:p>
    <w:p w14:paraId="7E7C441D" w14:textId="77777777" w:rsidR="00D02FF1" w:rsidRPr="00BF26F2" w:rsidRDefault="00D02FF1" w:rsidP="00BF26F2">
      <w:pPr>
        <w:adjustRightInd w:val="0"/>
        <w:snapToGrid w:val="0"/>
        <w:spacing w:line="360" w:lineRule="auto"/>
        <w:ind w:firstLine="240"/>
        <w:jc w:val="both"/>
        <w:rPr>
          <w:rFonts w:ascii="Book Antiqua" w:hAnsi="Book Antiqua"/>
        </w:rPr>
      </w:pPr>
    </w:p>
    <w:p w14:paraId="004E162F"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i/>
          <w:iCs/>
        </w:rPr>
        <w:t>Anthropometric and sociodemographic data</w:t>
      </w:r>
    </w:p>
    <w:p w14:paraId="4EB5B01C" w14:textId="3B9D94F8"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Height and weight were measured by trained personnel during the obligatory medical board examination using a stadiometer and a beam balance scale. BMI was calculated as weight in kilograms divided by height in meters squared. The following sociodemographic data were collected: year of birth; age at the time of examination; country of birth, categorized as western countries (Europe, America, Australia, South Africa), former Soviet Union, Asia (other than the former Soviet Union; predominantly Western Asia), Africa (other than South Africa; predominantly Maghreb), Ethiopia or Israel; education, categorized as less than 12 years, 12 years, or more than 12 years; and socioeconomic status, ranked on a 10-point Central Bureau of Statistics scale according to place of residence as low (1</w:t>
      </w:r>
      <w:r w:rsidR="00823235" w:rsidRPr="00BF26F2">
        <w:rPr>
          <w:rFonts w:ascii="Book Antiqua" w:eastAsia="Book Antiqua" w:hAnsi="Book Antiqua" w:cs="Book Antiqua"/>
        </w:rPr>
        <w:t>-</w:t>
      </w:r>
      <w:r w:rsidRPr="00BF26F2">
        <w:rPr>
          <w:rFonts w:ascii="Book Antiqua" w:eastAsia="Book Antiqua" w:hAnsi="Book Antiqua" w:cs="Book Antiqua"/>
        </w:rPr>
        <w:t>4), middle (5</w:t>
      </w:r>
      <w:r w:rsidR="00823235" w:rsidRPr="00BF26F2">
        <w:rPr>
          <w:rFonts w:ascii="Book Antiqua" w:eastAsia="Book Antiqua" w:hAnsi="Book Antiqua" w:cs="Book Antiqua"/>
        </w:rPr>
        <w:t>-</w:t>
      </w:r>
      <w:r w:rsidRPr="00BF26F2">
        <w:rPr>
          <w:rFonts w:ascii="Book Antiqua" w:eastAsia="Book Antiqua" w:hAnsi="Book Antiqua" w:cs="Book Antiqua"/>
        </w:rPr>
        <w:t>7) or high (8</w:t>
      </w:r>
      <w:r w:rsidR="004069BF" w:rsidRPr="00BF26F2">
        <w:rPr>
          <w:rFonts w:ascii="Book Antiqua" w:eastAsia="Book Antiqua" w:hAnsi="Book Antiqua" w:cs="Book Antiqua"/>
        </w:rPr>
        <w:t>-</w:t>
      </w:r>
      <w:r w:rsidRPr="00BF26F2">
        <w:rPr>
          <w:rFonts w:ascii="Book Antiqua" w:eastAsia="Book Antiqua" w:hAnsi="Book Antiqua" w:cs="Book Antiqua"/>
        </w:rPr>
        <w:t xml:space="preserve">10). </w:t>
      </w:r>
    </w:p>
    <w:p w14:paraId="2B32145E" w14:textId="77777777" w:rsidR="00D02FF1" w:rsidRPr="00BF26F2" w:rsidRDefault="00D02FF1" w:rsidP="00BF26F2">
      <w:pPr>
        <w:adjustRightInd w:val="0"/>
        <w:snapToGrid w:val="0"/>
        <w:spacing w:line="360" w:lineRule="auto"/>
        <w:jc w:val="both"/>
        <w:rPr>
          <w:rFonts w:ascii="Book Antiqua" w:hAnsi="Book Antiqua"/>
        </w:rPr>
      </w:pPr>
    </w:p>
    <w:p w14:paraId="3B44151E"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i/>
          <w:iCs/>
        </w:rPr>
        <w:t xml:space="preserve">Identification of recruits with ADHD </w:t>
      </w:r>
    </w:p>
    <w:p w14:paraId="3DEAF7DD" w14:textId="1473DA64"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lastRenderedPageBreak/>
        <w:t>In Israel</w:t>
      </w:r>
      <w:r w:rsidR="005842ED">
        <w:rPr>
          <w:rFonts w:ascii="Book Antiqua" w:eastAsia="Book Antiqua" w:hAnsi="Book Antiqua" w:cs="Book Antiqua"/>
        </w:rPr>
        <w:t>,</w:t>
      </w:r>
      <w:r w:rsidRPr="00BF26F2">
        <w:rPr>
          <w:rFonts w:ascii="Book Antiqua" w:eastAsia="Book Antiqua" w:hAnsi="Book Antiqua" w:cs="Book Antiqua"/>
        </w:rPr>
        <w:t xml:space="preserve"> the diagnosis of ADHD in children and adolescents is based on formal questionnaires given to parents and teachers and objective computer</w:t>
      </w:r>
      <w:r w:rsidR="005842ED">
        <w:rPr>
          <w:rFonts w:ascii="Book Antiqua" w:eastAsia="Book Antiqua" w:hAnsi="Book Antiqua" w:cs="Book Antiqua"/>
        </w:rPr>
        <w:t>-</w:t>
      </w:r>
      <w:r w:rsidRPr="00BF26F2">
        <w:rPr>
          <w:rFonts w:ascii="Book Antiqua" w:eastAsia="Book Antiqua" w:hAnsi="Book Antiqua" w:cs="Book Antiqua"/>
        </w:rPr>
        <w:t xml:space="preserve">based tests and psychologic tests as needed. All diagnoses are based on DSM and made by MDs or psychologists, expert in this field. The study population was divided by the absence or presence of ADHD using </w:t>
      </w:r>
      <w:r w:rsidR="005842ED">
        <w:rPr>
          <w:rFonts w:ascii="Book Antiqua" w:eastAsia="Book Antiqua" w:hAnsi="Book Antiqua" w:cs="Book Antiqua"/>
        </w:rPr>
        <w:t>four</w:t>
      </w:r>
      <w:r w:rsidRPr="00BF26F2">
        <w:rPr>
          <w:rFonts w:ascii="Book Antiqua" w:eastAsia="Book Antiqua" w:hAnsi="Book Antiqua" w:cs="Book Antiqua"/>
        </w:rPr>
        <w:t xml:space="preserve"> sources: (1) the medical files of the primary care physicians, reviewed as part of the medical assessment at recruitment to the IDF; (2) the IDF medical profile; (3) medical records during active duty documenting ICD-9 codes 314.0, 314.00 or 314.01; </w:t>
      </w:r>
      <w:r w:rsidR="00906F3B" w:rsidRPr="00BF26F2">
        <w:rPr>
          <w:rFonts w:ascii="Book Antiqua" w:eastAsia="Book Antiqua" w:hAnsi="Book Antiqua" w:cs="Book Antiqua"/>
        </w:rPr>
        <w:t xml:space="preserve">and </w:t>
      </w:r>
      <w:r w:rsidRPr="00BF26F2">
        <w:rPr>
          <w:rFonts w:ascii="Book Antiqua" w:eastAsia="Book Antiqua" w:hAnsi="Book Antiqua" w:cs="Book Antiqua"/>
        </w:rPr>
        <w:t xml:space="preserve">(4) the IDF pharmacy database documenting dispensation of methylphenidate. To account for the possibility that ADHD was under-reported before and during IDF service, for the purpose of this study, any patient who met at least one of the </w:t>
      </w:r>
      <w:r w:rsidR="005842ED">
        <w:rPr>
          <w:rFonts w:ascii="Book Antiqua" w:eastAsia="Book Antiqua" w:hAnsi="Book Antiqua" w:cs="Book Antiqua"/>
        </w:rPr>
        <w:t>four</w:t>
      </w:r>
      <w:r w:rsidRPr="00BF26F2">
        <w:rPr>
          <w:rFonts w:ascii="Book Antiqua" w:eastAsia="Book Antiqua" w:hAnsi="Book Antiqua" w:cs="Book Antiqua"/>
        </w:rPr>
        <w:t xml:space="preserve"> criteria was considered to have ADHD. In some of the analysis, patients who received methylphenidate were analyzed separately from those who did not, because methylphenidate may adversely affect the GI tract. We further divided the ADHD participants who did not receive methylphenidate into </w:t>
      </w:r>
      <w:r w:rsidR="005842ED">
        <w:rPr>
          <w:rFonts w:ascii="Book Antiqua" w:eastAsia="Book Antiqua" w:hAnsi="Book Antiqua" w:cs="Book Antiqua"/>
        </w:rPr>
        <w:t>two</w:t>
      </w:r>
      <w:r w:rsidRPr="00BF26F2">
        <w:rPr>
          <w:rFonts w:ascii="Book Antiqua" w:eastAsia="Book Antiqua" w:hAnsi="Book Antiqua" w:cs="Book Antiqua"/>
        </w:rPr>
        <w:t xml:space="preserve"> more groups: those who were diagnosed before recruitment to the IDF, did not receive specific medical profile and did not seek for medical help regarding ADHD per-se during their active medical service (mild ADHD)</w:t>
      </w:r>
      <w:r w:rsidR="005842ED">
        <w:rPr>
          <w:rFonts w:ascii="Book Antiqua" w:eastAsia="Book Antiqua" w:hAnsi="Book Antiqua" w:cs="Book Antiqua"/>
        </w:rPr>
        <w:t>;</w:t>
      </w:r>
      <w:r w:rsidRPr="00BF26F2">
        <w:rPr>
          <w:rFonts w:ascii="Book Antiqua" w:eastAsia="Book Antiqua" w:hAnsi="Book Antiqua" w:cs="Book Antiqua"/>
        </w:rPr>
        <w:t xml:space="preserve"> and those who got a specific profile or approached their physician because of their ADHD.</w:t>
      </w:r>
    </w:p>
    <w:p w14:paraId="7A33BC90" w14:textId="77777777" w:rsidR="00D02FF1" w:rsidRPr="00BF26F2" w:rsidRDefault="00D02FF1" w:rsidP="00BF26F2">
      <w:pPr>
        <w:adjustRightInd w:val="0"/>
        <w:snapToGrid w:val="0"/>
        <w:spacing w:line="360" w:lineRule="auto"/>
        <w:jc w:val="both"/>
        <w:rPr>
          <w:rFonts w:ascii="Book Antiqua" w:hAnsi="Book Antiqua"/>
        </w:rPr>
      </w:pPr>
    </w:p>
    <w:p w14:paraId="2DD5D401"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i/>
          <w:iCs/>
        </w:rPr>
        <w:t>Identification of recruits with GI symptoms/disease</w:t>
      </w:r>
    </w:p>
    <w:p w14:paraId="7F32EF38" w14:textId="3B8DE57A"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Data on GI symptoms/diseases were collected from the central medical records database of the IDF Medical Corps. Diagnoses of inflammatory bowel diseases (IBD</w:t>
      </w:r>
      <w:r w:rsidR="005842ED">
        <w:rPr>
          <w:rFonts w:ascii="Book Antiqua" w:eastAsia="Book Antiqua" w:hAnsi="Book Antiqua" w:cs="Book Antiqua"/>
        </w:rPr>
        <w:t>s</w:t>
      </w:r>
      <w:r w:rsidRPr="00BF26F2">
        <w:rPr>
          <w:rFonts w:ascii="Book Antiqua" w:eastAsia="Book Antiqua" w:hAnsi="Book Antiqua" w:cs="Book Antiqua"/>
        </w:rPr>
        <w:t>) and celiac disease were based on the medical profile alone because these are major diseases affecting medical service and therefore would need to be determined very precisely at recruitment. For IBD and celiac disease</w:t>
      </w:r>
      <w:r w:rsidR="005842ED">
        <w:rPr>
          <w:rFonts w:ascii="Book Antiqua" w:eastAsia="Book Antiqua" w:hAnsi="Book Antiqua" w:cs="Book Antiqua"/>
        </w:rPr>
        <w:t>,</w:t>
      </w:r>
      <w:r w:rsidRPr="00BF26F2">
        <w:rPr>
          <w:rFonts w:ascii="Book Antiqua" w:eastAsia="Book Antiqua" w:hAnsi="Book Antiqua" w:cs="Book Antiqua"/>
        </w:rPr>
        <w:t xml:space="preserve"> the diagnosis was based on endoscopy and histologic findings</w:t>
      </w:r>
      <w:r w:rsidR="005842ED">
        <w:rPr>
          <w:rFonts w:ascii="Book Antiqua" w:eastAsia="Book Antiqua" w:hAnsi="Book Antiqua" w:cs="Book Antiqua"/>
        </w:rPr>
        <w:t>,</w:t>
      </w:r>
      <w:r w:rsidRPr="00BF26F2">
        <w:rPr>
          <w:rFonts w:ascii="Book Antiqua" w:eastAsia="Book Antiqua" w:hAnsi="Book Antiqua" w:cs="Book Antiqua"/>
        </w:rPr>
        <w:t xml:space="preserve"> and for celiac disease also on serology. Diagnoses of IBS, dyspepsia, and constipation were based on several sources to ensure inclusion of only well-established cases: (1) the IDF medical profile; (2) medical records during active duty documenting ICD-9 codes 564, 564.1, 564.4, 564.10, 536.9 for IBS, ICD-9 code 536.8 for dyspepsia, or ICD-9 codes </w:t>
      </w:r>
      <w:r w:rsidRPr="00BF26F2">
        <w:rPr>
          <w:rFonts w:ascii="Book Antiqua" w:eastAsia="Book Antiqua" w:hAnsi="Book Antiqua" w:cs="Book Antiqua"/>
        </w:rPr>
        <w:lastRenderedPageBreak/>
        <w:t xml:space="preserve">564.0, 564.01, 564.02 for constipation, as assigned by a gastroenterologist expert; or (3) medical records during active duty documenting these ICD-9 codes assigned by a physician other than a gastroenterologist if the two recordings were separated by an interval of at least 6 mo. Constipation was diagnosed for this study only after hypothyroidism, diabetes and hypercalcemia were ruled out. </w:t>
      </w:r>
      <w:r w:rsidR="005842ED">
        <w:rPr>
          <w:rFonts w:ascii="Book Antiqua" w:eastAsia="Book Antiqua" w:hAnsi="Book Antiqua" w:cs="Book Antiqua"/>
        </w:rPr>
        <w:t>F</w:t>
      </w:r>
      <w:r w:rsidR="005842ED" w:rsidRPr="00BF26F2">
        <w:rPr>
          <w:rFonts w:ascii="Book Antiqua" w:eastAsia="Book Antiqua" w:hAnsi="Book Antiqua" w:cs="Book Antiqua"/>
        </w:rPr>
        <w:t xml:space="preserve">unctional gastrointestinal disorder </w:t>
      </w:r>
      <w:r w:rsidR="005842ED">
        <w:rPr>
          <w:rFonts w:ascii="Book Antiqua" w:eastAsia="Book Antiqua" w:hAnsi="Book Antiqua" w:cs="Book Antiqua"/>
        </w:rPr>
        <w:t>(</w:t>
      </w:r>
      <w:r w:rsidRPr="00BF26F2">
        <w:rPr>
          <w:rFonts w:ascii="Book Antiqua" w:eastAsia="Book Antiqua" w:hAnsi="Book Antiqua" w:cs="Book Antiqua"/>
        </w:rPr>
        <w:t>FGID</w:t>
      </w:r>
      <w:r w:rsidR="005842ED">
        <w:rPr>
          <w:rFonts w:ascii="Book Antiqua" w:eastAsia="Book Antiqua" w:hAnsi="Book Antiqua" w:cs="Book Antiqua"/>
        </w:rPr>
        <w:t>)</w:t>
      </w:r>
      <w:r w:rsidRPr="00BF26F2">
        <w:rPr>
          <w:rFonts w:ascii="Book Antiqua" w:eastAsia="Book Antiqua" w:hAnsi="Book Antiqua" w:cs="Book Antiqua"/>
        </w:rPr>
        <w:t xml:space="preserve"> </w:t>
      </w:r>
      <w:r w:rsidR="005842ED">
        <w:rPr>
          <w:rFonts w:ascii="Book Antiqua" w:eastAsia="Book Antiqua" w:hAnsi="Book Antiqua" w:cs="Book Antiqua"/>
        </w:rPr>
        <w:t>was defined as</w:t>
      </w:r>
      <w:r w:rsidRPr="00BF26F2">
        <w:rPr>
          <w:rFonts w:ascii="Book Antiqua" w:eastAsia="Book Antiqua" w:hAnsi="Book Antiqua" w:cs="Book Antiqua"/>
        </w:rPr>
        <w:t xml:space="preserve"> the presence of either IBS, dyspepsia</w:t>
      </w:r>
      <w:r w:rsidR="005842ED">
        <w:rPr>
          <w:rFonts w:ascii="Book Antiqua" w:eastAsia="Book Antiqua" w:hAnsi="Book Antiqua" w:cs="Book Antiqua"/>
        </w:rPr>
        <w:t>,</w:t>
      </w:r>
      <w:r w:rsidRPr="00BF26F2">
        <w:rPr>
          <w:rFonts w:ascii="Book Antiqua" w:eastAsia="Book Antiqua" w:hAnsi="Book Antiqua" w:cs="Book Antiqua"/>
        </w:rPr>
        <w:t xml:space="preserve"> and/or constipation.</w:t>
      </w:r>
    </w:p>
    <w:p w14:paraId="601034C6" w14:textId="77777777"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GI symptoms besides dyspepsia and constipation</w:t>
      </w:r>
      <w:r w:rsidRPr="00BF26F2">
        <w:rPr>
          <w:rFonts w:ascii="Book Antiqua" w:eastAsia="Book Antiqua" w:hAnsi="Book Antiqua" w:cs="Book Antiqua"/>
          <w:rtl/>
        </w:rPr>
        <w:t xml:space="preserve"> </w:t>
      </w:r>
      <w:r w:rsidRPr="00BF26F2">
        <w:rPr>
          <w:rFonts w:ascii="Book Antiqua" w:eastAsia="Book Antiqua" w:hAnsi="Book Antiqua" w:cs="Book Antiqua"/>
        </w:rPr>
        <w:t>were categorized into 12 groups based on ICD-9 codes (</w:t>
      </w:r>
      <w:r w:rsidRPr="00BF26F2">
        <w:rPr>
          <w:rFonts w:ascii="Book Antiqua" w:eastAsia="Book Antiqua" w:hAnsi="Book Antiqua" w:cs="Book Antiqua"/>
          <w:caps/>
        </w:rPr>
        <w:t>s</w:t>
      </w:r>
      <w:r w:rsidRPr="00BF26F2">
        <w:rPr>
          <w:rFonts w:ascii="Book Antiqua" w:eastAsia="Book Antiqua" w:hAnsi="Book Antiqua" w:cs="Book Antiqua"/>
        </w:rPr>
        <w:t xml:space="preserve">upplementary </w:t>
      </w:r>
      <w:r w:rsidRPr="00BF26F2">
        <w:rPr>
          <w:rFonts w:ascii="Book Antiqua" w:eastAsia="Book Antiqua" w:hAnsi="Book Antiqua" w:cs="Book Antiqua"/>
          <w:caps/>
        </w:rPr>
        <w:t>t</w:t>
      </w:r>
      <w:r w:rsidRPr="00BF26F2">
        <w:rPr>
          <w:rFonts w:ascii="Book Antiqua" w:eastAsia="Book Antiqua" w:hAnsi="Book Antiqua" w:cs="Book Antiqua"/>
        </w:rPr>
        <w:t>able 1).</w:t>
      </w:r>
    </w:p>
    <w:p w14:paraId="68C56C77" w14:textId="77777777"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 xml:space="preserve">Recurrent symptoms were defined as any of the GI symptoms recorded more than twice during a period of 3-12 mo. </w:t>
      </w:r>
    </w:p>
    <w:p w14:paraId="78DEF794" w14:textId="77777777" w:rsidR="00D02FF1" w:rsidRPr="00BF26F2" w:rsidRDefault="00D02FF1" w:rsidP="00BF26F2">
      <w:pPr>
        <w:adjustRightInd w:val="0"/>
        <w:snapToGrid w:val="0"/>
        <w:spacing w:line="360" w:lineRule="auto"/>
        <w:ind w:firstLine="240"/>
        <w:jc w:val="both"/>
        <w:rPr>
          <w:rFonts w:ascii="Book Antiqua" w:hAnsi="Book Antiqua"/>
        </w:rPr>
      </w:pPr>
    </w:p>
    <w:p w14:paraId="1CCCED9E"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i/>
          <w:iCs/>
        </w:rPr>
        <w:t>Outcome measures</w:t>
      </w:r>
    </w:p>
    <w:p w14:paraId="7CC47BD2"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Outcome measures for the present study were as follows: diagnosis of IBS, dyspepsia, constipation, IBD, and celiac disease; GI symptoms as the reason for a primary care clinic visit, referral to a GI specialist, and recurrent GI complaints. Independent variables included ADHD and other medical, demographic, and anthropometric data. </w:t>
      </w:r>
    </w:p>
    <w:p w14:paraId="18CF14B0" w14:textId="77777777" w:rsidR="00D02FF1" w:rsidRPr="00BF26F2" w:rsidRDefault="00D02FF1" w:rsidP="00BF26F2">
      <w:pPr>
        <w:adjustRightInd w:val="0"/>
        <w:snapToGrid w:val="0"/>
        <w:spacing w:line="360" w:lineRule="auto"/>
        <w:jc w:val="both"/>
        <w:rPr>
          <w:rFonts w:ascii="Book Antiqua" w:hAnsi="Book Antiqua"/>
        </w:rPr>
      </w:pPr>
    </w:p>
    <w:p w14:paraId="5B595EE8" w14:textId="59AAAE2A"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i/>
          <w:iCs/>
        </w:rPr>
        <w:t>Statistical analysis</w:t>
      </w:r>
    </w:p>
    <w:p w14:paraId="0E9AC240" w14:textId="074D0223"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The characteristics of the participants are presented as arithmetic mean and standard deviation (± SD) for continuous variables or as number and percentage for categorical variables. The association between ADHD and continuous variables was measured by Student</w:t>
      </w:r>
      <w:r w:rsidR="005842ED">
        <w:rPr>
          <w:rFonts w:ascii="Book Antiqua" w:eastAsia="Book Antiqua" w:hAnsi="Book Antiqua" w:cs="Book Antiqua"/>
        </w:rPr>
        <w:t>’s</w:t>
      </w:r>
      <w:r w:rsidRPr="00BF26F2">
        <w:rPr>
          <w:rFonts w:ascii="Book Antiqua" w:eastAsia="Book Antiqua" w:hAnsi="Book Antiqua" w:cs="Book Antiqua"/>
        </w:rPr>
        <w:t xml:space="preserve"> </w:t>
      </w:r>
      <w:r w:rsidRPr="00BF26F2">
        <w:rPr>
          <w:rFonts w:ascii="Book Antiqua" w:eastAsia="Book Antiqua" w:hAnsi="Book Antiqua" w:cs="Book Antiqua"/>
          <w:i/>
          <w:iCs/>
        </w:rPr>
        <w:t>t</w:t>
      </w:r>
      <w:r w:rsidRPr="00BF26F2">
        <w:rPr>
          <w:rFonts w:ascii="Book Antiqua" w:eastAsia="Book Antiqua" w:hAnsi="Book Antiqua" w:cs="Book Antiqua"/>
        </w:rPr>
        <w:t>-test</w:t>
      </w:r>
      <w:r w:rsidRPr="00BF26F2">
        <w:rPr>
          <w:rFonts w:ascii="Book Antiqua" w:eastAsia="Book Antiqua" w:hAnsi="Book Antiqua" w:cs="Book Antiqua"/>
          <w:rtl/>
        </w:rPr>
        <w:t xml:space="preserve"> </w:t>
      </w:r>
      <w:r w:rsidRPr="00BF26F2">
        <w:rPr>
          <w:rFonts w:ascii="Book Antiqua" w:eastAsia="Book Antiqua" w:hAnsi="Book Antiqua" w:cs="Book Antiqua"/>
        </w:rPr>
        <w:t>and validated by Mann-Whitney test when the distribution of the continuous variables was abnormal. The association of ADHD with categorical variables was measured with chi-square test (</w:t>
      </w:r>
      <w:r w:rsidRPr="00BF26F2">
        <w:rPr>
          <w:rFonts w:ascii="Book Antiqua" w:eastAsia="Book Antiqua" w:hAnsi="Book Antiqua" w:cs="Book Antiqua"/>
          <w:i/>
        </w:rPr>
        <w:t>χ</w:t>
      </w:r>
      <w:r w:rsidRPr="00BF26F2">
        <w:rPr>
          <w:rFonts w:ascii="Book Antiqua" w:eastAsia="Book Antiqua" w:hAnsi="Book Antiqua" w:cs="Book Antiqua"/>
          <w:vertAlign w:val="superscript"/>
        </w:rPr>
        <w:t>2</w:t>
      </w:r>
      <w:r w:rsidRPr="00BF26F2">
        <w:rPr>
          <w:rFonts w:ascii="Book Antiqua" w:eastAsia="Book Antiqua" w:hAnsi="Book Antiqua" w:cs="Book Antiqua"/>
        </w:rPr>
        <w:t>) or Fisher</w:t>
      </w:r>
      <w:r w:rsidR="005842ED">
        <w:rPr>
          <w:rFonts w:ascii="Book Antiqua" w:eastAsia="Book Antiqua" w:hAnsi="Book Antiqua" w:cs="Book Antiqua"/>
        </w:rPr>
        <w:t>’s</w:t>
      </w:r>
      <w:r w:rsidRPr="00BF26F2">
        <w:rPr>
          <w:rFonts w:ascii="Book Antiqua" w:eastAsia="Book Antiqua" w:hAnsi="Book Antiqua" w:cs="Book Antiqua"/>
        </w:rPr>
        <w:t xml:space="preserve"> exact test as appropriate. For regression analysis</w:t>
      </w:r>
      <w:r w:rsidR="005842ED">
        <w:rPr>
          <w:rFonts w:ascii="Book Antiqua" w:eastAsia="Book Antiqua" w:hAnsi="Book Antiqua" w:cs="Book Antiqua"/>
        </w:rPr>
        <w:t>,</w:t>
      </w:r>
      <w:r w:rsidRPr="00BF26F2">
        <w:rPr>
          <w:rFonts w:ascii="Book Antiqua" w:eastAsia="Book Antiqua" w:hAnsi="Book Antiqua" w:cs="Book Antiqua"/>
        </w:rPr>
        <w:t xml:space="preserve"> we used generalized linear models with ADHD as the independent binary logistic variable. The recruits without ADHD served as the reference group, and the confounders were the sociodemographic and anthropometric variables. Gender and suspected confounders that showed a significant association on univariate analysis at a </w:t>
      </w:r>
      <w:r w:rsidRPr="00BF26F2">
        <w:rPr>
          <w:rFonts w:ascii="Book Antiqua" w:eastAsia="Book Antiqua" w:hAnsi="Book Antiqua" w:cs="Book Antiqua"/>
          <w:i/>
          <w:iCs/>
        </w:rPr>
        <w:t>P</w:t>
      </w:r>
      <w:r w:rsidRPr="00BF26F2">
        <w:rPr>
          <w:rFonts w:ascii="Book Antiqua" w:eastAsia="Book Antiqua" w:hAnsi="Book Antiqua" w:cs="Book Antiqua"/>
        </w:rPr>
        <w:t xml:space="preserve"> </w:t>
      </w:r>
      <w:r w:rsidRPr="00BF26F2">
        <w:rPr>
          <w:rFonts w:ascii="Book Antiqua" w:eastAsia="Book Antiqua" w:hAnsi="Book Antiqua" w:cs="Book Antiqua"/>
        </w:rPr>
        <w:lastRenderedPageBreak/>
        <w:t>level of &lt; 0.10 were entered into the multivariate model. All data were generated with IBM-SPSS software, version 23</w:t>
      </w:r>
      <w:r w:rsidR="005842ED">
        <w:rPr>
          <w:rFonts w:ascii="Book Antiqua" w:eastAsia="Book Antiqua" w:hAnsi="Book Antiqua" w:cs="Book Antiqua"/>
        </w:rPr>
        <w:t xml:space="preserve"> (IBM Corp., Armonk, NY, United States)</w:t>
      </w:r>
      <w:r w:rsidRPr="00BF26F2">
        <w:rPr>
          <w:rFonts w:ascii="Book Antiqua" w:eastAsia="Book Antiqua" w:hAnsi="Book Antiqua" w:cs="Book Antiqua"/>
        </w:rPr>
        <w:t>.</w:t>
      </w:r>
    </w:p>
    <w:p w14:paraId="621ACE2A" w14:textId="77777777" w:rsidR="00D02FF1" w:rsidRPr="00BF26F2" w:rsidRDefault="00D02FF1" w:rsidP="00BF26F2">
      <w:pPr>
        <w:adjustRightInd w:val="0"/>
        <w:snapToGrid w:val="0"/>
        <w:spacing w:line="360" w:lineRule="auto"/>
        <w:jc w:val="both"/>
        <w:rPr>
          <w:rFonts w:ascii="Book Antiqua" w:hAnsi="Book Antiqua"/>
        </w:rPr>
      </w:pPr>
    </w:p>
    <w:p w14:paraId="396414F3"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caps/>
          <w:u w:val="single"/>
        </w:rPr>
        <w:t>RESULTS</w:t>
      </w:r>
    </w:p>
    <w:p w14:paraId="4F847323"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i/>
          <w:iCs/>
        </w:rPr>
        <w:t>Patients' characteristics</w:t>
      </w:r>
    </w:p>
    <w:p w14:paraId="2741DCC9" w14:textId="5522F700" w:rsidR="00D02FF1" w:rsidRPr="00BF26F2" w:rsidRDefault="009916BB"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The cohort included 389</w:t>
      </w:r>
      <w:r w:rsidR="005842ED">
        <w:rPr>
          <w:rFonts w:ascii="Book Antiqua" w:eastAsia="Book Antiqua" w:hAnsi="Book Antiqua" w:cs="Book Antiqua"/>
        </w:rPr>
        <w:t>,</w:t>
      </w:r>
      <w:r w:rsidR="00D02FF1" w:rsidRPr="00BF26F2">
        <w:rPr>
          <w:rFonts w:ascii="Book Antiqua" w:eastAsia="Book Antiqua" w:hAnsi="Book Antiqua" w:cs="Book Antiqua"/>
        </w:rPr>
        <w:t xml:space="preserve">032 recruits, 41.3% female, aged 17-35 years, of whom 33,380 (8.6%) had ADHD. Table 1 describes the sociodemographic characteristics of the cohort. Data were missing on country of birth </w:t>
      </w:r>
      <w:r w:rsidR="005842ED">
        <w:rPr>
          <w:rFonts w:ascii="Book Antiqua" w:eastAsia="Book Antiqua" w:hAnsi="Book Antiqua" w:cs="Book Antiqua"/>
        </w:rPr>
        <w:t>for</w:t>
      </w:r>
      <w:r w:rsidR="00D02FF1" w:rsidRPr="00BF26F2">
        <w:rPr>
          <w:rFonts w:ascii="Book Antiqua" w:eastAsia="Book Antiqua" w:hAnsi="Book Antiqua" w:cs="Book Antiqua"/>
        </w:rPr>
        <w:t xml:space="preserve"> 0.87% of subjects, socioeconomic status </w:t>
      </w:r>
      <w:r w:rsidR="005842ED">
        <w:rPr>
          <w:rFonts w:ascii="Book Antiqua" w:eastAsia="Book Antiqua" w:hAnsi="Book Antiqua" w:cs="Book Antiqua"/>
        </w:rPr>
        <w:t>for</w:t>
      </w:r>
      <w:r w:rsidR="00D02FF1" w:rsidRPr="00BF26F2">
        <w:rPr>
          <w:rFonts w:ascii="Book Antiqua" w:eastAsia="Book Antiqua" w:hAnsi="Book Antiqua" w:cs="Book Antiqua"/>
        </w:rPr>
        <w:t xml:space="preserve"> 1.63%, and educ</w:t>
      </w:r>
      <w:r w:rsidR="005842ED">
        <w:rPr>
          <w:rFonts w:ascii="Book Antiqua" w:eastAsia="Book Antiqua" w:hAnsi="Book Antiqua" w:cs="Book Antiqua"/>
        </w:rPr>
        <w:t>a</w:t>
      </w:r>
      <w:r w:rsidR="00D02FF1" w:rsidRPr="00BF26F2">
        <w:rPr>
          <w:rFonts w:ascii="Book Antiqua" w:eastAsia="Book Antiqua" w:hAnsi="Book Antiqua" w:cs="Book Antiqua"/>
        </w:rPr>
        <w:t xml:space="preserve">tion </w:t>
      </w:r>
      <w:r w:rsidR="005842ED">
        <w:rPr>
          <w:rFonts w:ascii="Book Antiqua" w:eastAsia="Book Antiqua" w:hAnsi="Book Antiqua" w:cs="Book Antiqua"/>
        </w:rPr>
        <w:t>for</w:t>
      </w:r>
      <w:r w:rsidR="00D02FF1" w:rsidRPr="00BF26F2">
        <w:rPr>
          <w:rFonts w:ascii="Book Antiqua" w:eastAsia="Book Antiqua" w:hAnsi="Book Antiqua" w:cs="Book Antiqua"/>
        </w:rPr>
        <w:t xml:space="preserve"> 1.21%. Most ADHD patients (</w:t>
      </w:r>
      <w:r w:rsidR="00D02FF1" w:rsidRPr="00BF26F2">
        <w:rPr>
          <w:rFonts w:ascii="Book Antiqua" w:eastAsia="Book Antiqua" w:hAnsi="Book Antiqua" w:cs="Book Antiqua"/>
          <w:i/>
          <w:iCs/>
        </w:rPr>
        <w:t xml:space="preserve">n </w:t>
      </w:r>
      <w:r w:rsidRPr="00BF26F2">
        <w:rPr>
          <w:rFonts w:ascii="Book Antiqua" w:eastAsia="Book Antiqua" w:hAnsi="Book Antiqua" w:cs="Book Antiqua"/>
        </w:rPr>
        <w:t>= 23</w:t>
      </w:r>
      <w:r w:rsidR="00454DE9">
        <w:rPr>
          <w:rFonts w:ascii="Book Antiqua" w:eastAsia="Book Antiqua" w:hAnsi="Book Antiqua" w:cs="Book Antiqua"/>
        </w:rPr>
        <w:t>,</w:t>
      </w:r>
      <w:r w:rsidR="00D02FF1" w:rsidRPr="00BF26F2">
        <w:rPr>
          <w:rFonts w:ascii="Book Antiqua" w:eastAsia="Book Antiqua" w:hAnsi="Book Antiqua" w:cs="Book Antiqua"/>
        </w:rPr>
        <w:t>138, 69.3%) had mild ADHD, and only 3,980 subjects (11.9%) received anti</w:t>
      </w:r>
      <w:r w:rsidR="005842ED">
        <w:rPr>
          <w:rFonts w:ascii="Book Antiqua" w:eastAsia="Book Antiqua" w:hAnsi="Book Antiqua" w:cs="Book Antiqua"/>
        </w:rPr>
        <w:t>-</w:t>
      </w:r>
      <w:r w:rsidR="00D02FF1" w:rsidRPr="00BF26F2">
        <w:rPr>
          <w:rFonts w:ascii="Book Antiqua" w:eastAsia="Book Antiqua" w:hAnsi="Book Antiqua" w:cs="Book Antiqua"/>
        </w:rPr>
        <w:t xml:space="preserve">ADHD drugs during the study period. The ADHD group had a higher percentage of females than the control group (43.3% </w:t>
      </w:r>
      <w:r w:rsidR="00D02FF1" w:rsidRPr="00BF26F2">
        <w:rPr>
          <w:rFonts w:ascii="Book Antiqua" w:eastAsia="Book Antiqua" w:hAnsi="Book Antiqua" w:cs="Book Antiqua"/>
          <w:i/>
          <w:iCs/>
        </w:rPr>
        <w:t>vs</w:t>
      </w:r>
      <w:r w:rsidR="00D02FF1" w:rsidRPr="00BF26F2">
        <w:rPr>
          <w:rFonts w:ascii="Book Antiqua" w:eastAsia="Book Antiqua" w:hAnsi="Book Antiqua" w:cs="Book Antiqua"/>
        </w:rPr>
        <w:t xml:space="preserve"> 41.1%, </w:t>
      </w:r>
      <w:r w:rsidR="00D02FF1" w:rsidRPr="00BF26F2">
        <w:rPr>
          <w:rFonts w:ascii="Book Antiqua" w:eastAsia="Book Antiqua" w:hAnsi="Book Antiqua" w:cs="Book Antiqua"/>
          <w:i/>
          <w:iCs/>
        </w:rPr>
        <w:t xml:space="preserve">P </w:t>
      </w:r>
      <w:r w:rsidR="00D02FF1" w:rsidRPr="00BF26F2">
        <w:rPr>
          <w:rFonts w:ascii="Book Antiqua" w:eastAsia="Book Antiqua" w:hAnsi="Book Antiqua" w:cs="Book Antiqua"/>
        </w:rPr>
        <w:t>&lt; 0.001), but this higher proportion occurred only in the mild ADHD group. The ADHD group also had a higher mean socioeconomic class and a higher BMI (</w:t>
      </w:r>
      <w:r w:rsidR="00D02FF1" w:rsidRPr="00BF26F2">
        <w:rPr>
          <w:rFonts w:ascii="Book Antiqua" w:eastAsia="Book Antiqua" w:hAnsi="Book Antiqua" w:cs="Book Antiqua"/>
          <w:i/>
          <w:iCs/>
        </w:rPr>
        <w:t>P</w:t>
      </w:r>
      <w:r w:rsidR="00D02FF1" w:rsidRPr="00BF26F2">
        <w:rPr>
          <w:rFonts w:ascii="Book Antiqua" w:eastAsia="Book Antiqua" w:hAnsi="Book Antiqua" w:cs="Book Antiqua"/>
        </w:rPr>
        <w:t xml:space="preserve"> &lt; 0.001 for all). </w:t>
      </w:r>
    </w:p>
    <w:p w14:paraId="24BFC10B" w14:textId="77777777" w:rsidR="00D02FF1" w:rsidRPr="00BF26F2" w:rsidRDefault="00D02FF1" w:rsidP="00BF26F2">
      <w:pPr>
        <w:adjustRightInd w:val="0"/>
        <w:snapToGrid w:val="0"/>
        <w:spacing w:line="360" w:lineRule="auto"/>
        <w:jc w:val="both"/>
        <w:rPr>
          <w:rFonts w:ascii="Book Antiqua" w:hAnsi="Book Antiqua"/>
        </w:rPr>
      </w:pPr>
    </w:p>
    <w:p w14:paraId="6B5D9B69"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i/>
          <w:iCs/>
        </w:rPr>
        <w:t>GI-related diseases and syndromes</w:t>
      </w:r>
    </w:p>
    <w:p w14:paraId="011FF1E0" w14:textId="124A4C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Compared to controls, the ADHD group had a higher rate of dyspepsia </w:t>
      </w:r>
      <w:r w:rsidR="005842ED">
        <w:rPr>
          <w:rFonts w:ascii="Book Antiqua" w:eastAsia="Book Antiqua" w:hAnsi="Book Antiqua" w:cs="Book Antiqua"/>
        </w:rPr>
        <w:t>[</w:t>
      </w:r>
      <w:r w:rsidRPr="00BF26F2">
        <w:rPr>
          <w:rFonts w:ascii="Book Antiqua" w:eastAsia="Book Antiqua" w:hAnsi="Book Antiqua" w:cs="Book Antiqua"/>
        </w:rPr>
        <w:t>399/10</w:t>
      </w:r>
      <w:r w:rsidRPr="00BF26F2">
        <w:rPr>
          <w:rFonts w:ascii="Book Antiqua" w:eastAsia="Book Antiqua" w:hAnsi="Book Antiqua" w:cs="Book Antiqua"/>
          <w:vertAlign w:val="superscript"/>
        </w:rPr>
        <w:t>4</w:t>
      </w:r>
      <w:r w:rsidRPr="00BF26F2">
        <w:rPr>
          <w:rFonts w:ascii="Book Antiqua" w:eastAsia="Book Antiqua" w:hAnsi="Book Antiqua" w:cs="Book Antiqua"/>
        </w:rPr>
        <w:t xml:space="preserve"> </w:t>
      </w:r>
      <w:r w:rsidRPr="00BF26F2">
        <w:rPr>
          <w:rFonts w:ascii="Book Antiqua" w:eastAsia="Book Antiqua" w:hAnsi="Book Antiqua" w:cs="Book Antiqua"/>
          <w:i/>
          <w:iCs/>
        </w:rPr>
        <w:t>vs</w:t>
      </w:r>
      <w:r w:rsidRPr="00BF26F2">
        <w:rPr>
          <w:rFonts w:ascii="Book Antiqua" w:eastAsia="Book Antiqua" w:hAnsi="Book Antiqua" w:cs="Book Antiqua"/>
        </w:rPr>
        <w:t xml:space="preserve"> 273/10</w:t>
      </w:r>
      <w:r w:rsidRPr="00BF26F2">
        <w:rPr>
          <w:rFonts w:ascii="Book Antiqua" w:eastAsia="Book Antiqua" w:hAnsi="Book Antiqua" w:cs="Book Antiqua"/>
          <w:vertAlign w:val="superscript"/>
        </w:rPr>
        <w:t>4</w:t>
      </w:r>
      <w:r w:rsidRPr="00BF26F2">
        <w:rPr>
          <w:rFonts w:ascii="Book Antiqua" w:eastAsia="Book Antiqua" w:hAnsi="Book Antiqua" w:cs="Book Antiqua"/>
        </w:rPr>
        <w:t xml:space="preserve">, </w:t>
      </w:r>
      <w:r w:rsidR="005842ED">
        <w:rPr>
          <w:rFonts w:ascii="Book Antiqua" w:eastAsia="Book Antiqua" w:hAnsi="Book Antiqua" w:cs="Book Antiqua"/>
        </w:rPr>
        <w:t>odds ratio (</w:t>
      </w:r>
      <w:r w:rsidRPr="00BF26F2">
        <w:rPr>
          <w:rFonts w:ascii="Book Antiqua" w:eastAsia="Book Antiqua" w:hAnsi="Book Antiqua" w:cs="Book Antiqua"/>
        </w:rPr>
        <w:t>OR</w:t>
      </w:r>
      <w:r w:rsidR="005842ED">
        <w:rPr>
          <w:rFonts w:ascii="Book Antiqua" w:eastAsia="Book Antiqua" w:hAnsi="Book Antiqua" w:cs="Book Antiqua"/>
        </w:rPr>
        <w:t>):</w:t>
      </w:r>
      <w:r w:rsidRPr="00BF26F2">
        <w:rPr>
          <w:rFonts w:ascii="Book Antiqua" w:eastAsia="Book Antiqua" w:hAnsi="Book Antiqua" w:cs="Book Antiqua"/>
        </w:rPr>
        <w:t xml:space="preserve"> 1.48, 95%</w:t>
      </w:r>
      <w:r w:rsidR="005842ED">
        <w:rPr>
          <w:rFonts w:ascii="Book Antiqua" w:eastAsia="Book Antiqua" w:hAnsi="Book Antiqua" w:cs="Book Antiqua"/>
        </w:rPr>
        <w:t xml:space="preserve"> confidence interval (</w:t>
      </w:r>
      <w:r w:rsidRPr="00BF26F2">
        <w:rPr>
          <w:rFonts w:ascii="Book Antiqua" w:eastAsia="Book Antiqua" w:hAnsi="Book Antiqua" w:cs="Book Antiqua"/>
        </w:rPr>
        <w:t>CI</w:t>
      </w:r>
      <w:r w:rsidR="005842ED">
        <w:rPr>
          <w:rFonts w:ascii="Book Antiqua" w:eastAsia="Book Antiqua" w:hAnsi="Book Antiqua" w:cs="Book Antiqua"/>
        </w:rPr>
        <w:t>)</w:t>
      </w:r>
      <w:r w:rsidRPr="00BF26F2">
        <w:rPr>
          <w:rFonts w:ascii="Book Antiqua" w:eastAsia="Book Antiqua" w:hAnsi="Book Antiqua" w:cs="Book Antiqua"/>
        </w:rPr>
        <w:t xml:space="preserve">: 1.40-1.57, </w:t>
      </w:r>
      <w:r w:rsidRPr="00BF26F2">
        <w:rPr>
          <w:rFonts w:ascii="Book Antiqua" w:eastAsia="Book Antiqua" w:hAnsi="Book Antiqua" w:cs="Book Antiqua"/>
          <w:i/>
          <w:iCs/>
        </w:rPr>
        <w:t xml:space="preserve">P </w:t>
      </w:r>
      <w:r w:rsidRPr="00BF26F2">
        <w:rPr>
          <w:rFonts w:ascii="Book Antiqua" w:eastAsia="Book Antiqua" w:hAnsi="Book Antiqua" w:cs="Book Antiqua"/>
        </w:rPr>
        <w:t>&lt; 0.001</w:t>
      </w:r>
      <w:r w:rsidR="005842ED">
        <w:rPr>
          <w:rFonts w:ascii="Book Antiqua" w:eastAsia="Book Antiqua" w:hAnsi="Book Antiqua" w:cs="Book Antiqua"/>
        </w:rPr>
        <w:t>]</w:t>
      </w:r>
      <w:r w:rsidRPr="00BF26F2">
        <w:rPr>
          <w:rFonts w:ascii="Book Antiqua" w:eastAsia="Book Antiqua" w:hAnsi="Book Antiqua" w:cs="Book Antiqua"/>
        </w:rPr>
        <w:t>, constipation (129/10</w:t>
      </w:r>
      <w:r w:rsidRPr="00BF26F2">
        <w:rPr>
          <w:rFonts w:ascii="Book Antiqua" w:eastAsia="Book Antiqua" w:hAnsi="Book Antiqua" w:cs="Book Antiqua"/>
          <w:vertAlign w:val="superscript"/>
        </w:rPr>
        <w:t>4</w:t>
      </w:r>
      <w:r w:rsidRPr="00BF26F2">
        <w:rPr>
          <w:rFonts w:ascii="Book Antiqua" w:eastAsia="Book Antiqua" w:hAnsi="Book Antiqua" w:cs="Book Antiqua"/>
        </w:rPr>
        <w:t xml:space="preserve"> </w:t>
      </w:r>
      <w:r w:rsidRPr="00BF26F2">
        <w:rPr>
          <w:rFonts w:ascii="Book Antiqua" w:eastAsia="Book Antiqua" w:hAnsi="Book Antiqua" w:cs="Book Antiqua"/>
          <w:i/>
          <w:iCs/>
        </w:rPr>
        <w:t>vs</w:t>
      </w:r>
      <w:r w:rsidRPr="00BF26F2">
        <w:rPr>
          <w:rFonts w:ascii="Book Antiqua" w:eastAsia="Book Antiqua" w:hAnsi="Book Antiqua" w:cs="Book Antiqua"/>
        </w:rPr>
        <w:t xml:space="preserve"> 79/10</w:t>
      </w:r>
      <w:r w:rsidRPr="00BF26F2">
        <w:rPr>
          <w:rFonts w:ascii="Book Antiqua" w:eastAsia="Book Antiqua" w:hAnsi="Book Antiqua" w:cs="Book Antiqua"/>
          <w:vertAlign w:val="superscript"/>
        </w:rPr>
        <w:t>4</w:t>
      </w:r>
      <w:r w:rsidRPr="00BF26F2">
        <w:rPr>
          <w:rFonts w:ascii="Book Antiqua" w:eastAsia="Book Antiqua" w:hAnsi="Book Antiqua" w:cs="Book Antiqua"/>
        </w:rPr>
        <w:t>, OR</w:t>
      </w:r>
      <w:r w:rsidR="005842ED">
        <w:rPr>
          <w:rFonts w:ascii="Book Antiqua" w:eastAsia="Book Antiqua" w:hAnsi="Book Antiqua" w:cs="Book Antiqua"/>
        </w:rPr>
        <w:t>:</w:t>
      </w:r>
      <w:r w:rsidRPr="00BF26F2">
        <w:rPr>
          <w:rFonts w:ascii="Book Antiqua" w:eastAsia="Book Antiqua" w:hAnsi="Book Antiqua" w:cs="Book Antiqua"/>
        </w:rPr>
        <w:t xml:space="preserve"> 1.64, 95%CI: 1.48-1.81,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IBS (263/10</w:t>
      </w:r>
      <w:r w:rsidRPr="00BF26F2">
        <w:rPr>
          <w:rFonts w:ascii="Book Antiqua" w:eastAsia="Book Antiqua" w:hAnsi="Book Antiqua" w:cs="Book Antiqua"/>
          <w:vertAlign w:val="superscript"/>
        </w:rPr>
        <w:t>4</w:t>
      </w:r>
      <w:r w:rsidRPr="00BF26F2">
        <w:rPr>
          <w:rFonts w:ascii="Book Antiqua" w:eastAsia="Book Antiqua" w:hAnsi="Book Antiqua" w:cs="Book Antiqua"/>
        </w:rPr>
        <w:t xml:space="preserve"> </w:t>
      </w:r>
      <w:r w:rsidRPr="00BF26F2">
        <w:rPr>
          <w:rFonts w:ascii="Book Antiqua" w:eastAsia="Book Antiqua" w:hAnsi="Book Antiqua" w:cs="Book Antiqua"/>
          <w:i/>
          <w:iCs/>
        </w:rPr>
        <w:t>vs</w:t>
      </w:r>
      <w:r w:rsidRPr="00BF26F2">
        <w:rPr>
          <w:rFonts w:ascii="Book Antiqua" w:eastAsia="Book Antiqua" w:hAnsi="Book Antiqua" w:cs="Book Antiqua"/>
        </w:rPr>
        <w:t xml:space="preserve"> 156/10</w:t>
      </w:r>
      <w:r w:rsidRPr="00BF26F2">
        <w:rPr>
          <w:rFonts w:ascii="Book Antiqua" w:eastAsia="Book Antiqua" w:hAnsi="Book Antiqua" w:cs="Book Antiqua"/>
          <w:vertAlign w:val="superscript"/>
        </w:rPr>
        <w:t>4</w:t>
      </w:r>
      <w:r w:rsidRPr="00BF26F2">
        <w:rPr>
          <w:rFonts w:ascii="Book Antiqua" w:eastAsia="Book Antiqua" w:hAnsi="Book Antiqua" w:cs="Book Antiqua"/>
        </w:rPr>
        <w:t>, OR</w:t>
      </w:r>
      <w:r w:rsidR="005842ED">
        <w:rPr>
          <w:rFonts w:ascii="Book Antiqua" w:eastAsia="Book Antiqua" w:hAnsi="Book Antiqua" w:cs="Book Antiqua"/>
        </w:rPr>
        <w:t>:</w:t>
      </w:r>
      <w:r w:rsidRPr="00BF26F2">
        <w:rPr>
          <w:rFonts w:ascii="Book Antiqua" w:eastAsia="Book Antiqua" w:hAnsi="Book Antiqua" w:cs="Book Antiqua"/>
        </w:rPr>
        <w:t xml:space="preserve"> 1.67, 95%CI: 1.56-1.80,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and FGID (672/10</w:t>
      </w:r>
      <w:r w:rsidRPr="00BF26F2">
        <w:rPr>
          <w:rFonts w:ascii="Book Antiqua" w:eastAsia="Book Antiqua" w:hAnsi="Book Antiqua" w:cs="Book Antiqua"/>
          <w:vertAlign w:val="superscript"/>
        </w:rPr>
        <w:t>4</w:t>
      </w:r>
      <w:r w:rsidRPr="00BF26F2">
        <w:rPr>
          <w:rFonts w:ascii="Book Antiqua" w:eastAsia="Book Antiqua" w:hAnsi="Book Antiqua" w:cs="Book Antiqua"/>
        </w:rPr>
        <w:t xml:space="preserve"> </w:t>
      </w:r>
      <w:r w:rsidRPr="00BF26F2">
        <w:rPr>
          <w:rFonts w:ascii="Book Antiqua" w:eastAsia="Book Antiqua" w:hAnsi="Book Antiqua" w:cs="Book Antiqua"/>
          <w:i/>
          <w:iCs/>
        </w:rPr>
        <w:t>vs</w:t>
      </w:r>
      <w:r w:rsidRPr="00BF26F2">
        <w:rPr>
          <w:rFonts w:ascii="Book Antiqua" w:eastAsia="Book Antiqua" w:hAnsi="Book Antiqua" w:cs="Book Antiqua"/>
        </w:rPr>
        <w:t xml:space="preserve"> 449/10</w:t>
      </w:r>
      <w:r w:rsidRPr="00BF26F2">
        <w:rPr>
          <w:rFonts w:ascii="Book Antiqua" w:eastAsia="Book Antiqua" w:hAnsi="Book Antiqua" w:cs="Book Antiqua"/>
          <w:vertAlign w:val="superscript"/>
        </w:rPr>
        <w:t>4</w:t>
      </w:r>
      <w:r w:rsidRPr="00BF26F2">
        <w:rPr>
          <w:rFonts w:ascii="Book Antiqua" w:eastAsia="Book Antiqua" w:hAnsi="Book Antiqua" w:cs="Book Antiqua"/>
        </w:rPr>
        <w:t>, OR</w:t>
      </w:r>
      <w:r w:rsidR="005842ED">
        <w:rPr>
          <w:rFonts w:ascii="Book Antiqua" w:eastAsia="Book Antiqua" w:hAnsi="Book Antiqua" w:cs="Book Antiqua"/>
        </w:rPr>
        <w:t>:</w:t>
      </w:r>
      <w:r w:rsidRPr="00BF26F2">
        <w:rPr>
          <w:rFonts w:ascii="Book Antiqua" w:eastAsia="Book Antiqua" w:hAnsi="Book Antiqua" w:cs="Book Antiqua"/>
        </w:rPr>
        <w:t xml:space="preserve"> 1.53, 95%CI: 1.47-1.61, </w:t>
      </w:r>
      <w:r w:rsidRPr="00BF26F2">
        <w:rPr>
          <w:rFonts w:ascii="Book Antiqua" w:eastAsia="Book Antiqua" w:hAnsi="Book Antiqua" w:cs="Book Antiqua"/>
          <w:i/>
          <w:iCs/>
        </w:rPr>
        <w:t xml:space="preserve">P </w:t>
      </w:r>
      <w:r w:rsidRPr="00BF26F2">
        <w:rPr>
          <w:rFonts w:ascii="Book Antiqua" w:eastAsia="Book Antiqua" w:hAnsi="Book Antiqua" w:cs="Book Antiqua"/>
        </w:rPr>
        <w:t xml:space="preserve">&lt; 0.001). There was no between-group difference in the rate of diagnosis of IBD </w:t>
      </w:r>
      <w:r w:rsidR="005842ED">
        <w:rPr>
          <w:rFonts w:ascii="Book Antiqua" w:eastAsia="Book Antiqua" w:hAnsi="Book Antiqua" w:cs="Book Antiqua"/>
        </w:rPr>
        <w:t>[</w:t>
      </w:r>
      <w:r w:rsidRPr="00BF26F2">
        <w:rPr>
          <w:rFonts w:ascii="Book Antiqua" w:eastAsia="Book Antiqua" w:hAnsi="Book Antiqua" w:cs="Book Antiqua"/>
        </w:rPr>
        <w:t>30/10</w:t>
      </w:r>
      <w:r w:rsidRPr="00BF26F2">
        <w:rPr>
          <w:rFonts w:ascii="Book Antiqua" w:eastAsia="Book Antiqua" w:hAnsi="Book Antiqua" w:cs="Book Antiqua"/>
          <w:vertAlign w:val="superscript"/>
        </w:rPr>
        <w:t>4</w:t>
      </w:r>
      <w:r w:rsidRPr="00BF26F2">
        <w:rPr>
          <w:rFonts w:ascii="Book Antiqua" w:eastAsia="Book Antiqua" w:hAnsi="Book Antiqua" w:cs="Book Antiqua"/>
        </w:rPr>
        <w:t xml:space="preserve"> </w:t>
      </w:r>
      <w:r w:rsidRPr="00BF26F2">
        <w:rPr>
          <w:rFonts w:ascii="Book Antiqua" w:eastAsia="Book Antiqua" w:hAnsi="Book Antiqua" w:cs="Book Antiqua"/>
          <w:i/>
          <w:iCs/>
        </w:rPr>
        <w:t>vs</w:t>
      </w:r>
      <w:r w:rsidRPr="00BF26F2">
        <w:rPr>
          <w:rFonts w:ascii="Book Antiqua" w:eastAsia="Book Antiqua" w:hAnsi="Book Antiqua" w:cs="Book Antiqua"/>
        </w:rPr>
        <w:t xml:space="preserve"> 31/10</w:t>
      </w:r>
      <w:r w:rsidRPr="00BF26F2">
        <w:rPr>
          <w:rFonts w:ascii="Book Antiqua" w:eastAsia="Book Antiqua" w:hAnsi="Book Antiqua" w:cs="Book Antiqua"/>
          <w:vertAlign w:val="superscript"/>
        </w:rPr>
        <w:t>4</w:t>
      </w:r>
      <w:r w:rsidRPr="00BF26F2">
        <w:rPr>
          <w:rFonts w:ascii="Book Antiqua" w:eastAsia="Book Antiqua" w:hAnsi="Book Antiqua" w:cs="Book Antiqua"/>
        </w:rPr>
        <w:t>, OR</w:t>
      </w:r>
      <w:r w:rsidR="005842ED">
        <w:rPr>
          <w:rFonts w:ascii="Book Antiqua" w:eastAsia="Book Antiqua" w:hAnsi="Book Antiqua" w:cs="Book Antiqua"/>
        </w:rPr>
        <w:t>:</w:t>
      </w:r>
      <w:r w:rsidRPr="00BF26F2">
        <w:rPr>
          <w:rFonts w:ascii="Book Antiqua" w:eastAsia="Book Antiqua" w:hAnsi="Book Antiqua" w:cs="Book Antiqua"/>
        </w:rPr>
        <w:t xml:space="preserve"> 0.97, 95%CI: 0.79-1.19, </w:t>
      </w:r>
      <w:r w:rsidRPr="00BF26F2">
        <w:rPr>
          <w:rFonts w:ascii="Book Antiqua" w:eastAsia="Book Antiqua" w:hAnsi="Book Antiqua" w:cs="Book Antiqua"/>
          <w:i/>
          <w:iCs/>
        </w:rPr>
        <w:t xml:space="preserve">P </w:t>
      </w:r>
      <w:r w:rsidRPr="00BF26F2">
        <w:rPr>
          <w:rFonts w:ascii="Book Antiqua" w:eastAsia="Book Antiqua" w:hAnsi="Book Antiqua" w:cs="Book Antiqua"/>
        </w:rPr>
        <w:t xml:space="preserve">= </w:t>
      </w:r>
      <w:r w:rsidR="005842ED">
        <w:rPr>
          <w:rFonts w:ascii="Book Antiqua" w:eastAsia="Book Antiqua" w:hAnsi="Book Antiqua" w:cs="Book Antiqua"/>
        </w:rPr>
        <w:t>not significant (</w:t>
      </w:r>
      <w:r w:rsidRPr="00BF26F2">
        <w:rPr>
          <w:rFonts w:ascii="Book Antiqua" w:eastAsia="Book Antiqua" w:hAnsi="Book Antiqua" w:cs="Book Antiqua"/>
        </w:rPr>
        <w:t>NS)</w:t>
      </w:r>
      <w:r w:rsidR="005842ED">
        <w:rPr>
          <w:rFonts w:ascii="Book Antiqua" w:eastAsia="Book Antiqua" w:hAnsi="Book Antiqua" w:cs="Book Antiqua"/>
        </w:rPr>
        <w:t>]</w:t>
      </w:r>
      <w:r w:rsidRPr="00BF26F2">
        <w:rPr>
          <w:rFonts w:ascii="Book Antiqua" w:eastAsia="Book Antiqua" w:hAnsi="Book Antiqua" w:cs="Book Antiqua"/>
        </w:rPr>
        <w:t xml:space="preserve"> and celiac disease (16/10</w:t>
      </w:r>
      <w:r w:rsidRPr="00BF26F2">
        <w:rPr>
          <w:rFonts w:ascii="Book Antiqua" w:eastAsia="Book Antiqua" w:hAnsi="Book Antiqua" w:cs="Book Antiqua"/>
          <w:vertAlign w:val="superscript"/>
        </w:rPr>
        <w:t>4</w:t>
      </w:r>
      <w:r w:rsidRPr="00BF26F2">
        <w:rPr>
          <w:rFonts w:ascii="Book Antiqua" w:eastAsia="Book Antiqua" w:hAnsi="Book Antiqua" w:cs="Book Antiqua"/>
        </w:rPr>
        <w:t xml:space="preserve"> </w:t>
      </w:r>
      <w:r w:rsidRPr="00BF26F2">
        <w:rPr>
          <w:rFonts w:ascii="Book Antiqua" w:eastAsia="Book Antiqua" w:hAnsi="Book Antiqua" w:cs="Book Antiqua"/>
          <w:i/>
          <w:iCs/>
        </w:rPr>
        <w:t>vs</w:t>
      </w:r>
      <w:r w:rsidRPr="00BF26F2">
        <w:rPr>
          <w:rFonts w:ascii="Book Antiqua" w:eastAsia="Book Antiqua" w:hAnsi="Book Antiqua" w:cs="Book Antiqua"/>
        </w:rPr>
        <w:t xml:space="preserve"> 15/10</w:t>
      </w:r>
      <w:r w:rsidRPr="00BF26F2">
        <w:rPr>
          <w:rFonts w:ascii="Book Antiqua" w:eastAsia="Book Antiqua" w:hAnsi="Book Antiqua" w:cs="Book Antiqua"/>
          <w:vertAlign w:val="superscript"/>
        </w:rPr>
        <w:t>4</w:t>
      </w:r>
      <w:r w:rsidRPr="00BF26F2">
        <w:rPr>
          <w:rFonts w:ascii="Book Antiqua" w:eastAsia="Book Antiqua" w:hAnsi="Book Antiqua" w:cs="Book Antiqua"/>
        </w:rPr>
        <w:t>, OR</w:t>
      </w:r>
      <w:r w:rsidR="005842ED">
        <w:rPr>
          <w:rFonts w:ascii="Book Antiqua" w:eastAsia="Book Antiqua" w:hAnsi="Book Antiqua" w:cs="Book Antiqua"/>
        </w:rPr>
        <w:t>:</w:t>
      </w:r>
      <w:r w:rsidRPr="00BF26F2">
        <w:rPr>
          <w:rFonts w:ascii="Book Antiqua" w:eastAsia="Book Antiqua" w:hAnsi="Book Antiqua" w:cs="Book Antiqua"/>
        </w:rPr>
        <w:t xml:space="preserve"> 1.03, 95%CI: 0.78-1.37, </w:t>
      </w:r>
      <w:r w:rsidRPr="00BF26F2">
        <w:rPr>
          <w:rFonts w:ascii="Book Antiqua" w:eastAsia="Book Antiqua" w:hAnsi="Book Antiqua" w:cs="Book Antiqua"/>
          <w:i/>
          <w:iCs/>
        </w:rPr>
        <w:t xml:space="preserve">P </w:t>
      </w:r>
      <w:r w:rsidRPr="00BF26F2">
        <w:rPr>
          <w:rFonts w:ascii="Book Antiqua" w:eastAsia="Book Antiqua" w:hAnsi="Book Antiqua" w:cs="Book Antiqua"/>
        </w:rPr>
        <w:t>= NS) (Figure 1). The effect of ADHD on the rate of dyspepsia, constipation, IBS and FGID was larger in females, although still significant in males as well (OR for dyspepsia 1.51 in females and 1.39 in males; for constipation</w:t>
      </w:r>
      <w:r w:rsidR="005842ED">
        <w:rPr>
          <w:rFonts w:ascii="Book Antiqua" w:eastAsia="Book Antiqua" w:hAnsi="Book Antiqua" w:cs="Book Antiqua"/>
        </w:rPr>
        <w:t>,</w:t>
      </w:r>
      <w:r w:rsidRPr="00BF26F2">
        <w:rPr>
          <w:rFonts w:ascii="Book Antiqua" w:eastAsia="Book Antiqua" w:hAnsi="Book Antiqua" w:cs="Book Antiqua"/>
        </w:rPr>
        <w:t xml:space="preserve"> OR </w:t>
      </w:r>
      <w:r w:rsidR="005842ED">
        <w:rPr>
          <w:rFonts w:ascii="Book Antiqua" w:eastAsia="Book Antiqua" w:hAnsi="Book Antiqua" w:cs="Book Antiqua"/>
        </w:rPr>
        <w:t xml:space="preserve">of </w:t>
      </w:r>
      <w:r w:rsidRPr="00BF26F2">
        <w:rPr>
          <w:rFonts w:ascii="Book Antiqua" w:eastAsia="Book Antiqua" w:hAnsi="Book Antiqua" w:cs="Book Antiqua"/>
        </w:rPr>
        <w:t>1.60 for females and 1.58 for males; for IBS</w:t>
      </w:r>
      <w:r w:rsidR="005842ED">
        <w:rPr>
          <w:rFonts w:ascii="Book Antiqua" w:eastAsia="Book Antiqua" w:hAnsi="Book Antiqua" w:cs="Book Antiqua"/>
        </w:rPr>
        <w:t>,</w:t>
      </w:r>
      <w:r w:rsidRPr="00BF26F2">
        <w:rPr>
          <w:rFonts w:ascii="Book Antiqua" w:eastAsia="Book Antiqua" w:hAnsi="Book Antiqua" w:cs="Book Antiqua"/>
        </w:rPr>
        <w:t xml:space="preserve"> OR </w:t>
      </w:r>
      <w:r w:rsidR="005842ED">
        <w:rPr>
          <w:rFonts w:ascii="Book Antiqua" w:eastAsia="Book Antiqua" w:hAnsi="Book Antiqua" w:cs="Book Antiqua"/>
        </w:rPr>
        <w:t xml:space="preserve">of </w:t>
      </w:r>
      <w:r w:rsidRPr="00BF26F2">
        <w:rPr>
          <w:rFonts w:ascii="Book Antiqua" w:eastAsia="Book Antiqua" w:hAnsi="Book Antiqua" w:cs="Book Antiqua"/>
        </w:rPr>
        <w:t>1.83 for females and 1.47 for males; and for FGID</w:t>
      </w:r>
      <w:r w:rsidR="005842ED">
        <w:rPr>
          <w:rFonts w:ascii="Book Antiqua" w:eastAsia="Book Antiqua" w:hAnsi="Book Antiqua" w:cs="Book Antiqua"/>
        </w:rPr>
        <w:t>,</w:t>
      </w:r>
      <w:r w:rsidRPr="00BF26F2">
        <w:rPr>
          <w:rFonts w:ascii="Book Antiqua" w:eastAsia="Book Antiqua" w:hAnsi="Book Antiqua" w:cs="Book Antiqua"/>
        </w:rPr>
        <w:t xml:space="preserve"> the OR was 1.57 for females and 1.43 for males.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for all associations in both genders). Among participants with ADHD, methylphenidate prescription was associated with an increased risk of dyspepsia and constipation, but not of IBS, IBD and celiac</w:t>
      </w:r>
      <w:r w:rsidR="005842ED">
        <w:rPr>
          <w:rFonts w:ascii="Book Antiqua" w:eastAsia="Book Antiqua" w:hAnsi="Book Antiqua" w:cs="Book Antiqua"/>
        </w:rPr>
        <w:t xml:space="preserve"> disease</w:t>
      </w:r>
      <w:r w:rsidRPr="00BF26F2">
        <w:rPr>
          <w:rFonts w:ascii="Book Antiqua" w:eastAsia="Book Antiqua" w:hAnsi="Book Antiqua" w:cs="Book Antiqua"/>
        </w:rPr>
        <w:t xml:space="preserve"> (Figure 2). These effects were </w:t>
      </w:r>
      <w:r w:rsidRPr="00BF26F2">
        <w:rPr>
          <w:rFonts w:ascii="Book Antiqua" w:eastAsia="Book Antiqua" w:hAnsi="Book Antiqua" w:cs="Book Antiqua"/>
        </w:rPr>
        <w:lastRenderedPageBreak/>
        <w:t>unrelated to the severity of ADHD or the cumulative dose of the drug. On multivariate analysis adjusted</w:t>
      </w:r>
      <w:r w:rsidRPr="00BF26F2">
        <w:rPr>
          <w:rFonts w:ascii="Book Antiqua" w:eastAsia="Book Antiqua" w:hAnsi="Book Antiqua" w:cs="Book Antiqua"/>
          <w:rtl/>
        </w:rPr>
        <w:t xml:space="preserve"> </w:t>
      </w:r>
      <w:r w:rsidRPr="00BF26F2">
        <w:rPr>
          <w:rFonts w:ascii="Book Antiqua" w:eastAsia="Book Antiqua" w:hAnsi="Book Antiqua" w:cs="Book Antiqua"/>
        </w:rPr>
        <w:t>for male sex</w:t>
      </w:r>
      <w:r w:rsidRPr="00BF26F2">
        <w:rPr>
          <w:rFonts w:ascii="Book Antiqua" w:eastAsia="Book Antiqua" w:hAnsi="Book Antiqua" w:cs="Book Antiqua"/>
          <w:rtl/>
        </w:rPr>
        <w:t>,</w:t>
      </w:r>
      <w:r w:rsidRPr="00BF26F2">
        <w:rPr>
          <w:rFonts w:ascii="Book Antiqua" w:eastAsia="Book Antiqua" w:hAnsi="Book Antiqua" w:cs="Book Antiqua"/>
        </w:rPr>
        <w:t xml:space="preserve"> country of origin, country of</w:t>
      </w:r>
      <w:r w:rsidRPr="00BF26F2">
        <w:rPr>
          <w:rFonts w:ascii="Book Antiqua" w:eastAsia="Book Antiqua" w:hAnsi="Book Antiqua" w:cs="Book Antiqua"/>
          <w:rtl/>
        </w:rPr>
        <w:t xml:space="preserve"> </w:t>
      </w:r>
      <w:r w:rsidRPr="00BF26F2">
        <w:rPr>
          <w:rFonts w:ascii="Book Antiqua" w:eastAsia="Book Antiqua" w:hAnsi="Book Antiqua" w:cs="Book Antiqua"/>
        </w:rPr>
        <w:t>birth, socioeconomic status, education and</w:t>
      </w:r>
      <w:r w:rsidRPr="00BF26F2">
        <w:rPr>
          <w:rFonts w:ascii="Book Antiqua" w:eastAsia="Book Antiqua" w:hAnsi="Book Antiqua" w:cs="Book Antiqua"/>
          <w:rtl/>
        </w:rPr>
        <w:t xml:space="preserve"> </w:t>
      </w:r>
      <w:r w:rsidRPr="00BF26F2">
        <w:rPr>
          <w:rFonts w:ascii="Book Antiqua" w:eastAsia="Book Antiqua" w:hAnsi="Book Antiqua" w:cs="Book Antiqua"/>
        </w:rPr>
        <w:t>BMI,</w:t>
      </w:r>
      <w:r w:rsidRPr="00BF26F2">
        <w:rPr>
          <w:rFonts w:ascii="Book Antiqua" w:eastAsia="Book Antiqua" w:hAnsi="Book Antiqua" w:cs="Book Antiqua"/>
          <w:rtl/>
        </w:rPr>
        <w:t xml:space="preserve"> </w:t>
      </w:r>
      <w:r w:rsidRPr="00BF26F2">
        <w:rPr>
          <w:rFonts w:ascii="Book Antiqua" w:eastAsia="Book Antiqua" w:hAnsi="Book Antiqua" w:cs="Book Antiqua"/>
        </w:rPr>
        <w:t>ADHD was significantly associated with higher rates of dyspepsia, constipation and IBS (Table 2). The association of ADHD with dyspepsia and constipation was more prominent in the subjects taking methylphenidate during the study period. The association of ADHD with IBS remained only in those not taking methylphenidate.</w:t>
      </w:r>
    </w:p>
    <w:p w14:paraId="418ED30D" w14:textId="77777777"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In order to assess the risk factors for FGID among participants with ADHD, we compared the characteristics between ADHD with and without FGID and found that in the ADHD group, FGID was associated with female gender, other comorbidities and use of methylphenidate, and was negatively associated with low SES (</w:t>
      </w:r>
      <w:r w:rsidRPr="00BF26F2">
        <w:rPr>
          <w:rFonts w:ascii="Book Antiqua" w:eastAsia="Book Antiqua" w:hAnsi="Book Antiqua" w:cs="Book Antiqua"/>
          <w:caps/>
        </w:rPr>
        <w:t>s</w:t>
      </w:r>
      <w:r w:rsidRPr="00BF26F2">
        <w:rPr>
          <w:rFonts w:ascii="Book Antiqua" w:eastAsia="Book Antiqua" w:hAnsi="Book Antiqua" w:cs="Book Antiqua"/>
        </w:rPr>
        <w:t xml:space="preserve">upplementary </w:t>
      </w:r>
      <w:r w:rsidRPr="00BF26F2">
        <w:rPr>
          <w:rFonts w:ascii="Book Antiqua" w:eastAsia="Book Antiqua" w:hAnsi="Book Antiqua" w:cs="Book Antiqua"/>
          <w:caps/>
        </w:rPr>
        <w:t>t</w:t>
      </w:r>
      <w:r w:rsidRPr="00BF26F2">
        <w:rPr>
          <w:rFonts w:ascii="Book Antiqua" w:eastAsia="Book Antiqua" w:hAnsi="Book Antiqua" w:cs="Book Antiqua"/>
        </w:rPr>
        <w:t>able 2).</w:t>
      </w:r>
    </w:p>
    <w:p w14:paraId="1F4367CD" w14:textId="77777777" w:rsidR="00D02FF1" w:rsidRPr="00BF26F2" w:rsidRDefault="00D02FF1" w:rsidP="00BF26F2">
      <w:pPr>
        <w:adjustRightInd w:val="0"/>
        <w:snapToGrid w:val="0"/>
        <w:spacing w:line="360" w:lineRule="auto"/>
        <w:ind w:firstLine="240"/>
        <w:jc w:val="both"/>
        <w:rPr>
          <w:rFonts w:ascii="Book Antiqua" w:hAnsi="Book Antiqua"/>
        </w:rPr>
      </w:pPr>
    </w:p>
    <w:p w14:paraId="77F1ECC0"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i/>
          <w:iCs/>
        </w:rPr>
        <w:t>GI-related primary care physician visits, referrals to a GI specialist and recurrent GI symptoms</w:t>
      </w:r>
    </w:p>
    <w:p w14:paraId="17147451" w14:textId="2CCED9AA"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Table 3 summarizes the association between ADHD and referral to a GI specialist according to each GI symptom. Supplementary </w:t>
      </w:r>
      <w:r w:rsidRPr="00BF26F2">
        <w:rPr>
          <w:rFonts w:ascii="Book Antiqua" w:eastAsia="Book Antiqua" w:hAnsi="Book Antiqua" w:cs="Book Antiqua"/>
          <w:caps/>
        </w:rPr>
        <w:t>t</w:t>
      </w:r>
      <w:r w:rsidRPr="00BF26F2">
        <w:rPr>
          <w:rFonts w:ascii="Book Antiqua" w:eastAsia="Book Antiqua" w:hAnsi="Book Antiqua" w:cs="Book Antiqua"/>
        </w:rPr>
        <w:t>ables 3 and 4 summarize the same association for GI-related primary care physician visits and recurrent GI symptoms, respectively. All three tables show a positive association of heartburn and gastroesophageal reflux disease, nausea and vomiting, abdominal pain, and diarrhea with ADHD.</w:t>
      </w:r>
      <w:r w:rsidRPr="00BF26F2">
        <w:rPr>
          <w:rFonts w:ascii="Book Antiqua" w:eastAsia="Book Antiqua" w:hAnsi="Book Antiqua" w:cs="Book Antiqua"/>
          <w:rtl/>
        </w:rPr>
        <w:t xml:space="preserve"> </w:t>
      </w:r>
      <w:r w:rsidRPr="00BF26F2">
        <w:rPr>
          <w:rFonts w:ascii="Book Antiqua" w:eastAsia="Book Antiqua" w:hAnsi="Book Antiqua" w:cs="Book Antiqua"/>
        </w:rPr>
        <w:t xml:space="preserve">On univariate analysis (Table 2), compared to controls, the subjects with ADHD were referred more often to a GI specialist </w:t>
      </w:r>
      <w:r w:rsidR="00744CE7">
        <w:rPr>
          <w:rFonts w:ascii="Book Antiqua" w:eastAsia="Book Antiqua" w:hAnsi="Book Antiqua" w:cs="Book Antiqua"/>
        </w:rPr>
        <w:t>[rate ratio (</w:t>
      </w:r>
      <w:r w:rsidRPr="00BF26F2">
        <w:rPr>
          <w:rFonts w:ascii="Book Antiqua" w:eastAsia="Book Antiqua" w:hAnsi="Book Antiqua" w:cs="Book Antiqua"/>
        </w:rPr>
        <w:t>RR</w:t>
      </w:r>
      <w:r w:rsidR="00744CE7">
        <w:rPr>
          <w:rFonts w:ascii="Book Antiqua" w:eastAsia="Book Antiqua" w:hAnsi="Book Antiqua" w:cs="Book Antiqua"/>
        </w:rPr>
        <w:t>):</w:t>
      </w:r>
      <w:r w:rsidRPr="00BF26F2">
        <w:rPr>
          <w:rFonts w:ascii="Book Antiqua" w:eastAsia="Book Antiqua" w:hAnsi="Book Antiqua" w:cs="Book Antiqua"/>
        </w:rPr>
        <w:t xml:space="preserve"> 1.96, 95%CI: 1.88-2.03, </w:t>
      </w:r>
      <w:r w:rsidRPr="00BF26F2">
        <w:rPr>
          <w:rFonts w:ascii="Book Antiqua" w:eastAsia="Book Antiqua" w:hAnsi="Book Antiqua" w:cs="Book Antiqua"/>
          <w:i/>
          <w:iCs/>
        </w:rPr>
        <w:t xml:space="preserve">P </w:t>
      </w:r>
      <w:r w:rsidRPr="00BF26F2">
        <w:rPr>
          <w:rFonts w:ascii="Book Antiqua" w:eastAsia="Book Antiqua" w:hAnsi="Book Antiqua" w:cs="Book Antiqua"/>
        </w:rPr>
        <w:t>&lt; 0.001</w:t>
      </w:r>
      <w:r w:rsidR="00744CE7">
        <w:rPr>
          <w:rFonts w:ascii="Book Antiqua" w:eastAsia="Book Antiqua" w:hAnsi="Book Antiqua" w:cs="Book Antiqua"/>
        </w:rPr>
        <w:t>]</w:t>
      </w:r>
      <w:r w:rsidRPr="00BF26F2">
        <w:rPr>
          <w:rFonts w:ascii="Book Antiqua" w:eastAsia="Book Antiqua" w:hAnsi="Book Antiqua" w:cs="Book Antiqua"/>
        </w:rPr>
        <w:t>, examined more frequently by a primary care physician for GI symptoms (RR</w:t>
      </w:r>
      <w:r w:rsidR="00744CE7">
        <w:rPr>
          <w:rFonts w:ascii="Book Antiqua" w:eastAsia="Book Antiqua" w:hAnsi="Book Antiqua" w:cs="Book Antiqua"/>
        </w:rPr>
        <w:t>:</w:t>
      </w:r>
      <w:r w:rsidRPr="00BF26F2">
        <w:rPr>
          <w:rFonts w:ascii="Book Antiqua" w:eastAsia="Book Antiqua" w:hAnsi="Book Antiqua" w:cs="Book Antiqua"/>
        </w:rPr>
        <w:t xml:space="preserve"> 1.25, 95%CI: 1.24-1.26,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and had more episodes of recurrent GI symptoms (RR</w:t>
      </w:r>
      <w:r w:rsidR="00744CE7">
        <w:rPr>
          <w:rFonts w:ascii="Book Antiqua" w:eastAsia="Book Antiqua" w:hAnsi="Book Antiqua" w:cs="Book Antiqua"/>
        </w:rPr>
        <w:t>:</w:t>
      </w:r>
      <w:r w:rsidRPr="00BF26F2">
        <w:rPr>
          <w:rFonts w:ascii="Book Antiqua" w:eastAsia="Book Antiqua" w:hAnsi="Book Antiqua" w:cs="Book Antiqua"/>
        </w:rPr>
        <w:t xml:space="preserve"> 1.29, 95%CI: 1.21-1.38, </w:t>
      </w:r>
      <w:r w:rsidRPr="00BF26F2">
        <w:rPr>
          <w:rFonts w:ascii="Book Antiqua" w:eastAsia="Book Antiqua" w:hAnsi="Book Antiqua" w:cs="Book Antiqua"/>
          <w:i/>
          <w:iCs/>
        </w:rPr>
        <w:t xml:space="preserve">P </w:t>
      </w:r>
      <w:r w:rsidRPr="00BF26F2">
        <w:rPr>
          <w:rFonts w:ascii="Book Antiqua" w:eastAsia="Book Antiqua" w:hAnsi="Book Antiqua" w:cs="Book Antiqua"/>
        </w:rPr>
        <w:t>&lt; 0.001). The association of ADHD with increased use of health resources was independent of methylphenidate prescription, although its magnitude was higher in the subjects taking the drug (Table 2). Among ADHD patients, medical visits due to weight loss were higher only in those who had not received medications. On multivariate analysis adjusted</w:t>
      </w:r>
      <w:r w:rsidRPr="00BF26F2">
        <w:rPr>
          <w:rFonts w:ascii="Book Antiqua" w:eastAsia="Book Antiqua" w:hAnsi="Book Antiqua" w:cs="Book Antiqua"/>
          <w:rtl/>
        </w:rPr>
        <w:t xml:space="preserve"> </w:t>
      </w:r>
      <w:r w:rsidRPr="00BF26F2">
        <w:rPr>
          <w:rFonts w:ascii="Book Antiqua" w:eastAsia="Book Antiqua" w:hAnsi="Book Antiqua" w:cs="Book Antiqua"/>
        </w:rPr>
        <w:t>for male sex</w:t>
      </w:r>
      <w:r w:rsidRPr="00BF26F2">
        <w:rPr>
          <w:rFonts w:ascii="Book Antiqua" w:eastAsia="Book Antiqua" w:hAnsi="Book Antiqua" w:cs="Book Antiqua"/>
          <w:rtl/>
        </w:rPr>
        <w:t>,</w:t>
      </w:r>
      <w:r w:rsidRPr="00BF26F2">
        <w:rPr>
          <w:rFonts w:ascii="Book Antiqua" w:eastAsia="Book Antiqua" w:hAnsi="Book Antiqua" w:cs="Book Antiqua"/>
        </w:rPr>
        <w:t xml:space="preserve"> country of origin, country of</w:t>
      </w:r>
      <w:r w:rsidRPr="00BF26F2">
        <w:rPr>
          <w:rFonts w:ascii="Book Antiqua" w:eastAsia="Book Antiqua" w:hAnsi="Book Antiqua" w:cs="Book Antiqua"/>
          <w:rtl/>
        </w:rPr>
        <w:t xml:space="preserve"> </w:t>
      </w:r>
      <w:r w:rsidRPr="00BF26F2">
        <w:rPr>
          <w:rFonts w:ascii="Book Antiqua" w:eastAsia="Book Antiqua" w:hAnsi="Book Antiqua" w:cs="Book Antiqua"/>
        </w:rPr>
        <w:t>birth, socioeconomic status, education, and</w:t>
      </w:r>
      <w:r w:rsidRPr="00BF26F2">
        <w:rPr>
          <w:rFonts w:ascii="Book Antiqua" w:eastAsia="Book Antiqua" w:hAnsi="Book Antiqua" w:cs="Book Antiqua"/>
          <w:rtl/>
        </w:rPr>
        <w:t xml:space="preserve"> </w:t>
      </w:r>
      <w:r w:rsidRPr="00BF26F2">
        <w:rPr>
          <w:rFonts w:ascii="Book Antiqua" w:eastAsia="Book Antiqua" w:hAnsi="Book Antiqua" w:cs="Book Antiqua"/>
        </w:rPr>
        <w:t xml:space="preserve">BMI, ADHD (with or without medication) was </w:t>
      </w:r>
      <w:r w:rsidRPr="00BF26F2">
        <w:rPr>
          <w:rFonts w:ascii="Book Antiqua" w:eastAsia="Book Antiqua" w:hAnsi="Book Antiqua" w:cs="Book Antiqua"/>
        </w:rPr>
        <w:lastRenderedPageBreak/>
        <w:t>significantly associated with primary care visits for GI symptoms, referrals to a GI specialist, and recurrent GI symptoms (Table 2).</w:t>
      </w:r>
    </w:p>
    <w:p w14:paraId="06BF16EE" w14:textId="77777777" w:rsidR="00D02FF1" w:rsidRPr="00BF26F2" w:rsidRDefault="00D02FF1" w:rsidP="00BF26F2">
      <w:pPr>
        <w:adjustRightInd w:val="0"/>
        <w:snapToGrid w:val="0"/>
        <w:spacing w:line="360" w:lineRule="auto"/>
        <w:jc w:val="both"/>
        <w:rPr>
          <w:rFonts w:ascii="Book Antiqua" w:hAnsi="Book Antiqua"/>
        </w:rPr>
      </w:pPr>
    </w:p>
    <w:p w14:paraId="6BDF5138"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caps/>
          <w:u w:val="single"/>
        </w:rPr>
        <w:t>DISCUSSION</w:t>
      </w:r>
    </w:p>
    <w:p w14:paraId="713BCA5A" w14:textId="6E7517BF"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The present study of a large cohort of young adults with ADHD showed that ADHD is associated with an increased rate of comorbid FGID (IBS, constipation, and dyspepsia) but not with somatic immune-mediated GI conditions</w:t>
      </w:r>
      <w:r w:rsidR="00744CE7">
        <w:rPr>
          <w:rFonts w:ascii="Book Antiqua" w:eastAsia="Book Antiqua" w:hAnsi="Book Antiqua" w:cs="Book Antiqua"/>
        </w:rPr>
        <w:t>,</w:t>
      </w:r>
      <w:r w:rsidRPr="00BF26F2">
        <w:rPr>
          <w:rFonts w:ascii="Book Antiqua" w:eastAsia="Book Antiqua" w:hAnsi="Book Antiqua" w:cs="Book Antiqua"/>
        </w:rPr>
        <w:t xml:space="preserve"> such as IBD and celiac disease. In addition, the ADHD group had a significantly increased rate of primary care visits for GI symptoms, referrals to GI specialists, and recurrent GI symptoms than the control group, pointing to the high burden of GI morbidity in individuals with ADHD on healthcare resources. These associations were not related to the use of methylphenidate, although those who received methylphenidate had a higher relative risk of all the measured outcomes except IBS.</w:t>
      </w:r>
    </w:p>
    <w:p w14:paraId="1DCEC606" w14:textId="77777777"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The largest study to date on physical comorbidities of ADHD was a symptom-based survey of a nationally representative sample in the United States</w:t>
      </w:r>
      <w:r w:rsidRPr="00BF26F2">
        <w:rPr>
          <w:rFonts w:ascii="Book Antiqua" w:eastAsia="Book Antiqua" w:hAnsi="Book Antiqua" w:cs="Book Antiqua"/>
          <w:vertAlign w:val="superscript"/>
        </w:rPr>
        <w:t>[20]</w:t>
      </w:r>
      <w:r w:rsidRPr="00BF26F2">
        <w:rPr>
          <w:rFonts w:ascii="Book Antiqua" w:eastAsia="Book Antiqua" w:hAnsi="Book Antiqua" w:cs="Book Antiqua"/>
        </w:rPr>
        <w:t>. The results showed a significant association between ADHD and "serious stomach or bowel problems" which were not specified or categorized by type (inflammatory or functional). Another population-based survey revealed an association between ADHD and recurrent complaints of vomiting and diarrhea within the previous 2 wk or frequent diarrhea and colitis</w:t>
      </w:r>
      <w:r w:rsidRPr="00BF26F2">
        <w:rPr>
          <w:rFonts w:ascii="Book Antiqua" w:eastAsia="Book Antiqua" w:hAnsi="Book Antiqua" w:cs="Book Antiqua"/>
          <w:vertAlign w:val="superscript"/>
        </w:rPr>
        <w:t>[23]</w:t>
      </w:r>
      <w:r w:rsidRPr="00BF26F2">
        <w:rPr>
          <w:rFonts w:ascii="Book Antiqua" w:eastAsia="Book Antiqua" w:hAnsi="Book Antiqua" w:cs="Book Antiqua"/>
        </w:rPr>
        <w:t>.</w:t>
      </w:r>
    </w:p>
    <w:p w14:paraId="208F9A3D" w14:textId="77777777"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Psychiatric comorbidities are known to be more common in patients with ADHD, particularly depression, anxiety, and bipolar disorder</w:t>
      </w:r>
      <w:r w:rsidRPr="00BF26F2">
        <w:rPr>
          <w:rFonts w:ascii="Book Antiqua" w:eastAsia="Book Antiqua" w:hAnsi="Book Antiqua" w:cs="Book Antiqua"/>
          <w:vertAlign w:val="superscript"/>
        </w:rPr>
        <w:t>[4-9,24]</w:t>
      </w:r>
      <w:r w:rsidRPr="00BF26F2">
        <w:rPr>
          <w:rFonts w:ascii="Book Antiqua" w:eastAsia="Book Antiqua" w:hAnsi="Book Antiqua" w:cs="Book Antiqua"/>
        </w:rPr>
        <w:t>. Unfortunately, since young adults with major psychiatric illnesses are not eligible for recruitment to the IDF, we were not able to study the association between FGID and major psychiatric comorbidities in our cohort. The increased utilization of healthcare services by the ADHD population, as shown in our study and in others</w:t>
      </w:r>
      <w:r w:rsidRPr="00BF26F2">
        <w:rPr>
          <w:rFonts w:ascii="Book Antiqua" w:eastAsia="Book Antiqua" w:hAnsi="Book Antiqua" w:cs="Book Antiqua"/>
          <w:vertAlign w:val="superscript"/>
        </w:rPr>
        <w:t>[25]</w:t>
      </w:r>
      <w:r w:rsidRPr="00BF26F2">
        <w:rPr>
          <w:rFonts w:ascii="Book Antiqua" w:eastAsia="Book Antiqua" w:hAnsi="Book Antiqua" w:cs="Book Antiqua"/>
        </w:rPr>
        <w:t xml:space="preserve">, can be partially explained by the mental stress associated with serving in the army and by these psychiatric comorbidities, respectively. Therefore, patients with ADHD who have GI symptoms might best be treated with an </w:t>
      </w:r>
      <w:r w:rsidRPr="00BF26F2">
        <w:rPr>
          <w:rFonts w:ascii="Book Antiqua" w:eastAsia="Book Antiqua" w:hAnsi="Book Antiqua" w:cs="Book Antiqua"/>
        </w:rPr>
        <w:lastRenderedPageBreak/>
        <w:t xml:space="preserve">integrative approach by a multidisciplinary team of primary care physician, GI specialist, and psychiatrist. </w:t>
      </w:r>
    </w:p>
    <w:p w14:paraId="401CE9A1" w14:textId="16811711"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 xml:space="preserve">The association between ADHD and IBS or dyspepsia has not been intensely investigated. There are studies of ADHD and constipation but the results are </w:t>
      </w:r>
      <w:proofErr w:type="gramStart"/>
      <w:r w:rsidRPr="00BF26F2">
        <w:rPr>
          <w:rFonts w:ascii="Book Antiqua" w:eastAsia="Book Antiqua" w:hAnsi="Book Antiqua" w:cs="Book Antiqua"/>
        </w:rPr>
        <w:t>controversial</w:t>
      </w:r>
      <w:r w:rsidRPr="00BF26F2">
        <w:rPr>
          <w:rFonts w:ascii="Book Antiqua" w:eastAsia="Book Antiqua" w:hAnsi="Book Antiqua" w:cs="Book Antiqua"/>
          <w:vertAlign w:val="superscript"/>
        </w:rPr>
        <w:t>[</w:t>
      </w:r>
      <w:proofErr w:type="gramEnd"/>
      <w:r w:rsidRPr="00BF26F2">
        <w:rPr>
          <w:rFonts w:ascii="Book Antiqua" w:eastAsia="Book Antiqua" w:hAnsi="Book Antiqua" w:cs="Book Antiqua"/>
          <w:vertAlign w:val="superscript"/>
        </w:rPr>
        <w:t>7,16,22,23,26]</w:t>
      </w:r>
      <w:r w:rsidRPr="00BF26F2">
        <w:rPr>
          <w:rFonts w:ascii="Book Antiqua" w:eastAsia="Book Antiqua" w:hAnsi="Book Antiqua" w:cs="Book Antiqua"/>
        </w:rPr>
        <w:t>. The present study yielded a positive association between ADHD and constipation that was more prominent in the patients receiving methylphenidate (RR</w:t>
      </w:r>
      <w:r w:rsidR="00744CE7">
        <w:rPr>
          <w:rFonts w:ascii="Book Antiqua" w:eastAsia="Book Antiqua" w:hAnsi="Book Antiqua" w:cs="Book Antiqua"/>
        </w:rPr>
        <w:t>:</w:t>
      </w:r>
      <w:r w:rsidRPr="00BF26F2">
        <w:rPr>
          <w:rFonts w:ascii="Book Antiqua" w:eastAsia="Book Antiqua" w:hAnsi="Book Antiqua" w:cs="Book Antiqua"/>
        </w:rPr>
        <w:t xml:space="preserve"> 1.60 </w:t>
      </w:r>
      <w:r w:rsidRPr="00BF26F2">
        <w:rPr>
          <w:rFonts w:ascii="Book Antiqua" w:eastAsia="Book Antiqua" w:hAnsi="Book Antiqua" w:cs="Book Antiqua"/>
          <w:i/>
          <w:iCs/>
        </w:rPr>
        <w:t>vs</w:t>
      </w:r>
      <w:r w:rsidRPr="00BF26F2">
        <w:rPr>
          <w:rFonts w:ascii="Book Antiqua" w:eastAsia="Book Antiqua" w:hAnsi="Book Antiqua" w:cs="Book Antiqua"/>
        </w:rPr>
        <w:t xml:space="preserve"> 1.43, </w:t>
      </w:r>
      <w:r w:rsidRPr="00BF26F2">
        <w:rPr>
          <w:rFonts w:ascii="Book Antiqua" w:eastAsia="Book Antiqua" w:hAnsi="Book Antiqua" w:cs="Book Antiqua"/>
          <w:i/>
          <w:iCs/>
        </w:rPr>
        <w:t xml:space="preserve">P </w:t>
      </w:r>
      <w:r w:rsidRPr="00BF26F2">
        <w:rPr>
          <w:rFonts w:ascii="Book Antiqua" w:eastAsia="Book Antiqua" w:hAnsi="Book Antiqua" w:cs="Book Antiqua"/>
        </w:rPr>
        <w:t xml:space="preserve">&lt; 0.01). </w:t>
      </w:r>
    </w:p>
    <w:p w14:paraId="303BACAA" w14:textId="715EA583"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The relatively high prevalence of constipation and FGID in patients with ADHD has several possible explanations. First, it may be attributable to a miscommunication or impaired cross-talk between the central and enteric nervous systems, resulting in altered perceptions of intestinal distension and disordered GI motility</w:t>
      </w:r>
      <w:r w:rsidRPr="00BF26F2">
        <w:rPr>
          <w:rFonts w:ascii="Book Antiqua" w:eastAsia="Book Antiqua" w:hAnsi="Book Antiqua" w:cs="Book Antiqua"/>
          <w:vertAlign w:val="superscript"/>
        </w:rPr>
        <w:t>[16]</w:t>
      </w:r>
      <w:r w:rsidRPr="00BF26F2">
        <w:rPr>
          <w:rFonts w:ascii="Book Antiqua" w:eastAsia="Book Antiqua" w:hAnsi="Book Antiqua" w:cs="Book Antiqua"/>
        </w:rPr>
        <w:t>. Second, a single neurobiological mechanism may underlie both disorders.</w:t>
      </w:r>
      <w:r w:rsidRPr="00BF26F2">
        <w:rPr>
          <w:rFonts w:ascii="Book Antiqua" w:eastAsia="Book Antiqua" w:hAnsi="Book Antiqua" w:cs="Book Antiqua"/>
          <w:shd w:val="clear" w:color="auto" w:fill="FFFFFF"/>
        </w:rPr>
        <w:t xml:space="preserve"> </w:t>
      </w:r>
      <w:r w:rsidRPr="00BF26F2">
        <w:rPr>
          <w:rFonts w:ascii="Book Antiqua" w:eastAsia="Book Antiqua" w:hAnsi="Book Antiqua" w:cs="Book Antiqua"/>
        </w:rPr>
        <w:t>This possibility is supported by the known association of ADHD with urinary voiding dysfunction</w:t>
      </w:r>
      <w:r w:rsidRPr="00BF26F2">
        <w:rPr>
          <w:rFonts w:ascii="Book Antiqua" w:eastAsia="Book Antiqua" w:hAnsi="Book Antiqua" w:cs="Book Antiqua"/>
          <w:vertAlign w:val="superscript"/>
        </w:rPr>
        <w:t>[26]</w:t>
      </w:r>
      <w:r w:rsidRPr="00BF26F2">
        <w:rPr>
          <w:rFonts w:ascii="Book Antiqua" w:eastAsia="Book Antiqua" w:hAnsi="Book Antiqua" w:cs="Book Antiqua"/>
        </w:rPr>
        <w:t>. Third, the behavioral disorders and the high rate of comorbid psychiatric disorders in individuals with ADHD may be related to the pathogenesis of FGID</w:t>
      </w:r>
      <w:r w:rsidRPr="00BF26F2">
        <w:rPr>
          <w:rFonts w:ascii="Book Antiqua" w:eastAsia="Book Antiqua" w:hAnsi="Book Antiqua" w:cs="Book Antiqua"/>
          <w:vertAlign w:val="superscript"/>
        </w:rPr>
        <w:t>[27]</w:t>
      </w:r>
      <w:r w:rsidRPr="00BF26F2">
        <w:rPr>
          <w:rFonts w:ascii="Book Antiqua" w:eastAsia="Book Antiqua" w:hAnsi="Book Antiqua" w:cs="Book Antiqua"/>
        </w:rPr>
        <w:t>, and fo</w:t>
      </w:r>
      <w:r w:rsidR="00744CE7">
        <w:rPr>
          <w:rFonts w:ascii="Book Antiqua" w:eastAsia="Book Antiqua" w:hAnsi="Book Antiqua" w:cs="Book Antiqua"/>
        </w:rPr>
        <w:t>u</w:t>
      </w:r>
      <w:r w:rsidRPr="00BF26F2">
        <w:rPr>
          <w:rFonts w:ascii="Book Antiqua" w:eastAsia="Book Antiqua" w:hAnsi="Book Antiqua" w:cs="Book Antiqua"/>
        </w:rPr>
        <w:t>rth and most interesting, an evolving hypothesis suggests an important role of the gut-brain axis and intestinal microbiota in modulating ADHD, therefore explaining the overlap between ADHD and FGID</w:t>
      </w:r>
      <w:r w:rsidRPr="00BF26F2">
        <w:rPr>
          <w:rFonts w:ascii="Book Antiqua" w:eastAsia="Book Antiqua" w:hAnsi="Book Antiqua" w:cs="Book Antiqua"/>
          <w:vertAlign w:val="superscript"/>
        </w:rPr>
        <w:t>[28,29]</w:t>
      </w:r>
      <w:r w:rsidRPr="00BF26F2">
        <w:rPr>
          <w:rFonts w:ascii="Book Antiqua" w:eastAsia="Book Antiqua" w:hAnsi="Book Antiqua" w:cs="Book Antiqua"/>
        </w:rPr>
        <w:t>.</w:t>
      </w:r>
    </w:p>
    <w:p w14:paraId="7C5BD42A" w14:textId="1FBA0623"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 xml:space="preserve">In contrast to FGID, immune-mediated conditions such as IBD and celiac disease were not associated with ADHD. A previous small study of 50 children reported a higher prevalence of ADHD among those with </w:t>
      </w:r>
      <w:proofErr w:type="gramStart"/>
      <w:r w:rsidRPr="00BF26F2">
        <w:rPr>
          <w:rFonts w:ascii="Book Antiqua" w:eastAsia="Book Antiqua" w:hAnsi="Book Antiqua" w:cs="Book Antiqua"/>
        </w:rPr>
        <w:t>IBD</w:t>
      </w:r>
      <w:r w:rsidRPr="00BF26F2">
        <w:rPr>
          <w:rFonts w:ascii="Book Antiqua" w:eastAsia="Book Antiqua" w:hAnsi="Book Antiqua" w:cs="Book Antiqua"/>
          <w:vertAlign w:val="superscript"/>
        </w:rPr>
        <w:t>[</w:t>
      </w:r>
      <w:proofErr w:type="gramEnd"/>
      <w:r w:rsidRPr="00BF26F2">
        <w:rPr>
          <w:rFonts w:ascii="Book Antiqua" w:eastAsia="Book Antiqua" w:hAnsi="Book Antiqua" w:cs="Book Antiqua"/>
          <w:vertAlign w:val="superscript"/>
        </w:rPr>
        <w:t>30]</w:t>
      </w:r>
      <w:r w:rsidRPr="00BF26F2">
        <w:rPr>
          <w:rFonts w:ascii="Book Antiqua" w:eastAsia="Book Antiqua" w:hAnsi="Book Antiqua" w:cs="Book Antiqua"/>
        </w:rPr>
        <w:t xml:space="preserve"> but</w:t>
      </w:r>
      <w:r w:rsidR="00744CE7">
        <w:rPr>
          <w:rFonts w:ascii="Book Antiqua" w:eastAsia="Book Antiqua" w:hAnsi="Book Antiqua" w:cs="Book Antiqua"/>
        </w:rPr>
        <w:t>,</w:t>
      </w:r>
      <w:r w:rsidRPr="00BF26F2">
        <w:rPr>
          <w:rFonts w:ascii="Book Antiqua" w:eastAsia="Book Antiqua" w:hAnsi="Book Antiqua" w:cs="Book Antiqua"/>
        </w:rPr>
        <w:t xml:space="preserve"> unlike our study, it did not examine the rate of IBD in patients with ADHD. Likewise, several studies found a higher rate of ADHD among patients with celiac d</w:t>
      </w:r>
      <w:r w:rsidR="00744CE7">
        <w:rPr>
          <w:rFonts w:ascii="Book Antiqua" w:eastAsia="Book Antiqua" w:hAnsi="Book Antiqua" w:cs="Book Antiqua"/>
        </w:rPr>
        <w:t>i</w:t>
      </w:r>
      <w:r w:rsidRPr="00BF26F2">
        <w:rPr>
          <w:rFonts w:ascii="Book Antiqua" w:eastAsia="Book Antiqua" w:hAnsi="Book Antiqua" w:cs="Book Antiqua"/>
        </w:rPr>
        <w:t>sease</w:t>
      </w:r>
      <w:r w:rsidRPr="00BF26F2">
        <w:rPr>
          <w:rFonts w:ascii="Book Antiqua" w:eastAsia="Book Antiqua" w:hAnsi="Book Antiqua" w:cs="Book Antiqua"/>
          <w:vertAlign w:val="superscript"/>
        </w:rPr>
        <w:t>[31-33]</w:t>
      </w:r>
      <w:r w:rsidRPr="00BF26F2">
        <w:rPr>
          <w:rFonts w:ascii="Book Antiqua" w:eastAsia="Book Antiqua" w:hAnsi="Book Antiqua" w:cs="Book Antiqua"/>
        </w:rPr>
        <w:t>, but whether celiac disease is more prevalent among patients with ADHD is less clear</w:t>
      </w:r>
      <w:r w:rsidRPr="00BF26F2">
        <w:rPr>
          <w:rFonts w:ascii="Book Antiqua" w:eastAsia="Book Antiqua" w:hAnsi="Book Antiqua" w:cs="Book Antiqua"/>
          <w:vertAlign w:val="superscript"/>
        </w:rPr>
        <w:t>[21,34]</w:t>
      </w:r>
      <w:r w:rsidRPr="00BF26F2">
        <w:rPr>
          <w:rFonts w:ascii="Book Antiqua" w:eastAsia="Book Antiqua" w:hAnsi="Book Antiqua" w:cs="Book Antiqua"/>
        </w:rPr>
        <w:t xml:space="preserve">. In a recent systematic review of </w:t>
      </w:r>
      <w:r w:rsidR="00744CE7">
        <w:rPr>
          <w:rFonts w:ascii="Book Antiqua" w:eastAsia="Book Antiqua" w:hAnsi="Book Antiqua" w:cs="Book Antiqua"/>
        </w:rPr>
        <w:t>eight</w:t>
      </w:r>
      <w:r w:rsidRPr="00BF26F2">
        <w:rPr>
          <w:rFonts w:ascii="Book Antiqua" w:eastAsia="Book Antiqua" w:hAnsi="Book Antiqua" w:cs="Book Antiqua"/>
        </w:rPr>
        <w:t xml:space="preserve"> studies of ADHD and celiac disease, Ertürk </w:t>
      </w:r>
      <w:r w:rsidRPr="00BF26F2">
        <w:rPr>
          <w:rFonts w:ascii="Book Antiqua" w:eastAsia="Book Antiqua" w:hAnsi="Book Antiqua" w:cs="Book Antiqua"/>
          <w:i/>
          <w:iCs/>
        </w:rPr>
        <w:t xml:space="preserve">et </w:t>
      </w:r>
      <w:proofErr w:type="gramStart"/>
      <w:r w:rsidRPr="00BF26F2">
        <w:rPr>
          <w:rFonts w:ascii="Book Antiqua" w:eastAsia="Book Antiqua" w:hAnsi="Book Antiqua" w:cs="Book Antiqua"/>
          <w:i/>
          <w:iCs/>
        </w:rPr>
        <w:t>al</w:t>
      </w:r>
      <w:r w:rsidRPr="00BF26F2">
        <w:rPr>
          <w:rFonts w:ascii="Book Antiqua" w:eastAsia="Book Antiqua" w:hAnsi="Book Antiqua" w:cs="Book Antiqua"/>
          <w:vertAlign w:val="superscript"/>
        </w:rPr>
        <w:t>[</w:t>
      </w:r>
      <w:proofErr w:type="gramEnd"/>
      <w:r w:rsidRPr="00BF26F2">
        <w:rPr>
          <w:rFonts w:ascii="Book Antiqua" w:eastAsia="Book Antiqua" w:hAnsi="Book Antiqua" w:cs="Book Antiqua"/>
          <w:vertAlign w:val="superscript"/>
        </w:rPr>
        <w:t>35]</w:t>
      </w:r>
      <w:r w:rsidRPr="00BF26F2">
        <w:rPr>
          <w:rFonts w:ascii="Book Antiqua" w:eastAsia="Book Antiqua" w:hAnsi="Book Antiqua" w:cs="Book Antiqua"/>
        </w:rPr>
        <w:t xml:space="preserve"> concluded that the results were inconsistent, as only </w:t>
      </w:r>
      <w:r w:rsidR="00744CE7">
        <w:rPr>
          <w:rFonts w:ascii="Book Antiqua" w:eastAsia="Book Antiqua" w:hAnsi="Book Antiqua" w:cs="Book Antiqua"/>
        </w:rPr>
        <w:t>three</w:t>
      </w:r>
      <w:r w:rsidRPr="00BF26F2">
        <w:rPr>
          <w:rFonts w:ascii="Book Antiqua" w:eastAsia="Book Antiqua" w:hAnsi="Book Antiqua" w:cs="Book Antiqua"/>
        </w:rPr>
        <w:t xml:space="preserve"> reported a positive correlation. It </w:t>
      </w:r>
      <w:r w:rsidR="00744CE7">
        <w:rPr>
          <w:rFonts w:ascii="Book Antiqua" w:eastAsia="Book Antiqua" w:hAnsi="Book Antiqua" w:cs="Book Antiqua"/>
        </w:rPr>
        <w:t xml:space="preserve">is </w:t>
      </w:r>
      <w:r w:rsidRPr="00BF26F2">
        <w:rPr>
          <w:rFonts w:ascii="Book Antiqua" w:eastAsia="Book Antiqua" w:hAnsi="Book Antiqua" w:cs="Book Antiqua"/>
        </w:rPr>
        <w:t>worth mentioning that a recently published study from Germany, showed an association between childhood ADHD and immune-mediated diseases</w:t>
      </w:r>
      <w:r w:rsidR="00744CE7">
        <w:rPr>
          <w:rFonts w:ascii="Book Antiqua" w:eastAsia="Book Antiqua" w:hAnsi="Book Antiqua" w:cs="Book Antiqua"/>
        </w:rPr>
        <w:t>,</w:t>
      </w:r>
      <w:r w:rsidRPr="00BF26F2">
        <w:rPr>
          <w:rFonts w:ascii="Book Antiqua" w:eastAsia="Book Antiqua" w:hAnsi="Book Antiqua" w:cs="Book Antiqua"/>
        </w:rPr>
        <w:t xml:space="preserve"> such as type I diabetes, juvenile rheumatoid </w:t>
      </w:r>
      <w:r w:rsidRPr="00BF26F2">
        <w:rPr>
          <w:rFonts w:ascii="Book Antiqua" w:eastAsia="Book Antiqua" w:hAnsi="Book Antiqua" w:cs="Book Antiqua"/>
        </w:rPr>
        <w:lastRenderedPageBreak/>
        <w:t>arthritis and asthma; however, no association was recorded with IBD and celiac disease</w:t>
      </w:r>
      <w:r w:rsidRPr="00BF26F2">
        <w:rPr>
          <w:rFonts w:ascii="Book Antiqua" w:eastAsia="Book Antiqua" w:hAnsi="Book Antiqua" w:cs="Book Antiqua"/>
          <w:vertAlign w:val="superscript"/>
        </w:rPr>
        <w:t>[36]</w:t>
      </w:r>
      <w:r w:rsidRPr="00BF26F2">
        <w:rPr>
          <w:rFonts w:ascii="Book Antiqua" w:eastAsia="Book Antiqua" w:hAnsi="Book Antiqua" w:cs="Book Antiqua"/>
        </w:rPr>
        <w:t xml:space="preserve">. </w:t>
      </w:r>
    </w:p>
    <w:p w14:paraId="69E74A5D" w14:textId="3FA081DF"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Methylphenidat</w:t>
      </w:r>
      <w:r w:rsidR="0025674D" w:rsidRPr="00BF26F2">
        <w:rPr>
          <w:rFonts w:ascii="Book Antiqua" w:eastAsia="Book Antiqua" w:hAnsi="Book Antiqua" w:cs="Book Antiqua"/>
        </w:rPr>
        <w:t>e prescriptions were given to 3</w:t>
      </w:r>
      <w:r w:rsidRPr="00BF26F2">
        <w:rPr>
          <w:rFonts w:ascii="Book Antiqua" w:eastAsia="Book Antiqua" w:hAnsi="Book Antiqua" w:cs="Book Antiqua"/>
        </w:rPr>
        <w:t>980 participants (11.92%) during the study period. We considered the receipt of medical treatment a marker of severe disease. However, methylphenidate itself has been associated with adverse GI effects, mainly abdominal pain, decreased or loss of appetite, weight loss, nausea</w:t>
      </w:r>
      <w:r w:rsidR="00744CE7">
        <w:rPr>
          <w:rFonts w:ascii="Book Antiqua" w:eastAsia="Book Antiqua" w:hAnsi="Book Antiqua" w:cs="Book Antiqua"/>
        </w:rPr>
        <w:t>,</w:t>
      </w:r>
      <w:r w:rsidRPr="00BF26F2">
        <w:rPr>
          <w:rFonts w:ascii="Book Antiqua" w:eastAsia="Book Antiqua" w:hAnsi="Book Antiqua" w:cs="Book Antiqua"/>
        </w:rPr>
        <w:t xml:space="preserve"> and vomiting. Indeed, the methylphenidate-treated subjects had a higher relative risk for most of the ADHD-associated outcome measures than the untreated subjects. Moreover, the association of methylphenidate with symptoms of nausea, vomiting, and abdominal pain was high in the assessment of medical visits to either primary care physicians or GI specialists. This finding may have been due either to side effects of the drug or the effects of a more severe form of ADHD. </w:t>
      </w:r>
    </w:p>
    <w:p w14:paraId="691CBC68" w14:textId="3E8A286F"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 xml:space="preserve">Since we used </w:t>
      </w:r>
      <w:r w:rsidR="00454DE9">
        <w:rPr>
          <w:rFonts w:ascii="Book Antiqua" w:eastAsia="Book Antiqua" w:hAnsi="Book Antiqua" w:cs="Book Antiqua"/>
        </w:rPr>
        <w:t xml:space="preserve">a </w:t>
      </w:r>
      <w:r w:rsidRPr="00BF26F2">
        <w:rPr>
          <w:rFonts w:ascii="Book Antiqua" w:eastAsia="Book Antiqua" w:hAnsi="Book Antiqua" w:cs="Book Antiqua"/>
        </w:rPr>
        <w:t xml:space="preserve">broad definition of ADHD, the rate of ADHD in our population (8.5%) was higher than previously </w:t>
      </w:r>
      <w:proofErr w:type="gramStart"/>
      <w:r w:rsidRPr="00BF26F2">
        <w:rPr>
          <w:rFonts w:ascii="Book Antiqua" w:eastAsia="Book Antiqua" w:hAnsi="Book Antiqua" w:cs="Book Antiqua"/>
        </w:rPr>
        <w:t>published</w:t>
      </w:r>
      <w:r w:rsidRPr="00BF26F2">
        <w:rPr>
          <w:rFonts w:ascii="Book Antiqua" w:eastAsia="Book Antiqua" w:hAnsi="Book Antiqua" w:cs="Book Antiqua"/>
          <w:vertAlign w:val="superscript"/>
        </w:rPr>
        <w:t>[</w:t>
      </w:r>
      <w:proofErr w:type="gramEnd"/>
      <w:r w:rsidRPr="00BF26F2">
        <w:rPr>
          <w:rFonts w:ascii="Book Antiqua" w:eastAsia="Book Antiqua" w:hAnsi="Book Antiqua" w:cs="Book Antiqua"/>
          <w:vertAlign w:val="superscript"/>
        </w:rPr>
        <w:t>3]</w:t>
      </w:r>
      <w:r w:rsidRPr="00BF26F2">
        <w:rPr>
          <w:rFonts w:ascii="Book Antiqua" w:eastAsia="Book Antiqua" w:hAnsi="Book Antiqua" w:cs="Book Antiqua"/>
        </w:rPr>
        <w:t>; the majority of ADHD cases in the study (69.3%) had mild ADHD, and did</w:t>
      </w:r>
      <w:r w:rsidR="00454DE9">
        <w:rPr>
          <w:rFonts w:ascii="Book Antiqua" w:eastAsia="Book Antiqua" w:hAnsi="Book Antiqua" w:cs="Book Antiqua"/>
        </w:rPr>
        <w:t xml:space="preserve"> </w:t>
      </w:r>
      <w:r w:rsidRPr="00BF26F2">
        <w:rPr>
          <w:rFonts w:ascii="Book Antiqua" w:eastAsia="Book Antiqua" w:hAnsi="Book Antiqua" w:cs="Book Antiqua"/>
        </w:rPr>
        <w:t>n</w:t>
      </w:r>
      <w:r w:rsidR="00454DE9">
        <w:rPr>
          <w:rFonts w:ascii="Book Antiqua" w:eastAsia="Book Antiqua" w:hAnsi="Book Antiqua" w:cs="Book Antiqua"/>
        </w:rPr>
        <w:t>o</w:t>
      </w:r>
      <w:r w:rsidRPr="00BF26F2">
        <w:rPr>
          <w:rFonts w:ascii="Book Antiqua" w:eastAsia="Book Antiqua" w:hAnsi="Book Antiqua" w:cs="Book Antiqua"/>
        </w:rPr>
        <w:t xml:space="preserve">t consume anti-ADHD drugs or seek help for ADHD symptoms during military service. Nevertheless, ADHD remained associated with FGID (IBS, dyspepsia and constipation) regardless its severity. </w:t>
      </w:r>
    </w:p>
    <w:p w14:paraId="0E74CDD5" w14:textId="77777777"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 The association between ADHD and GI-related functional morbidity may affect clinical decisions and treatment. Attention should be addressed to GI problems in patients with known ADHD, including a careful medical history focused on GI-related morbidity, so as not to miss some of the common GI problems. The presence of ADHD in a patient with GI symptoms, normal laboratory results and no red flags may by itself support the diagnosis of a functional GI disorder. Since FGIDs are now considered disorders of gut-brain interaction and centrally acting neuromodulators are amongst the mainstays of refractory FGIDs, these drugs may be considered in treating patients suffering from both FGID and ADHD.</w:t>
      </w:r>
    </w:p>
    <w:p w14:paraId="32091502" w14:textId="77777777"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 xml:space="preserve">Previous studies of GI-related comorbidity in ADHD were performed in children; this is the first study to focus on young adults. The main strength of this population-based study is its large size: 389,032 participants of whom 33,380 had ADHD. Moreover, our </w:t>
      </w:r>
      <w:r w:rsidRPr="00BF26F2">
        <w:rPr>
          <w:rFonts w:ascii="Book Antiqua" w:eastAsia="Book Antiqua" w:hAnsi="Book Antiqua" w:cs="Book Antiqua"/>
        </w:rPr>
        <w:lastRenderedPageBreak/>
        <w:t xml:space="preserve">control group was well defined and based on a representative sample of the general population. We based the diagnosis of ADHD on medical documentation and not parental or patient reports, which also eliminated the risk of recall bias. Since methylphenidate is associated with substantial GI morbidity, we stratified our data regarding to medication consumption. </w:t>
      </w:r>
    </w:p>
    <w:p w14:paraId="2177C326" w14:textId="67D35F57"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The present study has some limitations. We used a broad definition of ADHD, so some of the participants in the ADHD group may have had a mild form of the disease or inactive disease based on childhood medical reports. Our dependence on ICD-9 coding may have allowed for the inclusion of misdiagnoses, and diagnoses that were not strictly based on the ROME criteria</w:t>
      </w:r>
      <w:r w:rsidR="00454DE9">
        <w:rPr>
          <w:rFonts w:ascii="Book Antiqua" w:eastAsia="Book Antiqua" w:hAnsi="Book Antiqua" w:cs="Book Antiqua"/>
        </w:rPr>
        <w:t>;</w:t>
      </w:r>
      <w:r w:rsidRPr="00BF26F2">
        <w:rPr>
          <w:rFonts w:ascii="Book Antiqua" w:eastAsia="Book Antiqua" w:hAnsi="Book Antiqua" w:cs="Book Antiqua"/>
        </w:rPr>
        <w:t xml:space="preserve"> although</w:t>
      </w:r>
      <w:r w:rsidR="00454DE9">
        <w:rPr>
          <w:rFonts w:ascii="Book Antiqua" w:eastAsia="Book Antiqua" w:hAnsi="Book Antiqua" w:cs="Book Antiqua"/>
        </w:rPr>
        <w:t>,</w:t>
      </w:r>
      <w:r w:rsidRPr="00BF26F2">
        <w:rPr>
          <w:rFonts w:ascii="Book Antiqua" w:eastAsia="Book Antiqua" w:hAnsi="Book Antiqua" w:cs="Book Antiqua"/>
        </w:rPr>
        <w:t xml:space="preserve"> our strict criteria for the diagnosis of FGID in terms of duration of symptoms may have helped to overcome this limitation. Also, dyspepsia in this study is mainly uninvestigated dyspepsia</w:t>
      </w:r>
      <w:r w:rsidR="00454DE9">
        <w:rPr>
          <w:rFonts w:ascii="Book Antiqua" w:eastAsia="Book Antiqua" w:hAnsi="Book Antiqua" w:cs="Book Antiqua"/>
        </w:rPr>
        <w:t>,</w:t>
      </w:r>
      <w:r w:rsidRPr="00BF26F2">
        <w:rPr>
          <w:rFonts w:ascii="Book Antiqua" w:eastAsia="Book Antiqua" w:hAnsi="Book Antiqua" w:cs="Book Antiqua"/>
        </w:rPr>
        <w:t xml:space="preserve"> since upper GI endoscopy and </w:t>
      </w:r>
      <w:r w:rsidRPr="00BF26F2">
        <w:rPr>
          <w:rFonts w:ascii="Book Antiqua" w:eastAsia="Book Antiqua" w:hAnsi="Book Antiqua" w:cs="Book Antiqua"/>
          <w:i/>
          <w:iCs/>
        </w:rPr>
        <w:t>Helicobacter pylori</w:t>
      </w:r>
      <w:r w:rsidRPr="00BF26F2">
        <w:rPr>
          <w:rFonts w:ascii="Book Antiqua" w:eastAsia="Book Antiqua" w:hAnsi="Book Antiqua" w:cs="Book Antiqua"/>
        </w:rPr>
        <w:t xml:space="preserve"> testing were not requested. Since the study design was cross-sectional, our results can show only an association between ADHD and GI-related morbidity but not causality. The medication data should be interpreted with caution because it is based on prescriptions and not on confirmed consumption. </w:t>
      </w:r>
    </w:p>
    <w:p w14:paraId="0A863EFB" w14:textId="77777777" w:rsidR="00D02FF1" w:rsidRPr="00BF26F2" w:rsidRDefault="00D02FF1" w:rsidP="00BF26F2">
      <w:pPr>
        <w:adjustRightInd w:val="0"/>
        <w:snapToGrid w:val="0"/>
        <w:spacing w:line="360" w:lineRule="auto"/>
        <w:ind w:firstLine="240"/>
        <w:jc w:val="both"/>
        <w:rPr>
          <w:rFonts w:ascii="Book Antiqua" w:hAnsi="Book Antiqua"/>
        </w:rPr>
      </w:pPr>
    </w:p>
    <w:p w14:paraId="5B2AE32C"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caps/>
          <w:u w:val="single"/>
        </w:rPr>
        <w:t>CONCLUSION</w:t>
      </w:r>
    </w:p>
    <w:p w14:paraId="1759ED79" w14:textId="26EA6E9E"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In conclusion, ADHD is associated with FGID and a high need for GI-related health services. This study </w:t>
      </w:r>
      <w:r w:rsidR="00D82CA9" w:rsidRPr="00BF26F2">
        <w:rPr>
          <w:rFonts w:ascii="Book Antiqua" w:eastAsia="Book Antiqua" w:hAnsi="Book Antiqua" w:cs="Book Antiqua"/>
        </w:rPr>
        <w:t>emphasizes</w:t>
      </w:r>
      <w:r w:rsidRPr="00BF26F2">
        <w:rPr>
          <w:rFonts w:ascii="Book Antiqua" w:eastAsia="Book Antiqua" w:hAnsi="Book Antiqua" w:cs="Book Antiqua"/>
        </w:rPr>
        <w:t xml:space="preserve"> the complex interaction between mind and body. Further research is needed to explore the possible combination of treatment of FGID with the neuropsychological therapeutic modalities for ADHD, and to determine if the presence of ADHD can assist in the diagnosis of FGID.</w:t>
      </w:r>
    </w:p>
    <w:p w14:paraId="6FF7F04E" w14:textId="77777777" w:rsidR="00D02FF1" w:rsidRPr="00BF26F2" w:rsidRDefault="00D02FF1" w:rsidP="00BF26F2">
      <w:pPr>
        <w:adjustRightInd w:val="0"/>
        <w:snapToGrid w:val="0"/>
        <w:spacing w:line="360" w:lineRule="auto"/>
        <w:jc w:val="both"/>
        <w:rPr>
          <w:rFonts w:ascii="Book Antiqua" w:hAnsi="Book Antiqua"/>
        </w:rPr>
      </w:pPr>
    </w:p>
    <w:p w14:paraId="15CAC6C4"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caps/>
          <w:u w:val="single"/>
        </w:rPr>
        <w:t>ARTICLE HIGHLIGHTS</w:t>
      </w:r>
    </w:p>
    <w:p w14:paraId="1F380C5F"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i/>
        </w:rPr>
        <w:t>Research background</w:t>
      </w:r>
    </w:p>
    <w:p w14:paraId="4C08126F" w14:textId="2B9F27F8"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Attention deficit hyperactivity disorder (ADHD) is a very common chronic condition of inappropriate levels of inattention and/or hyperactivity that interferes with the quality of social, academic, or occupational functioning.</w:t>
      </w:r>
      <w:r w:rsidR="00BC2F2C" w:rsidRPr="00BF26F2">
        <w:rPr>
          <w:rFonts w:ascii="Book Antiqua" w:eastAsia="Book Antiqua" w:hAnsi="Book Antiqua" w:cs="Book Antiqua"/>
        </w:rPr>
        <w:t xml:space="preserve"> </w:t>
      </w:r>
      <w:r w:rsidR="00775D0B" w:rsidRPr="00BF26F2">
        <w:rPr>
          <w:rFonts w:ascii="Book Antiqua" w:eastAsia="Book Antiqua" w:hAnsi="Book Antiqua" w:cs="Book Antiqua"/>
        </w:rPr>
        <w:t xml:space="preserve">Although ADHD is associated with </w:t>
      </w:r>
      <w:r w:rsidR="00775D0B" w:rsidRPr="00BF26F2">
        <w:rPr>
          <w:rFonts w:ascii="Book Antiqua" w:eastAsia="Book Antiqua" w:hAnsi="Book Antiqua" w:cs="Book Antiqua"/>
        </w:rPr>
        <w:lastRenderedPageBreak/>
        <w:t>some gastrointestinal (GI) symptoms in children, t</w:t>
      </w:r>
      <w:r w:rsidRPr="00BF26F2">
        <w:rPr>
          <w:rFonts w:ascii="Book Antiqua" w:eastAsia="Book Antiqua" w:hAnsi="Book Antiqua" w:cs="Book Antiqua"/>
        </w:rPr>
        <w:t xml:space="preserve">he association of ADHD to </w:t>
      </w:r>
      <w:r w:rsidR="00775D0B" w:rsidRPr="00BF26F2">
        <w:rPr>
          <w:rFonts w:ascii="Book Antiqua" w:eastAsia="Book Antiqua" w:hAnsi="Book Antiqua" w:cs="Book Antiqua"/>
        </w:rPr>
        <w:t>GI disorders in adults</w:t>
      </w:r>
      <w:r w:rsidRPr="00BF26F2">
        <w:rPr>
          <w:rFonts w:ascii="Book Antiqua" w:eastAsia="Book Antiqua" w:hAnsi="Book Antiqua" w:cs="Book Antiqua"/>
        </w:rPr>
        <w:t xml:space="preserve"> is </w:t>
      </w:r>
      <w:r w:rsidR="00BC2F2C" w:rsidRPr="00BF26F2">
        <w:rPr>
          <w:rFonts w:ascii="Book Antiqua" w:eastAsia="Book Antiqua" w:hAnsi="Book Antiqua" w:cs="Book Antiqua"/>
        </w:rPr>
        <w:t>not well characterized</w:t>
      </w:r>
      <w:r w:rsidR="00775D0B" w:rsidRPr="00BF26F2">
        <w:rPr>
          <w:rFonts w:ascii="Book Antiqua" w:eastAsia="Book Antiqua" w:hAnsi="Book Antiqua" w:cs="Book Antiqua"/>
        </w:rPr>
        <w:t>.</w:t>
      </w:r>
    </w:p>
    <w:p w14:paraId="42CDC15B" w14:textId="77777777" w:rsidR="00454DE9" w:rsidRDefault="00454DE9" w:rsidP="00BF26F2">
      <w:pPr>
        <w:adjustRightInd w:val="0"/>
        <w:snapToGrid w:val="0"/>
        <w:spacing w:line="360" w:lineRule="auto"/>
        <w:jc w:val="both"/>
        <w:rPr>
          <w:rFonts w:ascii="Book Antiqua" w:eastAsia="Book Antiqua" w:hAnsi="Book Antiqua" w:cs="Book Antiqua"/>
          <w:b/>
          <w:i/>
        </w:rPr>
      </w:pPr>
    </w:p>
    <w:p w14:paraId="27492392" w14:textId="32FD846B"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i/>
        </w:rPr>
        <w:t>Research motivation</w:t>
      </w:r>
    </w:p>
    <w:p w14:paraId="3BE67147" w14:textId="45DC8052"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The motivation for the research came from the clinical observation that many young adults attending the GI clinic with functional gastrointestinal disorders (FGID) mention ADHD as a chronic condition they suffer from. Therefore, we decided to conduct a st</w:t>
      </w:r>
      <w:r w:rsidR="00775D0B" w:rsidRPr="00BF26F2">
        <w:rPr>
          <w:rFonts w:ascii="Book Antiqua" w:eastAsia="Book Antiqua" w:hAnsi="Book Antiqua" w:cs="Book Antiqua"/>
        </w:rPr>
        <w:t xml:space="preserve">udy to confirm this association. </w:t>
      </w:r>
      <w:r w:rsidRPr="00BF26F2">
        <w:rPr>
          <w:rFonts w:ascii="Book Antiqua" w:eastAsia="Book Antiqua" w:hAnsi="Book Antiqua" w:cs="Book Antiqua"/>
        </w:rPr>
        <w:t>Finding an association between ADHD and GI-related functional morbidity might affect clinical decisions and treatment</w:t>
      </w:r>
      <w:r w:rsidR="00454DE9">
        <w:rPr>
          <w:rFonts w:ascii="Book Antiqua" w:eastAsia="Book Antiqua" w:hAnsi="Book Antiqua" w:cs="Book Antiqua"/>
        </w:rPr>
        <w:t>;</w:t>
      </w:r>
      <w:r w:rsidRPr="00BF26F2">
        <w:rPr>
          <w:rFonts w:ascii="Book Antiqua" w:eastAsia="Book Antiqua" w:hAnsi="Book Antiqua" w:cs="Book Antiqua"/>
        </w:rPr>
        <w:t xml:space="preserve"> in such patients who have both ADHD and FGID</w:t>
      </w:r>
      <w:r w:rsidR="00454DE9">
        <w:rPr>
          <w:rFonts w:ascii="Book Antiqua" w:eastAsia="Book Antiqua" w:hAnsi="Book Antiqua" w:cs="Book Antiqua"/>
        </w:rPr>
        <w:t>,</w:t>
      </w:r>
      <w:r w:rsidRPr="00BF26F2">
        <w:rPr>
          <w:rFonts w:ascii="Book Antiqua" w:eastAsia="Book Antiqua" w:hAnsi="Book Antiqua" w:cs="Book Antiqua"/>
        </w:rPr>
        <w:t xml:space="preserve"> treatment should be taken by an integrative approach combined of a multidisciplinary team of primary care physician, GI specialist, and psychiatrist, and centrally acting neuromodulators should be considered in the treatment plan.</w:t>
      </w:r>
    </w:p>
    <w:p w14:paraId="12949773" w14:textId="77777777" w:rsidR="00D02FF1" w:rsidRPr="00BF26F2" w:rsidRDefault="00D02FF1" w:rsidP="00BF26F2">
      <w:pPr>
        <w:adjustRightInd w:val="0"/>
        <w:snapToGrid w:val="0"/>
        <w:spacing w:line="360" w:lineRule="auto"/>
        <w:jc w:val="both"/>
        <w:rPr>
          <w:rFonts w:ascii="Book Antiqua" w:hAnsi="Book Antiqua"/>
        </w:rPr>
      </w:pPr>
    </w:p>
    <w:p w14:paraId="6982C468"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i/>
        </w:rPr>
        <w:t>Research objectives</w:t>
      </w:r>
    </w:p>
    <w:p w14:paraId="58B5BB5F" w14:textId="37339ADD"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The aim of this study was to investigate the prevalence and types of </w:t>
      </w:r>
      <w:r w:rsidR="00454DE9">
        <w:rPr>
          <w:rFonts w:ascii="Book Antiqua" w:eastAsia="Book Antiqua" w:hAnsi="Book Antiqua" w:cs="Book Antiqua"/>
        </w:rPr>
        <w:t>GI</w:t>
      </w:r>
      <w:r w:rsidR="00454DE9" w:rsidRPr="00BF26F2">
        <w:rPr>
          <w:rFonts w:ascii="Book Antiqua" w:eastAsia="Book Antiqua" w:hAnsi="Book Antiqua" w:cs="Book Antiqua"/>
        </w:rPr>
        <w:t xml:space="preserve"> </w:t>
      </w:r>
      <w:r w:rsidRPr="00BF26F2">
        <w:rPr>
          <w:rFonts w:ascii="Book Antiqua" w:eastAsia="Book Antiqua" w:hAnsi="Book Antiqua" w:cs="Book Antiqua"/>
        </w:rPr>
        <w:t>comorbidities in young adults with ADHD and their burden on the healthcare system. Indeed, we found an association between ADHD and FGID</w:t>
      </w:r>
      <w:r w:rsidR="00454DE9">
        <w:rPr>
          <w:rFonts w:ascii="Book Antiqua" w:eastAsia="Book Antiqua" w:hAnsi="Book Antiqua" w:cs="Book Antiqua"/>
        </w:rPr>
        <w:t>,</w:t>
      </w:r>
      <w:r w:rsidRPr="00BF26F2">
        <w:rPr>
          <w:rFonts w:ascii="Book Antiqua" w:eastAsia="Book Antiqua" w:hAnsi="Book Antiqua" w:cs="Book Antiqua"/>
        </w:rPr>
        <w:t xml:space="preserve"> such as irritable bowel syndrome (IBS), dyspepsia</w:t>
      </w:r>
      <w:r w:rsidR="00454DE9">
        <w:rPr>
          <w:rFonts w:ascii="Book Antiqua" w:eastAsia="Book Antiqua" w:hAnsi="Book Antiqua" w:cs="Book Antiqua"/>
        </w:rPr>
        <w:t>,</w:t>
      </w:r>
      <w:r w:rsidRPr="00BF26F2">
        <w:rPr>
          <w:rFonts w:ascii="Book Antiqua" w:eastAsia="Book Antiqua" w:hAnsi="Book Antiqua" w:cs="Book Antiqua"/>
        </w:rPr>
        <w:t xml:space="preserve"> and chronic constipation. ADHD was not associated with IBD or celiac disease. </w:t>
      </w:r>
    </w:p>
    <w:p w14:paraId="4EE21370" w14:textId="77777777" w:rsidR="00D02FF1" w:rsidRPr="00BF26F2" w:rsidRDefault="00D02FF1" w:rsidP="00BF26F2">
      <w:pPr>
        <w:adjustRightInd w:val="0"/>
        <w:snapToGrid w:val="0"/>
        <w:spacing w:line="360" w:lineRule="auto"/>
        <w:jc w:val="both"/>
        <w:rPr>
          <w:rFonts w:ascii="Book Antiqua" w:hAnsi="Book Antiqua"/>
        </w:rPr>
      </w:pPr>
    </w:p>
    <w:p w14:paraId="5210870E"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i/>
        </w:rPr>
        <w:t>Research methods</w:t>
      </w:r>
    </w:p>
    <w:p w14:paraId="673DE213" w14:textId="66061900"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This </w:t>
      </w:r>
      <w:r w:rsidR="00454DE9">
        <w:rPr>
          <w:rFonts w:ascii="Book Antiqua" w:eastAsia="Book Antiqua" w:hAnsi="Book Antiqua" w:cs="Book Antiqua"/>
        </w:rPr>
        <w:t>was</w:t>
      </w:r>
      <w:r w:rsidRPr="00BF26F2">
        <w:rPr>
          <w:rFonts w:ascii="Book Antiqua" w:eastAsia="Book Antiqua" w:hAnsi="Book Antiqua" w:cs="Book Antiqua"/>
        </w:rPr>
        <w:t xml:space="preserve"> a retrospective cohort study, consist</w:t>
      </w:r>
      <w:r w:rsidR="00454DE9">
        <w:rPr>
          <w:rFonts w:ascii="Book Antiqua" w:eastAsia="Book Antiqua" w:hAnsi="Book Antiqua" w:cs="Book Antiqua"/>
        </w:rPr>
        <w:t>ing</w:t>
      </w:r>
      <w:r w:rsidRPr="00BF26F2">
        <w:rPr>
          <w:rFonts w:ascii="Book Antiqua" w:eastAsia="Book Antiqua" w:hAnsi="Book Antiqua" w:cs="Book Antiqua"/>
        </w:rPr>
        <w:t xml:space="preserve"> of all young adults of both sexes recruited to the Israeli Defen</w:t>
      </w:r>
      <w:r w:rsidR="00454DE9">
        <w:rPr>
          <w:rFonts w:ascii="Book Antiqua" w:eastAsia="Book Antiqua" w:hAnsi="Book Antiqua" w:cs="Book Antiqua"/>
        </w:rPr>
        <w:t>s</w:t>
      </w:r>
      <w:r w:rsidRPr="00BF26F2">
        <w:rPr>
          <w:rFonts w:ascii="Book Antiqua" w:eastAsia="Book Antiqua" w:hAnsi="Book Antiqua" w:cs="Book Antiqua"/>
        </w:rPr>
        <w:t xml:space="preserve">e Forces (IDF) between January 2007 and February 2013 and assigned to active duty. This population accounts for about 50% of </w:t>
      </w:r>
      <w:r w:rsidR="00454DE9">
        <w:rPr>
          <w:rFonts w:ascii="Book Antiqua" w:eastAsia="Book Antiqua" w:hAnsi="Book Antiqua" w:cs="Book Antiqua"/>
        </w:rPr>
        <w:t>the entire</w:t>
      </w:r>
      <w:r w:rsidRPr="00BF26F2">
        <w:rPr>
          <w:rFonts w:ascii="Book Antiqua" w:eastAsia="Book Antiqua" w:hAnsi="Book Antiqua" w:cs="Book Antiqua"/>
        </w:rPr>
        <w:t xml:space="preserve"> Israeli young adult population. </w:t>
      </w:r>
      <w:r w:rsidR="00EF7B2F" w:rsidRPr="00BF26F2">
        <w:rPr>
          <w:rFonts w:ascii="Book Antiqua" w:eastAsia="Book Antiqua" w:hAnsi="Book Antiqua" w:cs="Book Antiqua"/>
        </w:rPr>
        <w:t>Several sources were used to accurately identify ADHD patients as well as to use only well-established diagnoses of IBS, dyspepsia, and constipation.</w:t>
      </w:r>
      <w:r w:rsidR="00EF7B2F" w:rsidRPr="00BF26F2">
        <w:rPr>
          <w:rFonts w:ascii="Book Antiqua" w:hAnsi="Book Antiqua"/>
        </w:rPr>
        <w:t xml:space="preserve"> </w:t>
      </w:r>
      <w:r w:rsidRPr="00BF26F2">
        <w:rPr>
          <w:rFonts w:ascii="Book Antiqua" w:eastAsia="Book Antiqua" w:hAnsi="Book Antiqua" w:cs="Book Antiqua"/>
        </w:rPr>
        <w:t>The following sociodemographic data were collected: year of birth; age at the time of examination; country of birth; education; and socioeconomic status. Outcome measures were diagnosis of IBS, dyspepsia, constipation, IBD, and celiac disease</w:t>
      </w:r>
      <w:r w:rsidR="00454DE9">
        <w:rPr>
          <w:rFonts w:ascii="Book Antiqua" w:eastAsia="Book Antiqua" w:hAnsi="Book Antiqua" w:cs="Book Antiqua"/>
        </w:rPr>
        <w:t>, as well as</w:t>
      </w:r>
      <w:r w:rsidRPr="00BF26F2">
        <w:rPr>
          <w:rFonts w:ascii="Book Antiqua" w:eastAsia="Book Antiqua" w:hAnsi="Book Antiqua" w:cs="Book Antiqua"/>
        </w:rPr>
        <w:t xml:space="preserve"> GI </w:t>
      </w:r>
      <w:r w:rsidRPr="00BF26F2">
        <w:rPr>
          <w:rFonts w:ascii="Book Antiqua" w:eastAsia="Book Antiqua" w:hAnsi="Book Antiqua" w:cs="Book Antiqua"/>
        </w:rPr>
        <w:lastRenderedPageBreak/>
        <w:t xml:space="preserve">symptoms as the reason for a primary care clinic visit, referral to a GI specialist, and recurrent GI complaints. </w:t>
      </w:r>
    </w:p>
    <w:p w14:paraId="23A7D074" w14:textId="77777777" w:rsidR="00D02FF1" w:rsidRPr="00BF26F2" w:rsidRDefault="00D02FF1" w:rsidP="00BF26F2">
      <w:pPr>
        <w:adjustRightInd w:val="0"/>
        <w:snapToGrid w:val="0"/>
        <w:spacing w:line="360" w:lineRule="auto"/>
        <w:ind w:firstLine="240"/>
        <w:jc w:val="both"/>
        <w:rPr>
          <w:rFonts w:ascii="Book Antiqua" w:hAnsi="Book Antiqua"/>
        </w:rPr>
      </w:pPr>
    </w:p>
    <w:p w14:paraId="77F4B93F"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i/>
        </w:rPr>
        <w:t>Research results</w:t>
      </w:r>
    </w:p>
    <w:p w14:paraId="190E985F" w14:textId="12FA00E6"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The cohort included 389</w:t>
      </w:r>
      <w:r w:rsidR="00454DE9">
        <w:rPr>
          <w:rFonts w:ascii="Book Antiqua" w:eastAsia="Book Antiqua" w:hAnsi="Book Antiqua" w:cs="Book Antiqua"/>
        </w:rPr>
        <w:t>,</w:t>
      </w:r>
      <w:r w:rsidRPr="00BF26F2">
        <w:rPr>
          <w:rFonts w:ascii="Book Antiqua" w:eastAsia="Book Antiqua" w:hAnsi="Book Antiqua" w:cs="Book Antiqua"/>
        </w:rPr>
        <w:t>032 recruits, 41.3% female, aged 17-35 years, of whom 33</w:t>
      </w:r>
      <w:r w:rsidR="00454DE9">
        <w:rPr>
          <w:rFonts w:ascii="Book Antiqua" w:eastAsia="Book Antiqua" w:hAnsi="Book Antiqua" w:cs="Book Antiqua"/>
        </w:rPr>
        <w:t>,</w:t>
      </w:r>
      <w:r w:rsidRPr="00BF26F2">
        <w:rPr>
          <w:rFonts w:ascii="Book Antiqua" w:eastAsia="Book Antiqua" w:hAnsi="Book Antiqua" w:cs="Book Antiqua"/>
        </w:rPr>
        <w:t>380 (8.6%) had ADHD. Most ADHD patients (</w:t>
      </w:r>
      <w:r w:rsidRPr="00BF26F2">
        <w:rPr>
          <w:rFonts w:ascii="Book Antiqua" w:eastAsia="Book Antiqua" w:hAnsi="Book Antiqua" w:cs="Book Antiqua"/>
          <w:i/>
          <w:iCs/>
        </w:rPr>
        <w:t xml:space="preserve">n </w:t>
      </w:r>
      <w:r w:rsidR="008E366A" w:rsidRPr="00BF26F2">
        <w:rPr>
          <w:rFonts w:ascii="Book Antiqua" w:eastAsia="Book Antiqua" w:hAnsi="Book Antiqua" w:cs="Book Antiqua"/>
        </w:rPr>
        <w:t>= 23</w:t>
      </w:r>
      <w:r w:rsidR="00454DE9">
        <w:rPr>
          <w:rFonts w:ascii="Book Antiqua" w:eastAsia="Book Antiqua" w:hAnsi="Book Antiqua" w:cs="Book Antiqua"/>
        </w:rPr>
        <w:t>,</w:t>
      </w:r>
      <w:r w:rsidRPr="00BF26F2">
        <w:rPr>
          <w:rFonts w:ascii="Book Antiqua" w:eastAsia="Book Antiqua" w:hAnsi="Book Antiqua" w:cs="Book Antiqua"/>
        </w:rPr>
        <w:t>138, 69.3%) had mild ADHD, and only 3980 subjects (11.9%) received anti</w:t>
      </w:r>
      <w:r w:rsidR="00454DE9">
        <w:rPr>
          <w:rFonts w:ascii="Book Antiqua" w:eastAsia="Book Antiqua" w:hAnsi="Book Antiqua" w:cs="Book Antiqua"/>
        </w:rPr>
        <w:t>-</w:t>
      </w:r>
      <w:r w:rsidRPr="00BF26F2">
        <w:rPr>
          <w:rFonts w:ascii="Book Antiqua" w:eastAsia="Book Antiqua" w:hAnsi="Book Antiqua" w:cs="Book Antiqua"/>
        </w:rPr>
        <w:t>ADHD drugs during the study period. Compared to controls, the ADHD group had a higher rate of dyspepsia, constipation, IBS and FGID. There was no between-group difference in the rate of diagnosis of IBD and celiac disease. The effect of ADHD on the rate of dyspepsia, constipation, IBS and FGID was larger in females, although still significant in males as well. Among participants with ADHD, methylphenidate prescription was associated with an increased risk of dyspepsia and constipation, but not of IBS, IBD</w:t>
      </w:r>
      <w:r w:rsidR="00454DE9">
        <w:rPr>
          <w:rFonts w:ascii="Book Antiqua" w:eastAsia="Book Antiqua" w:hAnsi="Book Antiqua" w:cs="Book Antiqua"/>
        </w:rPr>
        <w:t>,</w:t>
      </w:r>
      <w:r w:rsidRPr="00BF26F2">
        <w:rPr>
          <w:rFonts w:ascii="Book Antiqua" w:eastAsia="Book Antiqua" w:hAnsi="Book Antiqua" w:cs="Book Antiqua"/>
        </w:rPr>
        <w:t xml:space="preserve"> and celiac</w:t>
      </w:r>
      <w:r w:rsidR="00EF7B2F" w:rsidRPr="00BF26F2">
        <w:rPr>
          <w:rFonts w:ascii="Book Antiqua" w:eastAsia="Book Antiqua" w:hAnsi="Book Antiqua" w:cs="Book Antiqua"/>
        </w:rPr>
        <w:t xml:space="preserve"> disease</w:t>
      </w:r>
      <w:r w:rsidRPr="00BF26F2">
        <w:rPr>
          <w:rFonts w:ascii="Book Antiqua" w:eastAsia="Book Antiqua" w:hAnsi="Book Antiqua" w:cs="Book Antiqua"/>
        </w:rPr>
        <w:t>. Compared to controls, the subjects with ADHD were referred more often to a GI specialist, examined more frequently by a primary care physician for GI symptoms, and had more episodes of recurrent GI symptoms. Participants with ADHD suffered more from recurrent heartburn and gastroesophageal reflux disease, nausea and vomiting, abdominal pain, and diarrhea.</w:t>
      </w:r>
    </w:p>
    <w:p w14:paraId="5FF84210" w14:textId="3BF5AECB" w:rsidR="00D02FF1" w:rsidRPr="00BF26F2" w:rsidRDefault="00D02FF1" w:rsidP="00BF26F2">
      <w:pPr>
        <w:adjustRightInd w:val="0"/>
        <w:snapToGrid w:val="0"/>
        <w:spacing w:line="360" w:lineRule="auto"/>
        <w:ind w:firstLine="240"/>
        <w:jc w:val="both"/>
        <w:rPr>
          <w:rFonts w:ascii="Book Antiqua" w:hAnsi="Book Antiqua"/>
        </w:rPr>
      </w:pPr>
      <w:r w:rsidRPr="00BF26F2">
        <w:rPr>
          <w:rFonts w:ascii="Book Antiqua" w:eastAsia="Book Antiqua" w:hAnsi="Book Antiqua" w:cs="Book Antiqua"/>
        </w:rPr>
        <w:t>The study contributes to the research in the field</w:t>
      </w:r>
      <w:r w:rsidR="00D82CA9" w:rsidRPr="00BF26F2">
        <w:rPr>
          <w:rFonts w:ascii="Book Antiqua" w:eastAsia="Book Antiqua" w:hAnsi="Book Antiqua" w:cs="Book Antiqua"/>
        </w:rPr>
        <w:t xml:space="preserve"> since</w:t>
      </w:r>
      <w:r w:rsidRPr="00BF26F2">
        <w:rPr>
          <w:rFonts w:ascii="Book Antiqua" w:eastAsia="Book Antiqua" w:hAnsi="Book Antiqua" w:cs="Book Antiqua"/>
        </w:rPr>
        <w:t xml:space="preserve"> this is the first study to focus on young adults</w:t>
      </w:r>
      <w:r w:rsidR="00D82CA9" w:rsidRPr="00BF26F2">
        <w:rPr>
          <w:rFonts w:ascii="Book Antiqua" w:eastAsia="Book Antiqua" w:hAnsi="Book Antiqua" w:cs="Book Antiqua"/>
        </w:rPr>
        <w:t xml:space="preserve"> and it is a</w:t>
      </w:r>
      <w:r w:rsidRPr="00BF26F2">
        <w:rPr>
          <w:rFonts w:ascii="Book Antiqua" w:eastAsia="Book Antiqua" w:hAnsi="Book Antiqua" w:cs="Book Antiqua"/>
        </w:rPr>
        <w:t xml:space="preserve"> </w:t>
      </w:r>
      <w:r w:rsidR="00D82CA9" w:rsidRPr="00BF26F2">
        <w:rPr>
          <w:rFonts w:ascii="Book Antiqua" w:eastAsia="Book Antiqua" w:hAnsi="Book Antiqua" w:cs="Book Antiqua"/>
        </w:rPr>
        <w:t xml:space="preserve">large size </w:t>
      </w:r>
      <w:r w:rsidRPr="00BF26F2">
        <w:rPr>
          <w:rFonts w:ascii="Book Antiqua" w:eastAsia="Book Antiqua" w:hAnsi="Book Antiqua" w:cs="Book Antiqua"/>
        </w:rPr>
        <w:t xml:space="preserve">population-based study. </w:t>
      </w:r>
    </w:p>
    <w:p w14:paraId="13ACAD79" w14:textId="77777777" w:rsidR="00D02FF1" w:rsidRPr="00BF26F2" w:rsidRDefault="00D02FF1" w:rsidP="00BF26F2">
      <w:pPr>
        <w:adjustRightInd w:val="0"/>
        <w:snapToGrid w:val="0"/>
        <w:spacing w:line="360" w:lineRule="auto"/>
        <w:ind w:firstLine="240"/>
        <w:jc w:val="both"/>
        <w:rPr>
          <w:rFonts w:ascii="Book Antiqua" w:hAnsi="Book Antiqua"/>
        </w:rPr>
      </w:pPr>
    </w:p>
    <w:p w14:paraId="6287B21A"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i/>
        </w:rPr>
        <w:t>Research conclusions</w:t>
      </w:r>
    </w:p>
    <w:p w14:paraId="5E32B5B4" w14:textId="1C01409D"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The present study of a large cohort of young adults with ADHD showed that ADHD is associated with an increased rate of comorbid FGID (IBS, constipation, and dyspepsia) but not with somatic immune-mediated GI conditions</w:t>
      </w:r>
      <w:r w:rsidR="00454DE9">
        <w:rPr>
          <w:rFonts w:ascii="Book Antiqua" w:eastAsia="Book Antiqua" w:hAnsi="Book Antiqua" w:cs="Book Antiqua"/>
        </w:rPr>
        <w:t>,</w:t>
      </w:r>
      <w:r w:rsidRPr="00BF26F2">
        <w:rPr>
          <w:rFonts w:ascii="Book Antiqua" w:eastAsia="Book Antiqua" w:hAnsi="Book Antiqua" w:cs="Book Antiqua"/>
        </w:rPr>
        <w:t xml:space="preserve"> such as IBD and celiac disease. In addition, the ADHD group had a significantly increased rate of primary care visits for GI symptoms, referrals to GI specialists, and recurrent GI symptoms than the control group, pointing to the high burden of GI morbidity in individuals with ADHD on healthcare resources. These associations were not related to the use of methylphenidate</w:t>
      </w:r>
      <w:r w:rsidR="00454DE9">
        <w:rPr>
          <w:rFonts w:ascii="Book Antiqua" w:eastAsia="Book Antiqua" w:hAnsi="Book Antiqua" w:cs="Book Antiqua"/>
        </w:rPr>
        <w:t>;</w:t>
      </w:r>
      <w:r w:rsidRPr="00BF26F2">
        <w:rPr>
          <w:rFonts w:ascii="Book Antiqua" w:eastAsia="Book Antiqua" w:hAnsi="Book Antiqua" w:cs="Book Antiqua"/>
        </w:rPr>
        <w:t xml:space="preserve"> although</w:t>
      </w:r>
      <w:r w:rsidR="00454DE9">
        <w:rPr>
          <w:rFonts w:ascii="Book Antiqua" w:eastAsia="Book Antiqua" w:hAnsi="Book Antiqua" w:cs="Book Antiqua"/>
        </w:rPr>
        <w:t>,</w:t>
      </w:r>
      <w:r w:rsidRPr="00BF26F2">
        <w:rPr>
          <w:rFonts w:ascii="Book Antiqua" w:eastAsia="Book Antiqua" w:hAnsi="Book Antiqua" w:cs="Book Antiqua"/>
        </w:rPr>
        <w:t xml:space="preserve"> those who received methylphenidate had a higher relative risk of all the measured </w:t>
      </w:r>
      <w:r w:rsidRPr="00BF26F2">
        <w:rPr>
          <w:rFonts w:ascii="Book Antiqua" w:eastAsia="Book Antiqua" w:hAnsi="Book Antiqua" w:cs="Book Antiqua"/>
        </w:rPr>
        <w:lastRenderedPageBreak/>
        <w:t>outcomes</w:t>
      </w:r>
      <w:r w:rsidR="00454DE9">
        <w:rPr>
          <w:rFonts w:ascii="Book Antiqua" w:eastAsia="Book Antiqua" w:hAnsi="Book Antiqua" w:cs="Book Antiqua"/>
        </w:rPr>
        <w:t>,</w:t>
      </w:r>
      <w:r w:rsidRPr="00BF26F2">
        <w:rPr>
          <w:rFonts w:ascii="Book Antiqua" w:eastAsia="Book Antiqua" w:hAnsi="Book Antiqua" w:cs="Book Antiqua"/>
        </w:rPr>
        <w:t xml:space="preserve"> except IBS.</w:t>
      </w:r>
      <w:r w:rsidR="00D82CA9" w:rsidRPr="00BF26F2">
        <w:rPr>
          <w:rFonts w:ascii="Book Antiqua" w:eastAsia="Book Antiqua" w:hAnsi="Book Antiqua" w:cs="Book Antiqua"/>
        </w:rPr>
        <w:t xml:space="preserve"> </w:t>
      </w:r>
      <w:r w:rsidRPr="00BF26F2">
        <w:rPr>
          <w:rFonts w:ascii="Book Antiqua" w:eastAsia="Book Antiqua" w:hAnsi="Book Antiqua" w:cs="Book Antiqua"/>
        </w:rPr>
        <w:t>The association between ADHD and GI-related functional morbidity may affect clinical decisions and treatment. Attention should be addressed to GI problems in patients with known ADHD, including a careful medical history focused on GI-related morbidity, so as not to miss some of the common GI problems. The presence of ADHD in a patient with GI symptoms, normal laboratory results and no red flags may by itself support the diagnosis of a functional GI disorder. Since FGIDs are now considered disorders of gut-brain interaction and centrally acting neuromodulators are amongst the mainstays of refractory FGIDs, these drugs may be considered in treating patients suffering from both FGID and ADHD.</w:t>
      </w:r>
    </w:p>
    <w:p w14:paraId="5A719966" w14:textId="77777777" w:rsidR="00D02FF1" w:rsidRPr="00BF26F2" w:rsidRDefault="00D02FF1" w:rsidP="00BF26F2">
      <w:pPr>
        <w:adjustRightInd w:val="0"/>
        <w:snapToGrid w:val="0"/>
        <w:spacing w:line="360" w:lineRule="auto"/>
        <w:ind w:firstLine="240"/>
        <w:jc w:val="both"/>
        <w:rPr>
          <w:rFonts w:ascii="Book Antiqua" w:hAnsi="Book Antiqua"/>
        </w:rPr>
      </w:pPr>
    </w:p>
    <w:p w14:paraId="5316C42E"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i/>
        </w:rPr>
        <w:t>Research perspectives</w:t>
      </w:r>
    </w:p>
    <w:p w14:paraId="2B7108A8" w14:textId="77187E54"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ADHD is associated with FGID and a high need for GI-related health services. This study emphasi</w:t>
      </w:r>
      <w:r w:rsidR="00454DE9">
        <w:rPr>
          <w:rFonts w:ascii="Book Antiqua" w:eastAsia="Book Antiqua" w:hAnsi="Book Antiqua" w:cs="Book Antiqua"/>
        </w:rPr>
        <w:t>z</w:t>
      </w:r>
      <w:r w:rsidRPr="00BF26F2">
        <w:rPr>
          <w:rFonts w:ascii="Book Antiqua" w:eastAsia="Book Antiqua" w:hAnsi="Book Antiqua" w:cs="Book Antiqua"/>
        </w:rPr>
        <w:t>es the complex interaction between mind and body. Further research is needed to explore the possible combination of treatment of FGID with the neuropsychological therapeutic modalities for ADHD, and to determine if the presence of ADHD can assist in the diagnosis of FGID.</w:t>
      </w:r>
    </w:p>
    <w:p w14:paraId="2A65D6BF" w14:textId="77777777" w:rsidR="00D02FF1" w:rsidRPr="00BF26F2" w:rsidRDefault="00D02FF1" w:rsidP="00BF26F2">
      <w:pPr>
        <w:adjustRightInd w:val="0"/>
        <w:snapToGrid w:val="0"/>
        <w:spacing w:line="360" w:lineRule="auto"/>
        <w:jc w:val="both"/>
        <w:rPr>
          <w:rFonts w:ascii="Book Antiqua" w:hAnsi="Book Antiqua"/>
        </w:rPr>
      </w:pPr>
    </w:p>
    <w:p w14:paraId="1FEC1C54"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t>REFERENCES</w:t>
      </w:r>
    </w:p>
    <w:p w14:paraId="40078C2C"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1 </w:t>
      </w:r>
      <w:r w:rsidRPr="00BF26F2">
        <w:rPr>
          <w:rFonts w:ascii="Book Antiqua" w:eastAsia="Book Antiqua" w:hAnsi="Book Antiqua" w:cs="Book Antiqua"/>
          <w:b/>
          <w:bCs/>
        </w:rPr>
        <w:t>Fayyad J</w:t>
      </w:r>
      <w:r w:rsidRPr="00BF26F2">
        <w:rPr>
          <w:rFonts w:ascii="Book Antiqua" w:eastAsia="Book Antiqua" w:hAnsi="Book Antiqua" w:cs="Book Antiqua"/>
        </w:rPr>
        <w:t xml:space="preserve">, De Graaf R, Kessler R, Alonso J, </w:t>
      </w:r>
      <w:proofErr w:type="spellStart"/>
      <w:r w:rsidRPr="00BF26F2">
        <w:rPr>
          <w:rFonts w:ascii="Book Antiqua" w:eastAsia="Book Antiqua" w:hAnsi="Book Antiqua" w:cs="Book Antiqua"/>
        </w:rPr>
        <w:t>Angermeyer</w:t>
      </w:r>
      <w:proofErr w:type="spellEnd"/>
      <w:r w:rsidRPr="00BF26F2">
        <w:rPr>
          <w:rFonts w:ascii="Book Antiqua" w:eastAsia="Book Antiqua" w:hAnsi="Book Antiqua" w:cs="Book Antiqua"/>
        </w:rPr>
        <w:t xml:space="preserve"> M, </w:t>
      </w:r>
      <w:proofErr w:type="spellStart"/>
      <w:r w:rsidRPr="00BF26F2">
        <w:rPr>
          <w:rFonts w:ascii="Book Antiqua" w:eastAsia="Book Antiqua" w:hAnsi="Book Antiqua" w:cs="Book Antiqua"/>
        </w:rPr>
        <w:t>Demyttenaere</w:t>
      </w:r>
      <w:proofErr w:type="spellEnd"/>
      <w:r w:rsidRPr="00BF26F2">
        <w:rPr>
          <w:rFonts w:ascii="Book Antiqua" w:eastAsia="Book Antiqua" w:hAnsi="Book Antiqua" w:cs="Book Antiqua"/>
        </w:rPr>
        <w:t xml:space="preserve"> K, De Girolamo G, </w:t>
      </w:r>
      <w:proofErr w:type="spellStart"/>
      <w:r w:rsidRPr="00BF26F2">
        <w:rPr>
          <w:rFonts w:ascii="Book Antiqua" w:eastAsia="Book Antiqua" w:hAnsi="Book Antiqua" w:cs="Book Antiqua"/>
        </w:rPr>
        <w:t>Haro</w:t>
      </w:r>
      <w:proofErr w:type="spellEnd"/>
      <w:r w:rsidRPr="00BF26F2">
        <w:rPr>
          <w:rFonts w:ascii="Book Antiqua" w:eastAsia="Book Antiqua" w:hAnsi="Book Antiqua" w:cs="Book Antiqua"/>
        </w:rPr>
        <w:t xml:space="preserve"> JM, Karam EG, Lara C, </w:t>
      </w:r>
      <w:proofErr w:type="spellStart"/>
      <w:r w:rsidRPr="00BF26F2">
        <w:rPr>
          <w:rFonts w:ascii="Book Antiqua" w:eastAsia="Book Antiqua" w:hAnsi="Book Antiqua" w:cs="Book Antiqua"/>
        </w:rPr>
        <w:t>Lépine</w:t>
      </w:r>
      <w:proofErr w:type="spellEnd"/>
      <w:r w:rsidRPr="00BF26F2">
        <w:rPr>
          <w:rFonts w:ascii="Book Antiqua" w:eastAsia="Book Antiqua" w:hAnsi="Book Antiqua" w:cs="Book Antiqua"/>
        </w:rPr>
        <w:t xml:space="preserve"> JP, </w:t>
      </w:r>
      <w:proofErr w:type="spellStart"/>
      <w:r w:rsidRPr="00BF26F2">
        <w:rPr>
          <w:rFonts w:ascii="Book Antiqua" w:eastAsia="Book Antiqua" w:hAnsi="Book Antiqua" w:cs="Book Antiqua"/>
        </w:rPr>
        <w:t>Ormel</w:t>
      </w:r>
      <w:proofErr w:type="spellEnd"/>
      <w:r w:rsidRPr="00BF26F2">
        <w:rPr>
          <w:rFonts w:ascii="Book Antiqua" w:eastAsia="Book Antiqua" w:hAnsi="Book Antiqua" w:cs="Book Antiqua"/>
        </w:rPr>
        <w:t xml:space="preserve"> J, Posada-Villa J, </w:t>
      </w:r>
      <w:proofErr w:type="spellStart"/>
      <w:r w:rsidRPr="00BF26F2">
        <w:rPr>
          <w:rFonts w:ascii="Book Antiqua" w:eastAsia="Book Antiqua" w:hAnsi="Book Antiqua" w:cs="Book Antiqua"/>
        </w:rPr>
        <w:t>Zaslavsky</w:t>
      </w:r>
      <w:proofErr w:type="spellEnd"/>
      <w:r w:rsidRPr="00BF26F2">
        <w:rPr>
          <w:rFonts w:ascii="Book Antiqua" w:eastAsia="Book Antiqua" w:hAnsi="Book Antiqua" w:cs="Book Antiqua"/>
        </w:rPr>
        <w:t xml:space="preserve"> AM, </w:t>
      </w:r>
      <w:proofErr w:type="spellStart"/>
      <w:r w:rsidRPr="00BF26F2">
        <w:rPr>
          <w:rFonts w:ascii="Book Antiqua" w:eastAsia="Book Antiqua" w:hAnsi="Book Antiqua" w:cs="Book Antiqua"/>
        </w:rPr>
        <w:t>Jin</w:t>
      </w:r>
      <w:proofErr w:type="spellEnd"/>
      <w:r w:rsidRPr="00BF26F2">
        <w:rPr>
          <w:rFonts w:ascii="Book Antiqua" w:eastAsia="Book Antiqua" w:hAnsi="Book Antiqua" w:cs="Book Antiqua"/>
        </w:rPr>
        <w:t xml:space="preserve"> R. Cross-national prevalence and correlates of adult attention-deficit hyperactivity disorder. </w:t>
      </w:r>
      <w:r w:rsidRPr="00BF26F2">
        <w:rPr>
          <w:rFonts w:ascii="Book Antiqua" w:eastAsia="Book Antiqua" w:hAnsi="Book Antiqua" w:cs="Book Antiqua"/>
          <w:i/>
          <w:iCs/>
        </w:rPr>
        <w:t>Br J Psychiatry</w:t>
      </w:r>
      <w:r w:rsidRPr="00BF26F2">
        <w:rPr>
          <w:rFonts w:ascii="Book Antiqua" w:eastAsia="Book Antiqua" w:hAnsi="Book Antiqua" w:cs="Book Antiqua"/>
        </w:rPr>
        <w:t xml:space="preserve"> 2007; </w:t>
      </w:r>
      <w:r w:rsidRPr="00BF26F2">
        <w:rPr>
          <w:rFonts w:ascii="Book Antiqua" w:eastAsia="Book Antiqua" w:hAnsi="Book Antiqua" w:cs="Book Antiqua"/>
          <w:b/>
          <w:bCs/>
        </w:rPr>
        <w:t>190</w:t>
      </w:r>
      <w:r w:rsidRPr="00BF26F2">
        <w:rPr>
          <w:rFonts w:ascii="Book Antiqua" w:eastAsia="Book Antiqua" w:hAnsi="Book Antiqua" w:cs="Book Antiqua"/>
        </w:rPr>
        <w:t>: 402-409 [PMID: 17470954 DOI: 10.1192/bjp.bp.106.034389]</w:t>
      </w:r>
    </w:p>
    <w:p w14:paraId="7C993CA9"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2 </w:t>
      </w:r>
      <w:r w:rsidRPr="00BF26F2">
        <w:rPr>
          <w:rFonts w:ascii="Book Antiqua" w:eastAsia="Book Antiqua" w:hAnsi="Book Antiqua" w:cs="Book Antiqua"/>
          <w:b/>
          <w:bCs/>
        </w:rPr>
        <w:t>Barkley RA</w:t>
      </w:r>
      <w:r w:rsidRPr="00BF26F2">
        <w:rPr>
          <w:rFonts w:ascii="Book Antiqua" w:eastAsia="Book Antiqua" w:hAnsi="Book Antiqua" w:cs="Book Antiqua"/>
        </w:rPr>
        <w:t xml:space="preserve">, Fischer M, Smallish L, Fletcher K. The persistence of attention-deficit/hyperactivity disorder into young adulthood as a function of reporting source and definition of disorder. </w:t>
      </w:r>
      <w:r w:rsidRPr="00BF26F2">
        <w:rPr>
          <w:rFonts w:ascii="Book Antiqua" w:eastAsia="Book Antiqua" w:hAnsi="Book Antiqua" w:cs="Book Antiqua"/>
          <w:i/>
          <w:iCs/>
        </w:rPr>
        <w:t xml:space="preserve">J </w:t>
      </w:r>
      <w:proofErr w:type="spellStart"/>
      <w:r w:rsidRPr="00BF26F2">
        <w:rPr>
          <w:rFonts w:ascii="Book Antiqua" w:eastAsia="Book Antiqua" w:hAnsi="Book Antiqua" w:cs="Book Antiqua"/>
          <w:i/>
          <w:iCs/>
        </w:rPr>
        <w:t>Abnorm</w:t>
      </w:r>
      <w:proofErr w:type="spellEnd"/>
      <w:r w:rsidRPr="00BF26F2">
        <w:rPr>
          <w:rFonts w:ascii="Book Antiqua" w:eastAsia="Book Antiqua" w:hAnsi="Book Antiqua" w:cs="Book Antiqua"/>
          <w:i/>
          <w:iCs/>
        </w:rPr>
        <w:t xml:space="preserve"> Psychol</w:t>
      </w:r>
      <w:r w:rsidRPr="00BF26F2">
        <w:rPr>
          <w:rFonts w:ascii="Book Antiqua" w:eastAsia="Book Antiqua" w:hAnsi="Book Antiqua" w:cs="Book Antiqua"/>
        </w:rPr>
        <w:t xml:space="preserve"> 2002; </w:t>
      </w:r>
      <w:r w:rsidRPr="00BF26F2">
        <w:rPr>
          <w:rFonts w:ascii="Book Antiqua" w:eastAsia="Book Antiqua" w:hAnsi="Book Antiqua" w:cs="Book Antiqua"/>
          <w:b/>
          <w:bCs/>
        </w:rPr>
        <w:t>111</w:t>
      </w:r>
      <w:r w:rsidRPr="00BF26F2">
        <w:rPr>
          <w:rFonts w:ascii="Book Antiqua" w:eastAsia="Book Antiqua" w:hAnsi="Book Antiqua" w:cs="Book Antiqua"/>
        </w:rPr>
        <w:t>: 279-289 [PMID: 12003449]</w:t>
      </w:r>
    </w:p>
    <w:p w14:paraId="1DB926F1"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3 </w:t>
      </w:r>
      <w:r w:rsidRPr="00BF26F2">
        <w:rPr>
          <w:rFonts w:ascii="Book Antiqua" w:eastAsia="Book Antiqua" w:hAnsi="Book Antiqua" w:cs="Book Antiqua"/>
          <w:b/>
          <w:bCs/>
        </w:rPr>
        <w:t>Kessler RC</w:t>
      </w:r>
      <w:r w:rsidRPr="00BF26F2">
        <w:rPr>
          <w:rFonts w:ascii="Book Antiqua" w:eastAsia="Book Antiqua" w:hAnsi="Book Antiqua" w:cs="Book Antiqua"/>
        </w:rPr>
        <w:t xml:space="preserve">, Adler L, Barkley R, Biederman J, Conners CK, </w:t>
      </w:r>
      <w:proofErr w:type="spellStart"/>
      <w:r w:rsidRPr="00BF26F2">
        <w:rPr>
          <w:rFonts w:ascii="Book Antiqua" w:eastAsia="Book Antiqua" w:hAnsi="Book Antiqua" w:cs="Book Antiqua"/>
        </w:rPr>
        <w:t>Demler</w:t>
      </w:r>
      <w:proofErr w:type="spellEnd"/>
      <w:r w:rsidRPr="00BF26F2">
        <w:rPr>
          <w:rFonts w:ascii="Book Antiqua" w:eastAsia="Book Antiqua" w:hAnsi="Book Antiqua" w:cs="Book Antiqua"/>
        </w:rPr>
        <w:t xml:space="preserve"> O, </w:t>
      </w:r>
      <w:proofErr w:type="spellStart"/>
      <w:r w:rsidRPr="00BF26F2">
        <w:rPr>
          <w:rFonts w:ascii="Book Antiqua" w:eastAsia="Book Antiqua" w:hAnsi="Book Antiqua" w:cs="Book Antiqua"/>
        </w:rPr>
        <w:t>Faraone</w:t>
      </w:r>
      <w:proofErr w:type="spellEnd"/>
      <w:r w:rsidRPr="00BF26F2">
        <w:rPr>
          <w:rFonts w:ascii="Book Antiqua" w:eastAsia="Book Antiqua" w:hAnsi="Book Antiqua" w:cs="Book Antiqua"/>
        </w:rPr>
        <w:t xml:space="preserve"> SV, Greenhill LL, Howes MJ, </w:t>
      </w:r>
      <w:proofErr w:type="spellStart"/>
      <w:r w:rsidRPr="00BF26F2">
        <w:rPr>
          <w:rFonts w:ascii="Book Antiqua" w:eastAsia="Book Antiqua" w:hAnsi="Book Antiqua" w:cs="Book Antiqua"/>
        </w:rPr>
        <w:t>Secnik</w:t>
      </w:r>
      <w:proofErr w:type="spellEnd"/>
      <w:r w:rsidRPr="00BF26F2">
        <w:rPr>
          <w:rFonts w:ascii="Book Antiqua" w:eastAsia="Book Antiqua" w:hAnsi="Book Antiqua" w:cs="Book Antiqua"/>
        </w:rPr>
        <w:t xml:space="preserve"> K, Spencer T, </w:t>
      </w:r>
      <w:proofErr w:type="spellStart"/>
      <w:r w:rsidRPr="00BF26F2">
        <w:rPr>
          <w:rFonts w:ascii="Book Antiqua" w:eastAsia="Book Antiqua" w:hAnsi="Book Antiqua" w:cs="Book Antiqua"/>
        </w:rPr>
        <w:t>Ustun</w:t>
      </w:r>
      <w:proofErr w:type="spellEnd"/>
      <w:r w:rsidRPr="00BF26F2">
        <w:rPr>
          <w:rFonts w:ascii="Book Antiqua" w:eastAsia="Book Antiqua" w:hAnsi="Book Antiqua" w:cs="Book Antiqua"/>
        </w:rPr>
        <w:t xml:space="preserve"> TB, Walters EE, </w:t>
      </w:r>
      <w:proofErr w:type="spellStart"/>
      <w:r w:rsidRPr="00BF26F2">
        <w:rPr>
          <w:rFonts w:ascii="Book Antiqua" w:eastAsia="Book Antiqua" w:hAnsi="Book Antiqua" w:cs="Book Antiqua"/>
        </w:rPr>
        <w:t>Zaslavsky</w:t>
      </w:r>
      <w:proofErr w:type="spellEnd"/>
      <w:r w:rsidRPr="00BF26F2">
        <w:rPr>
          <w:rFonts w:ascii="Book Antiqua" w:eastAsia="Book Antiqua" w:hAnsi="Book Antiqua" w:cs="Book Antiqua"/>
        </w:rPr>
        <w:t xml:space="preserve"> AM. The prevalence and correlates of adult ADHD in the United States: results from the National </w:t>
      </w:r>
      <w:r w:rsidRPr="00BF26F2">
        <w:rPr>
          <w:rFonts w:ascii="Book Antiqua" w:eastAsia="Book Antiqua" w:hAnsi="Book Antiqua" w:cs="Book Antiqua"/>
        </w:rPr>
        <w:lastRenderedPageBreak/>
        <w:t xml:space="preserve">Comorbidity Survey Replication. </w:t>
      </w:r>
      <w:r w:rsidRPr="00BF26F2">
        <w:rPr>
          <w:rFonts w:ascii="Book Antiqua" w:eastAsia="Book Antiqua" w:hAnsi="Book Antiqua" w:cs="Book Antiqua"/>
          <w:i/>
          <w:iCs/>
        </w:rPr>
        <w:t>Am J Psychiatry</w:t>
      </w:r>
      <w:r w:rsidRPr="00BF26F2">
        <w:rPr>
          <w:rFonts w:ascii="Book Antiqua" w:eastAsia="Book Antiqua" w:hAnsi="Book Antiqua" w:cs="Book Antiqua"/>
        </w:rPr>
        <w:t xml:space="preserve"> 2006; </w:t>
      </w:r>
      <w:r w:rsidRPr="00BF26F2">
        <w:rPr>
          <w:rFonts w:ascii="Book Antiqua" w:eastAsia="Book Antiqua" w:hAnsi="Book Antiqua" w:cs="Book Antiqua"/>
          <w:b/>
          <w:bCs/>
        </w:rPr>
        <w:t>163</w:t>
      </w:r>
      <w:r w:rsidRPr="00BF26F2">
        <w:rPr>
          <w:rFonts w:ascii="Book Antiqua" w:eastAsia="Book Antiqua" w:hAnsi="Book Antiqua" w:cs="Book Antiqua"/>
        </w:rPr>
        <w:t>: 716-723 [PMID: 16585449 DOI: 10.1176/ajp.2006.163.4.716]</w:t>
      </w:r>
    </w:p>
    <w:p w14:paraId="6317B5A7"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4 </w:t>
      </w:r>
      <w:r w:rsidRPr="00BF26F2">
        <w:rPr>
          <w:rFonts w:ascii="Book Antiqua" w:eastAsia="Book Antiqua" w:hAnsi="Book Antiqua" w:cs="Book Antiqua"/>
          <w:b/>
          <w:bCs/>
        </w:rPr>
        <w:t xml:space="preserve">van </w:t>
      </w:r>
      <w:proofErr w:type="spellStart"/>
      <w:r w:rsidRPr="00BF26F2">
        <w:rPr>
          <w:rFonts w:ascii="Book Antiqua" w:eastAsia="Book Antiqua" w:hAnsi="Book Antiqua" w:cs="Book Antiqua"/>
          <w:b/>
          <w:bCs/>
        </w:rPr>
        <w:t>Emmerik</w:t>
      </w:r>
      <w:proofErr w:type="spellEnd"/>
      <w:r w:rsidRPr="00BF26F2">
        <w:rPr>
          <w:rFonts w:ascii="Book Antiqua" w:eastAsia="Book Antiqua" w:hAnsi="Book Antiqua" w:cs="Book Antiqua"/>
          <w:b/>
          <w:bCs/>
        </w:rPr>
        <w:t xml:space="preserve">-van </w:t>
      </w:r>
      <w:proofErr w:type="spellStart"/>
      <w:r w:rsidRPr="00BF26F2">
        <w:rPr>
          <w:rFonts w:ascii="Book Antiqua" w:eastAsia="Book Antiqua" w:hAnsi="Book Antiqua" w:cs="Book Antiqua"/>
          <w:b/>
          <w:bCs/>
        </w:rPr>
        <w:t>Oortmerssen</w:t>
      </w:r>
      <w:proofErr w:type="spellEnd"/>
      <w:r w:rsidRPr="00BF26F2">
        <w:rPr>
          <w:rFonts w:ascii="Book Antiqua" w:eastAsia="Book Antiqua" w:hAnsi="Book Antiqua" w:cs="Book Antiqua"/>
          <w:b/>
          <w:bCs/>
        </w:rPr>
        <w:t xml:space="preserve"> K</w:t>
      </w:r>
      <w:r w:rsidRPr="00BF26F2">
        <w:rPr>
          <w:rFonts w:ascii="Book Antiqua" w:eastAsia="Book Antiqua" w:hAnsi="Book Antiqua" w:cs="Book Antiqua"/>
        </w:rPr>
        <w:t xml:space="preserve">, van de </w:t>
      </w:r>
      <w:proofErr w:type="spellStart"/>
      <w:r w:rsidRPr="00BF26F2">
        <w:rPr>
          <w:rFonts w:ascii="Book Antiqua" w:eastAsia="Book Antiqua" w:hAnsi="Book Antiqua" w:cs="Book Antiqua"/>
        </w:rPr>
        <w:t>Glind</w:t>
      </w:r>
      <w:proofErr w:type="spellEnd"/>
      <w:r w:rsidRPr="00BF26F2">
        <w:rPr>
          <w:rFonts w:ascii="Book Antiqua" w:eastAsia="Book Antiqua" w:hAnsi="Book Antiqua" w:cs="Book Antiqua"/>
        </w:rPr>
        <w:t xml:space="preserve"> G, van den Brink W, Smit F, </w:t>
      </w:r>
      <w:proofErr w:type="spellStart"/>
      <w:r w:rsidRPr="00BF26F2">
        <w:rPr>
          <w:rFonts w:ascii="Book Antiqua" w:eastAsia="Book Antiqua" w:hAnsi="Book Antiqua" w:cs="Book Antiqua"/>
        </w:rPr>
        <w:t>Crunelle</w:t>
      </w:r>
      <w:proofErr w:type="spellEnd"/>
      <w:r w:rsidRPr="00BF26F2">
        <w:rPr>
          <w:rFonts w:ascii="Book Antiqua" w:eastAsia="Book Antiqua" w:hAnsi="Book Antiqua" w:cs="Book Antiqua"/>
        </w:rPr>
        <w:t xml:space="preserve"> CL, </w:t>
      </w:r>
      <w:proofErr w:type="spellStart"/>
      <w:r w:rsidRPr="00BF26F2">
        <w:rPr>
          <w:rFonts w:ascii="Book Antiqua" w:eastAsia="Book Antiqua" w:hAnsi="Book Antiqua" w:cs="Book Antiqua"/>
        </w:rPr>
        <w:t>Swets</w:t>
      </w:r>
      <w:proofErr w:type="spellEnd"/>
      <w:r w:rsidRPr="00BF26F2">
        <w:rPr>
          <w:rFonts w:ascii="Book Antiqua" w:eastAsia="Book Antiqua" w:hAnsi="Book Antiqua" w:cs="Book Antiqua"/>
        </w:rPr>
        <w:t xml:space="preserve"> M, </w:t>
      </w:r>
      <w:proofErr w:type="spellStart"/>
      <w:r w:rsidRPr="00BF26F2">
        <w:rPr>
          <w:rFonts w:ascii="Book Antiqua" w:eastAsia="Book Antiqua" w:hAnsi="Book Antiqua" w:cs="Book Antiqua"/>
        </w:rPr>
        <w:t>Schoevers</w:t>
      </w:r>
      <w:proofErr w:type="spellEnd"/>
      <w:r w:rsidRPr="00BF26F2">
        <w:rPr>
          <w:rFonts w:ascii="Book Antiqua" w:eastAsia="Book Antiqua" w:hAnsi="Book Antiqua" w:cs="Book Antiqua"/>
        </w:rPr>
        <w:t xml:space="preserve"> RA. Prevalence of attention-deficit hyperactivity disorder in substance use disorder patients: a meta-analysis and meta-regression analysis. </w:t>
      </w:r>
      <w:r w:rsidRPr="00BF26F2">
        <w:rPr>
          <w:rFonts w:ascii="Book Antiqua" w:eastAsia="Book Antiqua" w:hAnsi="Book Antiqua" w:cs="Book Antiqua"/>
          <w:i/>
          <w:iCs/>
        </w:rPr>
        <w:t>Drug Alcohol Depend</w:t>
      </w:r>
      <w:r w:rsidRPr="00BF26F2">
        <w:rPr>
          <w:rFonts w:ascii="Book Antiqua" w:eastAsia="Book Antiqua" w:hAnsi="Book Antiqua" w:cs="Book Antiqua"/>
        </w:rPr>
        <w:t xml:space="preserve"> 2012; </w:t>
      </w:r>
      <w:r w:rsidRPr="00BF26F2">
        <w:rPr>
          <w:rFonts w:ascii="Book Antiqua" w:eastAsia="Book Antiqua" w:hAnsi="Book Antiqua" w:cs="Book Antiqua"/>
          <w:b/>
          <w:bCs/>
        </w:rPr>
        <w:t>122</w:t>
      </w:r>
      <w:r w:rsidRPr="00BF26F2">
        <w:rPr>
          <w:rFonts w:ascii="Book Antiqua" w:eastAsia="Book Antiqua" w:hAnsi="Book Antiqua" w:cs="Book Antiqua"/>
        </w:rPr>
        <w:t>: 11-19 [PMID: 22209385 DOI: 10.1016/j.drugalcdep.2011.12.007]</w:t>
      </w:r>
    </w:p>
    <w:p w14:paraId="1FA0BA29"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5 </w:t>
      </w:r>
      <w:r w:rsidRPr="00BF26F2">
        <w:rPr>
          <w:rFonts w:ascii="Book Antiqua" w:eastAsia="Book Antiqua" w:hAnsi="Book Antiqua" w:cs="Book Antiqua"/>
          <w:b/>
          <w:bCs/>
        </w:rPr>
        <w:t>Green M</w:t>
      </w:r>
      <w:r w:rsidRPr="00BF26F2">
        <w:rPr>
          <w:rFonts w:ascii="Book Antiqua" w:eastAsia="Book Antiqua" w:hAnsi="Book Antiqua" w:cs="Book Antiqua"/>
        </w:rPr>
        <w:t xml:space="preserve">, Wong M, Atkins D, Taylor J, </w:t>
      </w:r>
      <w:proofErr w:type="spellStart"/>
      <w:r w:rsidRPr="00BF26F2">
        <w:rPr>
          <w:rFonts w:ascii="Book Antiqua" w:eastAsia="Book Antiqua" w:hAnsi="Book Antiqua" w:cs="Book Antiqua"/>
        </w:rPr>
        <w:t>Feinleib</w:t>
      </w:r>
      <w:proofErr w:type="spellEnd"/>
      <w:r w:rsidRPr="00BF26F2">
        <w:rPr>
          <w:rFonts w:ascii="Book Antiqua" w:eastAsia="Book Antiqua" w:hAnsi="Book Antiqua" w:cs="Book Antiqua"/>
        </w:rPr>
        <w:t xml:space="preserve"> M. Diagnosis of Attention-Deficit/Hyperactivity Disorder. Rockville, MD: Agency for Health Care Policy and Research. 1999 [PMID:</w:t>
      </w:r>
      <w:bookmarkStart w:id="2" w:name="OLE_LINK7"/>
      <w:bookmarkStart w:id="3" w:name="OLE_LINK8"/>
      <w:r w:rsidRPr="00BF26F2">
        <w:rPr>
          <w:rFonts w:ascii="Book Antiqua" w:eastAsia="Book Antiqua" w:hAnsi="Book Antiqua" w:cs="Book Antiqua"/>
        </w:rPr>
        <w:t xml:space="preserve"> 20734519</w:t>
      </w:r>
      <w:bookmarkEnd w:id="2"/>
      <w:bookmarkEnd w:id="3"/>
      <w:r w:rsidRPr="00BF26F2">
        <w:rPr>
          <w:rFonts w:ascii="Book Antiqua" w:eastAsia="Book Antiqua" w:hAnsi="Book Antiqua" w:cs="Book Antiqua"/>
        </w:rPr>
        <w:t>]</w:t>
      </w:r>
    </w:p>
    <w:p w14:paraId="74127F59"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6 </w:t>
      </w:r>
      <w:r w:rsidRPr="00BF26F2">
        <w:rPr>
          <w:rFonts w:ascii="Book Antiqua" w:eastAsia="Book Antiqua" w:hAnsi="Book Antiqua" w:cs="Book Antiqua"/>
          <w:b/>
          <w:bCs/>
        </w:rPr>
        <w:t>Larson K</w:t>
      </w:r>
      <w:r w:rsidRPr="00BF26F2">
        <w:rPr>
          <w:rFonts w:ascii="Book Antiqua" w:eastAsia="Book Antiqua" w:hAnsi="Book Antiqua" w:cs="Book Antiqua"/>
        </w:rPr>
        <w:t xml:space="preserve">, Russ SA, Kahn RS, </w:t>
      </w:r>
      <w:proofErr w:type="spellStart"/>
      <w:r w:rsidRPr="00BF26F2">
        <w:rPr>
          <w:rFonts w:ascii="Book Antiqua" w:eastAsia="Book Antiqua" w:hAnsi="Book Antiqua" w:cs="Book Antiqua"/>
        </w:rPr>
        <w:t>Halfon</w:t>
      </w:r>
      <w:proofErr w:type="spellEnd"/>
      <w:r w:rsidRPr="00BF26F2">
        <w:rPr>
          <w:rFonts w:ascii="Book Antiqua" w:eastAsia="Book Antiqua" w:hAnsi="Book Antiqua" w:cs="Book Antiqua"/>
        </w:rPr>
        <w:t xml:space="preserve"> N. Patterns of comorbidity, functioning, and service use for US children with ADHD, 2007. </w:t>
      </w:r>
      <w:r w:rsidRPr="00BF26F2">
        <w:rPr>
          <w:rFonts w:ascii="Book Antiqua" w:eastAsia="Book Antiqua" w:hAnsi="Book Antiqua" w:cs="Book Antiqua"/>
          <w:i/>
          <w:iCs/>
        </w:rPr>
        <w:t>Pediatrics</w:t>
      </w:r>
      <w:r w:rsidRPr="00BF26F2">
        <w:rPr>
          <w:rFonts w:ascii="Book Antiqua" w:eastAsia="Book Antiqua" w:hAnsi="Book Antiqua" w:cs="Book Antiqua"/>
        </w:rPr>
        <w:t xml:space="preserve"> 2011; </w:t>
      </w:r>
      <w:r w:rsidRPr="00BF26F2">
        <w:rPr>
          <w:rFonts w:ascii="Book Antiqua" w:eastAsia="Book Antiqua" w:hAnsi="Book Antiqua" w:cs="Book Antiqua"/>
          <w:b/>
          <w:bCs/>
        </w:rPr>
        <w:t>127</w:t>
      </w:r>
      <w:r w:rsidRPr="00BF26F2">
        <w:rPr>
          <w:rFonts w:ascii="Book Antiqua" w:eastAsia="Book Antiqua" w:hAnsi="Book Antiqua" w:cs="Book Antiqua"/>
        </w:rPr>
        <w:t>: 462-470 [PMID: 21300675 DOI: 10.1542/peds.2010-0165]</w:t>
      </w:r>
    </w:p>
    <w:p w14:paraId="04AC6BFA"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7 </w:t>
      </w:r>
      <w:r w:rsidRPr="00BF26F2">
        <w:rPr>
          <w:rFonts w:ascii="Book Antiqua" w:eastAsia="Book Antiqua" w:hAnsi="Book Antiqua" w:cs="Book Antiqua"/>
          <w:b/>
          <w:bCs/>
        </w:rPr>
        <w:t>Biederman J</w:t>
      </w:r>
      <w:r w:rsidRPr="00BF26F2">
        <w:rPr>
          <w:rFonts w:ascii="Book Antiqua" w:eastAsia="Book Antiqua" w:hAnsi="Book Antiqua" w:cs="Book Antiqua"/>
        </w:rPr>
        <w:t xml:space="preserve">, </w:t>
      </w:r>
      <w:proofErr w:type="spellStart"/>
      <w:r w:rsidRPr="00BF26F2">
        <w:rPr>
          <w:rFonts w:ascii="Book Antiqua" w:eastAsia="Book Antiqua" w:hAnsi="Book Antiqua" w:cs="Book Antiqua"/>
        </w:rPr>
        <w:t>Newcorn</w:t>
      </w:r>
      <w:proofErr w:type="spellEnd"/>
      <w:r w:rsidRPr="00BF26F2">
        <w:rPr>
          <w:rFonts w:ascii="Book Antiqua" w:eastAsia="Book Antiqua" w:hAnsi="Book Antiqua" w:cs="Book Antiqua"/>
        </w:rPr>
        <w:t xml:space="preserve"> J, </w:t>
      </w:r>
      <w:proofErr w:type="spellStart"/>
      <w:r w:rsidRPr="00BF26F2">
        <w:rPr>
          <w:rFonts w:ascii="Book Antiqua" w:eastAsia="Book Antiqua" w:hAnsi="Book Antiqua" w:cs="Book Antiqua"/>
        </w:rPr>
        <w:t>Sprich</w:t>
      </w:r>
      <w:proofErr w:type="spellEnd"/>
      <w:r w:rsidRPr="00BF26F2">
        <w:rPr>
          <w:rFonts w:ascii="Book Antiqua" w:eastAsia="Book Antiqua" w:hAnsi="Book Antiqua" w:cs="Book Antiqua"/>
        </w:rPr>
        <w:t xml:space="preserve"> S. Comorbidity of attention deficit hyperactivity disorder with conduct, depressive, anxiety, and other disorders. </w:t>
      </w:r>
      <w:r w:rsidRPr="00BF26F2">
        <w:rPr>
          <w:rFonts w:ascii="Book Antiqua" w:eastAsia="Book Antiqua" w:hAnsi="Book Antiqua" w:cs="Book Antiqua"/>
          <w:i/>
          <w:iCs/>
        </w:rPr>
        <w:t>Am J Psychiatry</w:t>
      </w:r>
      <w:r w:rsidRPr="00BF26F2">
        <w:rPr>
          <w:rFonts w:ascii="Book Antiqua" w:eastAsia="Book Antiqua" w:hAnsi="Book Antiqua" w:cs="Book Antiqua"/>
        </w:rPr>
        <w:t xml:space="preserve"> 1991; </w:t>
      </w:r>
      <w:r w:rsidRPr="00BF26F2">
        <w:rPr>
          <w:rFonts w:ascii="Book Antiqua" w:eastAsia="Book Antiqua" w:hAnsi="Book Antiqua" w:cs="Book Antiqua"/>
          <w:b/>
          <w:bCs/>
        </w:rPr>
        <w:t>148</w:t>
      </w:r>
      <w:r w:rsidRPr="00BF26F2">
        <w:rPr>
          <w:rFonts w:ascii="Book Antiqua" w:eastAsia="Book Antiqua" w:hAnsi="Book Antiqua" w:cs="Book Antiqua"/>
        </w:rPr>
        <w:t>: 564-577 [PMID: 2018156 DOI: 10.1176/ajp.148.5.564]</w:t>
      </w:r>
    </w:p>
    <w:p w14:paraId="65B705FF"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8 </w:t>
      </w:r>
      <w:r w:rsidRPr="00BF26F2">
        <w:rPr>
          <w:rFonts w:ascii="Book Antiqua" w:eastAsia="Book Antiqua" w:hAnsi="Book Antiqua" w:cs="Book Antiqua"/>
          <w:b/>
          <w:bCs/>
        </w:rPr>
        <w:t>Levin RL</w:t>
      </w:r>
      <w:r w:rsidRPr="00BF26F2">
        <w:rPr>
          <w:rFonts w:ascii="Book Antiqua" w:eastAsia="Book Antiqua" w:hAnsi="Book Antiqua" w:cs="Book Antiqua"/>
        </w:rPr>
        <w:t xml:space="preserve">, </w:t>
      </w:r>
      <w:proofErr w:type="spellStart"/>
      <w:r w:rsidRPr="00BF26F2">
        <w:rPr>
          <w:rFonts w:ascii="Book Antiqua" w:eastAsia="Book Antiqua" w:hAnsi="Book Antiqua" w:cs="Book Antiqua"/>
        </w:rPr>
        <w:t>Rawana</w:t>
      </w:r>
      <w:proofErr w:type="spellEnd"/>
      <w:r w:rsidRPr="00BF26F2">
        <w:rPr>
          <w:rFonts w:ascii="Book Antiqua" w:eastAsia="Book Antiqua" w:hAnsi="Book Antiqua" w:cs="Book Antiqua"/>
        </w:rPr>
        <w:t xml:space="preserve"> JS. Attention-deficit/hyperactivity disorder and eating disorders across the lifespan: A systematic review of the literature. </w:t>
      </w:r>
      <w:r w:rsidRPr="00BF26F2">
        <w:rPr>
          <w:rFonts w:ascii="Book Antiqua" w:eastAsia="Book Antiqua" w:hAnsi="Book Antiqua" w:cs="Book Antiqua"/>
          <w:i/>
          <w:iCs/>
        </w:rPr>
        <w:t>Clin Psychol Rev</w:t>
      </w:r>
      <w:r w:rsidRPr="00BF26F2">
        <w:rPr>
          <w:rFonts w:ascii="Book Antiqua" w:eastAsia="Book Antiqua" w:hAnsi="Book Antiqua" w:cs="Book Antiqua"/>
        </w:rPr>
        <w:t xml:space="preserve"> 2016; </w:t>
      </w:r>
      <w:r w:rsidRPr="00BF26F2">
        <w:rPr>
          <w:rFonts w:ascii="Book Antiqua" w:eastAsia="Book Antiqua" w:hAnsi="Book Antiqua" w:cs="Book Antiqua"/>
          <w:b/>
          <w:bCs/>
        </w:rPr>
        <w:t>50</w:t>
      </w:r>
      <w:r w:rsidRPr="00BF26F2">
        <w:rPr>
          <w:rFonts w:ascii="Book Antiqua" w:eastAsia="Book Antiqua" w:hAnsi="Book Antiqua" w:cs="Book Antiqua"/>
        </w:rPr>
        <w:t>: 22-36 [PMID: 27693587 DOI: 10.1016/j.cpr.2016.09.010]</w:t>
      </w:r>
    </w:p>
    <w:p w14:paraId="396DFFF9"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9 </w:t>
      </w:r>
      <w:proofErr w:type="spellStart"/>
      <w:r w:rsidRPr="00BF26F2">
        <w:rPr>
          <w:rFonts w:ascii="Book Antiqua" w:eastAsia="Book Antiqua" w:hAnsi="Book Antiqua" w:cs="Book Antiqua"/>
          <w:b/>
          <w:bCs/>
        </w:rPr>
        <w:t>Piñeiro-Dieguez</w:t>
      </w:r>
      <w:proofErr w:type="spellEnd"/>
      <w:r w:rsidRPr="00BF26F2">
        <w:rPr>
          <w:rFonts w:ascii="Book Antiqua" w:eastAsia="Book Antiqua" w:hAnsi="Book Antiqua" w:cs="Book Antiqua"/>
          <w:b/>
          <w:bCs/>
        </w:rPr>
        <w:t xml:space="preserve"> B</w:t>
      </w:r>
      <w:r w:rsidRPr="00BF26F2">
        <w:rPr>
          <w:rFonts w:ascii="Book Antiqua" w:eastAsia="Book Antiqua" w:hAnsi="Book Antiqua" w:cs="Book Antiqua"/>
        </w:rPr>
        <w:t xml:space="preserve">, </w:t>
      </w:r>
      <w:proofErr w:type="spellStart"/>
      <w:r w:rsidRPr="00BF26F2">
        <w:rPr>
          <w:rFonts w:ascii="Book Antiqua" w:eastAsia="Book Antiqua" w:hAnsi="Book Antiqua" w:cs="Book Antiqua"/>
        </w:rPr>
        <w:t>Balanzá</w:t>
      </w:r>
      <w:proofErr w:type="spellEnd"/>
      <w:r w:rsidRPr="00BF26F2">
        <w:rPr>
          <w:rFonts w:ascii="Book Antiqua" w:eastAsia="Book Antiqua" w:hAnsi="Book Antiqua" w:cs="Book Antiqua"/>
        </w:rPr>
        <w:t xml:space="preserve">-Martínez V, García-García P, Soler-López B; CAT Study Group. Psychiatric Comorbidity at the Time of Diagnosis in Adults With ADHD: The CAT Study. </w:t>
      </w:r>
      <w:r w:rsidRPr="00BF26F2">
        <w:rPr>
          <w:rFonts w:ascii="Book Antiqua" w:eastAsia="Book Antiqua" w:hAnsi="Book Antiqua" w:cs="Book Antiqua"/>
          <w:i/>
          <w:iCs/>
        </w:rPr>
        <w:t xml:space="preserve">J Atten </w:t>
      </w:r>
      <w:proofErr w:type="spellStart"/>
      <w:r w:rsidRPr="00BF26F2">
        <w:rPr>
          <w:rFonts w:ascii="Book Antiqua" w:eastAsia="Book Antiqua" w:hAnsi="Book Antiqua" w:cs="Book Antiqua"/>
          <w:i/>
          <w:iCs/>
        </w:rPr>
        <w:t>Disord</w:t>
      </w:r>
      <w:proofErr w:type="spellEnd"/>
      <w:r w:rsidRPr="00BF26F2">
        <w:rPr>
          <w:rFonts w:ascii="Book Antiqua" w:eastAsia="Book Antiqua" w:hAnsi="Book Antiqua" w:cs="Book Antiqua"/>
        </w:rPr>
        <w:t xml:space="preserve"> 2016; </w:t>
      </w:r>
      <w:r w:rsidRPr="00BF26F2">
        <w:rPr>
          <w:rFonts w:ascii="Book Antiqua" w:eastAsia="Book Antiqua" w:hAnsi="Book Antiqua" w:cs="Book Antiqua"/>
          <w:b/>
          <w:bCs/>
        </w:rPr>
        <w:t>20</w:t>
      </w:r>
      <w:r w:rsidRPr="00BF26F2">
        <w:rPr>
          <w:rFonts w:ascii="Book Antiqua" w:eastAsia="Book Antiqua" w:hAnsi="Book Antiqua" w:cs="Book Antiqua"/>
        </w:rPr>
        <w:t>: 1066-1075 [PMID: 24464326 DOI: 10.1177/1087054713518240]</w:t>
      </w:r>
    </w:p>
    <w:p w14:paraId="4C01C25B"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10 </w:t>
      </w:r>
      <w:proofErr w:type="spellStart"/>
      <w:r w:rsidRPr="00BF26F2">
        <w:rPr>
          <w:rFonts w:ascii="Book Antiqua" w:eastAsia="Book Antiqua" w:hAnsi="Book Antiqua" w:cs="Book Antiqua"/>
          <w:b/>
          <w:bCs/>
        </w:rPr>
        <w:t>Adesman</w:t>
      </w:r>
      <w:proofErr w:type="spellEnd"/>
      <w:r w:rsidRPr="00BF26F2">
        <w:rPr>
          <w:rFonts w:ascii="Book Antiqua" w:eastAsia="Book Antiqua" w:hAnsi="Book Antiqua" w:cs="Book Antiqua"/>
          <w:b/>
          <w:bCs/>
        </w:rPr>
        <w:t xml:space="preserve"> AR</w:t>
      </w:r>
      <w:r w:rsidRPr="00BF26F2">
        <w:rPr>
          <w:rFonts w:ascii="Book Antiqua" w:eastAsia="Book Antiqua" w:hAnsi="Book Antiqua" w:cs="Book Antiqua"/>
        </w:rPr>
        <w:t xml:space="preserve">, </w:t>
      </w:r>
      <w:proofErr w:type="spellStart"/>
      <w:r w:rsidRPr="00BF26F2">
        <w:rPr>
          <w:rFonts w:ascii="Book Antiqua" w:eastAsia="Book Antiqua" w:hAnsi="Book Antiqua" w:cs="Book Antiqua"/>
        </w:rPr>
        <w:t>Altshuler</w:t>
      </w:r>
      <w:proofErr w:type="spellEnd"/>
      <w:r w:rsidRPr="00BF26F2">
        <w:rPr>
          <w:rFonts w:ascii="Book Antiqua" w:eastAsia="Book Antiqua" w:hAnsi="Book Antiqua" w:cs="Book Antiqua"/>
        </w:rPr>
        <w:t xml:space="preserve"> LA, Lipkin PH, </w:t>
      </w:r>
      <w:proofErr w:type="spellStart"/>
      <w:r w:rsidRPr="00BF26F2">
        <w:rPr>
          <w:rFonts w:ascii="Book Antiqua" w:eastAsia="Book Antiqua" w:hAnsi="Book Antiqua" w:cs="Book Antiqua"/>
        </w:rPr>
        <w:t>Walco</w:t>
      </w:r>
      <w:proofErr w:type="spellEnd"/>
      <w:r w:rsidRPr="00BF26F2">
        <w:rPr>
          <w:rFonts w:ascii="Book Antiqua" w:eastAsia="Book Antiqua" w:hAnsi="Book Antiqua" w:cs="Book Antiqua"/>
        </w:rPr>
        <w:t xml:space="preserve"> GA. Otitis media in children with learning disabilities and in children with attention deficit disorder with hyperactivity. </w:t>
      </w:r>
      <w:r w:rsidRPr="00BF26F2">
        <w:rPr>
          <w:rFonts w:ascii="Book Antiqua" w:eastAsia="Book Antiqua" w:hAnsi="Book Antiqua" w:cs="Book Antiqua"/>
          <w:i/>
          <w:iCs/>
        </w:rPr>
        <w:t>Pediatrics</w:t>
      </w:r>
      <w:r w:rsidRPr="00BF26F2">
        <w:rPr>
          <w:rFonts w:ascii="Book Antiqua" w:eastAsia="Book Antiqua" w:hAnsi="Book Antiqua" w:cs="Book Antiqua"/>
        </w:rPr>
        <w:t xml:space="preserve"> 1990; </w:t>
      </w:r>
      <w:r w:rsidRPr="00BF26F2">
        <w:rPr>
          <w:rFonts w:ascii="Book Antiqua" w:eastAsia="Book Antiqua" w:hAnsi="Book Antiqua" w:cs="Book Antiqua"/>
          <w:b/>
          <w:bCs/>
        </w:rPr>
        <w:t>85</w:t>
      </w:r>
      <w:r w:rsidRPr="00BF26F2">
        <w:rPr>
          <w:rFonts w:ascii="Book Antiqua" w:eastAsia="Book Antiqua" w:hAnsi="Book Antiqua" w:cs="Book Antiqua"/>
        </w:rPr>
        <w:t>: 442-446 [PMID: 2304807]</w:t>
      </w:r>
    </w:p>
    <w:p w14:paraId="7A8A0129"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11 </w:t>
      </w:r>
      <w:r w:rsidRPr="00BF26F2">
        <w:rPr>
          <w:rFonts w:ascii="Book Antiqua" w:eastAsia="Book Antiqua" w:hAnsi="Book Antiqua" w:cs="Book Antiqua"/>
          <w:b/>
          <w:bCs/>
        </w:rPr>
        <w:t>Brawley A</w:t>
      </w:r>
      <w:r w:rsidRPr="00BF26F2">
        <w:rPr>
          <w:rFonts w:ascii="Book Antiqua" w:eastAsia="Book Antiqua" w:hAnsi="Book Antiqua" w:cs="Book Antiqua"/>
        </w:rPr>
        <w:t xml:space="preserve">, Silverman B, Kearney S, Guanzon D, Owens M, Bennett H, Schneider A. Allergic rhinitis in children with attention-deficit/hyperactivity disorder. </w:t>
      </w:r>
      <w:r w:rsidRPr="00BF26F2">
        <w:rPr>
          <w:rFonts w:ascii="Book Antiqua" w:eastAsia="Book Antiqua" w:hAnsi="Book Antiqua" w:cs="Book Antiqua"/>
          <w:i/>
          <w:iCs/>
        </w:rPr>
        <w:t>Ann Allergy Asthma Immunol</w:t>
      </w:r>
      <w:r w:rsidRPr="00BF26F2">
        <w:rPr>
          <w:rFonts w:ascii="Book Antiqua" w:eastAsia="Book Antiqua" w:hAnsi="Book Antiqua" w:cs="Book Antiqua"/>
        </w:rPr>
        <w:t xml:space="preserve"> 2004; </w:t>
      </w:r>
      <w:r w:rsidRPr="00BF26F2">
        <w:rPr>
          <w:rFonts w:ascii="Book Antiqua" w:eastAsia="Book Antiqua" w:hAnsi="Book Antiqua" w:cs="Book Antiqua"/>
          <w:b/>
          <w:bCs/>
        </w:rPr>
        <w:t>92</w:t>
      </w:r>
      <w:r w:rsidRPr="00BF26F2">
        <w:rPr>
          <w:rFonts w:ascii="Book Antiqua" w:eastAsia="Book Antiqua" w:hAnsi="Book Antiqua" w:cs="Book Antiqua"/>
        </w:rPr>
        <w:t>: 663-667 [PMID: 15237769 DOI: 10.1016/S1081-1206(10)61434-2]</w:t>
      </w:r>
    </w:p>
    <w:p w14:paraId="1B5B7583"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lastRenderedPageBreak/>
        <w:t xml:space="preserve">12 </w:t>
      </w:r>
      <w:r w:rsidRPr="00BF26F2">
        <w:rPr>
          <w:rFonts w:ascii="Book Antiqua" w:eastAsia="Book Antiqua" w:hAnsi="Book Antiqua" w:cs="Book Antiqua"/>
          <w:b/>
          <w:bCs/>
        </w:rPr>
        <w:t>van den Heuvel E</w:t>
      </w:r>
      <w:r w:rsidRPr="00BF26F2">
        <w:rPr>
          <w:rFonts w:ascii="Book Antiqua" w:eastAsia="Book Antiqua" w:hAnsi="Book Antiqua" w:cs="Book Antiqua"/>
        </w:rPr>
        <w:t xml:space="preserve">, </w:t>
      </w:r>
      <w:proofErr w:type="spellStart"/>
      <w:r w:rsidRPr="00BF26F2">
        <w:rPr>
          <w:rFonts w:ascii="Book Antiqua" w:eastAsia="Book Antiqua" w:hAnsi="Book Antiqua" w:cs="Book Antiqua"/>
        </w:rPr>
        <w:t>Starreveld</w:t>
      </w:r>
      <w:proofErr w:type="spellEnd"/>
      <w:r w:rsidRPr="00BF26F2">
        <w:rPr>
          <w:rFonts w:ascii="Book Antiqua" w:eastAsia="Book Antiqua" w:hAnsi="Book Antiqua" w:cs="Book Antiqua"/>
        </w:rPr>
        <w:t xml:space="preserve"> JS, de Ru M, </w:t>
      </w:r>
      <w:proofErr w:type="spellStart"/>
      <w:r w:rsidRPr="00BF26F2">
        <w:rPr>
          <w:rFonts w:ascii="Book Antiqua" w:eastAsia="Book Antiqua" w:hAnsi="Book Antiqua" w:cs="Book Antiqua"/>
        </w:rPr>
        <w:t>Krauwer</w:t>
      </w:r>
      <w:proofErr w:type="spellEnd"/>
      <w:r w:rsidRPr="00BF26F2">
        <w:rPr>
          <w:rFonts w:ascii="Book Antiqua" w:eastAsia="Book Antiqua" w:hAnsi="Book Antiqua" w:cs="Book Antiqua"/>
        </w:rPr>
        <w:t xml:space="preserve"> V, </w:t>
      </w:r>
      <w:proofErr w:type="spellStart"/>
      <w:r w:rsidRPr="00BF26F2">
        <w:rPr>
          <w:rFonts w:ascii="Book Antiqua" w:eastAsia="Book Antiqua" w:hAnsi="Book Antiqua" w:cs="Book Antiqua"/>
        </w:rPr>
        <w:t>Versteegh</w:t>
      </w:r>
      <w:proofErr w:type="spellEnd"/>
      <w:r w:rsidRPr="00BF26F2">
        <w:rPr>
          <w:rFonts w:ascii="Book Antiqua" w:eastAsia="Book Antiqua" w:hAnsi="Book Antiqua" w:cs="Book Antiqua"/>
        </w:rPr>
        <w:t xml:space="preserve"> FG. Somatic and psychiatric co-morbidity in children with attention deficit hyperactivity disorder. </w:t>
      </w:r>
      <w:r w:rsidRPr="00BF26F2">
        <w:rPr>
          <w:rFonts w:ascii="Book Antiqua" w:eastAsia="Book Antiqua" w:hAnsi="Book Antiqua" w:cs="Book Antiqua"/>
          <w:i/>
          <w:iCs/>
        </w:rPr>
        <w:t xml:space="preserve">Acta </w:t>
      </w:r>
      <w:proofErr w:type="spellStart"/>
      <w:r w:rsidRPr="00BF26F2">
        <w:rPr>
          <w:rFonts w:ascii="Book Antiqua" w:eastAsia="Book Antiqua" w:hAnsi="Book Antiqua" w:cs="Book Antiqua"/>
          <w:i/>
          <w:iCs/>
        </w:rPr>
        <w:t>Paediatr</w:t>
      </w:r>
      <w:proofErr w:type="spellEnd"/>
      <w:r w:rsidRPr="00BF26F2">
        <w:rPr>
          <w:rFonts w:ascii="Book Antiqua" w:eastAsia="Book Antiqua" w:hAnsi="Book Antiqua" w:cs="Book Antiqua"/>
        </w:rPr>
        <w:t xml:space="preserve"> 2007; </w:t>
      </w:r>
      <w:r w:rsidRPr="00BF26F2">
        <w:rPr>
          <w:rFonts w:ascii="Book Antiqua" w:eastAsia="Book Antiqua" w:hAnsi="Book Antiqua" w:cs="Book Antiqua"/>
          <w:b/>
          <w:bCs/>
        </w:rPr>
        <w:t>96</w:t>
      </w:r>
      <w:r w:rsidRPr="00BF26F2">
        <w:rPr>
          <w:rFonts w:ascii="Book Antiqua" w:eastAsia="Book Antiqua" w:hAnsi="Book Antiqua" w:cs="Book Antiqua"/>
        </w:rPr>
        <w:t>: 454-456 [PMID: 17407478 DOI: 10.1111/j.1651-2227.2006.00145.x]</w:t>
      </w:r>
    </w:p>
    <w:p w14:paraId="1EB7E08F"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13 </w:t>
      </w:r>
      <w:proofErr w:type="spellStart"/>
      <w:r w:rsidRPr="00BF26F2">
        <w:rPr>
          <w:rFonts w:ascii="Book Antiqua" w:eastAsia="Book Antiqua" w:hAnsi="Book Antiqua" w:cs="Book Antiqua"/>
          <w:b/>
          <w:bCs/>
        </w:rPr>
        <w:t>Burgu</w:t>
      </w:r>
      <w:proofErr w:type="spellEnd"/>
      <w:r w:rsidRPr="00BF26F2">
        <w:rPr>
          <w:rFonts w:ascii="Book Antiqua" w:eastAsia="Book Antiqua" w:hAnsi="Book Antiqua" w:cs="Book Antiqua"/>
          <w:b/>
          <w:bCs/>
        </w:rPr>
        <w:t xml:space="preserve"> B</w:t>
      </w:r>
      <w:r w:rsidRPr="00BF26F2">
        <w:rPr>
          <w:rFonts w:ascii="Book Antiqua" w:eastAsia="Book Antiqua" w:hAnsi="Book Antiqua" w:cs="Book Antiqua"/>
        </w:rPr>
        <w:t xml:space="preserve">, </w:t>
      </w:r>
      <w:proofErr w:type="spellStart"/>
      <w:r w:rsidRPr="00BF26F2">
        <w:rPr>
          <w:rFonts w:ascii="Book Antiqua" w:eastAsia="Book Antiqua" w:hAnsi="Book Antiqua" w:cs="Book Antiqua"/>
        </w:rPr>
        <w:t>Aydogdu</w:t>
      </w:r>
      <w:proofErr w:type="spellEnd"/>
      <w:r w:rsidRPr="00BF26F2">
        <w:rPr>
          <w:rFonts w:ascii="Book Antiqua" w:eastAsia="Book Antiqua" w:hAnsi="Book Antiqua" w:cs="Book Antiqua"/>
        </w:rPr>
        <w:t xml:space="preserve"> O, </w:t>
      </w:r>
      <w:proofErr w:type="spellStart"/>
      <w:r w:rsidRPr="00BF26F2">
        <w:rPr>
          <w:rFonts w:ascii="Book Antiqua" w:eastAsia="Book Antiqua" w:hAnsi="Book Antiqua" w:cs="Book Antiqua"/>
        </w:rPr>
        <w:t>Gurkan</w:t>
      </w:r>
      <w:proofErr w:type="spellEnd"/>
      <w:r w:rsidRPr="00BF26F2">
        <w:rPr>
          <w:rFonts w:ascii="Book Antiqua" w:eastAsia="Book Antiqua" w:hAnsi="Book Antiqua" w:cs="Book Antiqua"/>
        </w:rPr>
        <w:t xml:space="preserve"> K, </w:t>
      </w:r>
      <w:proofErr w:type="spellStart"/>
      <w:r w:rsidRPr="00BF26F2">
        <w:rPr>
          <w:rFonts w:ascii="Book Antiqua" w:eastAsia="Book Antiqua" w:hAnsi="Book Antiqua" w:cs="Book Antiqua"/>
        </w:rPr>
        <w:t>Uslu</w:t>
      </w:r>
      <w:proofErr w:type="spellEnd"/>
      <w:r w:rsidRPr="00BF26F2">
        <w:rPr>
          <w:rFonts w:ascii="Book Antiqua" w:eastAsia="Book Antiqua" w:hAnsi="Book Antiqua" w:cs="Book Antiqua"/>
        </w:rPr>
        <w:t xml:space="preserve"> R, </w:t>
      </w:r>
      <w:proofErr w:type="spellStart"/>
      <w:r w:rsidRPr="00BF26F2">
        <w:rPr>
          <w:rFonts w:ascii="Book Antiqua" w:eastAsia="Book Antiqua" w:hAnsi="Book Antiqua" w:cs="Book Antiqua"/>
        </w:rPr>
        <w:t>Soygur</w:t>
      </w:r>
      <w:proofErr w:type="spellEnd"/>
      <w:r w:rsidRPr="00BF26F2">
        <w:rPr>
          <w:rFonts w:ascii="Book Antiqua" w:eastAsia="Book Antiqua" w:hAnsi="Book Antiqua" w:cs="Book Antiqua"/>
        </w:rPr>
        <w:t xml:space="preserve"> T. Lower urinary tract conditions in children with attention deficit hyperactivity disorder: correlation of symptoms based on validated scoring systems. </w:t>
      </w:r>
      <w:r w:rsidRPr="00BF26F2">
        <w:rPr>
          <w:rFonts w:ascii="Book Antiqua" w:eastAsia="Book Antiqua" w:hAnsi="Book Antiqua" w:cs="Book Antiqua"/>
          <w:i/>
          <w:iCs/>
        </w:rPr>
        <w:t xml:space="preserve">J </w:t>
      </w:r>
      <w:proofErr w:type="spellStart"/>
      <w:r w:rsidRPr="00BF26F2">
        <w:rPr>
          <w:rFonts w:ascii="Book Antiqua" w:eastAsia="Book Antiqua" w:hAnsi="Book Antiqua" w:cs="Book Antiqua"/>
          <w:i/>
          <w:iCs/>
        </w:rPr>
        <w:t>Urol</w:t>
      </w:r>
      <w:proofErr w:type="spellEnd"/>
      <w:r w:rsidRPr="00BF26F2">
        <w:rPr>
          <w:rFonts w:ascii="Book Antiqua" w:eastAsia="Book Antiqua" w:hAnsi="Book Antiqua" w:cs="Book Antiqua"/>
        </w:rPr>
        <w:t xml:space="preserve"> 2011; </w:t>
      </w:r>
      <w:r w:rsidRPr="00BF26F2">
        <w:rPr>
          <w:rFonts w:ascii="Book Antiqua" w:eastAsia="Book Antiqua" w:hAnsi="Book Antiqua" w:cs="Book Antiqua"/>
          <w:b/>
          <w:bCs/>
        </w:rPr>
        <w:t>185</w:t>
      </w:r>
      <w:r w:rsidRPr="00BF26F2">
        <w:rPr>
          <w:rFonts w:ascii="Book Antiqua" w:eastAsia="Book Antiqua" w:hAnsi="Book Antiqua" w:cs="Book Antiqua"/>
        </w:rPr>
        <w:t>: 663-668 [PMID: 21172714 DOI: 10.1016/j.juro.2010.09.116]</w:t>
      </w:r>
    </w:p>
    <w:p w14:paraId="0F2E89BF"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14 </w:t>
      </w:r>
      <w:proofErr w:type="spellStart"/>
      <w:r w:rsidRPr="00BF26F2">
        <w:rPr>
          <w:rFonts w:ascii="Book Antiqua" w:eastAsia="Book Antiqua" w:hAnsi="Book Antiqua" w:cs="Book Antiqua"/>
          <w:b/>
          <w:bCs/>
        </w:rPr>
        <w:t>Instanes</w:t>
      </w:r>
      <w:proofErr w:type="spellEnd"/>
      <w:r w:rsidRPr="00BF26F2">
        <w:rPr>
          <w:rFonts w:ascii="Book Antiqua" w:eastAsia="Book Antiqua" w:hAnsi="Book Antiqua" w:cs="Book Antiqua"/>
          <w:b/>
          <w:bCs/>
        </w:rPr>
        <w:t xml:space="preserve"> JT</w:t>
      </w:r>
      <w:r w:rsidRPr="00BF26F2">
        <w:rPr>
          <w:rFonts w:ascii="Book Antiqua" w:eastAsia="Book Antiqua" w:hAnsi="Book Antiqua" w:cs="Book Antiqua"/>
        </w:rPr>
        <w:t xml:space="preserve">, </w:t>
      </w:r>
      <w:proofErr w:type="spellStart"/>
      <w:r w:rsidRPr="00BF26F2">
        <w:rPr>
          <w:rFonts w:ascii="Book Antiqua" w:eastAsia="Book Antiqua" w:hAnsi="Book Antiqua" w:cs="Book Antiqua"/>
        </w:rPr>
        <w:t>Klungsøyr</w:t>
      </w:r>
      <w:proofErr w:type="spellEnd"/>
      <w:r w:rsidRPr="00BF26F2">
        <w:rPr>
          <w:rFonts w:ascii="Book Antiqua" w:eastAsia="Book Antiqua" w:hAnsi="Book Antiqua" w:cs="Book Antiqua"/>
        </w:rPr>
        <w:t xml:space="preserve"> K, </w:t>
      </w:r>
      <w:proofErr w:type="spellStart"/>
      <w:r w:rsidRPr="00BF26F2">
        <w:rPr>
          <w:rFonts w:ascii="Book Antiqua" w:eastAsia="Book Antiqua" w:hAnsi="Book Antiqua" w:cs="Book Antiqua"/>
        </w:rPr>
        <w:t>Halmøy</w:t>
      </w:r>
      <w:proofErr w:type="spellEnd"/>
      <w:r w:rsidRPr="00BF26F2">
        <w:rPr>
          <w:rFonts w:ascii="Book Antiqua" w:eastAsia="Book Antiqua" w:hAnsi="Book Antiqua" w:cs="Book Antiqua"/>
        </w:rPr>
        <w:t xml:space="preserve"> A, </w:t>
      </w:r>
      <w:proofErr w:type="spellStart"/>
      <w:r w:rsidRPr="00BF26F2">
        <w:rPr>
          <w:rFonts w:ascii="Book Antiqua" w:eastAsia="Book Antiqua" w:hAnsi="Book Antiqua" w:cs="Book Antiqua"/>
        </w:rPr>
        <w:t>Fasmer</w:t>
      </w:r>
      <w:proofErr w:type="spellEnd"/>
      <w:r w:rsidRPr="00BF26F2">
        <w:rPr>
          <w:rFonts w:ascii="Book Antiqua" w:eastAsia="Book Antiqua" w:hAnsi="Book Antiqua" w:cs="Book Antiqua"/>
        </w:rPr>
        <w:t xml:space="preserve"> OB, </w:t>
      </w:r>
      <w:proofErr w:type="spellStart"/>
      <w:r w:rsidRPr="00BF26F2">
        <w:rPr>
          <w:rFonts w:ascii="Book Antiqua" w:eastAsia="Book Antiqua" w:hAnsi="Book Antiqua" w:cs="Book Antiqua"/>
        </w:rPr>
        <w:t>Haavik</w:t>
      </w:r>
      <w:proofErr w:type="spellEnd"/>
      <w:r w:rsidRPr="00BF26F2">
        <w:rPr>
          <w:rFonts w:ascii="Book Antiqua" w:eastAsia="Book Antiqua" w:hAnsi="Book Antiqua" w:cs="Book Antiqua"/>
        </w:rPr>
        <w:t xml:space="preserve"> J. Adult ADHD and Comorbid Somatic Disease: A Systematic Literature Review. </w:t>
      </w:r>
      <w:r w:rsidRPr="00BF26F2">
        <w:rPr>
          <w:rFonts w:ascii="Book Antiqua" w:eastAsia="Book Antiqua" w:hAnsi="Book Antiqua" w:cs="Book Antiqua"/>
          <w:i/>
          <w:iCs/>
        </w:rPr>
        <w:t xml:space="preserve">J Atten </w:t>
      </w:r>
      <w:proofErr w:type="spellStart"/>
      <w:r w:rsidRPr="00BF26F2">
        <w:rPr>
          <w:rFonts w:ascii="Book Antiqua" w:eastAsia="Book Antiqua" w:hAnsi="Book Antiqua" w:cs="Book Antiqua"/>
          <w:i/>
          <w:iCs/>
        </w:rPr>
        <w:t>Disord</w:t>
      </w:r>
      <w:proofErr w:type="spellEnd"/>
      <w:r w:rsidRPr="00BF26F2">
        <w:rPr>
          <w:rFonts w:ascii="Book Antiqua" w:eastAsia="Book Antiqua" w:hAnsi="Book Antiqua" w:cs="Book Antiqua"/>
        </w:rPr>
        <w:t xml:space="preserve"> 2018; </w:t>
      </w:r>
      <w:r w:rsidRPr="00BF26F2">
        <w:rPr>
          <w:rFonts w:ascii="Book Antiqua" w:eastAsia="Book Antiqua" w:hAnsi="Book Antiqua" w:cs="Book Antiqua"/>
          <w:b/>
          <w:bCs/>
        </w:rPr>
        <w:t>22</w:t>
      </w:r>
      <w:r w:rsidRPr="00BF26F2">
        <w:rPr>
          <w:rFonts w:ascii="Book Antiqua" w:eastAsia="Book Antiqua" w:hAnsi="Book Antiqua" w:cs="Book Antiqua"/>
        </w:rPr>
        <w:t>: 203-228 [PMID: 27664125 DOI: 10.1177/1087054716669589]</w:t>
      </w:r>
    </w:p>
    <w:p w14:paraId="076715EB"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15 </w:t>
      </w:r>
      <w:r w:rsidRPr="00BF26F2">
        <w:rPr>
          <w:rFonts w:ascii="Book Antiqua" w:eastAsia="Book Antiqua" w:hAnsi="Book Antiqua" w:cs="Book Antiqua"/>
          <w:b/>
          <w:bCs/>
        </w:rPr>
        <w:t>Johnston BD</w:t>
      </w:r>
      <w:r w:rsidRPr="00BF26F2">
        <w:rPr>
          <w:rFonts w:ascii="Book Antiqua" w:eastAsia="Book Antiqua" w:hAnsi="Book Antiqua" w:cs="Book Antiqua"/>
        </w:rPr>
        <w:t xml:space="preserve">, Wright JA. Attentional dysfunction in children with encopresis. </w:t>
      </w:r>
      <w:r w:rsidRPr="00BF26F2">
        <w:rPr>
          <w:rFonts w:ascii="Book Antiqua" w:eastAsia="Book Antiqua" w:hAnsi="Book Antiqua" w:cs="Book Antiqua"/>
          <w:i/>
          <w:iCs/>
        </w:rPr>
        <w:t xml:space="preserve">J Dev </w:t>
      </w:r>
      <w:proofErr w:type="spellStart"/>
      <w:r w:rsidRPr="00BF26F2">
        <w:rPr>
          <w:rFonts w:ascii="Book Antiqua" w:eastAsia="Book Antiqua" w:hAnsi="Book Antiqua" w:cs="Book Antiqua"/>
          <w:i/>
          <w:iCs/>
        </w:rPr>
        <w:t>Behav</w:t>
      </w:r>
      <w:proofErr w:type="spellEnd"/>
      <w:r w:rsidRPr="00BF26F2">
        <w:rPr>
          <w:rFonts w:ascii="Book Antiqua" w:eastAsia="Book Antiqua" w:hAnsi="Book Antiqua" w:cs="Book Antiqua"/>
          <w:i/>
          <w:iCs/>
        </w:rPr>
        <w:t xml:space="preserve"> </w:t>
      </w:r>
      <w:proofErr w:type="spellStart"/>
      <w:r w:rsidRPr="00BF26F2">
        <w:rPr>
          <w:rFonts w:ascii="Book Antiqua" w:eastAsia="Book Antiqua" w:hAnsi="Book Antiqua" w:cs="Book Antiqua"/>
          <w:i/>
          <w:iCs/>
        </w:rPr>
        <w:t>Pediatr</w:t>
      </w:r>
      <w:proofErr w:type="spellEnd"/>
      <w:r w:rsidRPr="00BF26F2">
        <w:rPr>
          <w:rFonts w:ascii="Book Antiqua" w:eastAsia="Book Antiqua" w:hAnsi="Book Antiqua" w:cs="Book Antiqua"/>
        </w:rPr>
        <w:t xml:space="preserve"> 1993; </w:t>
      </w:r>
      <w:r w:rsidRPr="00BF26F2">
        <w:rPr>
          <w:rFonts w:ascii="Book Antiqua" w:eastAsia="Book Antiqua" w:hAnsi="Book Antiqua" w:cs="Book Antiqua"/>
          <w:b/>
          <w:bCs/>
        </w:rPr>
        <w:t>14</w:t>
      </w:r>
      <w:r w:rsidRPr="00BF26F2">
        <w:rPr>
          <w:rFonts w:ascii="Book Antiqua" w:eastAsia="Book Antiqua" w:hAnsi="Book Antiqua" w:cs="Book Antiqua"/>
        </w:rPr>
        <w:t>: 381-385 [PMID: 8126230]</w:t>
      </w:r>
    </w:p>
    <w:p w14:paraId="18C08E52"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16 </w:t>
      </w:r>
      <w:r w:rsidRPr="00BF26F2">
        <w:rPr>
          <w:rFonts w:ascii="Book Antiqua" w:eastAsia="Book Antiqua" w:hAnsi="Book Antiqua" w:cs="Book Antiqua"/>
          <w:b/>
          <w:bCs/>
        </w:rPr>
        <w:t>McKeown C</w:t>
      </w:r>
      <w:r w:rsidRPr="00BF26F2">
        <w:rPr>
          <w:rFonts w:ascii="Book Antiqua" w:eastAsia="Book Antiqua" w:hAnsi="Book Antiqua" w:cs="Book Antiqua"/>
        </w:rPr>
        <w:t xml:space="preserve">, Hisle-Gorman E, Eide M, Gorman GH, </w:t>
      </w:r>
      <w:proofErr w:type="spellStart"/>
      <w:r w:rsidRPr="00BF26F2">
        <w:rPr>
          <w:rFonts w:ascii="Book Antiqua" w:eastAsia="Book Antiqua" w:hAnsi="Book Antiqua" w:cs="Book Antiqua"/>
        </w:rPr>
        <w:t>Nylund</w:t>
      </w:r>
      <w:proofErr w:type="spellEnd"/>
      <w:r w:rsidRPr="00BF26F2">
        <w:rPr>
          <w:rFonts w:ascii="Book Antiqua" w:eastAsia="Book Antiqua" w:hAnsi="Book Antiqua" w:cs="Book Antiqua"/>
        </w:rPr>
        <w:t xml:space="preserve"> CM. Association of constipation and fecal incontinence with attention-deficit/hyperactivity disorder. </w:t>
      </w:r>
      <w:r w:rsidRPr="00BF26F2">
        <w:rPr>
          <w:rFonts w:ascii="Book Antiqua" w:eastAsia="Book Antiqua" w:hAnsi="Book Antiqua" w:cs="Book Antiqua"/>
          <w:i/>
          <w:iCs/>
        </w:rPr>
        <w:t>Pediatrics</w:t>
      </w:r>
      <w:r w:rsidRPr="00BF26F2">
        <w:rPr>
          <w:rFonts w:ascii="Book Antiqua" w:eastAsia="Book Antiqua" w:hAnsi="Book Antiqua" w:cs="Book Antiqua"/>
        </w:rPr>
        <w:t xml:space="preserve"> 2013; </w:t>
      </w:r>
      <w:r w:rsidRPr="00BF26F2">
        <w:rPr>
          <w:rFonts w:ascii="Book Antiqua" w:eastAsia="Book Antiqua" w:hAnsi="Book Antiqua" w:cs="Book Antiqua"/>
          <w:b/>
          <w:bCs/>
        </w:rPr>
        <w:t>132</w:t>
      </w:r>
      <w:r w:rsidRPr="00BF26F2">
        <w:rPr>
          <w:rFonts w:ascii="Book Antiqua" w:eastAsia="Book Antiqua" w:hAnsi="Book Antiqua" w:cs="Book Antiqua"/>
        </w:rPr>
        <w:t>: e1210-e1215 [PMID: 24144702 DOI: 10.1542/peds.2013-1580]</w:t>
      </w:r>
    </w:p>
    <w:p w14:paraId="2E20B13D"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17 </w:t>
      </w:r>
      <w:r w:rsidRPr="00BF26F2">
        <w:rPr>
          <w:rFonts w:ascii="Book Antiqua" w:eastAsia="Book Antiqua" w:hAnsi="Book Antiqua" w:cs="Book Antiqua"/>
          <w:b/>
          <w:bCs/>
        </w:rPr>
        <w:t>Kaplan BJ</w:t>
      </w:r>
      <w:r w:rsidRPr="00BF26F2">
        <w:rPr>
          <w:rFonts w:ascii="Book Antiqua" w:eastAsia="Book Antiqua" w:hAnsi="Book Antiqua" w:cs="Book Antiqua"/>
        </w:rPr>
        <w:t xml:space="preserve">, </w:t>
      </w:r>
      <w:proofErr w:type="spellStart"/>
      <w:r w:rsidRPr="00BF26F2">
        <w:rPr>
          <w:rFonts w:ascii="Book Antiqua" w:eastAsia="Book Antiqua" w:hAnsi="Book Antiqua" w:cs="Book Antiqua"/>
        </w:rPr>
        <w:t>McNicol</w:t>
      </w:r>
      <w:proofErr w:type="spellEnd"/>
      <w:r w:rsidRPr="00BF26F2">
        <w:rPr>
          <w:rFonts w:ascii="Book Antiqua" w:eastAsia="Book Antiqua" w:hAnsi="Book Antiqua" w:cs="Book Antiqua"/>
        </w:rPr>
        <w:t xml:space="preserve"> J, Conte RA, Moghadam HK. Physical signs and symptoms in preschool-age hyperactive and normal children. </w:t>
      </w:r>
      <w:r w:rsidRPr="00BF26F2">
        <w:rPr>
          <w:rFonts w:ascii="Book Antiqua" w:eastAsia="Book Antiqua" w:hAnsi="Book Antiqua" w:cs="Book Antiqua"/>
          <w:i/>
          <w:iCs/>
        </w:rPr>
        <w:t xml:space="preserve">J Dev </w:t>
      </w:r>
      <w:proofErr w:type="spellStart"/>
      <w:r w:rsidRPr="00BF26F2">
        <w:rPr>
          <w:rFonts w:ascii="Book Antiqua" w:eastAsia="Book Antiqua" w:hAnsi="Book Antiqua" w:cs="Book Antiqua"/>
          <w:i/>
          <w:iCs/>
        </w:rPr>
        <w:t>Behav</w:t>
      </w:r>
      <w:proofErr w:type="spellEnd"/>
      <w:r w:rsidRPr="00BF26F2">
        <w:rPr>
          <w:rFonts w:ascii="Book Antiqua" w:eastAsia="Book Antiqua" w:hAnsi="Book Antiqua" w:cs="Book Antiqua"/>
          <w:i/>
          <w:iCs/>
        </w:rPr>
        <w:t xml:space="preserve"> </w:t>
      </w:r>
      <w:proofErr w:type="spellStart"/>
      <w:r w:rsidRPr="00BF26F2">
        <w:rPr>
          <w:rFonts w:ascii="Book Antiqua" w:eastAsia="Book Antiqua" w:hAnsi="Book Antiqua" w:cs="Book Antiqua"/>
          <w:i/>
          <w:iCs/>
        </w:rPr>
        <w:t>Pediatr</w:t>
      </w:r>
      <w:proofErr w:type="spellEnd"/>
      <w:r w:rsidRPr="00BF26F2">
        <w:rPr>
          <w:rFonts w:ascii="Book Antiqua" w:eastAsia="Book Antiqua" w:hAnsi="Book Antiqua" w:cs="Book Antiqua"/>
        </w:rPr>
        <w:t xml:space="preserve"> 1987; </w:t>
      </w:r>
      <w:r w:rsidRPr="00BF26F2">
        <w:rPr>
          <w:rFonts w:ascii="Book Antiqua" w:eastAsia="Book Antiqua" w:hAnsi="Book Antiqua" w:cs="Book Antiqua"/>
          <w:b/>
          <w:bCs/>
        </w:rPr>
        <w:t>8</w:t>
      </w:r>
      <w:r w:rsidRPr="00BF26F2">
        <w:rPr>
          <w:rFonts w:ascii="Book Antiqua" w:eastAsia="Book Antiqua" w:hAnsi="Book Antiqua" w:cs="Book Antiqua"/>
        </w:rPr>
        <w:t>: 305-310 [PMID: 3429668]</w:t>
      </w:r>
    </w:p>
    <w:p w14:paraId="373C35A5"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18 </w:t>
      </w:r>
      <w:r w:rsidRPr="00BF26F2">
        <w:rPr>
          <w:rFonts w:ascii="Book Antiqua" w:eastAsia="Book Antiqua" w:hAnsi="Book Antiqua" w:cs="Book Antiqua"/>
          <w:b/>
          <w:bCs/>
        </w:rPr>
        <w:t>Hubel R</w:t>
      </w:r>
      <w:r w:rsidRPr="00BF26F2">
        <w:rPr>
          <w:rFonts w:ascii="Book Antiqua" w:eastAsia="Book Antiqua" w:hAnsi="Book Antiqua" w:cs="Book Antiqua"/>
        </w:rPr>
        <w:t xml:space="preserve">, </w:t>
      </w:r>
      <w:proofErr w:type="spellStart"/>
      <w:r w:rsidRPr="00BF26F2">
        <w:rPr>
          <w:rFonts w:ascii="Book Antiqua" w:eastAsia="Book Antiqua" w:hAnsi="Book Antiqua" w:cs="Book Antiqua"/>
        </w:rPr>
        <w:t>Jass</w:t>
      </w:r>
      <w:proofErr w:type="spellEnd"/>
      <w:r w:rsidRPr="00BF26F2">
        <w:rPr>
          <w:rFonts w:ascii="Book Antiqua" w:eastAsia="Book Antiqua" w:hAnsi="Book Antiqua" w:cs="Book Antiqua"/>
        </w:rPr>
        <w:t xml:space="preserve"> J, Marcus A, </w:t>
      </w:r>
      <w:proofErr w:type="spellStart"/>
      <w:r w:rsidRPr="00BF26F2">
        <w:rPr>
          <w:rFonts w:ascii="Book Antiqua" w:eastAsia="Book Antiqua" w:hAnsi="Book Antiqua" w:cs="Book Antiqua"/>
        </w:rPr>
        <w:t>Laessle</w:t>
      </w:r>
      <w:proofErr w:type="spellEnd"/>
      <w:r w:rsidRPr="00BF26F2">
        <w:rPr>
          <w:rFonts w:ascii="Book Antiqua" w:eastAsia="Book Antiqua" w:hAnsi="Book Antiqua" w:cs="Book Antiqua"/>
        </w:rPr>
        <w:t xml:space="preserve"> RG. Overweight and basal metabolic rate in boys with attention-deficit/hyperactivity disorder. </w:t>
      </w:r>
      <w:r w:rsidRPr="00BF26F2">
        <w:rPr>
          <w:rFonts w:ascii="Book Antiqua" w:eastAsia="Book Antiqua" w:hAnsi="Book Antiqua" w:cs="Book Antiqua"/>
          <w:i/>
          <w:iCs/>
        </w:rPr>
        <w:t xml:space="preserve">Eat Weight </w:t>
      </w:r>
      <w:proofErr w:type="spellStart"/>
      <w:r w:rsidRPr="00BF26F2">
        <w:rPr>
          <w:rFonts w:ascii="Book Antiqua" w:eastAsia="Book Antiqua" w:hAnsi="Book Antiqua" w:cs="Book Antiqua"/>
          <w:i/>
          <w:iCs/>
        </w:rPr>
        <w:t>Disord</w:t>
      </w:r>
      <w:proofErr w:type="spellEnd"/>
      <w:r w:rsidRPr="00BF26F2">
        <w:rPr>
          <w:rFonts w:ascii="Book Antiqua" w:eastAsia="Book Antiqua" w:hAnsi="Book Antiqua" w:cs="Book Antiqua"/>
        </w:rPr>
        <w:t xml:space="preserve"> 2006; </w:t>
      </w:r>
      <w:r w:rsidRPr="00BF26F2">
        <w:rPr>
          <w:rFonts w:ascii="Book Antiqua" w:eastAsia="Book Antiqua" w:hAnsi="Book Antiqua" w:cs="Book Antiqua"/>
          <w:b/>
          <w:bCs/>
        </w:rPr>
        <w:t>11</w:t>
      </w:r>
      <w:r w:rsidRPr="00BF26F2">
        <w:rPr>
          <w:rFonts w:ascii="Book Antiqua" w:eastAsia="Book Antiqua" w:hAnsi="Book Antiqua" w:cs="Book Antiqua"/>
        </w:rPr>
        <w:t>: 139-146 [PMID: 17075241 DOI: 10.1007/BF03327559]</w:t>
      </w:r>
    </w:p>
    <w:p w14:paraId="1BE2D588"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19 </w:t>
      </w:r>
      <w:r w:rsidRPr="00BF26F2">
        <w:rPr>
          <w:rFonts w:ascii="Book Antiqua" w:eastAsia="Book Antiqua" w:hAnsi="Book Antiqua" w:cs="Book Antiqua"/>
          <w:b/>
          <w:bCs/>
        </w:rPr>
        <w:t>Waring ME</w:t>
      </w:r>
      <w:r w:rsidRPr="00BF26F2">
        <w:rPr>
          <w:rFonts w:ascii="Book Antiqua" w:eastAsia="Book Antiqua" w:hAnsi="Book Antiqua" w:cs="Book Antiqua"/>
        </w:rPr>
        <w:t xml:space="preserve">, </w:t>
      </w:r>
      <w:proofErr w:type="spellStart"/>
      <w:r w:rsidRPr="00BF26F2">
        <w:rPr>
          <w:rFonts w:ascii="Book Antiqua" w:eastAsia="Book Antiqua" w:hAnsi="Book Antiqua" w:cs="Book Antiqua"/>
        </w:rPr>
        <w:t>Lapane</w:t>
      </w:r>
      <w:proofErr w:type="spellEnd"/>
      <w:r w:rsidRPr="00BF26F2">
        <w:rPr>
          <w:rFonts w:ascii="Book Antiqua" w:eastAsia="Book Antiqua" w:hAnsi="Book Antiqua" w:cs="Book Antiqua"/>
        </w:rPr>
        <w:t xml:space="preserve"> KL. Overweight in children and adolescents in relation to attention-deficit/hyperactivity disorder: results from a national sample. </w:t>
      </w:r>
      <w:r w:rsidRPr="00BF26F2">
        <w:rPr>
          <w:rFonts w:ascii="Book Antiqua" w:eastAsia="Book Antiqua" w:hAnsi="Book Antiqua" w:cs="Book Antiqua"/>
          <w:i/>
          <w:iCs/>
        </w:rPr>
        <w:t>Pediatrics</w:t>
      </w:r>
      <w:r w:rsidRPr="00BF26F2">
        <w:rPr>
          <w:rFonts w:ascii="Book Antiqua" w:eastAsia="Book Antiqua" w:hAnsi="Book Antiqua" w:cs="Book Antiqua"/>
        </w:rPr>
        <w:t xml:space="preserve"> 2008; </w:t>
      </w:r>
      <w:r w:rsidRPr="00BF26F2">
        <w:rPr>
          <w:rFonts w:ascii="Book Antiqua" w:eastAsia="Book Antiqua" w:hAnsi="Book Antiqua" w:cs="Book Antiqua"/>
          <w:b/>
          <w:bCs/>
        </w:rPr>
        <w:t>122</w:t>
      </w:r>
      <w:r w:rsidRPr="00BF26F2">
        <w:rPr>
          <w:rFonts w:ascii="Book Antiqua" w:eastAsia="Book Antiqua" w:hAnsi="Book Antiqua" w:cs="Book Antiqua"/>
        </w:rPr>
        <w:t>: e1-e6 [PMID: 18595954 DOI: 10.1542/peds.2007-1955]</w:t>
      </w:r>
    </w:p>
    <w:p w14:paraId="68268D08"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20 </w:t>
      </w:r>
      <w:r w:rsidRPr="00BF26F2">
        <w:rPr>
          <w:rFonts w:ascii="Book Antiqua" w:eastAsia="Book Antiqua" w:hAnsi="Book Antiqua" w:cs="Book Antiqua"/>
          <w:b/>
          <w:bCs/>
        </w:rPr>
        <w:t>Jameson ND</w:t>
      </w:r>
      <w:r w:rsidRPr="00BF26F2">
        <w:rPr>
          <w:rFonts w:ascii="Book Antiqua" w:eastAsia="Book Antiqua" w:hAnsi="Book Antiqua" w:cs="Book Antiqua"/>
        </w:rPr>
        <w:t xml:space="preserve">, Sheppard BK, Lateef TM, </w:t>
      </w:r>
      <w:proofErr w:type="spellStart"/>
      <w:r w:rsidRPr="00BF26F2">
        <w:rPr>
          <w:rFonts w:ascii="Book Antiqua" w:eastAsia="Book Antiqua" w:hAnsi="Book Antiqua" w:cs="Book Antiqua"/>
        </w:rPr>
        <w:t>Vande</w:t>
      </w:r>
      <w:proofErr w:type="spellEnd"/>
      <w:r w:rsidRPr="00BF26F2">
        <w:rPr>
          <w:rFonts w:ascii="Book Antiqua" w:eastAsia="Book Antiqua" w:hAnsi="Book Antiqua" w:cs="Book Antiqua"/>
        </w:rPr>
        <w:t xml:space="preserve"> </w:t>
      </w:r>
      <w:proofErr w:type="spellStart"/>
      <w:r w:rsidRPr="00BF26F2">
        <w:rPr>
          <w:rFonts w:ascii="Book Antiqua" w:eastAsia="Book Antiqua" w:hAnsi="Book Antiqua" w:cs="Book Antiqua"/>
        </w:rPr>
        <w:t>Voort</w:t>
      </w:r>
      <w:proofErr w:type="spellEnd"/>
      <w:r w:rsidRPr="00BF26F2">
        <w:rPr>
          <w:rFonts w:ascii="Book Antiqua" w:eastAsia="Book Antiqua" w:hAnsi="Book Antiqua" w:cs="Book Antiqua"/>
        </w:rPr>
        <w:t xml:space="preserve"> JL, He JP, </w:t>
      </w:r>
      <w:proofErr w:type="spellStart"/>
      <w:r w:rsidRPr="00BF26F2">
        <w:rPr>
          <w:rFonts w:ascii="Book Antiqua" w:eastAsia="Book Antiqua" w:hAnsi="Book Antiqua" w:cs="Book Antiqua"/>
        </w:rPr>
        <w:t>Merikangas</w:t>
      </w:r>
      <w:proofErr w:type="spellEnd"/>
      <w:r w:rsidRPr="00BF26F2">
        <w:rPr>
          <w:rFonts w:ascii="Book Antiqua" w:eastAsia="Book Antiqua" w:hAnsi="Book Antiqua" w:cs="Book Antiqua"/>
        </w:rPr>
        <w:t xml:space="preserve"> KR. Medical Comorbidity of Attention-Deficit/Hyperactivity Disorder in US Adolescents. </w:t>
      </w:r>
      <w:r w:rsidRPr="00BF26F2">
        <w:rPr>
          <w:rFonts w:ascii="Book Antiqua" w:eastAsia="Book Antiqua" w:hAnsi="Book Antiqua" w:cs="Book Antiqua"/>
          <w:i/>
          <w:iCs/>
        </w:rPr>
        <w:t>J Child Neurol</w:t>
      </w:r>
      <w:r w:rsidRPr="00BF26F2">
        <w:rPr>
          <w:rFonts w:ascii="Book Antiqua" w:eastAsia="Book Antiqua" w:hAnsi="Book Antiqua" w:cs="Book Antiqua"/>
        </w:rPr>
        <w:t xml:space="preserve"> 2016; </w:t>
      </w:r>
      <w:r w:rsidRPr="00BF26F2">
        <w:rPr>
          <w:rFonts w:ascii="Book Antiqua" w:eastAsia="Book Antiqua" w:hAnsi="Book Antiqua" w:cs="Book Antiqua"/>
          <w:b/>
          <w:bCs/>
        </w:rPr>
        <w:t>31</w:t>
      </w:r>
      <w:r w:rsidRPr="00BF26F2">
        <w:rPr>
          <w:rFonts w:ascii="Book Antiqua" w:eastAsia="Book Antiqua" w:hAnsi="Book Antiqua" w:cs="Book Antiqua"/>
        </w:rPr>
        <w:t>: 1282-1289 [PMID: 27334310 DOI: 10.1177/0883073816653782]</w:t>
      </w:r>
    </w:p>
    <w:p w14:paraId="29FD68D0"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lastRenderedPageBreak/>
        <w:t xml:space="preserve">21 </w:t>
      </w:r>
      <w:proofErr w:type="spellStart"/>
      <w:r w:rsidRPr="00BF26F2">
        <w:rPr>
          <w:rFonts w:ascii="Book Antiqua" w:eastAsia="Book Antiqua" w:hAnsi="Book Antiqua" w:cs="Book Antiqua"/>
          <w:b/>
          <w:bCs/>
        </w:rPr>
        <w:t>Güngör</w:t>
      </w:r>
      <w:proofErr w:type="spellEnd"/>
      <w:r w:rsidRPr="00BF26F2">
        <w:rPr>
          <w:rFonts w:ascii="Book Antiqua" w:eastAsia="Book Antiqua" w:hAnsi="Book Antiqua" w:cs="Book Antiqua"/>
          <w:b/>
          <w:bCs/>
        </w:rPr>
        <w:t xml:space="preserve"> S</w:t>
      </w:r>
      <w:r w:rsidRPr="00BF26F2">
        <w:rPr>
          <w:rFonts w:ascii="Book Antiqua" w:eastAsia="Book Antiqua" w:hAnsi="Book Antiqua" w:cs="Book Antiqua"/>
        </w:rPr>
        <w:t xml:space="preserve">, </w:t>
      </w:r>
      <w:proofErr w:type="spellStart"/>
      <w:r w:rsidRPr="00BF26F2">
        <w:rPr>
          <w:rFonts w:ascii="Book Antiqua" w:eastAsia="Book Antiqua" w:hAnsi="Book Antiqua" w:cs="Book Antiqua"/>
        </w:rPr>
        <w:t>CeliloÄŸlu</w:t>
      </w:r>
      <w:proofErr w:type="spellEnd"/>
      <w:r w:rsidRPr="00BF26F2">
        <w:rPr>
          <w:rFonts w:ascii="Book Antiqua" w:eastAsia="Book Antiqua" w:hAnsi="Book Antiqua" w:cs="Book Antiqua"/>
        </w:rPr>
        <w:t xml:space="preserve"> OS, </w:t>
      </w:r>
      <w:proofErr w:type="spellStart"/>
      <w:r w:rsidRPr="00BF26F2">
        <w:rPr>
          <w:rFonts w:ascii="Book Antiqua" w:eastAsia="Book Antiqua" w:hAnsi="Book Antiqua" w:cs="Book Antiqua"/>
        </w:rPr>
        <w:t>Ozcan</w:t>
      </w:r>
      <w:proofErr w:type="spellEnd"/>
      <w:r w:rsidRPr="00BF26F2">
        <w:rPr>
          <w:rFonts w:ascii="Book Antiqua" w:eastAsia="Book Antiqua" w:hAnsi="Book Antiqua" w:cs="Book Antiqua"/>
        </w:rPr>
        <w:t xml:space="preserve"> OO, </w:t>
      </w:r>
      <w:proofErr w:type="spellStart"/>
      <w:r w:rsidRPr="00BF26F2">
        <w:rPr>
          <w:rFonts w:ascii="Book Antiqua" w:eastAsia="Book Antiqua" w:hAnsi="Book Antiqua" w:cs="Book Antiqua"/>
        </w:rPr>
        <w:t>Raif</w:t>
      </w:r>
      <w:proofErr w:type="spellEnd"/>
      <w:r w:rsidRPr="00BF26F2">
        <w:rPr>
          <w:rFonts w:ascii="Book Antiqua" w:eastAsia="Book Antiqua" w:hAnsi="Book Antiqua" w:cs="Book Antiqua"/>
        </w:rPr>
        <w:t xml:space="preserve"> SG, </w:t>
      </w:r>
      <w:proofErr w:type="spellStart"/>
      <w:r w:rsidRPr="00BF26F2">
        <w:rPr>
          <w:rFonts w:ascii="Book Antiqua" w:eastAsia="Book Antiqua" w:hAnsi="Book Antiqua" w:cs="Book Antiqua"/>
        </w:rPr>
        <w:t>SelimoÄŸlu</w:t>
      </w:r>
      <w:proofErr w:type="spellEnd"/>
      <w:r w:rsidRPr="00BF26F2">
        <w:rPr>
          <w:rFonts w:ascii="Book Antiqua" w:eastAsia="Book Antiqua" w:hAnsi="Book Antiqua" w:cs="Book Antiqua"/>
        </w:rPr>
        <w:t xml:space="preserve"> MA. Frequency of celiac disease in attention-deficit/hyperactivity disorder. </w:t>
      </w:r>
      <w:r w:rsidRPr="00BF26F2">
        <w:rPr>
          <w:rFonts w:ascii="Book Antiqua" w:eastAsia="Book Antiqua" w:hAnsi="Book Antiqua" w:cs="Book Antiqua"/>
          <w:i/>
          <w:iCs/>
        </w:rPr>
        <w:t xml:space="preserve">J </w:t>
      </w:r>
      <w:proofErr w:type="spellStart"/>
      <w:r w:rsidRPr="00BF26F2">
        <w:rPr>
          <w:rFonts w:ascii="Book Antiqua" w:eastAsia="Book Antiqua" w:hAnsi="Book Antiqua" w:cs="Book Antiqua"/>
          <w:i/>
          <w:iCs/>
        </w:rPr>
        <w:t>Pediatr</w:t>
      </w:r>
      <w:proofErr w:type="spellEnd"/>
      <w:r w:rsidRPr="00BF26F2">
        <w:rPr>
          <w:rFonts w:ascii="Book Antiqua" w:eastAsia="Book Antiqua" w:hAnsi="Book Antiqua" w:cs="Book Antiqua"/>
          <w:i/>
          <w:iCs/>
        </w:rPr>
        <w:t xml:space="preserve"> Gastroenterol </w:t>
      </w:r>
      <w:proofErr w:type="spellStart"/>
      <w:r w:rsidRPr="00BF26F2">
        <w:rPr>
          <w:rFonts w:ascii="Book Antiqua" w:eastAsia="Book Antiqua" w:hAnsi="Book Antiqua" w:cs="Book Antiqua"/>
          <w:i/>
          <w:iCs/>
        </w:rPr>
        <w:t>Nutr</w:t>
      </w:r>
      <w:proofErr w:type="spellEnd"/>
      <w:r w:rsidRPr="00BF26F2">
        <w:rPr>
          <w:rFonts w:ascii="Book Antiqua" w:eastAsia="Book Antiqua" w:hAnsi="Book Antiqua" w:cs="Book Antiqua"/>
        </w:rPr>
        <w:t xml:space="preserve"> 2013; </w:t>
      </w:r>
      <w:r w:rsidRPr="00BF26F2">
        <w:rPr>
          <w:rFonts w:ascii="Book Antiqua" w:eastAsia="Book Antiqua" w:hAnsi="Book Antiqua" w:cs="Book Antiqua"/>
          <w:b/>
          <w:bCs/>
        </w:rPr>
        <w:t>56</w:t>
      </w:r>
      <w:r w:rsidRPr="00BF26F2">
        <w:rPr>
          <w:rFonts w:ascii="Book Antiqua" w:eastAsia="Book Antiqua" w:hAnsi="Book Antiqua" w:cs="Book Antiqua"/>
        </w:rPr>
        <w:t>: 211-214 [PMID: 22983377 DOI: 10.1097/MPG.0b013e318272b7bc]</w:t>
      </w:r>
    </w:p>
    <w:p w14:paraId="79AAC588"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22 </w:t>
      </w:r>
      <w:proofErr w:type="spellStart"/>
      <w:r w:rsidRPr="00BF26F2">
        <w:rPr>
          <w:rFonts w:ascii="Book Antiqua" w:eastAsia="Book Antiqua" w:hAnsi="Book Antiqua" w:cs="Book Antiqua"/>
          <w:b/>
          <w:bCs/>
        </w:rPr>
        <w:t>Almog</w:t>
      </w:r>
      <w:proofErr w:type="spellEnd"/>
      <w:r w:rsidRPr="00BF26F2">
        <w:rPr>
          <w:rFonts w:ascii="Book Antiqua" w:eastAsia="Book Antiqua" w:hAnsi="Book Antiqua" w:cs="Book Antiqua"/>
          <w:b/>
          <w:bCs/>
        </w:rPr>
        <w:t xml:space="preserve"> M</w:t>
      </w:r>
      <w:r w:rsidRPr="00BF26F2">
        <w:rPr>
          <w:rFonts w:ascii="Book Antiqua" w:eastAsia="Book Antiqua" w:hAnsi="Book Antiqua" w:cs="Book Antiqua"/>
        </w:rPr>
        <w:t xml:space="preserve">, </w:t>
      </w:r>
      <w:proofErr w:type="spellStart"/>
      <w:r w:rsidRPr="00BF26F2">
        <w:rPr>
          <w:rFonts w:ascii="Book Antiqua" w:eastAsia="Book Antiqua" w:hAnsi="Book Antiqua" w:cs="Book Antiqua"/>
        </w:rPr>
        <w:t>Gabis</w:t>
      </w:r>
      <w:proofErr w:type="spellEnd"/>
      <w:r w:rsidRPr="00BF26F2">
        <w:rPr>
          <w:rFonts w:ascii="Book Antiqua" w:eastAsia="Book Antiqua" w:hAnsi="Book Antiqua" w:cs="Book Antiqua"/>
        </w:rPr>
        <w:t xml:space="preserve"> LV, </w:t>
      </w:r>
      <w:proofErr w:type="spellStart"/>
      <w:r w:rsidRPr="00BF26F2">
        <w:rPr>
          <w:rFonts w:ascii="Book Antiqua" w:eastAsia="Book Antiqua" w:hAnsi="Book Antiqua" w:cs="Book Antiqua"/>
        </w:rPr>
        <w:t>Shefer</w:t>
      </w:r>
      <w:proofErr w:type="spellEnd"/>
      <w:r w:rsidRPr="00BF26F2">
        <w:rPr>
          <w:rFonts w:ascii="Book Antiqua" w:eastAsia="Book Antiqua" w:hAnsi="Book Antiqua" w:cs="Book Antiqua"/>
        </w:rPr>
        <w:t xml:space="preserve"> S, </w:t>
      </w:r>
      <w:proofErr w:type="spellStart"/>
      <w:r w:rsidRPr="00BF26F2">
        <w:rPr>
          <w:rFonts w:ascii="Book Antiqua" w:eastAsia="Book Antiqua" w:hAnsi="Book Antiqua" w:cs="Book Antiqua"/>
        </w:rPr>
        <w:t>Bujanover</w:t>
      </w:r>
      <w:proofErr w:type="spellEnd"/>
      <w:r w:rsidRPr="00BF26F2">
        <w:rPr>
          <w:rFonts w:ascii="Book Antiqua" w:eastAsia="Book Antiqua" w:hAnsi="Book Antiqua" w:cs="Book Antiqua"/>
        </w:rPr>
        <w:t xml:space="preserve"> Y. [Gastrointestinal symptoms in pediatric patients with attention deficit and hyperactivity disorders]. </w:t>
      </w:r>
      <w:proofErr w:type="spellStart"/>
      <w:r w:rsidRPr="00BF26F2">
        <w:rPr>
          <w:rFonts w:ascii="Book Antiqua" w:eastAsia="Book Antiqua" w:hAnsi="Book Antiqua" w:cs="Book Antiqua"/>
          <w:i/>
          <w:iCs/>
        </w:rPr>
        <w:t>Harefuah</w:t>
      </w:r>
      <w:proofErr w:type="spellEnd"/>
      <w:r w:rsidRPr="00BF26F2">
        <w:rPr>
          <w:rFonts w:ascii="Book Antiqua" w:eastAsia="Book Antiqua" w:hAnsi="Book Antiqua" w:cs="Book Antiqua"/>
        </w:rPr>
        <w:t xml:space="preserve"> 2010; </w:t>
      </w:r>
      <w:r w:rsidRPr="00BF26F2">
        <w:rPr>
          <w:rFonts w:ascii="Book Antiqua" w:eastAsia="Book Antiqua" w:hAnsi="Book Antiqua" w:cs="Book Antiqua"/>
          <w:b/>
          <w:bCs/>
        </w:rPr>
        <w:t>149</w:t>
      </w:r>
      <w:r w:rsidRPr="00BF26F2">
        <w:rPr>
          <w:rFonts w:ascii="Book Antiqua" w:eastAsia="Book Antiqua" w:hAnsi="Book Antiqua" w:cs="Book Antiqua"/>
        </w:rPr>
        <w:t>: 33-36, 62 [PMID: 20422838]</w:t>
      </w:r>
    </w:p>
    <w:p w14:paraId="2768E7AC"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23 </w:t>
      </w:r>
      <w:proofErr w:type="spellStart"/>
      <w:r w:rsidRPr="00BF26F2">
        <w:rPr>
          <w:rFonts w:ascii="Book Antiqua" w:eastAsia="Book Antiqua" w:hAnsi="Book Antiqua" w:cs="Book Antiqua"/>
          <w:b/>
          <w:bCs/>
        </w:rPr>
        <w:t>Schieve</w:t>
      </w:r>
      <w:proofErr w:type="spellEnd"/>
      <w:r w:rsidRPr="00BF26F2">
        <w:rPr>
          <w:rFonts w:ascii="Book Antiqua" w:eastAsia="Book Antiqua" w:hAnsi="Book Antiqua" w:cs="Book Antiqua"/>
          <w:b/>
          <w:bCs/>
        </w:rPr>
        <w:t xml:space="preserve"> LA</w:t>
      </w:r>
      <w:r w:rsidRPr="00BF26F2">
        <w:rPr>
          <w:rFonts w:ascii="Book Antiqua" w:eastAsia="Book Antiqua" w:hAnsi="Book Antiqua" w:cs="Book Antiqua"/>
        </w:rPr>
        <w:t xml:space="preserve">, Gonzalez V, Boulet SL, Visser SN, Rice CE, Van </w:t>
      </w:r>
      <w:proofErr w:type="spellStart"/>
      <w:r w:rsidRPr="00BF26F2">
        <w:rPr>
          <w:rFonts w:ascii="Book Antiqua" w:eastAsia="Book Antiqua" w:hAnsi="Book Antiqua" w:cs="Book Antiqua"/>
        </w:rPr>
        <w:t>Naarden</w:t>
      </w:r>
      <w:proofErr w:type="spellEnd"/>
      <w:r w:rsidRPr="00BF26F2">
        <w:rPr>
          <w:rFonts w:ascii="Book Antiqua" w:eastAsia="Book Antiqua" w:hAnsi="Book Antiqua" w:cs="Book Antiqua"/>
        </w:rPr>
        <w:t xml:space="preserve"> Braun K, Boyle CA. Concurrent medical conditions and health care use and needs among children with learning and behavioral developmental disabilities, National Health Interview Survey, 2006-2010. </w:t>
      </w:r>
      <w:r w:rsidRPr="00BF26F2">
        <w:rPr>
          <w:rFonts w:ascii="Book Antiqua" w:eastAsia="Book Antiqua" w:hAnsi="Book Antiqua" w:cs="Book Antiqua"/>
          <w:i/>
          <w:iCs/>
        </w:rPr>
        <w:t xml:space="preserve">Res Dev </w:t>
      </w:r>
      <w:proofErr w:type="spellStart"/>
      <w:r w:rsidRPr="00BF26F2">
        <w:rPr>
          <w:rFonts w:ascii="Book Antiqua" w:eastAsia="Book Antiqua" w:hAnsi="Book Antiqua" w:cs="Book Antiqua"/>
          <w:i/>
          <w:iCs/>
        </w:rPr>
        <w:t>Disabil</w:t>
      </w:r>
      <w:proofErr w:type="spellEnd"/>
      <w:r w:rsidRPr="00BF26F2">
        <w:rPr>
          <w:rFonts w:ascii="Book Antiqua" w:eastAsia="Book Antiqua" w:hAnsi="Book Antiqua" w:cs="Book Antiqua"/>
        </w:rPr>
        <w:t xml:space="preserve"> 2012; </w:t>
      </w:r>
      <w:r w:rsidRPr="00BF26F2">
        <w:rPr>
          <w:rFonts w:ascii="Book Antiqua" w:eastAsia="Book Antiqua" w:hAnsi="Book Antiqua" w:cs="Book Antiqua"/>
          <w:b/>
          <w:bCs/>
        </w:rPr>
        <w:t>33</w:t>
      </w:r>
      <w:r w:rsidRPr="00BF26F2">
        <w:rPr>
          <w:rFonts w:ascii="Book Antiqua" w:eastAsia="Book Antiqua" w:hAnsi="Book Antiqua" w:cs="Book Antiqua"/>
        </w:rPr>
        <w:t>: 467-476 [PMID: 22119694 DOI: 10.1016/j.ridd.2011.10.008]</w:t>
      </w:r>
    </w:p>
    <w:p w14:paraId="7E8C6F4C"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24 </w:t>
      </w:r>
      <w:proofErr w:type="spellStart"/>
      <w:r w:rsidRPr="00BF26F2">
        <w:rPr>
          <w:rFonts w:ascii="Book Antiqua" w:eastAsia="Book Antiqua" w:hAnsi="Book Antiqua" w:cs="Book Antiqua"/>
          <w:b/>
          <w:bCs/>
        </w:rPr>
        <w:t>Sobanski</w:t>
      </w:r>
      <w:proofErr w:type="spellEnd"/>
      <w:r w:rsidRPr="00BF26F2">
        <w:rPr>
          <w:rFonts w:ascii="Book Antiqua" w:eastAsia="Book Antiqua" w:hAnsi="Book Antiqua" w:cs="Book Antiqua"/>
          <w:b/>
          <w:bCs/>
        </w:rPr>
        <w:t xml:space="preserve"> E</w:t>
      </w:r>
      <w:r w:rsidRPr="00BF26F2">
        <w:rPr>
          <w:rFonts w:ascii="Book Antiqua" w:eastAsia="Book Antiqua" w:hAnsi="Book Antiqua" w:cs="Book Antiqua"/>
        </w:rPr>
        <w:t xml:space="preserve">, </w:t>
      </w:r>
      <w:proofErr w:type="spellStart"/>
      <w:r w:rsidRPr="00BF26F2">
        <w:rPr>
          <w:rFonts w:ascii="Book Antiqua" w:eastAsia="Book Antiqua" w:hAnsi="Book Antiqua" w:cs="Book Antiqua"/>
        </w:rPr>
        <w:t>Brüggemann</w:t>
      </w:r>
      <w:proofErr w:type="spellEnd"/>
      <w:r w:rsidRPr="00BF26F2">
        <w:rPr>
          <w:rFonts w:ascii="Book Antiqua" w:eastAsia="Book Antiqua" w:hAnsi="Book Antiqua" w:cs="Book Antiqua"/>
        </w:rPr>
        <w:t xml:space="preserve"> D, </w:t>
      </w:r>
      <w:proofErr w:type="spellStart"/>
      <w:r w:rsidRPr="00BF26F2">
        <w:rPr>
          <w:rFonts w:ascii="Book Antiqua" w:eastAsia="Book Antiqua" w:hAnsi="Book Antiqua" w:cs="Book Antiqua"/>
        </w:rPr>
        <w:t>Alm</w:t>
      </w:r>
      <w:proofErr w:type="spellEnd"/>
      <w:r w:rsidRPr="00BF26F2">
        <w:rPr>
          <w:rFonts w:ascii="Book Antiqua" w:eastAsia="Book Antiqua" w:hAnsi="Book Antiqua" w:cs="Book Antiqua"/>
        </w:rPr>
        <w:t xml:space="preserve"> B, Kern S, </w:t>
      </w:r>
      <w:proofErr w:type="spellStart"/>
      <w:r w:rsidRPr="00BF26F2">
        <w:rPr>
          <w:rFonts w:ascii="Book Antiqua" w:eastAsia="Book Antiqua" w:hAnsi="Book Antiqua" w:cs="Book Antiqua"/>
        </w:rPr>
        <w:t>Deschner</w:t>
      </w:r>
      <w:proofErr w:type="spellEnd"/>
      <w:r w:rsidRPr="00BF26F2">
        <w:rPr>
          <w:rFonts w:ascii="Book Antiqua" w:eastAsia="Book Antiqua" w:hAnsi="Book Antiqua" w:cs="Book Antiqua"/>
        </w:rPr>
        <w:t xml:space="preserve"> M, Schubert T, </w:t>
      </w:r>
      <w:proofErr w:type="spellStart"/>
      <w:r w:rsidRPr="00BF26F2">
        <w:rPr>
          <w:rFonts w:ascii="Book Antiqua" w:eastAsia="Book Antiqua" w:hAnsi="Book Antiqua" w:cs="Book Antiqua"/>
        </w:rPr>
        <w:t>Philipsen</w:t>
      </w:r>
      <w:proofErr w:type="spellEnd"/>
      <w:r w:rsidRPr="00BF26F2">
        <w:rPr>
          <w:rFonts w:ascii="Book Antiqua" w:eastAsia="Book Antiqua" w:hAnsi="Book Antiqua" w:cs="Book Antiqua"/>
        </w:rPr>
        <w:t xml:space="preserve"> A, </w:t>
      </w:r>
      <w:proofErr w:type="spellStart"/>
      <w:r w:rsidRPr="00BF26F2">
        <w:rPr>
          <w:rFonts w:ascii="Book Antiqua" w:eastAsia="Book Antiqua" w:hAnsi="Book Antiqua" w:cs="Book Antiqua"/>
        </w:rPr>
        <w:t>Rietschel</w:t>
      </w:r>
      <w:proofErr w:type="spellEnd"/>
      <w:r w:rsidRPr="00BF26F2">
        <w:rPr>
          <w:rFonts w:ascii="Book Antiqua" w:eastAsia="Book Antiqua" w:hAnsi="Book Antiqua" w:cs="Book Antiqua"/>
        </w:rPr>
        <w:t xml:space="preserve"> M. Psychiatric comorbidity and functional impairment in a clinically referred sample of adults with attention-deficit/hyperactivity disorder (ADHD). </w:t>
      </w:r>
      <w:r w:rsidRPr="00BF26F2">
        <w:rPr>
          <w:rFonts w:ascii="Book Antiqua" w:eastAsia="Book Antiqua" w:hAnsi="Book Antiqua" w:cs="Book Antiqua"/>
          <w:i/>
          <w:iCs/>
        </w:rPr>
        <w:t xml:space="preserve">Eur Arch Psychiatry Clin </w:t>
      </w:r>
      <w:proofErr w:type="spellStart"/>
      <w:r w:rsidRPr="00BF26F2">
        <w:rPr>
          <w:rFonts w:ascii="Book Antiqua" w:eastAsia="Book Antiqua" w:hAnsi="Book Antiqua" w:cs="Book Antiqua"/>
          <w:i/>
          <w:iCs/>
        </w:rPr>
        <w:t>Neurosci</w:t>
      </w:r>
      <w:proofErr w:type="spellEnd"/>
      <w:r w:rsidRPr="00BF26F2">
        <w:rPr>
          <w:rFonts w:ascii="Book Antiqua" w:eastAsia="Book Antiqua" w:hAnsi="Book Antiqua" w:cs="Book Antiqua"/>
        </w:rPr>
        <w:t xml:space="preserve"> 2007; </w:t>
      </w:r>
      <w:r w:rsidRPr="00BF26F2">
        <w:rPr>
          <w:rFonts w:ascii="Book Antiqua" w:eastAsia="Book Antiqua" w:hAnsi="Book Antiqua" w:cs="Book Antiqua"/>
          <w:b/>
          <w:bCs/>
        </w:rPr>
        <w:t>257</w:t>
      </w:r>
      <w:r w:rsidRPr="00BF26F2">
        <w:rPr>
          <w:rFonts w:ascii="Book Antiqua" w:eastAsia="Book Antiqua" w:hAnsi="Book Antiqua" w:cs="Book Antiqua"/>
        </w:rPr>
        <w:t>: 371-377 [PMID: 17902010 DOI: 10.1007/s00406-007-0712-8]</w:t>
      </w:r>
    </w:p>
    <w:p w14:paraId="6C96B131" w14:textId="09E5B1A0"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25 </w:t>
      </w:r>
      <w:proofErr w:type="spellStart"/>
      <w:r w:rsidRPr="00BF26F2">
        <w:rPr>
          <w:rFonts w:ascii="Book Antiqua" w:eastAsia="Book Antiqua" w:hAnsi="Book Antiqua" w:cs="Book Antiqua"/>
          <w:b/>
          <w:bCs/>
        </w:rPr>
        <w:t>Hodgkins</w:t>
      </w:r>
      <w:proofErr w:type="spellEnd"/>
      <w:r w:rsidRPr="00BF26F2">
        <w:rPr>
          <w:rFonts w:ascii="Book Antiqua" w:eastAsia="Book Antiqua" w:hAnsi="Book Antiqua" w:cs="Book Antiqua"/>
          <w:b/>
          <w:bCs/>
        </w:rPr>
        <w:t xml:space="preserve"> P</w:t>
      </w:r>
      <w:r w:rsidRPr="00BF26F2">
        <w:rPr>
          <w:rFonts w:ascii="Book Antiqua" w:eastAsia="Book Antiqua" w:hAnsi="Book Antiqua" w:cs="Book Antiqua"/>
        </w:rPr>
        <w:t xml:space="preserve">, </w:t>
      </w:r>
      <w:proofErr w:type="spellStart"/>
      <w:r w:rsidRPr="00BF26F2">
        <w:rPr>
          <w:rFonts w:ascii="Book Antiqua" w:eastAsia="Book Antiqua" w:hAnsi="Book Antiqua" w:cs="Book Antiqua"/>
        </w:rPr>
        <w:t>Montejano</w:t>
      </w:r>
      <w:proofErr w:type="spellEnd"/>
      <w:r w:rsidRPr="00BF26F2">
        <w:rPr>
          <w:rFonts w:ascii="Book Antiqua" w:eastAsia="Book Antiqua" w:hAnsi="Book Antiqua" w:cs="Book Antiqua"/>
        </w:rPr>
        <w:t xml:space="preserve"> L, </w:t>
      </w:r>
      <w:proofErr w:type="spellStart"/>
      <w:r w:rsidRPr="00BF26F2">
        <w:rPr>
          <w:rFonts w:ascii="Book Antiqua" w:eastAsia="Book Antiqua" w:hAnsi="Book Antiqua" w:cs="Book Antiqua"/>
        </w:rPr>
        <w:t>Sasané</w:t>
      </w:r>
      <w:proofErr w:type="spellEnd"/>
      <w:r w:rsidRPr="00BF26F2">
        <w:rPr>
          <w:rFonts w:ascii="Book Antiqua" w:eastAsia="Book Antiqua" w:hAnsi="Book Antiqua" w:cs="Book Antiqua"/>
        </w:rPr>
        <w:t xml:space="preserve"> R, </w:t>
      </w:r>
      <w:proofErr w:type="spellStart"/>
      <w:r w:rsidRPr="00BF26F2">
        <w:rPr>
          <w:rFonts w:ascii="Book Antiqua" w:eastAsia="Book Antiqua" w:hAnsi="Book Antiqua" w:cs="Book Antiqua"/>
        </w:rPr>
        <w:t>Huse</w:t>
      </w:r>
      <w:proofErr w:type="spellEnd"/>
      <w:r w:rsidRPr="00BF26F2">
        <w:rPr>
          <w:rFonts w:ascii="Book Antiqua" w:eastAsia="Book Antiqua" w:hAnsi="Book Antiqua" w:cs="Book Antiqua"/>
        </w:rPr>
        <w:t xml:space="preserve"> D. Cost of illness and comorbidities in adults diagnosed with attention-deficit/hyperactivity disorder: a retrospective analysis. </w:t>
      </w:r>
      <w:r w:rsidRPr="00BF26F2">
        <w:rPr>
          <w:rFonts w:ascii="Book Antiqua" w:eastAsia="Book Antiqua" w:hAnsi="Book Antiqua" w:cs="Book Antiqua"/>
          <w:i/>
          <w:iCs/>
        </w:rPr>
        <w:t xml:space="preserve">Prim Care Companion CNS </w:t>
      </w:r>
      <w:proofErr w:type="spellStart"/>
      <w:r w:rsidRPr="00BF26F2">
        <w:rPr>
          <w:rFonts w:ascii="Book Antiqua" w:eastAsia="Book Antiqua" w:hAnsi="Book Antiqua" w:cs="Book Antiqua"/>
          <w:i/>
          <w:iCs/>
        </w:rPr>
        <w:t>Disord</w:t>
      </w:r>
      <w:proofErr w:type="spellEnd"/>
      <w:r w:rsidRPr="00BF26F2">
        <w:rPr>
          <w:rFonts w:ascii="Book Antiqua" w:eastAsia="Book Antiqua" w:hAnsi="Book Antiqua" w:cs="Book Antiqua"/>
        </w:rPr>
        <w:t xml:space="preserve"> 2011; </w:t>
      </w:r>
      <w:r w:rsidRPr="00BF26F2">
        <w:rPr>
          <w:rFonts w:ascii="Book Antiqua" w:eastAsia="Book Antiqua" w:hAnsi="Book Antiqua" w:cs="Book Antiqua"/>
          <w:b/>
          <w:bCs/>
        </w:rPr>
        <w:t>13</w:t>
      </w:r>
      <w:r w:rsidRPr="00BF26F2">
        <w:rPr>
          <w:rFonts w:ascii="Book Antiqua" w:eastAsia="Book Antiqua" w:hAnsi="Book Antiqua" w:cs="Book Antiqua"/>
        </w:rPr>
        <w:t xml:space="preserve">: </w:t>
      </w:r>
      <w:r w:rsidR="00D66D3A" w:rsidRPr="00BF26F2">
        <w:rPr>
          <w:rFonts w:ascii="Book Antiqua" w:eastAsia="Book Antiqua" w:hAnsi="Book Antiqua" w:cs="Book Antiqua"/>
        </w:rPr>
        <w:t xml:space="preserve">PCC.10m01030 </w:t>
      </w:r>
      <w:r w:rsidRPr="00BF26F2">
        <w:rPr>
          <w:rFonts w:ascii="Book Antiqua" w:eastAsia="Book Antiqua" w:hAnsi="Book Antiqua" w:cs="Book Antiqua"/>
        </w:rPr>
        <w:t>[PMID: 21977356 DOI: 10.4088/PCC.10m01030]</w:t>
      </w:r>
    </w:p>
    <w:p w14:paraId="6C1884EE"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26 </w:t>
      </w:r>
      <w:r w:rsidRPr="00BF26F2">
        <w:rPr>
          <w:rFonts w:ascii="Book Antiqua" w:eastAsia="Book Antiqua" w:hAnsi="Book Antiqua" w:cs="Book Antiqua"/>
          <w:b/>
          <w:bCs/>
        </w:rPr>
        <w:t>Duel BP</w:t>
      </w:r>
      <w:r w:rsidRPr="00BF26F2">
        <w:rPr>
          <w:rFonts w:ascii="Book Antiqua" w:eastAsia="Book Antiqua" w:hAnsi="Book Antiqua" w:cs="Book Antiqua"/>
        </w:rPr>
        <w:t xml:space="preserve">, Steinberg-Epstein R, Hill M, Lerner M. A survey of voiding dysfunction in children with attention deficit-hyperactivity disorder. </w:t>
      </w:r>
      <w:r w:rsidRPr="00BF26F2">
        <w:rPr>
          <w:rFonts w:ascii="Book Antiqua" w:eastAsia="Book Antiqua" w:hAnsi="Book Antiqua" w:cs="Book Antiqua"/>
          <w:i/>
          <w:iCs/>
        </w:rPr>
        <w:t xml:space="preserve">J </w:t>
      </w:r>
      <w:proofErr w:type="spellStart"/>
      <w:r w:rsidRPr="00BF26F2">
        <w:rPr>
          <w:rFonts w:ascii="Book Antiqua" w:eastAsia="Book Antiqua" w:hAnsi="Book Antiqua" w:cs="Book Antiqua"/>
          <w:i/>
          <w:iCs/>
        </w:rPr>
        <w:t>Urol</w:t>
      </w:r>
      <w:proofErr w:type="spellEnd"/>
      <w:r w:rsidRPr="00BF26F2">
        <w:rPr>
          <w:rFonts w:ascii="Book Antiqua" w:eastAsia="Book Antiqua" w:hAnsi="Book Antiqua" w:cs="Book Antiqua"/>
        </w:rPr>
        <w:t xml:space="preserve"> 2003; </w:t>
      </w:r>
      <w:r w:rsidRPr="00BF26F2">
        <w:rPr>
          <w:rFonts w:ascii="Book Antiqua" w:eastAsia="Book Antiqua" w:hAnsi="Book Antiqua" w:cs="Book Antiqua"/>
          <w:b/>
          <w:bCs/>
        </w:rPr>
        <w:t>170</w:t>
      </w:r>
      <w:r w:rsidRPr="00BF26F2">
        <w:rPr>
          <w:rFonts w:ascii="Book Antiqua" w:eastAsia="Book Antiqua" w:hAnsi="Book Antiqua" w:cs="Book Antiqua"/>
        </w:rPr>
        <w:t>: 1521-3; discussion 1523-4 [PMID: 14501650 DOI: 10.1097/01.ju.0000091219.46560.7b]</w:t>
      </w:r>
    </w:p>
    <w:p w14:paraId="03B0A077"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27 </w:t>
      </w:r>
      <w:r w:rsidRPr="00BF26F2">
        <w:rPr>
          <w:rFonts w:ascii="Book Antiqua" w:eastAsia="Book Antiqua" w:hAnsi="Book Antiqua" w:cs="Book Antiqua"/>
          <w:b/>
          <w:bCs/>
        </w:rPr>
        <w:t>Katzman MA</w:t>
      </w:r>
      <w:r w:rsidRPr="00BF26F2">
        <w:rPr>
          <w:rFonts w:ascii="Book Antiqua" w:eastAsia="Book Antiqua" w:hAnsi="Book Antiqua" w:cs="Book Antiqua"/>
        </w:rPr>
        <w:t xml:space="preserve">, </w:t>
      </w:r>
      <w:proofErr w:type="spellStart"/>
      <w:r w:rsidRPr="00BF26F2">
        <w:rPr>
          <w:rFonts w:ascii="Book Antiqua" w:eastAsia="Book Antiqua" w:hAnsi="Book Antiqua" w:cs="Book Antiqua"/>
        </w:rPr>
        <w:t>Bilkey</w:t>
      </w:r>
      <w:proofErr w:type="spellEnd"/>
      <w:r w:rsidRPr="00BF26F2">
        <w:rPr>
          <w:rFonts w:ascii="Book Antiqua" w:eastAsia="Book Antiqua" w:hAnsi="Book Antiqua" w:cs="Book Antiqua"/>
        </w:rPr>
        <w:t xml:space="preserve"> TS, </w:t>
      </w:r>
      <w:proofErr w:type="spellStart"/>
      <w:r w:rsidRPr="00BF26F2">
        <w:rPr>
          <w:rFonts w:ascii="Book Antiqua" w:eastAsia="Book Antiqua" w:hAnsi="Book Antiqua" w:cs="Book Antiqua"/>
        </w:rPr>
        <w:t>Chokka</w:t>
      </w:r>
      <w:proofErr w:type="spellEnd"/>
      <w:r w:rsidRPr="00BF26F2">
        <w:rPr>
          <w:rFonts w:ascii="Book Antiqua" w:eastAsia="Book Antiqua" w:hAnsi="Book Antiqua" w:cs="Book Antiqua"/>
        </w:rPr>
        <w:t xml:space="preserve"> PR, </w:t>
      </w:r>
      <w:proofErr w:type="spellStart"/>
      <w:r w:rsidRPr="00BF26F2">
        <w:rPr>
          <w:rFonts w:ascii="Book Antiqua" w:eastAsia="Book Antiqua" w:hAnsi="Book Antiqua" w:cs="Book Antiqua"/>
        </w:rPr>
        <w:t>Fallu</w:t>
      </w:r>
      <w:proofErr w:type="spellEnd"/>
      <w:r w:rsidRPr="00BF26F2">
        <w:rPr>
          <w:rFonts w:ascii="Book Antiqua" w:eastAsia="Book Antiqua" w:hAnsi="Book Antiqua" w:cs="Book Antiqua"/>
        </w:rPr>
        <w:t xml:space="preserve"> A, Klassen LJ. Adult ADHD and comorbid disorders: clinical implications of a dimensional approach. </w:t>
      </w:r>
      <w:r w:rsidRPr="00BF26F2">
        <w:rPr>
          <w:rFonts w:ascii="Book Antiqua" w:eastAsia="Book Antiqua" w:hAnsi="Book Antiqua" w:cs="Book Antiqua"/>
          <w:i/>
          <w:iCs/>
        </w:rPr>
        <w:t>BMC Psychiatry</w:t>
      </w:r>
      <w:r w:rsidRPr="00BF26F2">
        <w:rPr>
          <w:rFonts w:ascii="Book Antiqua" w:eastAsia="Book Antiqua" w:hAnsi="Book Antiqua" w:cs="Book Antiqua"/>
        </w:rPr>
        <w:t xml:space="preserve"> 2017; </w:t>
      </w:r>
      <w:r w:rsidRPr="00BF26F2">
        <w:rPr>
          <w:rFonts w:ascii="Book Antiqua" w:eastAsia="Book Antiqua" w:hAnsi="Book Antiqua" w:cs="Book Antiqua"/>
          <w:b/>
          <w:bCs/>
        </w:rPr>
        <w:t>17</w:t>
      </w:r>
      <w:r w:rsidRPr="00BF26F2">
        <w:rPr>
          <w:rFonts w:ascii="Book Antiqua" w:eastAsia="Book Antiqua" w:hAnsi="Book Antiqua" w:cs="Book Antiqua"/>
        </w:rPr>
        <w:t>: 302 [PMID: 28830387 DOI: 10.1186/s12888-017-1463-3]</w:t>
      </w:r>
    </w:p>
    <w:p w14:paraId="2A08AE67"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28 </w:t>
      </w:r>
      <w:proofErr w:type="spellStart"/>
      <w:r w:rsidRPr="00BF26F2">
        <w:rPr>
          <w:rFonts w:ascii="Book Antiqua" w:eastAsia="Book Antiqua" w:hAnsi="Book Antiqua" w:cs="Book Antiqua"/>
          <w:b/>
          <w:bCs/>
        </w:rPr>
        <w:t>Mathee</w:t>
      </w:r>
      <w:proofErr w:type="spellEnd"/>
      <w:r w:rsidRPr="00BF26F2">
        <w:rPr>
          <w:rFonts w:ascii="Book Antiqua" w:eastAsia="Book Antiqua" w:hAnsi="Book Antiqua" w:cs="Book Antiqua"/>
          <w:b/>
          <w:bCs/>
        </w:rPr>
        <w:t xml:space="preserve"> K</w:t>
      </w:r>
      <w:r w:rsidRPr="00BF26F2">
        <w:rPr>
          <w:rFonts w:ascii="Book Antiqua" w:eastAsia="Book Antiqua" w:hAnsi="Book Antiqua" w:cs="Book Antiqua"/>
        </w:rPr>
        <w:t xml:space="preserve">, </w:t>
      </w:r>
      <w:proofErr w:type="spellStart"/>
      <w:r w:rsidRPr="00BF26F2">
        <w:rPr>
          <w:rFonts w:ascii="Book Antiqua" w:eastAsia="Book Antiqua" w:hAnsi="Book Antiqua" w:cs="Book Antiqua"/>
        </w:rPr>
        <w:t>Cickovski</w:t>
      </w:r>
      <w:proofErr w:type="spellEnd"/>
      <w:r w:rsidRPr="00BF26F2">
        <w:rPr>
          <w:rFonts w:ascii="Book Antiqua" w:eastAsia="Book Antiqua" w:hAnsi="Book Antiqua" w:cs="Book Antiqua"/>
        </w:rPr>
        <w:t xml:space="preserve"> T, </w:t>
      </w:r>
      <w:proofErr w:type="spellStart"/>
      <w:r w:rsidRPr="00BF26F2">
        <w:rPr>
          <w:rFonts w:ascii="Book Antiqua" w:eastAsia="Book Antiqua" w:hAnsi="Book Antiqua" w:cs="Book Antiqua"/>
        </w:rPr>
        <w:t>Deoraj</w:t>
      </w:r>
      <w:proofErr w:type="spellEnd"/>
      <w:r w:rsidRPr="00BF26F2">
        <w:rPr>
          <w:rFonts w:ascii="Book Antiqua" w:eastAsia="Book Antiqua" w:hAnsi="Book Antiqua" w:cs="Book Antiqua"/>
        </w:rPr>
        <w:t xml:space="preserve"> A, </w:t>
      </w:r>
      <w:proofErr w:type="spellStart"/>
      <w:r w:rsidRPr="00BF26F2">
        <w:rPr>
          <w:rFonts w:ascii="Book Antiqua" w:eastAsia="Book Antiqua" w:hAnsi="Book Antiqua" w:cs="Book Antiqua"/>
        </w:rPr>
        <w:t>Stollstorff</w:t>
      </w:r>
      <w:proofErr w:type="spellEnd"/>
      <w:r w:rsidRPr="00BF26F2">
        <w:rPr>
          <w:rFonts w:ascii="Book Antiqua" w:eastAsia="Book Antiqua" w:hAnsi="Book Antiqua" w:cs="Book Antiqua"/>
        </w:rPr>
        <w:t xml:space="preserve"> M, Narasimhan G. The gut microbiome and neuropsychiatric disorders: implications for attention deficit hyperactivity disorder (ADHD). </w:t>
      </w:r>
      <w:r w:rsidRPr="00BF26F2">
        <w:rPr>
          <w:rFonts w:ascii="Book Antiqua" w:eastAsia="Book Antiqua" w:hAnsi="Book Antiqua" w:cs="Book Antiqua"/>
          <w:i/>
          <w:iCs/>
        </w:rPr>
        <w:t>J Med Microbiol</w:t>
      </w:r>
      <w:r w:rsidRPr="00BF26F2">
        <w:rPr>
          <w:rFonts w:ascii="Book Antiqua" w:eastAsia="Book Antiqua" w:hAnsi="Book Antiqua" w:cs="Book Antiqua"/>
        </w:rPr>
        <w:t xml:space="preserve"> 2020; </w:t>
      </w:r>
      <w:r w:rsidRPr="00BF26F2">
        <w:rPr>
          <w:rFonts w:ascii="Book Antiqua" w:eastAsia="Book Antiqua" w:hAnsi="Book Antiqua" w:cs="Book Antiqua"/>
          <w:b/>
          <w:bCs/>
        </w:rPr>
        <w:t>69</w:t>
      </w:r>
      <w:r w:rsidRPr="00BF26F2">
        <w:rPr>
          <w:rFonts w:ascii="Book Antiqua" w:eastAsia="Book Antiqua" w:hAnsi="Book Antiqua" w:cs="Book Antiqua"/>
        </w:rPr>
        <w:t>: 14-24 [PMID: 31821133 DOI: 10.1099/jmm.0.001112]</w:t>
      </w:r>
    </w:p>
    <w:p w14:paraId="2A176F99"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lastRenderedPageBreak/>
        <w:t xml:space="preserve">29 </w:t>
      </w:r>
      <w:r w:rsidRPr="00BF26F2">
        <w:rPr>
          <w:rFonts w:ascii="Book Antiqua" w:eastAsia="Book Antiqua" w:hAnsi="Book Antiqua" w:cs="Book Antiqua"/>
          <w:b/>
          <w:bCs/>
        </w:rPr>
        <w:t>Dam SA</w:t>
      </w:r>
      <w:r w:rsidRPr="00BF26F2">
        <w:rPr>
          <w:rFonts w:ascii="Book Antiqua" w:eastAsia="Book Antiqua" w:hAnsi="Book Antiqua" w:cs="Book Antiqua"/>
        </w:rPr>
        <w:t xml:space="preserve">, Mostert JC, </w:t>
      </w:r>
      <w:proofErr w:type="spellStart"/>
      <w:r w:rsidRPr="00BF26F2">
        <w:rPr>
          <w:rFonts w:ascii="Book Antiqua" w:eastAsia="Book Antiqua" w:hAnsi="Book Antiqua" w:cs="Book Antiqua"/>
        </w:rPr>
        <w:t>Szopinska-Tokov</w:t>
      </w:r>
      <w:proofErr w:type="spellEnd"/>
      <w:r w:rsidRPr="00BF26F2">
        <w:rPr>
          <w:rFonts w:ascii="Book Antiqua" w:eastAsia="Book Antiqua" w:hAnsi="Book Antiqua" w:cs="Book Antiqua"/>
        </w:rPr>
        <w:t xml:space="preserve"> JW, </w:t>
      </w:r>
      <w:proofErr w:type="spellStart"/>
      <w:r w:rsidRPr="00BF26F2">
        <w:rPr>
          <w:rFonts w:ascii="Book Antiqua" w:eastAsia="Book Antiqua" w:hAnsi="Book Antiqua" w:cs="Book Antiqua"/>
        </w:rPr>
        <w:t>Bloemendaal</w:t>
      </w:r>
      <w:proofErr w:type="spellEnd"/>
      <w:r w:rsidRPr="00BF26F2">
        <w:rPr>
          <w:rFonts w:ascii="Book Antiqua" w:eastAsia="Book Antiqua" w:hAnsi="Book Antiqua" w:cs="Book Antiqua"/>
        </w:rPr>
        <w:t xml:space="preserve"> M, Amato M, Arias-Vasquez A. The Role of the Gut-Brain Axis in Attention-Deficit/Hyperactivity Disorder. </w:t>
      </w:r>
      <w:r w:rsidRPr="00BF26F2">
        <w:rPr>
          <w:rFonts w:ascii="Book Antiqua" w:eastAsia="Book Antiqua" w:hAnsi="Book Antiqua" w:cs="Book Antiqua"/>
          <w:i/>
          <w:iCs/>
        </w:rPr>
        <w:t>Gastroenterol Clin North Am</w:t>
      </w:r>
      <w:r w:rsidRPr="00BF26F2">
        <w:rPr>
          <w:rFonts w:ascii="Book Antiqua" w:eastAsia="Book Antiqua" w:hAnsi="Book Antiqua" w:cs="Book Antiqua"/>
        </w:rPr>
        <w:t xml:space="preserve"> 2019; </w:t>
      </w:r>
      <w:r w:rsidRPr="00BF26F2">
        <w:rPr>
          <w:rFonts w:ascii="Book Antiqua" w:eastAsia="Book Antiqua" w:hAnsi="Book Antiqua" w:cs="Book Antiqua"/>
          <w:b/>
          <w:bCs/>
        </w:rPr>
        <w:t>48</w:t>
      </w:r>
      <w:r w:rsidRPr="00BF26F2">
        <w:rPr>
          <w:rFonts w:ascii="Book Antiqua" w:eastAsia="Book Antiqua" w:hAnsi="Book Antiqua" w:cs="Book Antiqua"/>
        </w:rPr>
        <w:t>: 407-431 [PMID: 31383279 DOI: 10.1016/j.gtc.2019.05.001]</w:t>
      </w:r>
    </w:p>
    <w:p w14:paraId="602113AD"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30 </w:t>
      </w:r>
      <w:r w:rsidRPr="00BF26F2">
        <w:rPr>
          <w:rFonts w:ascii="Book Antiqua" w:eastAsia="Book Antiqua" w:hAnsi="Book Antiqua" w:cs="Book Antiqua"/>
          <w:b/>
          <w:bCs/>
        </w:rPr>
        <w:t>Ben-Or O</w:t>
      </w:r>
      <w:r w:rsidRPr="00BF26F2">
        <w:rPr>
          <w:rFonts w:ascii="Book Antiqua" w:eastAsia="Book Antiqua" w:hAnsi="Book Antiqua" w:cs="Book Antiqua"/>
        </w:rPr>
        <w:t xml:space="preserve">, </w:t>
      </w:r>
      <w:proofErr w:type="spellStart"/>
      <w:r w:rsidRPr="00BF26F2">
        <w:rPr>
          <w:rFonts w:ascii="Book Antiqua" w:eastAsia="Book Antiqua" w:hAnsi="Book Antiqua" w:cs="Book Antiqua"/>
        </w:rPr>
        <w:t>Zelnik</w:t>
      </w:r>
      <w:proofErr w:type="spellEnd"/>
      <w:r w:rsidRPr="00BF26F2">
        <w:rPr>
          <w:rFonts w:ascii="Book Antiqua" w:eastAsia="Book Antiqua" w:hAnsi="Book Antiqua" w:cs="Book Antiqua"/>
        </w:rPr>
        <w:t xml:space="preserve"> N, </w:t>
      </w:r>
      <w:proofErr w:type="spellStart"/>
      <w:r w:rsidRPr="00BF26F2">
        <w:rPr>
          <w:rFonts w:ascii="Book Antiqua" w:eastAsia="Book Antiqua" w:hAnsi="Book Antiqua" w:cs="Book Antiqua"/>
        </w:rPr>
        <w:t>Shaoul</w:t>
      </w:r>
      <w:proofErr w:type="spellEnd"/>
      <w:r w:rsidRPr="00BF26F2">
        <w:rPr>
          <w:rFonts w:ascii="Book Antiqua" w:eastAsia="Book Antiqua" w:hAnsi="Book Antiqua" w:cs="Book Antiqua"/>
        </w:rPr>
        <w:t xml:space="preserve"> R, </w:t>
      </w:r>
      <w:proofErr w:type="spellStart"/>
      <w:r w:rsidRPr="00BF26F2">
        <w:rPr>
          <w:rFonts w:ascii="Book Antiqua" w:eastAsia="Book Antiqua" w:hAnsi="Book Antiqua" w:cs="Book Antiqua"/>
        </w:rPr>
        <w:t>Pacht</w:t>
      </w:r>
      <w:proofErr w:type="spellEnd"/>
      <w:r w:rsidRPr="00BF26F2">
        <w:rPr>
          <w:rFonts w:ascii="Book Antiqua" w:eastAsia="Book Antiqua" w:hAnsi="Book Antiqua" w:cs="Book Antiqua"/>
        </w:rPr>
        <w:t xml:space="preserve"> A, Lerner A. The neurologic profile of children and adolescents with inflammatory bowel disease. </w:t>
      </w:r>
      <w:r w:rsidRPr="00BF26F2">
        <w:rPr>
          <w:rFonts w:ascii="Book Antiqua" w:eastAsia="Book Antiqua" w:hAnsi="Book Antiqua" w:cs="Book Antiqua"/>
          <w:i/>
          <w:iCs/>
        </w:rPr>
        <w:t>J Child Neurol</w:t>
      </w:r>
      <w:r w:rsidRPr="00BF26F2">
        <w:rPr>
          <w:rFonts w:ascii="Book Antiqua" w:eastAsia="Book Antiqua" w:hAnsi="Book Antiqua" w:cs="Book Antiqua"/>
        </w:rPr>
        <w:t xml:space="preserve"> 2015; </w:t>
      </w:r>
      <w:r w:rsidRPr="00BF26F2">
        <w:rPr>
          <w:rFonts w:ascii="Book Antiqua" w:eastAsia="Book Antiqua" w:hAnsi="Book Antiqua" w:cs="Book Antiqua"/>
          <w:b/>
          <w:bCs/>
        </w:rPr>
        <w:t>30</w:t>
      </w:r>
      <w:r w:rsidRPr="00BF26F2">
        <w:rPr>
          <w:rFonts w:ascii="Book Antiqua" w:eastAsia="Book Antiqua" w:hAnsi="Book Antiqua" w:cs="Book Antiqua"/>
        </w:rPr>
        <w:t>: 551-557 [PMID: 24700662 DOI: 10.1177/0883073814521296]</w:t>
      </w:r>
    </w:p>
    <w:p w14:paraId="6FFCBE8B"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31 </w:t>
      </w:r>
      <w:proofErr w:type="spellStart"/>
      <w:r w:rsidRPr="00BF26F2">
        <w:rPr>
          <w:rFonts w:ascii="Book Antiqua" w:eastAsia="Book Antiqua" w:hAnsi="Book Antiqua" w:cs="Book Antiqua"/>
          <w:b/>
          <w:bCs/>
        </w:rPr>
        <w:t>Butwicka</w:t>
      </w:r>
      <w:proofErr w:type="spellEnd"/>
      <w:r w:rsidRPr="00BF26F2">
        <w:rPr>
          <w:rFonts w:ascii="Book Antiqua" w:eastAsia="Book Antiqua" w:hAnsi="Book Antiqua" w:cs="Book Antiqua"/>
          <w:b/>
          <w:bCs/>
        </w:rPr>
        <w:t xml:space="preserve"> A</w:t>
      </w:r>
      <w:r w:rsidRPr="00BF26F2">
        <w:rPr>
          <w:rFonts w:ascii="Book Antiqua" w:eastAsia="Book Antiqua" w:hAnsi="Book Antiqua" w:cs="Book Antiqua"/>
        </w:rPr>
        <w:t xml:space="preserve">, Lichtenstein P, </w:t>
      </w:r>
      <w:proofErr w:type="spellStart"/>
      <w:r w:rsidRPr="00BF26F2">
        <w:rPr>
          <w:rFonts w:ascii="Book Antiqua" w:eastAsia="Book Antiqua" w:hAnsi="Book Antiqua" w:cs="Book Antiqua"/>
        </w:rPr>
        <w:t>Frisén</w:t>
      </w:r>
      <w:proofErr w:type="spellEnd"/>
      <w:r w:rsidRPr="00BF26F2">
        <w:rPr>
          <w:rFonts w:ascii="Book Antiqua" w:eastAsia="Book Antiqua" w:hAnsi="Book Antiqua" w:cs="Book Antiqua"/>
        </w:rPr>
        <w:t xml:space="preserve"> L, Almqvist C, Larsson H, </w:t>
      </w:r>
      <w:proofErr w:type="spellStart"/>
      <w:r w:rsidRPr="00BF26F2">
        <w:rPr>
          <w:rFonts w:ascii="Book Antiqua" w:eastAsia="Book Antiqua" w:hAnsi="Book Antiqua" w:cs="Book Antiqua"/>
        </w:rPr>
        <w:t>Ludvigsson</w:t>
      </w:r>
      <w:proofErr w:type="spellEnd"/>
      <w:r w:rsidRPr="00BF26F2">
        <w:rPr>
          <w:rFonts w:ascii="Book Antiqua" w:eastAsia="Book Antiqua" w:hAnsi="Book Antiqua" w:cs="Book Antiqua"/>
        </w:rPr>
        <w:t xml:space="preserve"> JF. Celiac Disease Is Associated with Childhood Psychiatric Disorders: A Population-Based Study. </w:t>
      </w:r>
      <w:r w:rsidRPr="00BF26F2">
        <w:rPr>
          <w:rFonts w:ascii="Book Antiqua" w:eastAsia="Book Antiqua" w:hAnsi="Book Antiqua" w:cs="Book Antiqua"/>
          <w:i/>
          <w:iCs/>
        </w:rPr>
        <w:t xml:space="preserve">J </w:t>
      </w:r>
      <w:proofErr w:type="spellStart"/>
      <w:r w:rsidRPr="00BF26F2">
        <w:rPr>
          <w:rFonts w:ascii="Book Antiqua" w:eastAsia="Book Antiqua" w:hAnsi="Book Antiqua" w:cs="Book Antiqua"/>
          <w:i/>
          <w:iCs/>
        </w:rPr>
        <w:t>Pediatr</w:t>
      </w:r>
      <w:proofErr w:type="spellEnd"/>
      <w:r w:rsidRPr="00BF26F2">
        <w:rPr>
          <w:rFonts w:ascii="Book Antiqua" w:eastAsia="Book Antiqua" w:hAnsi="Book Antiqua" w:cs="Book Antiqua"/>
        </w:rPr>
        <w:t xml:space="preserve"> 2017; </w:t>
      </w:r>
      <w:r w:rsidRPr="00BF26F2">
        <w:rPr>
          <w:rFonts w:ascii="Book Antiqua" w:eastAsia="Book Antiqua" w:hAnsi="Book Antiqua" w:cs="Book Antiqua"/>
          <w:b/>
          <w:bCs/>
        </w:rPr>
        <w:t>184</w:t>
      </w:r>
      <w:r w:rsidRPr="00BF26F2">
        <w:rPr>
          <w:rFonts w:ascii="Book Antiqua" w:eastAsia="Book Antiqua" w:hAnsi="Book Antiqua" w:cs="Book Antiqua"/>
        </w:rPr>
        <w:t>: 87-93.e1 [PMID: 28283256 DOI: 10.1016/j.jpeds.2017.01.043]</w:t>
      </w:r>
    </w:p>
    <w:p w14:paraId="4E26CD83"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32 </w:t>
      </w:r>
      <w:r w:rsidRPr="00BF26F2">
        <w:rPr>
          <w:rFonts w:ascii="Book Antiqua" w:eastAsia="Book Antiqua" w:hAnsi="Book Antiqua" w:cs="Book Antiqua"/>
          <w:b/>
          <w:bCs/>
        </w:rPr>
        <w:t>Diaconu G</w:t>
      </w:r>
      <w:r w:rsidRPr="00BF26F2">
        <w:rPr>
          <w:rFonts w:ascii="Book Antiqua" w:eastAsia="Book Antiqua" w:hAnsi="Book Antiqua" w:cs="Book Antiqua"/>
        </w:rPr>
        <w:t xml:space="preserve">, </w:t>
      </w:r>
      <w:proofErr w:type="spellStart"/>
      <w:r w:rsidRPr="00BF26F2">
        <w:rPr>
          <w:rFonts w:ascii="Book Antiqua" w:eastAsia="Book Antiqua" w:hAnsi="Book Antiqua" w:cs="Book Antiqua"/>
        </w:rPr>
        <w:t>Burlea</w:t>
      </w:r>
      <w:proofErr w:type="spellEnd"/>
      <w:r w:rsidRPr="00BF26F2">
        <w:rPr>
          <w:rFonts w:ascii="Book Antiqua" w:eastAsia="Book Antiqua" w:hAnsi="Book Antiqua" w:cs="Book Antiqua"/>
        </w:rPr>
        <w:t xml:space="preserve"> M, </w:t>
      </w:r>
      <w:proofErr w:type="spellStart"/>
      <w:r w:rsidRPr="00BF26F2">
        <w:rPr>
          <w:rFonts w:ascii="Book Antiqua" w:eastAsia="Book Antiqua" w:hAnsi="Book Antiqua" w:cs="Book Antiqua"/>
        </w:rPr>
        <w:t>Grigore</w:t>
      </w:r>
      <w:proofErr w:type="spellEnd"/>
      <w:r w:rsidRPr="00BF26F2">
        <w:rPr>
          <w:rFonts w:ascii="Book Antiqua" w:eastAsia="Book Antiqua" w:hAnsi="Book Antiqua" w:cs="Book Antiqua"/>
        </w:rPr>
        <w:t xml:space="preserve"> I, Anton DT, </w:t>
      </w:r>
      <w:proofErr w:type="spellStart"/>
      <w:r w:rsidRPr="00BF26F2">
        <w:rPr>
          <w:rFonts w:ascii="Book Antiqua" w:eastAsia="Book Antiqua" w:hAnsi="Book Antiqua" w:cs="Book Antiqua"/>
        </w:rPr>
        <w:t>Trandafir</w:t>
      </w:r>
      <w:proofErr w:type="spellEnd"/>
      <w:r w:rsidRPr="00BF26F2">
        <w:rPr>
          <w:rFonts w:ascii="Book Antiqua" w:eastAsia="Book Antiqua" w:hAnsi="Book Antiqua" w:cs="Book Antiqua"/>
        </w:rPr>
        <w:t xml:space="preserve"> LM. Celiac disease with neurologic manifestations in children. </w:t>
      </w:r>
      <w:r w:rsidRPr="00BF26F2">
        <w:rPr>
          <w:rFonts w:ascii="Book Antiqua" w:eastAsia="Book Antiqua" w:hAnsi="Book Antiqua" w:cs="Book Antiqua"/>
          <w:i/>
          <w:iCs/>
        </w:rPr>
        <w:t xml:space="preserve">Rev Med </w:t>
      </w:r>
      <w:proofErr w:type="spellStart"/>
      <w:r w:rsidRPr="00BF26F2">
        <w:rPr>
          <w:rFonts w:ascii="Book Antiqua" w:eastAsia="Book Antiqua" w:hAnsi="Book Antiqua" w:cs="Book Antiqua"/>
          <w:i/>
          <w:iCs/>
        </w:rPr>
        <w:t>Chir</w:t>
      </w:r>
      <w:proofErr w:type="spellEnd"/>
      <w:r w:rsidRPr="00BF26F2">
        <w:rPr>
          <w:rFonts w:ascii="Book Antiqua" w:eastAsia="Book Antiqua" w:hAnsi="Book Antiqua" w:cs="Book Antiqua"/>
          <w:i/>
          <w:iCs/>
        </w:rPr>
        <w:t xml:space="preserve"> Soc Med Nat Iasi</w:t>
      </w:r>
      <w:r w:rsidRPr="00BF26F2">
        <w:rPr>
          <w:rFonts w:ascii="Book Antiqua" w:eastAsia="Book Antiqua" w:hAnsi="Book Antiqua" w:cs="Book Antiqua"/>
        </w:rPr>
        <w:t xml:space="preserve"> 2013; </w:t>
      </w:r>
      <w:r w:rsidRPr="00BF26F2">
        <w:rPr>
          <w:rFonts w:ascii="Book Antiqua" w:eastAsia="Book Antiqua" w:hAnsi="Book Antiqua" w:cs="Book Antiqua"/>
          <w:b/>
          <w:bCs/>
        </w:rPr>
        <w:t>117</w:t>
      </w:r>
      <w:r w:rsidRPr="00BF26F2">
        <w:rPr>
          <w:rFonts w:ascii="Book Antiqua" w:eastAsia="Book Antiqua" w:hAnsi="Book Antiqua" w:cs="Book Antiqua"/>
        </w:rPr>
        <w:t>: 88-94 [PMID: 24505898]</w:t>
      </w:r>
    </w:p>
    <w:p w14:paraId="41A6ED89"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33 </w:t>
      </w:r>
      <w:proofErr w:type="spellStart"/>
      <w:r w:rsidRPr="00BF26F2">
        <w:rPr>
          <w:rFonts w:ascii="Book Antiqua" w:eastAsia="Book Antiqua" w:hAnsi="Book Antiqua" w:cs="Book Antiqua"/>
          <w:b/>
          <w:bCs/>
        </w:rPr>
        <w:t>Zelnik</w:t>
      </w:r>
      <w:proofErr w:type="spellEnd"/>
      <w:r w:rsidRPr="00BF26F2">
        <w:rPr>
          <w:rFonts w:ascii="Book Antiqua" w:eastAsia="Book Antiqua" w:hAnsi="Book Antiqua" w:cs="Book Antiqua"/>
          <w:b/>
          <w:bCs/>
        </w:rPr>
        <w:t xml:space="preserve"> N</w:t>
      </w:r>
      <w:r w:rsidRPr="00BF26F2">
        <w:rPr>
          <w:rFonts w:ascii="Book Antiqua" w:eastAsia="Book Antiqua" w:hAnsi="Book Antiqua" w:cs="Book Antiqua"/>
        </w:rPr>
        <w:t xml:space="preserve">, </w:t>
      </w:r>
      <w:proofErr w:type="spellStart"/>
      <w:r w:rsidRPr="00BF26F2">
        <w:rPr>
          <w:rFonts w:ascii="Book Antiqua" w:eastAsia="Book Antiqua" w:hAnsi="Book Antiqua" w:cs="Book Antiqua"/>
        </w:rPr>
        <w:t>Pacht</w:t>
      </w:r>
      <w:proofErr w:type="spellEnd"/>
      <w:r w:rsidRPr="00BF26F2">
        <w:rPr>
          <w:rFonts w:ascii="Book Antiqua" w:eastAsia="Book Antiqua" w:hAnsi="Book Antiqua" w:cs="Book Antiqua"/>
        </w:rPr>
        <w:t xml:space="preserve"> A, Obeid R, Lerner A. Range of neurologic disorders in patients with celiac disease. </w:t>
      </w:r>
      <w:r w:rsidRPr="00BF26F2">
        <w:rPr>
          <w:rFonts w:ascii="Book Antiqua" w:eastAsia="Book Antiqua" w:hAnsi="Book Antiqua" w:cs="Book Antiqua"/>
          <w:i/>
          <w:iCs/>
        </w:rPr>
        <w:t>Pediatrics</w:t>
      </w:r>
      <w:r w:rsidRPr="00BF26F2">
        <w:rPr>
          <w:rFonts w:ascii="Book Antiqua" w:eastAsia="Book Antiqua" w:hAnsi="Book Antiqua" w:cs="Book Antiqua"/>
        </w:rPr>
        <w:t xml:space="preserve"> 2004; </w:t>
      </w:r>
      <w:r w:rsidRPr="00BF26F2">
        <w:rPr>
          <w:rFonts w:ascii="Book Antiqua" w:eastAsia="Book Antiqua" w:hAnsi="Book Antiqua" w:cs="Book Antiqua"/>
          <w:b/>
          <w:bCs/>
        </w:rPr>
        <w:t>113</w:t>
      </w:r>
      <w:r w:rsidRPr="00BF26F2">
        <w:rPr>
          <w:rFonts w:ascii="Book Antiqua" w:eastAsia="Book Antiqua" w:hAnsi="Book Antiqua" w:cs="Book Antiqua"/>
        </w:rPr>
        <w:t>: 1672-1676 [PMID: 15173490 DOI: 10.1542/peds.113.6.1672]</w:t>
      </w:r>
    </w:p>
    <w:p w14:paraId="3BF37D88"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34 </w:t>
      </w:r>
      <w:r w:rsidRPr="00BF26F2">
        <w:rPr>
          <w:rFonts w:ascii="Book Antiqua" w:eastAsia="Book Antiqua" w:hAnsi="Book Antiqua" w:cs="Book Antiqua"/>
          <w:b/>
          <w:bCs/>
        </w:rPr>
        <w:t>Lahat E</w:t>
      </w:r>
      <w:r w:rsidRPr="00BF26F2">
        <w:rPr>
          <w:rFonts w:ascii="Book Antiqua" w:eastAsia="Book Antiqua" w:hAnsi="Book Antiqua" w:cs="Book Antiqua"/>
        </w:rPr>
        <w:t xml:space="preserve">, </w:t>
      </w:r>
      <w:proofErr w:type="spellStart"/>
      <w:r w:rsidRPr="00BF26F2">
        <w:rPr>
          <w:rFonts w:ascii="Book Antiqua" w:eastAsia="Book Antiqua" w:hAnsi="Book Antiqua" w:cs="Book Antiqua"/>
        </w:rPr>
        <w:t>Broide</w:t>
      </w:r>
      <w:proofErr w:type="spellEnd"/>
      <w:r w:rsidRPr="00BF26F2">
        <w:rPr>
          <w:rFonts w:ascii="Book Antiqua" w:eastAsia="Book Antiqua" w:hAnsi="Book Antiqua" w:cs="Book Antiqua"/>
        </w:rPr>
        <w:t xml:space="preserve"> E, </w:t>
      </w:r>
      <w:proofErr w:type="spellStart"/>
      <w:r w:rsidRPr="00BF26F2">
        <w:rPr>
          <w:rFonts w:ascii="Book Antiqua" w:eastAsia="Book Antiqua" w:hAnsi="Book Antiqua" w:cs="Book Antiqua"/>
        </w:rPr>
        <w:t>Leshem</w:t>
      </w:r>
      <w:proofErr w:type="spellEnd"/>
      <w:r w:rsidRPr="00BF26F2">
        <w:rPr>
          <w:rFonts w:ascii="Book Antiqua" w:eastAsia="Book Antiqua" w:hAnsi="Book Antiqua" w:cs="Book Antiqua"/>
        </w:rPr>
        <w:t xml:space="preserve"> M, Evans S, Scapa E. Prevalence of celiac antibodies in children with neurologic disorders. </w:t>
      </w:r>
      <w:proofErr w:type="spellStart"/>
      <w:r w:rsidRPr="00BF26F2">
        <w:rPr>
          <w:rFonts w:ascii="Book Antiqua" w:eastAsia="Book Antiqua" w:hAnsi="Book Antiqua" w:cs="Book Antiqua"/>
          <w:i/>
          <w:iCs/>
        </w:rPr>
        <w:t>Pediatr</w:t>
      </w:r>
      <w:proofErr w:type="spellEnd"/>
      <w:r w:rsidRPr="00BF26F2">
        <w:rPr>
          <w:rFonts w:ascii="Book Antiqua" w:eastAsia="Book Antiqua" w:hAnsi="Book Antiqua" w:cs="Book Antiqua"/>
          <w:i/>
          <w:iCs/>
        </w:rPr>
        <w:t xml:space="preserve"> Neurol</w:t>
      </w:r>
      <w:r w:rsidRPr="00BF26F2">
        <w:rPr>
          <w:rFonts w:ascii="Book Antiqua" w:eastAsia="Book Antiqua" w:hAnsi="Book Antiqua" w:cs="Book Antiqua"/>
        </w:rPr>
        <w:t xml:space="preserve"> 2000; </w:t>
      </w:r>
      <w:r w:rsidRPr="00BF26F2">
        <w:rPr>
          <w:rFonts w:ascii="Book Antiqua" w:eastAsia="Book Antiqua" w:hAnsi="Book Antiqua" w:cs="Book Antiqua"/>
          <w:b/>
          <w:bCs/>
        </w:rPr>
        <w:t>22</w:t>
      </w:r>
      <w:r w:rsidRPr="00BF26F2">
        <w:rPr>
          <w:rFonts w:ascii="Book Antiqua" w:eastAsia="Book Antiqua" w:hAnsi="Book Antiqua" w:cs="Book Antiqua"/>
        </w:rPr>
        <w:t>: 393-396 [PMID: 10913732 DOI: 10.1016/s0887-8994(00)00129-6]</w:t>
      </w:r>
    </w:p>
    <w:p w14:paraId="07239F4E"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35 </w:t>
      </w:r>
      <w:proofErr w:type="spellStart"/>
      <w:r w:rsidRPr="00BF26F2">
        <w:rPr>
          <w:rFonts w:ascii="Book Antiqua" w:eastAsia="Book Antiqua" w:hAnsi="Book Antiqua" w:cs="Book Antiqua"/>
          <w:b/>
          <w:bCs/>
        </w:rPr>
        <w:t>Ertürk</w:t>
      </w:r>
      <w:proofErr w:type="spellEnd"/>
      <w:r w:rsidRPr="00BF26F2">
        <w:rPr>
          <w:rFonts w:ascii="Book Antiqua" w:eastAsia="Book Antiqua" w:hAnsi="Book Antiqua" w:cs="Book Antiqua"/>
          <w:b/>
          <w:bCs/>
        </w:rPr>
        <w:t xml:space="preserve"> E</w:t>
      </w:r>
      <w:r w:rsidRPr="00BF26F2">
        <w:rPr>
          <w:rFonts w:ascii="Book Antiqua" w:eastAsia="Book Antiqua" w:hAnsi="Book Antiqua" w:cs="Book Antiqua"/>
        </w:rPr>
        <w:t xml:space="preserve">, </w:t>
      </w:r>
      <w:proofErr w:type="spellStart"/>
      <w:r w:rsidRPr="00BF26F2">
        <w:rPr>
          <w:rFonts w:ascii="Book Antiqua" w:eastAsia="Book Antiqua" w:hAnsi="Book Antiqua" w:cs="Book Antiqua"/>
        </w:rPr>
        <w:t>Wouters</w:t>
      </w:r>
      <w:proofErr w:type="spellEnd"/>
      <w:r w:rsidRPr="00BF26F2">
        <w:rPr>
          <w:rFonts w:ascii="Book Antiqua" w:eastAsia="Book Antiqua" w:hAnsi="Book Antiqua" w:cs="Book Antiqua"/>
        </w:rPr>
        <w:t xml:space="preserve"> S, </w:t>
      </w:r>
      <w:proofErr w:type="spellStart"/>
      <w:r w:rsidRPr="00BF26F2">
        <w:rPr>
          <w:rFonts w:ascii="Book Antiqua" w:eastAsia="Book Antiqua" w:hAnsi="Book Antiqua" w:cs="Book Antiqua"/>
        </w:rPr>
        <w:t>Imeraj</w:t>
      </w:r>
      <w:proofErr w:type="spellEnd"/>
      <w:r w:rsidRPr="00BF26F2">
        <w:rPr>
          <w:rFonts w:ascii="Book Antiqua" w:eastAsia="Book Antiqua" w:hAnsi="Book Antiqua" w:cs="Book Antiqua"/>
        </w:rPr>
        <w:t xml:space="preserve"> L, </w:t>
      </w:r>
      <w:proofErr w:type="spellStart"/>
      <w:r w:rsidRPr="00BF26F2">
        <w:rPr>
          <w:rFonts w:ascii="Book Antiqua" w:eastAsia="Book Antiqua" w:hAnsi="Book Antiqua" w:cs="Book Antiqua"/>
        </w:rPr>
        <w:t>Lampo</w:t>
      </w:r>
      <w:proofErr w:type="spellEnd"/>
      <w:r w:rsidRPr="00BF26F2">
        <w:rPr>
          <w:rFonts w:ascii="Book Antiqua" w:eastAsia="Book Antiqua" w:hAnsi="Book Antiqua" w:cs="Book Antiqua"/>
        </w:rPr>
        <w:t xml:space="preserve"> A. Association of ADHD and Celiac Disease: What Is the Evidence? A Systematic Review of the Literature. </w:t>
      </w:r>
      <w:r w:rsidRPr="00BF26F2">
        <w:rPr>
          <w:rFonts w:ascii="Book Antiqua" w:eastAsia="Book Antiqua" w:hAnsi="Book Antiqua" w:cs="Book Antiqua"/>
          <w:i/>
          <w:iCs/>
        </w:rPr>
        <w:t xml:space="preserve">J Atten </w:t>
      </w:r>
      <w:proofErr w:type="spellStart"/>
      <w:r w:rsidRPr="00BF26F2">
        <w:rPr>
          <w:rFonts w:ascii="Book Antiqua" w:eastAsia="Book Antiqua" w:hAnsi="Book Antiqua" w:cs="Book Antiqua"/>
          <w:i/>
          <w:iCs/>
        </w:rPr>
        <w:t>Disord</w:t>
      </w:r>
      <w:proofErr w:type="spellEnd"/>
      <w:r w:rsidRPr="00BF26F2">
        <w:rPr>
          <w:rFonts w:ascii="Book Antiqua" w:eastAsia="Book Antiqua" w:hAnsi="Book Antiqua" w:cs="Book Antiqua"/>
        </w:rPr>
        <w:t xml:space="preserve"> 2020; </w:t>
      </w:r>
      <w:r w:rsidRPr="00BF26F2">
        <w:rPr>
          <w:rFonts w:ascii="Book Antiqua" w:eastAsia="Book Antiqua" w:hAnsi="Book Antiqua" w:cs="Book Antiqua"/>
          <w:b/>
          <w:bCs/>
        </w:rPr>
        <w:t>24</w:t>
      </w:r>
      <w:r w:rsidRPr="00BF26F2">
        <w:rPr>
          <w:rFonts w:ascii="Book Antiqua" w:eastAsia="Book Antiqua" w:hAnsi="Book Antiqua" w:cs="Book Antiqua"/>
        </w:rPr>
        <w:t>: 1371-1376 [PMID: 26825336 DOI: 10.1177/1087054715611493]</w:t>
      </w:r>
    </w:p>
    <w:p w14:paraId="7CA31F17" w14:textId="05B2A8ED"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 xml:space="preserve">36 </w:t>
      </w:r>
      <w:proofErr w:type="spellStart"/>
      <w:r w:rsidRPr="00BF26F2">
        <w:rPr>
          <w:rFonts w:ascii="Book Antiqua" w:eastAsia="Book Antiqua" w:hAnsi="Book Antiqua" w:cs="Book Antiqua"/>
          <w:b/>
          <w:bCs/>
        </w:rPr>
        <w:t>Akmatov</w:t>
      </w:r>
      <w:proofErr w:type="spellEnd"/>
      <w:r w:rsidRPr="00BF26F2">
        <w:rPr>
          <w:rFonts w:ascii="Book Antiqua" w:eastAsia="Book Antiqua" w:hAnsi="Book Antiqua" w:cs="Book Antiqua"/>
          <w:b/>
          <w:bCs/>
        </w:rPr>
        <w:t xml:space="preserve"> MK</w:t>
      </w:r>
      <w:r w:rsidRPr="00BF26F2">
        <w:rPr>
          <w:rFonts w:ascii="Book Antiqua" w:eastAsia="Book Antiqua" w:hAnsi="Book Antiqua" w:cs="Book Antiqua"/>
        </w:rPr>
        <w:t xml:space="preserve">, </w:t>
      </w:r>
      <w:proofErr w:type="spellStart"/>
      <w:r w:rsidRPr="00BF26F2">
        <w:rPr>
          <w:rFonts w:ascii="Book Antiqua" w:eastAsia="Book Antiqua" w:hAnsi="Book Antiqua" w:cs="Book Antiqua"/>
        </w:rPr>
        <w:t>Ermakova</w:t>
      </w:r>
      <w:proofErr w:type="spellEnd"/>
      <w:r w:rsidRPr="00BF26F2">
        <w:rPr>
          <w:rFonts w:ascii="Book Antiqua" w:eastAsia="Book Antiqua" w:hAnsi="Book Antiqua" w:cs="Book Antiqua"/>
        </w:rPr>
        <w:t xml:space="preserve"> T, </w:t>
      </w:r>
      <w:proofErr w:type="spellStart"/>
      <w:r w:rsidRPr="00BF26F2">
        <w:rPr>
          <w:rFonts w:ascii="Book Antiqua" w:eastAsia="Book Antiqua" w:hAnsi="Book Antiqua" w:cs="Book Antiqua"/>
        </w:rPr>
        <w:t>Bätzing</w:t>
      </w:r>
      <w:proofErr w:type="spellEnd"/>
      <w:r w:rsidRPr="00BF26F2">
        <w:rPr>
          <w:rFonts w:ascii="Book Antiqua" w:eastAsia="Book Antiqua" w:hAnsi="Book Antiqua" w:cs="Book Antiqua"/>
        </w:rPr>
        <w:t xml:space="preserve"> J. Psychiatric and Nonpsychiatric Comorbidities Among Children With ADHD: An Exploratory Analysis of Nationwide Claims Data in Germany. </w:t>
      </w:r>
      <w:r w:rsidRPr="00BF26F2">
        <w:rPr>
          <w:rFonts w:ascii="Book Antiqua" w:eastAsia="Book Antiqua" w:hAnsi="Book Antiqua" w:cs="Book Antiqua"/>
          <w:i/>
          <w:iCs/>
        </w:rPr>
        <w:t xml:space="preserve">J Atten </w:t>
      </w:r>
      <w:proofErr w:type="spellStart"/>
      <w:r w:rsidRPr="00BF26F2">
        <w:rPr>
          <w:rFonts w:ascii="Book Antiqua" w:eastAsia="Book Antiqua" w:hAnsi="Book Antiqua" w:cs="Book Antiqua"/>
          <w:i/>
          <w:iCs/>
        </w:rPr>
        <w:t>Disord</w:t>
      </w:r>
      <w:proofErr w:type="spellEnd"/>
      <w:r w:rsidRPr="00BF26F2">
        <w:rPr>
          <w:rFonts w:ascii="Book Antiqua" w:eastAsia="Book Antiqua" w:hAnsi="Book Antiqua" w:cs="Book Antiqua"/>
        </w:rPr>
        <w:t xml:space="preserve"> 2019; </w:t>
      </w:r>
      <w:r w:rsidR="00D66D3A" w:rsidRPr="00BF26F2">
        <w:rPr>
          <w:rFonts w:ascii="Book Antiqua" w:eastAsia="Book Antiqua" w:hAnsi="Book Antiqua" w:cs="Book Antiqua"/>
          <w:b/>
          <w:bCs/>
        </w:rPr>
        <w:t>Jul 31</w:t>
      </w:r>
      <w:r w:rsidRPr="00BF26F2">
        <w:rPr>
          <w:rFonts w:ascii="Book Antiqua" w:eastAsia="Book Antiqua" w:hAnsi="Book Antiqua" w:cs="Book Antiqua"/>
        </w:rPr>
        <w:t>: 1087054719865779 [PMID: 31364481 DOI: 10.1177/1087054719865779]</w:t>
      </w:r>
    </w:p>
    <w:p w14:paraId="18ECB88F" w14:textId="77777777" w:rsidR="00D02FF1" w:rsidRPr="00BF26F2" w:rsidRDefault="00D02FF1" w:rsidP="00BF26F2">
      <w:pPr>
        <w:adjustRightInd w:val="0"/>
        <w:snapToGrid w:val="0"/>
        <w:spacing w:line="360" w:lineRule="auto"/>
        <w:jc w:val="both"/>
        <w:rPr>
          <w:rFonts w:ascii="Book Antiqua" w:hAnsi="Book Antiqua"/>
        </w:rPr>
        <w:sectPr w:rsidR="00D02FF1" w:rsidRPr="00BF26F2">
          <w:pgSz w:w="12240" w:h="15840"/>
          <w:pgMar w:top="1440" w:right="1440" w:bottom="1440" w:left="1440" w:header="720" w:footer="720" w:gutter="0"/>
          <w:cols w:space="720"/>
          <w:docGrid w:linePitch="360"/>
        </w:sectPr>
      </w:pPr>
    </w:p>
    <w:p w14:paraId="4C70FB86"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lastRenderedPageBreak/>
        <w:t>Footnotes</w:t>
      </w:r>
    </w:p>
    <w:p w14:paraId="256E18A6"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Institutional review board statement: </w:t>
      </w:r>
      <w:r w:rsidRPr="00BF26F2">
        <w:rPr>
          <w:rFonts w:ascii="Book Antiqua" w:eastAsia="Book Antiqua" w:hAnsi="Book Antiqua" w:cs="Book Antiqua"/>
        </w:rPr>
        <w:t>The study was reviewed and approved for publication by our Institutional Reviewer.</w:t>
      </w:r>
    </w:p>
    <w:p w14:paraId="0BB47166" w14:textId="77777777" w:rsidR="00D02FF1" w:rsidRPr="00BF26F2" w:rsidRDefault="00D02FF1" w:rsidP="00BF26F2">
      <w:pPr>
        <w:adjustRightInd w:val="0"/>
        <w:snapToGrid w:val="0"/>
        <w:spacing w:line="360" w:lineRule="auto"/>
        <w:jc w:val="both"/>
        <w:rPr>
          <w:rFonts w:ascii="Book Antiqua" w:hAnsi="Book Antiqua"/>
        </w:rPr>
      </w:pPr>
    </w:p>
    <w:p w14:paraId="246F0869" w14:textId="01B35EAC"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Conflict-of-interest statement: </w:t>
      </w:r>
      <w:r w:rsidRPr="00BF26F2">
        <w:rPr>
          <w:rFonts w:ascii="Book Antiqua" w:eastAsia="Book Antiqua" w:hAnsi="Book Antiqua" w:cs="Book Antiqua"/>
        </w:rPr>
        <w:t xml:space="preserve">All the </w:t>
      </w:r>
      <w:r w:rsidR="00454DE9">
        <w:rPr>
          <w:rFonts w:ascii="Book Antiqua" w:eastAsia="Book Antiqua" w:hAnsi="Book Antiqua" w:cs="Book Antiqua"/>
        </w:rPr>
        <w:t>a</w:t>
      </w:r>
      <w:r w:rsidRPr="00BF26F2">
        <w:rPr>
          <w:rFonts w:ascii="Book Antiqua" w:eastAsia="Book Antiqua" w:hAnsi="Book Antiqua" w:cs="Book Antiqua"/>
        </w:rPr>
        <w:t>uthors have no conflict</w:t>
      </w:r>
      <w:r w:rsidR="00454DE9">
        <w:rPr>
          <w:rFonts w:ascii="Book Antiqua" w:eastAsia="Book Antiqua" w:hAnsi="Book Antiqua" w:cs="Book Antiqua"/>
        </w:rPr>
        <w:t>s</w:t>
      </w:r>
      <w:r w:rsidRPr="00BF26F2">
        <w:rPr>
          <w:rFonts w:ascii="Book Antiqua" w:eastAsia="Book Antiqua" w:hAnsi="Book Antiqua" w:cs="Book Antiqua"/>
        </w:rPr>
        <w:t xml:space="preserve"> of interest related to the manuscript.</w:t>
      </w:r>
    </w:p>
    <w:p w14:paraId="52A25A04" w14:textId="77777777" w:rsidR="00D02FF1" w:rsidRPr="00BF26F2" w:rsidRDefault="00D02FF1" w:rsidP="00BF26F2">
      <w:pPr>
        <w:adjustRightInd w:val="0"/>
        <w:snapToGrid w:val="0"/>
        <w:spacing w:line="360" w:lineRule="auto"/>
        <w:jc w:val="both"/>
        <w:rPr>
          <w:rFonts w:ascii="Book Antiqua" w:hAnsi="Book Antiqua"/>
        </w:rPr>
      </w:pPr>
    </w:p>
    <w:p w14:paraId="39643C4C"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Data sharing statement: </w:t>
      </w:r>
      <w:r w:rsidRPr="00BF26F2">
        <w:rPr>
          <w:rFonts w:ascii="Book Antiqua" w:eastAsia="Book Antiqua" w:hAnsi="Book Antiqua" w:cs="Book Antiqua"/>
        </w:rPr>
        <w:t>No additional data are available.</w:t>
      </w:r>
    </w:p>
    <w:p w14:paraId="5569F837" w14:textId="77777777" w:rsidR="00D02FF1" w:rsidRPr="00BF26F2" w:rsidRDefault="00D02FF1" w:rsidP="00BF26F2">
      <w:pPr>
        <w:adjustRightInd w:val="0"/>
        <w:snapToGrid w:val="0"/>
        <w:spacing w:line="360" w:lineRule="auto"/>
        <w:jc w:val="both"/>
        <w:rPr>
          <w:rFonts w:ascii="Book Antiqua" w:hAnsi="Book Antiqua"/>
        </w:rPr>
      </w:pPr>
    </w:p>
    <w:p w14:paraId="5D643031"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STROBE statement: </w:t>
      </w:r>
      <w:r w:rsidRPr="00BF26F2">
        <w:rPr>
          <w:rFonts w:ascii="Book Antiqua" w:eastAsia="Book Antiqua" w:hAnsi="Book Antiqua" w:cs="Book Antiqua"/>
        </w:rPr>
        <w:t>The authors have read the STROBE statement and the manuscript was prepared and revised according to the STROBE statement.</w:t>
      </w:r>
    </w:p>
    <w:p w14:paraId="6799BC50" w14:textId="77777777" w:rsidR="00D02FF1" w:rsidRPr="00BF26F2" w:rsidRDefault="00D02FF1" w:rsidP="00BF26F2">
      <w:pPr>
        <w:adjustRightInd w:val="0"/>
        <w:snapToGrid w:val="0"/>
        <w:spacing w:line="360" w:lineRule="auto"/>
        <w:jc w:val="both"/>
        <w:rPr>
          <w:rFonts w:ascii="Book Antiqua" w:hAnsi="Book Antiqua"/>
        </w:rPr>
      </w:pPr>
    </w:p>
    <w:p w14:paraId="0FDA3437"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bCs/>
        </w:rPr>
        <w:t xml:space="preserve">Open-Access: </w:t>
      </w:r>
      <w:r w:rsidRPr="00BF26F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11CBB7" w14:textId="77777777" w:rsidR="00D02FF1" w:rsidRPr="00BF26F2" w:rsidRDefault="00D02FF1" w:rsidP="00BF26F2">
      <w:pPr>
        <w:adjustRightInd w:val="0"/>
        <w:snapToGrid w:val="0"/>
        <w:spacing w:line="360" w:lineRule="auto"/>
        <w:jc w:val="both"/>
        <w:rPr>
          <w:rFonts w:ascii="Book Antiqua" w:hAnsi="Book Antiqua"/>
        </w:rPr>
      </w:pPr>
    </w:p>
    <w:p w14:paraId="62C10BFC" w14:textId="79AE7189" w:rsidR="00D02FF1" w:rsidRPr="00BF26F2" w:rsidRDefault="00D02FF1" w:rsidP="00BF26F2">
      <w:pPr>
        <w:adjustRightInd w:val="0"/>
        <w:snapToGrid w:val="0"/>
        <w:spacing w:line="360" w:lineRule="auto"/>
        <w:jc w:val="both"/>
        <w:rPr>
          <w:rFonts w:ascii="Book Antiqua" w:eastAsia="Book Antiqua" w:hAnsi="Book Antiqua" w:cs="Book Antiqua"/>
        </w:rPr>
      </w:pPr>
      <w:r w:rsidRPr="00BF26F2">
        <w:rPr>
          <w:rFonts w:ascii="Book Antiqua" w:eastAsia="Book Antiqua" w:hAnsi="Book Antiqua" w:cs="Book Antiqua"/>
          <w:b/>
        </w:rPr>
        <w:t xml:space="preserve">Manuscript source: </w:t>
      </w:r>
      <w:r w:rsidRPr="00BF26F2">
        <w:rPr>
          <w:rFonts w:ascii="Book Antiqua" w:eastAsia="Book Antiqua" w:hAnsi="Book Antiqua" w:cs="Book Antiqua"/>
        </w:rPr>
        <w:t xml:space="preserve">Unsolicited </w:t>
      </w:r>
      <w:r w:rsidR="00B5798E" w:rsidRPr="00BF26F2">
        <w:rPr>
          <w:rFonts w:ascii="Book Antiqua" w:eastAsia="Book Antiqua" w:hAnsi="Book Antiqua" w:cs="Book Antiqua"/>
        </w:rPr>
        <w:t>m</w:t>
      </w:r>
      <w:r w:rsidRPr="00BF26F2">
        <w:rPr>
          <w:rFonts w:ascii="Book Antiqua" w:eastAsia="Book Antiqua" w:hAnsi="Book Antiqua" w:cs="Book Antiqua"/>
        </w:rPr>
        <w:t>anuscript</w:t>
      </w:r>
    </w:p>
    <w:p w14:paraId="1354D1D1" w14:textId="77777777" w:rsidR="008E366A" w:rsidRPr="00BF26F2" w:rsidRDefault="008E366A" w:rsidP="00BF26F2">
      <w:pPr>
        <w:adjustRightInd w:val="0"/>
        <w:snapToGrid w:val="0"/>
        <w:spacing w:line="360" w:lineRule="auto"/>
        <w:jc w:val="both"/>
        <w:rPr>
          <w:rFonts w:ascii="Book Antiqua" w:hAnsi="Book Antiqua"/>
        </w:rPr>
      </w:pPr>
    </w:p>
    <w:p w14:paraId="22F5C0F4" w14:textId="448DE9F2"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t xml:space="preserve">Corresponding Author's Membership in Professional Societies: </w:t>
      </w:r>
      <w:r w:rsidRPr="00BF26F2">
        <w:rPr>
          <w:rFonts w:ascii="Book Antiqua" w:eastAsia="Book Antiqua" w:hAnsi="Book Antiqua" w:cs="Book Antiqua"/>
        </w:rPr>
        <w:t>The Israeli Society of Gast</w:t>
      </w:r>
      <w:r w:rsidR="008E366A" w:rsidRPr="00BF26F2">
        <w:rPr>
          <w:rFonts w:ascii="Book Antiqua" w:eastAsia="Book Antiqua" w:hAnsi="Book Antiqua" w:cs="Book Antiqua"/>
        </w:rPr>
        <w:t>roenterology and Liver Disease</w:t>
      </w:r>
      <w:r w:rsidRPr="00BF26F2">
        <w:rPr>
          <w:rFonts w:ascii="Book Antiqua" w:eastAsia="Book Antiqua" w:hAnsi="Book Antiqua" w:cs="Book Antiqua"/>
        </w:rPr>
        <w:t>.</w:t>
      </w:r>
    </w:p>
    <w:p w14:paraId="48F81487" w14:textId="77777777" w:rsidR="00D02FF1" w:rsidRPr="00BF26F2" w:rsidRDefault="00D02FF1" w:rsidP="00BF26F2">
      <w:pPr>
        <w:adjustRightInd w:val="0"/>
        <w:snapToGrid w:val="0"/>
        <w:spacing w:line="360" w:lineRule="auto"/>
        <w:jc w:val="both"/>
        <w:rPr>
          <w:rFonts w:ascii="Book Antiqua" w:hAnsi="Book Antiqua"/>
        </w:rPr>
      </w:pPr>
    </w:p>
    <w:p w14:paraId="7038483F"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t xml:space="preserve">Peer-review started: </w:t>
      </w:r>
      <w:r w:rsidRPr="00BF26F2">
        <w:rPr>
          <w:rFonts w:ascii="Book Antiqua" w:eastAsia="Book Antiqua" w:hAnsi="Book Antiqua" w:cs="Book Antiqua"/>
        </w:rPr>
        <w:t>April 6, 2020</w:t>
      </w:r>
    </w:p>
    <w:p w14:paraId="3A38847C"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t xml:space="preserve">First decision: </w:t>
      </w:r>
      <w:r w:rsidRPr="00BF26F2">
        <w:rPr>
          <w:rFonts w:ascii="Book Antiqua" w:eastAsia="Book Antiqua" w:hAnsi="Book Antiqua" w:cs="Book Antiqua"/>
        </w:rPr>
        <w:t>April 26, 2020</w:t>
      </w:r>
    </w:p>
    <w:p w14:paraId="253F5C98"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t xml:space="preserve">Article in press: </w:t>
      </w:r>
    </w:p>
    <w:p w14:paraId="0ACFFB01" w14:textId="77777777" w:rsidR="00D02FF1" w:rsidRPr="00BF26F2" w:rsidRDefault="00D02FF1" w:rsidP="00BF26F2">
      <w:pPr>
        <w:adjustRightInd w:val="0"/>
        <w:snapToGrid w:val="0"/>
        <w:spacing w:line="360" w:lineRule="auto"/>
        <w:jc w:val="both"/>
        <w:rPr>
          <w:rFonts w:ascii="Book Antiqua" w:hAnsi="Book Antiqua"/>
        </w:rPr>
      </w:pPr>
    </w:p>
    <w:p w14:paraId="67DD0949" w14:textId="666353DE"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t xml:space="preserve">Specialty type: </w:t>
      </w:r>
      <w:r w:rsidRPr="00BF26F2">
        <w:rPr>
          <w:rFonts w:ascii="Book Antiqua" w:eastAsia="Book Antiqua" w:hAnsi="Book Antiqua" w:cs="Book Antiqua"/>
        </w:rPr>
        <w:t xml:space="preserve">Gastroenterology and </w:t>
      </w:r>
      <w:r w:rsidR="00B5798E" w:rsidRPr="00BF26F2">
        <w:rPr>
          <w:rFonts w:ascii="Book Antiqua" w:eastAsia="Book Antiqua" w:hAnsi="Book Antiqua" w:cs="Book Antiqua"/>
        </w:rPr>
        <w:t>h</w:t>
      </w:r>
      <w:r w:rsidRPr="00BF26F2">
        <w:rPr>
          <w:rFonts w:ascii="Book Antiqua" w:eastAsia="Book Antiqua" w:hAnsi="Book Antiqua" w:cs="Book Antiqua"/>
        </w:rPr>
        <w:t>epatology</w:t>
      </w:r>
    </w:p>
    <w:p w14:paraId="25BA3101"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lastRenderedPageBreak/>
        <w:t xml:space="preserve">Country/Territory of origin: </w:t>
      </w:r>
      <w:r w:rsidRPr="00BF26F2">
        <w:rPr>
          <w:rFonts w:ascii="Book Antiqua" w:eastAsia="Book Antiqua" w:hAnsi="Book Antiqua" w:cs="Book Antiqua"/>
        </w:rPr>
        <w:t>Israel</w:t>
      </w:r>
    </w:p>
    <w:p w14:paraId="72F6B406"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t>Peer-review report’s scientific quality classification</w:t>
      </w:r>
    </w:p>
    <w:p w14:paraId="7D654103"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Grade A (Excellent): 0</w:t>
      </w:r>
    </w:p>
    <w:p w14:paraId="307C1397"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Grade B (Very good): 0</w:t>
      </w:r>
    </w:p>
    <w:p w14:paraId="2308594E"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Grade C (Good): C</w:t>
      </w:r>
    </w:p>
    <w:p w14:paraId="1256C9D3"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Grade D (Fair): 0</w:t>
      </w:r>
    </w:p>
    <w:p w14:paraId="268957E1" w14:textId="77777777"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rPr>
        <w:t>Grade E (Poor): 0</w:t>
      </w:r>
    </w:p>
    <w:p w14:paraId="7DFD1D5D" w14:textId="77777777" w:rsidR="00D02FF1" w:rsidRPr="00BF26F2" w:rsidRDefault="00D02FF1" w:rsidP="00BF26F2">
      <w:pPr>
        <w:adjustRightInd w:val="0"/>
        <w:snapToGrid w:val="0"/>
        <w:spacing w:line="360" w:lineRule="auto"/>
        <w:jc w:val="both"/>
        <w:rPr>
          <w:rFonts w:ascii="Book Antiqua" w:hAnsi="Book Antiqua"/>
        </w:rPr>
      </w:pPr>
    </w:p>
    <w:p w14:paraId="725C75B0" w14:textId="697194A5" w:rsidR="00D02FF1" w:rsidRPr="00BF26F2" w:rsidRDefault="00D02FF1" w:rsidP="00BF26F2">
      <w:pPr>
        <w:adjustRightInd w:val="0"/>
        <w:snapToGrid w:val="0"/>
        <w:spacing w:line="360" w:lineRule="auto"/>
        <w:jc w:val="both"/>
        <w:rPr>
          <w:rFonts w:ascii="Book Antiqua" w:hAnsi="Book Antiqua"/>
        </w:rPr>
      </w:pPr>
      <w:r w:rsidRPr="00BF26F2">
        <w:rPr>
          <w:rFonts w:ascii="Book Antiqua" w:eastAsia="Book Antiqua" w:hAnsi="Book Antiqua" w:cs="Book Antiqua"/>
          <w:b/>
        </w:rPr>
        <w:t xml:space="preserve">P-Reviewer: </w:t>
      </w:r>
      <w:r w:rsidRPr="00BF26F2">
        <w:rPr>
          <w:rFonts w:ascii="Book Antiqua" w:eastAsia="Book Antiqua" w:hAnsi="Book Antiqua" w:cs="Book Antiqua"/>
        </w:rPr>
        <w:t>Vasant DH</w:t>
      </w:r>
      <w:r w:rsidRPr="00BF26F2">
        <w:rPr>
          <w:rFonts w:ascii="Book Antiqua" w:eastAsia="Book Antiqua" w:hAnsi="Book Antiqua" w:cs="Book Antiqua"/>
          <w:b/>
        </w:rPr>
        <w:t xml:space="preserve"> S-Editor: </w:t>
      </w:r>
      <w:r w:rsidRPr="00BF26F2">
        <w:rPr>
          <w:rFonts w:ascii="Book Antiqua" w:eastAsia="Book Antiqua" w:hAnsi="Book Antiqua" w:cs="Book Antiqua"/>
        </w:rPr>
        <w:t>Liu</w:t>
      </w:r>
      <w:r w:rsidR="00C55683" w:rsidRPr="00BF26F2">
        <w:rPr>
          <w:rFonts w:ascii="Book Antiqua" w:eastAsia="Book Antiqua" w:hAnsi="Book Antiqua" w:cs="Book Antiqua"/>
        </w:rPr>
        <w:t xml:space="preserve"> M</w:t>
      </w:r>
      <w:r w:rsidR="00806BF7" w:rsidRPr="00BF26F2">
        <w:rPr>
          <w:rFonts w:ascii="Book Antiqua" w:eastAsia="Book Antiqua" w:hAnsi="Book Antiqua" w:cs="Book Antiqua"/>
        </w:rPr>
        <w:t xml:space="preserve"> </w:t>
      </w:r>
      <w:r w:rsidRPr="00BF26F2">
        <w:rPr>
          <w:rFonts w:ascii="Book Antiqua" w:eastAsia="Book Antiqua" w:hAnsi="Book Antiqua" w:cs="Book Antiqua"/>
          <w:b/>
        </w:rPr>
        <w:t>L-Editor:</w:t>
      </w:r>
      <w:r w:rsidR="006122FD" w:rsidRPr="00BF26F2">
        <w:rPr>
          <w:rFonts w:ascii="Book Antiqua" w:eastAsia="Book Antiqua" w:hAnsi="Book Antiqua" w:cs="Book Antiqua"/>
          <w:b/>
        </w:rPr>
        <w:t xml:space="preserve"> </w:t>
      </w:r>
      <w:r w:rsidR="00FF5FCC" w:rsidRPr="00BF26F2">
        <w:rPr>
          <w:rFonts w:ascii="Book Antiqua" w:eastAsia="Book Antiqua" w:hAnsi="Book Antiqua" w:cs="Book Antiqua"/>
          <w:bCs/>
        </w:rPr>
        <w:t xml:space="preserve">Filipodia </w:t>
      </w:r>
      <w:r w:rsidRPr="00BF26F2">
        <w:rPr>
          <w:rFonts w:ascii="Book Antiqua" w:eastAsia="Book Antiqua" w:hAnsi="Book Antiqua" w:cs="Book Antiqua"/>
          <w:b/>
        </w:rPr>
        <w:t xml:space="preserve">P-Editor: </w:t>
      </w:r>
    </w:p>
    <w:p w14:paraId="4B7B623F" w14:textId="6984D0CE" w:rsidR="00342D2B" w:rsidRPr="00BF26F2" w:rsidRDefault="00342D2B" w:rsidP="00BF26F2">
      <w:pPr>
        <w:adjustRightInd w:val="0"/>
        <w:snapToGrid w:val="0"/>
        <w:spacing w:line="360" w:lineRule="auto"/>
        <w:jc w:val="both"/>
        <w:rPr>
          <w:rFonts w:ascii="Book Antiqua" w:eastAsia="Book Antiqua" w:hAnsi="Book Antiqua" w:cs="Book Antiqua"/>
          <w:b/>
        </w:rPr>
      </w:pPr>
      <w:r w:rsidRPr="00BF26F2">
        <w:rPr>
          <w:rFonts w:ascii="Book Antiqua" w:eastAsia="Book Antiqua" w:hAnsi="Book Antiqua" w:cs="Book Antiqua"/>
          <w:b/>
        </w:rPr>
        <w:br w:type="page"/>
      </w:r>
      <w:r w:rsidR="00117F7B" w:rsidRPr="00BF26F2">
        <w:rPr>
          <w:rFonts w:ascii="Book Antiqua" w:eastAsia="Book Antiqua" w:hAnsi="Book Antiqua" w:cs="Book Antiqua"/>
          <w:b/>
        </w:rPr>
        <w:lastRenderedPageBreak/>
        <w:t>Figure Legends</w:t>
      </w:r>
    </w:p>
    <w:p w14:paraId="3369FE09" w14:textId="157B0A33" w:rsidR="00A77B3E" w:rsidRPr="00BF26F2" w:rsidRDefault="00117F7B" w:rsidP="00BF26F2">
      <w:pPr>
        <w:adjustRightInd w:val="0"/>
        <w:snapToGrid w:val="0"/>
        <w:spacing w:line="360" w:lineRule="auto"/>
        <w:jc w:val="both"/>
        <w:rPr>
          <w:rFonts w:ascii="Book Antiqua" w:hAnsi="Book Antiqua"/>
        </w:rPr>
      </w:pPr>
      <w:r w:rsidRPr="00BF26F2">
        <w:rPr>
          <w:rFonts w:ascii="Book Antiqua" w:hAnsi="Book Antiqua"/>
          <w:noProof/>
          <w:lang w:eastAsia="zh-CN"/>
        </w:rPr>
        <w:drawing>
          <wp:inline distT="0" distB="0" distL="0" distR="0" wp14:anchorId="34635F9A" wp14:editId="0DB66FA5">
            <wp:extent cx="5958819" cy="34766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3089" cy="3484951"/>
                    </a:xfrm>
                    <a:prstGeom prst="rect">
                      <a:avLst/>
                    </a:prstGeom>
                    <a:noFill/>
                  </pic:spPr>
                </pic:pic>
              </a:graphicData>
            </a:graphic>
          </wp:inline>
        </w:drawing>
      </w:r>
    </w:p>
    <w:p w14:paraId="2E9E4EE6" w14:textId="05048AB9" w:rsidR="003534E4" w:rsidRPr="00BF26F2" w:rsidRDefault="00117F7B" w:rsidP="00BF26F2">
      <w:pPr>
        <w:adjustRightInd w:val="0"/>
        <w:snapToGrid w:val="0"/>
        <w:spacing w:line="360" w:lineRule="auto"/>
        <w:jc w:val="both"/>
        <w:rPr>
          <w:rFonts w:ascii="Book Antiqua" w:hAnsi="Book Antiqua"/>
          <w:lang w:bidi="he-IL"/>
        </w:rPr>
      </w:pPr>
      <w:r w:rsidRPr="00BF26F2">
        <w:rPr>
          <w:rFonts w:ascii="Book Antiqua" w:hAnsi="Book Antiqua"/>
          <w:b/>
          <w:bCs/>
          <w:lang w:bidi="he-IL"/>
        </w:rPr>
        <w:t>Fig</w:t>
      </w:r>
      <w:r w:rsidRPr="00BF26F2">
        <w:rPr>
          <w:rFonts w:ascii="Book Antiqua" w:hAnsi="Book Antiqua"/>
          <w:b/>
          <w:bCs/>
          <w:lang w:eastAsia="zh-CN" w:bidi="he-IL"/>
        </w:rPr>
        <w:t>ure</w:t>
      </w:r>
      <w:r w:rsidRPr="00BF26F2">
        <w:rPr>
          <w:rFonts w:ascii="Book Antiqua" w:hAnsi="Book Antiqua"/>
          <w:b/>
          <w:bCs/>
          <w:lang w:bidi="he-IL"/>
        </w:rPr>
        <w:t xml:space="preserve"> 1 Gastrointestinal comorbidity among young adults with or without attention deficit hyperactivity disorder. </w:t>
      </w:r>
      <w:bookmarkStart w:id="4" w:name="_Hlk49612900"/>
      <w:r w:rsidRPr="00BF26F2">
        <w:rPr>
          <w:rFonts w:ascii="Book Antiqua" w:hAnsi="Book Antiqua"/>
          <w:lang w:bidi="he-IL"/>
        </w:rPr>
        <w:t>ADHD:</w:t>
      </w:r>
      <w:r w:rsidRPr="00BF26F2">
        <w:rPr>
          <w:rFonts w:ascii="Book Antiqua" w:hAnsi="Book Antiqua"/>
          <w:b/>
          <w:bCs/>
          <w:lang w:bidi="he-IL"/>
        </w:rPr>
        <w:t xml:space="preserve"> </w:t>
      </w:r>
      <w:r w:rsidRPr="00BF26F2">
        <w:rPr>
          <w:rFonts w:ascii="Book Antiqua" w:hAnsi="Book Antiqua"/>
          <w:lang w:bidi="he-IL"/>
        </w:rPr>
        <w:t xml:space="preserve">Attention deficit hyperactivity disorder; </w:t>
      </w:r>
      <w:r w:rsidR="00454DE9" w:rsidRPr="00BF26F2">
        <w:rPr>
          <w:rFonts w:ascii="Book Antiqua" w:hAnsi="Book Antiqua"/>
          <w:lang w:bidi="he-IL"/>
        </w:rPr>
        <w:t>IBD:</w:t>
      </w:r>
      <w:r w:rsidR="00454DE9" w:rsidRPr="00BF26F2">
        <w:rPr>
          <w:rFonts w:ascii="Book Antiqua" w:hAnsi="Book Antiqua"/>
        </w:rPr>
        <w:t xml:space="preserve"> </w:t>
      </w:r>
      <w:r w:rsidR="00454DE9" w:rsidRPr="00BF26F2">
        <w:rPr>
          <w:rFonts w:ascii="Book Antiqua" w:hAnsi="Book Antiqua"/>
          <w:caps/>
        </w:rPr>
        <w:t>i</w:t>
      </w:r>
      <w:r w:rsidR="00454DE9" w:rsidRPr="00BF26F2">
        <w:rPr>
          <w:rFonts w:ascii="Book Antiqua" w:hAnsi="Book Antiqua"/>
        </w:rPr>
        <w:t>nflammatory bowel diseases</w:t>
      </w:r>
      <w:r w:rsidR="00454DE9">
        <w:rPr>
          <w:rFonts w:ascii="Book Antiqua" w:hAnsi="Book Antiqua"/>
        </w:rPr>
        <w:t>;</w:t>
      </w:r>
      <w:r w:rsidR="00454DE9" w:rsidRPr="00BF26F2">
        <w:rPr>
          <w:rFonts w:ascii="Book Antiqua" w:hAnsi="Book Antiqua"/>
          <w:lang w:bidi="he-IL"/>
        </w:rPr>
        <w:t xml:space="preserve"> </w:t>
      </w:r>
      <w:r w:rsidRPr="00BF26F2">
        <w:rPr>
          <w:rFonts w:ascii="Book Antiqua" w:hAnsi="Book Antiqua"/>
          <w:lang w:bidi="he-IL"/>
        </w:rPr>
        <w:t>IBS: Irritable bowel syndrome.</w:t>
      </w:r>
    </w:p>
    <w:p w14:paraId="22B2A6B5" w14:textId="77777777" w:rsidR="003534E4" w:rsidRPr="00BF26F2" w:rsidRDefault="003534E4" w:rsidP="00BF26F2">
      <w:pPr>
        <w:adjustRightInd w:val="0"/>
        <w:snapToGrid w:val="0"/>
        <w:spacing w:line="360" w:lineRule="auto"/>
        <w:rPr>
          <w:rFonts w:ascii="Book Antiqua" w:hAnsi="Book Antiqua"/>
          <w:lang w:bidi="he-IL"/>
        </w:rPr>
      </w:pPr>
      <w:r w:rsidRPr="00BF26F2">
        <w:rPr>
          <w:rFonts w:ascii="Book Antiqua" w:hAnsi="Book Antiqua"/>
          <w:lang w:bidi="he-IL"/>
        </w:rPr>
        <w:br w:type="page"/>
      </w:r>
    </w:p>
    <w:bookmarkEnd w:id="4"/>
    <w:p w14:paraId="4506BD70" w14:textId="37D84377" w:rsidR="00117F7B" w:rsidRPr="00BF26F2" w:rsidRDefault="003534E4" w:rsidP="00BF26F2">
      <w:pPr>
        <w:adjustRightInd w:val="0"/>
        <w:snapToGrid w:val="0"/>
        <w:spacing w:line="360" w:lineRule="auto"/>
        <w:jc w:val="both"/>
        <w:rPr>
          <w:rFonts w:ascii="Book Antiqua" w:hAnsi="Book Antiqua"/>
          <w:lang w:bidi="he-IL"/>
        </w:rPr>
      </w:pPr>
      <w:r w:rsidRPr="00BF26F2">
        <w:rPr>
          <w:rFonts w:ascii="Book Antiqua" w:hAnsi="Book Antiqua"/>
          <w:noProof/>
          <w:lang w:eastAsia="zh-CN"/>
        </w:rPr>
        <w:lastRenderedPageBreak/>
        <w:drawing>
          <wp:inline distT="0" distB="0" distL="0" distR="0" wp14:anchorId="12A22F1E" wp14:editId="4B190905">
            <wp:extent cx="5943600" cy="3606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06800"/>
                    </a:xfrm>
                    <a:prstGeom prst="rect">
                      <a:avLst/>
                    </a:prstGeom>
                  </pic:spPr>
                </pic:pic>
              </a:graphicData>
            </a:graphic>
          </wp:inline>
        </w:drawing>
      </w:r>
    </w:p>
    <w:p w14:paraId="5D0CB78D" w14:textId="29822D19" w:rsidR="00117F7B" w:rsidRPr="00BF26F2" w:rsidRDefault="00117F7B" w:rsidP="00BF26F2">
      <w:pPr>
        <w:adjustRightInd w:val="0"/>
        <w:snapToGrid w:val="0"/>
        <w:spacing w:line="360" w:lineRule="auto"/>
        <w:jc w:val="both"/>
        <w:rPr>
          <w:rFonts w:ascii="Book Antiqua" w:hAnsi="Book Antiqua"/>
          <w:b/>
          <w:bCs/>
          <w:lang w:bidi="he-IL"/>
        </w:rPr>
      </w:pPr>
      <w:r w:rsidRPr="00BF26F2">
        <w:rPr>
          <w:rFonts w:ascii="Book Antiqua" w:hAnsi="Book Antiqua"/>
          <w:b/>
          <w:bCs/>
          <w:lang w:bidi="he-IL"/>
        </w:rPr>
        <w:t>Fig</w:t>
      </w:r>
      <w:r w:rsidRPr="00BF26F2">
        <w:rPr>
          <w:rFonts w:ascii="Book Antiqua" w:hAnsi="Book Antiqua"/>
          <w:b/>
          <w:bCs/>
          <w:lang w:eastAsia="zh-CN" w:bidi="he-IL"/>
        </w:rPr>
        <w:t>ure</w:t>
      </w:r>
      <w:r w:rsidRPr="00BF26F2">
        <w:rPr>
          <w:rFonts w:ascii="Book Antiqua" w:hAnsi="Book Antiqua"/>
          <w:b/>
          <w:bCs/>
          <w:lang w:bidi="he-IL"/>
        </w:rPr>
        <w:t xml:space="preserve"> 2 Association between gastrointestinal comorbidity and methylphenidate prescription to young adults with attention deficit hyperactivity disorder.</w:t>
      </w:r>
      <w:r w:rsidRPr="00BF26F2">
        <w:rPr>
          <w:rFonts w:ascii="Book Antiqua" w:hAnsi="Book Antiqua"/>
          <w:lang w:bidi="he-IL"/>
        </w:rPr>
        <w:t xml:space="preserve"> ADHD:</w:t>
      </w:r>
      <w:r w:rsidRPr="00BF26F2">
        <w:rPr>
          <w:rFonts w:ascii="Book Antiqua" w:hAnsi="Book Antiqua"/>
          <w:b/>
          <w:bCs/>
          <w:lang w:bidi="he-IL"/>
        </w:rPr>
        <w:t xml:space="preserve"> </w:t>
      </w:r>
      <w:r w:rsidRPr="00BF26F2">
        <w:rPr>
          <w:rFonts w:ascii="Book Antiqua" w:hAnsi="Book Antiqua"/>
          <w:lang w:bidi="he-IL"/>
        </w:rPr>
        <w:t xml:space="preserve">Attention deficit hyperactivity disorder; </w:t>
      </w:r>
      <w:r w:rsidR="00454DE9" w:rsidRPr="00BF26F2">
        <w:rPr>
          <w:rFonts w:ascii="Book Antiqua" w:hAnsi="Book Antiqua"/>
          <w:lang w:bidi="he-IL"/>
        </w:rPr>
        <w:t>IBD:</w:t>
      </w:r>
      <w:r w:rsidR="00454DE9" w:rsidRPr="00BF26F2">
        <w:rPr>
          <w:rFonts w:ascii="Book Antiqua" w:hAnsi="Book Antiqua"/>
        </w:rPr>
        <w:t xml:space="preserve"> </w:t>
      </w:r>
      <w:r w:rsidR="00454DE9" w:rsidRPr="00BF26F2">
        <w:rPr>
          <w:rFonts w:ascii="Book Antiqua" w:hAnsi="Book Antiqua"/>
          <w:caps/>
        </w:rPr>
        <w:t>i</w:t>
      </w:r>
      <w:r w:rsidR="00454DE9" w:rsidRPr="00BF26F2">
        <w:rPr>
          <w:rFonts w:ascii="Book Antiqua" w:hAnsi="Book Antiqua"/>
        </w:rPr>
        <w:t>nflammatory bowel diseases</w:t>
      </w:r>
      <w:r w:rsidR="00454DE9">
        <w:rPr>
          <w:rFonts w:ascii="Book Antiqua" w:hAnsi="Book Antiqua"/>
          <w:lang w:bidi="he-IL"/>
        </w:rPr>
        <w:t xml:space="preserve">; </w:t>
      </w:r>
      <w:r w:rsidRPr="00BF26F2">
        <w:rPr>
          <w:rFonts w:ascii="Book Antiqua" w:hAnsi="Book Antiqua"/>
          <w:lang w:bidi="he-IL"/>
        </w:rPr>
        <w:t>IBS: Irritable bowel syndrome</w:t>
      </w:r>
      <w:r w:rsidR="00454DE9">
        <w:rPr>
          <w:rFonts w:ascii="Book Antiqua" w:hAnsi="Book Antiqua"/>
          <w:lang w:bidi="he-IL"/>
        </w:rPr>
        <w:t>.</w:t>
      </w:r>
      <w:r w:rsidRPr="00BF26F2">
        <w:rPr>
          <w:rFonts w:ascii="Book Antiqua" w:hAnsi="Book Antiqua"/>
          <w:lang w:bidi="he-IL"/>
        </w:rPr>
        <w:t xml:space="preserve"> </w:t>
      </w:r>
    </w:p>
    <w:p w14:paraId="7C62904C" w14:textId="77777777" w:rsidR="00117F7B" w:rsidRPr="00BF26F2" w:rsidRDefault="00117F7B" w:rsidP="00BF26F2">
      <w:pPr>
        <w:adjustRightInd w:val="0"/>
        <w:snapToGrid w:val="0"/>
        <w:spacing w:line="360" w:lineRule="auto"/>
        <w:jc w:val="both"/>
        <w:rPr>
          <w:rFonts w:ascii="Book Antiqua" w:hAnsi="Book Antiqua"/>
        </w:rPr>
      </w:pPr>
      <w:r w:rsidRPr="00BF26F2">
        <w:rPr>
          <w:rFonts w:ascii="Book Antiqua" w:hAnsi="Book Antiqua"/>
        </w:rPr>
        <w:br w:type="page"/>
      </w:r>
      <w:r w:rsidRPr="00BF26F2">
        <w:rPr>
          <w:rFonts w:ascii="Book Antiqua" w:hAnsi="Book Antiqua"/>
          <w:b/>
          <w:bCs/>
        </w:rPr>
        <w:lastRenderedPageBreak/>
        <w:t xml:space="preserve">Table 1 Sociodemographic characteristics of young adults with and without attention deficit hyperactivity disorder </w:t>
      </w:r>
    </w:p>
    <w:tbl>
      <w:tblPr>
        <w:tblStyle w:val="21"/>
        <w:bidiVisual/>
        <w:tblW w:w="9247" w:type="dxa"/>
        <w:tblInd w:w="-80" w:type="dxa"/>
        <w:tblLook w:val="0620" w:firstRow="1" w:lastRow="0" w:firstColumn="0" w:lastColumn="0" w:noHBand="1" w:noVBand="1"/>
      </w:tblPr>
      <w:tblGrid>
        <w:gridCol w:w="80"/>
        <w:gridCol w:w="1998"/>
        <w:gridCol w:w="1770"/>
        <w:gridCol w:w="81"/>
        <w:gridCol w:w="2599"/>
        <w:gridCol w:w="81"/>
        <w:gridCol w:w="2557"/>
        <w:gridCol w:w="81"/>
      </w:tblGrid>
      <w:tr w:rsidR="00BF26F2" w:rsidRPr="00BF26F2" w14:paraId="6E3E1AD0" w14:textId="77777777" w:rsidTr="00692A76">
        <w:trPr>
          <w:gridBefore w:val="1"/>
          <w:cnfStyle w:val="100000000000" w:firstRow="1" w:lastRow="0" w:firstColumn="0" w:lastColumn="0" w:oddVBand="0" w:evenVBand="0" w:oddHBand="0" w:evenHBand="0" w:firstRowFirstColumn="0" w:firstRowLastColumn="0" w:lastRowFirstColumn="0" w:lastRowLastColumn="0"/>
          <w:wBefore w:w="80" w:type="dxa"/>
          <w:trHeight w:val="299"/>
        </w:trPr>
        <w:tc>
          <w:tcPr>
            <w:tcW w:w="3849" w:type="dxa"/>
            <w:gridSpan w:val="3"/>
            <w:noWrap/>
            <w:hideMark/>
          </w:tcPr>
          <w:p w14:paraId="0E16F0AB" w14:textId="0208F1A0"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ADHD</w:t>
            </w:r>
          </w:p>
        </w:tc>
        <w:tc>
          <w:tcPr>
            <w:tcW w:w="2680" w:type="dxa"/>
            <w:gridSpan w:val="2"/>
            <w:tcBorders>
              <w:top w:val="single" w:sz="4" w:space="0" w:color="7F7F7F"/>
              <w:bottom w:val="single" w:sz="4" w:space="0" w:color="auto"/>
            </w:tcBorders>
            <w:noWrap/>
            <w:hideMark/>
          </w:tcPr>
          <w:p w14:paraId="211B8519"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 </w:t>
            </w:r>
          </w:p>
        </w:tc>
        <w:tc>
          <w:tcPr>
            <w:tcW w:w="2638" w:type="dxa"/>
            <w:gridSpan w:val="2"/>
            <w:tcBorders>
              <w:top w:val="single" w:sz="4" w:space="0" w:color="7F7F7F"/>
              <w:bottom w:val="single" w:sz="4" w:space="0" w:color="auto"/>
            </w:tcBorders>
            <w:noWrap/>
            <w:hideMark/>
          </w:tcPr>
          <w:p w14:paraId="37CDD3AB"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 </w:t>
            </w:r>
          </w:p>
        </w:tc>
      </w:tr>
      <w:tr w:rsidR="00BF26F2" w:rsidRPr="00BF26F2" w14:paraId="3987B26B" w14:textId="77777777" w:rsidTr="00BF26F2">
        <w:trPr>
          <w:gridAfter w:val="1"/>
          <w:wAfter w:w="81" w:type="dxa"/>
          <w:trHeight w:val="299"/>
        </w:trPr>
        <w:tc>
          <w:tcPr>
            <w:tcW w:w="2078" w:type="dxa"/>
            <w:gridSpan w:val="2"/>
            <w:noWrap/>
            <w:hideMark/>
          </w:tcPr>
          <w:p w14:paraId="5F9799A4"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Yes</w:t>
            </w:r>
          </w:p>
        </w:tc>
        <w:tc>
          <w:tcPr>
            <w:tcW w:w="1770" w:type="dxa"/>
            <w:noWrap/>
            <w:hideMark/>
          </w:tcPr>
          <w:p w14:paraId="55EE20FD"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No</w:t>
            </w:r>
          </w:p>
        </w:tc>
        <w:tc>
          <w:tcPr>
            <w:tcW w:w="2680" w:type="dxa"/>
            <w:gridSpan w:val="2"/>
            <w:hideMark/>
          </w:tcPr>
          <w:p w14:paraId="2B745FC8" w14:textId="77777777" w:rsidR="00117F7B" w:rsidRPr="00BF26F2" w:rsidRDefault="00117F7B" w:rsidP="00BF26F2">
            <w:pPr>
              <w:adjustRightInd w:val="0"/>
              <w:snapToGrid w:val="0"/>
              <w:spacing w:line="360" w:lineRule="auto"/>
              <w:jc w:val="both"/>
              <w:rPr>
                <w:rFonts w:ascii="Book Antiqua" w:eastAsia="Times New Roman" w:hAnsi="Book Antiqua"/>
                <w:b/>
                <w:bCs/>
              </w:rPr>
            </w:pPr>
          </w:p>
        </w:tc>
        <w:tc>
          <w:tcPr>
            <w:tcW w:w="2638" w:type="dxa"/>
            <w:gridSpan w:val="2"/>
            <w:vMerge w:val="restart"/>
            <w:hideMark/>
          </w:tcPr>
          <w:p w14:paraId="2A8B3547" w14:textId="77777777" w:rsidR="00117F7B" w:rsidRPr="00BF26F2" w:rsidRDefault="00117F7B" w:rsidP="00BF26F2">
            <w:pPr>
              <w:adjustRightInd w:val="0"/>
              <w:snapToGrid w:val="0"/>
              <w:spacing w:line="360" w:lineRule="auto"/>
              <w:jc w:val="both"/>
              <w:rPr>
                <w:rFonts w:ascii="Book Antiqua" w:eastAsia="Times New Roman" w:hAnsi="Book Antiqua"/>
                <w:b/>
                <w:bCs/>
              </w:rPr>
            </w:pPr>
          </w:p>
        </w:tc>
      </w:tr>
      <w:tr w:rsidR="00BF26F2" w:rsidRPr="00BF26F2" w14:paraId="6B05CF3B" w14:textId="77777777" w:rsidTr="00BF26F2">
        <w:trPr>
          <w:gridAfter w:val="1"/>
          <w:wAfter w:w="81" w:type="dxa"/>
          <w:trHeight w:val="299"/>
        </w:trPr>
        <w:tc>
          <w:tcPr>
            <w:tcW w:w="2078" w:type="dxa"/>
            <w:gridSpan w:val="2"/>
            <w:noWrap/>
            <w:hideMark/>
          </w:tcPr>
          <w:p w14:paraId="25D4939B" w14:textId="3C1CB609"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33</w:t>
            </w:r>
            <w:r w:rsidR="00454DE9">
              <w:rPr>
                <w:rFonts w:ascii="Book Antiqua" w:eastAsia="Times New Roman" w:hAnsi="Book Antiqua"/>
              </w:rPr>
              <w:t>,</w:t>
            </w:r>
            <w:r w:rsidRPr="00BF26F2">
              <w:rPr>
                <w:rFonts w:ascii="Book Antiqua" w:eastAsia="Times New Roman" w:hAnsi="Book Antiqua"/>
              </w:rPr>
              <w:t>380</w:t>
            </w:r>
          </w:p>
        </w:tc>
        <w:tc>
          <w:tcPr>
            <w:tcW w:w="1770" w:type="dxa"/>
            <w:noWrap/>
            <w:hideMark/>
          </w:tcPr>
          <w:p w14:paraId="672F67E4" w14:textId="1791A9D5"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355</w:t>
            </w:r>
            <w:r w:rsidR="00454DE9">
              <w:rPr>
                <w:rFonts w:ascii="Book Antiqua" w:eastAsia="Times New Roman" w:hAnsi="Book Antiqua"/>
              </w:rPr>
              <w:t>,</w:t>
            </w:r>
            <w:r w:rsidRPr="00BF26F2">
              <w:rPr>
                <w:rFonts w:ascii="Book Antiqua" w:eastAsia="Times New Roman" w:hAnsi="Book Antiqua"/>
              </w:rPr>
              <w:t>652</w:t>
            </w:r>
          </w:p>
        </w:tc>
        <w:tc>
          <w:tcPr>
            <w:tcW w:w="2680" w:type="dxa"/>
            <w:gridSpan w:val="2"/>
            <w:noWrap/>
            <w:hideMark/>
          </w:tcPr>
          <w:p w14:paraId="20B173B7"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Number of participants</w:t>
            </w:r>
          </w:p>
        </w:tc>
        <w:tc>
          <w:tcPr>
            <w:tcW w:w="2638" w:type="dxa"/>
            <w:gridSpan w:val="2"/>
            <w:vMerge/>
            <w:hideMark/>
          </w:tcPr>
          <w:p w14:paraId="52B0FDCF" w14:textId="77777777" w:rsidR="00117F7B" w:rsidRPr="00BF26F2" w:rsidRDefault="00117F7B" w:rsidP="00BF26F2">
            <w:pPr>
              <w:adjustRightInd w:val="0"/>
              <w:snapToGrid w:val="0"/>
              <w:spacing w:line="360" w:lineRule="auto"/>
              <w:jc w:val="both"/>
              <w:rPr>
                <w:rFonts w:ascii="Book Antiqua" w:eastAsia="Times New Roman" w:hAnsi="Book Antiqua"/>
                <w:b/>
                <w:bCs/>
              </w:rPr>
            </w:pPr>
          </w:p>
        </w:tc>
      </w:tr>
      <w:tr w:rsidR="00BF26F2" w:rsidRPr="00BF26F2" w14:paraId="5E60F56D" w14:textId="77777777" w:rsidTr="00BF26F2">
        <w:trPr>
          <w:gridAfter w:val="1"/>
          <w:wAfter w:w="81" w:type="dxa"/>
          <w:trHeight w:val="284"/>
        </w:trPr>
        <w:tc>
          <w:tcPr>
            <w:tcW w:w="2078" w:type="dxa"/>
            <w:gridSpan w:val="2"/>
            <w:noWrap/>
            <w:hideMark/>
          </w:tcPr>
          <w:p w14:paraId="58EBECE3"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43.30%</w:t>
            </w:r>
          </w:p>
        </w:tc>
        <w:tc>
          <w:tcPr>
            <w:tcW w:w="1770" w:type="dxa"/>
            <w:noWrap/>
            <w:hideMark/>
          </w:tcPr>
          <w:p w14:paraId="6DEBB460"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41.10%</w:t>
            </w:r>
          </w:p>
        </w:tc>
        <w:tc>
          <w:tcPr>
            <w:tcW w:w="2680" w:type="dxa"/>
            <w:gridSpan w:val="2"/>
            <w:noWrap/>
            <w:hideMark/>
          </w:tcPr>
          <w:p w14:paraId="0673C702"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Female</w:t>
            </w:r>
          </w:p>
        </w:tc>
        <w:tc>
          <w:tcPr>
            <w:tcW w:w="2638" w:type="dxa"/>
            <w:gridSpan w:val="2"/>
            <w:vMerge w:val="restart"/>
            <w:noWrap/>
            <w:hideMark/>
          </w:tcPr>
          <w:p w14:paraId="22A63C38"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Gender</w:t>
            </w:r>
          </w:p>
        </w:tc>
      </w:tr>
      <w:tr w:rsidR="00BF26F2" w:rsidRPr="00BF26F2" w14:paraId="04F88170" w14:textId="77777777" w:rsidTr="00BF26F2">
        <w:trPr>
          <w:gridAfter w:val="1"/>
          <w:wAfter w:w="81" w:type="dxa"/>
          <w:trHeight w:val="284"/>
        </w:trPr>
        <w:tc>
          <w:tcPr>
            <w:tcW w:w="2078" w:type="dxa"/>
            <w:gridSpan w:val="2"/>
            <w:noWrap/>
            <w:hideMark/>
          </w:tcPr>
          <w:p w14:paraId="48B44292"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56.70%</w:t>
            </w:r>
          </w:p>
        </w:tc>
        <w:tc>
          <w:tcPr>
            <w:tcW w:w="1770" w:type="dxa"/>
            <w:noWrap/>
            <w:hideMark/>
          </w:tcPr>
          <w:p w14:paraId="466AAB10"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58.90%</w:t>
            </w:r>
          </w:p>
        </w:tc>
        <w:tc>
          <w:tcPr>
            <w:tcW w:w="2680" w:type="dxa"/>
            <w:gridSpan w:val="2"/>
            <w:noWrap/>
            <w:hideMark/>
          </w:tcPr>
          <w:p w14:paraId="05315E5B"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Male</w:t>
            </w:r>
          </w:p>
        </w:tc>
        <w:tc>
          <w:tcPr>
            <w:tcW w:w="2638" w:type="dxa"/>
            <w:gridSpan w:val="2"/>
            <w:vMerge/>
            <w:hideMark/>
          </w:tcPr>
          <w:p w14:paraId="51FD7EDB" w14:textId="77777777" w:rsidR="00117F7B" w:rsidRPr="00BF26F2" w:rsidRDefault="00117F7B" w:rsidP="00BF26F2">
            <w:pPr>
              <w:adjustRightInd w:val="0"/>
              <w:snapToGrid w:val="0"/>
              <w:spacing w:line="360" w:lineRule="auto"/>
              <w:jc w:val="both"/>
              <w:rPr>
                <w:rFonts w:ascii="Book Antiqua" w:eastAsia="Times New Roman" w:hAnsi="Book Antiqua"/>
              </w:rPr>
            </w:pPr>
          </w:p>
        </w:tc>
      </w:tr>
      <w:tr w:rsidR="00BF26F2" w:rsidRPr="00BF26F2" w14:paraId="69798627" w14:textId="77777777" w:rsidTr="00BF26F2">
        <w:trPr>
          <w:gridAfter w:val="1"/>
          <w:wAfter w:w="81" w:type="dxa"/>
          <w:trHeight w:val="284"/>
        </w:trPr>
        <w:tc>
          <w:tcPr>
            <w:tcW w:w="2078" w:type="dxa"/>
            <w:gridSpan w:val="2"/>
            <w:noWrap/>
            <w:hideMark/>
          </w:tcPr>
          <w:p w14:paraId="4C8A4C0D"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14.70%</w:t>
            </w:r>
          </w:p>
        </w:tc>
        <w:tc>
          <w:tcPr>
            <w:tcW w:w="1770" w:type="dxa"/>
            <w:noWrap/>
            <w:hideMark/>
          </w:tcPr>
          <w:p w14:paraId="7094688F"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26.30%</w:t>
            </w:r>
          </w:p>
        </w:tc>
        <w:tc>
          <w:tcPr>
            <w:tcW w:w="2680" w:type="dxa"/>
            <w:gridSpan w:val="2"/>
            <w:noWrap/>
            <w:hideMark/>
          </w:tcPr>
          <w:p w14:paraId="087C2DFD"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Low</w:t>
            </w:r>
          </w:p>
        </w:tc>
        <w:tc>
          <w:tcPr>
            <w:tcW w:w="2638" w:type="dxa"/>
            <w:gridSpan w:val="2"/>
            <w:vMerge w:val="restart"/>
            <w:noWrap/>
            <w:hideMark/>
          </w:tcPr>
          <w:p w14:paraId="1EFCF617"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 xml:space="preserve">Socioeconomic status </w:t>
            </w:r>
          </w:p>
        </w:tc>
      </w:tr>
      <w:tr w:rsidR="00BF26F2" w:rsidRPr="00BF26F2" w14:paraId="33D3874C" w14:textId="77777777" w:rsidTr="00BF26F2">
        <w:trPr>
          <w:gridAfter w:val="1"/>
          <w:wAfter w:w="81" w:type="dxa"/>
          <w:trHeight w:val="284"/>
        </w:trPr>
        <w:tc>
          <w:tcPr>
            <w:tcW w:w="2078" w:type="dxa"/>
            <w:gridSpan w:val="2"/>
            <w:noWrap/>
            <w:hideMark/>
          </w:tcPr>
          <w:p w14:paraId="761C700A"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50.30%</w:t>
            </w:r>
          </w:p>
        </w:tc>
        <w:tc>
          <w:tcPr>
            <w:tcW w:w="1770" w:type="dxa"/>
            <w:noWrap/>
            <w:hideMark/>
          </w:tcPr>
          <w:p w14:paraId="3C0322B9"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53.30%</w:t>
            </w:r>
          </w:p>
        </w:tc>
        <w:tc>
          <w:tcPr>
            <w:tcW w:w="2680" w:type="dxa"/>
            <w:gridSpan w:val="2"/>
            <w:noWrap/>
            <w:hideMark/>
          </w:tcPr>
          <w:p w14:paraId="5F57ED0B"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Medium</w:t>
            </w:r>
          </w:p>
        </w:tc>
        <w:tc>
          <w:tcPr>
            <w:tcW w:w="2638" w:type="dxa"/>
            <w:gridSpan w:val="2"/>
            <w:vMerge/>
            <w:hideMark/>
          </w:tcPr>
          <w:p w14:paraId="4B2DB708" w14:textId="77777777" w:rsidR="00117F7B" w:rsidRPr="00BF26F2" w:rsidRDefault="00117F7B" w:rsidP="00BF26F2">
            <w:pPr>
              <w:adjustRightInd w:val="0"/>
              <w:snapToGrid w:val="0"/>
              <w:spacing w:line="360" w:lineRule="auto"/>
              <w:jc w:val="both"/>
              <w:rPr>
                <w:rFonts w:ascii="Book Antiqua" w:eastAsia="Times New Roman" w:hAnsi="Book Antiqua"/>
              </w:rPr>
            </w:pPr>
          </w:p>
        </w:tc>
      </w:tr>
      <w:tr w:rsidR="00BF26F2" w:rsidRPr="00BF26F2" w14:paraId="404D5364" w14:textId="77777777" w:rsidTr="00BF26F2">
        <w:trPr>
          <w:gridAfter w:val="1"/>
          <w:wAfter w:w="81" w:type="dxa"/>
          <w:trHeight w:val="284"/>
        </w:trPr>
        <w:tc>
          <w:tcPr>
            <w:tcW w:w="2078" w:type="dxa"/>
            <w:gridSpan w:val="2"/>
            <w:noWrap/>
            <w:hideMark/>
          </w:tcPr>
          <w:p w14:paraId="54FA3CD5"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35.00%</w:t>
            </w:r>
          </w:p>
        </w:tc>
        <w:tc>
          <w:tcPr>
            <w:tcW w:w="1770" w:type="dxa"/>
            <w:noWrap/>
            <w:hideMark/>
          </w:tcPr>
          <w:p w14:paraId="1EFCA97F"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20.40%</w:t>
            </w:r>
          </w:p>
        </w:tc>
        <w:tc>
          <w:tcPr>
            <w:tcW w:w="2680" w:type="dxa"/>
            <w:gridSpan w:val="2"/>
            <w:noWrap/>
            <w:hideMark/>
          </w:tcPr>
          <w:p w14:paraId="5DFF391D"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High</w:t>
            </w:r>
          </w:p>
        </w:tc>
        <w:tc>
          <w:tcPr>
            <w:tcW w:w="2638" w:type="dxa"/>
            <w:gridSpan w:val="2"/>
            <w:vMerge/>
            <w:hideMark/>
          </w:tcPr>
          <w:p w14:paraId="233EEE6B" w14:textId="77777777" w:rsidR="00117F7B" w:rsidRPr="00BF26F2" w:rsidRDefault="00117F7B" w:rsidP="00BF26F2">
            <w:pPr>
              <w:adjustRightInd w:val="0"/>
              <w:snapToGrid w:val="0"/>
              <w:spacing w:line="360" w:lineRule="auto"/>
              <w:jc w:val="both"/>
              <w:rPr>
                <w:rFonts w:ascii="Book Antiqua" w:eastAsia="Times New Roman" w:hAnsi="Book Antiqua"/>
              </w:rPr>
            </w:pPr>
          </w:p>
        </w:tc>
      </w:tr>
      <w:tr w:rsidR="00BF26F2" w:rsidRPr="00BF26F2" w14:paraId="7C0102EB" w14:textId="77777777" w:rsidTr="00BF26F2">
        <w:trPr>
          <w:gridAfter w:val="1"/>
          <w:wAfter w:w="81" w:type="dxa"/>
          <w:trHeight w:val="284"/>
        </w:trPr>
        <w:tc>
          <w:tcPr>
            <w:tcW w:w="2078" w:type="dxa"/>
            <w:gridSpan w:val="2"/>
            <w:noWrap/>
            <w:hideMark/>
          </w:tcPr>
          <w:p w14:paraId="7184F8F8"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93.20%</w:t>
            </w:r>
          </w:p>
        </w:tc>
        <w:tc>
          <w:tcPr>
            <w:tcW w:w="1770" w:type="dxa"/>
            <w:noWrap/>
            <w:hideMark/>
          </w:tcPr>
          <w:p w14:paraId="1550338A"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94.20%</w:t>
            </w:r>
          </w:p>
        </w:tc>
        <w:tc>
          <w:tcPr>
            <w:tcW w:w="2680" w:type="dxa"/>
            <w:gridSpan w:val="2"/>
            <w:noWrap/>
            <w:hideMark/>
          </w:tcPr>
          <w:p w14:paraId="40D5E8E9"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12</w:t>
            </w:r>
          </w:p>
        </w:tc>
        <w:tc>
          <w:tcPr>
            <w:tcW w:w="2638" w:type="dxa"/>
            <w:gridSpan w:val="2"/>
            <w:vMerge w:val="restart"/>
            <w:noWrap/>
            <w:hideMark/>
          </w:tcPr>
          <w:p w14:paraId="6954F9D3"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Education</w:t>
            </w:r>
          </w:p>
        </w:tc>
      </w:tr>
      <w:tr w:rsidR="00BF26F2" w:rsidRPr="00BF26F2" w14:paraId="248319E6" w14:textId="77777777" w:rsidTr="00BF26F2">
        <w:trPr>
          <w:gridAfter w:val="1"/>
          <w:wAfter w:w="81" w:type="dxa"/>
          <w:trHeight w:val="284"/>
        </w:trPr>
        <w:tc>
          <w:tcPr>
            <w:tcW w:w="2078" w:type="dxa"/>
            <w:gridSpan w:val="2"/>
            <w:noWrap/>
            <w:hideMark/>
          </w:tcPr>
          <w:p w14:paraId="4DD9E775"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0.10%</w:t>
            </w:r>
          </w:p>
        </w:tc>
        <w:tc>
          <w:tcPr>
            <w:tcW w:w="1770" w:type="dxa"/>
            <w:noWrap/>
            <w:hideMark/>
          </w:tcPr>
          <w:p w14:paraId="3B915789"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0.30%</w:t>
            </w:r>
          </w:p>
        </w:tc>
        <w:tc>
          <w:tcPr>
            <w:tcW w:w="2680" w:type="dxa"/>
            <w:gridSpan w:val="2"/>
            <w:noWrap/>
            <w:hideMark/>
          </w:tcPr>
          <w:p w14:paraId="51D7E90D"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&lt; 12</w:t>
            </w:r>
          </w:p>
        </w:tc>
        <w:tc>
          <w:tcPr>
            <w:tcW w:w="2638" w:type="dxa"/>
            <w:gridSpan w:val="2"/>
            <w:vMerge/>
            <w:hideMark/>
          </w:tcPr>
          <w:p w14:paraId="63148019" w14:textId="77777777" w:rsidR="00117F7B" w:rsidRPr="00BF26F2" w:rsidRDefault="00117F7B" w:rsidP="00BF26F2">
            <w:pPr>
              <w:adjustRightInd w:val="0"/>
              <w:snapToGrid w:val="0"/>
              <w:spacing w:line="360" w:lineRule="auto"/>
              <w:jc w:val="both"/>
              <w:rPr>
                <w:rFonts w:ascii="Book Antiqua" w:eastAsia="Times New Roman" w:hAnsi="Book Antiqua"/>
              </w:rPr>
            </w:pPr>
          </w:p>
        </w:tc>
      </w:tr>
      <w:tr w:rsidR="00BF26F2" w:rsidRPr="00BF26F2" w14:paraId="7AA0BD45" w14:textId="77777777" w:rsidTr="00BF26F2">
        <w:trPr>
          <w:gridAfter w:val="1"/>
          <w:wAfter w:w="81" w:type="dxa"/>
          <w:trHeight w:val="284"/>
        </w:trPr>
        <w:tc>
          <w:tcPr>
            <w:tcW w:w="2078" w:type="dxa"/>
            <w:gridSpan w:val="2"/>
            <w:noWrap/>
            <w:hideMark/>
          </w:tcPr>
          <w:p w14:paraId="548545B9"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6.70%</w:t>
            </w:r>
          </w:p>
        </w:tc>
        <w:tc>
          <w:tcPr>
            <w:tcW w:w="1770" w:type="dxa"/>
            <w:noWrap/>
            <w:hideMark/>
          </w:tcPr>
          <w:p w14:paraId="17D0BAC1"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5.50%</w:t>
            </w:r>
          </w:p>
        </w:tc>
        <w:tc>
          <w:tcPr>
            <w:tcW w:w="2680" w:type="dxa"/>
            <w:gridSpan w:val="2"/>
            <w:noWrap/>
            <w:hideMark/>
          </w:tcPr>
          <w:p w14:paraId="3D992AD9"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&gt; 12</w:t>
            </w:r>
          </w:p>
        </w:tc>
        <w:tc>
          <w:tcPr>
            <w:tcW w:w="2638" w:type="dxa"/>
            <w:gridSpan w:val="2"/>
            <w:vMerge/>
            <w:hideMark/>
          </w:tcPr>
          <w:p w14:paraId="380D8B2B" w14:textId="77777777" w:rsidR="00117F7B" w:rsidRPr="00BF26F2" w:rsidRDefault="00117F7B" w:rsidP="00BF26F2">
            <w:pPr>
              <w:adjustRightInd w:val="0"/>
              <w:snapToGrid w:val="0"/>
              <w:spacing w:line="360" w:lineRule="auto"/>
              <w:jc w:val="both"/>
              <w:rPr>
                <w:rFonts w:ascii="Book Antiqua" w:eastAsia="Times New Roman" w:hAnsi="Book Antiqua"/>
              </w:rPr>
            </w:pPr>
          </w:p>
        </w:tc>
      </w:tr>
      <w:tr w:rsidR="00BF26F2" w:rsidRPr="00BF26F2" w14:paraId="4B64AD31" w14:textId="77777777" w:rsidTr="00BF26F2">
        <w:trPr>
          <w:gridAfter w:val="1"/>
          <w:wAfter w:w="81" w:type="dxa"/>
          <w:trHeight w:val="284"/>
        </w:trPr>
        <w:tc>
          <w:tcPr>
            <w:tcW w:w="2078" w:type="dxa"/>
            <w:gridSpan w:val="2"/>
            <w:noWrap/>
            <w:hideMark/>
          </w:tcPr>
          <w:p w14:paraId="0389F94E"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63.20%</w:t>
            </w:r>
          </w:p>
        </w:tc>
        <w:tc>
          <w:tcPr>
            <w:tcW w:w="1770" w:type="dxa"/>
            <w:noWrap/>
            <w:hideMark/>
          </w:tcPr>
          <w:p w14:paraId="5F2DD4EA"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68.10%</w:t>
            </w:r>
          </w:p>
        </w:tc>
        <w:tc>
          <w:tcPr>
            <w:tcW w:w="2680" w:type="dxa"/>
            <w:gridSpan w:val="2"/>
            <w:noWrap/>
            <w:hideMark/>
          </w:tcPr>
          <w:p w14:paraId="7C4DFBF5"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None or mild</w:t>
            </w:r>
          </w:p>
        </w:tc>
        <w:tc>
          <w:tcPr>
            <w:tcW w:w="2638" w:type="dxa"/>
            <w:gridSpan w:val="2"/>
            <w:vMerge w:val="restart"/>
            <w:noWrap/>
            <w:hideMark/>
          </w:tcPr>
          <w:p w14:paraId="56C7D5DF"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 xml:space="preserve">Comorbidities </w:t>
            </w:r>
          </w:p>
        </w:tc>
      </w:tr>
      <w:tr w:rsidR="00BF26F2" w:rsidRPr="00BF26F2" w14:paraId="4CED9E8C" w14:textId="77777777" w:rsidTr="00BF26F2">
        <w:trPr>
          <w:gridAfter w:val="1"/>
          <w:wAfter w:w="81" w:type="dxa"/>
          <w:trHeight w:val="284"/>
        </w:trPr>
        <w:tc>
          <w:tcPr>
            <w:tcW w:w="2078" w:type="dxa"/>
            <w:gridSpan w:val="2"/>
            <w:noWrap/>
            <w:hideMark/>
          </w:tcPr>
          <w:p w14:paraId="70552131"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9.80%</w:t>
            </w:r>
          </w:p>
        </w:tc>
        <w:tc>
          <w:tcPr>
            <w:tcW w:w="1770" w:type="dxa"/>
            <w:noWrap/>
            <w:hideMark/>
          </w:tcPr>
          <w:p w14:paraId="0CE74054"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9.20%</w:t>
            </w:r>
          </w:p>
        </w:tc>
        <w:tc>
          <w:tcPr>
            <w:tcW w:w="2680" w:type="dxa"/>
            <w:gridSpan w:val="2"/>
            <w:noWrap/>
            <w:hideMark/>
          </w:tcPr>
          <w:p w14:paraId="1E9B7CCE"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Mild to moderate</w:t>
            </w:r>
          </w:p>
        </w:tc>
        <w:tc>
          <w:tcPr>
            <w:tcW w:w="2638" w:type="dxa"/>
            <w:gridSpan w:val="2"/>
            <w:vMerge/>
            <w:hideMark/>
          </w:tcPr>
          <w:p w14:paraId="4E0FBDB5" w14:textId="77777777" w:rsidR="00117F7B" w:rsidRPr="00BF26F2" w:rsidRDefault="00117F7B" w:rsidP="00BF26F2">
            <w:pPr>
              <w:adjustRightInd w:val="0"/>
              <w:snapToGrid w:val="0"/>
              <w:spacing w:line="360" w:lineRule="auto"/>
              <w:jc w:val="both"/>
              <w:rPr>
                <w:rFonts w:ascii="Book Antiqua" w:eastAsia="Times New Roman" w:hAnsi="Book Antiqua"/>
              </w:rPr>
            </w:pPr>
          </w:p>
        </w:tc>
      </w:tr>
      <w:tr w:rsidR="00BF26F2" w:rsidRPr="00BF26F2" w14:paraId="6E80FED9" w14:textId="77777777" w:rsidTr="00BF26F2">
        <w:trPr>
          <w:gridAfter w:val="1"/>
          <w:wAfter w:w="81" w:type="dxa"/>
          <w:trHeight w:val="284"/>
        </w:trPr>
        <w:tc>
          <w:tcPr>
            <w:tcW w:w="2078" w:type="dxa"/>
            <w:gridSpan w:val="2"/>
            <w:noWrap/>
            <w:hideMark/>
          </w:tcPr>
          <w:p w14:paraId="52E839E0"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27.00%</w:t>
            </w:r>
          </w:p>
        </w:tc>
        <w:tc>
          <w:tcPr>
            <w:tcW w:w="1770" w:type="dxa"/>
            <w:noWrap/>
            <w:hideMark/>
          </w:tcPr>
          <w:p w14:paraId="3201181F"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22.60%</w:t>
            </w:r>
          </w:p>
        </w:tc>
        <w:tc>
          <w:tcPr>
            <w:tcW w:w="2680" w:type="dxa"/>
            <w:gridSpan w:val="2"/>
            <w:noWrap/>
            <w:hideMark/>
          </w:tcPr>
          <w:p w14:paraId="6F073D9E"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Moderate to severe</w:t>
            </w:r>
          </w:p>
        </w:tc>
        <w:tc>
          <w:tcPr>
            <w:tcW w:w="2638" w:type="dxa"/>
            <w:gridSpan w:val="2"/>
            <w:vMerge/>
            <w:hideMark/>
          </w:tcPr>
          <w:p w14:paraId="03D3C6DF" w14:textId="77777777" w:rsidR="00117F7B" w:rsidRPr="00BF26F2" w:rsidRDefault="00117F7B" w:rsidP="00BF26F2">
            <w:pPr>
              <w:adjustRightInd w:val="0"/>
              <w:snapToGrid w:val="0"/>
              <w:spacing w:line="360" w:lineRule="auto"/>
              <w:jc w:val="both"/>
              <w:rPr>
                <w:rFonts w:ascii="Book Antiqua" w:eastAsia="Times New Roman" w:hAnsi="Book Antiqua"/>
              </w:rPr>
            </w:pPr>
          </w:p>
        </w:tc>
      </w:tr>
      <w:tr w:rsidR="00BF26F2" w:rsidRPr="00BF26F2" w14:paraId="3142BFC2" w14:textId="77777777" w:rsidTr="00BF26F2">
        <w:trPr>
          <w:gridAfter w:val="1"/>
          <w:wAfter w:w="81" w:type="dxa"/>
          <w:trHeight w:val="284"/>
        </w:trPr>
        <w:tc>
          <w:tcPr>
            <w:tcW w:w="2078" w:type="dxa"/>
            <w:gridSpan w:val="2"/>
            <w:noWrap/>
            <w:hideMark/>
          </w:tcPr>
          <w:p w14:paraId="65BDC09E"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25.30%</w:t>
            </w:r>
          </w:p>
        </w:tc>
        <w:tc>
          <w:tcPr>
            <w:tcW w:w="1770" w:type="dxa"/>
            <w:noWrap/>
            <w:hideMark/>
          </w:tcPr>
          <w:p w14:paraId="3B935BEB"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21.80%</w:t>
            </w:r>
          </w:p>
        </w:tc>
        <w:tc>
          <w:tcPr>
            <w:tcW w:w="2680" w:type="dxa"/>
            <w:gridSpan w:val="2"/>
            <w:noWrap/>
            <w:hideMark/>
          </w:tcPr>
          <w:p w14:paraId="1F3A1D24"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Western countries</w:t>
            </w:r>
          </w:p>
        </w:tc>
        <w:tc>
          <w:tcPr>
            <w:tcW w:w="2638" w:type="dxa"/>
            <w:gridSpan w:val="2"/>
            <w:vMerge w:val="restart"/>
            <w:noWrap/>
            <w:hideMark/>
          </w:tcPr>
          <w:p w14:paraId="137CAE98"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Country of origin</w:t>
            </w:r>
          </w:p>
        </w:tc>
      </w:tr>
      <w:tr w:rsidR="00BF26F2" w:rsidRPr="00BF26F2" w14:paraId="1522C9FE" w14:textId="77777777" w:rsidTr="00BF26F2">
        <w:trPr>
          <w:gridAfter w:val="1"/>
          <w:wAfter w:w="81" w:type="dxa"/>
          <w:trHeight w:val="284"/>
        </w:trPr>
        <w:tc>
          <w:tcPr>
            <w:tcW w:w="2078" w:type="dxa"/>
            <w:gridSpan w:val="2"/>
            <w:noWrap/>
            <w:hideMark/>
          </w:tcPr>
          <w:p w14:paraId="68C33457"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21.70%</w:t>
            </w:r>
          </w:p>
        </w:tc>
        <w:tc>
          <w:tcPr>
            <w:tcW w:w="1770" w:type="dxa"/>
            <w:noWrap/>
            <w:hideMark/>
          </w:tcPr>
          <w:p w14:paraId="23BBD6A8"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23.00%</w:t>
            </w:r>
          </w:p>
        </w:tc>
        <w:tc>
          <w:tcPr>
            <w:tcW w:w="2680" w:type="dxa"/>
            <w:gridSpan w:val="2"/>
            <w:noWrap/>
            <w:hideMark/>
          </w:tcPr>
          <w:p w14:paraId="7826B7D4"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Africa</w:t>
            </w:r>
          </w:p>
        </w:tc>
        <w:tc>
          <w:tcPr>
            <w:tcW w:w="2638" w:type="dxa"/>
            <w:gridSpan w:val="2"/>
            <w:vMerge/>
            <w:hideMark/>
          </w:tcPr>
          <w:p w14:paraId="00674731" w14:textId="77777777" w:rsidR="00117F7B" w:rsidRPr="00BF26F2" w:rsidRDefault="00117F7B" w:rsidP="00BF26F2">
            <w:pPr>
              <w:adjustRightInd w:val="0"/>
              <w:snapToGrid w:val="0"/>
              <w:spacing w:line="360" w:lineRule="auto"/>
              <w:jc w:val="both"/>
              <w:rPr>
                <w:rFonts w:ascii="Book Antiqua" w:eastAsia="Times New Roman" w:hAnsi="Book Antiqua"/>
              </w:rPr>
            </w:pPr>
          </w:p>
        </w:tc>
      </w:tr>
      <w:tr w:rsidR="00BF26F2" w:rsidRPr="00BF26F2" w14:paraId="41B2496F" w14:textId="77777777" w:rsidTr="00BF26F2">
        <w:trPr>
          <w:gridAfter w:val="1"/>
          <w:wAfter w:w="81" w:type="dxa"/>
          <w:trHeight w:val="299"/>
        </w:trPr>
        <w:tc>
          <w:tcPr>
            <w:tcW w:w="2078" w:type="dxa"/>
            <w:gridSpan w:val="2"/>
            <w:noWrap/>
            <w:hideMark/>
          </w:tcPr>
          <w:p w14:paraId="72ABC8AC"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25.50%</w:t>
            </w:r>
          </w:p>
        </w:tc>
        <w:tc>
          <w:tcPr>
            <w:tcW w:w="1770" w:type="dxa"/>
            <w:noWrap/>
            <w:hideMark/>
          </w:tcPr>
          <w:p w14:paraId="433E6DEB"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20.40%</w:t>
            </w:r>
          </w:p>
        </w:tc>
        <w:tc>
          <w:tcPr>
            <w:tcW w:w="2680" w:type="dxa"/>
            <w:gridSpan w:val="2"/>
            <w:noWrap/>
            <w:hideMark/>
          </w:tcPr>
          <w:p w14:paraId="4D0BB0F4"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Asia</w:t>
            </w:r>
          </w:p>
        </w:tc>
        <w:tc>
          <w:tcPr>
            <w:tcW w:w="2638" w:type="dxa"/>
            <w:gridSpan w:val="2"/>
            <w:vMerge/>
            <w:hideMark/>
          </w:tcPr>
          <w:p w14:paraId="54905FA6" w14:textId="77777777" w:rsidR="00117F7B" w:rsidRPr="00BF26F2" w:rsidRDefault="00117F7B" w:rsidP="00BF26F2">
            <w:pPr>
              <w:adjustRightInd w:val="0"/>
              <w:snapToGrid w:val="0"/>
              <w:spacing w:line="360" w:lineRule="auto"/>
              <w:jc w:val="both"/>
              <w:rPr>
                <w:rFonts w:ascii="Book Antiqua" w:eastAsia="Times New Roman" w:hAnsi="Book Antiqua"/>
              </w:rPr>
            </w:pPr>
          </w:p>
        </w:tc>
      </w:tr>
      <w:tr w:rsidR="00BF26F2" w:rsidRPr="00BF26F2" w14:paraId="5837E2AD" w14:textId="77777777" w:rsidTr="00BF26F2">
        <w:trPr>
          <w:gridAfter w:val="1"/>
          <w:wAfter w:w="81" w:type="dxa"/>
          <w:trHeight w:val="284"/>
        </w:trPr>
        <w:tc>
          <w:tcPr>
            <w:tcW w:w="2078" w:type="dxa"/>
            <w:gridSpan w:val="2"/>
            <w:noWrap/>
            <w:hideMark/>
          </w:tcPr>
          <w:p w14:paraId="6FB7F0E7"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13.00%</w:t>
            </w:r>
          </w:p>
        </w:tc>
        <w:tc>
          <w:tcPr>
            <w:tcW w:w="1770" w:type="dxa"/>
            <w:noWrap/>
            <w:hideMark/>
          </w:tcPr>
          <w:p w14:paraId="7EA1B5FD"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20.00%</w:t>
            </w:r>
          </w:p>
        </w:tc>
        <w:tc>
          <w:tcPr>
            <w:tcW w:w="2680" w:type="dxa"/>
            <w:gridSpan w:val="2"/>
            <w:noWrap/>
            <w:hideMark/>
          </w:tcPr>
          <w:p w14:paraId="1CCFB6A7"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Former Soviet Union</w:t>
            </w:r>
          </w:p>
        </w:tc>
        <w:tc>
          <w:tcPr>
            <w:tcW w:w="2638" w:type="dxa"/>
            <w:gridSpan w:val="2"/>
            <w:vMerge/>
            <w:hideMark/>
          </w:tcPr>
          <w:p w14:paraId="679EF55D" w14:textId="77777777" w:rsidR="00117F7B" w:rsidRPr="00BF26F2" w:rsidRDefault="00117F7B" w:rsidP="00BF26F2">
            <w:pPr>
              <w:adjustRightInd w:val="0"/>
              <w:snapToGrid w:val="0"/>
              <w:spacing w:line="360" w:lineRule="auto"/>
              <w:jc w:val="both"/>
              <w:rPr>
                <w:rFonts w:ascii="Book Antiqua" w:eastAsia="Times New Roman" w:hAnsi="Book Antiqua"/>
              </w:rPr>
            </w:pPr>
          </w:p>
        </w:tc>
      </w:tr>
      <w:tr w:rsidR="00BF26F2" w:rsidRPr="00BF26F2" w14:paraId="7F56C3E0" w14:textId="77777777" w:rsidTr="00BF26F2">
        <w:trPr>
          <w:gridAfter w:val="1"/>
          <w:wAfter w:w="81" w:type="dxa"/>
          <w:trHeight w:val="299"/>
        </w:trPr>
        <w:tc>
          <w:tcPr>
            <w:tcW w:w="2078" w:type="dxa"/>
            <w:gridSpan w:val="2"/>
            <w:noWrap/>
            <w:hideMark/>
          </w:tcPr>
          <w:p w14:paraId="72FFE448"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1.10%</w:t>
            </w:r>
          </w:p>
        </w:tc>
        <w:tc>
          <w:tcPr>
            <w:tcW w:w="1770" w:type="dxa"/>
            <w:noWrap/>
            <w:hideMark/>
          </w:tcPr>
          <w:p w14:paraId="5DE58B66"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3.50%</w:t>
            </w:r>
          </w:p>
        </w:tc>
        <w:tc>
          <w:tcPr>
            <w:tcW w:w="2680" w:type="dxa"/>
            <w:gridSpan w:val="2"/>
            <w:noWrap/>
            <w:hideMark/>
          </w:tcPr>
          <w:p w14:paraId="4A21C1F6"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Ethiopia</w:t>
            </w:r>
          </w:p>
        </w:tc>
        <w:tc>
          <w:tcPr>
            <w:tcW w:w="2638" w:type="dxa"/>
            <w:gridSpan w:val="2"/>
            <w:vMerge/>
            <w:hideMark/>
          </w:tcPr>
          <w:p w14:paraId="0C1AE884" w14:textId="77777777" w:rsidR="00117F7B" w:rsidRPr="00BF26F2" w:rsidRDefault="00117F7B" w:rsidP="00BF26F2">
            <w:pPr>
              <w:adjustRightInd w:val="0"/>
              <w:snapToGrid w:val="0"/>
              <w:spacing w:line="360" w:lineRule="auto"/>
              <w:jc w:val="both"/>
              <w:rPr>
                <w:rFonts w:ascii="Book Antiqua" w:eastAsia="Times New Roman" w:hAnsi="Book Antiqua"/>
              </w:rPr>
            </w:pPr>
          </w:p>
        </w:tc>
      </w:tr>
      <w:tr w:rsidR="00BF26F2" w:rsidRPr="00BF26F2" w14:paraId="6D5D3B5A" w14:textId="77777777" w:rsidTr="00BF26F2">
        <w:trPr>
          <w:gridAfter w:val="1"/>
          <w:wAfter w:w="81" w:type="dxa"/>
          <w:trHeight w:val="284"/>
        </w:trPr>
        <w:tc>
          <w:tcPr>
            <w:tcW w:w="2078" w:type="dxa"/>
            <w:gridSpan w:val="2"/>
            <w:noWrap/>
            <w:hideMark/>
          </w:tcPr>
          <w:p w14:paraId="3EA563DB"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0.60%</w:t>
            </w:r>
          </w:p>
        </w:tc>
        <w:tc>
          <w:tcPr>
            <w:tcW w:w="1770" w:type="dxa"/>
            <w:noWrap/>
            <w:hideMark/>
          </w:tcPr>
          <w:p w14:paraId="69F4AF95"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0.50%</w:t>
            </w:r>
          </w:p>
        </w:tc>
        <w:tc>
          <w:tcPr>
            <w:tcW w:w="2680" w:type="dxa"/>
            <w:gridSpan w:val="2"/>
            <w:noWrap/>
            <w:hideMark/>
          </w:tcPr>
          <w:p w14:paraId="6B00DDF6"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Other</w:t>
            </w:r>
          </w:p>
        </w:tc>
        <w:tc>
          <w:tcPr>
            <w:tcW w:w="2638" w:type="dxa"/>
            <w:gridSpan w:val="2"/>
            <w:vMerge/>
            <w:hideMark/>
          </w:tcPr>
          <w:p w14:paraId="1B5029B8" w14:textId="77777777" w:rsidR="00117F7B" w:rsidRPr="00BF26F2" w:rsidRDefault="00117F7B" w:rsidP="00BF26F2">
            <w:pPr>
              <w:adjustRightInd w:val="0"/>
              <w:snapToGrid w:val="0"/>
              <w:spacing w:line="360" w:lineRule="auto"/>
              <w:jc w:val="both"/>
              <w:rPr>
                <w:rFonts w:ascii="Book Antiqua" w:eastAsia="Times New Roman" w:hAnsi="Book Antiqua"/>
              </w:rPr>
            </w:pPr>
          </w:p>
        </w:tc>
      </w:tr>
      <w:tr w:rsidR="00BF26F2" w:rsidRPr="00BF26F2" w14:paraId="51A535E5" w14:textId="77777777" w:rsidTr="00BF26F2">
        <w:trPr>
          <w:gridAfter w:val="1"/>
          <w:wAfter w:w="81" w:type="dxa"/>
          <w:trHeight w:val="299"/>
        </w:trPr>
        <w:tc>
          <w:tcPr>
            <w:tcW w:w="2078" w:type="dxa"/>
            <w:gridSpan w:val="2"/>
            <w:noWrap/>
            <w:hideMark/>
          </w:tcPr>
          <w:p w14:paraId="2CBADEC9"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12.70%</w:t>
            </w:r>
          </w:p>
        </w:tc>
        <w:tc>
          <w:tcPr>
            <w:tcW w:w="1770" w:type="dxa"/>
            <w:noWrap/>
            <w:hideMark/>
          </w:tcPr>
          <w:p w14:paraId="18019EDC"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10.80%</w:t>
            </w:r>
          </w:p>
        </w:tc>
        <w:tc>
          <w:tcPr>
            <w:tcW w:w="2680" w:type="dxa"/>
            <w:gridSpan w:val="2"/>
            <w:noWrap/>
            <w:hideMark/>
          </w:tcPr>
          <w:p w14:paraId="11382F99"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Israel</w:t>
            </w:r>
          </w:p>
        </w:tc>
        <w:tc>
          <w:tcPr>
            <w:tcW w:w="2638" w:type="dxa"/>
            <w:gridSpan w:val="2"/>
            <w:vMerge/>
            <w:hideMark/>
          </w:tcPr>
          <w:p w14:paraId="3386B39C" w14:textId="77777777" w:rsidR="00117F7B" w:rsidRPr="00BF26F2" w:rsidRDefault="00117F7B" w:rsidP="00BF26F2">
            <w:pPr>
              <w:adjustRightInd w:val="0"/>
              <w:snapToGrid w:val="0"/>
              <w:spacing w:line="360" w:lineRule="auto"/>
              <w:jc w:val="both"/>
              <w:rPr>
                <w:rFonts w:ascii="Book Antiqua" w:eastAsia="Times New Roman" w:hAnsi="Book Antiqua"/>
              </w:rPr>
            </w:pPr>
          </w:p>
        </w:tc>
      </w:tr>
      <w:tr w:rsidR="00BF26F2" w:rsidRPr="00BF26F2" w14:paraId="43954CC9" w14:textId="77777777" w:rsidTr="00BF26F2">
        <w:trPr>
          <w:gridAfter w:val="1"/>
          <w:wAfter w:w="81" w:type="dxa"/>
          <w:trHeight w:val="284"/>
        </w:trPr>
        <w:tc>
          <w:tcPr>
            <w:tcW w:w="2078" w:type="dxa"/>
            <w:gridSpan w:val="2"/>
            <w:noWrap/>
            <w:hideMark/>
          </w:tcPr>
          <w:p w14:paraId="4A11844F"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22.42 ± 0.06</w:t>
            </w:r>
          </w:p>
        </w:tc>
        <w:tc>
          <w:tcPr>
            <w:tcW w:w="1770" w:type="dxa"/>
            <w:noWrap/>
            <w:hideMark/>
          </w:tcPr>
          <w:p w14:paraId="1D0D96AE"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21.93 ± 0.02</w:t>
            </w:r>
          </w:p>
        </w:tc>
        <w:tc>
          <w:tcPr>
            <w:tcW w:w="2680" w:type="dxa"/>
            <w:gridSpan w:val="2"/>
            <w:noWrap/>
            <w:hideMark/>
          </w:tcPr>
          <w:p w14:paraId="2D5A4BBB"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Males</w:t>
            </w:r>
          </w:p>
        </w:tc>
        <w:tc>
          <w:tcPr>
            <w:tcW w:w="2638" w:type="dxa"/>
            <w:gridSpan w:val="2"/>
            <w:vMerge w:val="restart"/>
            <w:noWrap/>
            <w:hideMark/>
          </w:tcPr>
          <w:p w14:paraId="7C181973"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BMI, mean ± SD</w:t>
            </w:r>
          </w:p>
        </w:tc>
      </w:tr>
      <w:tr w:rsidR="00BF26F2" w:rsidRPr="00BF26F2" w14:paraId="0BEC75FD" w14:textId="77777777" w:rsidTr="00BF26F2">
        <w:trPr>
          <w:gridAfter w:val="1"/>
          <w:wAfter w:w="81" w:type="dxa"/>
          <w:trHeight w:val="299"/>
        </w:trPr>
        <w:tc>
          <w:tcPr>
            <w:tcW w:w="2078" w:type="dxa"/>
            <w:gridSpan w:val="2"/>
            <w:noWrap/>
            <w:hideMark/>
          </w:tcPr>
          <w:p w14:paraId="51AF862C"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21.88 ± 0.07</w:t>
            </w:r>
          </w:p>
        </w:tc>
        <w:tc>
          <w:tcPr>
            <w:tcW w:w="1770" w:type="dxa"/>
            <w:noWrap/>
            <w:hideMark/>
          </w:tcPr>
          <w:p w14:paraId="55BB26F1"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21.52 ± 0.02</w:t>
            </w:r>
          </w:p>
        </w:tc>
        <w:tc>
          <w:tcPr>
            <w:tcW w:w="2680" w:type="dxa"/>
            <w:gridSpan w:val="2"/>
            <w:noWrap/>
            <w:hideMark/>
          </w:tcPr>
          <w:p w14:paraId="07D1C70B"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Females</w:t>
            </w:r>
          </w:p>
        </w:tc>
        <w:tc>
          <w:tcPr>
            <w:tcW w:w="2638" w:type="dxa"/>
            <w:gridSpan w:val="2"/>
            <w:vMerge/>
            <w:hideMark/>
          </w:tcPr>
          <w:p w14:paraId="15CD9C28" w14:textId="77777777" w:rsidR="00117F7B" w:rsidRPr="00BF26F2" w:rsidRDefault="00117F7B" w:rsidP="00BF26F2">
            <w:pPr>
              <w:adjustRightInd w:val="0"/>
              <w:snapToGrid w:val="0"/>
              <w:spacing w:line="360" w:lineRule="auto"/>
              <w:jc w:val="both"/>
              <w:rPr>
                <w:rFonts w:ascii="Book Antiqua" w:eastAsia="Times New Roman" w:hAnsi="Book Antiqua"/>
              </w:rPr>
            </w:pPr>
          </w:p>
        </w:tc>
      </w:tr>
      <w:tr w:rsidR="00BF26F2" w:rsidRPr="00BF26F2" w14:paraId="636816FE" w14:textId="77777777" w:rsidTr="00BF26F2">
        <w:trPr>
          <w:gridAfter w:val="1"/>
          <w:wAfter w:w="81" w:type="dxa"/>
          <w:trHeight w:val="284"/>
        </w:trPr>
        <w:tc>
          <w:tcPr>
            <w:tcW w:w="2078" w:type="dxa"/>
            <w:gridSpan w:val="2"/>
            <w:noWrap/>
            <w:hideMark/>
          </w:tcPr>
          <w:p w14:paraId="09771B05"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174.4 ± 0.10</w:t>
            </w:r>
          </w:p>
        </w:tc>
        <w:tc>
          <w:tcPr>
            <w:tcW w:w="1770" w:type="dxa"/>
            <w:noWrap/>
            <w:hideMark/>
          </w:tcPr>
          <w:p w14:paraId="39543375"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174.2 ± 0.03</w:t>
            </w:r>
          </w:p>
        </w:tc>
        <w:tc>
          <w:tcPr>
            <w:tcW w:w="2680" w:type="dxa"/>
            <w:gridSpan w:val="2"/>
            <w:noWrap/>
            <w:hideMark/>
          </w:tcPr>
          <w:p w14:paraId="6E46E286"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Males</w:t>
            </w:r>
          </w:p>
        </w:tc>
        <w:tc>
          <w:tcPr>
            <w:tcW w:w="2638" w:type="dxa"/>
            <w:gridSpan w:val="2"/>
            <w:vMerge w:val="restart"/>
            <w:noWrap/>
            <w:hideMark/>
          </w:tcPr>
          <w:p w14:paraId="306D1269" w14:textId="6B70139C"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 xml:space="preserve">Height </w:t>
            </w:r>
            <w:r w:rsidR="00454DE9">
              <w:rPr>
                <w:rFonts w:ascii="Book Antiqua" w:eastAsia="Times New Roman" w:hAnsi="Book Antiqua"/>
              </w:rPr>
              <w:t xml:space="preserve">in </w:t>
            </w:r>
            <w:r w:rsidRPr="00BF26F2">
              <w:rPr>
                <w:rFonts w:ascii="Book Antiqua" w:eastAsia="Times New Roman" w:hAnsi="Book Antiqua"/>
              </w:rPr>
              <w:t>cm, mean ± SD</w:t>
            </w:r>
          </w:p>
        </w:tc>
      </w:tr>
      <w:tr w:rsidR="00BF26F2" w:rsidRPr="00BF26F2" w14:paraId="25974488" w14:textId="77777777" w:rsidTr="00BF26F2">
        <w:trPr>
          <w:gridAfter w:val="1"/>
          <w:wAfter w:w="81" w:type="dxa"/>
          <w:trHeight w:val="299"/>
        </w:trPr>
        <w:tc>
          <w:tcPr>
            <w:tcW w:w="2078" w:type="dxa"/>
            <w:gridSpan w:val="2"/>
            <w:noWrap/>
            <w:hideMark/>
          </w:tcPr>
          <w:p w14:paraId="2B46E7BD"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162.2 ± 0.10</w:t>
            </w:r>
          </w:p>
        </w:tc>
        <w:tc>
          <w:tcPr>
            <w:tcW w:w="1770" w:type="dxa"/>
            <w:noWrap/>
            <w:hideMark/>
          </w:tcPr>
          <w:p w14:paraId="5A3512DA"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162.2 ± 0.03</w:t>
            </w:r>
          </w:p>
        </w:tc>
        <w:tc>
          <w:tcPr>
            <w:tcW w:w="2680" w:type="dxa"/>
            <w:gridSpan w:val="2"/>
            <w:noWrap/>
            <w:hideMark/>
          </w:tcPr>
          <w:p w14:paraId="41212331" w14:textId="77777777" w:rsidR="00117F7B" w:rsidRPr="00BF26F2" w:rsidRDefault="00117F7B" w:rsidP="00BF26F2">
            <w:pPr>
              <w:adjustRightInd w:val="0"/>
              <w:snapToGrid w:val="0"/>
              <w:spacing w:line="360" w:lineRule="auto"/>
              <w:jc w:val="both"/>
              <w:rPr>
                <w:rFonts w:ascii="Book Antiqua" w:eastAsia="Times New Roman" w:hAnsi="Book Antiqua"/>
              </w:rPr>
            </w:pPr>
            <w:r w:rsidRPr="00BF26F2">
              <w:rPr>
                <w:rFonts w:ascii="Book Antiqua" w:eastAsia="Times New Roman" w:hAnsi="Book Antiqua"/>
              </w:rPr>
              <w:t>Females</w:t>
            </w:r>
          </w:p>
        </w:tc>
        <w:tc>
          <w:tcPr>
            <w:tcW w:w="2638" w:type="dxa"/>
            <w:gridSpan w:val="2"/>
            <w:vMerge/>
            <w:hideMark/>
          </w:tcPr>
          <w:p w14:paraId="2F4FDB27" w14:textId="77777777" w:rsidR="00117F7B" w:rsidRPr="00BF26F2" w:rsidRDefault="00117F7B" w:rsidP="00BF26F2">
            <w:pPr>
              <w:adjustRightInd w:val="0"/>
              <w:snapToGrid w:val="0"/>
              <w:spacing w:line="360" w:lineRule="auto"/>
              <w:jc w:val="both"/>
              <w:rPr>
                <w:rFonts w:ascii="Book Antiqua" w:eastAsia="Times New Roman" w:hAnsi="Book Antiqua"/>
              </w:rPr>
            </w:pPr>
          </w:p>
        </w:tc>
      </w:tr>
    </w:tbl>
    <w:p w14:paraId="59F405FA" w14:textId="019626D5" w:rsidR="000109DB" w:rsidRPr="00BF26F2" w:rsidRDefault="00117F7B" w:rsidP="00BF26F2">
      <w:pPr>
        <w:adjustRightInd w:val="0"/>
        <w:snapToGrid w:val="0"/>
        <w:spacing w:line="360" w:lineRule="auto"/>
        <w:ind w:firstLineChars="50" w:firstLine="120"/>
        <w:jc w:val="both"/>
        <w:rPr>
          <w:rFonts w:ascii="Book Antiqua" w:hAnsi="Book Antiqua"/>
        </w:rPr>
      </w:pPr>
      <w:r w:rsidRPr="00BF26F2">
        <w:rPr>
          <w:rFonts w:ascii="Book Antiqua" w:hAnsi="Book Antiqua"/>
        </w:rPr>
        <w:t xml:space="preserve">ADHD: </w:t>
      </w:r>
      <w:bookmarkStart w:id="5" w:name="_Hlk49613142"/>
      <w:r w:rsidRPr="00BF26F2">
        <w:rPr>
          <w:rFonts w:ascii="Book Antiqua" w:hAnsi="Book Antiqua"/>
        </w:rPr>
        <w:t>Attention deficit hyperactivity disorder</w:t>
      </w:r>
      <w:bookmarkEnd w:id="5"/>
      <w:r w:rsidRPr="00BF26F2">
        <w:rPr>
          <w:rFonts w:ascii="Book Antiqua" w:hAnsi="Book Antiqua"/>
        </w:rPr>
        <w:t>; BMI: Body mass index.</w:t>
      </w:r>
      <w:r w:rsidR="000109DB" w:rsidRPr="00BF26F2">
        <w:rPr>
          <w:rFonts w:ascii="Book Antiqua" w:hAnsi="Book Antiqua"/>
        </w:rPr>
        <w:br w:type="page"/>
      </w:r>
    </w:p>
    <w:p w14:paraId="6D1F502C" w14:textId="346D1376" w:rsidR="000109DB" w:rsidRPr="00BF26F2" w:rsidRDefault="000109DB" w:rsidP="007E5D8C">
      <w:pPr>
        <w:adjustRightInd w:val="0"/>
        <w:snapToGrid w:val="0"/>
        <w:spacing w:line="360" w:lineRule="auto"/>
        <w:jc w:val="both"/>
        <w:rPr>
          <w:rFonts w:ascii="Book Antiqua" w:hAnsi="Book Antiqua"/>
          <w:b/>
          <w:bCs/>
        </w:rPr>
      </w:pPr>
      <w:r w:rsidRPr="00BF26F2">
        <w:rPr>
          <w:rFonts w:ascii="Book Antiqua" w:hAnsi="Book Antiqua"/>
          <w:b/>
          <w:bCs/>
        </w:rPr>
        <w:lastRenderedPageBreak/>
        <w:t xml:space="preserve">Table 2 Results of logistic regression of the association of attention deficit hyperactivity disorder with gastrointestinal pathology and impact of gastrointestinal morbidity on use of healthcare resources </w:t>
      </w:r>
    </w:p>
    <w:tbl>
      <w:tblPr>
        <w:tblStyle w:val="2"/>
        <w:bidiVisual/>
        <w:tblW w:w="10053" w:type="dxa"/>
        <w:tblLook w:val="0620" w:firstRow="1" w:lastRow="0" w:firstColumn="0" w:lastColumn="0" w:noHBand="1" w:noVBand="1"/>
      </w:tblPr>
      <w:tblGrid>
        <w:gridCol w:w="993"/>
        <w:gridCol w:w="1167"/>
        <w:gridCol w:w="772"/>
        <w:gridCol w:w="1028"/>
        <w:gridCol w:w="1440"/>
        <w:gridCol w:w="990"/>
        <w:gridCol w:w="2048"/>
        <w:gridCol w:w="2185"/>
      </w:tblGrid>
      <w:tr w:rsidR="00BF26F2" w:rsidRPr="00BF26F2" w14:paraId="4FD807B1" w14:textId="77777777" w:rsidTr="00BF26F2">
        <w:trPr>
          <w:cnfStyle w:val="100000000000" w:firstRow="1" w:lastRow="0" w:firstColumn="0" w:lastColumn="0" w:oddVBand="0" w:evenVBand="0" w:oddHBand="0" w:evenHBand="0" w:firstRowFirstColumn="0" w:firstRowLastColumn="0" w:lastRowFirstColumn="0" w:lastRowLastColumn="0"/>
          <w:trHeight w:val="300"/>
        </w:trPr>
        <w:tc>
          <w:tcPr>
            <w:tcW w:w="2932" w:type="dxa"/>
            <w:gridSpan w:val="3"/>
            <w:noWrap/>
            <w:hideMark/>
          </w:tcPr>
          <w:p w14:paraId="65539E85" w14:textId="77777777" w:rsidR="000109DB" w:rsidRPr="00BF26F2" w:rsidRDefault="000109DB" w:rsidP="00BF26F2">
            <w:pPr>
              <w:adjustRightInd w:val="0"/>
              <w:snapToGrid w:val="0"/>
              <w:spacing w:line="360" w:lineRule="auto"/>
              <w:jc w:val="center"/>
              <w:rPr>
                <w:rFonts w:ascii="Book Antiqua" w:eastAsia="Times New Roman" w:hAnsi="Book Antiqua" w:cs="Arial"/>
                <w:b w:val="0"/>
                <w:bCs w:val="0"/>
              </w:rPr>
            </w:pPr>
            <w:r w:rsidRPr="00BF26F2">
              <w:rPr>
                <w:rFonts w:ascii="Book Antiqua" w:eastAsia="Times New Roman" w:hAnsi="Book Antiqua" w:cs="Arial"/>
              </w:rPr>
              <w:t>Multivariate model</w:t>
            </w:r>
          </w:p>
        </w:tc>
        <w:tc>
          <w:tcPr>
            <w:tcW w:w="3458" w:type="dxa"/>
            <w:gridSpan w:val="3"/>
            <w:noWrap/>
            <w:hideMark/>
          </w:tcPr>
          <w:p w14:paraId="53F53BF1" w14:textId="77777777" w:rsidR="000109DB" w:rsidRPr="00BF26F2" w:rsidRDefault="000109DB" w:rsidP="00BF26F2">
            <w:pPr>
              <w:adjustRightInd w:val="0"/>
              <w:snapToGrid w:val="0"/>
              <w:spacing w:line="360" w:lineRule="auto"/>
              <w:jc w:val="center"/>
              <w:rPr>
                <w:rFonts w:ascii="Book Antiqua" w:eastAsia="Times New Roman" w:hAnsi="Book Antiqua" w:cs="Arial"/>
                <w:b w:val="0"/>
                <w:bCs w:val="0"/>
              </w:rPr>
            </w:pPr>
            <w:r w:rsidRPr="00BF26F2">
              <w:rPr>
                <w:rFonts w:ascii="Book Antiqua" w:eastAsia="Times New Roman" w:hAnsi="Book Antiqua" w:cs="Arial"/>
              </w:rPr>
              <w:t>Univariate model</w:t>
            </w:r>
          </w:p>
        </w:tc>
        <w:tc>
          <w:tcPr>
            <w:tcW w:w="1478" w:type="dxa"/>
            <w:noWrap/>
            <w:hideMark/>
          </w:tcPr>
          <w:p w14:paraId="02096E69" w14:textId="77777777" w:rsidR="000109DB" w:rsidRPr="00BF26F2" w:rsidRDefault="000109DB" w:rsidP="00BF26F2">
            <w:pPr>
              <w:adjustRightInd w:val="0"/>
              <w:snapToGrid w:val="0"/>
              <w:spacing w:line="360" w:lineRule="auto"/>
              <w:rPr>
                <w:rFonts w:ascii="Book Antiqua" w:eastAsia="Times New Roman" w:hAnsi="Book Antiqua" w:cs="Arial"/>
                <w:b w:val="0"/>
                <w:bCs w:val="0"/>
              </w:rPr>
            </w:pPr>
            <w:r w:rsidRPr="00BF26F2">
              <w:rPr>
                <w:rFonts w:ascii="Book Antiqua" w:eastAsia="Times New Roman" w:hAnsi="Book Antiqua" w:cs="Arial"/>
              </w:rPr>
              <w:t> </w:t>
            </w:r>
          </w:p>
        </w:tc>
        <w:tc>
          <w:tcPr>
            <w:tcW w:w="2185" w:type="dxa"/>
            <w:noWrap/>
            <w:hideMark/>
          </w:tcPr>
          <w:p w14:paraId="3EDD6E2A" w14:textId="77777777" w:rsidR="000109DB" w:rsidRPr="00BF26F2" w:rsidRDefault="000109DB" w:rsidP="00BF26F2">
            <w:pPr>
              <w:adjustRightInd w:val="0"/>
              <w:snapToGrid w:val="0"/>
              <w:spacing w:line="360" w:lineRule="auto"/>
              <w:rPr>
                <w:rFonts w:ascii="Book Antiqua" w:eastAsia="Times New Roman" w:hAnsi="Book Antiqua" w:cs="Arial"/>
              </w:rPr>
            </w:pPr>
            <w:r w:rsidRPr="00BF26F2">
              <w:rPr>
                <w:rFonts w:ascii="Book Antiqua" w:eastAsia="Times New Roman" w:hAnsi="Book Antiqua" w:cs="Arial"/>
              </w:rPr>
              <w:t> </w:t>
            </w:r>
          </w:p>
        </w:tc>
      </w:tr>
      <w:tr w:rsidR="00BF26F2" w:rsidRPr="00BF26F2" w14:paraId="0EC69CA8" w14:textId="77777777" w:rsidTr="00BF26F2">
        <w:trPr>
          <w:trHeight w:val="300"/>
        </w:trPr>
        <w:tc>
          <w:tcPr>
            <w:tcW w:w="993" w:type="dxa"/>
            <w:noWrap/>
            <w:hideMark/>
          </w:tcPr>
          <w:p w14:paraId="395F9F1E" w14:textId="7F04B142"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i/>
                <w:iCs/>
              </w:rPr>
              <w:t xml:space="preserve">P </w:t>
            </w:r>
            <w:r w:rsidRPr="00BF26F2">
              <w:rPr>
                <w:rFonts w:ascii="Book Antiqua" w:eastAsia="Times New Roman" w:hAnsi="Book Antiqua" w:cs="Arial"/>
              </w:rPr>
              <w:t>value</w:t>
            </w:r>
          </w:p>
        </w:tc>
        <w:tc>
          <w:tcPr>
            <w:tcW w:w="1167" w:type="dxa"/>
            <w:noWrap/>
            <w:hideMark/>
          </w:tcPr>
          <w:p w14:paraId="24682302" w14:textId="482ECA3A"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95%CI</w:t>
            </w:r>
          </w:p>
        </w:tc>
        <w:tc>
          <w:tcPr>
            <w:tcW w:w="772" w:type="dxa"/>
            <w:noWrap/>
            <w:hideMark/>
          </w:tcPr>
          <w:p w14:paraId="4A13C6C9"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RR</w:t>
            </w:r>
          </w:p>
        </w:tc>
        <w:tc>
          <w:tcPr>
            <w:tcW w:w="1028" w:type="dxa"/>
            <w:noWrap/>
            <w:hideMark/>
          </w:tcPr>
          <w:p w14:paraId="73BDFCA9" w14:textId="5E535D3A"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i/>
                <w:iCs/>
              </w:rPr>
              <w:t>P</w:t>
            </w:r>
            <w:r w:rsidRPr="00BF26F2">
              <w:rPr>
                <w:rFonts w:ascii="Book Antiqua" w:eastAsia="Times New Roman" w:hAnsi="Book Antiqua" w:cs="Arial"/>
              </w:rPr>
              <w:t>-value</w:t>
            </w:r>
          </w:p>
        </w:tc>
        <w:tc>
          <w:tcPr>
            <w:tcW w:w="1440" w:type="dxa"/>
            <w:noWrap/>
            <w:hideMark/>
          </w:tcPr>
          <w:p w14:paraId="5A92D1F5"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 xml:space="preserve"> 95%CI</w:t>
            </w:r>
          </w:p>
        </w:tc>
        <w:tc>
          <w:tcPr>
            <w:tcW w:w="990" w:type="dxa"/>
            <w:noWrap/>
            <w:hideMark/>
          </w:tcPr>
          <w:p w14:paraId="4D8D99DE" w14:textId="31518460"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Book Antiqua" w:hAnsi="Book Antiqua" w:cs="Book Antiqua"/>
              </w:rPr>
              <w:t>OR</w:t>
            </w:r>
          </w:p>
        </w:tc>
        <w:tc>
          <w:tcPr>
            <w:tcW w:w="1478" w:type="dxa"/>
            <w:noWrap/>
            <w:hideMark/>
          </w:tcPr>
          <w:p w14:paraId="4C54A8C6" w14:textId="45AD2B6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Methylphenidate</w:t>
            </w:r>
          </w:p>
        </w:tc>
        <w:tc>
          <w:tcPr>
            <w:tcW w:w="2185" w:type="dxa"/>
            <w:noWrap/>
            <w:hideMark/>
          </w:tcPr>
          <w:p w14:paraId="66DB8693"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 </w:t>
            </w:r>
          </w:p>
        </w:tc>
      </w:tr>
      <w:tr w:rsidR="00BF26F2" w:rsidRPr="00BF26F2" w14:paraId="40F90F0C" w14:textId="77777777" w:rsidTr="00BF26F2">
        <w:trPr>
          <w:trHeight w:val="285"/>
        </w:trPr>
        <w:tc>
          <w:tcPr>
            <w:tcW w:w="993" w:type="dxa"/>
            <w:noWrap/>
            <w:hideMark/>
          </w:tcPr>
          <w:p w14:paraId="7474980B"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 </w:t>
            </w:r>
          </w:p>
        </w:tc>
        <w:tc>
          <w:tcPr>
            <w:tcW w:w="1167" w:type="dxa"/>
            <w:noWrap/>
            <w:hideMark/>
          </w:tcPr>
          <w:p w14:paraId="37F9D4FC"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 </w:t>
            </w:r>
          </w:p>
        </w:tc>
        <w:tc>
          <w:tcPr>
            <w:tcW w:w="772" w:type="dxa"/>
            <w:noWrap/>
            <w:hideMark/>
          </w:tcPr>
          <w:p w14:paraId="066C8C1C"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 </w:t>
            </w:r>
          </w:p>
        </w:tc>
        <w:tc>
          <w:tcPr>
            <w:tcW w:w="1028" w:type="dxa"/>
            <w:noWrap/>
            <w:hideMark/>
          </w:tcPr>
          <w:p w14:paraId="0D47C95E"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0.539</w:t>
            </w:r>
          </w:p>
        </w:tc>
        <w:tc>
          <w:tcPr>
            <w:tcW w:w="1440" w:type="dxa"/>
            <w:noWrap/>
            <w:hideMark/>
          </w:tcPr>
          <w:p w14:paraId="1604E1A9"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0.25-1.77</w:t>
            </w:r>
          </w:p>
        </w:tc>
        <w:tc>
          <w:tcPr>
            <w:tcW w:w="990" w:type="dxa"/>
            <w:noWrap/>
            <w:hideMark/>
          </w:tcPr>
          <w:p w14:paraId="5451C0F2"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0.66</w:t>
            </w:r>
          </w:p>
        </w:tc>
        <w:tc>
          <w:tcPr>
            <w:tcW w:w="1478" w:type="dxa"/>
            <w:noWrap/>
            <w:hideMark/>
          </w:tcPr>
          <w:p w14:paraId="5F63F8BA"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w:t>
            </w:r>
          </w:p>
        </w:tc>
        <w:tc>
          <w:tcPr>
            <w:tcW w:w="2185" w:type="dxa"/>
            <w:vMerge w:val="restart"/>
            <w:noWrap/>
            <w:hideMark/>
          </w:tcPr>
          <w:p w14:paraId="1949D83B"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Celiac</w:t>
            </w:r>
          </w:p>
        </w:tc>
      </w:tr>
      <w:tr w:rsidR="00BF26F2" w:rsidRPr="00BF26F2" w14:paraId="22497D77" w14:textId="77777777" w:rsidTr="00BF26F2">
        <w:trPr>
          <w:trHeight w:val="285"/>
        </w:trPr>
        <w:tc>
          <w:tcPr>
            <w:tcW w:w="993" w:type="dxa"/>
            <w:noWrap/>
            <w:hideMark/>
          </w:tcPr>
          <w:p w14:paraId="2DC3215E"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 </w:t>
            </w:r>
          </w:p>
        </w:tc>
        <w:tc>
          <w:tcPr>
            <w:tcW w:w="1167" w:type="dxa"/>
            <w:noWrap/>
            <w:hideMark/>
          </w:tcPr>
          <w:p w14:paraId="31E3DD1B"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 </w:t>
            </w:r>
          </w:p>
        </w:tc>
        <w:tc>
          <w:tcPr>
            <w:tcW w:w="772" w:type="dxa"/>
            <w:noWrap/>
            <w:hideMark/>
          </w:tcPr>
          <w:p w14:paraId="0DA61301"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 </w:t>
            </w:r>
          </w:p>
        </w:tc>
        <w:tc>
          <w:tcPr>
            <w:tcW w:w="1028" w:type="dxa"/>
            <w:noWrap/>
            <w:hideMark/>
          </w:tcPr>
          <w:p w14:paraId="3733B7B3"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0.592</w:t>
            </w:r>
          </w:p>
        </w:tc>
        <w:tc>
          <w:tcPr>
            <w:tcW w:w="1440" w:type="dxa"/>
            <w:noWrap/>
            <w:hideMark/>
          </w:tcPr>
          <w:p w14:paraId="561B198E"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0.81-1.45</w:t>
            </w:r>
          </w:p>
        </w:tc>
        <w:tc>
          <w:tcPr>
            <w:tcW w:w="990" w:type="dxa"/>
            <w:noWrap/>
            <w:hideMark/>
          </w:tcPr>
          <w:p w14:paraId="68B03A05"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1.08</w:t>
            </w:r>
          </w:p>
        </w:tc>
        <w:tc>
          <w:tcPr>
            <w:tcW w:w="1478" w:type="dxa"/>
            <w:noWrap/>
            <w:hideMark/>
          </w:tcPr>
          <w:p w14:paraId="4BAEBF10"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w:t>
            </w:r>
          </w:p>
        </w:tc>
        <w:tc>
          <w:tcPr>
            <w:tcW w:w="2185" w:type="dxa"/>
            <w:vMerge/>
            <w:hideMark/>
          </w:tcPr>
          <w:p w14:paraId="09E49C36" w14:textId="77777777" w:rsidR="000109DB" w:rsidRPr="00BF26F2" w:rsidRDefault="000109DB" w:rsidP="00BF26F2">
            <w:pPr>
              <w:adjustRightInd w:val="0"/>
              <w:snapToGrid w:val="0"/>
              <w:spacing w:line="360" w:lineRule="auto"/>
              <w:jc w:val="both"/>
              <w:rPr>
                <w:rFonts w:ascii="Book Antiqua" w:eastAsia="Times New Roman" w:hAnsi="Book Antiqua" w:cs="Arial"/>
              </w:rPr>
            </w:pPr>
          </w:p>
        </w:tc>
      </w:tr>
      <w:tr w:rsidR="00BF26F2" w:rsidRPr="00BF26F2" w14:paraId="678CCCE9" w14:textId="77777777" w:rsidTr="00BF26F2">
        <w:trPr>
          <w:trHeight w:val="285"/>
        </w:trPr>
        <w:tc>
          <w:tcPr>
            <w:tcW w:w="993" w:type="dxa"/>
            <w:noWrap/>
            <w:hideMark/>
          </w:tcPr>
          <w:p w14:paraId="785EFA65"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 </w:t>
            </w:r>
          </w:p>
        </w:tc>
        <w:tc>
          <w:tcPr>
            <w:tcW w:w="1167" w:type="dxa"/>
            <w:noWrap/>
            <w:hideMark/>
          </w:tcPr>
          <w:p w14:paraId="6EB8EF6C"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 </w:t>
            </w:r>
          </w:p>
        </w:tc>
        <w:tc>
          <w:tcPr>
            <w:tcW w:w="772" w:type="dxa"/>
            <w:noWrap/>
            <w:hideMark/>
          </w:tcPr>
          <w:p w14:paraId="47C5F074"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 </w:t>
            </w:r>
          </w:p>
        </w:tc>
        <w:tc>
          <w:tcPr>
            <w:tcW w:w="1028" w:type="dxa"/>
            <w:noWrap/>
            <w:hideMark/>
          </w:tcPr>
          <w:p w14:paraId="0FA6737A"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0.252</w:t>
            </w:r>
          </w:p>
        </w:tc>
        <w:tc>
          <w:tcPr>
            <w:tcW w:w="1440" w:type="dxa"/>
            <w:noWrap/>
            <w:hideMark/>
          </w:tcPr>
          <w:p w14:paraId="7FA8C0EB"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0.32-1.30</w:t>
            </w:r>
          </w:p>
        </w:tc>
        <w:tc>
          <w:tcPr>
            <w:tcW w:w="990" w:type="dxa"/>
            <w:noWrap/>
            <w:hideMark/>
          </w:tcPr>
          <w:p w14:paraId="07FE0105"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0.65</w:t>
            </w:r>
          </w:p>
        </w:tc>
        <w:tc>
          <w:tcPr>
            <w:tcW w:w="1478" w:type="dxa"/>
            <w:noWrap/>
            <w:hideMark/>
          </w:tcPr>
          <w:p w14:paraId="3679C3DB"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w:t>
            </w:r>
          </w:p>
        </w:tc>
        <w:tc>
          <w:tcPr>
            <w:tcW w:w="2185" w:type="dxa"/>
            <w:vMerge w:val="restart"/>
            <w:noWrap/>
            <w:hideMark/>
          </w:tcPr>
          <w:p w14:paraId="785B7462"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IBD</w:t>
            </w:r>
          </w:p>
        </w:tc>
      </w:tr>
      <w:tr w:rsidR="00BF26F2" w:rsidRPr="00BF26F2" w14:paraId="3FED2DF9" w14:textId="77777777" w:rsidTr="00BF26F2">
        <w:trPr>
          <w:trHeight w:val="285"/>
        </w:trPr>
        <w:tc>
          <w:tcPr>
            <w:tcW w:w="993" w:type="dxa"/>
            <w:noWrap/>
            <w:hideMark/>
          </w:tcPr>
          <w:p w14:paraId="1F9DE37C"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 </w:t>
            </w:r>
          </w:p>
        </w:tc>
        <w:tc>
          <w:tcPr>
            <w:tcW w:w="1167" w:type="dxa"/>
            <w:noWrap/>
            <w:hideMark/>
          </w:tcPr>
          <w:p w14:paraId="072CC18D"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 </w:t>
            </w:r>
          </w:p>
        </w:tc>
        <w:tc>
          <w:tcPr>
            <w:tcW w:w="772" w:type="dxa"/>
            <w:noWrap/>
            <w:hideMark/>
          </w:tcPr>
          <w:p w14:paraId="5B09E5DC"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 </w:t>
            </w:r>
          </w:p>
        </w:tc>
        <w:tc>
          <w:tcPr>
            <w:tcW w:w="1028" w:type="dxa"/>
            <w:noWrap/>
            <w:hideMark/>
          </w:tcPr>
          <w:p w14:paraId="25C40622"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0.919</w:t>
            </w:r>
          </w:p>
        </w:tc>
        <w:tc>
          <w:tcPr>
            <w:tcW w:w="1440" w:type="dxa"/>
            <w:noWrap/>
            <w:hideMark/>
          </w:tcPr>
          <w:p w14:paraId="6C2C1EB1"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0.82-1.25</w:t>
            </w:r>
          </w:p>
        </w:tc>
        <w:tc>
          <w:tcPr>
            <w:tcW w:w="990" w:type="dxa"/>
            <w:noWrap/>
            <w:hideMark/>
          </w:tcPr>
          <w:p w14:paraId="73A24C0E"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1.01</w:t>
            </w:r>
          </w:p>
        </w:tc>
        <w:tc>
          <w:tcPr>
            <w:tcW w:w="1478" w:type="dxa"/>
            <w:noWrap/>
            <w:hideMark/>
          </w:tcPr>
          <w:p w14:paraId="344CBAAF"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w:t>
            </w:r>
          </w:p>
        </w:tc>
        <w:tc>
          <w:tcPr>
            <w:tcW w:w="2185" w:type="dxa"/>
            <w:vMerge/>
            <w:hideMark/>
          </w:tcPr>
          <w:p w14:paraId="7EA2A051" w14:textId="77777777" w:rsidR="000109DB" w:rsidRPr="00BF26F2" w:rsidRDefault="000109DB" w:rsidP="00BF26F2">
            <w:pPr>
              <w:adjustRightInd w:val="0"/>
              <w:snapToGrid w:val="0"/>
              <w:spacing w:line="360" w:lineRule="auto"/>
              <w:jc w:val="both"/>
              <w:rPr>
                <w:rFonts w:ascii="Book Antiqua" w:eastAsia="Times New Roman" w:hAnsi="Book Antiqua" w:cs="Arial"/>
              </w:rPr>
            </w:pPr>
          </w:p>
        </w:tc>
      </w:tr>
      <w:tr w:rsidR="00BF26F2" w:rsidRPr="00BF26F2" w14:paraId="50EFBC46" w14:textId="77777777" w:rsidTr="00BF26F2">
        <w:trPr>
          <w:trHeight w:val="285"/>
        </w:trPr>
        <w:tc>
          <w:tcPr>
            <w:tcW w:w="993" w:type="dxa"/>
            <w:noWrap/>
            <w:hideMark/>
          </w:tcPr>
          <w:p w14:paraId="09098EB0"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0.842</w:t>
            </w:r>
          </w:p>
        </w:tc>
        <w:tc>
          <w:tcPr>
            <w:tcW w:w="1167" w:type="dxa"/>
            <w:noWrap/>
            <w:hideMark/>
          </w:tcPr>
          <w:p w14:paraId="4EB3B8A0"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0.81-1.30</w:t>
            </w:r>
          </w:p>
        </w:tc>
        <w:tc>
          <w:tcPr>
            <w:tcW w:w="772" w:type="dxa"/>
            <w:noWrap/>
            <w:hideMark/>
          </w:tcPr>
          <w:p w14:paraId="5FBE9EED"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1.02</w:t>
            </w:r>
          </w:p>
        </w:tc>
        <w:tc>
          <w:tcPr>
            <w:tcW w:w="1028" w:type="dxa"/>
            <w:noWrap/>
            <w:hideMark/>
          </w:tcPr>
          <w:p w14:paraId="2EE3CAE8" w14:textId="133DAE3B"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C0.001</w:t>
            </w:r>
          </w:p>
        </w:tc>
        <w:tc>
          <w:tcPr>
            <w:tcW w:w="1440" w:type="dxa"/>
            <w:noWrap/>
            <w:hideMark/>
          </w:tcPr>
          <w:p w14:paraId="73EBF3D4"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1.35-1.98</w:t>
            </w:r>
          </w:p>
        </w:tc>
        <w:tc>
          <w:tcPr>
            <w:tcW w:w="990" w:type="dxa"/>
            <w:noWrap/>
            <w:hideMark/>
          </w:tcPr>
          <w:p w14:paraId="3DF60C25"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1.63</w:t>
            </w:r>
          </w:p>
        </w:tc>
        <w:tc>
          <w:tcPr>
            <w:tcW w:w="1478" w:type="dxa"/>
            <w:noWrap/>
            <w:hideMark/>
          </w:tcPr>
          <w:p w14:paraId="233CB24C"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w:t>
            </w:r>
          </w:p>
        </w:tc>
        <w:tc>
          <w:tcPr>
            <w:tcW w:w="2185" w:type="dxa"/>
            <w:vMerge w:val="restart"/>
            <w:noWrap/>
            <w:hideMark/>
          </w:tcPr>
          <w:p w14:paraId="6A90D2B1"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IBS</w:t>
            </w:r>
          </w:p>
        </w:tc>
      </w:tr>
      <w:tr w:rsidR="00BF26F2" w:rsidRPr="00BF26F2" w14:paraId="547D134D" w14:textId="77777777" w:rsidTr="00BF26F2">
        <w:trPr>
          <w:trHeight w:val="285"/>
        </w:trPr>
        <w:tc>
          <w:tcPr>
            <w:tcW w:w="993" w:type="dxa"/>
            <w:noWrap/>
            <w:hideMark/>
          </w:tcPr>
          <w:p w14:paraId="18169975" w14:textId="142B4702"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&lt; 0.001</w:t>
            </w:r>
          </w:p>
        </w:tc>
        <w:tc>
          <w:tcPr>
            <w:tcW w:w="1167" w:type="dxa"/>
            <w:noWrap/>
            <w:hideMark/>
          </w:tcPr>
          <w:p w14:paraId="3609D0AE"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1.18-1.41</w:t>
            </w:r>
          </w:p>
        </w:tc>
        <w:tc>
          <w:tcPr>
            <w:tcW w:w="772" w:type="dxa"/>
            <w:noWrap/>
            <w:hideMark/>
          </w:tcPr>
          <w:p w14:paraId="31977F60"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1.29</w:t>
            </w:r>
          </w:p>
        </w:tc>
        <w:tc>
          <w:tcPr>
            <w:tcW w:w="1028" w:type="dxa"/>
            <w:noWrap/>
            <w:hideMark/>
          </w:tcPr>
          <w:p w14:paraId="1BFE4963" w14:textId="6788C769"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&lt; 0.001</w:t>
            </w:r>
          </w:p>
        </w:tc>
        <w:tc>
          <w:tcPr>
            <w:tcW w:w="1440" w:type="dxa"/>
            <w:noWrap/>
            <w:hideMark/>
          </w:tcPr>
          <w:p w14:paraId="055227B2"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1.54-1.80</w:t>
            </w:r>
          </w:p>
        </w:tc>
        <w:tc>
          <w:tcPr>
            <w:tcW w:w="990" w:type="dxa"/>
            <w:noWrap/>
            <w:hideMark/>
          </w:tcPr>
          <w:p w14:paraId="3BC98B24"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1.67</w:t>
            </w:r>
          </w:p>
        </w:tc>
        <w:tc>
          <w:tcPr>
            <w:tcW w:w="1478" w:type="dxa"/>
            <w:noWrap/>
            <w:hideMark/>
          </w:tcPr>
          <w:p w14:paraId="3DEBB5C0"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w:t>
            </w:r>
          </w:p>
        </w:tc>
        <w:tc>
          <w:tcPr>
            <w:tcW w:w="2185" w:type="dxa"/>
            <w:vMerge/>
            <w:hideMark/>
          </w:tcPr>
          <w:p w14:paraId="16A86024" w14:textId="77777777" w:rsidR="000109DB" w:rsidRPr="00BF26F2" w:rsidRDefault="000109DB" w:rsidP="00BF26F2">
            <w:pPr>
              <w:adjustRightInd w:val="0"/>
              <w:snapToGrid w:val="0"/>
              <w:spacing w:line="360" w:lineRule="auto"/>
              <w:jc w:val="both"/>
              <w:rPr>
                <w:rFonts w:ascii="Book Antiqua" w:eastAsia="Times New Roman" w:hAnsi="Book Antiqua" w:cs="Arial"/>
              </w:rPr>
            </w:pPr>
          </w:p>
        </w:tc>
      </w:tr>
      <w:tr w:rsidR="00BF26F2" w:rsidRPr="00BF26F2" w14:paraId="233C6AA4" w14:textId="77777777" w:rsidTr="00BF26F2">
        <w:trPr>
          <w:trHeight w:val="285"/>
        </w:trPr>
        <w:tc>
          <w:tcPr>
            <w:tcW w:w="993" w:type="dxa"/>
            <w:noWrap/>
            <w:hideMark/>
          </w:tcPr>
          <w:p w14:paraId="5D5A6316"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0.001</w:t>
            </w:r>
          </w:p>
        </w:tc>
        <w:tc>
          <w:tcPr>
            <w:tcW w:w="1167" w:type="dxa"/>
            <w:noWrap/>
            <w:hideMark/>
          </w:tcPr>
          <w:p w14:paraId="6F983555"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1.21-2.13</w:t>
            </w:r>
          </w:p>
        </w:tc>
        <w:tc>
          <w:tcPr>
            <w:tcW w:w="772" w:type="dxa"/>
            <w:noWrap/>
            <w:hideMark/>
          </w:tcPr>
          <w:p w14:paraId="3D42DEC3"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1.60</w:t>
            </w:r>
          </w:p>
        </w:tc>
        <w:tc>
          <w:tcPr>
            <w:tcW w:w="1028" w:type="dxa"/>
            <w:noWrap/>
            <w:hideMark/>
          </w:tcPr>
          <w:p w14:paraId="4968B36F" w14:textId="76B63385"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&lt; 0.001</w:t>
            </w:r>
          </w:p>
        </w:tc>
        <w:tc>
          <w:tcPr>
            <w:tcW w:w="1440" w:type="dxa"/>
            <w:noWrap/>
            <w:hideMark/>
          </w:tcPr>
          <w:p w14:paraId="50B885EF"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1.66-2.69</w:t>
            </w:r>
          </w:p>
        </w:tc>
        <w:tc>
          <w:tcPr>
            <w:tcW w:w="990" w:type="dxa"/>
            <w:noWrap/>
            <w:hideMark/>
          </w:tcPr>
          <w:p w14:paraId="51F70F25"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2.12</w:t>
            </w:r>
          </w:p>
        </w:tc>
        <w:tc>
          <w:tcPr>
            <w:tcW w:w="1478" w:type="dxa"/>
            <w:noWrap/>
            <w:hideMark/>
          </w:tcPr>
          <w:p w14:paraId="0E0CD8CF"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w:t>
            </w:r>
          </w:p>
        </w:tc>
        <w:tc>
          <w:tcPr>
            <w:tcW w:w="2185" w:type="dxa"/>
            <w:vMerge w:val="restart"/>
            <w:noWrap/>
            <w:hideMark/>
          </w:tcPr>
          <w:p w14:paraId="1DE632ED"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Constipation</w:t>
            </w:r>
          </w:p>
        </w:tc>
      </w:tr>
      <w:tr w:rsidR="00BF26F2" w:rsidRPr="00BF26F2" w14:paraId="49FDE6FA" w14:textId="77777777" w:rsidTr="00BF26F2">
        <w:trPr>
          <w:trHeight w:val="285"/>
        </w:trPr>
        <w:tc>
          <w:tcPr>
            <w:tcW w:w="993" w:type="dxa"/>
            <w:noWrap/>
            <w:hideMark/>
          </w:tcPr>
          <w:p w14:paraId="5FD3E66D" w14:textId="1BC7A79B"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&lt; 0.001</w:t>
            </w:r>
          </w:p>
        </w:tc>
        <w:tc>
          <w:tcPr>
            <w:tcW w:w="1167" w:type="dxa"/>
            <w:noWrap/>
            <w:hideMark/>
          </w:tcPr>
          <w:p w14:paraId="5F3BBD0F"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1.26-1.62</w:t>
            </w:r>
          </w:p>
        </w:tc>
        <w:tc>
          <w:tcPr>
            <w:tcW w:w="772" w:type="dxa"/>
            <w:noWrap/>
            <w:hideMark/>
          </w:tcPr>
          <w:p w14:paraId="11D0E402"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1.43</w:t>
            </w:r>
          </w:p>
        </w:tc>
        <w:tc>
          <w:tcPr>
            <w:tcW w:w="1028" w:type="dxa"/>
            <w:noWrap/>
            <w:hideMark/>
          </w:tcPr>
          <w:p w14:paraId="15C7E85C" w14:textId="1C7E7CAB"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&lt; 0.001</w:t>
            </w:r>
          </w:p>
        </w:tc>
        <w:tc>
          <w:tcPr>
            <w:tcW w:w="1440" w:type="dxa"/>
            <w:noWrap/>
            <w:hideMark/>
          </w:tcPr>
          <w:p w14:paraId="3129DDC6"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1.40-1.74</w:t>
            </w:r>
          </w:p>
        </w:tc>
        <w:tc>
          <w:tcPr>
            <w:tcW w:w="990" w:type="dxa"/>
            <w:noWrap/>
            <w:hideMark/>
          </w:tcPr>
          <w:p w14:paraId="2E2DD24B"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1.56</w:t>
            </w:r>
          </w:p>
        </w:tc>
        <w:tc>
          <w:tcPr>
            <w:tcW w:w="1478" w:type="dxa"/>
            <w:noWrap/>
            <w:hideMark/>
          </w:tcPr>
          <w:p w14:paraId="2EE94729"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w:t>
            </w:r>
          </w:p>
        </w:tc>
        <w:tc>
          <w:tcPr>
            <w:tcW w:w="2185" w:type="dxa"/>
            <w:vMerge/>
            <w:hideMark/>
          </w:tcPr>
          <w:p w14:paraId="465BC769" w14:textId="77777777" w:rsidR="000109DB" w:rsidRPr="00BF26F2" w:rsidRDefault="000109DB" w:rsidP="00BF26F2">
            <w:pPr>
              <w:adjustRightInd w:val="0"/>
              <w:snapToGrid w:val="0"/>
              <w:spacing w:line="360" w:lineRule="auto"/>
              <w:jc w:val="both"/>
              <w:rPr>
                <w:rFonts w:ascii="Book Antiqua" w:eastAsia="Times New Roman" w:hAnsi="Book Antiqua" w:cs="Arial"/>
              </w:rPr>
            </w:pPr>
          </w:p>
        </w:tc>
      </w:tr>
      <w:tr w:rsidR="00BF26F2" w:rsidRPr="00BF26F2" w14:paraId="4BC75629" w14:textId="77777777" w:rsidTr="00BF26F2">
        <w:trPr>
          <w:trHeight w:val="285"/>
        </w:trPr>
        <w:tc>
          <w:tcPr>
            <w:tcW w:w="993" w:type="dxa"/>
            <w:noWrap/>
            <w:hideMark/>
          </w:tcPr>
          <w:p w14:paraId="2C92EAE0" w14:textId="6D3A6261"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&lt; 0.001</w:t>
            </w:r>
          </w:p>
        </w:tc>
        <w:tc>
          <w:tcPr>
            <w:tcW w:w="1167" w:type="dxa"/>
            <w:noWrap/>
            <w:hideMark/>
          </w:tcPr>
          <w:p w14:paraId="1B4955FD"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1.49-2.06</w:t>
            </w:r>
          </w:p>
        </w:tc>
        <w:tc>
          <w:tcPr>
            <w:tcW w:w="772" w:type="dxa"/>
            <w:noWrap/>
            <w:hideMark/>
          </w:tcPr>
          <w:p w14:paraId="677490BE"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1.75</w:t>
            </w:r>
          </w:p>
        </w:tc>
        <w:tc>
          <w:tcPr>
            <w:tcW w:w="1028" w:type="dxa"/>
            <w:noWrap/>
            <w:hideMark/>
          </w:tcPr>
          <w:p w14:paraId="7DE1ADF3" w14:textId="06325164"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&lt; 0.001</w:t>
            </w:r>
          </w:p>
        </w:tc>
        <w:tc>
          <w:tcPr>
            <w:tcW w:w="1440" w:type="dxa"/>
            <w:noWrap/>
            <w:hideMark/>
          </w:tcPr>
          <w:p w14:paraId="55DB36D1"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1.77-2.32</w:t>
            </w:r>
          </w:p>
        </w:tc>
        <w:tc>
          <w:tcPr>
            <w:tcW w:w="990" w:type="dxa"/>
            <w:noWrap/>
            <w:hideMark/>
          </w:tcPr>
          <w:p w14:paraId="55D2CD5C"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2.03</w:t>
            </w:r>
          </w:p>
        </w:tc>
        <w:tc>
          <w:tcPr>
            <w:tcW w:w="1478" w:type="dxa"/>
            <w:noWrap/>
            <w:hideMark/>
          </w:tcPr>
          <w:p w14:paraId="131D2FAC"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w:t>
            </w:r>
          </w:p>
        </w:tc>
        <w:tc>
          <w:tcPr>
            <w:tcW w:w="2185" w:type="dxa"/>
            <w:vMerge w:val="restart"/>
            <w:noWrap/>
            <w:hideMark/>
          </w:tcPr>
          <w:p w14:paraId="61BA8684"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Dyspepsia</w:t>
            </w:r>
          </w:p>
        </w:tc>
      </w:tr>
      <w:tr w:rsidR="00BF26F2" w:rsidRPr="00BF26F2" w14:paraId="66C4B734" w14:textId="77777777" w:rsidTr="00BF26F2">
        <w:trPr>
          <w:trHeight w:val="285"/>
        </w:trPr>
        <w:tc>
          <w:tcPr>
            <w:tcW w:w="993" w:type="dxa"/>
            <w:noWrap/>
            <w:hideMark/>
          </w:tcPr>
          <w:p w14:paraId="3941456D" w14:textId="00F06E9E"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&lt; 0.001</w:t>
            </w:r>
          </w:p>
        </w:tc>
        <w:tc>
          <w:tcPr>
            <w:tcW w:w="1167" w:type="dxa"/>
            <w:noWrap/>
            <w:hideMark/>
          </w:tcPr>
          <w:p w14:paraId="18113AF8"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1.11-1.29</w:t>
            </w:r>
          </w:p>
        </w:tc>
        <w:tc>
          <w:tcPr>
            <w:tcW w:w="772" w:type="dxa"/>
            <w:noWrap/>
            <w:hideMark/>
          </w:tcPr>
          <w:p w14:paraId="681003CC"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1.20</w:t>
            </w:r>
          </w:p>
        </w:tc>
        <w:tc>
          <w:tcPr>
            <w:tcW w:w="1028" w:type="dxa"/>
            <w:noWrap/>
            <w:hideMark/>
          </w:tcPr>
          <w:p w14:paraId="496EA2CB" w14:textId="2DC9DF3D"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&lt; 0.001</w:t>
            </w:r>
          </w:p>
        </w:tc>
        <w:tc>
          <w:tcPr>
            <w:tcW w:w="1440" w:type="dxa"/>
            <w:noWrap/>
            <w:hideMark/>
          </w:tcPr>
          <w:p w14:paraId="34681EFD"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1.31-1.49</w:t>
            </w:r>
          </w:p>
        </w:tc>
        <w:tc>
          <w:tcPr>
            <w:tcW w:w="990" w:type="dxa"/>
            <w:noWrap/>
            <w:hideMark/>
          </w:tcPr>
          <w:p w14:paraId="19799034"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1.40</w:t>
            </w:r>
          </w:p>
        </w:tc>
        <w:tc>
          <w:tcPr>
            <w:tcW w:w="1478" w:type="dxa"/>
            <w:noWrap/>
            <w:hideMark/>
          </w:tcPr>
          <w:p w14:paraId="679DC885"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w:t>
            </w:r>
          </w:p>
        </w:tc>
        <w:tc>
          <w:tcPr>
            <w:tcW w:w="2185" w:type="dxa"/>
            <w:vMerge/>
            <w:hideMark/>
          </w:tcPr>
          <w:p w14:paraId="2B2287E9" w14:textId="77777777" w:rsidR="000109DB" w:rsidRPr="00BF26F2" w:rsidRDefault="000109DB" w:rsidP="00BF26F2">
            <w:pPr>
              <w:adjustRightInd w:val="0"/>
              <w:snapToGrid w:val="0"/>
              <w:spacing w:line="360" w:lineRule="auto"/>
              <w:jc w:val="both"/>
              <w:rPr>
                <w:rFonts w:ascii="Book Antiqua" w:eastAsia="Times New Roman" w:hAnsi="Book Antiqua" w:cs="Arial"/>
              </w:rPr>
            </w:pPr>
          </w:p>
        </w:tc>
      </w:tr>
      <w:tr w:rsidR="00BF26F2" w:rsidRPr="00BF26F2" w14:paraId="66D7C3F3" w14:textId="77777777" w:rsidTr="00BF26F2">
        <w:trPr>
          <w:trHeight w:val="285"/>
        </w:trPr>
        <w:tc>
          <w:tcPr>
            <w:tcW w:w="993" w:type="dxa"/>
            <w:noWrap/>
            <w:hideMark/>
          </w:tcPr>
          <w:p w14:paraId="23B5439F" w14:textId="12A38CF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&lt; 0.001</w:t>
            </w:r>
          </w:p>
        </w:tc>
        <w:tc>
          <w:tcPr>
            <w:tcW w:w="1167" w:type="dxa"/>
            <w:noWrap/>
            <w:hideMark/>
          </w:tcPr>
          <w:p w14:paraId="7BEFFCA8"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1.56-2.18</w:t>
            </w:r>
          </w:p>
        </w:tc>
        <w:tc>
          <w:tcPr>
            <w:tcW w:w="772" w:type="dxa"/>
            <w:noWrap/>
            <w:hideMark/>
          </w:tcPr>
          <w:p w14:paraId="40BCA753"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1.85</w:t>
            </w:r>
          </w:p>
        </w:tc>
        <w:tc>
          <w:tcPr>
            <w:tcW w:w="1028" w:type="dxa"/>
            <w:noWrap/>
            <w:hideMark/>
          </w:tcPr>
          <w:p w14:paraId="206C0361" w14:textId="3422A232"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&lt; 0.001</w:t>
            </w:r>
          </w:p>
        </w:tc>
        <w:tc>
          <w:tcPr>
            <w:tcW w:w="1440" w:type="dxa"/>
            <w:noWrap/>
            <w:hideMark/>
          </w:tcPr>
          <w:p w14:paraId="6ACA6D1D"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1.55-2.12</w:t>
            </w:r>
          </w:p>
        </w:tc>
        <w:tc>
          <w:tcPr>
            <w:tcW w:w="990" w:type="dxa"/>
            <w:noWrap/>
            <w:hideMark/>
          </w:tcPr>
          <w:p w14:paraId="72C8D94F"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1.82</w:t>
            </w:r>
          </w:p>
        </w:tc>
        <w:tc>
          <w:tcPr>
            <w:tcW w:w="1478" w:type="dxa"/>
            <w:noWrap/>
            <w:hideMark/>
          </w:tcPr>
          <w:p w14:paraId="1E459B92"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w:t>
            </w:r>
          </w:p>
        </w:tc>
        <w:tc>
          <w:tcPr>
            <w:tcW w:w="2185" w:type="dxa"/>
            <w:vMerge w:val="restart"/>
            <w:noWrap/>
            <w:hideMark/>
          </w:tcPr>
          <w:p w14:paraId="6F6DEADB"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Total complaints</w:t>
            </w:r>
          </w:p>
        </w:tc>
      </w:tr>
      <w:tr w:rsidR="00BF26F2" w:rsidRPr="00BF26F2" w14:paraId="571F29A0" w14:textId="77777777" w:rsidTr="00BF26F2">
        <w:trPr>
          <w:trHeight w:val="285"/>
        </w:trPr>
        <w:tc>
          <w:tcPr>
            <w:tcW w:w="993" w:type="dxa"/>
            <w:noWrap/>
            <w:hideMark/>
          </w:tcPr>
          <w:p w14:paraId="7E852CCC" w14:textId="540300D8"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&lt; 0.001</w:t>
            </w:r>
          </w:p>
        </w:tc>
        <w:tc>
          <w:tcPr>
            <w:tcW w:w="1167" w:type="dxa"/>
            <w:noWrap/>
            <w:hideMark/>
          </w:tcPr>
          <w:p w14:paraId="5614810C"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1.17-1.36</w:t>
            </w:r>
          </w:p>
        </w:tc>
        <w:tc>
          <w:tcPr>
            <w:tcW w:w="772" w:type="dxa"/>
            <w:noWrap/>
            <w:hideMark/>
          </w:tcPr>
          <w:p w14:paraId="6BA79BC6"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1.26</w:t>
            </w:r>
          </w:p>
        </w:tc>
        <w:tc>
          <w:tcPr>
            <w:tcW w:w="1028" w:type="dxa"/>
            <w:noWrap/>
            <w:hideMark/>
          </w:tcPr>
          <w:p w14:paraId="180FE2C8" w14:textId="5CF91E70"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&lt; 0.001</w:t>
            </w:r>
          </w:p>
        </w:tc>
        <w:tc>
          <w:tcPr>
            <w:tcW w:w="1440" w:type="dxa"/>
            <w:noWrap/>
            <w:hideMark/>
          </w:tcPr>
          <w:p w14:paraId="347BE335"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1.17-1.35</w:t>
            </w:r>
          </w:p>
        </w:tc>
        <w:tc>
          <w:tcPr>
            <w:tcW w:w="990" w:type="dxa"/>
            <w:noWrap/>
            <w:hideMark/>
          </w:tcPr>
          <w:p w14:paraId="0FC825D9"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1.26</w:t>
            </w:r>
          </w:p>
        </w:tc>
        <w:tc>
          <w:tcPr>
            <w:tcW w:w="1478" w:type="dxa"/>
            <w:noWrap/>
            <w:hideMark/>
          </w:tcPr>
          <w:p w14:paraId="0C60B526"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w:t>
            </w:r>
          </w:p>
        </w:tc>
        <w:tc>
          <w:tcPr>
            <w:tcW w:w="2185" w:type="dxa"/>
            <w:vMerge/>
            <w:hideMark/>
          </w:tcPr>
          <w:p w14:paraId="751238EF" w14:textId="77777777" w:rsidR="000109DB" w:rsidRPr="00BF26F2" w:rsidRDefault="000109DB" w:rsidP="00BF26F2">
            <w:pPr>
              <w:adjustRightInd w:val="0"/>
              <w:snapToGrid w:val="0"/>
              <w:spacing w:line="360" w:lineRule="auto"/>
              <w:jc w:val="both"/>
              <w:rPr>
                <w:rFonts w:ascii="Book Antiqua" w:eastAsia="Times New Roman" w:hAnsi="Book Antiqua" w:cs="Arial"/>
              </w:rPr>
            </w:pPr>
          </w:p>
        </w:tc>
      </w:tr>
      <w:tr w:rsidR="00BF26F2" w:rsidRPr="00BF26F2" w14:paraId="4FE5D158" w14:textId="77777777" w:rsidTr="00BF26F2">
        <w:trPr>
          <w:trHeight w:val="285"/>
        </w:trPr>
        <w:tc>
          <w:tcPr>
            <w:tcW w:w="993" w:type="dxa"/>
            <w:noWrap/>
            <w:hideMark/>
          </w:tcPr>
          <w:p w14:paraId="618CC241" w14:textId="2BE8441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&lt; 0.001</w:t>
            </w:r>
          </w:p>
        </w:tc>
        <w:tc>
          <w:tcPr>
            <w:tcW w:w="1167" w:type="dxa"/>
            <w:noWrap/>
            <w:hideMark/>
          </w:tcPr>
          <w:p w14:paraId="70051D5D"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2.07-2.53</w:t>
            </w:r>
          </w:p>
        </w:tc>
        <w:tc>
          <w:tcPr>
            <w:tcW w:w="772" w:type="dxa"/>
            <w:noWrap/>
            <w:hideMark/>
          </w:tcPr>
          <w:p w14:paraId="0F446C41"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2.29</w:t>
            </w:r>
          </w:p>
        </w:tc>
        <w:tc>
          <w:tcPr>
            <w:tcW w:w="1028" w:type="dxa"/>
            <w:noWrap/>
            <w:hideMark/>
          </w:tcPr>
          <w:p w14:paraId="4EF9A9A4" w14:textId="08892A7B"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&lt; 0.001</w:t>
            </w:r>
          </w:p>
        </w:tc>
        <w:tc>
          <w:tcPr>
            <w:tcW w:w="1440" w:type="dxa"/>
            <w:noWrap/>
            <w:hideMark/>
          </w:tcPr>
          <w:p w14:paraId="5AEDE2FA"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2.14-2.57</w:t>
            </w:r>
          </w:p>
        </w:tc>
        <w:tc>
          <w:tcPr>
            <w:tcW w:w="990" w:type="dxa"/>
            <w:noWrap/>
            <w:hideMark/>
          </w:tcPr>
          <w:p w14:paraId="732967F6"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2.34</w:t>
            </w:r>
          </w:p>
        </w:tc>
        <w:tc>
          <w:tcPr>
            <w:tcW w:w="1478" w:type="dxa"/>
            <w:noWrap/>
            <w:hideMark/>
          </w:tcPr>
          <w:p w14:paraId="16862BBA"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w:t>
            </w:r>
          </w:p>
        </w:tc>
        <w:tc>
          <w:tcPr>
            <w:tcW w:w="2185" w:type="dxa"/>
            <w:vMerge w:val="restart"/>
            <w:noWrap/>
            <w:hideMark/>
          </w:tcPr>
          <w:p w14:paraId="34482CA7" w14:textId="22D70F00"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 xml:space="preserve">Gastroenterologist </w:t>
            </w:r>
            <w:r w:rsidR="00776B6C" w:rsidRPr="00BF26F2">
              <w:rPr>
                <w:rFonts w:ascii="Book Antiqua" w:eastAsia="Times New Roman" w:hAnsi="Book Antiqua" w:cs="Arial"/>
              </w:rPr>
              <w:t>r</w:t>
            </w:r>
            <w:r w:rsidRPr="00BF26F2">
              <w:rPr>
                <w:rFonts w:ascii="Book Antiqua" w:eastAsia="Times New Roman" w:hAnsi="Book Antiqua" w:cs="Arial"/>
              </w:rPr>
              <w:t>eferrals</w:t>
            </w:r>
          </w:p>
        </w:tc>
      </w:tr>
      <w:tr w:rsidR="00BF26F2" w:rsidRPr="00BF26F2" w14:paraId="1DBC7D85" w14:textId="77777777" w:rsidTr="00BF26F2">
        <w:trPr>
          <w:trHeight w:val="285"/>
        </w:trPr>
        <w:tc>
          <w:tcPr>
            <w:tcW w:w="993" w:type="dxa"/>
            <w:noWrap/>
            <w:hideMark/>
          </w:tcPr>
          <w:p w14:paraId="3E9CEC2B" w14:textId="62CEC2CE"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&lt; 0.001</w:t>
            </w:r>
          </w:p>
        </w:tc>
        <w:tc>
          <w:tcPr>
            <w:tcW w:w="1167" w:type="dxa"/>
            <w:noWrap/>
            <w:hideMark/>
          </w:tcPr>
          <w:p w14:paraId="251D073D"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1.90-2.07</w:t>
            </w:r>
          </w:p>
        </w:tc>
        <w:tc>
          <w:tcPr>
            <w:tcW w:w="772" w:type="dxa"/>
            <w:noWrap/>
            <w:hideMark/>
          </w:tcPr>
          <w:p w14:paraId="65AB6BED"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1.99</w:t>
            </w:r>
          </w:p>
        </w:tc>
        <w:tc>
          <w:tcPr>
            <w:tcW w:w="1028" w:type="dxa"/>
            <w:noWrap/>
            <w:hideMark/>
          </w:tcPr>
          <w:p w14:paraId="7C5848D9" w14:textId="72080490"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&lt; 0.001</w:t>
            </w:r>
          </w:p>
        </w:tc>
        <w:tc>
          <w:tcPr>
            <w:tcW w:w="1440" w:type="dxa"/>
            <w:noWrap/>
            <w:hideMark/>
          </w:tcPr>
          <w:p w14:paraId="61EFA04B"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1.90-2.06</w:t>
            </w:r>
          </w:p>
        </w:tc>
        <w:tc>
          <w:tcPr>
            <w:tcW w:w="990" w:type="dxa"/>
            <w:noWrap/>
            <w:hideMark/>
          </w:tcPr>
          <w:p w14:paraId="40E55A01"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1.98</w:t>
            </w:r>
          </w:p>
        </w:tc>
        <w:tc>
          <w:tcPr>
            <w:tcW w:w="1478" w:type="dxa"/>
            <w:noWrap/>
            <w:hideMark/>
          </w:tcPr>
          <w:p w14:paraId="39BA9C66"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w:t>
            </w:r>
          </w:p>
        </w:tc>
        <w:tc>
          <w:tcPr>
            <w:tcW w:w="2185" w:type="dxa"/>
            <w:vMerge/>
            <w:hideMark/>
          </w:tcPr>
          <w:p w14:paraId="470ECC32" w14:textId="77777777" w:rsidR="000109DB" w:rsidRPr="00BF26F2" w:rsidRDefault="000109DB" w:rsidP="00BF26F2">
            <w:pPr>
              <w:adjustRightInd w:val="0"/>
              <w:snapToGrid w:val="0"/>
              <w:spacing w:line="360" w:lineRule="auto"/>
              <w:jc w:val="both"/>
              <w:rPr>
                <w:rFonts w:ascii="Book Antiqua" w:eastAsia="Times New Roman" w:hAnsi="Book Antiqua" w:cs="Arial"/>
              </w:rPr>
            </w:pPr>
          </w:p>
        </w:tc>
      </w:tr>
      <w:tr w:rsidR="00BF26F2" w:rsidRPr="00BF26F2" w14:paraId="251AB048" w14:textId="77777777" w:rsidTr="00BF26F2">
        <w:trPr>
          <w:trHeight w:val="285"/>
        </w:trPr>
        <w:tc>
          <w:tcPr>
            <w:tcW w:w="993" w:type="dxa"/>
            <w:noWrap/>
            <w:hideMark/>
          </w:tcPr>
          <w:p w14:paraId="63282B9C" w14:textId="089F796D"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&lt; 0.001</w:t>
            </w:r>
          </w:p>
        </w:tc>
        <w:tc>
          <w:tcPr>
            <w:tcW w:w="1167" w:type="dxa"/>
            <w:noWrap/>
            <w:hideMark/>
          </w:tcPr>
          <w:p w14:paraId="171DE6C7"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1.52-1.59</w:t>
            </w:r>
          </w:p>
        </w:tc>
        <w:tc>
          <w:tcPr>
            <w:tcW w:w="772" w:type="dxa"/>
            <w:noWrap/>
            <w:hideMark/>
          </w:tcPr>
          <w:p w14:paraId="712B115E"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1.56</w:t>
            </w:r>
          </w:p>
        </w:tc>
        <w:tc>
          <w:tcPr>
            <w:tcW w:w="1028" w:type="dxa"/>
            <w:noWrap/>
            <w:hideMark/>
          </w:tcPr>
          <w:p w14:paraId="1C464261" w14:textId="0E2EFD0D"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&lt; 0.001</w:t>
            </w:r>
          </w:p>
        </w:tc>
        <w:tc>
          <w:tcPr>
            <w:tcW w:w="1440" w:type="dxa"/>
            <w:noWrap/>
            <w:hideMark/>
          </w:tcPr>
          <w:p w14:paraId="4E6D4733"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1.50-1.57</w:t>
            </w:r>
          </w:p>
        </w:tc>
        <w:tc>
          <w:tcPr>
            <w:tcW w:w="990" w:type="dxa"/>
            <w:noWrap/>
            <w:hideMark/>
          </w:tcPr>
          <w:p w14:paraId="51513FB3"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1.53</w:t>
            </w:r>
          </w:p>
        </w:tc>
        <w:tc>
          <w:tcPr>
            <w:tcW w:w="1478" w:type="dxa"/>
            <w:noWrap/>
            <w:hideMark/>
          </w:tcPr>
          <w:p w14:paraId="35059D81"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w:t>
            </w:r>
          </w:p>
        </w:tc>
        <w:tc>
          <w:tcPr>
            <w:tcW w:w="2185" w:type="dxa"/>
            <w:vMerge w:val="restart"/>
            <w:noWrap/>
            <w:hideMark/>
          </w:tcPr>
          <w:p w14:paraId="337831C9" w14:textId="26C83F21"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 xml:space="preserve">Visits in a primary </w:t>
            </w:r>
            <w:r w:rsidR="00776B6C" w:rsidRPr="00BF26F2">
              <w:rPr>
                <w:rFonts w:ascii="Book Antiqua" w:eastAsia="Times New Roman" w:hAnsi="Book Antiqua" w:cs="Arial"/>
              </w:rPr>
              <w:t>c</w:t>
            </w:r>
            <w:r w:rsidRPr="00BF26F2">
              <w:rPr>
                <w:rFonts w:ascii="Book Antiqua" w:eastAsia="Times New Roman" w:hAnsi="Book Antiqua" w:cs="Arial"/>
              </w:rPr>
              <w:t>are clinic</w:t>
            </w:r>
          </w:p>
        </w:tc>
      </w:tr>
      <w:tr w:rsidR="00BF26F2" w:rsidRPr="00BF26F2" w14:paraId="3BD9882E" w14:textId="77777777" w:rsidTr="00BF26F2">
        <w:trPr>
          <w:trHeight w:val="285"/>
        </w:trPr>
        <w:tc>
          <w:tcPr>
            <w:tcW w:w="993" w:type="dxa"/>
            <w:noWrap/>
            <w:hideMark/>
          </w:tcPr>
          <w:p w14:paraId="0BE97FD8" w14:textId="3162589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&lt; 0.001</w:t>
            </w:r>
          </w:p>
        </w:tc>
        <w:tc>
          <w:tcPr>
            <w:tcW w:w="1167" w:type="dxa"/>
            <w:noWrap/>
            <w:hideMark/>
          </w:tcPr>
          <w:p w14:paraId="17DA321A"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1.22-1.24</w:t>
            </w:r>
          </w:p>
        </w:tc>
        <w:tc>
          <w:tcPr>
            <w:tcW w:w="772" w:type="dxa"/>
            <w:noWrap/>
            <w:hideMark/>
          </w:tcPr>
          <w:p w14:paraId="28C0BE81"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1.23</w:t>
            </w:r>
          </w:p>
        </w:tc>
        <w:tc>
          <w:tcPr>
            <w:tcW w:w="1028" w:type="dxa"/>
            <w:noWrap/>
            <w:hideMark/>
          </w:tcPr>
          <w:p w14:paraId="0559110A" w14:textId="43059778"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&lt; 0.001</w:t>
            </w:r>
          </w:p>
        </w:tc>
        <w:tc>
          <w:tcPr>
            <w:tcW w:w="1440" w:type="dxa"/>
            <w:noWrap/>
            <w:hideMark/>
          </w:tcPr>
          <w:p w14:paraId="44EF6C9F"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1.22-1.24</w:t>
            </w:r>
          </w:p>
        </w:tc>
        <w:tc>
          <w:tcPr>
            <w:tcW w:w="990" w:type="dxa"/>
            <w:noWrap/>
            <w:hideMark/>
          </w:tcPr>
          <w:p w14:paraId="3026EE3F"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1.23</w:t>
            </w:r>
          </w:p>
        </w:tc>
        <w:tc>
          <w:tcPr>
            <w:tcW w:w="1478" w:type="dxa"/>
            <w:noWrap/>
            <w:hideMark/>
          </w:tcPr>
          <w:p w14:paraId="608EC299" w14:textId="77777777" w:rsidR="000109DB" w:rsidRPr="00BF26F2" w:rsidRDefault="000109DB" w:rsidP="00BF26F2">
            <w:pPr>
              <w:adjustRightInd w:val="0"/>
              <w:snapToGrid w:val="0"/>
              <w:spacing w:line="360" w:lineRule="auto"/>
              <w:jc w:val="both"/>
              <w:rPr>
                <w:rFonts w:ascii="Book Antiqua" w:eastAsia="Times New Roman" w:hAnsi="Book Antiqua" w:cs="Arial"/>
              </w:rPr>
            </w:pPr>
            <w:r w:rsidRPr="00BF26F2">
              <w:rPr>
                <w:rFonts w:ascii="Book Antiqua" w:eastAsia="Times New Roman" w:hAnsi="Book Antiqua" w:cs="Arial"/>
              </w:rPr>
              <w:t>-</w:t>
            </w:r>
          </w:p>
        </w:tc>
        <w:tc>
          <w:tcPr>
            <w:tcW w:w="2185" w:type="dxa"/>
            <w:vMerge/>
            <w:hideMark/>
          </w:tcPr>
          <w:p w14:paraId="5FCC4E02" w14:textId="77777777" w:rsidR="000109DB" w:rsidRPr="00BF26F2" w:rsidRDefault="000109DB" w:rsidP="00BF26F2">
            <w:pPr>
              <w:adjustRightInd w:val="0"/>
              <w:snapToGrid w:val="0"/>
              <w:spacing w:line="360" w:lineRule="auto"/>
              <w:jc w:val="both"/>
              <w:rPr>
                <w:rFonts w:ascii="Book Antiqua" w:eastAsia="Times New Roman" w:hAnsi="Book Antiqua" w:cs="Arial"/>
              </w:rPr>
            </w:pPr>
          </w:p>
        </w:tc>
      </w:tr>
    </w:tbl>
    <w:p w14:paraId="1F2ED35D" w14:textId="5343BC8E" w:rsidR="000109DB" w:rsidRPr="00BF26F2" w:rsidRDefault="0030446F" w:rsidP="00BF26F2">
      <w:pPr>
        <w:adjustRightInd w:val="0"/>
        <w:snapToGrid w:val="0"/>
        <w:spacing w:line="360" w:lineRule="auto"/>
        <w:rPr>
          <w:rFonts w:ascii="Book Antiqua" w:hAnsi="Book Antiqua"/>
        </w:rPr>
      </w:pPr>
      <w:r w:rsidRPr="00BF26F2">
        <w:rPr>
          <w:rFonts w:ascii="Book Antiqua" w:hAnsi="Book Antiqua"/>
          <w:lang w:eastAsia="zh-CN"/>
        </w:rPr>
        <w:t xml:space="preserve">CI: </w:t>
      </w:r>
      <w:r w:rsidRPr="00BF26F2">
        <w:rPr>
          <w:rFonts w:ascii="Book Antiqua" w:eastAsia="Book Antiqua" w:hAnsi="Book Antiqua" w:cs="Book Antiqua"/>
        </w:rPr>
        <w:t xml:space="preserve">Confidence interval; </w:t>
      </w:r>
      <w:r w:rsidR="000109DB" w:rsidRPr="00BF26F2">
        <w:rPr>
          <w:rFonts w:ascii="Book Antiqua" w:hAnsi="Book Antiqua"/>
        </w:rPr>
        <w:t>IBD: Inflammatory bowel disease; IBS: Irritable bowel syndrome</w:t>
      </w:r>
      <w:r w:rsidR="00454DE9">
        <w:rPr>
          <w:rFonts w:ascii="Book Antiqua" w:hAnsi="Book Antiqua"/>
          <w:lang w:eastAsia="zh-CN"/>
        </w:rPr>
        <w:t>;</w:t>
      </w:r>
      <w:r w:rsidR="00454DE9" w:rsidRPr="00454DE9">
        <w:rPr>
          <w:rFonts w:ascii="Book Antiqua" w:hAnsi="Book Antiqua"/>
          <w:lang w:eastAsia="zh-CN"/>
        </w:rPr>
        <w:t xml:space="preserve"> </w:t>
      </w:r>
      <w:r w:rsidR="00454DE9" w:rsidRPr="00BF26F2">
        <w:rPr>
          <w:rFonts w:ascii="Book Antiqua" w:hAnsi="Book Antiqua"/>
          <w:lang w:eastAsia="zh-CN"/>
        </w:rPr>
        <w:t xml:space="preserve">OR: Odds ratio; </w:t>
      </w:r>
      <w:r w:rsidR="00454DE9" w:rsidRPr="00BF26F2">
        <w:rPr>
          <w:rFonts w:ascii="Book Antiqua" w:eastAsia="Book Antiqua" w:hAnsi="Book Antiqua" w:cs="Book Antiqua"/>
        </w:rPr>
        <w:t>RR: Rate ratio</w:t>
      </w:r>
      <w:r w:rsidR="00454DE9">
        <w:rPr>
          <w:rFonts w:ascii="Book Antiqua" w:eastAsia="Book Antiqua" w:hAnsi="Book Antiqua" w:cs="Book Antiqua"/>
        </w:rPr>
        <w:t>.</w:t>
      </w:r>
    </w:p>
    <w:p w14:paraId="626F6AEE" w14:textId="77777777" w:rsidR="000109DB" w:rsidRPr="00BF26F2" w:rsidRDefault="000109DB" w:rsidP="00BF26F2">
      <w:pPr>
        <w:adjustRightInd w:val="0"/>
        <w:snapToGrid w:val="0"/>
        <w:spacing w:line="360" w:lineRule="auto"/>
        <w:rPr>
          <w:rFonts w:ascii="Book Antiqua" w:hAnsi="Book Antiqua"/>
        </w:rPr>
      </w:pPr>
      <w:r w:rsidRPr="00BF26F2">
        <w:rPr>
          <w:rFonts w:ascii="Book Antiqua" w:hAnsi="Book Antiqua"/>
        </w:rPr>
        <w:br w:type="page"/>
      </w:r>
    </w:p>
    <w:p w14:paraId="676605A0" w14:textId="6B90D829" w:rsidR="000109DB" w:rsidRPr="00BF26F2" w:rsidRDefault="000109DB" w:rsidP="00BF26F2">
      <w:pPr>
        <w:adjustRightInd w:val="0"/>
        <w:snapToGrid w:val="0"/>
        <w:spacing w:line="360" w:lineRule="auto"/>
        <w:rPr>
          <w:rFonts w:ascii="Book Antiqua" w:hAnsi="Book Antiqua"/>
          <w:b/>
          <w:bCs/>
          <w:rtl/>
        </w:rPr>
      </w:pPr>
      <w:r w:rsidRPr="00BF26F2">
        <w:rPr>
          <w:rFonts w:ascii="Book Antiqua" w:hAnsi="Book Antiqua"/>
          <w:b/>
          <w:bCs/>
        </w:rPr>
        <w:lastRenderedPageBreak/>
        <w:t xml:space="preserve">Table 3 Association of </w:t>
      </w:r>
      <w:r w:rsidR="0030446F" w:rsidRPr="00BF26F2">
        <w:rPr>
          <w:rFonts w:ascii="Book Antiqua" w:hAnsi="Book Antiqua"/>
          <w:b/>
          <w:bCs/>
        </w:rPr>
        <w:t>attention deficit hyperactivity disorder</w:t>
      </w:r>
      <w:r w:rsidRPr="00BF26F2">
        <w:rPr>
          <w:rFonts w:ascii="Book Antiqua" w:hAnsi="Book Antiqua"/>
          <w:b/>
          <w:bCs/>
        </w:rPr>
        <w:t xml:space="preserve"> and reason for referrals to a </w:t>
      </w:r>
      <w:r w:rsidR="0030446F" w:rsidRPr="00BF26F2">
        <w:rPr>
          <w:rFonts w:ascii="Book Antiqua" w:hAnsi="Book Antiqua"/>
          <w:b/>
          <w:bCs/>
        </w:rPr>
        <w:t>gastrointestinal</w:t>
      </w:r>
      <w:r w:rsidRPr="00BF26F2">
        <w:rPr>
          <w:rFonts w:ascii="Book Antiqua" w:hAnsi="Book Antiqua"/>
          <w:b/>
          <w:bCs/>
        </w:rPr>
        <w:t xml:space="preserve"> specialist by specific symptom </w:t>
      </w:r>
    </w:p>
    <w:tbl>
      <w:tblPr>
        <w:tblStyle w:val="2"/>
        <w:bidiVisual/>
        <w:tblW w:w="8931" w:type="dxa"/>
        <w:tblInd w:w="444" w:type="dxa"/>
        <w:tblLook w:val="0620" w:firstRow="1" w:lastRow="0" w:firstColumn="0" w:lastColumn="0" w:noHBand="1" w:noVBand="1"/>
      </w:tblPr>
      <w:tblGrid>
        <w:gridCol w:w="1351"/>
        <w:gridCol w:w="1499"/>
        <w:gridCol w:w="767"/>
        <w:gridCol w:w="3058"/>
        <w:gridCol w:w="2256"/>
      </w:tblGrid>
      <w:tr w:rsidR="00BF26F2" w:rsidRPr="00BF26F2" w14:paraId="782E745F" w14:textId="1F560FEE" w:rsidTr="00692A76">
        <w:trPr>
          <w:cnfStyle w:val="100000000000" w:firstRow="1" w:lastRow="0" w:firstColumn="0" w:lastColumn="0" w:oddVBand="0" w:evenVBand="0" w:oddHBand="0" w:evenHBand="0" w:firstRowFirstColumn="0" w:firstRowLastColumn="0" w:lastRowFirstColumn="0" w:lastRowLastColumn="0"/>
          <w:trHeight w:val="299"/>
        </w:trPr>
        <w:tc>
          <w:tcPr>
            <w:tcW w:w="1351" w:type="dxa"/>
            <w:noWrap/>
            <w:hideMark/>
          </w:tcPr>
          <w:p w14:paraId="4FF2AACF" w14:textId="15E27B9F" w:rsidR="000109DB" w:rsidRPr="00BF26F2" w:rsidRDefault="0030446F"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i/>
                <w:iCs/>
              </w:rPr>
              <w:t xml:space="preserve">P </w:t>
            </w:r>
            <w:r w:rsidR="000109DB" w:rsidRPr="00BF26F2">
              <w:rPr>
                <w:rFonts w:ascii="Book Antiqua" w:eastAsia="Times New Roman" w:hAnsi="Book Antiqua" w:cs="Arial"/>
              </w:rPr>
              <w:t>value</w:t>
            </w:r>
          </w:p>
        </w:tc>
        <w:tc>
          <w:tcPr>
            <w:tcW w:w="1499" w:type="dxa"/>
            <w:noWrap/>
            <w:hideMark/>
          </w:tcPr>
          <w:p w14:paraId="2B8F9F51" w14:textId="53E775AE"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95%</w:t>
            </w:r>
            <w:r w:rsidR="0030446F" w:rsidRPr="00BF26F2">
              <w:rPr>
                <w:rFonts w:ascii="Book Antiqua" w:eastAsia="Times New Roman" w:hAnsi="Book Antiqua" w:cs="Arial"/>
              </w:rPr>
              <w:t>CI</w:t>
            </w:r>
          </w:p>
        </w:tc>
        <w:tc>
          <w:tcPr>
            <w:tcW w:w="767" w:type="dxa"/>
            <w:noWrap/>
            <w:hideMark/>
          </w:tcPr>
          <w:p w14:paraId="3FDFB148"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RR</w:t>
            </w:r>
          </w:p>
        </w:tc>
        <w:tc>
          <w:tcPr>
            <w:tcW w:w="3058" w:type="dxa"/>
            <w:noWrap/>
            <w:hideMark/>
          </w:tcPr>
          <w:p w14:paraId="03A0DC3F" w14:textId="2CA87B5F" w:rsidR="000109DB" w:rsidRPr="00BF26F2" w:rsidRDefault="0030446F" w:rsidP="00BF26F2">
            <w:pPr>
              <w:adjustRightInd w:val="0"/>
              <w:snapToGrid w:val="0"/>
              <w:spacing w:line="360" w:lineRule="auto"/>
              <w:rPr>
                <w:rFonts w:ascii="Book Antiqua" w:eastAsia="Times New Roman" w:hAnsi="Book Antiqua" w:cs="Arial"/>
              </w:rPr>
            </w:pPr>
            <w:r w:rsidRPr="00BF26F2">
              <w:rPr>
                <w:rFonts w:ascii="Book Antiqua" w:hAnsi="Book Antiqua"/>
              </w:rPr>
              <w:t>Gastrointestinal</w:t>
            </w:r>
            <w:r w:rsidR="000109DB" w:rsidRPr="00BF26F2">
              <w:rPr>
                <w:rFonts w:ascii="Book Antiqua" w:eastAsia="Times New Roman" w:hAnsi="Book Antiqua" w:cs="Arial"/>
              </w:rPr>
              <w:t xml:space="preserve"> symptom</w:t>
            </w:r>
          </w:p>
        </w:tc>
        <w:tc>
          <w:tcPr>
            <w:tcW w:w="2256" w:type="dxa"/>
            <w:vMerge w:val="restart"/>
            <w:hideMark/>
          </w:tcPr>
          <w:p w14:paraId="4D2DFC22"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 xml:space="preserve">Gastroenterologist referrals </w:t>
            </w:r>
          </w:p>
        </w:tc>
      </w:tr>
      <w:tr w:rsidR="00BF26F2" w:rsidRPr="00BF26F2" w14:paraId="555CAE2A" w14:textId="00AADC8B" w:rsidTr="00692A76">
        <w:trPr>
          <w:trHeight w:val="284"/>
        </w:trPr>
        <w:tc>
          <w:tcPr>
            <w:tcW w:w="1351" w:type="dxa"/>
            <w:noWrap/>
            <w:hideMark/>
          </w:tcPr>
          <w:p w14:paraId="2933606B" w14:textId="6F40E15A"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&lt; 0.001</w:t>
            </w:r>
          </w:p>
        </w:tc>
        <w:tc>
          <w:tcPr>
            <w:tcW w:w="1499" w:type="dxa"/>
            <w:noWrap/>
            <w:hideMark/>
          </w:tcPr>
          <w:p w14:paraId="33069EBF"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1.32-2.15</w:t>
            </w:r>
          </w:p>
        </w:tc>
        <w:tc>
          <w:tcPr>
            <w:tcW w:w="767" w:type="dxa"/>
            <w:noWrap/>
            <w:hideMark/>
          </w:tcPr>
          <w:p w14:paraId="2004CFDE"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1.69</w:t>
            </w:r>
          </w:p>
        </w:tc>
        <w:tc>
          <w:tcPr>
            <w:tcW w:w="3058" w:type="dxa"/>
            <w:noWrap/>
            <w:hideMark/>
          </w:tcPr>
          <w:p w14:paraId="73A74040" w14:textId="77777777" w:rsidR="000109DB" w:rsidRPr="00BF26F2" w:rsidRDefault="000109DB" w:rsidP="00BF26F2">
            <w:pPr>
              <w:adjustRightInd w:val="0"/>
              <w:snapToGrid w:val="0"/>
              <w:spacing w:line="360" w:lineRule="auto"/>
              <w:rPr>
                <w:rFonts w:ascii="Book Antiqua" w:eastAsia="Times New Roman" w:hAnsi="Book Antiqua" w:cs="Arial"/>
              </w:rPr>
            </w:pPr>
            <w:r w:rsidRPr="00BF26F2">
              <w:rPr>
                <w:rFonts w:ascii="Book Antiqua" w:eastAsia="Times New Roman" w:hAnsi="Book Antiqua" w:cs="Arial"/>
              </w:rPr>
              <w:t xml:space="preserve">Perianal symptoms </w:t>
            </w:r>
          </w:p>
        </w:tc>
        <w:tc>
          <w:tcPr>
            <w:tcW w:w="2256" w:type="dxa"/>
            <w:vMerge/>
            <w:hideMark/>
          </w:tcPr>
          <w:p w14:paraId="7258D7D3" w14:textId="77777777" w:rsidR="000109DB" w:rsidRPr="00BF26F2" w:rsidRDefault="000109DB" w:rsidP="00BF26F2">
            <w:pPr>
              <w:adjustRightInd w:val="0"/>
              <w:snapToGrid w:val="0"/>
              <w:spacing w:line="360" w:lineRule="auto"/>
              <w:rPr>
                <w:rFonts w:ascii="Book Antiqua" w:eastAsia="Times New Roman" w:hAnsi="Book Antiqua" w:cs="Arial"/>
              </w:rPr>
            </w:pPr>
          </w:p>
        </w:tc>
      </w:tr>
      <w:tr w:rsidR="00BF26F2" w:rsidRPr="00BF26F2" w14:paraId="336B4972" w14:textId="3BE66CB2" w:rsidTr="00692A76">
        <w:trPr>
          <w:trHeight w:val="284"/>
        </w:trPr>
        <w:tc>
          <w:tcPr>
            <w:tcW w:w="1351" w:type="dxa"/>
            <w:noWrap/>
            <w:hideMark/>
          </w:tcPr>
          <w:p w14:paraId="5F926C7B" w14:textId="7DA947E3"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&lt; 0.001</w:t>
            </w:r>
          </w:p>
        </w:tc>
        <w:tc>
          <w:tcPr>
            <w:tcW w:w="1499" w:type="dxa"/>
            <w:noWrap/>
            <w:hideMark/>
          </w:tcPr>
          <w:p w14:paraId="0F5881C1"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1.88-2.45</w:t>
            </w:r>
          </w:p>
        </w:tc>
        <w:tc>
          <w:tcPr>
            <w:tcW w:w="767" w:type="dxa"/>
            <w:noWrap/>
            <w:hideMark/>
          </w:tcPr>
          <w:p w14:paraId="51767F23"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2.15</w:t>
            </w:r>
          </w:p>
        </w:tc>
        <w:tc>
          <w:tcPr>
            <w:tcW w:w="3058" w:type="dxa"/>
            <w:noWrap/>
            <w:hideMark/>
          </w:tcPr>
          <w:p w14:paraId="49F83A21" w14:textId="77777777" w:rsidR="000109DB" w:rsidRPr="00BF26F2" w:rsidRDefault="000109DB" w:rsidP="00BF26F2">
            <w:pPr>
              <w:adjustRightInd w:val="0"/>
              <w:snapToGrid w:val="0"/>
              <w:spacing w:line="360" w:lineRule="auto"/>
              <w:rPr>
                <w:rFonts w:ascii="Book Antiqua" w:eastAsia="Times New Roman" w:hAnsi="Book Antiqua" w:cs="Arial"/>
              </w:rPr>
            </w:pPr>
            <w:r w:rsidRPr="00BF26F2">
              <w:rPr>
                <w:rFonts w:ascii="Book Antiqua" w:eastAsia="Times New Roman" w:hAnsi="Book Antiqua" w:cs="Arial"/>
              </w:rPr>
              <w:t>Heartburn and GERD</w:t>
            </w:r>
          </w:p>
        </w:tc>
        <w:tc>
          <w:tcPr>
            <w:tcW w:w="2256" w:type="dxa"/>
            <w:vMerge/>
            <w:hideMark/>
          </w:tcPr>
          <w:p w14:paraId="52DAEAB7" w14:textId="77777777" w:rsidR="000109DB" w:rsidRPr="00BF26F2" w:rsidRDefault="000109DB" w:rsidP="00BF26F2">
            <w:pPr>
              <w:adjustRightInd w:val="0"/>
              <w:snapToGrid w:val="0"/>
              <w:spacing w:line="360" w:lineRule="auto"/>
              <w:rPr>
                <w:rFonts w:ascii="Book Antiqua" w:eastAsia="Times New Roman" w:hAnsi="Book Antiqua" w:cs="Arial"/>
              </w:rPr>
            </w:pPr>
          </w:p>
        </w:tc>
      </w:tr>
      <w:tr w:rsidR="00BF26F2" w:rsidRPr="00BF26F2" w14:paraId="6B276475" w14:textId="0F09ABEB" w:rsidTr="00692A76">
        <w:trPr>
          <w:trHeight w:val="284"/>
        </w:trPr>
        <w:tc>
          <w:tcPr>
            <w:tcW w:w="1351" w:type="dxa"/>
            <w:noWrap/>
            <w:hideMark/>
          </w:tcPr>
          <w:p w14:paraId="35ED6186"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0.001</w:t>
            </w:r>
          </w:p>
        </w:tc>
        <w:tc>
          <w:tcPr>
            <w:tcW w:w="1499" w:type="dxa"/>
            <w:noWrap/>
            <w:hideMark/>
          </w:tcPr>
          <w:p w14:paraId="6EC3139D"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1.36-3.06</w:t>
            </w:r>
          </w:p>
        </w:tc>
        <w:tc>
          <w:tcPr>
            <w:tcW w:w="767" w:type="dxa"/>
            <w:noWrap/>
            <w:hideMark/>
          </w:tcPr>
          <w:p w14:paraId="4CD4683E"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2.04</w:t>
            </w:r>
          </w:p>
        </w:tc>
        <w:tc>
          <w:tcPr>
            <w:tcW w:w="3058" w:type="dxa"/>
            <w:noWrap/>
            <w:hideMark/>
          </w:tcPr>
          <w:p w14:paraId="0BAFF642" w14:textId="77777777" w:rsidR="000109DB" w:rsidRPr="00BF26F2" w:rsidRDefault="000109DB" w:rsidP="00BF26F2">
            <w:pPr>
              <w:adjustRightInd w:val="0"/>
              <w:snapToGrid w:val="0"/>
              <w:spacing w:line="360" w:lineRule="auto"/>
              <w:rPr>
                <w:rFonts w:ascii="Book Antiqua" w:eastAsia="Times New Roman" w:hAnsi="Book Antiqua" w:cs="Arial"/>
              </w:rPr>
            </w:pPr>
            <w:r w:rsidRPr="00BF26F2">
              <w:rPr>
                <w:rFonts w:ascii="Book Antiqua" w:eastAsia="Times New Roman" w:hAnsi="Book Antiqua" w:cs="Arial"/>
              </w:rPr>
              <w:t xml:space="preserve">Bowel habit changes </w:t>
            </w:r>
          </w:p>
        </w:tc>
        <w:tc>
          <w:tcPr>
            <w:tcW w:w="2256" w:type="dxa"/>
            <w:vMerge/>
            <w:hideMark/>
          </w:tcPr>
          <w:p w14:paraId="7886EC62" w14:textId="77777777" w:rsidR="000109DB" w:rsidRPr="00BF26F2" w:rsidRDefault="000109DB" w:rsidP="00BF26F2">
            <w:pPr>
              <w:adjustRightInd w:val="0"/>
              <w:snapToGrid w:val="0"/>
              <w:spacing w:line="360" w:lineRule="auto"/>
              <w:rPr>
                <w:rFonts w:ascii="Book Antiqua" w:eastAsia="Times New Roman" w:hAnsi="Book Antiqua" w:cs="Arial"/>
              </w:rPr>
            </w:pPr>
          </w:p>
        </w:tc>
      </w:tr>
      <w:tr w:rsidR="00BF26F2" w:rsidRPr="00BF26F2" w14:paraId="055F7A81" w14:textId="21B13E47" w:rsidTr="00692A76">
        <w:trPr>
          <w:trHeight w:val="284"/>
        </w:trPr>
        <w:tc>
          <w:tcPr>
            <w:tcW w:w="1351" w:type="dxa"/>
            <w:noWrap/>
            <w:hideMark/>
          </w:tcPr>
          <w:p w14:paraId="6145DC41" w14:textId="11324FF0"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&lt; 0.001</w:t>
            </w:r>
          </w:p>
        </w:tc>
        <w:tc>
          <w:tcPr>
            <w:tcW w:w="1499" w:type="dxa"/>
            <w:noWrap/>
            <w:hideMark/>
          </w:tcPr>
          <w:p w14:paraId="501F9E47"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2.21-2.89</w:t>
            </w:r>
          </w:p>
        </w:tc>
        <w:tc>
          <w:tcPr>
            <w:tcW w:w="767" w:type="dxa"/>
            <w:noWrap/>
            <w:hideMark/>
          </w:tcPr>
          <w:p w14:paraId="6807DC83"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2.53</w:t>
            </w:r>
          </w:p>
        </w:tc>
        <w:tc>
          <w:tcPr>
            <w:tcW w:w="3058" w:type="dxa"/>
            <w:noWrap/>
            <w:hideMark/>
          </w:tcPr>
          <w:p w14:paraId="10A37BD0" w14:textId="77777777" w:rsidR="000109DB" w:rsidRPr="00BF26F2" w:rsidRDefault="000109DB" w:rsidP="00BF26F2">
            <w:pPr>
              <w:adjustRightInd w:val="0"/>
              <w:snapToGrid w:val="0"/>
              <w:spacing w:line="360" w:lineRule="auto"/>
              <w:rPr>
                <w:rFonts w:ascii="Book Antiqua" w:eastAsia="Times New Roman" w:hAnsi="Book Antiqua" w:cs="Arial"/>
              </w:rPr>
            </w:pPr>
            <w:r w:rsidRPr="00BF26F2">
              <w:rPr>
                <w:rFonts w:ascii="Book Antiqua" w:eastAsia="Times New Roman" w:hAnsi="Book Antiqua" w:cs="Arial"/>
              </w:rPr>
              <w:t xml:space="preserve">Nausea and vomiting </w:t>
            </w:r>
          </w:p>
        </w:tc>
        <w:tc>
          <w:tcPr>
            <w:tcW w:w="2256" w:type="dxa"/>
            <w:vMerge/>
            <w:hideMark/>
          </w:tcPr>
          <w:p w14:paraId="6AD19574" w14:textId="77777777" w:rsidR="000109DB" w:rsidRPr="00BF26F2" w:rsidRDefault="000109DB" w:rsidP="00BF26F2">
            <w:pPr>
              <w:adjustRightInd w:val="0"/>
              <w:snapToGrid w:val="0"/>
              <w:spacing w:line="360" w:lineRule="auto"/>
              <w:rPr>
                <w:rFonts w:ascii="Book Antiqua" w:eastAsia="Times New Roman" w:hAnsi="Book Antiqua" w:cs="Arial"/>
              </w:rPr>
            </w:pPr>
          </w:p>
        </w:tc>
      </w:tr>
      <w:tr w:rsidR="00BF26F2" w:rsidRPr="00BF26F2" w14:paraId="24B2766A" w14:textId="7E81CE29" w:rsidTr="00692A76">
        <w:trPr>
          <w:trHeight w:val="284"/>
        </w:trPr>
        <w:tc>
          <w:tcPr>
            <w:tcW w:w="1351" w:type="dxa"/>
            <w:noWrap/>
            <w:hideMark/>
          </w:tcPr>
          <w:p w14:paraId="3AEB67FA" w14:textId="4DA9147C"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&lt; 0.001</w:t>
            </w:r>
          </w:p>
        </w:tc>
        <w:tc>
          <w:tcPr>
            <w:tcW w:w="1499" w:type="dxa"/>
            <w:noWrap/>
            <w:hideMark/>
          </w:tcPr>
          <w:p w14:paraId="7400B5BD"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1.34-2.64</w:t>
            </w:r>
          </w:p>
        </w:tc>
        <w:tc>
          <w:tcPr>
            <w:tcW w:w="767" w:type="dxa"/>
            <w:noWrap/>
            <w:hideMark/>
          </w:tcPr>
          <w:p w14:paraId="5A48FE48"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1.88</w:t>
            </w:r>
          </w:p>
        </w:tc>
        <w:tc>
          <w:tcPr>
            <w:tcW w:w="3058" w:type="dxa"/>
            <w:noWrap/>
            <w:hideMark/>
          </w:tcPr>
          <w:p w14:paraId="3D4FFC47" w14:textId="77777777" w:rsidR="000109DB" w:rsidRPr="00BF26F2" w:rsidRDefault="000109DB" w:rsidP="00BF26F2">
            <w:pPr>
              <w:adjustRightInd w:val="0"/>
              <w:snapToGrid w:val="0"/>
              <w:spacing w:line="360" w:lineRule="auto"/>
              <w:rPr>
                <w:rFonts w:ascii="Book Antiqua" w:eastAsia="Times New Roman" w:hAnsi="Book Antiqua" w:cs="Arial"/>
              </w:rPr>
            </w:pPr>
            <w:r w:rsidRPr="00BF26F2">
              <w:rPr>
                <w:rFonts w:ascii="Book Antiqua" w:eastAsia="Times New Roman" w:hAnsi="Book Antiqua" w:cs="Arial"/>
              </w:rPr>
              <w:t>Weight loss</w:t>
            </w:r>
          </w:p>
        </w:tc>
        <w:tc>
          <w:tcPr>
            <w:tcW w:w="2256" w:type="dxa"/>
            <w:vMerge/>
            <w:hideMark/>
          </w:tcPr>
          <w:p w14:paraId="408E0DC1" w14:textId="77777777" w:rsidR="000109DB" w:rsidRPr="00BF26F2" w:rsidRDefault="000109DB" w:rsidP="00BF26F2">
            <w:pPr>
              <w:adjustRightInd w:val="0"/>
              <w:snapToGrid w:val="0"/>
              <w:spacing w:line="360" w:lineRule="auto"/>
              <w:rPr>
                <w:rFonts w:ascii="Book Antiqua" w:eastAsia="Times New Roman" w:hAnsi="Book Antiqua" w:cs="Arial"/>
              </w:rPr>
            </w:pPr>
          </w:p>
        </w:tc>
      </w:tr>
      <w:tr w:rsidR="00BF26F2" w:rsidRPr="00BF26F2" w14:paraId="613A6CAB" w14:textId="250EFE16" w:rsidTr="00692A76">
        <w:trPr>
          <w:trHeight w:val="284"/>
        </w:trPr>
        <w:tc>
          <w:tcPr>
            <w:tcW w:w="1351" w:type="dxa"/>
            <w:noWrap/>
            <w:hideMark/>
          </w:tcPr>
          <w:p w14:paraId="6D75770E" w14:textId="5C104201"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&lt; 0.001</w:t>
            </w:r>
          </w:p>
        </w:tc>
        <w:tc>
          <w:tcPr>
            <w:tcW w:w="1499" w:type="dxa"/>
            <w:noWrap/>
            <w:hideMark/>
          </w:tcPr>
          <w:p w14:paraId="4E6536EA"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1.84-2.04</w:t>
            </w:r>
          </w:p>
        </w:tc>
        <w:tc>
          <w:tcPr>
            <w:tcW w:w="767" w:type="dxa"/>
            <w:noWrap/>
            <w:hideMark/>
          </w:tcPr>
          <w:p w14:paraId="1BF89F54"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1.94</w:t>
            </w:r>
          </w:p>
        </w:tc>
        <w:tc>
          <w:tcPr>
            <w:tcW w:w="3058" w:type="dxa"/>
            <w:noWrap/>
            <w:hideMark/>
          </w:tcPr>
          <w:p w14:paraId="2C0517B5" w14:textId="77777777" w:rsidR="000109DB" w:rsidRPr="00BF26F2" w:rsidRDefault="000109DB" w:rsidP="00BF26F2">
            <w:pPr>
              <w:adjustRightInd w:val="0"/>
              <w:snapToGrid w:val="0"/>
              <w:spacing w:line="360" w:lineRule="auto"/>
              <w:rPr>
                <w:rFonts w:ascii="Book Antiqua" w:eastAsia="Times New Roman" w:hAnsi="Book Antiqua" w:cs="Arial"/>
              </w:rPr>
            </w:pPr>
            <w:r w:rsidRPr="00BF26F2">
              <w:rPr>
                <w:rFonts w:ascii="Book Antiqua" w:eastAsia="Times New Roman" w:hAnsi="Book Antiqua" w:cs="Arial"/>
              </w:rPr>
              <w:t>Abdominal pain</w:t>
            </w:r>
          </w:p>
        </w:tc>
        <w:tc>
          <w:tcPr>
            <w:tcW w:w="2256" w:type="dxa"/>
            <w:vMerge/>
            <w:hideMark/>
          </w:tcPr>
          <w:p w14:paraId="5A6B4B73" w14:textId="77777777" w:rsidR="000109DB" w:rsidRPr="00BF26F2" w:rsidRDefault="000109DB" w:rsidP="00BF26F2">
            <w:pPr>
              <w:adjustRightInd w:val="0"/>
              <w:snapToGrid w:val="0"/>
              <w:spacing w:line="360" w:lineRule="auto"/>
              <w:rPr>
                <w:rFonts w:ascii="Book Antiqua" w:eastAsia="Times New Roman" w:hAnsi="Book Antiqua" w:cs="Arial"/>
              </w:rPr>
            </w:pPr>
          </w:p>
        </w:tc>
      </w:tr>
      <w:tr w:rsidR="00BF26F2" w:rsidRPr="00BF26F2" w14:paraId="42609D55" w14:textId="7EE55DCD" w:rsidTr="00692A76">
        <w:trPr>
          <w:trHeight w:val="284"/>
        </w:trPr>
        <w:tc>
          <w:tcPr>
            <w:tcW w:w="1351" w:type="dxa"/>
            <w:noWrap/>
            <w:hideMark/>
          </w:tcPr>
          <w:p w14:paraId="1967B98F" w14:textId="640F114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&lt; 0.001</w:t>
            </w:r>
          </w:p>
        </w:tc>
        <w:tc>
          <w:tcPr>
            <w:tcW w:w="1499" w:type="dxa"/>
            <w:noWrap/>
            <w:hideMark/>
          </w:tcPr>
          <w:p w14:paraId="3B4669D5"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1.39-1.89</w:t>
            </w:r>
          </w:p>
        </w:tc>
        <w:tc>
          <w:tcPr>
            <w:tcW w:w="767" w:type="dxa"/>
            <w:noWrap/>
            <w:hideMark/>
          </w:tcPr>
          <w:p w14:paraId="1756E3C7"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1.62</w:t>
            </w:r>
          </w:p>
        </w:tc>
        <w:tc>
          <w:tcPr>
            <w:tcW w:w="3058" w:type="dxa"/>
            <w:noWrap/>
            <w:hideMark/>
          </w:tcPr>
          <w:p w14:paraId="7B6D0322" w14:textId="77777777" w:rsidR="000109DB" w:rsidRPr="00BF26F2" w:rsidRDefault="000109DB" w:rsidP="00BF26F2">
            <w:pPr>
              <w:adjustRightInd w:val="0"/>
              <w:snapToGrid w:val="0"/>
              <w:spacing w:line="360" w:lineRule="auto"/>
              <w:rPr>
                <w:rFonts w:ascii="Book Antiqua" w:eastAsia="Times New Roman" w:hAnsi="Book Antiqua" w:cs="Arial"/>
              </w:rPr>
            </w:pPr>
            <w:r w:rsidRPr="00BF26F2">
              <w:rPr>
                <w:rFonts w:ascii="Book Antiqua" w:eastAsia="Times New Roman" w:hAnsi="Book Antiqua" w:cs="Arial"/>
              </w:rPr>
              <w:t xml:space="preserve">Rectal bleeding and melena </w:t>
            </w:r>
          </w:p>
        </w:tc>
        <w:tc>
          <w:tcPr>
            <w:tcW w:w="2256" w:type="dxa"/>
            <w:vMerge/>
            <w:hideMark/>
          </w:tcPr>
          <w:p w14:paraId="201E383F" w14:textId="77777777" w:rsidR="000109DB" w:rsidRPr="00BF26F2" w:rsidRDefault="000109DB" w:rsidP="00BF26F2">
            <w:pPr>
              <w:adjustRightInd w:val="0"/>
              <w:snapToGrid w:val="0"/>
              <w:spacing w:line="360" w:lineRule="auto"/>
              <w:rPr>
                <w:rFonts w:ascii="Book Antiqua" w:eastAsia="Times New Roman" w:hAnsi="Book Antiqua" w:cs="Arial"/>
              </w:rPr>
            </w:pPr>
          </w:p>
        </w:tc>
      </w:tr>
      <w:tr w:rsidR="00BF26F2" w:rsidRPr="00BF26F2" w14:paraId="50460170" w14:textId="523CF9D6" w:rsidTr="00692A76">
        <w:trPr>
          <w:trHeight w:val="284"/>
        </w:trPr>
        <w:tc>
          <w:tcPr>
            <w:tcW w:w="1351" w:type="dxa"/>
            <w:noWrap/>
            <w:hideMark/>
          </w:tcPr>
          <w:p w14:paraId="0F80948F"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0.008</w:t>
            </w:r>
          </w:p>
        </w:tc>
        <w:tc>
          <w:tcPr>
            <w:tcW w:w="1499" w:type="dxa"/>
            <w:noWrap/>
            <w:hideMark/>
          </w:tcPr>
          <w:p w14:paraId="52CFDAC9"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1.13-2.22</w:t>
            </w:r>
          </w:p>
        </w:tc>
        <w:tc>
          <w:tcPr>
            <w:tcW w:w="767" w:type="dxa"/>
            <w:noWrap/>
            <w:hideMark/>
          </w:tcPr>
          <w:p w14:paraId="0B092AA3"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1.58</w:t>
            </w:r>
          </w:p>
        </w:tc>
        <w:tc>
          <w:tcPr>
            <w:tcW w:w="3058" w:type="dxa"/>
            <w:noWrap/>
            <w:hideMark/>
          </w:tcPr>
          <w:p w14:paraId="79B56BFA" w14:textId="77777777" w:rsidR="000109DB" w:rsidRPr="00BF26F2" w:rsidRDefault="000109DB" w:rsidP="00BF26F2">
            <w:pPr>
              <w:adjustRightInd w:val="0"/>
              <w:snapToGrid w:val="0"/>
              <w:spacing w:line="360" w:lineRule="auto"/>
              <w:rPr>
                <w:rFonts w:ascii="Book Antiqua" w:eastAsia="Times New Roman" w:hAnsi="Book Antiqua" w:cs="Arial"/>
              </w:rPr>
            </w:pPr>
            <w:r w:rsidRPr="00BF26F2">
              <w:rPr>
                <w:rFonts w:ascii="Book Antiqua" w:eastAsia="Times New Roman" w:hAnsi="Book Antiqua" w:cs="Arial"/>
              </w:rPr>
              <w:t xml:space="preserve">Abdominal gas and bloating </w:t>
            </w:r>
          </w:p>
        </w:tc>
        <w:tc>
          <w:tcPr>
            <w:tcW w:w="2256" w:type="dxa"/>
            <w:vMerge/>
            <w:hideMark/>
          </w:tcPr>
          <w:p w14:paraId="3FFC61F0" w14:textId="77777777" w:rsidR="000109DB" w:rsidRPr="00BF26F2" w:rsidRDefault="000109DB" w:rsidP="00BF26F2">
            <w:pPr>
              <w:adjustRightInd w:val="0"/>
              <w:snapToGrid w:val="0"/>
              <w:spacing w:line="360" w:lineRule="auto"/>
              <w:rPr>
                <w:rFonts w:ascii="Book Antiqua" w:eastAsia="Times New Roman" w:hAnsi="Book Antiqua" w:cs="Arial"/>
              </w:rPr>
            </w:pPr>
          </w:p>
        </w:tc>
      </w:tr>
      <w:tr w:rsidR="00BF26F2" w:rsidRPr="00BF26F2" w14:paraId="0614FD22" w14:textId="0571FE9E" w:rsidTr="00692A76">
        <w:trPr>
          <w:trHeight w:val="284"/>
        </w:trPr>
        <w:tc>
          <w:tcPr>
            <w:tcW w:w="1351" w:type="dxa"/>
            <w:noWrap/>
            <w:hideMark/>
          </w:tcPr>
          <w:p w14:paraId="28B209F1" w14:textId="4F070A3A"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&lt; 0.001</w:t>
            </w:r>
          </w:p>
        </w:tc>
        <w:tc>
          <w:tcPr>
            <w:tcW w:w="1499" w:type="dxa"/>
            <w:noWrap/>
            <w:hideMark/>
          </w:tcPr>
          <w:p w14:paraId="51343DBD"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1.88-2.23</w:t>
            </w:r>
          </w:p>
        </w:tc>
        <w:tc>
          <w:tcPr>
            <w:tcW w:w="767" w:type="dxa"/>
            <w:noWrap/>
            <w:hideMark/>
          </w:tcPr>
          <w:p w14:paraId="5C3157AC"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2.05</w:t>
            </w:r>
          </w:p>
        </w:tc>
        <w:tc>
          <w:tcPr>
            <w:tcW w:w="3058" w:type="dxa"/>
            <w:noWrap/>
            <w:hideMark/>
          </w:tcPr>
          <w:p w14:paraId="6BFD3D6B" w14:textId="77777777" w:rsidR="000109DB" w:rsidRPr="00BF26F2" w:rsidRDefault="000109DB" w:rsidP="00BF26F2">
            <w:pPr>
              <w:adjustRightInd w:val="0"/>
              <w:snapToGrid w:val="0"/>
              <w:spacing w:line="360" w:lineRule="auto"/>
              <w:rPr>
                <w:rFonts w:ascii="Book Antiqua" w:eastAsia="Times New Roman" w:hAnsi="Book Antiqua" w:cs="Arial"/>
              </w:rPr>
            </w:pPr>
            <w:r w:rsidRPr="00BF26F2">
              <w:rPr>
                <w:rFonts w:ascii="Book Antiqua" w:eastAsia="Times New Roman" w:hAnsi="Book Antiqua" w:cs="Arial"/>
              </w:rPr>
              <w:t xml:space="preserve">Diarrhea </w:t>
            </w:r>
          </w:p>
        </w:tc>
        <w:tc>
          <w:tcPr>
            <w:tcW w:w="2256" w:type="dxa"/>
            <w:vMerge/>
            <w:hideMark/>
          </w:tcPr>
          <w:p w14:paraId="6D2A2D33" w14:textId="77777777" w:rsidR="000109DB" w:rsidRPr="00BF26F2" w:rsidRDefault="000109DB" w:rsidP="00BF26F2">
            <w:pPr>
              <w:adjustRightInd w:val="0"/>
              <w:snapToGrid w:val="0"/>
              <w:spacing w:line="360" w:lineRule="auto"/>
              <w:rPr>
                <w:rFonts w:ascii="Book Antiqua" w:eastAsia="Times New Roman" w:hAnsi="Book Antiqua" w:cs="Arial"/>
              </w:rPr>
            </w:pPr>
          </w:p>
        </w:tc>
      </w:tr>
      <w:tr w:rsidR="00BF26F2" w:rsidRPr="00BF26F2" w14:paraId="1E87A1A9" w14:textId="513273F3" w:rsidTr="00692A76">
        <w:trPr>
          <w:trHeight w:val="284"/>
        </w:trPr>
        <w:tc>
          <w:tcPr>
            <w:tcW w:w="1351" w:type="dxa"/>
            <w:noWrap/>
            <w:hideMark/>
          </w:tcPr>
          <w:p w14:paraId="6E3FC1B6"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0.973</w:t>
            </w:r>
          </w:p>
        </w:tc>
        <w:tc>
          <w:tcPr>
            <w:tcW w:w="1499" w:type="dxa"/>
            <w:noWrap/>
            <w:hideMark/>
          </w:tcPr>
          <w:p w14:paraId="1EF76472"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0.30-3.24</w:t>
            </w:r>
          </w:p>
        </w:tc>
        <w:tc>
          <w:tcPr>
            <w:tcW w:w="767" w:type="dxa"/>
            <w:noWrap/>
            <w:hideMark/>
          </w:tcPr>
          <w:p w14:paraId="13D530AD"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0.98</w:t>
            </w:r>
          </w:p>
        </w:tc>
        <w:tc>
          <w:tcPr>
            <w:tcW w:w="3058" w:type="dxa"/>
            <w:noWrap/>
            <w:hideMark/>
          </w:tcPr>
          <w:p w14:paraId="74B9065B" w14:textId="77777777" w:rsidR="000109DB" w:rsidRPr="00BF26F2" w:rsidRDefault="000109DB" w:rsidP="00BF26F2">
            <w:pPr>
              <w:adjustRightInd w:val="0"/>
              <w:snapToGrid w:val="0"/>
              <w:spacing w:line="360" w:lineRule="auto"/>
              <w:rPr>
                <w:rFonts w:ascii="Book Antiqua" w:eastAsia="Times New Roman" w:hAnsi="Book Antiqua" w:cs="Arial"/>
              </w:rPr>
            </w:pPr>
            <w:r w:rsidRPr="00BF26F2">
              <w:rPr>
                <w:rFonts w:ascii="Book Antiqua" w:eastAsia="Times New Roman" w:hAnsi="Book Antiqua" w:cs="Arial"/>
              </w:rPr>
              <w:t xml:space="preserve">Abdominal mass </w:t>
            </w:r>
          </w:p>
        </w:tc>
        <w:tc>
          <w:tcPr>
            <w:tcW w:w="2256" w:type="dxa"/>
            <w:vMerge/>
            <w:hideMark/>
          </w:tcPr>
          <w:p w14:paraId="7935C305" w14:textId="77777777" w:rsidR="000109DB" w:rsidRPr="00BF26F2" w:rsidRDefault="000109DB" w:rsidP="00BF26F2">
            <w:pPr>
              <w:adjustRightInd w:val="0"/>
              <w:snapToGrid w:val="0"/>
              <w:spacing w:line="360" w:lineRule="auto"/>
              <w:rPr>
                <w:rFonts w:ascii="Book Antiqua" w:eastAsia="Times New Roman" w:hAnsi="Book Antiqua" w:cs="Arial"/>
              </w:rPr>
            </w:pPr>
          </w:p>
        </w:tc>
      </w:tr>
      <w:tr w:rsidR="00BF26F2" w:rsidRPr="00BF26F2" w14:paraId="5146B093" w14:textId="17870710" w:rsidTr="00692A76">
        <w:trPr>
          <w:trHeight w:val="284"/>
        </w:trPr>
        <w:tc>
          <w:tcPr>
            <w:tcW w:w="1351" w:type="dxa"/>
            <w:noWrap/>
            <w:hideMark/>
          </w:tcPr>
          <w:p w14:paraId="54519A33" w14:textId="5C029A50"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&lt; 0.001</w:t>
            </w:r>
          </w:p>
        </w:tc>
        <w:tc>
          <w:tcPr>
            <w:tcW w:w="1499" w:type="dxa"/>
            <w:noWrap/>
            <w:hideMark/>
          </w:tcPr>
          <w:p w14:paraId="59956D25"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1.56-4.77</w:t>
            </w:r>
          </w:p>
        </w:tc>
        <w:tc>
          <w:tcPr>
            <w:tcW w:w="767" w:type="dxa"/>
            <w:noWrap/>
            <w:hideMark/>
          </w:tcPr>
          <w:p w14:paraId="5488FD61"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2.72</w:t>
            </w:r>
          </w:p>
        </w:tc>
        <w:tc>
          <w:tcPr>
            <w:tcW w:w="3058" w:type="dxa"/>
            <w:noWrap/>
            <w:hideMark/>
          </w:tcPr>
          <w:p w14:paraId="266D6362" w14:textId="77777777" w:rsidR="000109DB" w:rsidRPr="00BF26F2" w:rsidRDefault="000109DB" w:rsidP="00BF26F2">
            <w:pPr>
              <w:adjustRightInd w:val="0"/>
              <w:snapToGrid w:val="0"/>
              <w:spacing w:line="360" w:lineRule="auto"/>
              <w:rPr>
                <w:rFonts w:ascii="Book Antiqua" w:eastAsia="Times New Roman" w:hAnsi="Book Antiqua" w:cs="Arial"/>
              </w:rPr>
            </w:pPr>
            <w:r w:rsidRPr="00BF26F2">
              <w:rPr>
                <w:rFonts w:ascii="Book Antiqua" w:eastAsia="Times New Roman" w:hAnsi="Book Antiqua" w:cs="Arial"/>
              </w:rPr>
              <w:t>Others</w:t>
            </w:r>
          </w:p>
        </w:tc>
        <w:tc>
          <w:tcPr>
            <w:tcW w:w="2256" w:type="dxa"/>
            <w:vMerge/>
            <w:hideMark/>
          </w:tcPr>
          <w:p w14:paraId="4D8A64B7" w14:textId="77777777" w:rsidR="000109DB" w:rsidRPr="00BF26F2" w:rsidRDefault="000109DB" w:rsidP="00BF26F2">
            <w:pPr>
              <w:adjustRightInd w:val="0"/>
              <w:snapToGrid w:val="0"/>
              <w:spacing w:line="360" w:lineRule="auto"/>
              <w:rPr>
                <w:rFonts w:ascii="Book Antiqua" w:eastAsia="Times New Roman" w:hAnsi="Book Antiqua" w:cs="Arial"/>
              </w:rPr>
            </w:pPr>
          </w:p>
        </w:tc>
      </w:tr>
      <w:tr w:rsidR="00BF26F2" w:rsidRPr="00BF26F2" w14:paraId="3710F1E4" w14:textId="13E6099A" w:rsidTr="00692A76">
        <w:trPr>
          <w:trHeight w:val="299"/>
        </w:trPr>
        <w:tc>
          <w:tcPr>
            <w:tcW w:w="1351" w:type="dxa"/>
            <w:noWrap/>
            <w:hideMark/>
          </w:tcPr>
          <w:p w14:paraId="1FF0C70E" w14:textId="3317D332"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&lt; 0.001</w:t>
            </w:r>
          </w:p>
        </w:tc>
        <w:tc>
          <w:tcPr>
            <w:tcW w:w="1499" w:type="dxa"/>
            <w:noWrap/>
            <w:hideMark/>
          </w:tcPr>
          <w:p w14:paraId="73111AC8"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1.88-2.03</w:t>
            </w:r>
          </w:p>
        </w:tc>
        <w:tc>
          <w:tcPr>
            <w:tcW w:w="767" w:type="dxa"/>
            <w:noWrap/>
            <w:hideMark/>
          </w:tcPr>
          <w:p w14:paraId="723D5B6C" w14:textId="77777777" w:rsidR="000109DB" w:rsidRPr="00BF26F2" w:rsidRDefault="000109DB" w:rsidP="00BF26F2">
            <w:pPr>
              <w:adjustRightInd w:val="0"/>
              <w:snapToGrid w:val="0"/>
              <w:spacing w:line="360" w:lineRule="auto"/>
              <w:jc w:val="center"/>
              <w:rPr>
                <w:rFonts w:ascii="Book Antiqua" w:eastAsia="Times New Roman" w:hAnsi="Book Antiqua" w:cs="Arial"/>
              </w:rPr>
            </w:pPr>
            <w:r w:rsidRPr="00BF26F2">
              <w:rPr>
                <w:rFonts w:ascii="Book Antiqua" w:eastAsia="Times New Roman" w:hAnsi="Book Antiqua" w:cs="Arial"/>
              </w:rPr>
              <w:t>1.96</w:t>
            </w:r>
          </w:p>
        </w:tc>
        <w:tc>
          <w:tcPr>
            <w:tcW w:w="3058" w:type="dxa"/>
            <w:hideMark/>
          </w:tcPr>
          <w:p w14:paraId="36E92650" w14:textId="77777777" w:rsidR="000109DB" w:rsidRPr="00BF26F2" w:rsidRDefault="000109DB" w:rsidP="00BF26F2">
            <w:pPr>
              <w:adjustRightInd w:val="0"/>
              <w:snapToGrid w:val="0"/>
              <w:spacing w:line="360" w:lineRule="auto"/>
              <w:rPr>
                <w:rFonts w:ascii="Book Antiqua" w:eastAsia="Times New Roman" w:hAnsi="Book Antiqua" w:cs="Arial"/>
              </w:rPr>
            </w:pPr>
            <w:r w:rsidRPr="00BF26F2">
              <w:rPr>
                <w:rFonts w:ascii="Book Antiqua" w:eastAsia="Times New Roman" w:hAnsi="Book Antiqua" w:cs="Arial"/>
              </w:rPr>
              <w:t>Overall</w:t>
            </w:r>
          </w:p>
        </w:tc>
        <w:tc>
          <w:tcPr>
            <w:tcW w:w="2256" w:type="dxa"/>
            <w:vMerge/>
            <w:hideMark/>
          </w:tcPr>
          <w:p w14:paraId="296F8A14" w14:textId="77777777" w:rsidR="000109DB" w:rsidRPr="00BF26F2" w:rsidRDefault="000109DB" w:rsidP="00BF26F2">
            <w:pPr>
              <w:adjustRightInd w:val="0"/>
              <w:snapToGrid w:val="0"/>
              <w:spacing w:line="360" w:lineRule="auto"/>
              <w:rPr>
                <w:rFonts w:ascii="Book Antiqua" w:eastAsia="Times New Roman" w:hAnsi="Book Antiqua" w:cs="Arial"/>
              </w:rPr>
            </w:pPr>
          </w:p>
        </w:tc>
      </w:tr>
    </w:tbl>
    <w:p w14:paraId="201C7C64" w14:textId="5320CE31" w:rsidR="000109DB" w:rsidRPr="00BF26F2" w:rsidRDefault="0030446F" w:rsidP="00BF26F2">
      <w:pPr>
        <w:adjustRightInd w:val="0"/>
        <w:snapToGrid w:val="0"/>
        <w:spacing w:line="360" w:lineRule="auto"/>
        <w:rPr>
          <w:rFonts w:ascii="Book Antiqua" w:hAnsi="Book Antiqua"/>
        </w:rPr>
      </w:pPr>
      <w:r w:rsidRPr="00BF26F2">
        <w:rPr>
          <w:rFonts w:ascii="Book Antiqua" w:hAnsi="Book Antiqua"/>
          <w:lang w:eastAsia="zh-CN"/>
        </w:rPr>
        <w:t xml:space="preserve">CI: </w:t>
      </w:r>
      <w:r w:rsidRPr="00BF26F2">
        <w:rPr>
          <w:rFonts w:ascii="Book Antiqua" w:eastAsia="Book Antiqua" w:hAnsi="Book Antiqua" w:cs="Book Antiqua"/>
        </w:rPr>
        <w:t xml:space="preserve">Confidence intervals; </w:t>
      </w:r>
      <w:r w:rsidR="00454DE9" w:rsidRPr="00BF26F2">
        <w:rPr>
          <w:rFonts w:ascii="Book Antiqua" w:hAnsi="Book Antiqua"/>
        </w:rPr>
        <w:t>GERD: Gastroesophageal reflux disease</w:t>
      </w:r>
      <w:r w:rsidR="00454DE9">
        <w:rPr>
          <w:rFonts w:ascii="Book Antiqua" w:hAnsi="Book Antiqua"/>
        </w:rPr>
        <w:t>;</w:t>
      </w:r>
      <w:r w:rsidR="00454DE9" w:rsidRPr="00BF26F2">
        <w:rPr>
          <w:rFonts w:ascii="Book Antiqua" w:hAnsi="Book Antiqua"/>
          <w:lang w:eastAsia="zh-CN"/>
        </w:rPr>
        <w:t xml:space="preserve"> OR: Odds ratio; </w:t>
      </w:r>
      <w:r w:rsidRPr="00BF26F2">
        <w:rPr>
          <w:rFonts w:ascii="Book Antiqua" w:eastAsia="Book Antiqua" w:hAnsi="Book Antiqua" w:cs="Book Antiqua"/>
        </w:rPr>
        <w:t>RR: Rate ratio</w:t>
      </w:r>
      <w:r w:rsidR="00C83C12" w:rsidRPr="00BF26F2">
        <w:rPr>
          <w:rFonts w:ascii="Book Antiqua" w:hAnsi="Book Antiqua"/>
        </w:rPr>
        <w:t>.</w:t>
      </w:r>
    </w:p>
    <w:p w14:paraId="5043FCBF" w14:textId="77777777" w:rsidR="00117F7B" w:rsidRPr="00BF26F2" w:rsidRDefault="00117F7B" w:rsidP="00BF26F2">
      <w:pPr>
        <w:adjustRightInd w:val="0"/>
        <w:snapToGrid w:val="0"/>
        <w:spacing w:line="360" w:lineRule="auto"/>
        <w:ind w:firstLineChars="50" w:firstLine="120"/>
        <w:jc w:val="both"/>
        <w:rPr>
          <w:rFonts w:ascii="Book Antiqua" w:hAnsi="Book Antiqua"/>
        </w:rPr>
      </w:pPr>
    </w:p>
    <w:sectPr w:rsidR="00117F7B" w:rsidRPr="00BF26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1998F" w14:textId="77777777" w:rsidR="00D01A99" w:rsidRDefault="00D01A99" w:rsidP="00E530A6">
      <w:r>
        <w:separator/>
      </w:r>
    </w:p>
  </w:endnote>
  <w:endnote w:type="continuationSeparator" w:id="0">
    <w:p w14:paraId="3881E914" w14:textId="77777777" w:rsidR="00D01A99" w:rsidRDefault="00D01A99" w:rsidP="00E5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Neue-Roman">
    <w:altName w:val="Segoe Print"/>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490234"/>
      <w:docPartObj>
        <w:docPartGallery w:val="Page Numbers (Bottom of Page)"/>
        <w:docPartUnique/>
      </w:docPartObj>
    </w:sdtPr>
    <w:sdtEndPr/>
    <w:sdtContent>
      <w:sdt>
        <w:sdtPr>
          <w:id w:val="-1705238520"/>
          <w:docPartObj>
            <w:docPartGallery w:val="Page Numbers (Top of Page)"/>
            <w:docPartUnique/>
          </w:docPartObj>
        </w:sdtPr>
        <w:sdtEndPr/>
        <w:sdtContent>
          <w:p w14:paraId="279DFCCD" w14:textId="2F23891D" w:rsidR="00BF26F2" w:rsidRPr="00BF26F2" w:rsidRDefault="00BF26F2" w:rsidP="00437E10">
            <w:pPr>
              <w:pStyle w:val="ac"/>
              <w:jc w:val="right"/>
            </w:pPr>
            <w:r w:rsidRPr="00BF26F2">
              <w:rPr>
                <w:rFonts w:ascii="Book Antiqua" w:hAnsi="Book Antiqua"/>
                <w:sz w:val="24"/>
                <w:szCs w:val="24"/>
                <w:lang w:val="zh-CN" w:eastAsia="zh-CN"/>
              </w:rPr>
              <w:t xml:space="preserve"> </w:t>
            </w:r>
            <w:r w:rsidRPr="007E5D8C">
              <w:rPr>
                <w:rFonts w:ascii="Book Antiqua" w:hAnsi="Book Antiqua"/>
                <w:sz w:val="24"/>
                <w:szCs w:val="24"/>
              </w:rPr>
              <w:fldChar w:fldCharType="begin"/>
            </w:r>
            <w:r w:rsidRPr="007E5D8C">
              <w:rPr>
                <w:rFonts w:ascii="Book Antiqua" w:hAnsi="Book Antiqua"/>
                <w:sz w:val="24"/>
                <w:szCs w:val="24"/>
              </w:rPr>
              <w:instrText>PAGE</w:instrText>
            </w:r>
            <w:r w:rsidRPr="007E5D8C">
              <w:rPr>
                <w:rFonts w:ascii="Book Antiqua" w:hAnsi="Book Antiqua"/>
                <w:sz w:val="24"/>
                <w:szCs w:val="24"/>
              </w:rPr>
              <w:fldChar w:fldCharType="separate"/>
            </w:r>
            <w:r w:rsidRPr="007E5D8C">
              <w:rPr>
                <w:rFonts w:ascii="Book Antiqua" w:hAnsi="Book Antiqua"/>
                <w:noProof/>
                <w:sz w:val="24"/>
                <w:szCs w:val="24"/>
              </w:rPr>
              <w:t>27</w:t>
            </w:r>
            <w:r w:rsidRPr="007E5D8C">
              <w:rPr>
                <w:rFonts w:ascii="Book Antiqua" w:hAnsi="Book Antiqua"/>
                <w:sz w:val="24"/>
                <w:szCs w:val="24"/>
              </w:rPr>
              <w:fldChar w:fldCharType="end"/>
            </w:r>
            <w:r w:rsidRPr="00BF26F2">
              <w:rPr>
                <w:rFonts w:ascii="Book Antiqua" w:hAnsi="Book Antiqua"/>
                <w:sz w:val="24"/>
                <w:szCs w:val="24"/>
                <w:lang w:val="zh-CN" w:eastAsia="zh-CN"/>
              </w:rPr>
              <w:t xml:space="preserve"> / </w:t>
            </w:r>
            <w:r w:rsidRPr="007E5D8C">
              <w:rPr>
                <w:rFonts w:ascii="Book Antiqua" w:hAnsi="Book Antiqua"/>
                <w:sz w:val="24"/>
                <w:szCs w:val="24"/>
              </w:rPr>
              <w:fldChar w:fldCharType="begin"/>
            </w:r>
            <w:r w:rsidRPr="007E5D8C">
              <w:rPr>
                <w:rFonts w:ascii="Book Antiqua" w:hAnsi="Book Antiqua"/>
                <w:sz w:val="24"/>
                <w:szCs w:val="24"/>
              </w:rPr>
              <w:instrText>NUMPAGES</w:instrText>
            </w:r>
            <w:r w:rsidRPr="007E5D8C">
              <w:rPr>
                <w:rFonts w:ascii="Book Antiqua" w:hAnsi="Book Antiqua"/>
                <w:sz w:val="24"/>
                <w:szCs w:val="24"/>
              </w:rPr>
              <w:fldChar w:fldCharType="separate"/>
            </w:r>
            <w:r w:rsidRPr="007E5D8C">
              <w:rPr>
                <w:rFonts w:ascii="Book Antiqua" w:hAnsi="Book Antiqua"/>
                <w:noProof/>
                <w:sz w:val="24"/>
                <w:szCs w:val="24"/>
              </w:rPr>
              <w:t>28</w:t>
            </w:r>
            <w:r w:rsidRPr="007E5D8C">
              <w:rPr>
                <w:rFonts w:ascii="Book Antiqua" w:hAnsi="Book Antiqua"/>
                <w:sz w:val="24"/>
                <w:szCs w:val="24"/>
              </w:rPr>
              <w:fldChar w:fldCharType="end"/>
            </w:r>
          </w:p>
        </w:sdtContent>
      </w:sdt>
    </w:sdtContent>
  </w:sdt>
  <w:p w14:paraId="22013934" w14:textId="77777777" w:rsidR="00BF26F2" w:rsidRDefault="00BF26F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7BB54" w14:textId="77777777" w:rsidR="00D01A99" w:rsidRDefault="00D01A99" w:rsidP="00E530A6">
      <w:r>
        <w:separator/>
      </w:r>
    </w:p>
  </w:footnote>
  <w:footnote w:type="continuationSeparator" w:id="0">
    <w:p w14:paraId="69248383" w14:textId="77777777" w:rsidR="00D01A99" w:rsidRDefault="00D01A99" w:rsidP="00E53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9DB"/>
    <w:rsid w:val="0004000B"/>
    <w:rsid w:val="00051F23"/>
    <w:rsid w:val="000523E6"/>
    <w:rsid w:val="00117F7B"/>
    <w:rsid w:val="001D0045"/>
    <w:rsid w:val="001E63E6"/>
    <w:rsid w:val="0021047A"/>
    <w:rsid w:val="0025674D"/>
    <w:rsid w:val="00260760"/>
    <w:rsid w:val="00281A2E"/>
    <w:rsid w:val="00285340"/>
    <w:rsid w:val="002B3E4C"/>
    <w:rsid w:val="002E0F9C"/>
    <w:rsid w:val="0030446F"/>
    <w:rsid w:val="00342D2B"/>
    <w:rsid w:val="003534E4"/>
    <w:rsid w:val="003B695E"/>
    <w:rsid w:val="003D4AC4"/>
    <w:rsid w:val="004069BF"/>
    <w:rsid w:val="00437E10"/>
    <w:rsid w:val="00441FED"/>
    <w:rsid w:val="00454DE9"/>
    <w:rsid w:val="00470BCE"/>
    <w:rsid w:val="004B2C5C"/>
    <w:rsid w:val="004D4FFA"/>
    <w:rsid w:val="00526BFE"/>
    <w:rsid w:val="005842ED"/>
    <w:rsid w:val="006122FD"/>
    <w:rsid w:val="00627F6A"/>
    <w:rsid w:val="00690BA3"/>
    <w:rsid w:val="00692A76"/>
    <w:rsid w:val="00744CE7"/>
    <w:rsid w:val="00775D0B"/>
    <w:rsid w:val="00776B6C"/>
    <w:rsid w:val="00780540"/>
    <w:rsid w:val="007E1D69"/>
    <w:rsid w:val="007E4946"/>
    <w:rsid w:val="007E5D8C"/>
    <w:rsid w:val="007E6691"/>
    <w:rsid w:val="00806BF7"/>
    <w:rsid w:val="00823235"/>
    <w:rsid w:val="0085502E"/>
    <w:rsid w:val="008D4486"/>
    <w:rsid w:val="008E366A"/>
    <w:rsid w:val="008F5935"/>
    <w:rsid w:val="00906F3B"/>
    <w:rsid w:val="00962F81"/>
    <w:rsid w:val="009749C0"/>
    <w:rsid w:val="009916BB"/>
    <w:rsid w:val="009B78B8"/>
    <w:rsid w:val="009C7786"/>
    <w:rsid w:val="009F4BA7"/>
    <w:rsid w:val="00A360DC"/>
    <w:rsid w:val="00A77B3E"/>
    <w:rsid w:val="00AA77E5"/>
    <w:rsid w:val="00B5798E"/>
    <w:rsid w:val="00B97072"/>
    <w:rsid w:val="00BC2F2C"/>
    <w:rsid w:val="00BE7660"/>
    <w:rsid w:val="00BF26F2"/>
    <w:rsid w:val="00C54C6C"/>
    <w:rsid w:val="00C55683"/>
    <w:rsid w:val="00C5789C"/>
    <w:rsid w:val="00C83C12"/>
    <w:rsid w:val="00CA2A55"/>
    <w:rsid w:val="00CC3E68"/>
    <w:rsid w:val="00D01A99"/>
    <w:rsid w:val="00D02FF1"/>
    <w:rsid w:val="00D61503"/>
    <w:rsid w:val="00D66D3A"/>
    <w:rsid w:val="00D82CA9"/>
    <w:rsid w:val="00DA6649"/>
    <w:rsid w:val="00DB015A"/>
    <w:rsid w:val="00DE01C7"/>
    <w:rsid w:val="00E3342B"/>
    <w:rsid w:val="00E356CC"/>
    <w:rsid w:val="00E50F77"/>
    <w:rsid w:val="00E530A6"/>
    <w:rsid w:val="00E72C91"/>
    <w:rsid w:val="00EA1595"/>
    <w:rsid w:val="00EC42F6"/>
    <w:rsid w:val="00EE412C"/>
    <w:rsid w:val="00EF7B2F"/>
    <w:rsid w:val="00FB7545"/>
    <w:rsid w:val="00FF5FC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B5486"/>
  <w15:docId w15:val="{7D804EF8-2261-4019-9E48-915529FD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B78B8"/>
    <w:rPr>
      <w:sz w:val="21"/>
      <w:szCs w:val="21"/>
    </w:rPr>
  </w:style>
  <w:style w:type="paragraph" w:styleId="a4">
    <w:name w:val="annotation text"/>
    <w:basedOn w:val="a"/>
    <w:link w:val="a5"/>
    <w:semiHidden/>
    <w:unhideWhenUsed/>
    <w:rsid w:val="009B78B8"/>
  </w:style>
  <w:style w:type="character" w:customStyle="1" w:styleId="a5">
    <w:name w:val="批注文字 字符"/>
    <w:basedOn w:val="a0"/>
    <w:link w:val="a4"/>
    <w:semiHidden/>
    <w:rsid w:val="009B78B8"/>
    <w:rPr>
      <w:sz w:val="24"/>
      <w:szCs w:val="24"/>
    </w:rPr>
  </w:style>
  <w:style w:type="paragraph" w:styleId="a6">
    <w:name w:val="annotation subject"/>
    <w:basedOn w:val="a4"/>
    <w:next w:val="a4"/>
    <w:link w:val="a7"/>
    <w:semiHidden/>
    <w:unhideWhenUsed/>
    <w:rsid w:val="009B78B8"/>
    <w:rPr>
      <w:b/>
      <w:bCs/>
    </w:rPr>
  </w:style>
  <w:style w:type="character" w:customStyle="1" w:styleId="a7">
    <w:name w:val="批注主题 字符"/>
    <w:basedOn w:val="a5"/>
    <w:link w:val="a6"/>
    <w:semiHidden/>
    <w:rsid w:val="009B78B8"/>
    <w:rPr>
      <w:b/>
      <w:bCs/>
      <w:sz w:val="24"/>
      <w:szCs w:val="24"/>
    </w:rPr>
  </w:style>
  <w:style w:type="paragraph" w:styleId="a8">
    <w:name w:val="Balloon Text"/>
    <w:basedOn w:val="a"/>
    <w:link w:val="a9"/>
    <w:rsid w:val="009B78B8"/>
    <w:rPr>
      <w:sz w:val="18"/>
      <w:szCs w:val="18"/>
    </w:rPr>
  </w:style>
  <w:style w:type="character" w:customStyle="1" w:styleId="a9">
    <w:name w:val="批注框文本 字符"/>
    <w:basedOn w:val="a0"/>
    <w:link w:val="a8"/>
    <w:rsid w:val="009B78B8"/>
    <w:rPr>
      <w:sz w:val="18"/>
      <w:szCs w:val="18"/>
    </w:rPr>
  </w:style>
  <w:style w:type="character" w:customStyle="1" w:styleId="fontstyle01">
    <w:name w:val="fontstyle01"/>
    <w:basedOn w:val="a0"/>
    <w:rsid w:val="009B78B8"/>
    <w:rPr>
      <w:rFonts w:ascii="HelveticaNeue-Roman" w:hAnsi="HelveticaNeue-Roman" w:hint="default"/>
      <w:b w:val="0"/>
      <w:bCs w:val="0"/>
      <w:i w:val="0"/>
      <w:iCs w:val="0"/>
      <w:color w:val="000000"/>
      <w:sz w:val="16"/>
      <w:szCs w:val="16"/>
    </w:rPr>
  </w:style>
  <w:style w:type="table" w:customStyle="1" w:styleId="21">
    <w:name w:val="无格式表格 21"/>
    <w:basedOn w:val="a1"/>
    <w:next w:val="2"/>
    <w:uiPriority w:val="42"/>
    <w:rsid w:val="00117F7B"/>
    <w:rPr>
      <w:rFonts w:ascii="Calibri"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2">
    <w:name w:val="Plain Table 2"/>
    <w:basedOn w:val="a1"/>
    <w:uiPriority w:val="42"/>
    <w:rsid w:val="00117F7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a">
    <w:name w:val="header"/>
    <w:basedOn w:val="a"/>
    <w:link w:val="ab"/>
    <w:unhideWhenUsed/>
    <w:rsid w:val="00E530A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E530A6"/>
    <w:rPr>
      <w:sz w:val="18"/>
      <w:szCs w:val="18"/>
    </w:rPr>
  </w:style>
  <w:style w:type="paragraph" w:styleId="ac">
    <w:name w:val="footer"/>
    <w:basedOn w:val="a"/>
    <w:link w:val="ad"/>
    <w:uiPriority w:val="99"/>
    <w:unhideWhenUsed/>
    <w:rsid w:val="00E530A6"/>
    <w:pPr>
      <w:tabs>
        <w:tab w:val="center" w:pos="4153"/>
        <w:tab w:val="right" w:pos="8306"/>
      </w:tabs>
      <w:snapToGrid w:val="0"/>
    </w:pPr>
    <w:rPr>
      <w:sz w:val="18"/>
      <w:szCs w:val="18"/>
    </w:rPr>
  </w:style>
  <w:style w:type="character" w:customStyle="1" w:styleId="ad">
    <w:name w:val="页脚 字符"/>
    <w:basedOn w:val="a0"/>
    <w:link w:val="ac"/>
    <w:uiPriority w:val="99"/>
    <w:rsid w:val="00E530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50263">
      <w:bodyDiv w:val="1"/>
      <w:marLeft w:val="0"/>
      <w:marRight w:val="0"/>
      <w:marTop w:val="0"/>
      <w:marBottom w:val="0"/>
      <w:divBdr>
        <w:top w:val="none" w:sz="0" w:space="0" w:color="auto"/>
        <w:left w:val="none" w:sz="0" w:space="0" w:color="auto"/>
        <w:bottom w:val="none" w:sz="0" w:space="0" w:color="auto"/>
        <w:right w:val="none" w:sz="0" w:space="0" w:color="auto"/>
      </w:divBdr>
    </w:div>
    <w:div w:id="1085225917">
      <w:bodyDiv w:val="1"/>
      <w:marLeft w:val="0"/>
      <w:marRight w:val="0"/>
      <w:marTop w:val="0"/>
      <w:marBottom w:val="0"/>
      <w:divBdr>
        <w:top w:val="none" w:sz="0" w:space="0" w:color="auto"/>
        <w:left w:val="none" w:sz="0" w:space="0" w:color="auto"/>
        <w:bottom w:val="none" w:sz="0" w:space="0" w:color="auto"/>
        <w:right w:val="none" w:sz="0" w:space="0" w:color="auto"/>
      </w:divBdr>
    </w:div>
    <w:div w:id="1245603013">
      <w:bodyDiv w:val="1"/>
      <w:marLeft w:val="0"/>
      <w:marRight w:val="0"/>
      <w:marTop w:val="0"/>
      <w:marBottom w:val="0"/>
      <w:divBdr>
        <w:top w:val="none" w:sz="0" w:space="0" w:color="auto"/>
        <w:left w:val="none" w:sz="0" w:space="0" w:color="auto"/>
        <w:bottom w:val="none" w:sz="0" w:space="0" w:color="auto"/>
        <w:right w:val="none" w:sz="0" w:space="0" w:color="auto"/>
      </w:divBdr>
    </w:div>
    <w:div w:id="1646086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28</Pages>
  <Words>6760</Words>
  <Characters>38538</Characters>
  <Application>Microsoft Office Word</Application>
  <DocSecurity>0</DocSecurity>
  <Lines>321</Lines>
  <Paragraphs>90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Lior Katz</dc:creator>
  <cp:lastModifiedBy>wdm</cp:lastModifiedBy>
  <cp:revision>7</cp:revision>
  <dcterms:created xsi:type="dcterms:W3CDTF">2020-09-28T05:15:00Z</dcterms:created>
  <dcterms:modified xsi:type="dcterms:W3CDTF">2020-10-09T09:17:00Z</dcterms:modified>
</cp:coreProperties>
</file>