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BCF81" w14:textId="77777777" w:rsidR="007328BF" w:rsidRPr="00DA32D9" w:rsidRDefault="007328BF" w:rsidP="00DA32D9">
      <w:pPr>
        <w:snapToGrid w:val="0"/>
        <w:rPr>
          <w:b/>
          <w:sz w:val="20"/>
          <w:szCs w:val="20"/>
        </w:rPr>
      </w:pPr>
      <w:bookmarkStart w:id="0" w:name="OLE_LINK2"/>
      <w:r w:rsidRPr="00DA32D9">
        <w:rPr>
          <w:b/>
          <w:sz w:val="20"/>
          <w:szCs w:val="20"/>
        </w:rPr>
        <w:t xml:space="preserve">Name of </w:t>
      </w:r>
      <w:r w:rsidRPr="00DA32D9">
        <w:rPr>
          <w:b/>
          <w:caps/>
          <w:sz w:val="20"/>
          <w:szCs w:val="20"/>
        </w:rPr>
        <w:t>j</w:t>
      </w:r>
      <w:r w:rsidRPr="00DA32D9">
        <w:rPr>
          <w:b/>
          <w:sz w:val="20"/>
          <w:szCs w:val="20"/>
        </w:rPr>
        <w:t xml:space="preserve">ournal: </w:t>
      </w:r>
      <w:r w:rsidRPr="00DA32D9">
        <w:rPr>
          <w:i/>
          <w:sz w:val="20"/>
          <w:szCs w:val="20"/>
        </w:rPr>
        <w:t>World Journal of Gastroenterology</w:t>
      </w:r>
    </w:p>
    <w:p w14:paraId="58C43891" w14:textId="5A5A61DE" w:rsidR="007328BF" w:rsidRPr="00DA32D9" w:rsidRDefault="007328BF" w:rsidP="00DA32D9">
      <w:pPr>
        <w:snapToGrid w:val="0"/>
        <w:rPr>
          <w:b/>
          <w:sz w:val="20"/>
          <w:szCs w:val="20"/>
        </w:rPr>
      </w:pPr>
      <w:r w:rsidRPr="00DA32D9">
        <w:rPr>
          <w:b/>
          <w:sz w:val="20"/>
          <w:szCs w:val="20"/>
        </w:rPr>
        <w:t xml:space="preserve">Manuscript NO: </w:t>
      </w:r>
      <w:r w:rsidRPr="00DA32D9">
        <w:rPr>
          <w:bCs/>
          <w:sz w:val="20"/>
          <w:szCs w:val="20"/>
        </w:rPr>
        <w:t>53120</w:t>
      </w:r>
    </w:p>
    <w:p w14:paraId="7ABAEF0F" w14:textId="77777777" w:rsidR="007328BF" w:rsidRPr="00DA32D9" w:rsidRDefault="007328BF" w:rsidP="00DA32D9">
      <w:pPr>
        <w:snapToGrid w:val="0"/>
        <w:rPr>
          <w:b/>
          <w:sz w:val="20"/>
          <w:szCs w:val="20"/>
        </w:rPr>
      </w:pPr>
      <w:r w:rsidRPr="00DA32D9">
        <w:rPr>
          <w:b/>
          <w:sz w:val="20"/>
          <w:szCs w:val="20"/>
        </w:rPr>
        <w:t xml:space="preserve">Manuscript Type: </w:t>
      </w:r>
      <w:r w:rsidRPr="00DA32D9">
        <w:rPr>
          <w:sz w:val="20"/>
          <w:szCs w:val="20"/>
        </w:rPr>
        <w:t>ORIGINAL ARTICLE</w:t>
      </w:r>
    </w:p>
    <w:p w14:paraId="1ACA5C6C" w14:textId="77777777" w:rsidR="00870794" w:rsidRPr="00DA32D9" w:rsidRDefault="00870794" w:rsidP="00DA32D9">
      <w:pPr>
        <w:snapToGrid w:val="0"/>
        <w:rPr>
          <w:sz w:val="20"/>
          <w:szCs w:val="20"/>
        </w:rPr>
      </w:pPr>
    </w:p>
    <w:p w14:paraId="07062633" w14:textId="6602F6FE" w:rsidR="00035E5B" w:rsidRPr="00DA32D9" w:rsidRDefault="00870794" w:rsidP="00DA32D9">
      <w:pPr>
        <w:snapToGrid w:val="0"/>
        <w:rPr>
          <w:b/>
          <w:bCs/>
          <w:i/>
          <w:iCs/>
          <w:sz w:val="20"/>
          <w:szCs w:val="20"/>
        </w:rPr>
      </w:pPr>
      <w:r w:rsidRPr="00DA32D9">
        <w:rPr>
          <w:b/>
          <w:bCs/>
          <w:i/>
          <w:iCs/>
          <w:sz w:val="20"/>
          <w:szCs w:val="20"/>
        </w:rPr>
        <w:t>Case Control Study</w:t>
      </w:r>
    </w:p>
    <w:p w14:paraId="11F4155F" w14:textId="77777777" w:rsidR="00035E5B" w:rsidRPr="00DA32D9" w:rsidRDefault="0019595D" w:rsidP="00DA32D9">
      <w:pPr>
        <w:snapToGrid w:val="0"/>
        <w:rPr>
          <w:b/>
          <w:sz w:val="20"/>
          <w:szCs w:val="20"/>
        </w:rPr>
      </w:pPr>
      <w:bookmarkStart w:id="1" w:name="OLE_LINK1"/>
      <w:bookmarkStart w:id="2" w:name="_Hlk5282202"/>
      <w:r w:rsidRPr="00DA32D9">
        <w:rPr>
          <w:b/>
          <w:sz w:val="20"/>
          <w:szCs w:val="20"/>
        </w:rPr>
        <w:t>Exosomal miR-182 regulates the effect of RECK on gallbladder cancer</w:t>
      </w:r>
    </w:p>
    <w:p w14:paraId="5BE4A2BE" w14:textId="77777777" w:rsidR="00035E5B" w:rsidRPr="00DA32D9" w:rsidRDefault="00035E5B" w:rsidP="00DA32D9">
      <w:pPr>
        <w:snapToGrid w:val="0"/>
        <w:rPr>
          <w:b/>
          <w:sz w:val="20"/>
          <w:szCs w:val="20"/>
        </w:rPr>
      </w:pPr>
    </w:p>
    <w:p w14:paraId="6D444CEE" w14:textId="77777777" w:rsidR="00035E5B" w:rsidRPr="00DA32D9" w:rsidRDefault="0019595D" w:rsidP="00DA32D9">
      <w:pPr>
        <w:snapToGrid w:val="0"/>
        <w:rPr>
          <w:sz w:val="20"/>
          <w:szCs w:val="20"/>
        </w:rPr>
      </w:pPr>
      <w:r w:rsidRPr="00DA32D9">
        <w:rPr>
          <w:sz w:val="20"/>
          <w:szCs w:val="20"/>
        </w:rPr>
        <w:t xml:space="preserve">Zheng H </w:t>
      </w:r>
      <w:r w:rsidRPr="00DA32D9">
        <w:rPr>
          <w:i/>
          <w:sz w:val="20"/>
          <w:szCs w:val="20"/>
        </w:rPr>
        <w:t>et al</w:t>
      </w:r>
      <w:r w:rsidRPr="00DA32D9">
        <w:rPr>
          <w:sz w:val="20"/>
          <w:szCs w:val="20"/>
        </w:rPr>
        <w:t>. miR-182/RECK and gallbladder cancer</w:t>
      </w:r>
    </w:p>
    <w:p w14:paraId="7048349A" w14:textId="77777777" w:rsidR="00035E5B" w:rsidRPr="00DA32D9" w:rsidRDefault="00035E5B" w:rsidP="00DA32D9">
      <w:pPr>
        <w:snapToGrid w:val="0"/>
        <w:rPr>
          <w:sz w:val="20"/>
          <w:szCs w:val="20"/>
        </w:rPr>
      </w:pPr>
    </w:p>
    <w:bookmarkEnd w:id="1"/>
    <w:p w14:paraId="1D16F8C0" w14:textId="77777777" w:rsidR="00035E5B" w:rsidRPr="00DA32D9" w:rsidRDefault="0019595D" w:rsidP="00DA32D9">
      <w:pPr>
        <w:snapToGrid w:val="0"/>
        <w:rPr>
          <w:bCs/>
          <w:sz w:val="20"/>
          <w:szCs w:val="20"/>
        </w:rPr>
      </w:pPr>
      <w:r w:rsidRPr="00DA32D9">
        <w:rPr>
          <w:bCs/>
          <w:sz w:val="20"/>
          <w:szCs w:val="20"/>
        </w:rPr>
        <w:t>Hong Zheng, Jin-Jing Wang, Li-Jin Zhao, Xiao-Rong Yang, Yong-Lin Yu</w:t>
      </w:r>
    </w:p>
    <w:p w14:paraId="15519A85" w14:textId="77777777" w:rsidR="00035E5B" w:rsidRPr="00DA32D9" w:rsidRDefault="00035E5B" w:rsidP="00DA32D9">
      <w:pPr>
        <w:snapToGrid w:val="0"/>
        <w:rPr>
          <w:b/>
          <w:sz w:val="20"/>
          <w:szCs w:val="20"/>
        </w:rPr>
      </w:pPr>
    </w:p>
    <w:bookmarkEnd w:id="2"/>
    <w:p w14:paraId="76A19FB4" w14:textId="77777777" w:rsidR="00035E5B" w:rsidRPr="00DA32D9" w:rsidRDefault="0019595D" w:rsidP="00DA32D9">
      <w:pPr>
        <w:snapToGrid w:val="0"/>
        <w:rPr>
          <w:sz w:val="20"/>
          <w:szCs w:val="20"/>
        </w:rPr>
      </w:pPr>
      <w:r w:rsidRPr="00DA32D9">
        <w:rPr>
          <w:b/>
          <w:sz w:val="20"/>
          <w:szCs w:val="20"/>
        </w:rPr>
        <w:t xml:space="preserve">Hong Zheng, Jin-Jing Wang, Xiao-Rong Yang, Yong-Lin Yu, </w:t>
      </w:r>
      <w:r w:rsidRPr="00DA32D9">
        <w:rPr>
          <w:sz w:val="20"/>
          <w:szCs w:val="20"/>
        </w:rPr>
        <w:t>Department of Pathology, Affiliated Hospital of Zunyi Medical University, Zunyi 563003, Guizhou Province, China</w:t>
      </w:r>
    </w:p>
    <w:p w14:paraId="3178AFDB" w14:textId="77777777" w:rsidR="00035E5B" w:rsidRPr="00DA32D9" w:rsidRDefault="00035E5B" w:rsidP="00DA32D9">
      <w:pPr>
        <w:snapToGrid w:val="0"/>
        <w:rPr>
          <w:b/>
          <w:sz w:val="20"/>
          <w:szCs w:val="20"/>
        </w:rPr>
      </w:pPr>
    </w:p>
    <w:p w14:paraId="7DFF3AF3" w14:textId="77777777" w:rsidR="00035E5B" w:rsidRPr="00DA32D9" w:rsidRDefault="0019595D" w:rsidP="00DA32D9">
      <w:pPr>
        <w:snapToGrid w:val="0"/>
        <w:rPr>
          <w:sz w:val="20"/>
          <w:szCs w:val="20"/>
        </w:rPr>
      </w:pPr>
      <w:r w:rsidRPr="00DA32D9">
        <w:rPr>
          <w:b/>
          <w:sz w:val="20"/>
          <w:szCs w:val="20"/>
        </w:rPr>
        <w:t xml:space="preserve">Li-Jin Zhao, </w:t>
      </w:r>
      <w:r w:rsidRPr="00DA32D9">
        <w:rPr>
          <w:sz w:val="20"/>
          <w:szCs w:val="20"/>
        </w:rPr>
        <w:t>Department of Hepatopancreatobiliary Surgery, Affiliated Hospital of Zunyi Medical University, Zunyi 563003, Guizhou Province, China</w:t>
      </w:r>
    </w:p>
    <w:p w14:paraId="41755B7B" w14:textId="77777777" w:rsidR="00035E5B" w:rsidRPr="00DA32D9" w:rsidRDefault="00035E5B" w:rsidP="00DA32D9">
      <w:pPr>
        <w:snapToGrid w:val="0"/>
        <w:rPr>
          <w:b/>
          <w:sz w:val="20"/>
          <w:szCs w:val="20"/>
        </w:rPr>
      </w:pPr>
    </w:p>
    <w:p w14:paraId="4E434CE2" w14:textId="2239D1AB" w:rsidR="00035E5B" w:rsidRPr="00DA32D9" w:rsidRDefault="0019595D" w:rsidP="00DA32D9">
      <w:pPr>
        <w:snapToGrid w:val="0"/>
        <w:rPr>
          <w:sz w:val="20"/>
          <w:szCs w:val="20"/>
        </w:rPr>
      </w:pPr>
      <w:r w:rsidRPr="00DA32D9">
        <w:rPr>
          <w:b/>
          <w:sz w:val="20"/>
          <w:szCs w:val="20"/>
        </w:rPr>
        <w:t>Author contributions:</w:t>
      </w:r>
      <w:r w:rsidRPr="00DA32D9">
        <w:rPr>
          <w:sz w:val="20"/>
          <w:szCs w:val="20"/>
        </w:rPr>
        <w:t xml:space="preserve"> Zheng H performed the majority of </w:t>
      </w:r>
      <w:r w:rsidR="00012EB4" w:rsidRPr="00DA32D9">
        <w:rPr>
          <w:sz w:val="20"/>
          <w:szCs w:val="20"/>
        </w:rPr>
        <w:t xml:space="preserve">the </w:t>
      </w:r>
      <w:r w:rsidRPr="00DA32D9">
        <w:rPr>
          <w:sz w:val="20"/>
          <w:szCs w:val="20"/>
        </w:rPr>
        <w:t>experiments and analyzed the data; Wang JJ performed the molecular investigations; Zhao LJ designed and coordinated the research; Yang XR and Yu YL wrote the paper.</w:t>
      </w:r>
    </w:p>
    <w:p w14:paraId="1DDC3FD4" w14:textId="77777777" w:rsidR="00035E5B" w:rsidRPr="00DA32D9" w:rsidRDefault="00035E5B" w:rsidP="00DA32D9">
      <w:pPr>
        <w:snapToGrid w:val="0"/>
        <w:rPr>
          <w:sz w:val="20"/>
          <w:szCs w:val="20"/>
        </w:rPr>
      </w:pPr>
    </w:p>
    <w:p w14:paraId="25896516" w14:textId="77777777" w:rsidR="00035E5B" w:rsidRPr="00DA32D9" w:rsidRDefault="0019595D" w:rsidP="00DA32D9">
      <w:pPr>
        <w:snapToGrid w:val="0"/>
        <w:rPr>
          <w:sz w:val="20"/>
          <w:szCs w:val="20"/>
        </w:rPr>
      </w:pPr>
      <w:bookmarkStart w:id="3" w:name="OLE_LINK295"/>
      <w:bookmarkStart w:id="4" w:name="OLE_LINK294"/>
      <w:bookmarkStart w:id="5" w:name="OLE_LINK56"/>
      <w:bookmarkStart w:id="6" w:name="OLE_LINK16"/>
      <w:bookmarkStart w:id="7" w:name="OLE_LINK15"/>
      <w:bookmarkStart w:id="8" w:name="OLE_LINK26"/>
      <w:r w:rsidRPr="00DA32D9">
        <w:rPr>
          <w:rFonts w:cs="Times New Roman"/>
          <w:b/>
          <w:bCs/>
          <w:sz w:val="20"/>
          <w:szCs w:val="20"/>
          <w:highlight w:val="white"/>
        </w:rPr>
        <w:t>Corresponding author:</w:t>
      </w:r>
      <w:bookmarkEnd w:id="3"/>
      <w:bookmarkEnd w:id="4"/>
      <w:bookmarkEnd w:id="5"/>
      <w:bookmarkEnd w:id="6"/>
      <w:bookmarkEnd w:id="7"/>
      <w:r w:rsidRPr="00DA32D9">
        <w:rPr>
          <w:b/>
          <w:sz w:val="20"/>
          <w:szCs w:val="20"/>
        </w:rPr>
        <w:t xml:space="preserve"> Hong Zheng,</w:t>
      </w:r>
      <w:r w:rsidRPr="00DA32D9">
        <w:rPr>
          <w:sz w:val="20"/>
          <w:szCs w:val="20"/>
        </w:rPr>
        <w:t xml:space="preserve"> </w:t>
      </w:r>
      <w:r w:rsidRPr="00DA32D9">
        <w:rPr>
          <w:b/>
          <w:sz w:val="20"/>
          <w:szCs w:val="20"/>
        </w:rPr>
        <w:t>MD,</w:t>
      </w:r>
      <w:r w:rsidRPr="00DA32D9">
        <w:rPr>
          <w:sz w:val="20"/>
          <w:szCs w:val="20"/>
        </w:rPr>
        <w:t xml:space="preserve"> </w:t>
      </w:r>
      <w:r w:rsidRPr="00DA32D9">
        <w:rPr>
          <w:b/>
          <w:sz w:val="20"/>
          <w:szCs w:val="20"/>
        </w:rPr>
        <w:t>Chief Physician,</w:t>
      </w:r>
      <w:r w:rsidRPr="00DA32D9">
        <w:rPr>
          <w:sz w:val="20"/>
          <w:szCs w:val="20"/>
        </w:rPr>
        <w:t xml:space="preserve"> Department of Pathology, Affiliated Hospital of Zunyi Medical University, No. 149 Dalian Road, Huichuan District, Zunyi 563003, Guizhou Province, China. zhengyao736925925@163.com</w:t>
      </w:r>
    </w:p>
    <w:bookmarkEnd w:id="8"/>
    <w:p w14:paraId="4E381934" w14:textId="61F7D626" w:rsidR="0047680E" w:rsidRPr="00DA32D9" w:rsidRDefault="0047680E" w:rsidP="00DA32D9">
      <w:pPr>
        <w:snapToGrid w:val="0"/>
        <w:rPr>
          <w:b/>
          <w:sz w:val="20"/>
          <w:szCs w:val="20"/>
        </w:rPr>
      </w:pPr>
    </w:p>
    <w:p w14:paraId="66C4DA7C" w14:textId="5794B31C" w:rsidR="00135C59" w:rsidRPr="00DA32D9" w:rsidRDefault="00135C59" w:rsidP="00DA32D9">
      <w:pPr>
        <w:snapToGrid w:val="0"/>
        <w:rPr>
          <w:rFonts w:eastAsia="宋体" w:cs="Times New Roman"/>
          <w:kern w:val="0"/>
          <w:sz w:val="20"/>
          <w:szCs w:val="20"/>
        </w:rPr>
      </w:pPr>
      <w:r w:rsidRPr="00DA32D9">
        <w:rPr>
          <w:rFonts w:eastAsia="Times New Roman" w:cs="Times New Roman"/>
          <w:b/>
          <w:kern w:val="0"/>
          <w:sz w:val="20"/>
          <w:szCs w:val="20"/>
          <w:lang w:eastAsia="ar-SA"/>
        </w:rPr>
        <w:t xml:space="preserve">Received: </w:t>
      </w:r>
      <w:r w:rsidRPr="00DA32D9">
        <w:rPr>
          <w:rFonts w:eastAsia="Times New Roman" w:cs="Times New Roman"/>
          <w:bCs/>
          <w:kern w:val="0"/>
          <w:sz w:val="20"/>
          <w:szCs w:val="20"/>
          <w:lang w:eastAsia="ar-SA"/>
        </w:rPr>
        <w:t>December 5, 2019</w:t>
      </w:r>
    </w:p>
    <w:p w14:paraId="28FEADB3" w14:textId="0FB6BBDF" w:rsidR="00135C59" w:rsidRPr="00DA32D9" w:rsidRDefault="00135C59" w:rsidP="00DA32D9">
      <w:pPr>
        <w:snapToGrid w:val="0"/>
        <w:rPr>
          <w:rFonts w:eastAsia="Times New Roman" w:cs="Times New Roman"/>
          <w:b/>
          <w:kern w:val="0"/>
          <w:sz w:val="20"/>
          <w:szCs w:val="20"/>
          <w:lang w:eastAsia="ar-SA"/>
        </w:rPr>
      </w:pPr>
      <w:r w:rsidRPr="00DA32D9">
        <w:rPr>
          <w:rFonts w:eastAsia="Times New Roman" w:cs="Times New Roman"/>
          <w:b/>
          <w:kern w:val="0"/>
          <w:sz w:val="20"/>
          <w:szCs w:val="20"/>
          <w:lang w:eastAsia="ar-SA"/>
        </w:rPr>
        <w:t xml:space="preserve">Revised: </w:t>
      </w:r>
      <w:r w:rsidRPr="00DA32D9">
        <w:rPr>
          <w:rFonts w:eastAsia="Times New Roman" w:cs="Times New Roman"/>
          <w:bCs/>
          <w:kern w:val="0"/>
          <w:sz w:val="20"/>
          <w:szCs w:val="20"/>
          <w:lang w:eastAsia="ar-SA"/>
        </w:rPr>
        <w:t>January 8, 2020</w:t>
      </w:r>
    </w:p>
    <w:p w14:paraId="4D5A8005" w14:textId="5D2226AE" w:rsidR="00135C59" w:rsidRPr="00DA32D9" w:rsidRDefault="00135C59" w:rsidP="00DA32D9">
      <w:pPr>
        <w:snapToGrid w:val="0"/>
        <w:rPr>
          <w:rFonts w:eastAsia="Times New Roman" w:cs="Times New Roman"/>
          <w:b/>
          <w:kern w:val="0"/>
          <w:sz w:val="20"/>
          <w:szCs w:val="20"/>
          <w:lang w:eastAsia="ar-SA"/>
        </w:rPr>
      </w:pPr>
      <w:r w:rsidRPr="00DA32D9">
        <w:rPr>
          <w:rFonts w:eastAsia="Times New Roman" w:cs="Times New Roman"/>
          <w:b/>
          <w:kern w:val="0"/>
          <w:sz w:val="20"/>
          <w:szCs w:val="20"/>
          <w:lang w:eastAsia="ar-SA"/>
        </w:rPr>
        <w:t>Accepted:</w:t>
      </w:r>
      <w:r w:rsidR="006A09AE" w:rsidRPr="00DA32D9">
        <w:rPr>
          <w:bCs/>
          <w:sz w:val="20"/>
          <w:szCs w:val="20"/>
        </w:rPr>
        <w:t xml:space="preserve"> </w:t>
      </w:r>
      <w:r w:rsidR="006A09AE" w:rsidRPr="00DA32D9">
        <w:rPr>
          <w:rFonts w:eastAsia="Times New Roman" w:cs="Times New Roman"/>
          <w:bCs/>
          <w:kern w:val="0"/>
          <w:sz w:val="20"/>
          <w:szCs w:val="20"/>
          <w:lang w:eastAsia="ar-SA"/>
        </w:rPr>
        <w:t>January 19, 2020</w:t>
      </w:r>
      <w:r w:rsidRPr="00DA32D9">
        <w:rPr>
          <w:rFonts w:eastAsia="Times New Roman" w:cs="Times New Roman"/>
          <w:bCs/>
          <w:kern w:val="0"/>
          <w:sz w:val="20"/>
          <w:szCs w:val="20"/>
          <w:lang w:eastAsia="ar-SA"/>
        </w:rPr>
        <w:t xml:space="preserve"> </w:t>
      </w:r>
    </w:p>
    <w:p w14:paraId="7BDF6D9B" w14:textId="28D64C29" w:rsidR="00135C59" w:rsidRPr="00DA32D9" w:rsidRDefault="00135C59" w:rsidP="00DA32D9">
      <w:pPr>
        <w:snapToGrid w:val="0"/>
        <w:rPr>
          <w:rFonts w:eastAsia="宋体" w:cs="Times New Roman"/>
          <w:kern w:val="0"/>
          <w:sz w:val="20"/>
          <w:szCs w:val="20"/>
        </w:rPr>
      </w:pPr>
      <w:r w:rsidRPr="00DA32D9">
        <w:rPr>
          <w:rFonts w:eastAsia="Times New Roman" w:cs="Times New Roman"/>
          <w:b/>
          <w:kern w:val="0"/>
          <w:sz w:val="20"/>
          <w:szCs w:val="20"/>
          <w:lang w:eastAsia="ar-SA"/>
        </w:rPr>
        <w:t>Published online:</w:t>
      </w:r>
    </w:p>
    <w:p w14:paraId="13705AD0" w14:textId="75BC272E" w:rsidR="00035E5B" w:rsidRPr="00DA32D9" w:rsidRDefault="0019595D" w:rsidP="00DA32D9">
      <w:pPr>
        <w:snapToGrid w:val="0"/>
        <w:rPr>
          <w:b/>
          <w:sz w:val="20"/>
          <w:szCs w:val="20"/>
        </w:rPr>
      </w:pPr>
      <w:r w:rsidRPr="00DA32D9">
        <w:rPr>
          <w:b/>
          <w:sz w:val="20"/>
          <w:szCs w:val="20"/>
        </w:rPr>
        <w:br w:type="page"/>
      </w:r>
    </w:p>
    <w:p w14:paraId="58588F04" w14:textId="77777777" w:rsidR="00035E5B" w:rsidRPr="00DA32D9" w:rsidRDefault="0019595D" w:rsidP="00DA32D9">
      <w:pPr>
        <w:pStyle w:val="12ptBold"/>
        <w:snapToGrid w:val="0"/>
        <w:rPr>
          <w:sz w:val="20"/>
          <w:szCs w:val="20"/>
        </w:rPr>
      </w:pPr>
      <w:r w:rsidRPr="00DA32D9">
        <w:rPr>
          <w:sz w:val="20"/>
          <w:szCs w:val="20"/>
        </w:rPr>
        <w:lastRenderedPageBreak/>
        <w:t>Abstract</w:t>
      </w:r>
    </w:p>
    <w:p w14:paraId="587361CC" w14:textId="77777777" w:rsidR="00035E5B" w:rsidRPr="00DA32D9" w:rsidRDefault="0019595D" w:rsidP="00DA32D9">
      <w:pPr>
        <w:snapToGrid w:val="0"/>
        <w:rPr>
          <w:bCs/>
          <w:iCs/>
          <w:sz w:val="20"/>
          <w:szCs w:val="20"/>
        </w:rPr>
      </w:pPr>
      <w:r w:rsidRPr="00DA32D9">
        <w:rPr>
          <w:bCs/>
          <w:iCs/>
          <w:sz w:val="20"/>
          <w:szCs w:val="20"/>
        </w:rPr>
        <w:t>BACKGROUND</w:t>
      </w:r>
    </w:p>
    <w:p w14:paraId="5D7BA4AD" w14:textId="531CE8DA" w:rsidR="00035E5B" w:rsidRPr="00DA32D9" w:rsidRDefault="0019595D" w:rsidP="00DA32D9">
      <w:pPr>
        <w:snapToGrid w:val="0"/>
        <w:rPr>
          <w:sz w:val="20"/>
          <w:szCs w:val="20"/>
        </w:rPr>
      </w:pPr>
      <w:bookmarkStart w:id="9" w:name="_Hlk29127024"/>
      <w:r w:rsidRPr="00DA32D9">
        <w:rPr>
          <w:sz w:val="20"/>
          <w:szCs w:val="20"/>
        </w:rPr>
        <w:t>As the most common biliary malignancy, gallbladder cancer (GC) is an elderly-biased disease.</w:t>
      </w:r>
      <w:r w:rsidR="00023D98" w:rsidRPr="00DA32D9">
        <w:rPr>
          <w:sz w:val="20"/>
          <w:szCs w:val="20"/>
        </w:rPr>
        <w:t xml:space="preserve"> </w:t>
      </w:r>
      <w:r w:rsidRPr="00DA32D9">
        <w:rPr>
          <w:sz w:val="20"/>
          <w:szCs w:val="20"/>
        </w:rPr>
        <w:t xml:space="preserve">Although extensive studies have elucidated the molecular mechanism of </w:t>
      </w:r>
      <w:r w:rsidR="00012EB4" w:rsidRPr="00DA32D9">
        <w:rPr>
          <w:sz w:val="20"/>
          <w:szCs w:val="20"/>
        </w:rPr>
        <w:t>microRNA 182 (</w:t>
      </w:r>
      <w:r w:rsidRPr="00DA32D9">
        <w:rPr>
          <w:sz w:val="20"/>
          <w:szCs w:val="20"/>
        </w:rPr>
        <w:t>miR-182</w:t>
      </w:r>
      <w:r w:rsidR="00012EB4" w:rsidRPr="00DA32D9">
        <w:rPr>
          <w:sz w:val="20"/>
          <w:szCs w:val="20"/>
        </w:rPr>
        <w:t>)</w:t>
      </w:r>
      <w:r w:rsidRPr="00DA32D9">
        <w:rPr>
          <w:sz w:val="20"/>
          <w:szCs w:val="20"/>
        </w:rPr>
        <w:t xml:space="preserve"> and </w:t>
      </w:r>
      <w:r w:rsidR="00012EB4" w:rsidRPr="00DA32D9">
        <w:rPr>
          <w:rStyle w:val="st"/>
          <w:rFonts w:eastAsia="Times New Roman"/>
          <w:sz w:val="20"/>
          <w:szCs w:val="20"/>
        </w:rPr>
        <w:t>reversion-inducing-cysteine-rich protein with kazal motifs</w:t>
      </w:r>
      <w:r w:rsidR="00012EB4" w:rsidRPr="00DA32D9">
        <w:rPr>
          <w:sz w:val="20"/>
          <w:szCs w:val="20"/>
        </w:rPr>
        <w:t xml:space="preserve"> (</w:t>
      </w:r>
      <w:r w:rsidRPr="00DA32D9">
        <w:rPr>
          <w:sz w:val="20"/>
          <w:szCs w:val="20"/>
        </w:rPr>
        <w:t>RECK</w:t>
      </w:r>
      <w:r w:rsidR="00012EB4" w:rsidRPr="00DA32D9">
        <w:rPr>
          <w:sz w:val="20"/>
          <w:szCs w:val="20"/>
        </w:rPr>
        <w:t>)</w:t>
      </w:r>
      <w:r w:rsidRPr="00DA32D9">
        <w:rPr>
          <w:sz w:val="20"/>
          <w:szCs w:val="20"/>
        </w:rPr>
        <w:t xml:space="preserve"> in various cancers, the specific role of exosomal miR-182 and RECK in GC remains poorly understood.</w:t>
      </w:r>
    </w:p>
    <w:bookmarkEnd w:id="9"/>
    <w:p w14:paraId="6B696B52" w14:textId="77777777" w:rsidR="00035E5B" w:rsidRPr="00DA32D9" w:rsidRDefault="00035E5B" w:rsidP="00DA32D9">
      <w:pPr>
        <w:snapToGrid w:val="0"/>
        <w:rPr>
          <w:sz w:val="20"/>
          <w:szCs w:val="20"/>
        </w:rPr>
      </w:pPr>
    </w:p>
    <w:p w14:paraId="464706E6" w14:textId="77777777" w:rsidR="00035E5B" w:rsidRPr="00DA32D9" w:rsidRDefault="0019595D" w:rsidP="00DA32D9">
      <w:pPr>
        <w:snapToGrid w:val="0"/>
        <w:rPr>
          <w:bCs/>
          <w:iCs/>
          <w:sz w:val="20"/>
          <w:szCs w:val="20"/>
        </w:rPr>
      </w:pPr>
      <w:r w:rsidRPr="00DA32D9">
        <w:rPr>
          <w:bCs/>
          <w:iCs/>
          <w:sz w:val="20"/>
          <w:szCs w:val="20"/>
        </w:rPr>
        <w:t xml:space="preserve">AIM </w:t>
      </w:r>
    </w:p>
    <w:p w14:paraId="2DE084CA" w14:textId="0D491E62" w:rsidR="00035E5B" w:rsidRPr="00DA32D9" w:rsidRDefault="0019595D" w:rsidP="00DA32D9">
      <w:pPr>
        <w:snapToGrid w:val="0"/>
        <w:rPr>
          <w:sz w:val="20"/>
          <w:szCs w:val="20"/>
        </w:rPr>
      </w:pPr>
      <w:bookmarkStart w:id="10" w:name="_Hlk29127082"/>
      <w:r w:rsidRPr="00DA32D9">
        <w:rPr>
          <w:caps/>
          <w:sz w:val="20"/>
          <w:szCs w:val="20"/>
        </w:rPr>
        <w:t>t</w:t>
      </w:r>
      <w:r w:rsidRPr="00DA32D9">
        <w:rPr>
          <w:sz w:val="20"/>
          <w:szCs w:val="20"/>
        </w:rPr>
        <w:t>o explore the relationship between exosomal miR-182/RECK and metastasis of GC.</w:t>
      </w:r>
    </w:p>
    <w:bookmarkEnd w:id="10"/>
    <w:p w14:paraId="19530E0E" w14:textId="77777777" w:rsidR="00035E5B" w:rsidRPr="00DA32D9" w:rsidRDefault="00035E5B" w:rsidP="00DA32D9">
      <w:pPr>
        <w:snapToGrid w:val="0"/>
        <w:rPr>
          <w:sz w:val="20"/>
          <w:szCs w:val="20"/>
        </w:rPr>
      </w:pPr>
    </w:p>
    <w:p w14:paraId="224EEC4E" w14:textId="77777777" w:rsidR="00035E5B" w:rsidRPr="00DA32D9" w:rsidRDefault="0019595D" w:rsidP="00DA32D9">
      <w:pPr>
        <w:snapToGrid w:val="0"/>
        <w:rPr>
          <w:bCs/>
          <w:iCs/>
          <w:sz w:val="20"/>
          <w:szCs w:val="20"/>
        </w:rPr>
      </w:pPr>
      <w:r w:rsidRPr="00DA32D9">
        <w:rPr>
          <w:bCs/>
          <w:iCs/>
          <w:sz w:val="20"/>
          <w:szCs w:val="20"/>
        </w:rPr>
        <w:t>METHODS</w:t>
      </w:r>
    </w:p>
    <w:p w14:paraId="48CC2F2C" w14:textId="737BC07B" w:rsidR="00035E5B" w:rsidRPr="00DA32D9" w:rsidRDefault="0019595D" w:rsidP="00DA32D9">
      <w:pPr>
        <w:snapToGrid w:val="0"/>
        <w:rPr>
          <w:sz w:val="20"/>
          <w:szCs w:val="20"/>
        </w:rPr>
      </w:pPr>
      <w:bookmarkStart w:id="11" w:name="_Hlk29127095"/>
      <w:r w:rsidRPr="00DA32D9">
        <w:rPr>
          <w:sz w:val="20"/>
          <w:szCs w:val="20"/>
        </w:rPr>
        <w:t xml:space="preserve">Paired GC and adjacent normal tissues were collected from 78 patients. </w:t>
      </w:r>
      <w:r w:rsidR="00F919BF" w:rsidRPr="00DA32D9">
        <w:rPr>
          <w:sz w:val="20"/>
          <w:szCs w:val="20"/>
        </w:rPr>
        <w:t>Quantitative polymerase chain reaction</w:t>
      </w:r>
      <w:r w:rsidR="008C2116" w:rsidRPr="00DA32D9">
        <w:rPr>
          <w:sz w:val="20"/>
          <w:szCs w:val="20"/>
        </w:rPr>
        <w:t xml:space="preserve"> </w:t>
      </w:r>
      <w:r w:rsidRPr="00DA32D9">
        <w:rPr>
          <w:sz w:val="20"/>
          <w:szCs w:val="20"/>
        </w:rPr>
        <w:t>was employed to detect</w:t>
      </w:r>
      <w:r w:rsidR="00254823" w:rsidRPr="00DA32D9">
        <w:rPr>
          <w:sz w:val="20"/>
          <w:szCs w:val="20"/>
        </w:rPr>
        <w:t xml:space="preserve"> </w:t>
      </w:r>
      <w:r w:rsidRPr="00DA32D9">
        <w:rPr>
          <w:sz w:val="20"/>
          <w:szCs w:val="20"/>
        </w:rPr>
        <w:t>miR-182 and exosomal miR-182 expression, and Western blot</w:t>
      </w:r>
      <w:r w:rsidR="00012EB4" w:rsidRPr="00DA32D9">
        <w:rPr>
          <w:sz w:val="20"/>
          <w:szCs w:val="20"/>
        </w:rPr>
        <w:t>ting</w:t>
      </w:r>
      <w:r w:rsidRPr="00DA32D9">
        <w:rPr>
          <w:sz w:val="20"/>
          <w:szCs w:val="20"/>
        </w:rPr>
        <w:t xml:space="preserve"> was </w:t>
      </w:r>
      <w:r w:rsidR="00012EB4" w:rsidRPr="00DA32D9">
        <w:rPr>
          <w:sz w:val="20"/>
          <w:szCs w:val="20"/>
        </w:rPr>
        <w:t xml:space="preserve">conducted </w:t>
      </w:r>
      <w:r w:rsidRPr="00DA32D9">
        <w:rPr>
          <w:sz w:val="20"/>
          <w:szCs w:val="20"/>
        </w:rPr>
        <w:t>to determine RECK expression. In addition, the effect</w:t>
      </w:r>
      <w:r w:rsidR="00012EB4" w:rsidRPr="00DA32D9">
        <w:rPr>
          <w:sz w:val="20"/>
          <w:szCs w:val="20"/>
        </w:rPr>
        <w:t>s</w:t>
      </w:r>
      <w:r w:rsidRPr="00DA32D9">
        <w:rPr>
          <w:sz w:val="20"/>
          <w:szCs w:val="20"/>
        </w:rPr>
        <w:t xml:space="preserve"> of exosomal miR-182/RECK on the biological function of human GC cells were observed. Moreover, </w:t>
      </w:r>
      <w:r w:rsidR="00012EB4" w:rsidRPr="00DA32D9">
        <w:rPr>
          <w:sz w:val="20"/>
          <w:szCs w:val="20"/>
        </w:rPr>
        <w:t xml:space="preserve">the </w:t>
      </w:r>
      <w:r w:rsidRPr="00DA32D9">
        <w:rPr>
          <w:sz w:val="20"/>
          <w:szCs w:val="20"/>
        </w:rPr>
        <w:t>double luciferase reporter gene assay was applied to validate the targeting relationship between miR-182 and RECK.</w:t>
      </w:r>
    </w:p>
    <w:bookmarkEnd w:id="11"/>
    <w:p w14:paraId="5C3A85B9" w14:textId="77777777" w:rsidR="00035E5B" w:rsidRPr="00DA32D9" w:rsidRDefault="00035E5B" w:rsidP="00DA32D9">
      <w:pPr>
        <w:snapToGrid w:val="0"/>
        <w:rPr>
          <w:sz w:val="20"/>
          <w:szCs w:val="20"/>
        </w:rPr>
      </w:pPr>
    </w:p>
    <w:p w14:paraId="4C28E2C6" w14:textId="77777777" w:rsidR="00035E5B" w:rsidRPr="00DA32D9" w:rsidRDefault="0019595D" w:rsidP="00DA32D9">
      <w:pPr>
        <w:snapToGrid w:val="0"/>
        <w:rPr>
          <w:bCs/>
          <w:iCs/>
          <w:sz w:val="20"/>
          <w:szCs w:val="20"/>
        </w:rPr>
      </w:pPr>
      <w:r w:rsidRPr="00DA32D9">
        <w:rPr>
          <w:bCs/>
          <w:iCs/>
          <w:sz w:val="20"/>
          <w:szCs w:val="20"/>
        </w:rPr>
        <w:t>RESULTS</w:t>
      </w:r>
    </w:p>
    <w:p w14:paraId="5790943B" w14:textId="18180A14" w:rsidR="00035E5B" w:rsidRPr="00DA32D9" w:rsidRDefault="0019595D" w:rsidP="00DA32D9">
      <w:pPr>
        <w:snapToGrid w:val="0"/>
        <w:rPr>
          <w:sz w:val="20"/>
          <w:szCs w:val="20"/>
        </w:rPr>
      </w:pPr>
      <w:bookmarkStart w:id="12" w:name="_Hlk29127139"/>
      <w:bookmarkStart w:id="13" w:name="_Hlk5291914"/>
      <w:r w:rsidRPr="00DA32D9">
        <w:rPr>
          <w:sz w:val="20"/>
          <w:szCs w:val="20"/>
        </w:rPr>
        <w:t xml:space="preserve">Compared with normal gallbladder epithelial cells, miR-182 was highly expressed in GC cells, while RECK </w:t>
      </w:r>
      <w:r w:rsidR="00012EB4" w:rsidRPr="00DA32D9">
        <w:rPr>
          <w:sz w:val="20"/>
          <w:szCs w:val="20"/>
        </w:rPr>
        <w:t>had</w:t>
      </w:r>
      <w:r w:rsidRPr="00DA32D9">
        <w:rPr>
          <w:sz w:val="20"/>
          <w:szCs w:val="20"/>
        </w:rPr>
        <w:t xml:space="preserve"> low express</w:t>
      </w:r>
      <w:r w:rsidR="00012EB4" w:rsidRPr="00DA32D9">
        <w:rPr>
          <w:sz w:val="20"/>
          <w:szCs w:val="20"/>
        </w:rPr>
        <w:t>ion</w:t>
      </w:r>
      <w:r w:rsidRPr="00DA32D9">
        <w:rPr>
          <w:sz w:val="20"/>
          <w:szCs w:val="20"/>
        </w:rPr>
        <w:t xml:space="preserve">. Exosomal miR-182 could be absorbed and transferred by cells. Exosomal miR-182 inhibited RECK expression and promoted </w:t>
      </w:r>
      <w:r w:rsidR="00012EB4" w:rsidRPr="00DA32D9">
        <w:rPr>
          <w:sz w:val="20"/>
          <w:szCs w:val="20"/>
        </w:rPr>
        <w:t xml:space="preserve">the </w:t>
      </w:r>
      <w:r w:rsidRPr="00DA32D9">
        <w:rPr>
          <w:sz w:val="20"/>
          <w:szCs w:val="20"/>
        </w:rPr>
        <w:t>migration and invasion of GC cells.</w:t>
      </w:r>
    </w:p>
    <w:bookmarkEnd w:id="12"/>
    <w:p w14:paraId="60936E27" w14:textId="77777777" w:rsidR="00035E5B" w:rsidRPr="00DA32D9" w:rsidRDefault="00035E5B" w:rsidP="00DA32D9">
      <w:pPr>
        <w:snapToGrid w:val="0"/>
        <w:rPr>
          <w:sz w:val="20"/>
          <w:szCs w:val="20"/>
        </w:rPr>
      </w:pPr>
    </w:p>
    <w:bookmarkEnd w:id="13"/>
    <w:p w14:paraId="12F5BC64" w14:textId="77777777" w:rsidR="00035E5B" w:rsidRPr="00DA32D9" w:rsidRDefault="0019595D" w:rsidP="00DA32D9">
      <w:pPr>
        <w:snapToGrid w:val="0"/>
        <w:rPr>
          <w:bCs/>
          <w:iCs/>
          <w:sz w:val="20"/>
          <w:szCs w:val="20"/>
        </w:rPr>
      </w:pPr>
      <w:r w:rsidRPr="00DA32D9">
        <w:rPr>
          <w:bCs/>
          <w:iCs/>
          <w:sz w:val="20"/>
          <w:szCs w:val="20"/>
        </w:rPr>
        <w:t xml:space="preserve">CONCLUSION </w:t>
      </w:r>
    </w:p>
    <w:p w14:paraId="78490338" w14:textId="37BF0278" w:rsidR="00035E5B" w:rsidRPr="00DA32D9" w:rsidRDefault="0019595D" w:rsidP="00DA32D9">
      <w:pPr>
        <w:snapToGrid w:val="0"/>
        <w:rPr>
          <w:sz w:val="20"/>
          <w:szCs w:val="20"/>
        </w:rPr>
      </w:pPr>
      <w:bookmarkStart w:id="14" w:name="_Hlk29127156"/>
      <w:r w:rsidRPr="00DA32D9">
        <w:rPr>
          <w:sz w:val="20"/>
          <w:szCs w:val="20"/>
        </w:rPr>
        <w:t>Exosomal miR-182 can significantly promote the migration and invasion of GC cells by inhibiting RECK</w:t>
      </w:r>
      <w:r w:rsidR="00012EB4" w:rsidRPr="00DA32D9">
        <w:rPr>
          <w:sz w:val="20"/>
          <w:szCs w:val="20"/>
        </w:rPr>
        <w:t xml:space="preserve">; </w:t>
      </w:r>
      <w:r w:rsidRPr="00DA32D9">
        <w:rPr>
          <w:sz w:val="20"/>
          <w:szCs w:val="20"/>
        </w:rPr>
        <w:t>thus miR-182 can be used as a therapeutic target for GC.</w:t>
      </w:r>
    </w:p>
    <w:bookmarkEnd w:id="14"/>
    <w:p w14:paraId="240D72B5" w14:textId="77777777" w:rsidR="00035E5B" w:rsidRPr="00DA32D9" w:rsidRDefault="00035E5B" w:rsidP="00DA32D9">
      <w:pPr>
        <w:snapToGrid w:val="0"/>
        <w:rPr>
          <w:sz w:val="20"/>
          <w:szCs w:val="20"/>
        </w:rPr>
      </w:pPr>
    </w:p>
    <w:p w14:paraId="32F64ADE" w14:textId="0E3D81F8" w:rsidR="00035E5B" w:rsidRPr="00DA32D9" w:rsidRDefault="0019595D" w:rsidP="00DA32D9">
      <w:pPr>
        <w:snapToGrid w:val="0"/>
        <w:rPr>
          <w:sz w:val="20"/>
          <w:szCs w:val="20"/>
        </w:rPr>
      </w:pPr>
      <w:r w:rsidRPr="00DA32D9">
        <w:rPr>
          <w:b/>
          <w:sz w:val="20"/>
          <w:szCs w:val="20"/>
        </w:rPr>
        <w:t>Key words:</w:t>
      </w:r>
      <w:r w:rsidRPr="00DA32D9">
        <w:rPr>
          <w:sz w:val="20"/>
          <w:szCs w:val="20"/>
        </w:rPr>
        <w:t xml:space="preserve"> Exosome; </w:t>
      </w:r>
      <w:r w:rsidR="00D7220C" w:rsidRPr="00DA32D9">
        <w:rPr>
          <w:sz w:val="20"/>
          <w:szCs w:val="20"/>
        </w:rPr>
        <w:t>m</w:t>
      </w:r>
      <w:r w:rsidRPr="00DA32D9">
        <w:rPr>
          <w:sz w:val="20"/>
          <w:szCs w:val="20"/>
        </w:rPr>
        <w:t xml:space="preserve">iR-182; RECK; Gallbladder cancer; </w:t>
      </w:r>
      <w:r w:rsidR="00F919BF" w:rsidRPr="00DA32D9">
        <w:rPr>
          <w:caps/>
          <w:sz w:val="20"/>
          <w:szCs w:val="20"/>
        </w:rPr>
        <w:t>q</w:t>
      </w:r>
      <w:r w:rsidR="00F919BF" w:rsidRPr="00DA32D9">
        <w:rPr>
          <w:sz w:val="20"/>
          <w:szCs w:val="20"/>
        </w:rPr>
        <w:t>uantitative polymerase chain reaction</w:t>
      </w:r>
      <w:r w:rsidRPr="00DA32D9">
        <w:rPr>
          <w:sz w:val="20"/>
          <w:szCs w:val="20"/>
        </w:rPr>
        <w:t xml:space="preserve">; </w:t>
      </w:r>
      <w:r w:rsidRPr="00DA32D9">
        <w:rPr>
          <w:caps/>
          <w:sz w:val="20"/>
          <w:szCs w:val="20"/>
        </w:rPr>
        <w:t>t</w:t>
      </w:r>
      <w:r w:rsidRPr="00DA32D9">
        <w:rPr>
          <w:sz w:val="20"/>
          <w:szCs w:val="20"/>
        </w:rPr>
        <w:t>herapeutic target</w:t>
      </w:r>
    </w:p>
    <w:p w14:paraId="2DA2FA92" w14:textId="6BF4EB08" w:rsidR="00035E5B" w:rsidRPr="00DA32D9" w:rsidRDefault="00035E5B" w:rsidP="00DA32D9">
      <w:pPr>
        <w:snapToGrid w:val="0"/>
        <w:rPr>
          <w:sz w:val="20"/>
          <w:szCs w:val="20"/>
        </w:rPr>
      </w:pPr>
    </w:p>
    <w:p w14:paraId="750A08BE" w14:textId="77777777" w:rsidR="003B44D0" w:rsidRPr="00DA32D9" w:rsidRDefault="003B44D0" w:rsidP="00DA32D9">
      <w:pPr>
        <w:adjustRightInd w:val="0"/>
        <w:snapToGrid w:val="0"/>
        <w:rPr>
          <w:rFonts w:cs="Arial"/>
          <w:sz w:val="20"/>
          <w:szCs w:val="20"/>
        </w:rPr>
      </w:pPr>
      <w:bookmarkStart w:id="15" w:name="OLE_LINK428"/>
      <w:bookmarkStart w:id="16" w:name="OLE_LINK494"/>
      <w:bookmarkStart w:id="17" w:name="OLE_LINK289"/>
      <w:bookmarkStart w:id="18" w:name="OLE_LINK48"/>
      <w:bookmarkStart w:id="19" w:name="OLE_LINK47"/>
      <w:bookmarkStart w:id="20" w:name="OLE_LINK85"/>
      <w:bookmarkStart w:id="21" w:name="OLE_LINK256"/>
      <w:bookmarkStart w:id="22" w:name="OLE_LINK249"/>
      <w:bookmarkStart w:id="23" w:name="OLE_LINK143"/>
      <w:bookmarkStart w:id="24" w:name="OLE_LINK142"/>
      <w:bookmarkStart w:id="25" w:name="OLE_LINK108"/>
      <w:bookmarkStart w:id="26" w:name="OLE_LINK109"/>
      <w:bookmarkStart w:id="27" w:name="OLE_LINK1107"/>
      <w:bookmarkStart w:id="28" w:name="OLE_LINK1105"/>
      <w:r w:rsidRPr="00DA32D9">
        <w:rPr>
          <w:sz w:val="20"/>
          <w:szCs w:val="20"/>
        </w:rPr>
        <w:t>Zheng H, Wang JJ, Zhao LJ, Yang XR, Yu YL. Exosomal miR-182 regulates the effect of RECK on gallbladder cancer</w:t>
      </w:r>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DA32D9">
        <w:rPr>
          <w:sz w:val="20"/>
          <w:szCs w:val="20"/>
        </w:rPr>
        <w:t xml:space="preserve">. </w:t>
      </w:r>
      <w:r w:rsidRPr="00DA32D9">
        <w:rPr>
          <w:rFonts w:cs="Arial"/>
          <w:i/>
          <w:sz w:val="20"/>
          <w:szCs w:val="20"/>
        </w:rPr>
        <w:t xml:space="preserve">World J Gastroenterol </w:t>
      </w:r>
      <w:r w:rsidRPr="00DA32D9">
        <w:rPr>
          <w:rFonts w:cs="Arial"/>
          <w:sz w:val="20"/>
          <w:szCs w:val="20"/>
        </w:rPr>
        <w:t>2020; In press</w:t>
      </w:r>
    </w:p>
    <w:p w14:paraId="2DE9951B" w14:textId="77777777" w:rsidR="003B44D0" w:rsidRPr="00DA32D9" w:rsidRDefault="003B44D0" w:rsidP="00DA32D9">
      <w:pPr>
        <w:snapToGrid w:val="0"/>
        <w:rPr>
          <w:sz w:val="20"/>
          <w:szCs w:val="20"/>
        </w:rPr>
      </w:pPr>
    </w:p>
    <w:p w14:paraId="72178998" w14:textId="657D6D3F" w:rsidR="00035E5B" w:rsidRPr="00DA32D9" w:rsidRDefault="0019595D" w:rsidP="00DA32D9">
      <w:pPr>
        <w:snapToGrid w:val="0"/>
        <w:rPr>
          <w:sz w:val="20"/>
          <w:szCs w:val="20"/>
        </w:rPr>
      </w:pPr>
      <w:r w:rsidRPr="00DA32D9">
        <w:rPr>
          <w:b/>
          <w:sz w:val="20"/>
          <w:szCs w:val="20"/>
        </w:rPr>
        <w:t>Core tip:</w:t>
      </w:r>
      <w:r w:rsidRPr="00DA32D9">
        <w:rPr>
          <w:sz w:val="20"/>
          <w:szCs w:val="20"/>
        </w:rPr>
        <w:t xml:space="preserve"> Gallbladder cancer (GC) is the most common biliary malignancy that mostly affects the elderly. At present, however, the specific role of exosomal miR-182 and RECK in GC remains </w:t>
      </w:r>
      <w:r w:rsidR="00012EB4" w:rsidRPr="00DA32D9">
        <w:rPr>
          <w:sz w:val="20"/>
          <w:szCs w:val="20"/>
        </w:rPr>
        <w:t>unknown</w:t>
      </w:r>
      <w:r w:rsidRPr="00DA32D9">
        <w:rPr>
          <w:sz w:val="20"/>
          <w:szCs w:val="20"/>
        </w:rPr>
        <w:t xml:space="preserve">. The results of </w:t>
      </w:r>
      <w:r w:rsidR="00012EB4" w:rsidRPr="00DA32D9">
        <w:rPr>
          <w:sz w:val="20"/>
          <w:szCs w:val="20"/>
        </w:rPr>
        <w:t xml:space="preserve">this </w:t>
      </w:r>
      <w:r w:rsidRPr="00DA32D9">
        <w:rPr>
          <w:sz w:val="20"/>
          <w:szCs w:val="20"/>
        </w:rPr>
        <w:t>study indicated that exosomal miR-182 could markedly promote the migration and invasion of GC cells by inhibiting RECK. Therefore, miR-182 could serve as a therapeutic target for GC.</w:t>
      </w:r>
      <w:r w:rsidRPr="00DA32D9">
        <w:rPr>
          <w:rFonts w:cs="Times New Roman"/>
          <w:sz w:val="20"/>
          <w:szCs w:val="20"/>
        </w:rPr>
        <w:br w:type="page"/>
      </w:r>
    </w:p>
    <w:p w14:paraId="0C068F1F" w14:textId="3FFD3310" w:rsidR="00035E5B" w:rsidRPr="00DA32D9" w:rsidRDefault="0019595D" w:rsidP="00DA32D9">
      <w:pPr>
        <w:pStyle w:val="1"/>
        <w:keepNext w:val="0"/>
        <w:keepLines w:val="0"/>
        <w:snapToGrid w:val="0"/>
        <w:spacing w:line="360" w:lineRule="auto"/>
        <w:rPr>
          <w:sz w:val="20"/>
          <w:szCs w:val="20"/>
          <w:u w:val="single"/>
        </w:rPr>
      </w:pPr>
      <w:r w:rsidRPr="00DA32D9">
        <w:rPr>
          <w:sz w:val="20"/>
          <w:szCs w:val="20"/>
          <w:u w:val="single"/>
        </w:rPr>
        <w:lastRenderedPageBreak/>
        <w:t>Introduction</w:t>
      </w:r>
    </w:p>
    <w:p w14:paraId="72AD5853" w14:textId="663371E3" w:rsidR="00035E5B" w:rsidRPr="00DA32D9" w:rsidRDefault="0019595D" w:rsidP="00DA32D9">
      <w:pPr>
        <w:snapToGrid w:val="0"/>
        <w:rPr>
          <w:rFonts w:eastAsia="宋体" w:cs="Arial"/>
          <w:sz w:val="20"/>
          <w:szCs w:val="20"/>
          <w:shd w:val="clear" w:color="auto" w:fill="F7F8FA"/>
        </w:rPr>
      </w:pPr>
      <w:r w:rsidRPr="00DA32D9">
        <w:rPr>
          <w:sz w:val="20"/>
          <w:szCs w:val="20"/>
        </w:rPr>
        <w:t>Gallbladder cancer (GC) is the most common biliary malignancy</w:t>
      </w:r>
      <w:r w:rsidR="009D3D00" w:rsidRPr="00DA32D9">
        <w:rPr>
          <w:sz w:val="20"/>
          <w:szCs w:val="20"/>
        </w:rPr>
        <w:t>,</w:t>
      </w:r>
      <w:r w:rsidRPr="00DA32D9">
        <w:rPr>
          <w:sz w:val="20"/>
          <w:szCs w:val="20"/>
        </w:rPr>
        <w:t xml:space="preserve"> rank</w:t>
      </w:r>
      <w:r w:rsidR="009D3D00" w:rsidRPr="00DA32D9">
        <w:rPr>
          <w:sz w:val="20"/>
          <w:szCs w:val="20"/>
        </w:rPr>
        <w:t>ing</w:t>
      </w:r>
      <w:r w:rsidRPr="00DA32D9">
        <w:rPr>
          <w:sz w:val="20"/>
          <w:szCs w:val="20"/>
        </w:rPr>
        <w:t xml:space="preserve"> sixth among gastrointestinal cancers, with a high recurrence rate and poor prognosis</w:t>
      </w:r>
      <w:r w:rsidRPr="00DA32D9">
        <w:rPr>
          <w:sz w:val="20"/>
          <w:szCs w:val="20"/>
          <w:vertAlign w:val="superscript"/>
        </w:rPr>
        <w:t>[1,2]</w:t>
      </w:r>
      <w:r w:rsidRPr="00DA32D9">
        <w:rPr>
          <w:sz w:val="20"/>
          <w:szCs w:val="20"/>
        </w:rPr>
        <w:t xml:space="preserve">. Diabetes, gallstone size, age, sugary drinks, </w:t>
      </w:r>
      <w:r w:rsidR="009D3D00" w:rsidRPr="00DA32D9">
        <w:rPr>
          <w:sz w:val="20"/>
          <w:szCs w:val="20"/>
        </w:rPr>
        <w:t xml:space="preserve">and </w:t>
      </w:r>
      <w:r w:rsidRPr="00DA32D9">
        <w:rPr>
          <w:sz w:val="20"/>
          <w:szCs w:val="20"/>
        </w:rPr>
        <w:t>genetic mutations are all risk factors affecting GC. At present, the effect of surgical treatment for GC is largely depende</w:t>
      </w:r>
      <w:r w:rsidR="009D3D00" w:rsidRPr="00DA32D9">
        <w:rPr>
          <w:sz w:val="20"/>
          <w:szCs w:val="20"/>
        </w:rPr>
        <w:t>nt</w:t>
      </w:r>
      <w:r w:rsidRPr="00DA32D9">
        <w:rPr>
          <w:sz w:val="20"/>
          <w:szCs w:val="20"/>
        </w:rPr>
        <w:t xml:space="preserve"> on tumor metastasis</w:t>
      </w:r>
      <w:r w:rsidRPr="00DA32D9">
        <w:rPr>
          <w:sz w:val="20"/>
          <w:szCs w:val="20"/>
          <w:vertAlign w:val="superscript"/>
        </w:rPr>
        <w:t>[3]</w:t>
      </w:r>
      <w:r w:rsidRPr="00DA32D9">
        <w:rPr>
          <w:sz w:val="20"/>
          <w:szCs w:val="20"/>
        </w:rPr>
        <w:t>, worsened by the fact that GC cells are highly invasive</w:t>
      </w:r>
      <w:r w:rsidRPr="00DA32D9">
        <w:rPr>
          <w:sz w:val="20"/>
          <w:szCs w:val="20"/>
          <w:vertAlign w:val="superscript"/>
        </w:rPr>
        <w:t>[1]</w:t>
      </w:r>
      <w:r w:rsidR="009D3D00" w:rsidRPr="00DA32D9">
        <w:rPr>
          <w:sz w:val="20"/>
          <w:szCs w:val="20"/>
        </w:rPr>
        <w:t>.</w:t>
      </w:r>
      <w:r w:rsidRPr="00DA32D9">
        <w:rPr>
          <w:sz w:val="20"/>
          <w:szCs w:val="20"/>
        </w:rPr>
        <w:t xml:space="preserve"> </w:t>
      </w:r>
      <w:r w:rsidR="009D3D00" w:rsidRPr="00DA32D9">
        <w:rPr>
          <w:sz w:val="20"/>
          <w:szCs w:val="20"/>
        </w:rPr>
        <w:t>S</w:t>
      </w:r>
      <w:r w:rsidRPr="00DA32D9">
        <w:rPr>
          <w:sz w:val="20"/>
          <w:szCs w:val="20"/>
        </w:rPr>
        <w:t>o gene target therapy has gradually become a research hotspot in GC. Many stud</w:t>
      </w:r>
      <w:r w:rsidR="009D3D00" w:rsidRPr="00DA32D9">
        <w:rPr>
          <w:sz w:val="20"/>
          <w:szCs w:val="20"/>
        </w:rPr>
        <w:t>ies</w:t>
      </w:r>
      <w:r w:rsidRPr="00DA32D9">
        <w:rPr>
          <w:sz w:val="20"/>
          <w:szCs w:val="20"/>
          <w:vertAlign w:val="superscript"/>
        </w:rPr>
        <w:t>[4,5]</w:t>
      </w:r>
      <w:r w:rsidRPr="00DA32D9">
        <w:rPr>
          <w:sz w:val="20"/>
          <w:szCs w:val="20"/>
        </w:rPr>
        <w:t xml:space="preserve"> ha</w:t>
      </w:r>
      <w:r w:rsidR="009D3D00" w:rsidRPr="00DA32D9">
        <w:rPr>
          <w:sz w:val="20"/>
          <w:szCs w:val="20"/>
        </w:rPr>
        <w:t>ve</w:t>
      </w:r>
      <w:r w:rsidRPr="00DA32D9">
        <w:rPr>
          <w:sz w:val="20"/>
          <w:szCs w:val="20"/>
        </w:rPr>
        <w:t xml:space="preserve"> suggested that </w:t>
      </w:r>
      <w:r w:rsidR="00BE6EAE" w:rsidRPr="00DA32D9">
        <w:rPr>
          <w:sz w:val="20"/>
          <w:szCs w:val="20"/>
        </w:rPr>
        <w:t>regulation of target gene</w:t>
      </w:r>
      <w:r w:rsidRPr="00DA32D9">
        <w:rPr>
          <w:sz w:val="20"/>
          <w:szCs w:val="20"/>
        </w:rPr>
        <w:t xml:space="preserve"> </w:t>
      </w:r>
      <w:r w:rsidR="00BE6EAE" w:rsidRPr="00DA32D9">
        <w:rPr>
          <w:sz w:val="20"/>
          <w:szCs w:val="20"/>
        </w:rPr>
        <w:t xml:space="preserve">expression by </w:t>
      </w:r>
      <w:r w:rsidR="009D3D00" w:rsidRPr="00DA32D9">
        <w:rPr>
          <w:sz w:val="20"/>
          <w:szCs w:val="20"/>
        </w:rPr>
        <w:t>microRNA (</w:t>
      </w:r>
      <w:r w:rsidRPr="00DA32D9">
        <w:rPr>
          <w:sz w:val="20"/>
          <w:szCs w:val="20"/>
        </w:rPr>
        <w:t>miRNA</w:t>
      </w:r>
      <w:r w:rsidR="009D3D00" w:rsidRPr="00DA32D9">
        <w:rPr>
          <w:sz w:val="20"/>
          <w:szCs w:val="20"/>
        </w:rPr>
        <w:t>)</w:t>
      </w:r>
      <w:r w:rsidRPr="00DA32D9">
        <w:rPr>
          <w:sz w:val="20"/>
          <w:szCs w:val="20"/>
        </w:rPr>
        <w:t xml:space="preserve"> has potential therapeutic prospects.</w:t>
      </w:r>
    </w:p>
    <w:p w14:paraId="7F224D9A" w14:textId="386F2381" w:rsidR="00035E5B" w:rsidRPr="00DA32D9" w:rsidRDefault="0019595D" w:rsidP="00DA32D9">
      <w:pPr>
        <w:snapToGrid w:val="0"/>
        <w:ind w:firstLineChars="100" w:firstLine="200"/>
        <w:rPr>
          <w:rFonts w:eastAsia="宋体"/>
          <w:kern w:val="0"/>
          <w:sz w:val="20"/>
          <w:szCs w:val="20"/>
        </w:rPr>
      </w:pPr>
      <w:r w:rsidRPr="00DA32D9">
        <w:rPr>
          <w:sz w:val="20"/>
          <w:szCs w:val="20"/>
        </w:rPr>
        <w:t>MiR-182, a miRNA approximately 110</w:t>
      </w:r>
      <w:r w:rsidR="00711B95" w:rsidRPr="00DA32D9">
        <w:rPr>
          <w:sz w:val="20"/>
          <w:szCs w:val="20"/>
        </w:rPr>
        <w:t xml:space="preserve"> </w:t>
      </w:r>
      <w:r w:rsidRPr="00DA32D9">
        <w:rPr>
          <w:sz w:val="20"/>
          <w:szCs w:val="20"/>
        </w:rPr>
        <w:t>b</w:t>
      </w:r>
      <w:r w:rsidR="006D6BEA" w:rsidRPr="00DA32D9">
        <w:rPr>
          <w:sz w:val="20"/>
          <w:szCs w:val="20"/>
        </w:rPr>
        <w:t>ase pairs</w:t>
      </w:r>
      <w:r w:rsidRPr="00DA32D9">
        <w:rPr>
          <w:sz w:val="20"/>
          <w:szCs w:val="20"/>
        </w:rPr>
        <w:t xml:space="preserve"> in length, is located on chromosome 7. It is well established that the abnormal expression of miR-182 is associated with cancer progression. For example, Kulkarni </w:t>
      </w:r>
      <w:r w:rsidRPr="00DA32D9">
        <w:rPr>
          <w:i/>
          <w:iCs/>
          <w:sz w:val="20"/>
          <w:szCs w:val="20"/>
        </w:rPr>
        <w:t>et al</w:t>
      </w:r>
      <w:r w:rsidRPr="00DA32D9">
        <w:rPr>
          <w:sz w:val="20"/>
          <w:szCs w:val="20"/>
          <w:vertAlign w:val="superscript"/>
        </w:rPr>
        <w:t xml:space="preserve">[6] </w:t>
      </w:r>
      <w:r w:rsidRPr="00DA32D9">
        <w:rPr>
          <w:sz w:val="20"/>
          <w:szCs w:val="20"/>
        </w:rPr>
        <w:t xml:space="preserve">found that miR-182 inhibited mitosis of renal cancer cells by downregulating </w:t>
      </w:r>
      <w:r w:rsidR="00BE6EAE" w:rsidRPr="00DA32D9">
        <w:rPr>
          <w:rStyle w:val="st"/>
          <w:rFonts w:eastAsia="Times New Roman"/>
          <w:sz w:val="20"/>
          <w:szCs w:val="20"/>
        </w:rPr>
        <w:t xml:space="preserve">metastasis associated lung adenocarcinoma transcript 1 </w:t>
      </w:r>
      <w:r w:rsidRPr="00DA32D9">
        <w:rPr>
          <w:sz w:val="20"/>
          <w:szCs w:val="20"/>
        </w:rPr>
        <w:t xml:space="preserve">expression. According to Livingstone </w:t>
      </w:r>
      <w:r w:rsidRPr="00DA32D9">
        <w:rPr>
          <w:i/>
          <w:iCs/>
          <w:sz w:val="20"/>
          <w:szCs w:val="20"/>
        </w:rPr>
        <w:t>et al</w:t>
      </w:r>
      <w:r w:rsidRPr="00DA32D9">
        <w:rPr>
          <w:sz w:val="20"/>
          <w:szCs w:val="20"/>
          <w:vertAlign w:val="superscript"/>
        </w:rPr>
        <w:t>[7]</w:t>
      </w:r>
      <w:r w:rsidRPr="00DA32D9">
        <w:rPr>
          <w:sz w:val="20"/>
          <w:szCs w:val="20"/>
        </w:rPr>
        <w:t>, the serum expression of miR-182 in liver cancer model rats was significantly increased when aflatoxin was applied to construct liver cancer model rats, and the</w:t>
      </w:r>
      <w:r w:rsidR="00BE6EAE" w:rsidRPr="00DA32D9">
        <w:rPr>
          <w:sz w:val="20"/>
          <w:szCs w:val="20"/>
        </w:rPr>
        <w:t xml:space="preserve"> authors</w:t>
      </w:r>
      <w:r w:rsidRPr="00DA32D9">
        <w:rPr>
          <w:sz w:val="20"/>
          <w:szCs w:val="20"/>
        </w:rPr>
        <w:t xml:space="preserve"> believed that the high expression of serum miR-182 was closely related to liver cancer. In addition, Perilli </w:t>
      </w:r>
      <w:r w:rsidRPr="00DA32D9">
        <w:rPr>
          <w:i/>
          <w:iCs/>
          <w:sz w:val="20"/>
          <w:szCs w:val="20"/>
        </w:rPr>
        <w:t>et al</w:t>
      </w:r>
      <w:r w:rsidR="00A03A30" w:rsidRPr="00DA32D9">
        <w:rPr>
          <w:sz w:val="20"/>
          <w:szCs w:val="20"/>
          <w:vertAlign w:val="superscript"/>
        </w:rPr>
        <w:t>[8]</w:t>
      </w:r>
      <w:r w:rsidR="00A03A30" w:rsidRPr="00DA32D9">
        <w:rPr>
          <w:sz w:val="20"/>
          <w:szCs w:val="20"/>
        </w:rPr>
        <w:t xml:space="preserve"> </w:t>
      </w:r>
      <w:r w:rsidR="00BE6EAE" w:rsidRPr="00DA32D9">
        <w:rPr>
          <w:sz w:val="20"/>
          <w:szCs w:val="20"/>
        </w:rPr>
        <w:t>found</w:t>
      </w:r>
      <w:r w:rsidRPr="00DA32D9">
        <w:rPr>
          <w:sz w:val="20"/>
          <w:szCs w:val="20"/>
        </w:rPr>
        <w:t xml:space="preserve"> that the high expression of miR-182 in colorectal cancer cells could increase the activity of G0/G1 phase cells and downregulate the apoptosis pathway. MiR-182 can inhibit the Notch pathway through the NF-kB-miR-182-HES1 axis</w:t>
      </w:r>
      <w:r w:rsidR="00BE6EAE" w:rsidRPr="00DA32D9">
        <w:rPr>
          <w:sz w:val="20"/>
          <w:szCs w:val="20"/>
        </w:rPr>
        <w:t xml:space="preserve">, </w:t>
      </w:r>
      <w:r w:rsidRPr="00DA32D9">
        <w:rPr>
          <w:sz w:val="20"/>
          <w:szCs w:val="20"/>
        </w:rPr>
        <w:t>ultimately promot</w:t>
      </w:r>
      <w:r w:rsidR="00BE6EAE" w:rsidRPr="00DA32D9">
        <w:rPr>
          <w:sz w:val="20"/>
          <w:szCs w:val="20"/>
        </w:rPr>
        <w:t>ing</w:t>
      </w:r>
      <w:r w:rsidRPr="00DA32D9">
        <w:rPr>
          <w:sz w:val="20"/>
          <w:szCs w:val="20"/>
        </w:rPr>
        <w:t xml:space="preserve"> malignant invasion of medullary thyroid cancer cells</w:t>
      </w:r>
      <w:r w:rsidRPr="00DA32D9">
        <w:rPr>
          <w:sz w:val="20"/>
          <w:szCs w:val="20"/>
          <w:vertAlign w:val="superscript"/>
        </w:rPr>
        <w:t>[9]</w:t>
      </w:r>
      <w:r w:rsidRPr="00DA32D9">
        <w:rPr>
          <w:sz w:val="20"/>
          <w:szCs w:val="20"/>
        </w:rPr>
        <w:t xml:space="preserve">. While in GC, miR-182 promotes tumor metastasis by downregulating </w:t>
      </w:r>
      <w:r w:rsidR="00EC138E" w:rsidRPr="00DA32D9">
        <w:rPr>
          <w:sz w:val="20"/>
          <w:szCs w:val="20"/>
        </w:rPr>
        <w:t xml:space="preserve">cell adhesion molecule </w:t>
      </w:r>
      <w:r w:rsidRPr="00DA32D9">
        <w:rPr>
          <w:sz w:val="20"/>
          <w:szCs w:val="20"/>
        </w:rPr>
        <w:t>1 expression</w:t>
      </w:r>
      <w:r w:rsidRPr="00DA32D9">
        <w:rPr>
          <w:sz w:val="20"/>
          <w:szCs w:val="20"/>
          <w:vertAlign w:val="superscript"/>
        </w:rPr>
        <w:t>[10]</w:t>
      </w:r>
      <w:r w:rsidRPr="00DA32D9">
        <w:rPr>
          <w:sz w:val="20"/>
          <w:szCs w:val="20"/>
        </w:rPr>
        <w:t>.</w:t>
      </w:r>
    </w:p>
    <w:p w14:paraId="62080B0C" w14:textId="04127781" w:rsidR="00035E5B" w:rsidRPr="00DA32D9" w:rsidRDefault="00EC138E" w:rsidP="00DA32D9">
      <w:pPr>
        <w:snapToGrid w:val="0"/>
        <w:ind w:firstLineChars="100" w:firstLine="200"/>
        <w:rPr>
          <w:rFonts w:eastAsia="宋体"/>
          <w:kern w:val="0"/>
          <w:sz w:val="20"/>
          <w:szCs w:val="20"/>
        </w:rPr>
      </w:pPr>
      <w:r w:rsidRPr="00DA32D9">
        <w:rPr>
          <w:rStyle w:val="st"/>
          <w:rFonts w:eastAsia="Times New Roman"/>
          <w:sz w:val="20"/>
          <w:szCs w:val="20"/>
        </w:rPr>
        <w:t>Reversion-inducing-cysteine-rich protein with kazal motifs</w:t>
      </w:r>
      <w:r w:rsidRPr="00DA32D9">
        <w:rPr>
          <w:sz w:val="20"/>
          <w:szCs w:val="20"/>
        </w:rPr>
        <w:t xml:space="preserve"> (</w:t>
      </w:r>
      <w:r w:rsidR="0019595D" w:rsidRPr="00DA32D9">
        <w:rPr>
          <w:sz w:val="20"/>
          <w:szCs w:val="20"/>
        </w:rPr>
        <w:t>RECK</w:t>
      </w:r>
      <w:r w:rsidRPr="00DA32D9">
        <w:rPr>
          <w:sz w:val="20"/>
          <w:szCs w:val="20"/>
        </w:rPr>
        <w:t>)</w:t>
      </w:r>
      <w:r w:rsidR="0019595D" w:rsidRPr="00DA32D9">
        <w:rPr>
          <w:sz w:val="20"/>
          <w:szCs w:val="20"/>
        </w:rPr>
        <w:t xml:space="preserve"> protein was expressed in 26 tissues including gallbladder, endometrium</w:t>
      </w:r>
      <w:r w:rsidRPr="00DA32D9">
        <w:rPr>
          <w:sz w:val="20"/>
          <w:szCs w:val="20"/>
        </w:rPr>
        <w:t>,</w:t>
      </w:r>
      <w:r w:rsidR="0019595D" w:rsidRPr="00DA32D9">
        <w:rPr>
          <w:sz w:val="20"/>
          <w:szCs w:val="20"/>
        </w:rPr>
        <w:t xml:space="preserve"> and lung. As an important regulator of extracellular matrix remodeling, it can negatively regulate </w:t>
      </w:r>
      <w:r w:rsidRPr="00DA32D9">
        <w:rPr>
          <w:sz w:val="20"/>
          <w:szCs w:val="20"/>
        </w:rPr>
        <w:t>matrix metalloproteinase 9 (</w:t>
      </w:r>
      <w:r w:rsidR="0019595D" w:rsidRPr="00DA32D9">
        <w:rPr>
          <w:sz w:val="20"/>
          <w:szCs w:val="20"/>
        </w:rPr>
        <w:t>MMP9</w:t>
      </w:r>
      <w:r w:rsidRPr="00DA32D9">
        <w:rPr>
          <w:sz w:val="20"/>
          <w:szCs w:val="20"/>
        </w:rPr>
        <w:t>)</w:t>
      </w:r>
      <w:r w:rsidR="0019595D" w:rsidRPr="00DA32D9">
        <w:rPr>
          <w:sz w:val="20"/>
          <w:szCs w:val="20"/>
        </w:rPr>
        <w:t xml:space="preserve"> and MMP2 to inhibit malignant behaviors such as migration and invasion of cancer cells</w:t>
      </w:r>
      <w:r w:rsidR="0019595D" w:rsidRPr="00DA32D9">
        <w:rPr>
          <w:sz w:val="20"/>
          <w:szCs w:val="20"/>
          <w:vertAlign w:val="superscript"/>
        </w:rPr>
        <w:t>[11-13]</w:t>
      </w:r>
      <w:r w:rsidR="0019595D" w:rsidRPr="00DA32D9">
        <w:rPr>
          <w:sz w:val="20"/>
          <w:szCs w:val="20"/>
        </w:rPr>
        <w:t xml:space="preserve">. Apart from that, RECK can promote apoptosis by altering p53, p53, </w:t>
      </w:r>
      <w:r w:rsidR="005C3CE3" w:rsidRPr="00DA32D9">
        <w:rPr>
          <w:sz w:val="20"/>
          <w:szCs w:val="20"/>
        </w:rPr>
        <w:t>B-cell lymphoma 2 (</w:t>
      </w:r>
      <w:r w:rsidR="0019595D" w:rsidRPr="00DA32D9">
        <w:rPr>
          <w:sz w:val="20"/>
          <w:szCs w:val="20"/>
        </w:rPr>
        <w:t>Bcl-2</w:t>
      </w:r>
      <w:r w:rsidR="005C3CE3" w:rsidRPr="00DA32D9">
        <w:rPr>
          <w:sz w:val="20"/>
          <w:szCs w:val="20"/>
        </w:rPr>
        <w:t>)</w:t>
      </w:r>
      <w:r w:rsidR="0019595D" w:rsidRPr="00DA32D9">
        <w:rPr>
          <w:sz w:val="20"/>
          <w:szCs w:val="20"/>
        </w:rPr>
        <w:t xml:space="preserve">, </w:t>
      </w:r>
      <w:r w:rsidR="005C3CE3" w:rsidRPr="00DA32D9">
        <w:rPr>
          <w:rFonts w:eastAsia="Times New Roman"/>
          <w:sz w:val="20"/>
          <w:szCs w:val="20"/>
        </w:rPr>
        <w:t>Bcl-2-associated X protein</w:t>
      </w:r>
      <w:r w:rsidR="005C3CE3" w:rsidRPr="00DA32D9">
        <w:rPr>
          <w:sz w:val="20"/>
          <w:szCs w:val="20"/>
        </w:rPr>
        <w:t xml:space="preserve"> (</w:t>
      </w:r>
      <w:r w:rsidR="0019595D" w:rsidRPr="00DA32D9">
        <w:rPr>
          <w:sz w:val="20"/>
          <w:szCs w:val="20"/>
        </w:rPr>
        <w:t>Bax</w:t>
      </w:r>
      <w:r w:rsidR="005C3CE3" w:rsidRPr="00DA32D9">
        <w:rPr>
          <w:sz w:val="20"/>
          <w:szCs w:val="20"/>
        </w:rPr>
        <w:t>)</w:t>
      </w:r>
      <w:r w:rsidRPr="00DA32D9">
        <w:rPr>
          <w:sz w:val="20"/>
          <w:szCs w:val="20"/>
        </w:rPr>
        <w:t>,</w:t>
      </w:r>
      <w:r w:rsidR="0019595D" w:rsidRPr="00DA32D9">
        <w:rPr>
          <w:sz w:val="20"/>
          <w:szCs w:val="20"/>
        </w:rPr>
        <w:t xml:space="preserve"> and other p53 pathway proteins</w:t>
      </w:r>
      <w:r w:rsidR="0019595D" w:rsidRPr="00DA32D9">
        <w:rPr>
          <w:sz w:val="20"/>
          <w:szCs w:val="20"/>
          <w:vertAlign w:val="superscript"/>
        </w:rPr>
        <w:t>[14]</w:t>
      </w:r>
      <w:r w:rsidR="0019595D" w:rsidRPr="00DA32D9">
        <w:rPr>
          <w:sz w:val="20"/>
          <w:szCs w:val="20"/>
        </w:rPr>
        <w:t xml:space="preserve">. </w:t>
      </w:r>
      <w:bookmarkStart w:id="29" w:name="_Hlk28956352"/>
      <w:r w:rsidR="0019595D" w:rsidRPr="00DA32D9">
        <w:rPr>
          <w:sz w:val="20"/>
          <w:szCs w:val="20"/>
        </w:rPr>
        <w:t>Moreover, the influence of RECK on tumor progression was regulated by miRNA</w:t>
      </w:r>
      <w:bookmarkEnd w:id="29"/>
      <w:r w:rsidR="0019595D" w:rsidRPr="00DA32D9">
        <w:rPr>
          <w:sz w:val="20"/>
          <w:szCs w:val="20"/>
        </w:rPr>
        <w:t xml:space="preserve">. For example, Chen </w:t>
      </w:r>
      <w:r w:rsidR="0019595D" w:rsidRPr="00DA32D9">
        <w:rPr>
          <w:i/>
          <w:iCs/>
          <w:sz w:val="20"/>
          <w:szCs w:val="20"/>
        </w:rPr>
        <w:t>et al</w:t>
      </w:r>
      <w:r w:rsidR="0019595D" w:rsidRPr="00DA32D9">
        <w:rPr>
          <w:sz w:val="20"/>
          <w:szCs w:val="20"/>
          <w:vertAlign w:val="superscript"/>
        </w:rPr>
        <w:t>[15]</w:t>
      </w:r>
      <w:r w:rsidR="0019595D" w:rsidRPr="00DA32D9">
        <w:rPr>
          <w:sz w:val="20"/>
          <w:szCs w:val="20"/>
        </w:rPr>
        <w:t xml:space="preserve"> found that miR-15b promoted </w:t>
      </w:r>
      <w:r w:rsidR="005C3CE3" w:rsidRPr="00DA32D9">
        <w:rPr>
          <w:sz w:val="20"/>
          <w:szCs w:val="20"/>
        </w:rPr>
        <w:t xml:space="preserve">the </w:t>
      </w:r>
      <w:r w:rsidR="0019595D" w:rsidRPr="00DA32D9">
        <w:rPr>
          <w:sz w:val="20"/>
          <w:szCs w:val="20"/>
        </w:rPr>
        <w:t xml:space="preserve">proliferation and invasion of prostate cancer cells by targeting inhibition of RECK. Besides, Wang </w:t>
      </w:r>
      <w:r w:rsidR="0019595D" w:rsidRPr="00DA32D9">
        <w:rPr>
          <w:i/>
          <w:iCs/>
          <w:sz w:val="20"/>
          <w:szCs w:val="20"/>
        </w:rPr>
        <w:t>et al</w:t>
      </w:r>
      <w:r w:rsidR="0019595D" w:rsidRPr="00DA32D9">
        <w:rPr>
          <w:sz w:val="20"/>
          <w:szCs w:val="20"/>
          <w:vertAlign w:val="superscript"/>
        </w:rPr>
        <w:t>[16]</w:t>
      </w:r>
      <w:r w:rsidR="0019595D" w:rsidRPr="00DA32D9">
        <w:rPr>
          <w:sz w:val="20"/>
          <w:szCs w:val="20"/>
        </w:rPr>
        <w:t xml:space="preserve"> demonstrated that RECK was negatively regulated by miR-21, which could upregulate the invasion and migration of colon cancer cells. In colorectal cancer, it </w:t>
      </w:r>
      <w:r w:rsidR="005C3CE3" w:rsidRPr="00DA32D9">
        <w:rPr>
          <w:sz w:val="20"/>
          <w:szCs w:val="20"/>
        </w:rPr>
        <w:t xml:space="preserve">has been </w:t>
      </w:r>
      <w:r w:rsidR="0019595D" w:rsidRPr="00DA32D9">
        <w:rPr>
          <w:sz w:val="20"/>
          <w:szCs w:val="20"/>
        </w:rPr>
        <w:t>reported that the effects of miR-92a</w:t>
      </w:r>
      <w:r w:rsidR="0019595D" w:rsidRPr="00DA32D9">
        <w:rPr>
          <w:sz w:val="20"/>
          <w:szCs w:val="20"/>
          <w:vertAlign w:val="superscript"/>
        </w:rPr>
        <w:t>[17]</w:t>
      </w:r>
      <w:r w:rsidR="0019595D" w:rsidRPr="00DA32D9">
        <w:rPr>
          <w:sz w:val="20"/>
          <w:szCs w:val="20"/>
        </w:rPr>
        <w:t>, miR-96</w:t>
      </w:r>
      <w:r w:rsidR="0019595D" w:rsidRPr="00DA32D9">
        <w:rPr>
          <w:sz w:val="20"/>
          <w:szCs w:val="20"/>
          <w:vertAlign w:val="superscript"/>
        </w:rPr>
        <w:t>[18]</w:t>
      </w:r>
      <w:r w:rsidR="0019595D" w:rsidRPr="00DA32D9">
        <w:rPr>
          <w:sz w:val="20"/>
          <w:szCs w:val="20"/>
        </w:rPr>
        <w:t xml:space="preserve"> and miR-375</w:t>
      </w:r>
      <w:r w:rsidR="0019595D" w:rsidRPr="00DA32D9">
        <w:rPr>
          <w:sz w:val="20"/>
          <w:szCs w:val="20"/>
          <w:vertAlign w:val="superscript"/>
        </w:rPr>
        <w:t>[19]</w:t>
      </w:r>
      <w:r w:rsidR="0019595D" w:rsidRPr="00DA32D9">
        <w:rPr>
          <w:sz w:val="20"/>
          <w:szCs w:val="20"/>
        </w:rPr>
        <w:t xml:space="preserve"> on the biological function of cancer cells </w:t>
      </w:r>
      <w:r w:rsidR="005C3CE3" w:rsidRPr="00DA32D9">
        <w:rPr>
          <w:sz w:val="20"/>
          <w:szCs w:val="20"/>
        </w:rPr>
        <w:t xml:space="preserve">are </w:t>
      </w:r>
      <w:r w:rsidR="0019595D" w:rsidRPr="00DA32D9">
        <w:rPr>
          <w:sz w:val="20"/>
          <w:szCs w:val="20"/>
        </w:rPr>
        <w:t>all related to the regulation of RECK expression.</w:t>
      </w:r>
    </w:p>
    <w:p w14:paraId="699CC02C" w14:textId="287707B5" w:rsidR="00035E5B" w:rsidRPr="00DA32D9" w:rsidRDefault="0019595D" w:rsidP="00DA32D9">
      <w:pPr>
        <w:snapToGrid w:val="0"/>
        <w:ind w:firstLineChars="100" w:firstLine="200"/>
        <w:rPr>
          <w:rFonts w:eastAsia="宋体"/>
          <w:kern w:val="0"/>
          <w:sz w:val="20"/>
          <w:szCs w:val="20"/>
        </w:rPr>
      </w:pPr>
      <w:r w:rsidRPr="00DA32D9">
        <w:rPr>
          <w:sz w:val="20"/>
          <w:szCs w:val="20"/>
        </w:rPr>
        <w:t>Although the molecular mechanism of miR-182 and RECK</w:t>
      </w:r>
      <w:r w:rsidR="005C3CE3" w:rsidRPr="00DA32D9">
        <w:rPr>
          <w:sz w:val="20"/>
          <w:szCs w:val="20"/>
        </w:rPr>
        <w:t xml:space="preserve"> has been clarified</w:t>
      </w:r>
      <w:r w:rsidRPr="00DA32D9">
        <w:rPr>
          <w:sz w:val="20"/>
          <w:szCs w:val="20"/>
        </w:rPr>
        <w:t xml:space="preserve"> in a variety of cancers, the co-role of exosomal miR-182 combined with RECK in GC remains unclear. Therefore here, by regulating their expression in GC, we explored the role of exosomal miR-182 and RECK in GC.</w:t>
      </w:r>
    </w:p>
    <w:p w14:paraId="3D8538A4" w14:textId="77777777" w:rsidR="00035E5B" w:rsidRPr="00DA32D9" w:rsidRDefault="00035E5B" w:rsidP="00DA32D9">
      <w:pPr>
        <w:snapToGrid w:val="0"/>
        <w:rPr>
          <w:rFonts w:eastAsia="宋体" w:cs="Times New Roman"/>
          <w:kern w:val="0"/>
          <w:sz w:val="20"/>
          <w:szCs w:val="20"/>
        </w:rPr>
      </w:pPr>
    </w:p>
    <w:p w14:paraId="3ADAD18E" w14:textId="16E1650E" w:rsidR="00035E5B" w:rsidRPr="00DA32D9" w:rsidRDefault="0019595D" w:rsidP="00DA32D9">
      <w:pPr>
        <w:pStyle w:val="1"/>
        <w:keepNext w:val="0"/>
        <w:keepLines w:val="0"/>
        <w:snapToGrid w:val="0"/>
        <w:spacing w:line="360" w:lineRule="auto"/>
        <w:rPr>
          <w:rFonts w:eastAsia="宋体"/>
          <w:kern w:val="0"/>
          <w:sz w:val="20"/>
          <w:szCs w:val="20"/>
          <w:u w:val="single"/>
        </w:rPr>
      </w:pPr>
      <w:r w:rsidRPr="00DA32D9">
        <w:rPr>
          <w:sz w:val="20"/>
          <w:szCs w:val="20"/>
          <w:u w:val="single"/>
        </w:rPr>
        <w:t>Materials</w:t>
      </w:r>
      <w:r w:rsidR="00661812" w:rsidRPr="00DA32D9">
        <w:rPr>
          <w:sz w:val="20"/>
          <w:szCs w:val="20"/>
          <w:u w:val="single"/>
        </w:rPr>
        <w:t xml:space="preserve"> </w:t>
      </w:r>
      <w:r w:rsidRPr="00DA32D9">
        <w:rPr>
          <w:sz w:val="20"/>
          <w:szCs w:val="20"/>
          <w:u w:val="single"/>
        </w:rPr>
        <w:t>and methods</w:t>
      </w:r>
    </w:p>
    <w:p w14:paraId="77A61697" w14:textId="28C47392" w:rsidR="00035E5B" w:rsidRPr="00DA32D9" w:rsidRDefault="0019595D" w:rsidP="00DA32D9">
      <w:pPr>
        <w:pStyle w:val="2"/>
        <w:keepNext w:val="0"/>
        <w:keepLines w:val="0"/>
        <w:snapToGrid w:val="0"/>
        <w:spacing w:line="360" w:lineRule="auto"/>
        <w:rPr>
          <w:rFonts w:eastAsia="宋体"/>
          <w:kern w:val="0"/>
          <w:sz w:val="20"/>
          <w:szCs w:val="20"/>
        </w:rPr>
      </w:pPr>
      <w:r w:rsidRPr="00DA32D9">
        <w:rPr>
          <w:sz w:val="20"/>
          <w:szCs w:val="20"/>
        </w:rPr>
        <w:t xml:space="preserve">Sample </w:t>
      </w:r>
      <w:r w:rsidR="004641B1" w:rsidRPr="00DA32D9">
        <w:rPr>
          <w:sz w:val="20"/>
          <w:szCs w:val="20"/>
        </w:rPr>
        <w:t>c</w:t>
      </w:r>
      <w:r w:rsidRPr="00DA32D9">
        <w:rPr>
          <w:sz w:val="20"/>
          <w:szCs w:val="20"/>
        </w:rPr>
        <w:t>ollection</w:t>
      </w:r>
    </w:p>
    <w:p w14:paraId="39BD8F2C" w14:textId="12A5FA74" w:rsidR="00035E5B" w:rsidRPr="00DA32D9" w:rsidRDefault="0019595D" w:rsidP="00DA32D9">
      <w:pPr>
        <w:snapToGrid w:val="0"/>
        <w:rPr>
          <w:sz w:val="20"/>
          <w:szCs w:val="20"/>
        </w:rPr>
      </w:pPr>
      <w:r w:rsidRPr="00DA32D9">
        <w:rPr>
          <w:sz w:val="20"/>
          <w:szCs w:val="20"/>
        </w:rPr>
        <w:lastRenderedPageBreak/>
        <w:t>Paired cancer tissues and adjacent normal tissues were obtained from 78 diagnosed GC patients, including 36 males and 42 females. Inclusion criteria</w:t>
      </w:r>
      <w:r w:rsidR="00B16B3F" w:rsidRPr="00DA32D9">
        <w:rPr>
          <w:sz w:val="20"/>
          <w:szCs w:val="20"/>
        </w:rPr>
        <w:t xml:space="preserve"> were</w:t>
      </w:r>
      <w:r w:rsidRPr="00DA32D9">
        <w:rPr>
          <w:sz w:val="20"/>
          <w:szCs w:val="20"/>
        </w:rPr>
        <w:t xml:space="preserve"> </w:t>
      </w:r>
      <w:r w:rsidR="00B16B3F" w:rsidRPr="00DA32D9">
        <w:rPr>
          <w:sz w:val="20"/>
          <w:szCs w:val="20"/>
        </w:rPr>
        <w:t>p</w:t>
      </w:r>
      <w:r w:rsidRPr="00DA32D9">
        <w:rPr>
          <w:sz w:val="20"/>
          <w:szCs w:val="20"/>
        </w:rPr>
        <w:t xml:space="preserve">atients diagnosed with GC. In contrast, the exclusion criteria were as follows: </w:t>
      </w:r>
      <w:r w:rsidR="00B16B3F" w:rsidRPr="00DA32D9">
        <w:rPr>
          <w:sz w:val="20"/>
          <w:szCs w:val="20"/>
        </w:rPr>
        <w:t>p</w:t>
      </w:r>
      <w:r w:rsidRPr="00DA32D9">
        <w:rPr>
          <w:sz w:val="20"/>
          <w:szCs w:val="20"/>
        </w:rPr>
        <w:t xml:space="preserve">atients with psychiatric disorders, previous treatment history of surgery, chemotherapy, radiotherapy or antibiotic, combined with other tumors or those who did not cooperate with the treatment. The collected tissues were sectioned and stored in at -80 °C for testing. Venous blood samples from GC patients and healthy subjects were collected on an empty stomach and stored in </w:t>
      </w:r>
      <w:r w:rsidR="00C844CC" w:rsidRPr="00DA32D9">
        <w:rPr>
          <w:sz w:val="20"/>
          <w:szCs w:val="20"/>
        </w:rPr>
        <w:t>Eppendorf</w:t>
      </w:r>
      <w:r w:rsidRPr="00DA32D9">
        <w:rPr>
          <w:sz w:val="20"/>
          <w:szCs w:val="20"/>
        </w:rPr>
        <w:t xml:space="preserve"> tube without anticoagulant. Then it was centrifuged at room temperature for 15</w:t>
      </w:r>
      <w:r w:rsidR="00190F0D" w:rsidRPr="00DA32D9">
        <w:rPr>
          <w:sz w:val="20"/>
          <w:szCs w:val="20"/>
        </w:rPr>
        <w:t xml:space="preserve"> </w:t>
      </w:r>
      <w:r w:rsidRPr="00DA32D9">
        <w:rPr>
          <w:sz w:val="20"/>
          <w:szCs w:val="20"/>
        </w:rPr>
        <w:t>min at 3</w:t>
      </w:r>
      <w:r w:rsidR="00190F0D" w:rsidRPr="00DA32D9">
        <w:rPr>
          <w:sz w:val="20"/>
          <w:szCs w:val="20"/>
        </w:rPr>
        <w:t xml:space="preserve"> × </w:t>
      </w:r>
      <w:r w:rsidRPr="00DA32D9">
        <w:rPr>
          <w:sz w:val="20"/>
          <w:szCs w:val="20"/>
        </w:rPr>
        <w:t>10</w:t>
      </w:r>
      <w:r w:rsidRPr="00DA32D9">
        <w:rPr>
          <w:sz w:val="20"/>
          <w:szCs w:val="20"/>
          <w:vertAlign w:val="superscript"/>
        </w:rPr>
        <w:t>3</w:t>
      </w:r>
      <w:r w:rsidR="00190F0D" w:rsidRPr="00DA32D9">
        <w:rPr>
          <w:sz w:val="20"/>
          <w:szCs w:val="20"/>
          <w:vertAlign w:val="superscript"/>
        </w:rPr>
        <w:t xml:space="preserve"> </w:t>
      </w:r>
      <w:r w:rsidRPr="00DA32D9">
        <w:rPr>
          <w:sz w:val="20"/>
          <w:szCs w:val="20"/>
        </w:rPr>
        <w:t xml:space="preserve">rpm to obtain the supernatant, which was then placed in a RNase-free </w:t>
      </w:r>
      <w:r w:rsidR="00C844CC" w:rsidRPr="00DA32D9">
        <w:rPr>
          <w:sz w:val="20"/>
          <w:szCs w:val="20"/>
        </w:rPr>
        <w:t>Eppendorf</w:t>
      </w:r>
      <w:r w:rsidRPr="00DA32D9">
        <w:rPr>
          <w:sz w:val="20"/>
          <w:szCs w:val="20"/>
        </w:rPr>
        <w:t xml:space="preserve"> tube for a 5-min centrifugation at a rotational speed of 1.2</w:t>
      </w:r>
      <w:r w:rsidR="00190F0D" w:rsidRPr="00DA32D9">
        <w:rPr>
          <w:sz w:val="20"/>
          <w:szCs w:val="20"/>
        </w:rPr>
        <w:t xml:space="preserve"> × </w:t>
      </w:r>
      <w:r w:rsidRPr="00DA32D9">
        <w:rPr>
          <w:sz w:val="20"/>
          <w:szCs w:val="20"/>
        </w:rPr>
        <w:t>10</w:t>
      </w:r>
      <w:r w:rsidRPr="00DA32D9">
        <w:rPr>
          <w:sz w:val="20"/>
          <w:szCs w:val="20"/>
          <w:vertAlign w:val="superscript"/>
        </w:rPr>
        <w:t>4</w:t>
      </w:r>
      <w:r w:rsidR="00190F0D" w:rsidRPr="00DA32D9">
        <w:rPr>
          <w:sz w:val="20"/>
          <w:szCs w:val="20"/>
          <w:vertAlign w:val="superscript"/>
        </w:rPr>
        <w:t xml:space="preserve"> </w:t>
      </w:r>
      <w:r w:rsidRPr="00DA32D9">
        <w:rPr>
          <w:sz w:val="20"/>
          <w:szCs w:val="20"/>
        </w:rPr>
        <w:t xml:space="preserve">rpm. After centrifugation, the supernatant was collected and </w:t>
      </w:r>
      <w:r w:rsidR="006357A4" w:rsidRPr="00DA32D9">
        <w:rPr>
          <w:sz w:val="20"/>
          <w:szCs w:val="20"/>
        </w:rPr>
        <w:t>stored at</w:t>
      </w:r>
      <w:r w:rsidRPr="00DA32D9">
        <w:rPr>
          <w:sz w:val="20"/>
          <w:szCs w:val="20"/>
        </w:rPr>
        <w:t xml:space="preserve"> -80</w:t>
      </w:r>
      <w:r w:rsidR="006357A4" w:rsidRPr="00DA32D9">
        <w:rPr>
          <w:sz w:val="20"/>
          <w:szCs w:val="20"/>
        </w:rPr>
        <w:t>°C</w:t>
      </w:r>
      <w:r w:rsidR="006357A4" w:rsidRPr="00DA32D9" w:rsidDel="006357A4">
        <w:rPr>
          <w:rFonts w:ascii="宋体" w:eastAsia="宋体" w:hAnsi="宋体" w:cs="宋体"/>
          <w:sz w:val="20"/>
          <w:szCs w:val="20"/>
        </w:rPr>
        <w:t xml:space="preserve"> </w:t>
      </w:r>
      <w:r w:rsidR="006357A4" w:rsidRPr="008001B6">
        <w:rPr>
          <w:rFonts w:eastAsia="宋体" w:cs="宋体"/>
          <w:sz w:val="20"/>
          <w:szCs w:val="20"/>
        </w:rPr>
        <w:t>until subsequent measurement</w:t>
      </w:r>
      <w:r w:rsidRPr="00DA32D9">
        <w:rPr>
          <w:sz w:val="20"/>
          <w:szCs w:val="20"/>
        </w:rPr>
        <w:t>. All participants were fully informed of the study</w:t>
      </w:r>
      <w:r w:rsidR="006357A4" w:rsidRPr="00DA32D9">
        <w:rPr>
          <w:sz w:val="20"/>
          <w:szCs w:val="20"/>
        </w:rPr>
        <w:t>,</w:t>
      </w:r>
      <w:r w:rsidRPr="00DA32D9">
        <w:rPr>
          <w:sz w:val="20"/>
          <w:szCs w:val="20"/>
        </w:rPr>
        <w:t xml:space="preserve"> and the Medical Ethics Committee of the Affiliated Hospital of Zunyi Medical University approved the study.</w:t>
      </w:r>
    </w:p>
    <w:p w14:paraId="42885921" w14:textId="77777777" w:rsidR="00FE6D9A" w:rsidRPr="00DA32D9" w:rsidRDefault="00FE6D9A" w:rsidP="00DA32D9">
      <w:pPr>
        <w:pStyle w:val="2"/>
        <w:keepNext w:val="0"/>
        <w:keepLines w:val="0"/>
        <w:snapToGrid w:val="0"/>
        <w:spacing w:line="360" w:lineRule="auto"/>
        <w:rPr>
          <w:sz w:val="20"/>
          <w:szCs w:val="20"/>
        </w:rPr>
      </w:pPr>
    </w:p>
    <w:p w14:paraId="382A6F9D" w14:textId="7C862D64" w:rsidR="00035E5B" w:rsidRPr="00DA32D9" w:rsidRDefault="0019595D" w:rsidP="00DA32D9">
      <w:pPr>
        <w:pStyle w:val="2"/>
        <w:keepNext w:val="0"/>
        <w:keepLines w:val="0"/>
        <w:snapToGrid w:val="0"/>
        <w:spacing w:line="360" w:lineRule="auto"/>
        <w:rPr>
          <w:rFonts w:eastAsia="宋体"/>
          <w:sz w:val="20"/>
          <w:szCs w:val="20"/>
        </w:rPr>
      </w:pPr>
      <w:r w:rsidRPr="00DA32D9">
        <w:rPr>
          <w:sz w:val="20"/>
          <w:szCs w:val="20"/>
        </w:rPr>
        <w:t>Cell culture and transfection</w:t>
      </w:r>
    </w:p>
    <w:p w14:paraId="4F08B1B3" w14:textId="4A69C246" w:rsidR="00035E5B" w:rsidRPr="00DA32D9" w:rsidRDefault="0019595D" w:rsidP="00DA32D9">
      <w:pPr>
        <w:snapToGrid w:val="0"/>
        <w:rPr>
          <w:rFonts w:eastAsia="宋体"/>
          <w:kern w:val="0"/>
          <w:sz w:val="20"/>
          <w:szCs w:val="20"/>
        </w:rPr>
      </w:pPr>
      <w:r w:rsidRPr="00DA32D9">
        <w:rPr>
          <w:sz w:val="20"/>
          <w:szCs w:val="20"/>
        </w:rPr>
        <w:t>GC cell lines (GBC-SD, EHGB1, NOZ) and human gallbladder epithelial cells (HGBEC) were purchased from the cell bank of American Type Culture Collection</w:t>
      </w:r>
      <w:r w:rsidR="004046BE" w:rsidRPr="00DA32D9">
        <w:rPr>
          <w:sz w:val="20"/>
          <w:szCs w:val="20"/>
        </w:rPr>
        <w:t xml:space="preserve"> (Gaithersburg, MD, United States)</w:t>
      </w:r>
      <w:r w:rsidRPr="00DA32D9">
        <w:rPr>
          <w:sz w:val="20"/>
          <w:szCs w:val="20"/>
        </w:rPr>
        <w:t>, and the cells were cultured in an animal cell incubator at 37</w:t>
      </w:r>
      <w:r w:rsidR="006357A4" w:rsidRPr="00DA32D9">
        <w:rPr>
          <w:sz w:val="20"/>
          <w:szCs w:val="20"/>
        </w:rPr>
        <w:t xml:space="preserve"> </w:t>
      </w:r>
      <w:r w:rsidRPr="00DA32D9">
        <w:rPr>
          <w:sz w:val="20"/>
          <w:szCs w:val="20"/>
        </w:rPr>
        <w:t>°C and 5% CO</w:t>
      </w:r>
      <w:r w:rsidRPr="00DA32D9">
        <w:rPr>
          <w:sz w:val="20"/>
          <w:szCs w:val="20"/>
          <w:vertAlign w:val="subscript"/>
        </w:rPr>
        <w:t>2</w:t>
      </w:r>
      <w:r w:rsidRPr="00DA32D9">
        <w:rPr>
          <w:sz w:val="20"/>
          <w:szCs w:val="20"/>
        </w:rPr>
        <w:t xml:space="preserve">. The medium </w:t>
      </w:r>
      <w:r w:rsidR="006357A4" w:rsidRPr="00DA32D9">
        <w:rPr>
          <w:sz w:val="20"/>
          <w:szCs w:val="20"/>
        </w:rPr>
        <w:t>used for the</w:t>
      </w:r>
      <w:r w:rsidRPr="00DA32D9">
        <w:rPr>
          <w:sz w:val="20"/>
          <w:szCs w:val="20"/>
        </w:rPr>
        <w:t xml:space="preserve"> GC cell line</w:t>
      </w:r>
      <w:r w:rsidR="006357A4" w:rsidRPr="00DA32D9">
        <w:rPr>
          <w:sz w:val="20"/>
          <w:szCs w:val="20"/>
        </w:rPr>
        <w:t>s</w:t>
      </w:r>
      <w:r w:rsidRPr="00DA32D9">
        <w:rPr>
          <w:sz w:val="20"/>
          <w:szCs w:val="20"/>
        </w:rPr>
        <w:t xml:space="preserve"> was 1640 medium (Hy</w:t>
      </w:r>
      <w:r w:rsidR="004046BE" w:rsidRPr="00DA32D9">
        <w:rPr>
          <w:sz w:val="20"/>
          <w:szCs w:val="20"/>
        </w:rPr>
        <w:t>C</w:t>
      </w:r>
      <w:r w:rsidRPr="00DA32D9">
        <w:rPr>
          <w:sz w:val="20"/>
          <w:szCs w:val="20"/>
        </w:rPr>
        <w:t xml:space="preserve">lone </w:t>
      </w:r>
      <w:r w:rsidR="004046BE" w:rsidRPr="00DA32D9">
        <w:rPr>
          <w:sz w:val="20"/>
          <w:szCs w:val="20"/>
        </w:rPr>
        <w:t>Laboratories, South Logan, UT, United States</w:t>
      </w:r>
      <w:r w:rsidRPr="00DA32D9">
        <w:rPr>
          <w:sz w:val="20"/>
          <w:szCs w:val="20"/>
        </w:rPr>
        <w:t>)</w:t>
      </w:r>
      <w:r w:rsidR="004046BE" w:rsidRPr="00DA32D9">
        <w:rPr>
          <w:sz w:val="20"/>
          <w:szCs w:val="20"/>
        </w:rPr>
        <w:t xml:space="preserve"> supplemented </w:t>
      </w:r>
      <w:r w:rsidR="006357A4" w:rsidRPr="00DA32D9">
        <w:rPr>
          <w:sz w:val="20"/>
          <w:szCs w:val="20"/>
        </w:rPr>
        <w:t xml:space="preserve">with </w:t>
      </w:r>
      <w:r w:rsidRPr="00DA32D9">
        <w:rPr>
          <w:sz w:val="20"/>
          <w:szCs w:val="20"/>
        </w:rPr>
        <w:t>10% fetal bovine serum</w:t>
      </w:r>
      <w:r w:rsidR="004046BE" w:rsidRPr="00DA32D9">
        <w:rPr>
          <w:sz w:val="20"/>
          <w:szCs w:val="20"/>
        </w:rPr>
        <w:t xml:space="preserve"> (FBS; </w:t>
      </w:r>
      <w:r w:rsidRPr="00DA32D9">
        <w:rPr>
          <w:sz w:val="20"/>
          <w:szCs w:val="20"/>
        </w:rPr>
        <w:t xml:space="preserve">Gibco </w:t>
      </w:r>
      <w:r w:rsidR="004046BE" w:rsidRPr="00DA32D9">
        <w:rPr>
          <w:sz w:val="20"/>
          <w:szCs w:val="20"/>
        </w:rPr>
        <w:t>Laboratories, Gaithersburg, MD, United States</w:t>
      </w:r>
      <w:r w:rsidRPr="00DA32D9">
        <w:rPr>
          <w:sz w:val="20"/>
          <w:szCs w:val="20"/>
        </w:rPr>
        <w:t>)</w:t>
      </w:r>
      <w:r w:rsidR="006357A4" w:rsidRPr="00DA32D9">
        <w:rPr>
          <w:sz w:val="20"/>
          <w:szCs w:val="20"/>
        </w:rPr>
        <w:t xml:space="preserve"> and</w:t>
      </w:r>
      <w:r w:rsidR="004046BE" w:rsidRPr="00DA32D9">
        <w:rPr>
          <w:sz w:val="20"/>
          <w:szCs w:val="20"/>
        </w:rPr>
        <w:t xml:space="preserve"> </w:t>
      </w:r>
      <w:r w:rsidRPr="00DA32D9">
        <w:rPr>
          <w:sz w:val="20"/>
          <w:szCs w:val="20"/>
        </w:rPr>
        <w:t>1% penicillin/streptomycin (100X</w:t>
      </w:r>
      <w:r w:rsidR="004046BE" w:rsidRPr="00DA32D9">
        <w:rPr>
          <w:sz w:val="20"/>
          <w:szCs w:val="20"/>
        </w:rPr>
        <w:t xml:space="preserve">; Beijing </w:t>
      </w:r>
      <w:r w:rsidRPr="00DA32D9">
        <w:rPr>
          <w:sz w:val="20"/>
          <w:szCs w:val="20"/>
        </w:rPr>
        <w:t xml:space="preserve">Solarbio </w:t>
      </w:r>
      <w:r w:rsidR="004046BE" w:rsidRPr="00DA32D9">
        <w:rPr>
          <w:sz w:val="20"/>
          <w:szCs w:val="20"/>
        </w:rPr>
        <w:t xml:space="preserve">Science &amp; Technology </w:t>
      </w:r>
      <w:r w:rsidRPr="00DA32D9">
        <w:rPr>
          <w:sz w:val="20"/>
          <w:szCs w:val="20"/>
        </w:rPr>
        <w:t>Co</w:t>
      </w:r>
      <w:r w:rsidR="004046BE" w:rsidRPr="00DA32D9">
        <w:rPr>
          <w:sz w:val="20"/>
          <w:szCs w:val="20"/>
        </w:rPr>
        <w:t>. Ltd., Beijing, China</w:t>
      </w:r>
      <w:r w:rsidRPr="00DA32D9">
        <w:rPr>
          <w:sz w:val="20"/>
          <w:szCs w:val="20"/>
        </w:rPr>
        <w:t xml:space="preserve">), while that </w:t>
      </w:r>
      <w:r w:rsidR="004046BE" w:rsidRPr="00DA32D9">
        <w:rPr>
          <w:sz w:val="20"/>
          <w:szCs w:val="20"/>
        </w:rPr>
        <w:t xml:space="preserve">used for the </w:t>
      </w:r>
      <w:r w:rsidRPr="00DA32D9">
        <w:rPr>
          <w:sz w:val="20"/>
          <w:szCs w:val="20"/>
        </w:rPr>
        <w:t>HGBEC cell line was</w:t>
      </w:r>
      <w:r w:rsidR="004046BE" w:rsidRPr="00DA32D9">
        <w:rPr>
          <w:sz w:val="20"/>
          <w:szCs w:val="20"/>
        </w:rPr>
        <w:t xml:space="preserve"> Dulbecco’s Modified Eagle Medium (</w:t>
      </w:r>
      <w:r w:rsidRPr="00DA32D9">
        <w:rPr>
          <w:sz w:val="20"/>
          <w:szCs w:val="20"/>
        </w:rPr>
        <w:t>DMEM</w:t>
      </w:r>
      <w:r w:rsidR="004046BE" w:rsidRPr="00DA32D9">
        <w:rPr>
          <w:sz w:val="20"/>
          <w:szCs w:val="20"/>
        </w:rPr>
        <w:t>)</w:t>
      </w:r>
      <w:r w:rsidRPr="00DA32D9">
        <w:rPr>
          <w:sz w:val="20"/>
          <w:szCs w:val="20"/>
        </w:rPr>
        <w:t xml:space="preserve"> (Hyclone)</w:t>
      </w:r>
      <w:r w:rsidR="00637739" w:rsidRPr="00DA32D9">
        <w:rPr>
          <w:sz w:val="20"/>
          <w:szCs w:val="20"/>
        </w:rPr>
        <w:t xml:space="preserve"> </w:t>
      </w:r>
      <w:r w:rsidR="004046BE" w:rsidRPr="00DA32D9">
        <w:rPr>
          <w:sz w:val="20"/>
          <w:szCs w:val="20"/>
        </w:rPr>
        <w:t xml:space="preserve">supplemented with </w:t>
      </w:r>
      <w:r w:rsidRPr="00DA32D9">
        <w:rPr>
          <w:sz w:val="20"/>
          <w:szCs w:val="20"/>
        </w:rPr>
        <w:t xml:space="preserve">10% </w:t>
      </w:r>
      <w:r w:rsidR="004046BE" w:rsidRPr="00DA32D9">
        <w:rPr>
          <w:sz w:val="20"/>
          <w:szCs w:val="20"/>
        </w:rPr>
        <w:t>FBS</w:t>
      </w:r>
      <w:r w:rsidRPr="00DA32D9">
        <w:rPr>
          <w:sz w:val="20"/>
          <w:szCs w:val="20"/>
        </w:rPr>
        <w:t xml:space="preserve"> (Gibco Company)</w:t>
      </w:r>
      <w:r w:rsidR="00637739" w:rsidRPr="00DA32D9">
        <w:rPr>
          <w:sz w:val="20"/>
          <w:szCs w:val="20"/>
        </w:rPr>
        <w:t xml:space="preserve"> </w:t>
      </w:r>
      <w:r w:rsidR="004046BE" w:rsidRPr="00DA32D9">
        <w:rPr>
          <w:sz w:val="20"/>
          <w:szCs w:val="20"/>
        </w:rPr>
        <w:t>and</w:t>
      </w:r>
      <w:r w:rsidR="00637739" w:rsidRPr="00DA32D9">
        <w:rPr>
          <w:sz w:val="20"/>
          <w:szCs w:val="20"/>
        </w:rPr>
        <w:t xml:space="preserve"> </w:t>
      </w:r>
      <w:r w:rsidRPr="00DA32D9">
        <w:rPr>
          <w:sz w:val="20"/>
          <w:szCs w:val="20"/>
        </w:rPr>
        <w:t>1% penicillin/streptomycin (100X</w:t>
      </w:r>
      <w:r w:rsidR="004046BE" w:rsidRPr="00DA32D9">
        <w:rPr>
          <w:sz w:val="20"/>
          <w:szCs w:val="20"/>
        </w:rPr>
        <w:t>;</w:t>
      </w:r>
      <w:r w:rsidRPr="00DA32D9">
        <w:rPr>
          <w:sz w:val="20"/>
          <w:szCs w:val="20"/>
        </w:rPr>
        <w:t xml:space="preserve"> Solarbio). Follow-up experiments were carried out </w:t>
      </w:r>
      <w:r w:rsidR="004046BE" w:rsidRPr="00DA32D9">
        <w:rPr>
          <w:sz w:val="20"/>
          <w:szCs w:val="20"/>
        </w:rPr>
        <w:t>until the</w:t>
      </w:r>
      <w:r w:rsidRPr="00DA32D9">
        <w:rPr>
          <w:sz w:val="20"/>
          <w:szCs w:val="20"/>
        </w:rPr>
        <w:t xml:space="preserve"> cell</w:t>
      </w:r>
      <w:r w:rsidR="004046BE" w:rsidRPr="00DA32D9">
        <w:rPr>
          <w:sz w:val="20"/>
          <w:szCs w:val="20"/>
        </w:rPr>
        <w:t xml:space="preserve">s </w:t>
      </w:r>
      <w:r w:rsidRPr="00DA32D9">
        <w:rPr>
          <w:sz w:val="20"/>
          <w:szCs w:val="20"/>
        </w:rPr>
        <w:t>reached 80</w:t>
      </w:r>
      <w:r w:rsidR="00637739" w:rsidRPr="00DA32D9">
        <w:rPr>
          <w:sz w:val="20"/>
          <w:szCs w:val="20"/>
        </w:rPr>
        <w:t>%</w:t>
      </w:r>
      <w:r w:rsidRPr="00DA32D9">
        <w:rPr>
          <w:sz w:val="20"/>
          <w:szCs w:val="20"/>
        </w:rPr>
        <w:t>-90%</w:t>
      </w:r>
      <w:r w:rsidR="004046BE" w:rsidRPr="00DA32D9">
        <w:rPr>
          <w:sz w:val="20"/>
          <w:szCs w:val="20"/>
        </w:rPr>
        <w:t xml:space="preserve"> confluency</w:t>
      </w:r>
      <w:r w:rsidRPr="00DA32D9">
        <w:rPr>
          <w:sz w:val="20"/>
          <w:szCs w:val="20"/>
        </w:rPr>
        <w:t>.</w:t>
      </w:r>
    </w:p>
    <w:p w14:paraId="1B960DCD" w14:textId="5D8B36C1" w:rsidR="00035E5B" w:rsidRPr="00DA32D9" w:rsidRDefault="0019595D" w:rsidP="00DA32D9">
      <w:pPr>
        <w:snapToGrid w:val="0"/>
        <w:ind w:firstLineChars="100" w:firstLine="200"/>
        <w:rPr>
          <w:sz w:val="20"/>
          <w:szCs w:val="20"/>
        </w:rPr>
      </w:pPr>
      <w:r w:rsidRPr="00DA32D9">
        <w:rPr>
          <w:sz w:val="20"/>
          <w:szCs w:val="20"/>
        </w:rPr>
        <w:t xml:space="preserve">The culture medium was renewed with FBS-free medium </w:t>
      </w:r>
      <w:r w:rsidR="004046BE" w:rsidRPr="00DA32D9">
        <w:rPr>
          <w:sz w:val="20"/>
          <w:szCs w:val="20"/>
        </w:rPr>
        <w:t>1</w:t>
      </w:r>
      <w:r w:rsidRPr="00DA32D9">
        <w:rPr>
          <w:sz w:val="20"/>
          <w:szCs w:val="20"/>
        </w:rPr>
        <w:t xml:space="preserve"> d before transfection, and cells were seeded into 6-well plates at 1</w:t>
      </w:r>
      <w:r w:rsidR="00E360C9" w:rsidRPr="00DA32D9">
        <w:rPr>
          <w:sz w:val="20"/>
          <w:szCs w:val="20"/>
        </w:rPr>
        <w:t xml:space="preserve"> × </w:t>
      </w:r>
      <w:r w:rsidRPr="00DA32D9">
        <w:rPr>
          <w:sz w:val="20"/>
          <w:szCs w:val="20"/>
        </w:rPr>
        <w:t>10</w:t>
      </w:r>
      <w:r w:rsidRPr="00DA32D9">
        <w:rPr>
          <w:sz w:val="20"/>
          <w:szCs w:val="20"/>
          <w:vertAlign w:val="superscript"/>
        </w:rPr>
        <w:t>5</w:t>
      </w:r>
      <w:r w:rsidRPr="00DA32D9">
        <w:rPr>
          <w:sz w:val="20"/>
          <w:szCs w:val="20"/>
        </w:rPr>
        <w:t xml:space="preserve">/well. MiR-182 </w:t>
      </w:r>
      <w:r w:rsidR="006D6BEA" w:rsidRPr="00DA32D9">
        <w:rPr>
          <w:sz w:val="20"/>
          <w:szCs w:val="20"/>
        </w:rPr>
        <w:t>mimics</w:t>
      </w:r>
      <w:r w:rsidRPr="00DA32D9">
        <w:rPr>
          <w:sz w:val="20"/>
          <w:szCs w:val="20"/>
        </w:rPr>
        <w:t xml:space="preserve">, RECK </w:t>
      </w:r>
      <w:r w:rsidR="003778F1" w:rsidRPr="00DA32D9">
        <w:rPr>
          <w:sz w:val="20"/>
          <w:szCs w:val="20"/>
        </w:rPr>
        <w:t>small interfering RNA (</w:t>
      </w:r>
      <w:r w:rsidRPr="00DA32D9">
        <w:rPr>
          <w:sz w:val="20"/>
          <w:szCs w:val="20"/>
        </w:rPr>
        <w:t>siRNA</w:t>
      </w:r>
      <w:r w:rsidR="003778F1" w:rsidRPr="00DA32D9">
        <w:rPr>
          <w:sz w:val="20"/>
          <w:szCs w:val="20"/>
        </w:rPr>
        <w:t>)</w:t>
      </w:r>
      <w:r w:rsidRPr="00DA32D9">
        <w:rPr>
          <w:sz w:val="20"/>
          <w:szCs w:val="20"/>
        </w:rPr>
        <w:t xml:space="preserve">, and </w:t>
      </w:r>
      <w:r w:rsidR="003778F1" w:rsidRPr="00DA32D9">
        <w:rPr>
          <w:sz w:val="20"/>
          <w:szCs w:val="20"/>
        </w:rPr>
        <w:t>negative control (</w:t>
      </w:r>
      <w:r w:rsidRPr="00DA32D9">
        <w:rPr>
          <w:sz w:val="20"/>
          <w:szCs w:val="20"/>
        </w:rPr>
        <w:t>NC</w:t>
      </w:r>
      <w:r w:rsidR="003778F1" w:rsidRPr="00DA32D9">
        <w:rPr>
          <w:sz w:val="20"/>
          <w:szCs w:val="20"/>
        </w:rPr>
        <w:t>)</w:t>
      </w:r>
      <w:r w:rsidRPr="00DA32D9">
        <w:rPr>
          <w:sz w:val="20"/>
          <w:szCs w:val="20"/>
        </w:rPr>
        <w:t xml:space="preserve"> si vectors were purchased from Sangon Biotech (Shanghai) Co., Ltd.</w:t>
      </w:r>
      <w:r w:rsidR="003778F1" w:rsidRPr="00DA32D9">
        <w:rPr>
          <w:sz w:val="20"/>
          <w:szCs w:val="20"/>
        </w:rPr>
        <w:t xml:space="preserve"> (Shanghai, China)</w:t>
      </w:r>
      <w:r w:rsidRPr="00DA32D9">
        <w:rPr>
          <w:sz w:val="20"/>
          <w:szCs w:val="20"/>
        </w:rPr>
        <w:t xml:space="preserve"> Then </w:t>
      </w:r>
      <w:r w:rsidR="003778F1" w:rsidRPr="00DA32D9">
        <w:rPr>
          <w:sz w:val="20"/>
          <w:szCs w:val="20"/>
        </w:rPr>
        <w:t xml:space="preserve">the </w:t>
      </w:r>
      <w:r w:rsidRPr="00DA32D9">
        <w:rPr>
          <w:sz w:val="20"/>
          <w:szCs w:val="20"/>
        </w:rPr>
        <w:t xml:space="preserve">Lipofectamine 2000 </w:t>
      </w:r>
      <w:r w:rsidR="003778F1" w:rsidRPr="00DA32D9">
        <w:rPr>
          <w:sz w:val="20"/>
          <w:szCs w:val="20"/>
        </w:rPr>
        <w:t>T</w:t>
      </w:r>
      <w:r w:rsidRPr="00DA32D9">
        <w:rPr>
          <w:sz w:val="20"/>
          <w:szCs w:val="20"/>
        </w:rPr>
        <w:t xml:space="preserve">ransfection </w:t>
      </w:r>
      <w:r w:rsidR="003778F1" w:rsidRPr="00DA32D9">
        <w:rPr>
          <w:sz w:val="20"/>
          <w:szCs w:val="20"/>
        </w:rPr>
        <w:t>K</w:t>
      </w:r>
      <w:r w:rsidRPr="00DA32D9">
        <w:rPr>
          <w:sz w:val="20"/>
          <w:szCs w:val="20"/>
        </w:rPr>
        <w:t>it (</w:t>
      </w:r>
      <w:r w:rsidRPr="00DA32D9">
        <w:rPr>
          <w:caps/>
          <w:sz w:val="20"/>
          <w:szCs w:val="20"/>
        </w:rPr>
        <w:t>i</w:t>
      </w:r>
      <w:r w:rsidRPr="00DA32D9">
        <w:rPr>
          <w:sz w:val="20"/>
          <w:szCs w:val="20"/>
        </w:rPr>
        <w:t xml:space="preserve">nvitrogen, </w:t>
      </w:r>
      <w:r w:rsidR="003778F1" w:rsidRPr="00DA32D9">
        <w:rPr>
          <w:sz w:val="20"/>
          <w:szCs w:val="20"/>
        </w:rPr>
        <w:t xml:space="preserve">Carlsbad, CA, </w:t>
      </w:r>
      <w:r w:rsidRPr="00DA32D9">
        <w:rPr>
          <w:sz w:val="20"/>
          <w:szCs w:val="20"/>
        </w:rPr>
        <w:t>U</w:t>
      </w:r>
      <w:r w:rsidR="00637739" w:rsidRPr="00DA32D9">
        <w:rPr>
          <w:sz w:val="20"/>
          <w:szCs w:val="20"/>
        </w:rPr>
        <w:t>nited States</w:t>
      </w:r>
      <w:r w:rsidRPr="00DA32D9">
        <w:rPr>
          <w:sz w:val="20"/>
          <w:szCs w:val="20"/>
        </w:rPr>
        <w:t>) was employed to transfect the above</w:t>
      </w:r>
      <w:r w:rsidR="003778F1" w:rsidRPr="00DA32D9">
        <w:rPr>
          <w:sz w:val="20"/>
          <w:szCs w:val="20"/>
        </w:rPr>
        <w:t>mentioned</w:t>
      </w:r>
      <w:r w:rsidRPr="00DA32D9">
        <w:rPr>
          <w:sz w:val="20"/>
          <w:szCs w:val="20"/>
        </w:rPr>
        <w:t xml:space="preserve"> vectors into the cell lines </w:t>
      </w:r>
      <w:r w:rsidR="003778F1" w:rsidRPr="00DA32D9">
        <w:rPr>
          <w:sz w:val="20"/>
          <w:szCs w:val="20"/>
        </w:rPr>
        <w:t>according to the manufacturer’s</w:t>
      </w:r>
      <w:r w:rsidRPr="00DA32D9">
        <w:rPr>
          <w:sz w:val="20"/>
          <w:szCs w:val="20"/>
        </w:rPr>
        <w:t xml:space="preserve"> instructions. The culture medium was renewed at 37</w:t>
      </w:r>
      <w:r w:rsidR="00F55BE6" w:rsidRPr="00DA32D9">
        <w:rPr>
          <w:sz w:val="20"/>
          <w:szCs w:val="20"/>
        </w:rPr>
        <w:t xml:space="preserve"> </w:t>
      </w:r>
      <w:r w:rsidRPr="00DA32D9">
        <w:rPr>
          <w:sz w:val="20"/>
          <w:szCs w:val="20"/>
        </w:rPr>
        <w:t>°C and 5% CO</w:t>
      </w:r>
      <w:r w:rsidRPr="00DA32D9">
        <w:rPr>
          <w:sz w:val="20"/>
          <w:szCs w:val="20"/>
          <w:vertAlign w:val="subscript"/>
        </w:rPr>
        <w:t>2</w:t>
      </w:r>
      <w:r w:rsidRPr="00DA32D9">
        <w:rPr>
          <w:sz w:val="20"/>
          <w:szCs w:val="20"/>
        </w:rPr>
        <w:t xml:space="preserve"> 8</w:t>
      </w:r>
      <w:r w:rsidR="003778F1" w:rsidRPr="00DA32D9">
        <w:rPr>
          <w:sz w:val="20"/>
          <w:szCs w:val="20"/>
        </w:rPr>
        <w:t xml:space="preserve"> </w:t>
      </w:r>
      <w:r w:rsidRPr="00DA32D9">
        <w:rPr>
          <w:sz w:val="20"/>
          <w:szCs w:val="20"/>
        </w:rPr>
        <w:t>h after transfection.</w:t>
      </w:r>
    </w:p>
    <w:p w14:paraId="669C28EB" w14:textId="77777777" w:rsidR="00035E5B" w:rsidRPr="00DA32D9" w:rsidRDefault="00035E5B" w:rsidP="00DA32D9">
      <w:pPr>
        <w:snapToGrid w:val="0"/>
        <w:rPr>
          <w:rFonts w:cs="Times New Roman"/>
          <w:sz w:val="20"/>
          <w:szCs w:val="20"/>
        </w:rPr>
      </w:pPr>
    </w:p>
    <w:p w14:paraId="0FDAA919" w14:textId="77777777" w:rsidR="00035E5B" w:rsidRPr="00DA32D9" w:rsidRDefault="0019595D" w:rsidP="00DA32D9">
      <w:pPr>
        <w:pStyle w:val="2"/>
        <w:keepNext w:val="0"/>
        <w:keepLines w:val="0"/>
        <w:snapToGrid w:val="0"/>
        <w:spacing w:line="360" w:lineRule="auto"/>
        <w:rPr>
          <w:rFonts w:eastAsia="宋体"/>
          <w:sz w:val="20"/>
          <w:szCs w:val="20"/>
        </w:rPr>
      </w:pPr>
      <w:bookmarkStart w:id="30" w:name="_Hlk28959622"/>
      <w:r w:rsidRPr="00DA32D9">
        <w:rPr>
          <w:sz w:val="20"/>
          <w:szCs w:val="20"/>
        </w:rPr>
        <w:t>Separation and screening of exosomes</w:t>
      </w:r>
    </w:p>
    <w:bookmarkEnd w:id="30"/>
    <w:p w14:paraId="5295E2DF" w14:textId="4AD2BC27" w:rsidR="00035E5B" w:rsidRPr="00DA32D9" w:rsidRDefault="0019595D" w:rsidP="00DA32D9">
      <w:pPr>
        <w:snapToGrid w:val="0"/>
        <w:rPr>
          <w:sz w:val="20"/>
          <w:szCs w:val="20"/>
        </w:rPr>
      </w:pPr>
      <w:r w:rsidRPr="00DA32D9">
        <w:rPr>
          <w:sz w:val="20"/>
          <w:szCs w:val="20"/>
        </w:rPr>
        <w:t>Cell (NOZ cell) suspension was prepared by enzymatic hydrolysis before centrifuging at 1</w:t>
      </w:r>
      <w:r w:rsidR="00FD2E25" w:rsidRPr="00DA32D9">
        <w:rPr>
          <w:sz w:val="20"/>
          <w:szCs w:val="20"/>
        </w:rPr>
        <w:t xml:space="preserve"> × </w:t>
      </w:r>
      <w:r w:rsidRPr="00DA32D9">
        <w:rPr>
          <w:sz w:val="20"/>
          <w:szCs w:val="20"/>
        </w:rPr>
        <w:t>10</w:t>
      </w:r>
      <w:r w:rsidRPr="00DA32D9">
        <w:rPr>
          <w:sz w:val="20"/>
          <w:szCs w:val="20"/>
          <w:vertAlign w:val="superscript"/>
        </w:rPr>
        <w:t>5</w:t>
      </w:r>
      <w:r w:rsidRPr="00DA32D9">
        <w:rPr>
          <w:sz w:val="20"/>
          <w:szCs w:val="20"/>
        </w:rPr>
        <w:t xml:space="preserve"> </w:t>
      </w:r>
      <w:r w:rsidRPr="00DA32D9">
        <w:rPr>
          <w:i/>
          <w:iCs/>
          <w:sz w:val="20"/>
          <w:szCs w:val="20"/>
        </w:rPr>
        <w:t>g</w:t>
      </w:r>
      <w:r w:rsidRPr="00DA32D9">
        <w:rPr>
          <w:sz w:val="20"/>
          <w:szCs w:val="20"/>
        </w:rPr>
        <w:t xml:space="preserve"> for 8</w:t>
      </w:r>
      <w:r w:rsidR="005C3667" w:rsidRPr="00DA32D9">
        <w:rPr>
          <w:sz w:val="20"/>
          <w:szCs w:val="20"/>
        </w:rPr>
        <w:t xml:space="preserve"> </w:t>
      </w:r>
      <w:r w:rsidRPr="00DA32D9">
        <w:rPr>
          <w:sz w:val="20"/>
          <w:szCs w:val="20"/>
        </w:rPr>
        <w:t>h. The</w:t>
      </w:r>
      <w:r w:rsidR="003778F1" w:rsidRPr="00DA32D9">
        <w:rPr>
          <w:sz w:val="20"/>
          <w:szCs w:val="20"/>
        </w:rPr>
        <w:t>n the</w:t>
      </w:r>
      <w:r w:rsidRPr="00DA32D9">
        <w:rPr>
          <w:sz w:val="20"/>
          <w:szCs w:val="20"/>
        </w:rPr>
        <w:t xml:space="preserve"> cells were cultured in RPMI 1640 medium containing 10%</w:t>
      </w:r>
      <w:r w:rsidR="00042955" w:rsidRPr="00DA32D9">
        <w:rPr>
          <w:sz w:val="20"/>
          <w:szCs w:val="20"/>
        </w:rPr>
        <w:t xml:space="preserve"> </w:t>
      </w:r>
      <w:r w:rsidRPr="00DA32D9">
        <w:rPr>
          <w:sz w:val="20"/>
          <w:szCs w:val="20"/>
        </w:rPr>
        <w:t>FBS at 37 °C and 5% CO</w:t>
      </w:r>
      <w:r w:rsidRPr="00DA32D9">
        <w:rPr>
          <w:sz w:val="20"/>
          <w:szCs w:val="20"/>
          <w:vertAlign w:val="subscript"/>
        </w:rPr>
        <w:t>2</w:t>
      </w:r>
      <w:r w:rsidRPr="00DA32D9">
        <w:rPr>
          <w:sz w:val="20"/>
          <w:szCs w:val="20"/>
        </w:rPr>
        <w:t>. When the cells were cultured to 80</w:t>
      </w:r>
      <w:r w:rsidR="003778F1" w:rsidRPr="00DA32D9">
        <w:rPr>
          <w:sz w:val="20"/>
          <w:szCs w:val="20"/>
        </w:rPr>
        <w:t>%</w:t>
      </w:r>
      <w:r w:rsidRPr="00DA32D9">
        <w:rPr>
          <w:sz w:val="20"/>
          <w:szCs w:val="20"/>
        </w:rPr>
        <w:t xml:space="preserve">-90% </w:t>
      </w:r>
      <w:r w:rsidR="003778F1" w:rsidRPr="00DA32D9">
        <w:rPr>
          <w:sz w:val="20"/>
          <w:szCs w:val="20"/>
        </w:rPr>
        <w:t>confluency</w:t>
      </w:r>
      <w:r w:rsidRPr="00DA32D9">
        <w:rPr>
          <w:sz w:val="20"/>
          <w:szCs w:val="20"/>
        </w:rPr>
        <w:t>, the supernatant of the medium was collected</w:t>
      </w:r>
      <w:r w:rsidR="003778F1" w:rsidRPr="00DA32D9">
        <w:rPr>
          <w:sz w:val="20"/>
          <w:szCs w:val="20"/>
        </w:rPr>
        <w:t xml:space="preserve">, the </w:t>
      </w:r>
      <w:r w:rsidRPr="00DA32D9">
        <w:rPr>
          <w:sz w:val="20"/>
          <w:szCs w:val="20"/>
        </w:rPr>
        <w:t>exosomes were extracted, and the latter was centrifuged at 1</w:t>
      </w:r>
      <w:r w:rsidR="00E3034C" w:rsidRPr="00DA32D9">
        <w:rPr>
          <w:sz w:val="20"/>
          <w:szCs w:val="20"/>
        </w:rPr>
        <w:t xml:space="preserve"> × </w:t>
      </w:r>
      <w:r w:rsidRPr="00DA32D9">
        <w:rPr>
          <w:sz w:val="20"/>
          <w:szCs w:val="20"/>
        </w:rPr>
        <w:t>10</w:t>
      </w:r>
      <w:r w:rsidRPr="00DA32D9">
        <w:rPr>
          <w:sz w:val="20"/>
          <w:szCs w:val="20"/>
          <w:vertAlign w:val="superscript"/>
        </w:rPr>
        <w:t>5</w:t>
      </w:r>
      <w:r w:rsidR="00EE78B5" w:rsidRPr="00DA32D9">
        <w:rPr>
          <w:i/>
          <w:iCs/>
          <w:sz w:val="20"/>
          <w:szCs w:val="20"/>
          <w:vertAlign w:val="superscript"/>
        </w:rPr>
        <w:t xml:space="preserve"> </w:t>
      </w:r>
      <w:r w:rsidRPr="00DA32D9">
        <w:rPr>
          <w:i/>
          <w:iCs/>
          <w:sz w:val="20"/>
          <w:szCs w:val="20"/>
        </w:rPr>
        <w:t>g</w:t>
      </w:r>
      <w:r w:rsidRPr="00DA32D9">
        <w:rPr>
          <w:sz w:val="20"/>
          <w:szCs w:val="20"/>
        </w:rPr>
        <w:t xml:space="preserve"> for 1.5</w:t>
      </w:r>
      <w:r w:rsidR="00E3034C" w:rsidRPr="00DA32D9">
        <w:rPr>
          <w:sz w:val="20"/>
          <w:szCs w:val="20"/>
        </w:rPr>
        <w:t xml:space="preserve"> </w:t>
      </w:r>
      <w:r w:rsidRPr="00DA32D9">
        <w:rPr>
          <w:sz w:val="20"/>
          <w:szCs w:val="20"/>
        </w:rPr>
        <w:t xml:space="preserve">h to collect the lower exosome sediments. </w:t>
      </w:r>
      <w:r w:rsidR="003778F1" w:rsidRPr="00DA32D9">
        <w:rPr>
          <w:sz w:val="20"/>
          <w:szCs w:val="20"/>
        </w:rPr>
        <w:t>Next</w:t>
      </w:r>
      <w:r w:rsidRPr="00DA32D9">
        <w:rPr>
          <w:sz w:val="20"/>
          <w:szCs w:val="20"/>
        </w:rPr>
        <w:t xml:space="preserve">, </w:t>
      </w:r>
      <w:r w:rsidR="003778F1" w:rsidRPr="00DA32D9">
        <w:rPr>
          <w:sz w:val="20"/>
          <w:szCs w:val="20"/>
        </w:rPr>
        <w:t>phosphate-buffered saline (</w:t>
      </w:r>
      <w:r w:rsidRPr="00DA32D9">
        <w:rPr>
          <w:sz w:val="20"/>
          <w:szCs w:val="20"/>
        </w:rPr>
        <w:t>PBS</w:t>
      </w:r>
      <w:r w:rsidR="003778F1" w:rsidRPr="00DA32D9">
        <w:rPr>
          <w:sz w:val="20"/>
          <w:szCs w:val="20"/>
        </w:rPr>
        <w:t>)</w:t>
      </w:r>
      <w:r w:rsidRPr="00DA32D9">
        <w:rPr>
          <w:sz w:val="20"/>
          <w:szCs w:val="20"/>
        </w:rPr>
        <w:t xml:space="preserve"> was added to the exosome precipitate for repeated pipetting. Finally, the expression of </w:t>
      </w:r>
      <w:r w:rsidR="003778F1" w:rsidRPr="00DA32D9">
        <w:rPr>
          <w:sz w:val="20"/>
          <w:szCs w:val="20"/>
        </w:rPr>
        <w:t>cluster of differentiation 63 (</w:t>
      </w:r>
      <w:r w:rsidRPr="00DA32D9">
        <w:rPr>
          <w:sz w:val="20"/>
          <w:szCs w:val="20"/>
        </w:rPr>
        <w:t>CD63</w:t>
      </w:r>
      <w:r w:rsidR="003778F1" w:rsidRPr="00DA32D9">
        <w:rPr>
          <w:sz w:val="20"/>
          <w:szCs w:val="20"/>
        </w:rPr>
        <w:t>)</w:t>
      </w:r>
      <w:r w:rsidRPr="00DA32D9">
        <w:rPr>
          <w:sz w:val="20"/>
          <w:szCs w:val="20"/>
        </w:rPr>
        <w:t xml:space="preserve"> and CD81 was detected by Weste</w:t>
      </w:r>
      <w:r w:rsidR="003778F1" w:rsidRPr="00DA32D9">
        <w:rPr>
          <w:sz w:val="20"/>
          <w:szCs w:val="20"/>
        </w:rPr>
        <w:t>r</w:t>
      </w:r>
      <w:r w:rsidRPr="00DA32D9">
        <w:rPr>
          <w:sz w:val="20"/>
          <w:szCs w:val="20"/>
        </w:rPr>
        <w:t>n blot</w:t>
      </w:r>
      <w:r w:rsidR="003778F1" w:rsidRPr="00DA32D9">
        <w:rPr>
          <w:sz w:val="20"/>
          <w:szCs w:val="20"/>
        </w:rPr>
        <w:t xml:space="preserve"> analysis</w:t>
      </w:r>
      <w:r w:rsidRPr="00DA32D9">
        <w:rPr>
          <w:sz w:val="20"/>
          <w:szCs w:val="20"/>
        </w:rPr>
        <w:t>.</w:t>
      </w:r>
    </w:p>
    <w:p w14:paraId="5B2D6717" w14:textId="77777777" w:rsidR="00035E5B" w:rsidRPr="00DA32D9" w:rsidRDefault="00035E5B" w:rsidP="00DA32D9">
      <w:pPr>
        <w:snapToGrid w:val="0"/>
        <w:rPr>
          <w:rFonts w:cs="Times New Roman"/>
          <w:sz w:val="20"/>
          <w:szCs w:val="20"/>
        </w:rPr>
      </w:pPr>
    </w:p>
    <w:p w14:paraId="77D8D4A3" w14:textId="11890354" w:rsidR="00035E5B" w:rsidRPr="00DA32D9" w:rsidRDefault="003778F1" w:rsidP="00DA32D9">
      <w:pPr>
        <w:pStyle w:val="2"/>
        <w:keepNext w:val="0"/>
        <w:keepLines w:val="0"/>
        <w:snapToGrid w:val="0"/>
        <w:spacing w:line="360" w:lineRule="auto"/>
        <w:rPr>
          <w:rFonts w:eastAsia="宋体"/>
          <w:sz w:val="20"/>
          <w:szCs w:val="20"/>
        </w:rPr>
      </w:pPr>
      <w:r w:rsidRPr="00DA32D9">
        <w:rPr>
          <w:sz w:val="20"/>
          <w:szCs w:val="20"/>
        </w:rPr>
        <w:t xml:space="preserve">Quantitative </w:t>
      </w:r>
      <w:r w:rsidR="0019595D" w:rsidRPr="00DA32D9">
        <w:rPr>
          <w:sz w:val="20"/>
          <w:szCs w:val="20"/>
        </w:rPr>
        <w:t>PCR</w:t>
      </w:r>
    </w:p>
    <w:p w14:paraId="54627803" w14:textId="6F1EC895" w:rsidR="00035E5B" w:rsidRPr="00DA32D9" w:rsidRDefault="0019595D" w:rsidP="00DA32D9">
      <w:pPr>
        <w:snapToGrid w:val="0"/>
        <w:rPr>
          <w:sz w:val="20"/>
          <w:szCs w:val="20"/>
        </w:rPr>
      </w:pPr>
      <w:r w:rsidRPr="00DA32D9">
        <w:rPr>
          <w:sz w:val="20"/>
          <w:szCs w:val="20"/>
        </w:rPr>
        <w:t xml:space="preserve">The total RNA </w:t>
      </w:r>
      <w:r w:rsidR="003778F1" w:rsidRPr="00DA32D9">
        <w:rPr>
          <w:sz w:val="20"/>
          <w:szCs w:val="20"/>
        </w:rPr>
        <w:t>from the</w:t>
      </w:r>
      <w:r w:rsidRPr="00DA32D9">
        <w:rPr>
          <w:sz w:val="20"/>
          <w:szCs w:val="20"/>
        </w:rPr>
        <w:t xml:space="preserve"> tissue samples or cells was extracted by Trizol, while that of the exosomes was detected </w:t>
      </w:r>
      <w:r w:rsidR="003778F1" w:rsidRPr="00DA32D9">
        <w:rPr>
          <w:sz w:val="20"/>
          <w:szCs w:val="20"/>
        </w:rPr>
        <w:t>using the</w:t>
      </w:r>
      <w:r w:rsidRPr="00DA32D9">
        <w:rPr>
          <w:sz w:val="20"/>
          <w:szCs w:val="20"/>
        </w:rPr>
        <w:t xml:space="preserve"> Total Exosome RNA &amp; Protein Isolation Kit (No. 4475545</w:t>
      </w:r>
      <w:r w:rsidR="003778F1" w:rsidRPr="00DA32D9">
        <w:rPr>
          <w:sz w:val="20"/>
          <w:szCs w:val="20"/>
        </w:rPr>
        <w:t>;</w:t>
      </w:r>
      <w:r w:rsidRPr="00DA32D9">
        <w:rPr>
          <w:sz w:val="20"/>
          <w:szCs w:val="20"/>
        </w:rPr>
        <w:t xml:space="preserve"> Invitrogen). Then the concentration and purity of total RNA at 260-280</w:t>
      </w:r>
      <w:r w:rsidR="00FD0335" w:rsidRPr="00DA32D9">
        <w:rPr>
          <w:sz w:val="20"/>
          <w:szCs w:val="20"/>
        </w:rPr>
        <w:t xml:space="preserve"> </w:t>
      </w:r>
      <w:r w:rsidRPr="00DA32D9">
        <w:rPr>
          <w:sz w:val="20"/>
          <w:szCs w:val="20"/>
        </w:rPr>
        <w:t xml:space="preserve">nm was detected by </w:t>
      </w:r>
      <w:r w:rsidR="00720289" w:rsidRPr="00DA32D9">
        <w:rPr>
          <w:sz w:val="20"/>
          <w:szCs w:val="20"/>
        </w:rPr>
        <w:t xml:space="preserve">an </w:t>
      </w:r>
      <w:r w:rsidRPr="00DA32D9">
        <w:rPr>
          <w:sz w:val="20"/>
          <w:szCs w:val="20"/>
        </w:rPr>
        <w:t xml:space="preserve">ultraviolet spectrophotometer, and </w:t>
      </w:r>
      <w:r w:rsidR="00720289" w:rsidRPr="00DA32D9">
        <w:rPr>
          <w:sz w:val="20"/>
          <w:szCs w:val="20"/>
        </w:rPr>
        <w:t xml:space="preserve">RNA </w:t>
      </w:r>
      <w:r w:rsidRPr="00DA32D9">
        <w:rPr>
          <w:sz w:val="20"/>
          <w:szCs w:val="20"/>
        </w:rPr>
        <w:t>with OD260/OD280</w:t>
      </w:r>
      <w:r w:rsidR="00EF597E" w:rsidRPr="00DA32D9">
        <w:rPr>
          <w:sz w:val="20"/>
          <w:szCs w:val="20"/>
        </w:rPr>
        <w:t xml:space="preserve"> </w:t>
      </w:r>
      <w:r w:rsidRPr="00DA32D9">
        <w:rPr>
          <w:sz w:val="20"/>
          <w:szCs w:val="20"/>
        </w:rPr>
        <w:t>&gt;</w:t>
      </w:r>
      <w:r w:rsidR="00EF597E" w:rsidRPr="00DA32D9">
        <w:rPr>
          <w:sz w:val="20"/>
          <w:szCs w:val="20"/>
        </w:rPr>
        <w:t xml:space="preserve"> </w:t>
      </w:r>
      <w:r w:rsidRPr="00DA32D9">
        <w:rPr>
          <w:sz w:val="20"/>
          <w:szCs w:val="20"/>
        </w:rPr>
        <w:t>1.8 was selected for follow-up q</w:t>
      </w:r>
      <w:r w:rsidR="00720289" w:rsidRPr="00DA32D9">
        <w:rPr>
          <w:sz w:val="20"/>
          <w:szCs w:val="20"/>
        </w:rPr>
        <w:t xml:space="preserve">uantitative </w:t>
      </w:r>
      <w:r w:rsidRPr="00DA32D9">
        <w:rPr>
          <w:sz w:val="20"/>
          <w:szCs w:val="20"/>
        </w:rPr>
        <w:t>PCR</w:t>
      </w:r>
      <w:r w:rsidR="00720289" w:rsidRPr="00DA32D9">
        <w:rPr>
          <w:sz w:val="20"/>
          <w:szCs w:val="20"/>
        </w:rPr>
        <w:t xml:space="preserve"> (qPCR)</w:t>
      </w:r>
      <w:r w:rsidRPr="00DA32D9">
        <w:rPr>
          <w:sz w:val="20"/>
          <w:szCs w:val="20"/>
        </w:rPr>
        <w:t xml:space="preserve"> detection. </w:t>
      </w:r>
      <w:r w:rsidR="00720289" w:rsidRPr="00DA32D9">
        <w:rPr>
          <w:sz w:val="20"/>
          <w:szCs w:val="20"/>
        </w:rPr>
        <w:t xml:space="preserve">The </w:t>
      </w:r>
      <w:r w:rsidRPr="00DA32D9">
        <w:rPr>
          <w:sz w:val="20"/>
          <w:szCs w:val="20"/>
        </w:rPr>
        <w:t xml:space="preserve">FastKing </w:t>
      </w:r>
      <w:r w:rsidR="00720289" w:rsidRPr="00DA32D9">
        <w:rPr>
          <w:sz w:val="20"/>
          <w:szCs w:val="20"/>
        </w:rPr>
        <w:t>O</w:t>
      </w:r>
      <w:r w:rsidRPr="00DA32D9">
        <w:rPr>
          <w:sz w:val="20"/>
          <w:szCs w:val="20"/>
        </w:rPr>
        <w:t>ne-</w:t>
      </w:r>
      <w:r w:rsidR="00720289" w:rsidRPr="00DA32D9">
        <w:rPr>
          <w:sz w:val="20"/>
          <w:szCs w:val="20"/>
        </w:rPr>
        <w:t>S</w:t>
      </w:r>
      <w:r w:rsidRPr="00DA32D9">
        <w:rPr>
          <w:sz w:val="20"/>
          <w:szCs w:val="20"/>
        </w:rPr>
        <w:t xml:space="preserve">tep </w:t>
      </w:r>
      <w:r w:rsidR="00720289" w:rsidRPr="00DA32D9">
        <w:rPr>
          <w:sz w:val="20"/>
          <w:szCs w:val="20"/>
        </w:rPr>
        <w:t>R</w:t>
      </w:r>
      <w:r w:rsidRPr="00DA32D9">
        <w:rPr>
          <w:sz w:val="20"/>
          <w:szCs w:val="20"/>
        </w:rPr>
        <w:t xml:space="preserve">everse </w:t>
      </w:r>
      <w:r w:rsidR="00720289" w:rsidRPr="00DA32D9">
        <w:rPr>
          <w:sz w:val="20"/>
          <w:szCs w:val="20"/>
        </w:rPr>
        <w:t>T</w:t>
      </w:r>
      <w:r w:rsidRPr="00DA32D9">
        <w:rPr>
          <w:sz w:val="20"/>
          <w:szCs w:val="20"/>
        </w:rPr>
        <w:t>ranscription-</w:t>
      </w:r>
      <w:r w:rsidR="00720289" w:rsidRPr="00DA32D9">
        <w:rPr>
          <w:sz w:val="20"/>
          <w:szCs w:val="20"/>
        </w:rPr>
        <w:t>F</w:t>
      </w:r>
      <w:r w:rsidRPr="00DA32D9">
        <w:rPr>
          <w:sz w:val="20"/>
          <w:szCs w:val="20"/>
        </w:rPr>
        <w:t xml:space="preserve">luorescence </w:t>
      </w:r>
      <w:r w:rsidR="00720289" w:rsidRPr="00DA32D9">
        <w:rPr>
          <w:sz w:val="20"/>
          <w:szCs w:val="20"/>
        </w:rPr>
        <w:t>Q</w:t>
      </w:r>
      <w:r w:rsidRPr="00DA32D9">
        <w:rPr>
          <w:sz w:val="20"/>
          <w:szCs w:val="20"/>
        </w:rPr>
        <w:t xml:space="preserve">uantification </w:t>
      </w:r>
      <w:r w:rsidR="00720289" w:rsidRPr="00DA32D9">
        <w:rPr>
          <w:sz w:val="20"/>
          <w:szCs w:val="20"/>
        </w:rPr>
        <w:t>K</w:t>
      </w:r>
      <w:r w:rsidRPr="00DA32D9">
        <w:rPr>
          <w:sz w:val="20"/>
          <w:szCs w:val="20"/>
        </w:rPr>
        <w:t>it (Catalog No. FP314</w:t>
      </w:r>
      <w:r w:rsidR="00720289" w:rsidRPr="00DA32D9">
        <w:rPr>
          <w:sz w:val="20"/>
          <w:szCs w:val="20"/>
        </w:rPr>
        <w:t xml:space="preserve">; </w:t>
      </w:r>
      <w:r w:rsidR="00720289" w:rsidRPr="00DA32D9">
        <w:rPr>
          <w:sz w:val="20"/>
          <w:szCs w:val="20"/>
        </w:rPr>
        <w:t>Tiangen Biotech (Beijing) Co. Ltd.,</w:t>
      </w:r>
      <w:r w:rsidR="00720289" w:rsidRPr="00DA32D9">
        <w:rPr>
          <w:sz w:val="20"/>
          <w:szCs w:val="20"/>
        </w:rPr>
        <w:t xml:space="preserve"> Beijing, China</w:t>
      </w:r>
      <w:r w:rsidRPr="00DA32D9">
        <w:rPr>
          <w:sz w:val="20"/>
          <w:szCs w:val="20"/>
        </w:rPr>
        <w:t xml:space="preserve">) and ABI PRISM 7000 (Applied Biosystems, </w:t>
      </w:r>
      <w:r w:rsidR="00720289" w:rsidRPr="00DA32D9">
        <w:rPr>
          <w:sz w:val="20"/>
          <w:szCs w:val="20"/>
        </w:rPr>
        <w:t xml:space="preserve">Foster City, CA, </w:t>
      </w:r>
      <w:r w:rsidR="00B539C8" w:rsidRPr="00DA32D9">
        <w:rPr>
          <w:sz w:val="20"/>
          <w:szCs w:val="20"/>
        </w:rPr>
        <w:t>United States</w:t>
      </w:r>
      <w:r w:rsidRPr="00DA32D9">
        <w:rPr>
          <w:sz w:val="20"/>
          <w:szCs w:val="20"/>
        </w:rPr>
        <w:t xml:space="preserve">) were applied for qPCR quantification. MiR-182 primer was designed and synthesized by Sangon Biotech (Shanghai) Co., Ltd. The reaction system was </w:t>
      </w:r>
      <w:r w:rsidR="00AC400E" w:rsidRPr="00DA32D9">
        <w:rPr>
          <w:sz w:val="20"/>
          <w:szCs w:val="20"/>
        </w:rPr>
        <w:t>performed</w:t>
      </w:r>
      <w:r w:rsidRPr="00DA32D9">
        <w:rPr>
          <w:sz w:val="20"/>
          <w:szCs w:val="20"/>
        </w:rPr>
        <w:t xml:space="preserve"> in strict accordance with the kit instructions (50</w:t>
      </w:r>
      <w:r w:rsidR="00FD0335" w:rsidRPr="00DA32D9">
        <w:rPr>
          <w:sz w:val="20"/>
          <w:szCs w:val="20"/>
        </w:rPr>
        <w:t xml:space="preserve"> </w:t>
      </w:r>
      <w:r w:rsidRPr="008001B6">
        <w:rPr>
          <w:rFonts w:ascii="Times New Roman" w:hAnsi="Times New Roman" w:cs="Times New Roman"/>
          <w:sz w:val="20"/>
          <w:szCs w:val="20"/>
        </w:rPr>
        <w:t>μ</w:t>
      </w:r>
      <w:r w:rsidRPr="00DA32D9">
        <w:rPr>
          <w:sz w:val="20"/>
          <w:szCs w:val="20"/>
        </w:rPr>
        <w:t xml:space="preserve">L): </w:t>
      </w:r>
      <w:r w:rsidR="00AC400E" w:rsidRPr="00DA32D9">
        <w:rPr>
          <w:sz w:val="20"/>
          <w:szCs w:val="20"/>
        </w:rPr>
        <w:t>u</w:t>
      </w:r>
      <w:r w:rsidRPr="00DA32D9">
        <w:rPr>
          <w:sz w:val="20"/>
          <w:szCs w:val="20"/>
        </w:rPr>
        <w:t>pstream primer: 1.25</w:t>
      </w:r>
      <w:r w:rsidR="00FD0335" w:rsidRPr="00DA32D9">
        <w:rPr>
          <w:sz w:val="20"/>
          <w:szCs w:val="20"/>
        </w:rPr>
        <w:t xml:space="preserve"> </w:t>
      </w:r>
      <w:r w:rsidRPr="008001B6">
        <w:rPr>
          <w:rFonts w:ascii="Times New Roman" w:hAnsi="Times New Roman" w:cs="Times New Roman"/>
          <w:sz w:val="20"/>
          <w:szCs w:val="20"/>
        </w:rPr>
        <w:t>μ</w:t>
      </w:r>
      <w:r w:rsidRPr="00DA32D9">
        <w:rPr>
          <w:sz w:val="20"/>
          <w:szCs w:val="20"/>
        </w:rPr>
        <w:t>L, downstream primer: 1.25</w:t>
      </w:r>
      <w:r w:rsidR="00FD0335" w:rsidRPr="00DA32D9">
        <w:rPr>
          <w:sz w:val="20"/>
          <w:szCs w:val="20"/>
        </w:rPr>
        <w:t xml:space="preserve"> </w:t>
      </w:r>
      <w:r w:rsidRPr="008001B6">
        <w:rPr>
          <w:rFonts w:ascii="Times New Roman" w:hAnsi="Times New Roman" w:cs="Times New Roman"/>
          <w:sz w:val="20"/>
          <w:szCs w:val="20"/>
        </w:rPr>
        <w:t>μ</w:t>
      </w:r>
      <w:r w:rsidRPr="00DA32D9">
        <w:rPr>
          <w:sz w:val="20"/>
          <w:szCs w:val="20"/>
        </w:rPr>
        <w:t xml:space="preserve">L, </w:t>
      </w:r>
      <w:r w:rsidR="00AC400E" w:rsidRPr="00DA32D9">
        <w:rPr>
          <w:sz w:val="20"/>
          <w:szCs w:val="20"/>
        </w:rPr>
        <w:t>p</w:t>
      </w:r>
      <w:r w:rsidRPr="00DA32D9">
        <w:rPr>
          <w:sz w:val="20"/>
          <w:szCs w:val="20"/>
        </w:rPr>
        <w:t>robe: 1.0</w:t>
      </w:r>
      <w:r w:rsidR="00FD0335" w:rsidRPr="00DA32D9">
        <w:rPr>
          <w:sz w:val="20"/>
          <w:szCs w:val="20"/>
        </w:rPr>
        <w:t xml:space="preserve"> </w:t>
      </w:r>
      <w:r w:rsidRPr="008001B6">
        <w:rPr>
          <w:rFonts w:ascii="Times New Roman" w:hAnsi="Times New Roman" w:cs="Times New Roman"/>
          <w:sz w:val="20"/>
          <w:szCs w:val="20"/>
        </w:rPr>
        <w:t>μ</w:t>
      </w:r>
      <w:r w:rsidRPr="00DA32D9">
        <w:rPr>
          <w:sz w:val="20"/>
          <w:szCs w:val="20"/>
        </w:rPr>
        <w:t>L, RNA template: 10</w:t>
      </w:r>
      <w:r w:rsidR="00FD0335" w:rsidRPr="00DA32D9">
        <w:rPr>
          <w:sz w:val="20"/>
          <w:szCs w:val="20"/>
        </w:rPr>
        <w:t xml:space="preserve"> </w:t>
      </w:r>
      <w:r w:rsidRPr="00DA32D9">
        <w:rPr>
          <w:sz w:val="20"/>
          <w:szCs w:val="20"/>
        </w:rPr>
        <w:t>pg/</w:t>
      </w:r>
      <w:r w:rsidRPr="008001B6">
        <w:rPr>
          <w:rFonts w:ascii="Times New Roman" w:hAnsi="Times New Roman" w:cs="Times New Roman"/>
          <w:sz w:val="20"/>
          <w:szCs w:val="20"/>
        </w:rPr>
        <w:t>μ</w:t>
      </w:r>
      <w:r w:rsidRPr="00DA32D9">
        <w:rPr>
          <w:sz w:val="20"/>
          <w:szCs w:val="20"/>
        </w:rPr>
        <w:t>g, 50</w:t>
      </w:r>
      <w:r w:rsidR="00FD0335" w:rsidRPr="00DA32D9">
        <w:rPr>
          <w:sz w:val="20"/>
          <w:szCs w:val="20"/>
        </w:rPr>
        <w:t xml:space="preserve"> × </w:t>
      </w:r>
      <w:r w:rsidRPr="00DA32D9">
        <w:rPr>
          <w:sz w:val="20"/>
          <w:szCs w:val="20"/>
        </w:rPr>
        <w:t>ROX Reference Dye ROX: 5</w:t>
      </w:r>
      <w:r w:rsidR="00FD0335" w:rsidRPr="00DA32D9">
        <w:rPr>
          <w:sz w:val="20"/>
          <w:szCs w:val="20"/>
        </w:rPr>
        <w:t xml:space="preserve"> </w:t>
      </w:r>
      <w:r w:rsidRPr="008001B6">
        <w:rPr>
          <w:rFonts w:ascii="Times New Roman" w:hAnsi="Times New Roman" w:cs="Times New Roman"/>
          <w:sz w:val="20"/>
          <w:szCs w:val="20"/>
        </w:rPr>
        <w:t>μ</w:t>
      </w:r>
      <w:r w:rsidRPr="00DA32D9">
        <w:rPr>
          <w:sz w:val="20"/>
          <w:szCs w:val="20"/>
        </w:rPr>
        <w:t xml:space="preserve">L, and RNase-FreeddH_2 was added to reach </w:t>
      </w:r>
      <w:r w:rsidR="00AC400E" w:rsidRPr="00DA32D9">
        <w:rPr>
          <w:sz w:val="20"/>
          <w:szCs w:val="20"/>
        </w:rPr>
        <w:t>an</w:t>
      </w:r>
      <w:r w:rsidRPr="00DA32D9">
        <w:rPr>
          <w:sz w:val="20"/>
          <w:szCs w:val="20"/>
        </w:rPr>
        <w:t xml:space="preserve"> overall reaction volume of 50</w:t>
      </w:r>
      <w:r w:rsidR="00AC400E" w:rsidRPr="00DA32D9">
        <w:rPr>
          <w:sz w:val="20"/>
          <w:szCs w:val="20"/>
        </w:rPr>
        <w:t xml:space="preserve"> </w:t>
      </w:r>
      <w:r w:rsidRPr="008001B6">
        <w:rPr>
          <w:rFonts w:ascii="Times New Roman" w:hAnsi="Times New Roman" w:cs="Times New Roman"/>
          <w:sz w:val="20"/>
          <w:szCs w:val="20"/>
        </w:rPr>
        <w:t>μ</w:t>
      </w:r>
      <w:r w:rsidRPr="00DA32D9">
        <w:rPr>
          <w:sz w:val="20"/>
          <w:szCs w:val="20"/>
        </w:rPr>
        <w:t xml:space="preserve">L. Reaction process: </w:t>
      </w:r>
      <w:r w:rsidR="00AC400E" w:rsidRPr="00DA32D9">
        <w:rPr>
          <w:sz w:val="20"/>
          <w:szCs w:val="20"/>
        </w:rPr>
        <w:t>r</w:t>
      </w:r>
      <w:r w:rsidRPr="00DA32D9">
        <w:rPr>
          <w:sz w:val="20"/>
          <w:szCs w:val="20"/>
        </w:rPr>
        <w:t>everse transcription at 50</w:t>
      </w:r>
      <w:r w:rsidR="002E2916" w:rsidRPr="00DA32D9">
        <w:rPr>
          <w:sz w:val="20"/>
          <w:szCs w:val="20"/>
        </w:rPr>
        <w:t xml:space="preserve"> </w:t>
      </w:r>
      <w:r w:rsidR="00DE3D53" w:rsidRPr="00DA32D9">
        <w:rPr>
          <w:sz w:val="20"/>
          <w:szCs w:val="20"/>
        </w:rPr>
        <w:t>°C</w:t>
      </w:r>
      <w:r w:rsidRPr="00DA32D9">
        <w:rPr>
          <w:sz w:val="20"/>
          <w:szCs w:val="20"/>
        </w:rPr>
        <w:t xml:space="preserve"> for 30</w:t>
      </w:r>
      <w:r w:rsidR="0004394C" w:rsidRPr="00DA32D9">
        <w:rPr>
          <w:sz w:val="20"/>
          <w:szCs w:val="20"/>
        </w:rPr>
        <w:t xml:space="preserve"> </w:t>
      </w:r>
      <w:r w:rsidRPr="00DA32D9">
        <w:rPr>
          <w:sz w:val="20"/>
          <w:szCs w:val="20"/>
        </w:rPr>
        <w:t xml:space="preserve">min, cycled once; </w:t>
      </w:r>
      <w:r w:rsidR="00DE3D53" w:rsidRPr="00DA32D9">
        <w:rPr>
          <w:sz w:val="20"/>
          <w:szCs w:val="20"/>
        </w:rPr>
        <w:t>p</w:t>
      </w:r>
      <w:r w:rsidRPr="00DA32D9">
        <w:rPr>
          <w:sz w:val="20"/>
          <w:szCs w:val="20"/>
        </w:rPr>
        <w:t>re-denaturation at 95</w:t>
      </w:r>
      <w:r w:rsidR="002E2916" w:rsidRPr="00DA32D9">
        <w:rPr>
          <w:sz w:val="20"/>
          <w:szCs w:val="20"/>
        </w:rPr>
        <w:t xml:space="preserve"> </w:t>
      </w:r>
      <w:r w:rsidR="00DE3D53" w:rsidRPr="00DA32D9">
        <w:rPr>
          <w:sz w:val="20"/>
          <w:szCs w:val="20"/>
        </w:rPr>
        <w:t>°C</w:t>
      </w:r>
      <w:r w:rsidRPr="00DA32D9">
        <w:rPr>
          <w:sz w:val="20"/>
          <w:szCs w:val="20"/>
        </w:rPr>
        <w:t xml:space="preserve"> for 3</w:t>
      </w:r>
      <w:r w:rsidR="00260B97" w:rsidRPr="00DA32D9">
        <w:rPr>
          <w:sz w:val="20"/>
          <w:szCs w:val="20"/>
        </w:rPr>
        <w:t xml:space="preserve"> </w:t>
      </w:r>
      <w:r w:rsidRPr="00DA32D9">
        <w:rPr>
          <w:sz w:val="20"/>
          <w:szCs w:val="20"/>
        </w:rPr>
        <w:t xml:space="preserve">min, cycled once; </w:t>
      </w:r>
      <w:r w:rsidR="00DE3D53" w:rsidRPr="00DA32D9">
        <w:rPr>
          <w:sz w:val="20"/>
          <w:szCs w:val="20"/>
        </w:rPr>
        <w:t>d</w:t>
      </w:r>
      <w:r w:rsidRPr="00DA32D9">
        <w:rPr>
          <w:sz w:val="20"/>
          <w:szCs w:val="20"/>
        </w:rPr>
        <w:t>enaturation at 95</w:t>
      </w:r>
      <w:r w:rsidR="002E2916" w:rsidRPr="00DA32D9">
        <w:rPr>
          <w:sz w:val="20"/>
          <w:szCs w:val="20"/>
        </w:rPr>
        <w:t xml:space="preserve"> </w:t>
      </w:r>
      <w:r w:rsidR="00DE3D53" w:rsidRPr="00DA32D9">
        <w:rPr>
          <w:sz w:val="20"/>
          <w:szCs w:val="20"/>
        </w:rPr>
        <w:t>°C</w:t>
      </w:r>
      <w:r w:rsidRPr="00DA32D9">
        <w:rPr>
          <w:sz w:val="20"/>
          <w:szCs w:val="20"/>
        </w:rPr>
        <w:t xml:space="preserve"> for 15</w:t>
      </w:r>
      <w:r w:rsidR="002E2916" w:rsidRPr="00DA32D9">
        <w:rPr>
          <w:sz w:val="20"/>
          <w:szCs w:val="20"/>
        </w:rPr>
        <w:t xml:space="preserve"> </w:t>
      </w:r>
      <w:r w:rsidRPr="00DA32D9">
        <w:rPr>
          <w:sz w:val="20"/>
          <w:szCs w:val="20"/>
        </w:rPr>
        <w:t xml:space="preserve">s, and annealing at 60 </w:t>
      </w:r>
      <w:r w:rsidR="00DE3D53" w:rsidRPr="00DA32D9">
        <w:rPr>
          <w:sz w:val="20"/>
          <w:szCs w:val="20"/>
        </w:rPr>
        <w:t>°C</w:t>
      </w:r>
      <w:r w:rsidR="002E2916" w:rsidRPr="00DA32D9">
        <w:rPr>
          <w:rFonts w:ascii="宋体" w:eastAsia="宋体" w:hAnsi="宋体" w:cs="宋体"/>
          <w:sz w:val="20"/>
          <w:szCs w:val="20"/>
        </w:rPr>
        <w:t xml:space="preserve"> </w:t>
      </w:r>
      <w:r w:rsidRPr="00DA32D9">
        <w:rPr>
          <w:sz w:val="20"/>
          <w:szCs w:val="20"/>
        </w:rPr>
        <w:t>for 30</w:t>
      </w:r>
      <w:r w:rsidR="002E2916" w:rsidRPr="00DA32D9">
        <w:rPr>
          <w:sz w:val="20"/>
          <w:szCs w:val="20"/>
        </w:rPr>
        <w:t xml:space="preserve"> </w:t>
      </w:r>
      <w:r w:rsidRPr="00DA32D9">
        <w:rPr>
          <w:sz w:val="20"/>
          <w:szCs w:val="20"/>
        </w:rPr>
        <w:t xml:space="preserve">s, cycled 40 times. The results were analyzed by </w:t>
      </w:r>
      <w:r w:rsidR="00DE3D53" w:rsidRPr="00DA32D9">
        <w:rPr>
          <w:sz w:val="20"/>
          <w:szCs w:val="20"/>
        </w:rPr>
        <w:t xml:space="preserve">the </w:t>
      </w:r>
      <w:r w:rsidRPr="00DA32D9">
        <w:rPr>
          <w:sz w:val="20"/>
          <w:szCs w:val="20"/>
        </w:rPr>
        <w:t xml:space="preserve">ABI PRISM 7000 instrument </w:t>
      </w:r>
      <w:r w:rsidR="00DE3D53" w:rsidRPr="00DA32D9">
        <w:rPr>
          <w:sz w:val="20"/>
          <w:szCs w:val="20"/>
        </w:rPr>
        <w:t>w</w:t>
      </w:r>
      <w:r w:rsidRPr="00DA32D9">
        <w:rPr>
          <w:sz w:val="20"/>
          <w:szCs w:val="20"/>
        </w:rPr>
        <w:t>ith U6 and GAPDH as the internal reference genes</w:t>
      </w:r>
      <w:r w:rsidR="00DE3D53" w:rsidRPr="00DA32D9">
        <w:rPr>
          <w:sz w:val="20"/>
          <w:szCs w:val="20"/>
        </w:rPr>
        <w:t>;</w:t>
      </w:r>
      <w:r w:rsidRPr="00DA32D9">
        <w:rPr>
          <w:sz w:val="20"/>
          <w:szCs w:val="20"/>
        </w:rPr>
        <w:t xml:space="preserve"> the primer sequences are shown in Table 1.</w:t>
      </w:r>
    </w:p>
    <w:p w14:paraId="60A2DC3C" w14:textId="77777777" w:rsidR="00035E5B" w:rsidRPr="00DA32D9" w:rsidRDefault="00035E5B" w:rsidP="00DA32D9">
      <w:pPr>
        <w:snapToGrid w:val="0"/>
        <w:rPr>
          <w:rFonts w:cs="Times New Roman"/>
          <w:sz w:val="20"/>
          <w:szCs w:val="20"/>
        </w:rPr>
      </w:pPr>
    </w:p>
    <w:p w14:paraId="62E7DF22" w14:textId="77777777" w:rsidR="00035E5B" w:rsidRPr="00DA32D9" w:rsidRDefault="0019595D" w:rsidP="00DA32D9">
      <w:pPr>
        <w:pStyle w:val="2"/>
        <w:keepNext w:val="0"/>
        <w:keepLines w:val="0"/>
        <w:snapToGrid w:val="0"/>
        <w:spacing w:line="360" w:lineRule="auto"/>
        <w:rPr>
          <w:rFonts w:eastAsia="宋体"/>
          <w:sz w:val="20"/>
          <w:szCs w:val="20"/>
        </w:rPr>
      </w:pPr>
      <w:r w:rsidRPr="00DA32D9">
        <w:rPr>
          <w:sz w:val="20"/>
          <w:szCs w:val="20"/>
        </w:rPr>
        <w:t>Western blot</w:t>
      </w:r>
    </w:p>
    <w:p w14:paraId="7468066C" w14:textId="5DD57595" w:rsidR="00035E5B" w:rsidRPr="00DA32D9" w:rsidRDefault="0019595D" w:rsidP="00DA32D9">
      <w:pPr>
        <w:snapToGrid w:val="0"/>
        <w:rPr>
          <w:rFonts w:eastAsia="宋体"/>
          <w:kern w:val="0"/>
          <w:sz w:val="20"/>
          <w:szCs w:val="20"/>
        </w:rPr>
      </w:pPr>
      <w:r w:rsidRPr="00DA32D9">
        <w:rPr>
          <w:sz w:val="20"/>
          <w:szCs w:val="20"/>
        </w:rPr>
        <w:t xml:space="preserve">An </w:t>
      </w:r>
      <w:r w:rsidR="00DE3D53" w:rsidRPr="00DA32D9">
        <w:rPr>
          <w:sz w:val="20"/>
          <w:szCs w:val="20"/>
        </w:rPr>
        <w:t xml:space="preserve">volume </w:t>
      </w:r>
      <w:r w:rsidRPr="00DA32D9">
        <w:rPr>
          <w:sz w:val="20"/>
          <w:szCs w:val="20"/>
        </w:rPr>
        <w:t>of 1</w:t>
      </w:r>
      <w:r w:rsidR="00DE3D53" w:rsidRPr="00DA32D9">
        <w:rPr>
          <w:sz w:val="20"/>
          <w:szCs w:val="20"/>
        </w:rPr>
        <w:t xml:space="preserve"> </w:t>
      </w:r>
      <w:r w:rsidRPr="00DA32D9">
        <w:rPr>
          <w:sz w:val="20"/>
          <w:szCs w:val="20"/>
        </w:rPr>
        <w:t>m</w:t>
      </w:r>
      <w:r w:rsidR="00DE3D53" w:rsidRPr="00DA32D9">
        <w:rPr>
          <w:sz w:val="20"/>
          <w:szCs w:val="20"/>
        </w:rPr>
        <w:t>L</w:t>
      </w:r>
      <w:r w:rsidRPr="00DA32D9">
        <w:rPr>
          <w:sz w:val="20"/>
          <w:szCs w:val="20"/>
        </w:rPr>
        <w:t xml:space="preserve"> cell protein extract (cell lysate: protease inhibitor: phosphatase inhibitor = 98:1:1, v/v/v) was added to the cells. Then the solution was pipetted several times and centrifuged at 1.2</w:t>
      </w:r>
      <w:r w:rsidR="00A469D6" w:rsidRPr="00DA32D9">
        <w:rPr>
          <w:sz w:val="20"/>
          <w:szCs w:val="20"/>
        </w:rPr>
        <w:t xml:space="preserve"> × </w:t>
      </w:r>
      <w:r w:rsidRPr="00DA32D9">
        <w:rPr>
          <w:sz w:val="20"/>
          <w:szCs w:val="20"/>
        </w:rPr>
        <w:t>10</w:t>
      </w:r>
      <w:r w:rsidRPr="00DA32D9">
        <w:rPr>
          <w:sz w:val="20"/>
          <w:szCs w:val="20"/>
          <w:vertAlign w:val="superscript"/>
        </w:rPr>
        <w:t>4</w:t>
      </w:r>
      <w:r w:rsidR="00DE3D53" w:rsidRPr="00DA32D9">
        <w:rPr>
          <w:sz w:val="20"/>
          <w:szCs w:val="20"/>
          <w:vertAlign w:val="superscript"/>
        </w:rPr>
        <w:t xml:space="preserve"> </w:t>
      </w:r>
      <w:r w:rsidRPr="00DA32D9">
        <w:rPr>
          <w:sz w:val="20"/>
          <w:szCs w:val="20"/>
        </w:rPr>
        <w:t>r/min for 15</w:t>
      </w:r>
      <w:r w:rsidR="005F4E80" w:rsidRPr="00DA32D9">
        <w:rPr>
          <w:sz w:val="20"/>
          <w:szCs w:val="20"/>
        </w:rPr>
        <w:t xml:space="preserve"> </w:t>
      </w:r>
      <w:r w:rsidRPr="00DA32D9">
        <w:rPr>
          <w:sz w:val="20"/>
          <w:szCs w:val="20"/>
        </w:rPr>
        <w:t>min to collect the supernatant</w:t>
      </w:r>
      <w:r w:rsidR="00DE3D53" w:rsidRPr="00DA32D9">
        <w:rPr>
          <w:sz w:val="20"/>
          <w:szCs w:val="20"/>
        </w:rPr>
        <w:t xml:space="preserve">. The </w:t>
      </w:r>
      <w:r w:rsidRPr="00DA32D9">
        <w:rPr>
          <w:sz w:val="20"/>
          <w:szCs w:val="20"/>
        </w:rPr>
        <w:t>protein</w:t>
      </w:r>
      <w:r w:rsidR="00DE3D53" w:rsidRPr="00DA32D9">
        <w:rPr>
          <w:sz w:val="20"/>
          <w:szCs w:val="20"/>
        </w:rPr>
        <w:t>s</w:t>
      </w:r>
      <w:r w:rsidRPr="00DA32D9">
        <w:rPr>
          <w:sz w:val="20"/>
          <w:szCs w:val="20"/>
        </w:rPr>
        <w:t xml:space="preserve"> </w:t>
      </w:r>
      <w:r w:rsidR="00DE3D53" w:rsidRPr="00DA32D9">
        <w:rPr>
          <w:sz w:val="20"/>
          <w:szCs w:val="20"/>
        </w:rPr>
        <w:t>were resolved</w:t>
      </w:r>
      <w:r w:rsidRPr="00DA32D9">
        <w:rPr>
          <w:sz w:val="20"/>
          <w:szCs w:val="20"/>
        </w:rPr>
        <w:t xml:space="preserve"> by </w:t>
      </w:r>
      <w:r w:rsidR="00DE3D53" w:rsidRPr="00DA32D9">
        <w:rPr>
          <w:sz w:val="20"/>
          <w:szCs w:val="20"/>
        </w:rPr>
        <w:t xml:space="preserve">sodium dodecyl sulfate polyacrylamide gel </w:t>
      </w:r>
      <w:r w:rsidRPr="00DA32D9">
        <w:rPr>
          <w:sz w:val="20"/>
          <w:szCs w:val="20"/>
        </w:rPr>
        <w:t xml:space="preserve">electrophoresis before transfer to the </w:t>
      </w:r>
      <w:r w:rsidR="00DE3D53" w:rsidRPr="00DA32D9">
        <w:rPr>
          <w:sz w:val="20"/>
          <w:szCs w:val="20"/>
        </w:rPr>
        <w:t>nitrocellulose</w:t>
      </w:r>
      <w:r w:rsidR="004905EB" w:rsidRPr="00DA32D9">
        <w:rPr>
          <w:sz w:val="20"/>
          <w:szCs w:val="20"/>
        </w:rPr>
        <w:t xml:space="preserve"> </w:t>
      </w:r>
      <w:r w:rsidRPr="00DA32D9">
        <w:rPr>
          <w:sz w:val="20"/>
          <w:szCs w:val="20"/>
        </w:rPr>
        <w:t xml:space="preserve">membrane, </w:t>
      </w:r>
      <w:r w:rsidR="00DE3D53" w:rsidRPr="00DA32D9">
        <w:rPr>
          <w:sz w:val="20"/>
          <w:szCs w:val="20"/>
        </w:rPr>
        <w:t xml:space="preserve">followed by blocking </w:t>
      </w:r>
      <w:r w:rsidRPr="00DA32D9">
        <w:rPr>
          <w:sz w:val="20"/>
          <w:szCs w:val="20"/>
        </w:rPr>
        <w:t>at room temperature for 1</w:t>
      </w:r>
      <w:r w:rsidR="007D61F7" w:rsidRPr="00DA32D9">
        <w:rPr>
          <w:sz w:val="20"/>
          <w:szCs w:val="20"/>
        </w:rPr>
        <w:t xml:space="preserve"> </w:t>
      </w:r>
      <w:r w:rsidRPr="00DA32D9">
        <w:rPr>
          <w:sz w:val="20"/>
          <w:szCs w:val="20"/>
        </w:rPr>
        <w:t xml:space="preserve">h </w:t>
      </w:r>
      <w:r w:rsidR="00DE3D53" w:rsidRPr="00DA32D9">
        <w:rPr>
          <w:sz w:val="20"/>
          <w:szCs w:val="20"/>
        </w:rPr>
        <w:t>in</w:t>
      </w:r>
      <w:r w:rsidRPr="00DA32D9">
        <w:rPr>
          <w:sz w:val="20"/>
          <w:szCs w:val="20"/>
        </w:rPr>
        <w:t xml:space="preserve"> 5% skim milk</w:t>
      </w:r>
      <w:r w:rsidR="00DE3D53" w:rsidRPr="00DA32D9">
        <w:rPr>
          <w:sz w:val="20"/>
          <w:szCs w:val="20"/>
        </w:rPr>
        <w:t>/</w:t>
      </w:r>
      <w:r w:rsidRPr="00DA32D9">
        <w:rPr>
          <w:sz w:val="20"/>
          <w:szCs w:val="20"/>
        </w:rPr>
        <w:t xml:space="preserve">PBS solution. Next, </w:t>
      </w:r>
      <w:r w:rsidR="004905EB" w:rsidRPr="00DA32D9">
        <w:rPr>
          <w:sz w:val="20"/>
          <w:szCs w:val="20"/>
        </w:rPr>
        <w:t xml:space="preserve">the membrane was incubated overnight at 4 °C with primary antibodies against </w:t>
      </w:r>
      <w:r w:rsidRPr="00DA32D9">
        <w:rPr>
          <w:sz w:val="20"/>
          <w:szCs w:val="20"/>
        </w:rPr>
        <w:t xml:space="preserve">RECK, </w:t>
      </w:r>
      <w:r w:rsidR="00DE3D53" w:rsidRPr="00DA32D9">
        <w:rPr>
          <w:sz w:val="20"/>
          <w:szCs w:val="20"/>
        </w:rPr>
        <w:t>c</w:t>
      </w:r>
      <w:r w:rsidRPr="00DA32D9">
        <w:rPr>
          <w:sz w:val="20"/>
          <w:szCs w:val="20"/>
        </w:rPr>
        <w:t>aspase</w:t>
      </w:r>
      <w:r w:rsidR="006D6BEA" w:rsidRPr="00DA32D9">
        <w:rPr>
          <w:sz w:val="20"/>
          <w:szCs w:val="20"/>
        </w:rPr>
        <w:t>-</w:t>
      </w:r>
      <w:r w:rsidRPr="00DA32D9">
        <w:rPr>
          <w:sz w:val="20"/>
          <w:szCs w:val="20"/>
        </w:rPr>
        <w:t xml:space="preserve">3, </w:t>
      </w:r>
      <w:r w:rsidR="00DE3D53" w:rsidRPr="00DA32D9">
        <w:rPr>
          <w:sz w:val="20"/>
          <w:szCs w:val="20"/>
        </w:rPr>
        <w:t>c</w:t>
      </w:r>
      <w:r w:rsidRPr="00DA32D9">
        <w:rPr>
          <w:sz w:val="20"/>
          <w:szCs w:val="20"/>
        </w:rPr>
        <w:t xml:space="preserve">aspase-9, E-cadherin, Bax, Bcl-2, N-cadherin, </w:t>
      </w:r>
      <w:r w:rsidRPr="008001B6">
        <w:rPr>
          <w:rFonts w:ascii="Times New Roman" w:hAnsi="Times New Roman" w:cs="Times New Roman"/>
          <w:sz w:val="20"/>
          <w:szCs w:val="20"/>
        </w:rPr>
        <w:t>β</w:t>
      </w:r>
      <w:r w:rsidRPr="00DA32D9">
        <w:rPr>
          <w:sz w:val="20"/>
          <w:szCs w:val="20"/>
        </w:rPr>
        <w:t xml:space="preserve">-catenin and </w:t>
      </w:r>
      <w:r w:rsidRPr="008001B6">
        <w:rPr>
          <w:rFonts w:ascii="Times New Roman" w:hAnsi="Times New Roman" w:cs="Times New Roman"/>
          <w:sz w:val="20"/>
          <w:szCs w:val="20"/>
        </w:rPr>
        <w:t>β</w:t>
      </w:r>
      <w:r w:rsidRPr="00DA32D9">
        <w:rPr>
          <w:sz w:val="20"/>
          <w:szCs w:val="20"/>
        </w:rPr>
        <w:t>-actin</w:t>
      </w:r>
      <w:r w:rsidR="004905EB" w:rsidRPr="00DA32D9">
        <w:rPr>
          <w:sz w:val="20"/>
          <w:szCs w:val="20"/>
        </w:rPr>
        <w:t xml:space="preserve"> (all from Shanghai Abcam Co., Shanghai, China)</w:t>
      </w:r>
      <w:r w:rsidRPr="00DA32D9">
        <w:rPr>
          <w:sz w:val="20"/>
          <w:szCs w:val="20"/>
        </w:rPr>
        <w:t xml:space="preserve">. </w:t>
      </w:r>
      <w:r w:rsidR="004905EB" w:rsidRPr="00DA32D9">
        <w:rPr>
          <w:sz w:val="20"/>
          <w:szCs w:val="20"/>
        </w:rPr>
        <w:t>Then</w:t>
      </w:r>
      <w:r w:rsidRPr="00DA32D9">
        <w:rPr>
          <w:sz w:val="20"/>
          <w:szCs w:val="20"/>
        </w:rPr>
        <w:t xml:space="preserve"> the </w:t>
      </w:r>
      <w:r w:rsidR="00AF42B4" w:rsidRPr="00DA32D9">
        <w:rPr>
          <w:sz w:val="20"/>
          <w:szCs w:val="20"/>
        </w:rPr>
        <w:t xml:space="preserve">nitrocellulose </w:t>
      </w:r>
      <w:r w:rsidRPr="00DA32D9">
        <w:rPr>
          <w:sz w:val="20"/>
          <w:szCs w:val="20"/>
        </w:rPr>
        <w:t xml:space="preserve">membrane was washed </w:t>
      </w:r>
      <w:r w:rsidR="004905EB" w:rsidRPr="00DA32D9">
        <w:rPr>
          <w:sz w:val="20"/>
          <w:szCs w:val="20"/>
        </w:rPr>
        <w:t xml:space="preserve">three times </w:t>
      </w:r>
      <w:r w:rsidRPr="00DA32D9">
        <w:rPr>
          <w:sz w:val="20"/>
          <w:szCs w:val="20"/>
        </w:rPr>
        <w:t xml:space="preserve">with PBS, followed by </w:t>
      </w:r>
      <w:r w:rsidR="004905EB" w:rsidRPr="00DA32D9">
        <w:rPr>
          <w:sz w:val="20"/>
          <w:szCs w:val="20"/>
        </w:rPr>
        <w:t>a 1 h incubation at room temperature with</w:t>
      </w:r>
      <w:r w:rsidRPr="00DA32D9">
        <w:rPr>
          <w:sz w:val="20"/>
          <w:szCs w:val="20"/>
        </w:rPr>
        <w:t xml:space="preserve"> goat anti-rabbit secondary antibody (</w:t>
      </w:r>
      <w:r w:rsidR="004905EB" w:rsidRPr="00DA32D9">
        <w:rPr>
          <w:sz w:val="20"/>
          <w:szCs w:val="20"/>
        </w:rPr>
        <w:t>horseradish peroxidase</w:t>
      </w:r>
      <w:r w:rsidRPr="00DA32D9">
        <w:rPr>
          <w:sz w:val="20"/>
          <w:szCs w:val="20"/>
        </w:rPr>
        <w:t xml:space="preserve"> cross-linked</w:t>
      </w:r>
      <w:r w:rsidR="004905EB" w:rsidRPr="00DA32D9">
        <w:rPr>
          <w:sz w:val="20"/>
          <w:szCs w:val="20"/>
        </w:rPr>
        <w:t>; Shanghai Abcam Co.</w:t>
      </w:r>
      <w:r w:rsidRPr="00DA32D9">
        <w:rPr>
          <w:sz w:val="20"/>
          <w:szCs w:val="20"/>
        </w:rPr>
        <w:t xml:space="preserve">). Finally, the NC membrane was rinsed with PBS and </w:t>
      </w:r>
      <w:r w:rsidR="004905EB" w:rsidRPr="00DA32D9">
        <w:rPr>
          <w:sz w:val="20"/>
          <w:szCs w:val="20"/>
        </w:rPr>
        <w:t xml:space="preserve">proteins were </w:t>
      </w:r>
      <w:r w:rsidRPr="00DA32D9">
        <w:rPr>
          <w:sz w:val="20"/>
          <w:szCs w:val="20"/>
        </w:rPr>
        <w:t xml:space="preserve">visualized by enhanced chemiluminescence. With </w:t>
      </w:r>
      <w:r w:rsidRPr="008001B6">
        <w:rPr>
          <w:rFonts w:ascii="Times New Roman" w:hAnsi="Times New Roman" w:cs="Times New Roman"/>
          <w:sz w:val="20"/>
          <w:szCs w:val="20"/>
        </w:rPr>
        <w:t>β</w:t>
      </w:r>
      <w:r w:rsidRPr="00DA32D9">
        <w:rPr>
          <w:sz w:val="20"/>
          <w:szCs w:val="20"/>
        </w:rPr>
        <w:t xml:space="preserve">-actin as the internal reference protein, the relative expression level of the protein to be measured was equal to the gray value of the band to be measured/the gray value of the </w:t>
      </w:r>
      <w:r w:rsidRPr="008001B6">
        <w:rPr>
          <w:rFonts w:ascii="Times New Roman" w:hAnsi="Times New Roman" w:cs="Times New Roman"/>
          <w:sz w:val="20"/>
          <w:szCs w:val="20"/>
        </w:rPr>
        <w:t>β</w:t>
      </w:r>
      <w:r w:rsidRPr="00DA32D9">
        <w:rPr>
          <w:sz w:val="20"/>
          <w:szCs w:val="20"/>
        </w:rPr>
        <w:t>-actin band.</w:t>
      </w:r>
    </w:p>
    <w:p w14:paraId="734B6032" w14:textId="77777777" w:rsidR="00035E5B" w:rsidRPr="00DA32D9" w:rsidRDefault="00035E5B" w:rsidP="00DA32D9">
      <w:pPr>
        <w:snapToGrid w:val="0"/>
        <w:rPr>
          <w:rFonts w:cs="Times New Roman"/>
          <w:sz w:val="20"/>
          <w:szCs w:val="20"/>
        </w:rPr>
      </w:pPr>
    </w:p>
    <w:p w14:paraId="2DB65C32" w14:textId="77777777" w:rsidR="00035E5B" w:rsidRPr="00DA32D9" w:rsidRDefault="0019595D" w:rsidP="00DA32D9">
      <w:pPr>
        <w:pStyle w:val="2"/>
        <w:keepNext w:val="0"/>
        <w:keepLines w:val="0"/>
        <w:snapToGrid w:val="0"/>
        <w:spacing w:line="360" w:lineRule="auto"/>
        <w:rPr>
          <w:sz w:val="20"/>
          <w:szCs w:val="20"/>
        </w:rPr>
      </w:pPr>
      <w:r w:rsidRPr="00DA32D9">
        <w:rPr>
          <w:sz w:val="20"/>
          <w:szCs w:val="20"/>
        </w:rPr>
        <w:t>Transwell chamber detection for cell migration and invasion</w:t>
      </w:r>
    </w:p>
    <w:p w14:paraId="47FBB1B8" w14:textId="2FC69569" w:rsidR="00035E5B" w:rsidRPr="00DA32D9" w:rsidRDefault="0019595D" w:rsidP="00DA32D9">
      <w:pPr>
        <w:snapToGrid w:val="0"/>
        <w:rPr>
          <w:sz w:val="20"/>
          <w:szCs w:val="20"/>
        </w:rPr>
      </w:pPr>
      <w:r w:rsidRPr="00DA32D9">
        <w:rPr>
          <w:sz w:val="20"/>
          <w:szCs w:val="20"/>
        </w:rPr>
        <w:t>The adherent cells were digested with trypsin and the supernatant was obtained by 1103 x</w:t>
      </w:r>
      <w:r w:rsidR="004905EB" w:rsidRPr="00DA32D9">
        <w:rPr>
          <w:sz w:val="20"/>
          <w:szCs w:val="20"/>
        </w:rPr>
        <w:t xml:space="preserve"> </w:t>
      </w:r>
      <w:r w:rsidRPr="008001B6">
        <w:rPr>
          <w:i/>
          <w:sz w:val="20"/>
          <w:szCs w:val="20"/>
        </w:rPr>
        <w:t>g</w:t>
      </w:r>
      <w:r w:rsidRPr="00DA32D9">
        <w:rPr>
          <w:sz w:val="20"/>
          <w:szCs w:val="20"/>
        </w:rPr>
        <w:t xml:space="preserve"> centrifugation for 1 min, and then added to the cell medium to re</w:t>
      </w:r>
      <w:r w:rsidR="007215C1" w:rsidRPr="00DA32D9">
        <w:rPr>
          <w:sz w:val="20"/>
          <w:szCs w:val="20"/>
        </w:rPr>
        <w:t>-</w:t>
      </w:r>
      <w:r w:rsidRPr="00DA32D9">
        <w:rPr>
          <w:sz w:val="20"/>
          <w:szCs w:val="20"/>
        </w:rPr>
        <w:t>suspend the cells. Then the cells were seeded in the upper migration chamber (containing 200</w:t>
      </w:r>
      <w:r w:rsidR="00816EA1" w:rsidRPr="00DA32D9">
        <w:rPr>
          <w:sz w:val="20"/>
          <w:szCs w:val="20"/>
        </w:rPr>
        <w:t xml:space="preserve"> </w:t>
      </w:r>
      <w:r w:rsidRPr="008001B6">
        <w:rPr>
          <w:rFonts w:ascii="Times New Roman" w:hAnsi="Times New Roman" w:cs="Times New Roman"/>
          <w:sz w:val="20"/>
          <w:szCs w:val="20"/>
        </w:rPr>
        <w:t>μ</w:t>
      </w:r>
      <w:r w:rsidRPr="00DA32D9">
        <w:rPr>
          <w:sz w:val="20"/>
          <w:szCs w:val="20"/>
        </w:rPr>
        <w:t>L 10% FBS</w:t>
      </w:r>
      <w:r w:rsidR="00816EA1" w:rsidRPr="00DA32D9">
        <w:rPr>
          <w:sz w:val="20"/>
          <w:szCs w:val="20"/>
        </w:rPr>
        <w:t xml:space="preserve"> </w:t>
      </w:r>
      <w:r w:rsidRPr="00DA32D9">
        <w:rPr>
          <w:sz w:val="20"/>
          <w:szCs w:val="20"/>
        </w:rPr>
        <w:t>+</w:t>
      </w:r>
      <w:r w:rsidR="00816EA1" w:rsidRPr="00DA32D9">
        <w:rPr>
          <w:sz w:val="20"/>
          <w:szCs w:val="20"/>
        </w:rPr>
        <w:t xml:space="preserve"> </w:t>
      </w:r>
      <w:r w:rsidRPr="00DA32D9">
        <w:rPr>
          <w:sz w:val="20"/>
          <w:szCs w:val="20"/>
        </w:rPr>
        <w:t>1% DMEM) at 2</w:t>
      </w:r>
      <w:r w:rsidR="00816EA1" w:rsidRPr="00DA32D9">
        <w:rPr>
          <w:sz w:val="20"/>
          <w:szCs w:val="20"/>
        </w:rPr>
        <w:t xml:space="preserve"> × </w:t>
      </w:r>
      <w:r w:rsidRPr="00DA32D9">
        <w:rPr>
          <w:sz w:val="20"/>
          <w:szCs w:val="20"/>
        </w:rPr>
        <w:t>10</w:t>
      </w:r>
      <w:r w:rsidRPr="00DA32D9">
        <w:rPr>
          <w:sz w:val="20"/>
          <w:szCs w:val="20"/>
          <w:vertAlign w:val="superscript"/>
        </w:rPr>
        <w:t xml:space="preserve">4 </w:t>
      </w:r>
      <w:r w:rsidRPr="00DA32D9">
        <w:rPr>
          <w:sz w:val="20"/>
          <w:szCs w:val="20"/>
        </w:rPr>
        <w:t xml:space="preserve">cells/well, and the DMEM containing 10% FBS </w:t>
      </w:r>
      <w:r w:rsidR="007215C1" w:rsidRPr="00DA32D9">
        <w:rPr>
          <w:sz w:val="20"/>
          <w:szCs w:val="20"/>
        </w:rPr>
        <w:t>(</w:t>
      </w:r>
      <w:r w:rsidRPr="00DA32D9">
        <w:rPr>
          <w:sz w:val="20"/>
          <w:szCs w:val="20"/>
        </w:rPr>
        <w:t>total volume of 500</w:t>
      </w:r>
      <w:r w:rsidR="00816EA1" w:rsidRPr="00DA32D9">
        <w:rPr>
          <w:sz w:val="20"/>
          <w:szCs w:val="20"/>
        </w:rPr>
        <w:t xml:space="preserve"> </w:t>
      </w:r>
      <w:r w:rsidRPr="008001B6">
        <w:rPr>
          <w:rFonts w:ascii="Times New Roman" w:hAnsi="Times New Roman" w:cs="Times New Roman"/>
          <w:sz w:val="20"/>
          <w:szCs w:val="20"/>
        </w:rPr>
        <w:t>μ</w:t>
      </w:r>
      <w:r w:rsidRPr="00DA32D9">
        <w:rPr>
          <w:sz w:val="20"/>
          <w:szCs w:val="20"/>
        </w:rPr>
        <w:t xml:space="preserve">L) was added to the lower </w:t>
      </w:r>
      <w:r w:rsidRPr="00DA32D9">
        <w:rPr>
          <w:sz w:val="20"/>
          <w:szCs w:val="20"/>
        </w:rPr>
        <w:lastRenderedPageBreak/>
        <w:t>chamber. After 24</w:t>
      </w:r>
      <w:r w:rsidR="007215C1" w:rsidRPr="00DA32D9">
        <w:rPr>
          <w:sz w:val="20"/>
          <w:szCs w:val="20"/>
        </w:rPr>
        <w:t xml:space="preserve"> </w:t>
      </w:r>
      <w:r w:rsidRPr="00DA32D9">
        <w:rPr>
          <w:sz w:val="20"/>
          <w:szCs w:val="20"/>
        </w:rPr>
        <w:t xml:space="preserve">h of cell culture, the upper chamber fluid was removed and the parenchyma cells were wiped off. Then the Transwell cells were fixed </w:t>
      </w:r>
      <w:r w:rsidR="007215C1" w:rsidRPr="00DA32D9">
        <w:rPr>
          <w:sz w:val="20"/>
          <w:szCs w:val="20"/>
        </w:rPr>
        <w:t xml:space="preserve">in </w:t>
      </w:r>
      <w:r w:rsidRPr="00DA32D9">
        <w:rPr>
          <w:sz w:val="20"/>
          <w:szCs w:val="20"/>
        </w:rPr>
        <w:t>4% methanol for 20</w:t>
      </w:r>
      <w:r w:rsidR="007215C1" w:rsidRPr="00DA32D9">
        <w:rPr>
          <w:sz w:val="20"/>
          <w:szCs w:val="20"/>
        </w:rPr>
        <w:t xml:space="preserve"> </w:t>
      </w:r>
      <w:r w:rsidRPr="00DA32D9">
        <w:rPr>
          <w:sz w:val="20"/>
          <w:szCs w:val="20"/>
        </w:rPr>
        <w:t>min, and the Transwell chamber was washed with PBS after crystal violet staining for 15</w:t>
      </w:r>
      <w:r w:rsidR="00143603" w:rsidRPr="00DA32D9">
        <w:rPr>
          <w:sz w:val="20"/>
          <w:szCs w:val="20"/>
        </w:rPr>
        <w:t xml:space="preserve"> </w:t>
      </w:r>
      <w:r w:rsidRPr="00DA32D9">
        <w:rPr>
          <w:sz w:val="20"/>
          <w:szCs w:val="20"/>
        </w:rPr>
        <w:t xml:space="preserve">min. Photographs of cell migration were taken under a 200-fold microscope, and three fields of view were randomly selected to calculate the number of cells, with the average value as the number of permeabilized cells. The experiment was repeated three times. The invasion experiment shared the same steps with those of migration experiment, </w:t>
      </w:r>
      <w:r w:rsidR="007215C1" w:rsidRPr="00DA32D9">
        <w:rPr>
          <w:sz w:val="20"/>
          <w:szCs w:val="20"/>
        </w:rPr>
        <w:t xml:space="preserve">except </w:t>
      </w:r>
      <w:r w:rsidRPr="00DA32D9">
        <w:rPr>
          <w:sz w:val="20"/>
          <w:szCs w:val="20"/>
        </w:rPr>
        <w:t>that the former was treated with 8% matrix glue and the number of cells per well was increased to 5</w:t>
      </w:r>
      <w:r w:rsidR="00143603" w:rsidRPr="00DA32D9">
        <w:rPr>
          <w:sz w:val="20"/>
          <w:szCs w:val="20"/>
        </w:rPr>
        <w:t xml:space="preserve"> × </w:t>
      </w:r>
      <w:r w:rsidRPr="00DA32D9">
        <w:rPr>
          <w:sz w:val="20"/>
          <w:szCs w:val="20"/>
        </w:rPr>
        <w:t>10</w:t>
      </w:r>
      <w:r w:rsidRPr="00DA32D9">
        <w:rPr>
          <w:sz w:val="20"/>
          <w:szCs w:val="20"/>
          <w:vertAlign w:val="superscript"/>
        </w:rPr>
        <w:t>4</w:t>
      </w:r>
      <w:r w:rsidRPr="00DA32D9">
        <w:rPr>
          <w:sz w:val="20"/>
          <w:szCs w:val="20"/>
        </w:rPr>
        <w:t>.</w:t>
      </w:r>
    </w:p>
    <w:p w14:paraId="1DDDCB98" w14:textId="77777777" w:rsidR="00035E5B" w:rsidRPr="00DA32D9" w:rsidRDefault="00035E5B" w:rsidP="00DA32D9">
      <w:pPr>
        <w:snapToGrid w:val="0"/>
        <w:rPr>
          <w:rFonts w:cs="Times New Roman"/>
          <w:b/>
          <w:bCs/>
          <w:sz w:val="20"/>
          <w:szCs w:val="20"/>
        </w:rPr>
      </w:pPr>
    </w:p>
    <w:p w14:paraId="60D84156" w14:textId="77777777" w:rsidR="00035E5B" w:rsidRPr="00DA32D9" w:rsidRDefault="0019595D" w:rsidP="00DA32D9">
      <w:pPr>
        <w:pStyle w:val="2"/>
        <w:keepNext w:val="0"/>
        <w:keepLines w:val="0"/>
        <w:snapToGrid w:val="0"/>
        <w:spacing w:line="360" w:lineRule="auto"/>
        <w:rPr>
          <w:rFonts w:eastAsia="宋体"/>
          <w:sz w:val="20"/>
          <w:szCs w:val="20"/>
        </w:rPr>
      </w:pPr>
      <w:r w:rsidRPr="00DA32D9">
        <w:rPr>
          <w:sz w:val="20"/>
          <w:szCs w:val="20"/>
        </w:rPr>
        <w:t>MTT assay for cell viability</w:t>
      </w:r>
    </w:p>
    <w:p w14:paraId="634F6625" w14:textId="528FB315" w:rsidR="00035E5B" w:rsidRPr="00DA32D9" w:rsidRDefault="0019595D" w:rsidP="00DA32D9">
      <w:pPr>
        <w:snapToGrid w:val="0"/>
        <w:rPr>
          <w:rFonts w:eastAsia="宋体"/>
          <w:sz w:val="20"/>
          <w:szCs w:val="20"/>
        </w:rPr>
      </w:pPr>
      <w:r w:rsidRPr="00DA32D9">
        <w:rPr>
          <w:sz w:val="20"/>
          <w:szCs w:val="20"/>
        </w:rPr>
        <w:t>The transfected cells were hydrolyzed with trypsin and centrifuged to remove the enzyme solution</w:t>
      </w:r>
      <w:r w:rsidR="007215C1" w:rsidRPr="00DA32D9">
        <w:rPr>
          <w:sz w:val="20"/>
          <w:szCs w:val="20"/>
        </w:rPr>
        <w:t>, f</w:t>
      </w:r>
      <w:r w:rsidRPr="00DA32D9">
        <w:rPr>
          <w:sz w:val="20"/>
          <w:szCs w:val="20"/>
        </w:rPr>
        <w:t>ollowed by the addition of fresh medium and pipett</w:t>
      </w:r>
      <w:r w:rsidR="007215C1" w:rsidRPr="00DA32D9">
        <w:rPr>
          <w:sz w:val="20"/>
          <w:szCs w:val="20"/>
        </w:rPr>
        <w:t>ing</w:t>
      </w:r>
      <w:r w:rsidRPr="00DA32D9">
        <w:rPr>
          <w:sz w:val="20"/>
          <w:szCs w:val="20"/>
        </w:rPr>
        <w:t xml:space="preserve"> to prepare </w:t>
      </w:r>
      <w:r w:rsidR="007215C1" w:rsidRPr="00DA32D9">
        <w:rPr>
          <w:sz w:val="20"/>
          <w:szCs w:val="20"/>
        </w:rPr>
        <w:t xml:space="preserve">the </w:t>
      </w:r>
      <w:r w:rsidRPr="00DA32D9">
        <w:rPr>
          <w:sz w:val="20"/>
          <w:szCs w:val="20"/>
        </w:rPr>
        <w:t>cell suspension. Then four 96-well plates were inoculated with cells of 5</w:t>
      </w:r>
      <w:r w:rsidR="000714A0" w:rsidRPr="00DA32D9">
        <w:rPr>
          <w:sz w:val="20"/>
          <w:szCs w:val="20"/>
        </w:rPr>
        <w:t xml:space="preserve"> × </w:t>
      </w:r>
      <w:r w:rsidRPr="00DA32D9">
        <w:rPr>
          <w:sz w:val="20"/>
          <w:szCs w:val="20"/>
        </w:rPr>
        <w:t>10</w:t>
      </w:r>
      <w:r w:rsidRPr="00DA32D9">
        <w:rPr>
          <w:sz w:val="20"/>
          <w:szCs w:val="20"/>
          <w:vertAlign w:val="superscript"/>
        </w:rPr>
        <w:t>3</w:t>
      </w:r>
      <w:r w:rsidRPr="00DA32D9">
        <w:rPr>
          <w:sz w:val="20"/>
          <w:szCs w:val="20"/>
        </w:rPr>
        <w:t>/100</w:t>
      </w:r>
      <w:r w:rsidR="002C5A0D" w:rsidRPr="00DA32D9">
        <w:rPr>
          <w:sz w:val="20"/>
          <w:szCs w:val="20"/>
        </w:rPr>
        <w:t xml:space="preserve"> </w:t>
      </w:r>
      <w:r w:rsidRPr="008001B6">
        <w:rPr>
          <w:rFonts w:ascii="Times New Roman" w:hAnsi="Times New Roman" w:cs="Times New Roman"/>
          <w:sz w:val="20"/>
          <w:szCs w:val="20"/>
        </w:rPr>
        <w:t>μ</w:t>
      </w:r>
      <w:r w:rsidRPr="00DA32D9">
        <w:rPr>
          <w:sz w:val="20"/>
          <w:szCs w:val="20"/>
        </w:rPr>
        <w:t>L per well, with 3 wells per set. One plate was taken out every 24 h, and 5</w:t>
      </w:r>
      <w:r w:rsidR="002C5A0D" w:rsidRPr="00DA32D9">
        <w:rPr>
          <w:sz w:val="20"/>
          <w:szCs w:val="20"/>
        </w:rPr>
        <w:t xml:space="preserve"> </w:t>
      </w:r>
      <w:r w:rsidRPr="00DA32D9">
        <w:rPr>
          <w:sz w:val="20"/>
          <w:szCs w:val="20"/>
        </w:rPr>
        <w:t>mg/m</w:t>
      </w:r>
      <w:r w:rsidRPr="00DA32D9">
        <w:rPr>
          <w:caps/>
          <w:sz w:val="20"/>
          <w:szCs w:val="20"/>
        </w:rPr>
        <w:t>l</w:t>
      </w:r>
      <w:r w:rsidRPr="00DA32D9">
        <w:rPr>
          <w:sz w:val="20"/>
          <w:szCs w:val="20"/>
        </w:rPr>
        <w:t xml:space="preserve"> MTT solution was added at 10</w:t>
      </w:r>
      <w:r w:rsidR="002C5A0D" w:rsidRPr="00DA32D9">
        <w:rPr>
          <w:sz w:val="20"/>
          <w:szCs w:val="20"/>
        </w:rPr>
        <w:t xml:space="preserve"> </w:t>
      </w:r>
      <w:r w:rsidRPr="008001B6">
        <w:rPr>
          <w:rFonts w:ascii="Times New Roman" w:hAnsi="Times New Roman" w:cs="Times New Roman"/>
          <w:sz w:val="20"/>
          <w:szCs w:val="20"/>
        </w:rPr>
        <w:t>μ</w:t>
      </w:r>
      <w:r w:rsidRPr="00DA32D9">
        <w:rPr>
          <w:sz w:val="20"/>
          <w:szCs w:val="20"/>
        </w:rPr>
        <w:t xml:space="preserve">L/well for </w:t>
      </w:r>
      <w:r w:rsidR="00807FF0" w:rsidRPr="00DA32D9">
        <w:rPr>
          <w:sz w:val="20"/>
          <w:szCs w:val="20"/>
        </w:rPr>
        <w:t xml:space="preserve">additional </w:t>
      </w:r>
      <w:r w:rsidRPr="00DA32D9">
        <w:rPr>
          <w:sz w:val="20"/>
          <w:szCs w:val="20"/>
        </w:rPr>
        <w:t xml:space="preserve">culture </w:t>
      </w:r>
      <w:r w:rsidR="00807FF0" w:rsidRPr="00DA32D9">
        <w:rPr>
          <w:sz w:val="20"/>
          <w:szCs w:val="20"/>
        </w:rPr>
        <w:t>for</w:t>
      </w:r>
      <w:r w:rsidRPr="00DA32D9">
        <w:rPr>
          <w:sz w:val="20"/>
          <w:szCs w:val="20"/>
        </w:rPr>
        <w:t xml:space="preserve"> 1</w:t>
      </w:r>
      <w:r w:rsidR="007215C1" w:rsidRPr="00DA32D9">
        <w:rPr>
          <w:sz w:val="20"/>
          <w:szCs w:val="20"/>
        </w:rPr>
        <w:t xml:space="preserve"> </w:t>
      </w:r>
      <w:r w:rsidRPr="00DA32D9">
        <w:rPr>
          <w:sz w:val="20"/>
          <w:szCs w:val="20"/>
        </w:rPr>
        <w:t xml:space="preserve">h. </w:t>
      </w:r>
      <w:r w:rsidR="00807FF0" w:rsidRPr="00DA32D9">
        <w:rPr>
          <w:sz w:val="20"/>
          <w:szCs w:val="20"/>
        </w:rPr>
        <w:t>Then</w:t>
      </w:r>
      <w:r w:rsidRPr="00DA32D9">
        <w:rPr>
          <w:sz w:val="20"/>
          <w:szCs w:val="20"/>
        </w:rPr>
        <w:t xml:space="preserve"> the culture medium was removed and the OD value at 570</w:t>
      </w:r>
      <w:r w:rsidR="00163BC4" w:rsidRPr="00DA32D9">
        <w:rPr>
          <w:sz w:val="20"/>
          <w:szCs w:val="20"/>
        </w:rPr>
        <w:t xml:space="preserve"> </w:t>
      </w:r>
      <w:r w:rsidRPr="00DA32D9">
        <w:rPr>
          <w:sz w:val="20"/>
          <w:szCs w:val="20"/>
        </w:rPr>
        <w:t>nm was measured by a microplate reader. The experiment was repeated three times to plot the cell viability-time curve.</w:t>
      </w:r>
    </w:p>
    <w:p w14:paraId="780E747A" w14:textId="77777777" w:rsidR="00035E5B" w:rsidRPr="00DA32D9" w:rsidRDefault="00035E5B" w:rsidP="00DA32D9">
      <w:pPr>
        <w:snapToGrid w:val="0"/>
        <w:rPr>
          <w:rFonts w:eastAsia="宋体" w:cs="Times New Roman"/>
          <w:sz w:val="20"/>
          <w:szCs w:val="20"/>
        </w:rPr>
      </w:pPr>
    </w:p>
    <w:p w14:paraId="5D9760C2" w14:textId="77777777" w:rsidR="00035E5B" w:rsidRPr="00DA32D9" w:rsidRDefault="0019595D" w:rsidP="00DA32D9">
      <w:pPr>
        <w:pStyle w:val="2"/>
        <w:keepNext w:val="0"/>
        <w:keepLines w:val="0"/>
        <w:snapToGrid w:val="0"/>
        <w:spacing w:line="360" w:lineRule="auto"/>
        <w:rPr>
          <w:sz w:val="20"/>
          <w:szCs w:val="20"/>
        </w:rPr>
      </w:pPr>
      <w:r w:rsidRPr="00DA32D9">
        <w:rPr>
          <w:sz w:val="20"/>
          <w:szCs w:val="20"/>
        </w:rPr>
        <w:t xml:space="preserve">Flow cytometry </w:t>
      </w:r>
    </w:p>
    <w:p w14:paraId="1367D6CF" w14:textId="050763C8" w:rsidR="00035E5B" w:rsidRPr="00DA32D9" w:rsidRDefault="0019595D" w:rsidP="00DA32D9">
      <w:pPr>
        <w:snapToGrid w:val="0"/>
        <w:rPr>
          <w:sz w:val="20"/>
          <w:szCs w:val="20"/>
        </w:rPr>
      </w:pPr>
      <w:r w:rsidRPr="00DA32D9">
        <w:rPr>
          <w:sz w:val="20"/>
          <w:szCs w:val="20"/>
        </w:rPr>
        <w:t>The adherent cells were digested and prepared as a cell suspension. The CountessTM automatic counter (Invitrogen) was applied to dilute the cells to 1</w:t>
      </w:r>
      <w:r w:rsidR="00397B31" w:rsidRPr="00DA32D9">
        <w:rPr>
          <w:sz w:val="20"/>
          <w:szCs w:val="20"/>
        </w:rPr>
        <w:t xml:space="preserve"> × </w:t>
      </w:r>
      <w:r w:rsidRPr="00DA32D9">
        <w:rPr>
          <w:sz w:val="20"/>
          <w:szCs w:val="20"/>
        </w:rPr>
        <w:t>10</w:t>
      </w:r>
      <w:r w:rsidRPr="00DA32D9">
        <w:rPr>
          <w:sz w:val="20"/>
          <w:szCs w:val="20"/>
          <w:vertAlign w:val="superscript"/>
        </w:rPr>
        <w:t>6</w:t>
      </w:r>
      <w:r w:rsidRPr="00DA32D9">
        <w:rPr>
          <w:sz w:val="20"/>
          <w:szCs w:val="20"/>
        </w:rPr>
        <w:t xml:space="preserve">. Then cells were fixed in a 70% ethanol ice-cold solution at 4 °C for 30 min. Thereafter, the ethanol solution was removed, and the cells were incubated in Annexin V-FITC/7-AAD solution. Finally, apoptosis was analyzed using </w:t>
      </w:r>
      <w:r w:rsidR="00807FF0" w:rsidRPr="00DA32D9">
        <w:rPr>
          <w:sz w:val="20"/>
          <w:szCs w:val="20"/>
        </w:rPr>
        <w:t>the</w:t>
      </w:r>
      <w:r w:rsidRPr="00DA32D9">
        <w:rPr>
          <w:sz w:val="20"/>
          <w:szCs w:val="20"/>
        </w:rPr>
        <w:t xml:space="preserve"> FACScan flow cytometer (Becton Dickinson,</w:t>
      </w:r>
      <w:r w:rsidR="00807FF0" w:rsidRPr="00DA32D9">
        <w:rPr>
          <w:sz w:val="20"/>
          <w:szCs w:val="20"/>
        </w:rPr>
        <w:t xml:space="preserve"> Franklin Lakes, NJ,</w:t>
      </w:r>
      <w:r w:rsidRPr="00DA32D9">
        <w:rPr>
          <w:sz w:val="20"/>
          <w:szCs w:val="20"/>
        </w:rPr>
        <w:t xml:space="preserve"> </w:t>
      </w:r>
      <w:r w:rsidR="000742E4" w:rsidRPr="00DA32D9">
        <w:rPr>
          <w:sz w:val="20"/>
          <w:szCs w:val="20"/>
        </w:rPr>
        <w:t>United States</w:t>
      </w:r>
      <w:r w:rsidRPr="00DA32D9">
        <w:rPr>
          <w:sz w:val="20"/>
          <w:szCs w:val="20"/>
        </w:rPr>
        <w:t>).</w:t>
      </w:r>
    </w:p>
    <w:p w14:paraId="11A87EFF" w14:textId="77777777" w:rsidR="00035E5B" w:rsidRPr="00DA32D9" w:rsidRDefault="00035E5B" w:rsidP="00DA32D9">
      <w:pPr>
        <w:snapToGrid w:val="0"/>
        <w:rPr>
          <w:sz w:val="20"/>
          <w:szCs w:val="20"/>
        </w:rPr>
      </w:pPr>
    </w:p>
    <w:p w14:paraId="081CAE2B" w14:textId="77777777" w:rsidR="00035E5B" w:rsidRPr="00DA32D9" w:rsidRDefault="0019595D" w:rsidP="00DA32D9">
      <w:pPr>
        <w:pStyle w:val="2"/>
        <w:keepNext w:val="0"/>
        <w:keepLines w:val="0"/>
        <w:snapToGrid w:val="0"/>
        <w:spacing w:line="360" w:lineRule="auto"/>
        <w:rPr>
          <w:rFonts w:eastAsia="宋体"/>
          <w:sz w:val="20"/>
          <w:szCs w:val="20"/>
        </w:rPr>
      </w:pPr>
      <w:r w:rsidRPr="00DA32D9">
        <w:rPr>
          <w:sz w:val="20"/>
          <w:szCs w:val="20"/>
        </w:rPr>
        <w:t>Double luciferase verification of targeting relationship between miR-182 and RECK</w:t>
      </w:r>
    </w:p>
    <w:p w14:paraId="4F525D92" w14:textId="12D302F7" w:rsidR="00035E5B" w:rsidRPr="00DA32D9" w:rsidRDefault="0019595D" w:rsidP="00DA32D9">
      <w:pPr>
        <w:snapToGrid w:val="0"/>
        <w:rPr>
          <w:sz w:val="20"/>
          <w:szCs w:val="20"/>
        </w:rPr>
      </w:pPr>
      <w:r w:rsidRPr="00DA32D9">
        <w:rPr>
          <w:sz w:val="20"/>
          <w:szCs w:val="20"/>
        </w:rPr>
        <w:t>The pmirGLO-HMGB1-wt and pmirGLO-HMGB1-mut vectors were constructed and co-transfected into EH-GB1 and GBS-SD cells with miR-182 mim</w:t>
      </w:r>
      <w:r w:rsidR="006D6BEA" w:rsidRPr="00DA32D9">
        <w:rPr>
          <w:sz w:val="20"/>
          <w:szCs w:val="20"/>
        </w:rPr>
        <w:t>i</w:t>
      </w:r>
      <w:r w:rsidRPr="00DA32D9">
        <w:rPr>
          <w:sz w:val="20"/>
          <w:szCs w:val="20"/>
        </w:rPr>
        <w:t xml:space="preserve">cs and NC </w:t>
      </w:r>
      <w:r w:rsidR="00C844CC" w:rsidRPr="00DA32D9">
        <w:rPr>
          <w:sz w:val="20"/>
          <w:szCs w:val="20"/>
        </w:rPr>
        <w:t>mimics</w:t>
      </w:r>
      <w:r w:rsidRPr="00DA32D9">
        <w:rPr>
          <w:sz w:val="20"/>
          <w:szCs w:val="20"/>
        </w:rPr>
        <w:t>, respectively. After 48 h of transfection, the luciferase activity was detected by double luciferase reporter gene assay (Promega</w:t>
      </w:r>
      <w:r w:rsidR="00807FF0" w:rsidRPr="00DA32D9">
        <w:rPr>
          <w:sz w:val="20"/>
          <w:szCs w:val="20"/>
        </w:rPr>
        <w:t>, Madison, WI, United States</w:t>
      </w:r>
      <w:r w:rsidRPr="00DA32D9">
        <w:rPr>
          <w:sz w:val="20"/>
          <w:szCs w:val="20"/>
        </w:rPr>
        <w:t>) in strict accordance with the instructions.</w:t>
      </w:r>
    </w:p>
    <w:p w14:paraId="25DC7B7D" w14:textId="77777777" w:rsidR="00035E5B" w:rsidRPr="00DA32D9" w:rsidRDefault="00035E5B" w:rsidP="00DA32D9">
      <w:pPr>
        <w:snapToGrid w:val="0"/>
        <w:rPr>
          <w:rFonts w:cs="Times New Roman"/>
          <w:sz w:val="20"/>
          <w:szCs w:val="20"/>
        </w:rPr>
      </w:pPr>
    </w:p>
    <w:p w14:paraId="6DEB4074" w14:textId="7514A50A" w:rsidR="00223F6F" w:rsidRPr="00DA32D9" w:rsidRDefault="00223F6F" w:rsidP="00DA32D9">
      <w:pPr>
        <w:snapToGrid w:val="0"/>
        <w:rPr>
          <w:rFonts w:eastAsiaTheme="majorEastAsia" w:cstheme="majorBidi"/>
          <w:b/>
          <w:bCs/>
          <w:i/>
          <w:sz w:val="20"/>
          <w:szCs w:val="20"/>
        </w:rPr>
      </w:pPr>
      <w:r w:rsidRPr="00DA32D9">
        <w:rPr>
          <w:rFonts w:eastAsiaTheme="majorEastAsia" w:cstheme="majorBidi"/>
          <w:b/>
          <w:bCs/>
          <w:i/>
          <w:caps/>
          <w:sz w:val="20"/>
          <w:szCs w:val="20"/>
        </w:rPr>
        <w:t>s</w:t>
      </w:r>
      <w:r w:rsidRPr="00DA32D9">
        <w:rPr>
          <w:rFonts w:eastAsiaTheme="majorEastAsia" w:cstheme="majorBidi"/>
          <w:b/>
          <w:bCs/>
          <w:i/>
          <w:sz w:val="20"/>
          <w:szCs w:val="20"/>
        </w:rPr>
        <w:t>tatistical analysis</w:t>
      </w:r>
    </w:p>
    <w:p w14:paraId="6865E1C7" w14:textId="7CA7B8E6" w:rsidR="00035E5B" w:rsidRPr="00DA32D9" w:rsidRDefault="0019595D" w:rsidP="00DA32D9">
      <w:pPr>
        <w:snapToGrid w:val="0"/>
        <w:rPr>
          <w:sz w:val="20"/>
          <w:szCs w:val="20"/>
        </w:rPr>
      </w:pPr>
      <w:r w:rsidRPr="00DA32D9">
        <w:rPr>
          <w:sz w:val="20"/>
          <w:szCs w:val="20"/>
        </w:rPr>
        <w:t>Statistical analysis of the collected data of indicators mentioned above w</w:t>
      </w:r>
      <w:r w:rsidR="00807FF0" w:rsidRPr="00DA32D9">
        <w:rPr>
          <w:sz w:val="20"/>
          <w:szCs w:val="20"/>
        </w:rPr>
        <w:t>as</w:t>
      </w:r>
      <w:r w:rsidRPr="00DA32D9">
        <w:rPr>
          <w:sz w:val="20"/>
          <w:szCs w:val="20"/>
        </w:rPr>
        <w:t xml:space="preserve"> performed using SPSS20.0 (Asia Analytics Formerly SPSS, China) and GraphPad Prism 6.0. Each experiment was repeated three times. The data </w:t>
      </w:r>
      <w:r w:rsidR="00807FF0" w:rsidRPr="00DA32D9">
        <w:rPr>
          <w:sz w:val="20"/>
          <w:szCs w:val="20"/>
        </w:rPr>
        <w:t>a</w:t>
      </w:r>
      <w:r w:rsidRPr="00DA32D9">
        <w:rPr>
          <w:sz w:val="20"/>
          <w:szCs w:val="20"/>
        </w:rPr>
        <w:t xml:space="preserve">re represented by </w:t>
      </w:r>
      <w:r w:rsidR="00807FF0" w:rsidRPr="00DA32D9">
        <w:rPr>
          <w:sz w:val="20"/>
          <w:szCs w:val="20"/>
        </w:rPr>
        <w:t xml:space="preserve">the </w:t>
      </w:r>
      <w:r w:rsidR="00E9355C" w:rsidRPr="00DA32D9">
        <w:rPr>
          <w:sz w:val="20"/>
          <w:szCs w:val="20"/>
        </w:rPr>
        <w:t>m</w:t>
      </w:r>
      <w:r w:rsidRPr="00DA32D9">
        <w:rPr>
          <w:sz w:val="20"/>
          <w:szCs w:val="20"/>
        </w:rPr>
        <w:t>ean</w:t>
      </w:r>
      <w:r w:rsidR="00E9355C" w:rsidRPr="00DA32D9">
        <w:rPr>
          <w:sz w:val="20"/>
          <w:szCs w:val="20"/>
        </w:rPr>
        <w:t xml:space="preserve"> </w:t>
      </w:r>
      <w:r w:rsidRPr="00DA32D9">
        <w:rPr>
          <w:sz w:val="20"/>
          <w:szCs w:val="20"/>
        </w:rPr>
        <w:t>±</w:t>
      </w:r>
      <w:r w:rsidR="00E9355C" w:rsidRPr="00DA32D9">
        <w:rPr>
          <w:sz w:val="20"/>
          <w:szCs w:val="20"/>
        </w:rPr>
        <w:t xml:space="preserve"> </w:t>
      </w:r>
      <w:r w:rsidR="00807FF0" w:rsidRPr="00DA32D9">
        <w:rPr>
          <w:sz w:val="20"/>
          <w:szCs w:val="20"/>
        </w:rPr>
        <w:t>standard deviation</w:t>
      </w:r>
      <w:r w:rsidRPr="00DA32D9">
        <w:rPr>
          <w:sz w:val="20"/>
          <w:szCs w:val="20"/>
        </w:rPr>
        <w:t xml:space="preserve">, and the count data </w:t>
      </w:r>
      <w:r w:rsidR="00807FF0" w:rsidRPr="00DA32D9">
        <w:rPr>
          <w:sz w:val="20"/>
          <w:szCs w:val="20"/>
        </w:rPr>
        <w:t>a</w:t>
      </w:r>
      <w:r w:rsidRPr="00DA32D9">
        <w:rPr>
          <w:sz w:val="20"/>
          <w:szCs w:val="20"/>
        </w:rPr>
        <w:t xml:space="preserve">re expressed as n. </w:t>
      </w:r>
      <w:r w:rsidR="00807FF0" w:rsidRPr="00DA32D9">
        <w:rPr>
          <w:sz w:val="20"/>
          <w:szCs w:val="20"/>
        </w:rPr>
        <w:t>I</w:t>
      </w:r>
      <w:r w:rsidRPr="00DA32D9">
        <w:rPr>
          <w:sz w:val="20"/>
          <w:szCs w:val="20"/>
        </w:rPr>
        <w:t>ntergroup comparison was conducted by an independent sample</w:t>
      </w:r>
      <w:r w:rsidR="00807FF0" w:rsidRPr="00DA32D9">
        <w:rPr>
          <w:sz w:val="20"/>
          <w:szCs w:val="20"/>
        </w:rPr>
        <w:t>s</w:t>
      </w:r>
      <w:r w:rsidRPr="00DA32D9">
        <w:rPr>
          <w:sz w:val="20"/>
          <w:szCs w:val="20"/>
        </w:rPr>
        <w:t xml:space="preserve"> </w:t>
      </w:r>
      <w:r w:rsidRPr="008001B6">
        <w:rPr>
          <w:i/>
          <w:sz w:val="20"/>
          <w:szCs w:val="20"/>
        </w:rPr>
        <w:t>t</w:t>
      </w:r>
      <w:r w:rsidRPr="00DA32D9">
        <w:rPr>
          <w:sz w:val="20"/>
          <w:szCs w:val="20"/>
        </w:rPr>
        <w:t xml:space="preserve">-test, multi-group comparison was analyzed by one-way </w:t>
      </w:r>
      <w:r w:rsidR="00807FF0" w:rsidRPr="00DA32D9">
        <w:rPr>
          <w:sz w:val="20"/>
          <w:szCs w:val="20"/>
        </w:rPr>
        <w:t>analysis of variance</w:t>
      </w:r>
      <w:r w:rsidRPr="00DA32D9">
        <w:rPr>
          <w:sz w:val="20"/>
          <w:szCs w:val="20"/>
        </w:rPr>
        <w:t>, and post-hoc pairwise comparison was performed by a</w:t>
      </w:r>
      <w:r w:rsidR="0051573D" w:rsidRPr="00DA32D9">
        <w:rPr>
          <w:sz w:val="20"/>
          <w:szCs w:val="20"/>
        </w:rPr>
        <w:t>n</w:t>
      </w:r>
      <w:r w:rsidRPr="00DA32D9">
        <w:rPr>
          <w:sz w:val="20"/>
          <w:szCs w:val="20"/>
        </w:rPr>
        <w:t xml:space="preserve"> </w:t>
      </w:r>
      <w:r w:rsidR="00807FF0" w:rsidRPr="00DA32D9">
        <w:rPr>
          <w:sz w:val="20"/>
          <w:szCs w:val="20"/>
        </w:rPr>
        <w:t xml:space="preserve">least significant difference </w:t>
      </w:r>
      <w:r w:rsidRPr="00DA32D9">
        <w:rPr>
          <w:sz w:val="20"/>
          <w:szCs w:val="20"/>
        </w:rPr>
        <w:t>test. Pearson</w:t>
      </w:r>
      <w:r w:rsidR="00EF2BB9" w:rsidRPr="00DA32D9">
        <w:rPr>
          <w:sz w:val="20"/>
          <w:szCs w:val="20"/>
        </w:rPr>
        <w:t>’s</w:t>
      </w:r>
      <w:r w:rsidRPr="00DA32D9">
        <w:rPr>
          <w:sz w:val="20"/>
          <w:szCs w:val="20"/>
        </w:rPr>
        <w:t xml:space="preserve"> analysis was applied to the correlation between miR-182 and RECK. The relationship between miR-182 and clinical features was determined </w:t>
      </w:r>
      <w:r w:rsidRPr="00DA32D9">
        <w:rPr>
          <w:sz w:val="20"/>
          <w:szCs w:val="20"/>
        </w:rPr>
        <w:lastRenderedPageBreak/>
        <w:t xml:space="preserve">by </w:t>
      </w:r>
      <w:r w:rsidR="00EF2BB9" w:rsidRPr="00DA32D9">
        <w:rPr>
          <w:sz w:val="20"/>
          <w:szCs w:val="20"/>
        </w:rPr>
        <w:t xml:space="preserve">the </w:t>
      </w:r>
      <w:r w:rsidRPr="00DA32D9">
        <w:rPr>
          <w:sz w:val="20"/>
          <w:szCs w:val="20"/>
        </w:rPr>
        <w:t xml:space="preserve">two-sample Student's </w:t>
      </w:r>
      <w:r w:rsidRPr="00DA32D9">
        <w:rPr>
          <w:i/>
          <w:iCs/>
          <w:sz w:val="20"/>
          <w:szCs w:val="20"/>
        </w:rPr>
        <w:t>t</w:t>
      </w:r>
      <w:r w:rsidR="00EF2BB9" w:rsidRPr="00DA32D9">
        <w:rPr>
          <w:sz w:val="20"/>
          <w:szCs w:val="20"/>
        </w:rPr>
        <w:t>-</w:t>
      </w:r>
      <w:r w:rsidRPr="00DA32D9">
        <w:rPr>
          <w:sz w:val="20"/>
          <w:szCs w:val="20"/>
        </w:rPr>
        <w:t>test. All data were double-tailed. With 95% as its confidence interval, a statistically significant difference was assumed at</w:t>
      </w:r>
      <w:r w:rsidR="005D6F87" w:rsidRPr="00DA32D9">
        <w:rPr>
          <w:sz w:val="20"/>
          <w:szCs w:val="20"/>
          <w:vertAlign w:val="superscript"/>
        </w:rPr>
        <w:t xml:space="preserve"> </w:t>
      </w:r>
      <w:r w:rsidRPr="00DA32D9">
        <w:rPr>
          <w:i/>
          <w:iCs/>
          <w:sz w:val="20"/>
          <w:szCs w:val="20"/>
        </w:rPr>
        <w:t>P</w:t>
      </w:r>
      <w:r w:rsidR="005D6F87" w:rsidRPr="00DA32D9">
        <w:rPr>
          <w:i/>
          <w:iCs/>
          <w:sz w:val="20"/>
          <w:szCs w:val="20"/>
        </w:rPr>
        <w:t xml:space="preserve"> </w:t>
      </w:r>
      <w:r w:rsidRPr="00DA32D9">
        <w:rPr>
          <w:sz w:val="20"/>
          <w:szCs w:val="20"/>
        </w:rPr>
        <w:t>&lt;</w:t>
      </w:r>
      <w:r w:rsidR="005D6F87" w:rsidRPr="00DA32D9">
        <w:rPr>
          <w:sz w:val="20"/>
          <w:szCs w:val="20"/>
        </w:rPr>
        <w:t xml:space="preserve"> </w:t>
      </w:r>
      <w:r w:rsidRPr="00DA32D9">
        <w:rPr>
          <w:sz w:val="20"/>
          <w:szCs w:val="20"/>
        </w:rPr>
        <w:t>0.05.</w:t>
      </w:r>
    </w:p>
    <w:p w14:paraId="27938049" w14:textId="77777777" w:rsidR="00035E5B" w:rsidRPr="00DA32D9" w:rsidRDefault="00035E5B" w:rsidP="00DA32D9">
      <w:pPr>
        <w:snapToGrid w:val="0"/>
        <w:rPr>
          <w:rFonts w:cs="Times New Roman"/>
          <w:sz w:val="20"/>
          <w:szCs w:val="20"/>
        </w:rPr>
      </w:pPr>
    </w:p>
    <w:p w14:paraId="60AD470F" w14:textId="77777777" w:rsidR="00035E5B" w:rsidRPr="00DA32D9" w:rsidRDefault="0019595D" w:rsidP="00DA32D9">
      <w:pPr>
        <w:pStyle w:val="1"/>
        <w:keepNext w:val="0"/>
        <w:keepLines w:val="0"/>
        <w:snapToGrid w:val="0"/>
        <w:spacing w:line="360" w:lineRule="auto"/>
        <w:rPr>
          <w:rFonts w:eastAsia="宋体"/>
          <w:kern w:val="0"/>
          <w:sz w:val="20"/>
          <w:szCs w:val="20"/>
          <w:u w:val="single"/>
        </w:rPr>
      </w:pPr>
      <w:r w:rsidRPr="00DA32D9">
        <w:rPr>
          <w:sz w:val="20"/>
          <w:szCs w:val="20"/>
          <w:u w:val="single"/>
        </w:rPr>
        <w:t>Results</w:t>
      </w:r>
    </w:p>
    <w:p w14:paraId="728C02C8" w14:textId="183F1F44" w:rsidR="00035E5B" w:rsidRPr="00DA32D9" w:rsidRDefault="00AF42B4" w:rsidP="00DA32D9">
      <w:pPr>
        <w:pStyle w:val="2"/>
        <w:keepNext w:val="0"/>
        <w:keepLines w:val="0"/>
        <w:snapToGrid w:val="0"/>
        <w:spacing w:line="360" w:lineRule="auto"/>
        <w:rPr>
          <w:kern w:val="0"/>
          <w:sz w:val="20"/>
          <w:szCs w:val="20"/>
        </w:rPr>
      </w:pPr>
      <w:r w:rsidRPr="00DA32D9">
        <w:rPr>
          <w:sz w:val="20"/>
          <w:szCs w:val="20"/>
        </w:rPr>
        <w:t>There is high expression of m</w:t>
      </w:r>
      <w:r w:rsidR="0019595D" w:rsidRPr="00DA32D9">
        <w:rPr>
          <w:sz w:val="20"/>
          <w:szCs w:val="20"/>
        </w:rPr>
        <w:t xml:space="preserve">iR-182 </w:t>
      </w:r>
      <w:r w:rsidRPr="00DA32D9">
        <w:rPr>
          <w:sz w:val="20"/>
          <w:szCs w:val="20"/>
        </w:rPr>
        <w:t xml:space="preserve">and low expression of </w:t>
      </w:r>
      <w:r w:rsidR="0019595D" w:rsidRPr="00DA32D9">
        <w:rPr>
          <w:sz w:val="20"/>
          <w:szCs w:val="20"/>
        </w:rPr>
        <w:t>RECK</w:t>
      </w:r>
      <w:r w:rsidR="00EF2BB9" w:rsidRPr="00DA32D9">
        <w:rPr>
          <w:sz w:val="20"/>
          <w:szCs w:val="20"/>
        </w:rPr>
        <w:t xml:space="preserve"> </w:t>
      </w:r>
      <w:r w:rsidR="0019595D" w:rsidRPr="00DA32D9">
        <w:rPr>
          <w:sz w:val="20"/>
          <w:szCs w:val="20"/>
        </w:rPr>
        <w:t>in GC</w:t>
      </w:r>
    </w:p>
    <w:p w14:paraId="0053A7EC" w14:textId="28C3775B" w:rsidR="00035E5B" w:rsidRPr="00DA32D9" w:rsidRDefault="0019595D" w:rsidP="00DA32D9">
      <w:pPr>
        <w:snapToGrid w:val="0"/>
        <w:rPr>
          <w:rFonts w:eastAsia="宋体"/>
          <w:kern w:val="0"/>
          <w:sz w:val="20"/>
          <w:szCs w:val="20"/>
        </w:rPr>
      </w:pPr>
      <w:r w:rsidRPr="00DA32D9">
        <w:rPr>
          <w:sz w:val="20"/>
          <w:szCs w:val="20"/>
        </w:rPr>
        <w:t>Exosomes were extracted and Western blot</w:t>
      </w:r>
      <w:r w:rsidR="00EF2BB9" w:rsidRPr="00DA32D9">
        <w:rPr>
          <w:sz w:val="20"/>
          <w:szCs w:val="20"/>
        </w:rPr>
        <w:t xml:space="preserve"> analysis</w:t>
      </w:r>
      <w:r w:rsidRPr="00DA32D9">
        <w:rPr>
          <w:sz w:val="20"/>
          <w:szCs w:val="20"/>
        </w:rPr>
        <w:t xml:space="preserve"> was used to detect exosome protein markers CD63 and CD81 (Figure 1). The results showed that CD63 and CD81 were highly expressed in exosomes compared with cell samples, indicating that the sample was indeed exosomes.</w:t>
      </w:r>
    </w:p>
    <w:p w14:paraId="245DC68D" w14:textId="173510B9" w:rsidR="00035E5B" w:rsidRPr="00DA32D9" w:rsidRDefault="0019595D" w:rsidP="00DA32D9">
      <w:pPr>
        <w:snapToGrid w:val="0"/>
        <w:ind w:firstLineChars="100" w:firstLine="200"/>
        <w:rPr>
          <w:sz w:val="20"/>
          <w:szCs w:val="20"/>
        </w:rPr>
      </w:pPr>
      <w:r w:rsidRPr="00DA32D9">
        <w:rPr>
          <w:sz w:val="20"/>
          <w:szCs w:val="20"/>
        </w:rPr>
        <w:t xml:space="preserve">This study included 78 cases of paired GC and adjacent normal tissues. </w:t>
      </w:r>
      <w:r w:rsidR="0004394C" w:rsidRPr="00DA32D9">
        <w:rPr>
          <w:sz w:val="20"/>
          <w:szCs w:val="20"/>
        </w:rPr>
        <w:t>q</w:t>
      </w:r>
      <w:r w:rsidRPr="00DA32D9">
        <w:rPr>
          <w:sz w:val="20"/>
          <w:szCs w:val="20"/>
        </w:rPr>
        <w:t xml:space="preserve">PCR was employed to quantify the expression levels of miR-182 and exosomal miR-182 in tissues and cells, and the expression of RECK protein in tissues and cells was determined by Western blot </w:t>
      </w:r>
      <w:r w:rsidR="00EF2BB9" w:rsidRPr="00DA32D9">
        <w:rPr>
          <w:sz w:val="20"/>
          <w:szCs w:val="20"/>
        </w:rPr>
        <w:t>analysis</w:t>
      </w:r>
      <w:r w:rsidRPr="00DA32D9">
        <w:rPr>
          <w:sz w:val="20"/>
          <w:szCs w:val="20"/>
        </w:rPr>
        <w:t xml:space="preserve">(Figure 2). </w:t>
      </w:r>
      <w:r w:rsidR="00EF2BB9" w:rsidRPr="00DA32D9">
        <w:rPr>
          <w:sz w:val="20"/>
          <w:szCs w:val="20"/>
        </w:rPr>
        <w:t>T</w:t>
      </w:r>
      <w:r w:rsidRPr="00DA32D9">
        <w:rPr>
          <w:sz w:val="20"/>
          <w:szCs w:val="20"/>
        </w:rPr>
        <w:t xml:space="preserve">he expression of miR-182 was </w:t>
      </w:r>
      <w:r w:rsidR="00EF2BB9" w:rsidRPr="00DA32D9">
        <w:rPr>
          <w:sz w:val="20"/>
          <w:szCs w:val="20"/>
        </w:rPr>
        <w:t>markedly</w:t>
      </w:r>
      <w:r w:rsidRPr="00DA32D9">
        <w:rPr>
          <w:sz w:val="20"/>
          <w:szCs w:val="20"/>
        </w:rPr>
        <w:t xml:space="preserve"> increased in cancer tissues (Figure 2A), wh</w:t>
      </w:r>
      <w:r w:rsidR="00EF2BB9" w:rsidRPr="00DA32D9">
        <w:rPr>
          <w:sz w:val="20"/>
          <w:szCs w:val="20"/>
        </w:rPr>
        <w:t xml:space="preserve">ereas that of </w:t>
      </w:r>
      <w:r w:rsidRPr="00DA32D9">
        <w:rPr>
          <w:sz w:val="20"/>
          <w:szCs w:val="20"/>
        </w:rPr>
        <w:t xml:space="preserve">RECK was notably decreased in cancer tissues compared with normal adjacent tissues (Figure 2D). Compared with normal human blood samples, serum miR-182 level was significantly elevated in patients with GC (Figure 2B). </w:t>
      </w:r>
      <w:r w:rsidR="00AF42B4" w:rsidRPr="00DA32D9">
        <w:rPr>
          <w:sz w:val="20"/>
          <w:szCs w:val="20"/>
        </w:rPr>
        <w:t xml:space="preserve">However, </w:t>
      </w:r>
      <w:r w:rsidRPr="00DA32D9">
        <w:rPr>
          <w:sz w:val="20"/>
          <w:szCs w:val="20"/>
        </w:rPr>
        <w:t xml:space="preserve">compared with HGBEC, miR-182 expression was </w:t>
      </w:r>
      <w:r w:rsidR="00AF42B4" w:rsidRPr="00DA32D9">
        <w:rPr>
          <w:sz w:val="20"/>
          <w:szCs w:val="20"/>
        </w:rPr>
        <w:t xml:space="preserve">markedly </w:t>
      </w:r>
      <w:r w:rsidRPr="00DA32D9">
        <w:rPr>
          <w:sz w:val="20"/>
          <w:szCs w:val="20"/>
        </w:rPr>
        <w:t>increased (Figure 2C), whereas RECK was significantly decreased in GC cells (Figure 2E). The above</w:t>
      </w:r>
      <w:r w:rsidR="00AF42B4" w:rsidRPr="00DA32D9">
        <w:rPr>
          <w:sz w:val="20"/>
          <w:szCs w:val="20"/>
        </w:rPr>
        <w:t>mentioned</w:t>
      </w:r>
      <w:r w:rsidRPr="00DA32D9">
        <w:rPr>
          <w:sz w:val="20"/>
          <w:szCs w:val="20"/>
        </w:rPr>
        <w:t xml:space="preserve"> results indicated that miR-182 was highly expressed in GC</w:t>
      </w:r>
      <w:r w:rsidR="00AF42B4" w:rsidRPr="00DA32D9">
        <w:rPr>
          <w:sz w:val="20"/>
          <w:szCs w:val="20"/>
        </w:rPr>
        <w:t>,</w:t>
      </w:r>
      <w:r w:rsidRPr="00DA32D9">
        <w:rPr>
          <w:sz w:val="20"/>
          <w:szCs w:val="20"/>
        </w:rPr>
        <w:t xml:space="preserve"> wh</w:t>
      </w:r>
      <w:r w:rsidR="00AF42B4" w:rsidRPr="00DA32D9">
        <w:rPr>
          <w:sz w:val="20"/>
          <w:szCs w:val="20"/>
        </w:rPr>
        <w:t>ereas there was low expression of</w:t>
      </w:r>
      <w:r w:rsidRPr="00DA32D9">
        <w:rPr>
          <w:sz w:val="20"/>
          <w:szCs w:val="20"/>
        </w:rPr>
        <w:t xml:space="preserve"> RECK. It </w:t>
      </w:r>
      <w:r w:rsidR="00AF42B4" w:rsidRPr="00DA32D9">
        <w:rPr>
          <w:sz w:val="20"/>
          <w:szCs w:val="20"/>
        </w:rPr>
        <w:t>i</w:t>
      </w:r>
      <w:r w:rsidRPr="00DA32D9">
        <w:rPr>
          <w:sz w:val="20"/>
          <w:szCs w:val="20"/>
        </w:rPr>
        <w:t>s worth mentioning that the expression level</w:t>
      </w:r>
      <w:r w:rsidR="00AF42B4" w:rsidRPr="00DA32D9">
        <w:rPr>
          <w:sz w:val="20"/>
          <w:szCs w:val="20"/>
        </w:rPr>
        <w:t>s</w:t>
      </w:r>
      <w:r w:rsidRPr="00DA32D9">
        <w:rPr>
          <w:sz w:val="20"/>
          <w:szCs w:val="20"/>
        </w:rPr>
        <w:t xml:space="preserve"> of miR-182 and RECK were the highest and lowest</w:t>
      </w:r>
      <w:r w:rsidR="00AF42B4" w:rsidRPr="00DA32D9">
        <w:rPr>
          <w:sz w:val="20"/>
          <w:szCs w:val="20"/>
        </w:rPr>
        <w:t>, respectively</w:t>
      </w:r>
      <w:r w:rsidRPr="00DA32D9">
        <w:rPr>
          <w:sz w:val="20"/>
          <w:szCs w:val="20"/>
        </w:rPr>
        <w:t xml:space="preserve"> in NOZ cell lines.</w:t>
      </w:r>
    </w:p>
    <w:p w14:paraId="746B1E00" w14:textId="77777777" w:rsidR="00F84C4E" w:rsidRPr="00DA32D9" w:rsidRDefault="00F84C4E" w:rsidP="00DA32D9">
      <w:pPr>
        <w:snapToGrid w:val="0"/>
        <w:ind w:firstLineChars="100" w:firstLine="200"/>
        <w:rPr>
          <w:sz w:val="20"/>
          <w:szCs w:val="20"/>
        </w:rPr>
      </w:pPr>
    </w:p>
    <w:p w14:paraId="3C96E372" w14:textId="69CF3710" w:rsidR="00035E5B" w:rsidRPr="00DA32D9" w:rsidRDefault="0019595D" w:rsidP="00DA32D9">
      <w:pPr>
        <w:pStyle w:val="2"/>
        <w:keepNext w:val="0"/>
        <w:keepLines w:val="0"/>
        <w:snapToGrid w:val="0"/>
        <w:spacing w:line="360" w:lineRule="auto"/>
        <w:rPr>
          <w:rFonts w:eastAsia="宋体"/>
          <w:kern w:val="0"/>
          <w:sz w:val="20"/>
          <w:szCs w:val="20"/>
        </w:rPr>
      </w:pPr>
      <w:r w:rsidRPr="00DA32D9">
        <w:rPr>
          <w:sz w:val="20"/>
          <w:szCs w:val="20"/>
        </w:rPr>
        <w:t xml:space="preserve">miR-182 </w:t>
      </w:r>
      <w:r w:rsidR="00AF42B4" w:rsidRPr="00DA32D9">
        <w:rPr>
          <w:sz w:val="20"/>
          <w:szCs w:val="20"/>
        </w:rPr>
        <w:t>i</w:t>
      </w:r>
      <w:r w:rsidRPr="00DA32D9">
        <w:rPr>
          <w:sz w:val="20"/>
          <w:szCs w:val="20"/>
        </w:rPr>
        <w:t>s associated with GC metastasis</w:t>
      </w:r>
    </w:p>
    <w:p w14:paraId="03A05493" w14:textId="0F83A3D0" w:rsidR="00035E5B" w:rsidRPr="00DA32D9" w:rsidRDefault="0019595D" w:rsidP="00DA32D9">
      <w:pPr>
        <w:snapToGrid w:val="0"/>
        <w:rPr>
          <w:rFonts w:eastAsia="宋体"/>
          <w:kern w:val="0"/>
          <w:sz w:val="20"/>
          <w:szCs w:val="20"/>
        </w:rPr>
      </w:pPr>
      <w:r w:rsidRPr="00DA32D9">
        <w:rPr>
          <w:sz w:val="20"/>
          <w:szCs w:val="20"/>
        </w:rPr>
        <w:t xml:space="preserve">Here, we compared the expression of miR-182 and exosomal miR-182 in different </w:t>
      </w:r>
      <w:r w:rsidR="00AF42B4" w:rsidRPr="00DA32D9">
        <w:rPr>
          <w:sz w:val="20"/>
          <w:szCs w:val="20"/>
        </w:rPr>
        <w:t>tumor-node-metastasis (T</w:t>
      </w:r>
      <w:r w:rsidRPr="00DA32D9">
        <w:rPr>
          <w:sz w:val="20"/>
          <w:szCs w:val="20"/>
        </w:rPr>
        <w:t>NM</w:t>
      </w:r>
      <w:r w:rsidR="00AF42B4" w:rsidRPr="00DA32D9">
        <w:rPr>
          <w:sz w:val="20"/>
          <w:szCs w:val="20"/>
        </w:rPr>
        <w:t>)</w:t>
      </w:r>
      <w:r w:rsidRPr="00DA32D9">
        <w:rPr>
          <w:sz w:val="20"/>
          <w:szCs w:val="20"/>
        </w:rPr>
        <w:t xml:space="preserve"> phases and analyzed the correlation between miR-182 and clinical features (Figure 3, Table 2). As shown in Figure 3, miR-182 and exosomal miR-182 w</w:t>
      </w:r>
      <w:r w:rsidR="00AF42B4" w:rsidRPr="00DA32D9">
        <w:rPr>
          <w:sz w:val="20"/>
          <w:szCs w:val="20"/>
        </w:rPr>
        <w:t>ere</w:t>
      </w:r>
      <w:r w:rsidRPr="00DA32D9">
        <w:rPr>
          <w:sz w:val="20"/>
          <w:szCs w:val="20"/>
        </w:rPr>
        <w:t xml:space="preserve"> highly expressed in the N1/N2/N3 and M1 phases. Table 2 illustrate</w:t>
      </w:r>
      <w:r w:rsidR="00AF42B4" w:rsidRPr="00DA32D9">
        <w:rPr>
          <w:sz w:val="20"/>
          <w:szCs w:val="20"/>
        </w:rPr>
        <w:t>s</w:t>
      </w:r>
      <w:r w:rsidRPr="00DA32D9">
        <w:rPr>
          <w:sz w:val="20"/>
          <w:szCs w:val="20"/>
        </w:rPr>
        <w:t xml:space="preserve"> that miR-182 was associated with</w:t>
      </w:r>
      <w:r w:rsidR="00AF42B4" w:rsidRPr="00DA32D9">
        <w:rPr>
          <w:sz w:val="20"/>
          <w:szCs w:val="20"/>
        </w:rPr>
        <w:t xml:space="preserve"> the</w:t>
      </w:r>
      <w:r w:rsidRPr="00DA32D9">
        <w:rPr>
          <w:sz w:val="20"/>
          <w:szCs w:val="20"/>
        </w:rPr>
        <w:t xml:space="preserve"> N</w:t>
      </w:r>
      <w:r w:rsidR="00AF42B4" w:rsidRPr="00DA32D9">
        <w:rPr>
          <w:sz w:val="20"/>
          <w:szCs w:val="20"/>
        </w:rPr>
        <w:t xml:space="preserve"> and</w:t>
      </w:r>
      <w:r w:rsidRPr="00DA32D9">
        <w:rPr>
          <w:sz w:val="20"/>
          <w:szCs w:val="20"/>
        </w:rPr>
        <w:t xml:space="preserve"> </w:t>
      </w:r>
      <w:r w:rsidR="00AF42B4" w:rsidRPr="00DA32D9">
        <w:rPr>
          <w:sz w:val="20"/>
          <w:szCs w:val="20"/>
        </w:rPr>
        <w:t xml:space="preserve">M </w:t>
      </w:r>
      <w:r w:rsidRPr="00DA32D9">
        <w:rPr>
          <w:sz w:val="20"/>
          <w:szCs w:val="20"/>
        </w:rPr>
        <w:t>phase</w:t>
      </w:r>
      <w:r w:rsidR="00AF42B4" w:rsidRPr="00DA32D9">
        <w:rPr>
          <w:sz w:val="20"/>
          <w:szCs w:val="20"/>
        </w:rPr>
        <w:t xml:space="preserve">s </w:t>
      </w:r>
      <w:r w:rsidRPr="00DA32D9">
        <w:rPr>
          <w:sz w:val="20"/>
          <w:szCs w:val="20"/>
        </w:rPr>
        <w:t>and RECK expression.</w:t>
      </w:r>
    </w:p>
    <w:p w14:paraId="38D93BCF" w14:textId="77777777" w:rsidR="00035E5B" w:rsidRPr="00DA32D9" w:rsidRDefault="00035E5B" w:rsidP="00DA32D9">
      <w:pPr>
        <w:snapToGrid w:val="0"/>
        <w:rPr>
          <w:rFonts w:cs="Times New Roman"/>
          <w:sz w:val="20"/>
          <w:szCs w:val="20"/>
        </w:rPr>
      </w:pPr>
    </w:p>
    <w:p w14:paraId="00D834B7" w14:textId="483029E5" w:rsidR="00035E5B" w:rsidRPr="00DA32D9" w:rsidRDefault="0019595D" w:rsidP="00DA32D9">
      <w:pPr>
        <w:pStyle w:val="2"/>
        <w:keepNext w:val="0"/>
        <w:keepLines w:val="0"/>
        <w:snapToGrid w:val="0"/>
        <w:spacing w:line="360" w:lineRule="auto"/>
        <w:rPr>
          <w:sz w:val="20"/>
          <w:szCs w:val="20"/>
        </w:rPr>
      </w:pPr>
      <w:r w:rsidRPr="00DA32D9">
        <w:rPr>
          <w:sz w:val="20"/>
          <w:szCs w:val="20"/>
        </w:rPr>
        <w:t>Exosomal miR-182 c</w:t>
      </w:r>
      <w:r w:rsidR="00AF42B4" w:rsidRPr="00DA32D9">
        <w:rPr>
          <w:sz w:val="20"/>
          <w:szCs w:val="20"/>
        </w:rPr>
        <w:t>an</w:t>
      </w:r>
      <w:r w:rsidRPr="00DA32D9">
        <w:rPr>
          <w:sz w:val="20"/>
          <w:szCs w:val="20"/>
        </w:rPr>
        <w:t xml:space="preserve"> promote cell proliferation, migration and invasion, and inhibit apoptosis and RECK expression</w:t>
      </w:r>
    </w:p>
    <w:p w14:paraId="016B1305" w14:textId="11519B05" w:rsidR="00035E5B" w:rsidRPr="00DA32D9" w:rsidRDefault="0019595D" w:rsidP="00DA32D9">
      <w:pPr>
        <w:snapToGrid w:val="0"/>
        <w:rPr>
          <w:rFonts w:eastAsia="宋体"/>
          <w:kern w:val="0"/>
          <w:sz w:val="20"/>
          <w:szCs w:val="20"/>
        </w:rPr>
      </w:pPr>
      <w:r w:rsidRPr="00DA32D9">
        <w:rPr>
          <w:sz w:val="20"/>
          <w:szCs w:val="20"/>
        </w:rPr>
        <w:t>As mentioned earlier, miR-182 and RECK presented the highest and lowest expression</w:t>
      </w:r>
      <w:r w:rsidR="00AF42B4" w:rsidRPr="00DA32D9">
        <w:rPr>
          <w:sz w:val="20"/>
          <w:szCs w:val="20"/>
        </w:rPr>
        <w:t>, respectively</w:t>
      </w:r>
      <w:r w:rsidRPr="00DA32D9">
        <w:rPr>
          <w:sz w:val="20"/>
          <w:szCs w:val="20"/>
        </w:rPr>
        <w:t xml:space="preserve"> in NOZ cell lines</w:t>
      </w:r>
      <w:r w:rsidR="00AF42B4" w:rsidRPr="00DA32D9">
        <w:rPr>
          <w:sz w:val="20"/>
          <w:szCs w:val="20"/>
        </w:rPr>
        <w:t xml:space="preserve">; </w:t>
      </w:r>
      <w:r w:rsidRPr="00DA32D9">
        <w:rPr>
          <w:sz w:val="20"/>
          <w:szCs w:val="20"/>
        </w:rPr>
        <w:t xml:space="preserve">thus exosomal miR-182 in NOZ cells was extracted and co-cultured with EH-GB1 and GBS-SD cells to observe the effect of miR-182 on cell biological function. Cell viability was detected by MTT, cell invasion and migration were measured by </w:t>
      </w:r>
      <w:r w:rsidR="00AF42B4" w:rsidRPr="00DA32D9">
        <w:rPr>
          <w:sz w:val="20"/>
          <w:szCs w:val="20"/>
        </w:rPr>
        <w:t xml:space="preserve">the </w:t>
      </w:r>
      <w:r w:rsidRPr="00DA32D9">
        <w:rPr>
          <w:sz w:val="20"/>
          <w:szCs w:val="20"/>
        </w:rPr>
        <w:t xml:space="preserve">Transwell </w:t>
      </w:r>
      <w:r w:rsidR="00AF42B4" w:rsidRPr="00DA32D9">
        <w:rPr>
          <w:sz w:val="20"/>
          <w:szCs w:val="20"/>
        </w:rPr>
        <w:t>assay</w:t>
      </w:r>
      <w:r w:rsidRPr="00DA32D9">
        <w:rPr>
          <w:sz w:val="20"/>
          <w:szCs w:val="20"/>
        </w:rPr>
        <w:t xml:space="preserve">, protein </w:t>
      </w:r>
      <w:r w:rsidR="00AF42B4" w:rsidRPr="00DA32D9">
        <w:rPr>
          <w:sz w:val="20"/>
          <w:szCs w:val="20"/>
        </w:rPr>
        <w:t xml:space="preserve">expression </w:t>
      </w:r>
      <w:r w:rsidRPr="00DA32D9">
        <w:rPr>
          <w:sz w:val="20"/>
          <w:szCs w:val="20"/>
        </w:rPr>
        <w:t xml:space="preserve">was </w:t>
      </w:r>
      <w:r w:rsidR="00AF42B4" w:rsidRPr="00DA32D9">
        <w:rPr>
          <w:sz w:val="20"/>
          <w:szCs w:val="20"/>
        </w:rPr>
        <w:t xml:space="preserve">detected </w:t>
      </w:r>
      <w:r w:rsidRPr="00DA32D9">
        <w:rPr>
          <w:sz w:val="20"/>
          <w:szCs w:val="20"/>
        </w:rPr>
        <w:t>by Western blot</w:t>
      </w:r>
      <w:r w:rsidR="00AF42B4" w:rsidRPr="00DA32D9">
        <w:rPr>
          <w:sz w:val="20"/>
          <w:szCs w:val="20"/>
        </w:rPr>
        <w:t>ting,</w:t>
      </w:r>
      <w:r w:rsidRPr="00DA32D9">
        <w:rPr>
          <w:sz w:val="20"/>
          <w:szCs w:val="20"/>
        </w:rPr>
        <w:t xml:space="preserve"> and apoptosis was determined by flow cytometry. Compared with the NC group, the cell viability (Figure 4A</w:t>
      </w:r>
      <w:r w:rsidR="00BA319B" w:rsidRPr="00DA32D9">
        <w:rPr>
          <w:sz w:val="20"/>
          <w:szCs w:val="20"/>
        </w:rPr>
        <w:t xml:space="preserve"> and </w:t>
      </w:r>
      <w:r w:rsidRPr="00DA32D9">
        <w:rPr>
          <w:sz w:val="20"/>
          <w:szCs w:val="20"/>
        </w:rPr>
        <w:t>B), cell invasion (Figure 4C)</w:t>
      </w:r>
      <w:r w:rsidR="006D4768" w:rsidRPr="00DA32D9">
        <w:rPr>
          <w:sz w:val="20"/>
          <w:szCs w:val="20"/>
        </w:rPr>
        <w:t>,</w:t>
      </w:r>
      <w:r w:rsidRPr="00DA32D9">
        <w:rPr>
          <w:sz w:val="20"/>
          <w:szCs w:val="20"/>
        </w:rPr>
        <w:t xml:space="preserve"> and migration (Figure 4D) of the exosomal miR-182 group were enhanced, wh</w:t>
      </w:r>
      <w:r w:rsidR="006D4768" w:rsidRPr="00DA32D9">
        <w:rPr>
          <w:sz w:val="20"/>
          <w:szCs w:val="20"/>
        </w:rPr>
        <w:t>ereas</w:t>
      </w:r>
      <w:r w:rsidRPr="00DA32D9">
        <w:rPr>
          <w:sz w:val="20"/>
          <w:szCs w:val="20"/>
        </w:rPr>
        <w:t xml:space="preserve"> apoptosis (Figure 4</w:t>
      </w:r>
      <w:r w:rsidR="00E13E93" w:rsidRPr="00DA32D9">
        <w:rPr>
          <w:sz w:val="20"/>
          <w:szCs w:val="20"/>
        </w:rPr>
        <w:t>E</w:t>
      </w:r>
      <w:r w:rsidRPr="00DA32D9">
        <w:rPr>
          <w:sz w:val="20"/>
          <w:szCs w:val="20"/>
        </w:rPr>
        <w:t>, Supplementary</w:t>
      </w:r>
      <w:r w:rsidRPr="00DA32D9">
        <w:rPr>
          <w:caps/>
          <w:sz w:val="20"/>
          <w:szCs w:val="20"/>
        </w:rPr>
        <w:t xml:space="preserve"> f</w:t>
      </w:r>
      <w:r w:rsidRPr="00DA32D9">
        <w:rPr>
          <w:sz w:val="20"/>
          <w:szCs w:val="20"/>
        </w:rPr>
        <w:t>igure 1A</w:t>
      </w:r>
      <w:r w:rsidR="00C20B2B" w:rsidRPr="00DA32D9">
        <w:rPr>
          <w:sz w:val="20"/>
          <w:szCs w:val="20"/>
        </w:rPr>
        <w:t xml:space="preserve"> and </w:t>
      </w:r>
      <w:r w:rsidRPr="00DA32D9">
        <w:rPr>
          <w:sz w:val="20"/>
          <w:szCs w:val="20"/>
        </w:rPr>
        <w:t xml:space="preserve">C) was attenuated. In addition, compared with the NC group, the expression levels of RECK, </w:t>
      </w:r>
      <w:r w:rsidR="006D4768" w:rsidRPr="00DA32D9">
        <w:rPr>
          <w:sz w:val="20"/>
          <w:szCs w:val="20"/>
        </w:rPr>
        <w:t>c</w:t>
      </w:r>
      <w:r w:rsidRPr="00DA32D9">
        <w:rPr>
          <w:sz w:val="20"/>
          <w:szCs w:val="20"/>
        </w:rPr>
        <w:t>aspase</w:t>
      </w:r>
      <w:r w:rsidR="006D4768" w:rsidRPr="00DA32D9">
        <w:rPr>
          <w:sz w:val="20"/>
          <w:szCs w:val="20"/>
        </w:rPr>
        <w:t>-</w:t>
      </w:r>
      <w:r w:rsidRPr="00DA32D9">
        <w:rPr>
          <w:sz w:val="20"/>
          <w:szCs w:val="20"/>
        </w:rPr>
        <w:t xml:space="preserve">3, </w:t>
      </w:r>
      <w:r w:rsidR="006D4768" w:rsidRPr="00DA32D9">
        <w:rPr>
          <w:sz w:val="20"/>
          <w:szCs w:val="20"/>
        </w:rPr>
        <w:t>c</w:t>
      </w:r>
      <w:r w:rsidRPr="00DA32D9">
        <w:rPr>
          <w:sz w:val="20"/>
          <w:szCs w:val="20"/>
        </w:rPr>
        <w:t>aspase</w:t>
      </w:r>
      <w:r w:rsidR="006D4768" w:rsidRPr="00DA32D9">
        <w:rPr>
          <w:sz w:val="20"/>
          <w:szCs w:val="20"/>
        </w:rPr>
        <w:t>-</w:t>
      </w:r>
      <w:r w:rsidRPr="00DA32D9">
        <w:rPr>
          <w:sz w:val="20"/>
          <w:szCs w:val="20"/>
        </w:rPr>
        <w:t>9, E-cadherin</w:t>
      </w:r>
      <w:r w:rsidR="006D4768" w:rsidRPr="00DA32D9">
        <w:rPr>
          <w:sz w:val="20"/>
          <w:szCs w:val="20"/>
        </w:rPr>
        <w:t>,</w:t>
      </w:r>
      <w:r w:rsidRPr="00DA32D9">
        <w:rPr>
          <w:sz w:val="20"/>
          <w:szCs w:val="20"/>
        </w:rPr>
        <w:t xml:space="preserve"> and Bax were downregulated in the </w:t>
      </w:r>
      <w:r w:rsidRPr="00DA32D9">
        <w:rPr>
          <w:sz w:val="20"/>
          <w:szCs w:val="20"/>
        </w:rPr>
        <w:lastRenderedPageBreak/>
        <w:t>exosomal miR-182 group, wh</w:t>
      </w:r>
      <w:r w:rsidR="006D4768" w:rsidRPr="00DA32D9">
        <w:rPr>
          <w:sz w:val="20"/>
          <w:szCs w:val="20"/>
        </w:rPr>
        <w:t>ereas</w:t>
      </w:r>
      <w:r w:rsidRPr="00DA32D9">
        <w:rPr>
          <w:sz w:val="20"/>
          <w:szCs w:val="20"/>
        </w:rPr>
        <w:t xml:space="preserve"> the expression levels of Bcl-2, N-cadherin and </w:t>
      </w:r>
      <w:r w:rsidRPr="008001B6">
        <w:rPr>
          <w:rFonts w:ascii="Times New Roman" w:hAnsi="Times New Roman" w:cs="Times New Roman"/>
          <w:sz w:val="20"/>
          <w:szCs w:val="20"/>
        </w:rPr>
        <w:t>β</w:t>
      </w:r>
      <w:r w:rsidRPr="00DA32D9">
        <w:rPr>
          <w:sz w:val="20"/>
          <w:szCs w:val="20"/>
        </w:rPr>
        <w:t>-catenin were upregulated (Figure 4E). These results revealed that exosomal miR-182 promoted cell proliferation, migration and invasion, and inhibited apoptosis and RECK expression.</w:t>
      </w:r>
    </w:p>
    <w:p w14:paraId="03C565B0" w14:textId="77777777" w:rsidR="00035E5B" w:rsidRPr="00DA32D9" w:rsidRDefault="00035E5B" w:rsidP="00DA32D9">
      <w:pPr>
        <w:snapToGrid w:val="0"/>
        <w:rPr>
          <w:rFonts w:cs="Times New Roman"/>
          <w:sz w:val="20"/>
          <w:szCs w:val="20"/>
        </w:rPr>
      </w:pPr>
    </w:p>
    <w:p w14:paraId="46DAB8C2" w14:textId="6A7D7534" w:rsidR="00035E5B" w:rsidRPr="00DA32D9" w:rsidRDefault="0019595D" w:rsidP="00DA32D9">
      <w:pPr>
        <w:pStyle w:val="2"/>
        <w:keepNext w:val="0"/>
        <w:keepLines w:val="0"/>
        <w:snapToGrid w:val="0"/>
        <w:spacing w:line="360" w:lineRule="auto"/>
        <w:rPr>
          <w:rFonts w:eastAsia="宋体"/>
          <w:kern w:val="0"/>
          <w:sz w:val="20"/>
          <w:szCs w:val="20"/>
        </w:rPr>
      </w:pPr>
      <w:r w:rsidRPr="00DA32D9">
        <w:rPr>
          <w:sz w:val="20"/>
          <w:szCs w:val="20"/>
        </w:rPr>
        <w:t>RECK inhibit</w:t>
      </w:r>
      <w:r w:rsidR="006D4768" w:rsidRPr="00DA32D9">
        <w:rPr>
          <w:sz w:val="20"/>
          <w:szCs w:val="20"/>
        </w:rPr>
        <w:t>s</w:t>
      </w:r>
      <w:r w:rsidRPr="00DA32D9">
        <w:rPr>
          <w:sz w:val="20"/>
          <w:szCs w:val="20"/>
        </w:rPr>
        <w:t xml:space="preserve"> cell proliferation, migration and invasion, and promote</w:t>
      </w:r>
      <w:r w:rsidR="006D4768" w:rsidRPr="00DA32D9">
        <w:rPr>
          <w:sz w:val="20"/>
          <w:szCs w:val="20"/>
        </w:rPr>
        <w:t>s</w:t>
      </w:r>
      <w:r w:rsidRPr="00DA32D9">
        <w:rPr>
          <w:sz w:val="20"/>
          <w:szCs w:val="20"/>
        </w:rPr>
        <w:t xml:space="preserve"> apoptosis</w:t>
      </w:r>
    </w:p>
    <w:p w14:paraId="4FEED54C" w14:textId="0EE43314" w:rsidR="00035E5B" w:rsidRPr="00DA32D9" w:rsidRDefault="0019595D" w:rsidP="00DA32D9">
      <w:pPr>
        <w:snapToGrid w:val="0"/>
        <w:rPr>
          <w:rFonts w:eastAsia="宋体"/>
          <w:kern w:val="0"/>
          <w:sz w:val="20"/>
          <w:szCs w:val="20"/>
        </w:rPr>
      </w:pPr>
      <w:r w:rsidRPr="00DA32D9">
        <w:rPr>
          <w:sz w:val="20"/>
          <w:szCs w:val="20"/>
        </w:rPr>
        <w:t xml:space="preserve">The expression of RECK was regulated by exosomal miR-182. In order to understand whether the change of RECK expression was related to the occurrence of GC, we inhibited RECK and observed its effect on the biological function of GC cells (Figure 5). Compared with the NC group, the RECK siRNA group </w:t>
      </w:r>
      <w:r w:rsidR="006D4768" w:rsidRPr="00DA32D9">
        <w:rPr>
          <w:sz w:val="20"/>
          <w:szCs w:val="20"/>
        </w:rPr>
        <w:t xml:space="preserve">had </w:t>
      </w:r>
      <w:r w:rsidRPr="00DA32D9">
        <w:rPr>
          <w:sz w:val="20"/>
          <w:szCs w:val="20"/>
        </w:rPr>
        <w:t>increased cell viability (Figure 5A</w:t>
      </w:r>
      <w:r w:rsidR="00F84C4E" w:rsidRPr="00DA32D9">
        <w:rPr>
          <w:sz w:val="20"/>
          <w:szCs w:val="20"/>
        </w:rPr>
        <w:t xml:space="preserve"> and </w:t>
      </w:r>
      <w:r w:rsidRPr="00DA32D9">
        <w:rPr>
          <w:sz w:val="20"/>
          <w:szCs w:val="20"/>
        </w:rPr>
        <w:t xml:space="preserve">B), enhanced cell invasion (Figure 5C) and migration (Figure 5D), and decreased apoptosis (Supplementary </w:t>
      </w:r>
      <w:r w:rsidRPr="00DA32D9">
        <w:rPr>
          <w:caps/>
          <w:sz w:val="20"/>
          <w:szCs w:val="20"/>
        </w:rPr>
        <w:t>f</w:t>
      </w:r>
      <w:r w:rsidRPr="00DA32D9">
        <w:rPr>
          <w:sz w:val="20"/>
          <w:szCs w:val="20"/>
        </w:rPr>
        <w:t>igure 1B</w:t>
      </w:r>
      <w:r w:rsidR="00DB0854" w:rsidRPr="00DA32D9">
        <w:rPr>
          <w:sz w:val="20"/>
          <w:szCs w:val="20"/>
        </w:rPr>
        <w:t xml:space="preserve"> and </w:t>
      </w:r>
      <w:r w:rsidRPr="00DA32D9">
        <w:rPr>
          <w:sz w:val="20"/>
          <w:szCs w:val="20"/>
        </w:rPr>
        <w:t xml:space="preserve">D). In addition, the expression levels of </w:t>
      </w:r>
      <w:r w:rsidR="006D4768" w:rsidRPr="00DA32D9">
        <w:rPr>
          <w:sz w:val="20"/>
          <w:szCs w:val="20"/>
        </w:rPr>
        <w:t>c</w:t>
      </w:r>
      <w:r w:rsidRPr="00DA32D9">
        <w:rPr>
          <w:sz w:val="20"/>
          <w:szCs w:val="20"/>
        </w:rPr>
        <w:t>aspase</w:t>
      </w:r>
      <w:r w:rsidR="006D4768" w:rsidRPr="00DA32D9">
        <w:rPr>
          <w:sz w:val="20"/>
          <w:szCs w:val="20"/>
        </w:rPr>
        <w:t>-</w:t>
      </w:r>
      <w:r w:rsidRPr="00DA32D9">
        <w:rPr>
          <w:sz w:val="20"/>
          <w:szCs w:val="20"/>
        </w:rPr>
        <w:t xml:space="preserve">3, </w:t>
      </w:r>
      <w:r w:rsidR="006D4768" w:rsidRPr="00DA32D9">
        <w:rPr>
          <w:sz w:val="20"/>
          <w:szCs w:val="20"/>
        </w:rPr>
        <w:t>c</w:t>
      </w:r>
      <w:r w:rsidRPr="00DA32D9">
        <w:rPr>
          <w:sz w:val="20"/>
          <w:szCs w:val="20"/>
        </w:rPr>
        <w:t>aspase</w:t>
      </w:r>
      <w:r w:rsidR="006D4768" w:rsidRPr="00DA32D9">
        <w:rPr>
          <w:sz w:val="20"/>
          <w:szCs w:val="20"/>
        </w:rPr>
        <w:t>-</w:t>
      </w:r>
      <w:r w:rsidRPr="00DA32D9">
        <w:rPr>
          <w:sz w:val="20"/>
          <w:szCs w:val="20"/>
        </w:rPr>
        <w:t>9, E-cadherin</w:t>
      </w:r>
      <w:r w:rsidR="006D4768" w:rsidRPr="00DA32D9">
        <w:rPr>
          <w:sz w:val="20"/>
          <w:szCs w:val="20"/>
        </w:rPr>
        <w:t>,</w:t>
      </w:r>
      <w:r w:rsidRPr="00DA32D9">
        <w:rPr>
          <w:sz w:val="20"/>
          <w:szCs w:val="20"/>
        </w:rPr>
        <w:t xml:space="preserve"> and Bax in the RECK siRNA group were downregulated, while the expression levels of Bcl-2, N-cadherin</w:t>
      </w:r>
      <w:r w:rsidR="006D4768" w:rsidRPr="00DA32D9">
        <w:rPr>
          <w:sz w:val="20"/>
          <w:szCs w:val="20"/>
        </w:rPr>
        <w:t>,</w:t>
      </w:r>
      <w:r w:rsidRPr="00DA32D9">
        <w:rPr>
          <w:sz w:val="20"/>
          <w:szCs w:val="20"/>
        </w:rPr>
        <w:t xml:space="preserve"> and </w:t>
      </w:r>
      <w:r w:rsidRPr="008001B6">
        <w:rPr>
          <w:rFonts w:ascii="Times New Roman" w:hAnsi="Times New Roman" w:cs="Times New Roman"/>
          <w:sz w:val="20"/>
          <w:szCs w:val="20"/>
        </w:rPr>
        <w:t>β</w:t>
      </w:r>
      <w:r w:rsidRPr="00DA32D9">
        <w:rPr>
          <w:sz w:val="20"/>
          <w:szCs w:val="20"/>
        </w:rPr>
        <w:t>-catenin were upregulated in contrast with the NC group. These results indicated that RECK promoted apoptosis and inhibited cell proliferation, migration</w:t>
      </w:r>
      <w:r w:rsidR="006D4768" w:rsidRPr="00DA32D9">
        <w:rPr>
          <w:sz w:val="20"/>
          <w:szCs w:val="20"/>
        </w:rPr>
        <w:t>,</w:t>
      </w:r>
      <w:r w:rsidRPr="00DA32D9">
        <w:rPr>
          <w:sz w:val="20"/>
          <w:szCs w:val="20"/>
        </w:rPr>
        <w:t xml:space="preserve"> and invasion.</w:t>
      </w:r>
    </w:p>
    <w:p w14:paraId="187997C8" w14:textId="77777777" w:rsidR="00035E5B" w:rsidRPr="00DA32D9" w:rsidRDefault="00035E5B" w:rsidP="00DA32D9">
      <w:pPr>
        <w:snapToGrid w:val="0"/>
        <w:rPr>
          <w:rFonts w:cs="Times New Roman"/>
          <w:sz w:val="20"/>
          <w:szCs w:val="20"/>
        </w:rPr>
      </w:pPr>
    </w:p>
    <w:p w14:paraId="0BC09EF6" w14:textId="6388498D" w:rsidR="00035E5B" w:rsidRPr="00DA32D9" w:rsidRDefault="0019595D" w:rsidP="00DA32D9">
      <w:pPr>
        <w:pStyle w:val="2"/>
        <w:keepNext w:val="0"/>
        <w:keepLines w:val="0"/>
        <w:snapToGrid w:val="0"/>
        <w:spacing w:line="360" w:lineRule="auto"/>
        <w:rPr>
          <w:rFonts w:eastAsia="宋体"/>
          <w:kern w:val="0"/>
          <w:sz w:val="20"/>
          <w:szCs w:val="20"/>
        </w:rPr>
      </w:pPr>
      <w:r w:rsidRPr="00DA32D9">
        <w:rPr>
          <w:sz w:val="20"/>
          <w:szCs w:val="20"/>
        </w:rPr>
        <w:t>MiR-182 target</w:t>
      </w:r>
      <w:r w:rsidR="006D4768" w:rsidRPr="00DA32D9">
        <w:rPr>
          <w:sz w:val="20"/>
          <w:szCs w:val="20"/>
        </w:rPr>
        <w:t>s</w:t>
      </w:r>
      <w:r w:rsidRPr="00DA32D9">
        <w:rPr>
          <w:sz w:val="20"/>
          <w:szCs w:val="20"/>
        </w:rPr>
        <w:t xml:space="preserve"> inhibition of RECK expression</w:t>
      </w:r>
    </w:p>
    <w:p w14:paraId="779F0BE5" w14:textId="7E7A8467" w:rsidR="00035E5B" w:rsidRPr="00DA32D9" w:rsidRDefault="0019595D" w:rsidP="00DA32D9">
      <w:pPr>
        <w:snapToGrid w:val="0"/>
        <w:rPr>
          <w:rFonts w:eastAsia="宋体"/>
          <w:kern w:val="0"/>
          <w:sz w:val="20"/>
          <w:szCs w:val="20"/>
        </w:rPr>
      </w:pPr>
      <w:r w:rsidRPr="00DA32D9">
        <w:rPr>
          <w:sz w:val="20"/>
          <w:szCs w:val="20"/>
        </w:rPr>
        <w:t>The Target</w:t>
      </w:r>
      <w:r w:rsidRPr="00DA32D9">
        <w:rPr>
          <w:caps/>
          <w:sz w:val="20"/>
          <w:szCs w:val="20"/>
        </w:rPr>
        <w:t>s</w:t>
      </w:r>
      <w:r w:rsidRPr="00DA32D9">
        <w:rPr>
          <w:sz w:val="20"/>
          <w:szCs w:val="20"/>
        </w:rPr>
        <w:t xml:space="preserve">can database predicted that miR-182 had binding sites </w:t>
      </w:r>
      <w:r w:rsidR="006D4768" w:rsidRPr="00DA32D9">
        <w:rPr>
          <w:sz w:val="20"/>
          <w:szCs w:val="20"/>
        </w:rPr>
        <w:t xml:space="preserve">on </w:t>
      </w:r>
      <w:r w:rsidRPr="00DA32D9">
        <w:rPr>
          <w:sz w:val="20"/>
          <w:szCs w:val="20"/>
        </w:rPr>
        <w:t>RECK mRNA (Figure 6A). The double luciferase reporter gene assay confirmed that miR-182 had a targeting relationship with RECK mRNA (Figure 6B</w:t>
      </w:r>
      <w:r w:rsidR="00E4799F" w:rsidRPr="00DA32D9">
        <w:rPr>
          <w:sz w:val="20"/>
          <w:szCs w:val="20"/>
        </w:rPr>
        <w:t xml:space="preserve"> and </w:t>
      </w:r>
      <w:r w:rsidRPr="00DA32D9">
        <w:rPr>
          <w:sz w:val="20"/>
          <w:szCs w:val="20"/>
        </w:rPr>
        <w:t>C). In addition, a negative correlation between miR-182 and RECK protein was validated by Pearson</w:t>
      </w:r>
      <w:r w:rsidR="006D4768" w:rsidRPr="00DA32D9">
        <w:rPr>
          <w:sz w:val="20"/>
          <w:szCs w:val="20"/>
        </w:rPr>
        <w:t>’s</w:t>
      </w:r>
      <w:r w:rsidRPr="00DA32D9">
        <w:rPr>
          <w:sz w:val="20"/>
          <w:szCs w:val="20"/>
        </w:rPr>
        <w:t xml:space="preserve"> analysis. The above results indicated that miR-182 could target to inhibit RECK.</w:t>
      </w:r>
    </w:p>
    <w:p w14:paraId="2B9849CD" w14:textId="77777777" w:rsidR="00035E5B" w:rsidRPr="00DA32D9" w:rsidRDefault="00035E5B" w:rsidP="00DA32D9">
      <w:pPr>
        <w:snapToGrid w:val="0"/>
        <w:rPr>
          <w:rFonts w:cs="Times New Roman"/>
          <w:sz w:val="20"/>
          <w:szCs w:val="20"/>
        </w:rPr>
      </w:pPr>
    </w:p>
    <w:p w14:paraId="0C540FD3" w14:textId="77777777" w:rsidR="00035E5B" w:rsidRPr="00DA32D9" w:rsidRDefault="0019595D" w:rsidP="00DA32D9">
      <w:pPr>
        <w:pStyle w:val="2"/>
        <w:keepNext w:val="0"/>
        <w:keepLines w:val="0"/>
        <w:snapToGrid w:val="0"/>
        <w:spacing w:line="360" w:lineRule="auto"/>
        <w:rPr>
          <w:rFonts w:eastAsia="宋体"/>
          <w:kern w:val="0"/>
          <w:sz w:val="20"/>
          <w:szCs w:val="20"/>
        </w:rPr>
      </w:pPr>
      <w:r w:rsidRPr="00DA32D9">
        <w:rPr>
          <w:sz w:val="20"/>
          <w:szCs w:val="20"/>
        </w:rPr>
        <w:t>Rescue experiment</w:t>
      </w:r>
    </w:p>
    <w:p w14:paraId="0FEFB6AC" w14:textId="6DFECE2E" w:rsidR="00035E5B" w:rsidRPr="00DA32D9" w:rsidRDefault="0019595D" w:rsidP="00DA32D9">
      <w:pPr>
        <w:snapToGrid w:val="0"/>
        <w:rPr>
          <w:rFonts w:eastAsia="宋体"/>
          <w:kern w:val="0"/>
          <w:sz w:val="20"/>
          <w:szCs w:val="20"/>
        </w:rPr>
      </w:pPr>
      <w:r w:rsidRPr="00DA32D9">
        <w:rPr>
          <w:sz w:val="20"/>
          <w:szCs w:val="20"/>
        </w:rPr>
        <w:t>Exosomal miR-182</w:t>
      </w:r>
      <w:r w:rsidR="006D4768" w:rsidRPr="00DA32D9">
        <w:rPr>
          <w:sz w:val="20"/>
          <w:szCs w:val="20"/>
        </w:rPr>
        <w:t xml:space="preserve"> and </w:t>
      </w:r>
      <w:r w:rsidRPr="00DA32D9">
        <w:rPr>
          <w:sz w:val="20"/>
          <w:szCs w:val="20"/>
        </w:rPr>
        <w:t>exosomal miR-182+RECK overexpression vector</w:t>
      </w:r>
      <w:r w:rsidR="006D4768" w:rsidRPr="00DA32D9">
        <w:rPr>
          <w:sz w:val="20"/>
          <w:szCs w:val="20"/>
        </w:rPr>
        <w:t>s</w:t>
      </w:r>
      <w:r w:rsidRPr="00DA32D9">
        <w:rPr>
          <w:sz w:val="20"/>
          <w:szCs w:val="20"/>
        </w:rPr>
        <w:t xml:space="preserve"> were added to GC cells </w:t>
      </w:r>
      <w:r w:rsidR="006D4768" w:rsidRPr="00DA32D9">
        <w:rPr>
          <w:sz w:val="20"/>
          <w:szCs w:val="20"/>
        </w:rPr>
        <w:t>to perform</w:t>
      </w:r>
      <w:r w:rsidRPr="00DA32D9">
        <w:rPr>
          <w:sz w:val="20"/>
          <w:szCs w:val="20"/>
        </w:rPr>
        <w:t xml:space="preserve"> </w:t>
      </w:r>
      <w:r w:rsidR="006D4768" w:rsidRPr="00DA32D9">
        <w:rPr>
          <w:sz w:val="20"/>
          <w:szCs w:val="20"/>
        </w:rPr>
        <w:t xml:space="preserve">the </w:t>
      </w:r>
      <w:r w:rsidRPr="00DA32D9">
        <w:rPr>
          <w:sz w:val="20"/>
          <w:szCs w:val="20"/>
        </w:rPr>
        <w:t>MTT</w:t>
      </w:r>
      <w:r w:rsidR="006D4768" w:rsidRPr="00DA32D9">
        <w:rPr>
          <w:sz w:val="20"/>
          <w:szCs w:val="20"/>
        </w:rPr>
        <w:t xml:space="preserve"> assay</w:t>
      </w:r>
      <w:r w:rsidRPr="00DA32D9">
        <w:rPr>
          <w:sz w:val="20"/>
          <w:szCs w:val="20"/>
        </w:rPr>
        <w:t>, Western blot</w:t>
      </w:r>
      <w:r w:rsidR="006D4768" w:rsidRPr="00DA32D9">
        <w:rPr>
          <w:sz w:val="20"/>
          <w:szCs w:val="20"/>
        </w:rPr>
        <w:t xml:space="preserve"> analysis,</w:t>
      </w:r>
      <w:r w:rsidRPr="00DA32D9">
        <w:rPr>
          <w:sz w:val="20"/>
          <w:szCs w:val="20"/>
        </w:rPr>
        <w:t xml:space="preserve"> and Transwell </w:t>
      </w:r>
      <w:r w:rsidR="006D4768" w:rsidRPr="00DA32D9">
        <w:rPr>
          <w:sz w:val="20"/>
          <w:szCs w:val="20"/>
        </w:rPr>
        <w:t>assay</w:t>
      </w:r>
      <w:r w:rsidRPr="00DA32D9">
        <w:rPr>
          <w:sz w:val="20"/>
          <w:szCs w:val="20"/>
        </w:rPr>
        <w:t xml:space="preserve">. The results </w:t>
      </w:r>
      <w:r w:rsidR="006D4768" w:rsidRPr="00DA32D9">
        <w:rPr>
          <w:sz w:val="20"/>
          <w:szCs w:val="20"/>
        </w:rPr>
        <w:t xml:space="preserve">showed </w:t>
      </w:r>
      <w:r w:rsidRPr="00DA32D9">
        <w:rPr>
          <w:sz w:val="20"/>
          <w:szCs w:val="20"/>
        </w:rPr>
        <w:t>that compared with the exosomal miR-182 group, the cell viability, migration</w:t>
      </w:r>
      <w:r w:rsidR="006D4768" w:rsidRPr="00DA32D9">
        <w:rPr>
          <w:sz w:val="20"/>
          <w:szCs w:val="20"/>
        </w:rPr>
        <w:t>,</w:t>
      </w:r>
      <w:r w:rsidRPr="00DA32D9">
        <w:rPr>
          <w:sz w:val="20"/>
          <w:szCs w:val="20"/>
        </w:rPr>
        <w:t xml:space="preserve"> and invasion of </w:t>
      </w:r>
      <w:r w:rsidR="006D4768" w:rsidRPr="00DA32D9">
        <w:rPr>
          <w:sz w:val="20"/>
          <w:szCs w:val="20"/>
        </w:rPr>
        <w:t xml:space="preserve">the </w:t>
      </w:r>
      <w:r w:rsidRPr="00DA32D9">
        <w:rPr>
          <w:sz w:val="20"/>
          <w:szCs w:val="20"/>
        </w:rPr>
        <w:t xml:space="preserve">exosomal miR-182+RECK group decreased, and apoptosis increased. Meanwhile, </w:t>
      </w:r>
      <w:r w:rsidR="006D4768" w:rsidRPr="00DA32D9">
        <w:rPr>
          <w:sz w:val="20"/>
          <w:szCs w:val="20"/>
        </w:rPr>
        <w:t xml:space="preserve">the </w:t>
      </w:r>
      <w:r w:rsidRPr="00DA32D9">
        <w:rPr>
          <w:sz w:val="20"/>
          <w:szCs w:val="20"/>
        </w:rPr>
        <w:t xml:space="preserve">exosomal miR-182+RECK group showed upregulated </w:t>
      </w:r>
      <w:r w:rsidR="006D4768" w:rsidRPr="00DA32D9">
        <w:rPr>
          <w:sz w:val="20"/>
          <w:szCs w:val="20"/>
        </w:rPr>
        <w:t>c</w:t>
      </w:r>
      <w:r w:rsidRPr="00DA32D9">
        <w:rPr>
          <w:sz w:val="20"/>
          <w:szCs w:val="20"/>
        </w:rPr>
        <w:t>aspase</w:t>
      </w:r>
      <w:r w:rsidR="006D4768" w:rsidRPr="00DA32D9">
        <w:rPr>
          <w:sz w:val="20"/>
          <w:szCs w:val="20"/>
        </w:rPr>
        <w:t>-</w:t>
      </w:r>
      <w:r w:rsidRPr="00DA32D9">
        <w:rPr>
          <w:sz w:val="20"/>
          <w:szCs w:val="20"/>
        </w:rPr>
        <w:t xml:space="preserve">3, </w:t>
      </w:r>
      <w:r w:rsidR="006D4768" w:rsidRPr="00DA32D9">
        <w:rPr>
          <w:sz w:val="20"/>
          <w:szCs w:val="20"/>
        </w:rPr>
        <w:t>c</w:t>
      </w:r>
      <w:r w:rsidRPr="00DA32D9">
        <w:rPr>
          <w:sz w:val="20"/>
          <w:szCs w:val="20"/>
        </w:rPr>
        <w:t>aspase</w:t>
      </w:r>
      <w:r w:rsidR="006D4768" w:rsidRPr="00DA32D9">
        <w:rPr>
          <w:sz w:val="20"/>
          <w:szCs w:val="20"/>
        </w:rPr>
        <w:t>-</w:t>
      </w:r>
      <w:r w:rsidRPr="00DA32D9">
        <w:rPr>
          <w:sz w:val="20"/>
          <w:szCs w:val="20"/>
        </w:rPr>
        <w:t xml:space="preserve">9, E-cadherin </w:t>
      </w:r>
      <w:r w:rsidR="006D4768" w:rsidRPr="00DA32D9">
        <w:rPr>
          <w:sz w:val="20"/>
          <w:szCs w:val="20"/>
        </w:rPr>
        <w:t xml:space="preserve">and </w:t>
      </w:r>
      <w:r w:rsidRPr="00DA32D9">
        <w:rPr>
          <w:sz w:val="20"/>
          <w:szCs w:val="20"/>
        </w:rPr>
        <w:t>Bax and downregulated Bcl-2, N-cadherin</w:t>
      </w:r>
      <w:r w:rsidR="006D4768" w:rsidRPr="00DA32D9">
        <w:rPr>
          <w:sz w:val="20"/>
          <w:szCs w:val="20"/>
        </w:rPr>
        <w:t>,</w:t>
      </w:r>
      <w:r w:rsidRPr="00DA32D9">
        <w:rPr>
          <w:sz w:val="20"/>
          <w:szCs w:val="20"/>
        </w:rPr>
        <w:t xml:space="preserve"> and </w:t>
      </w:r>
      <w:r w:rsidRPr="008001B6">
        <w:rPr>
          <w:rFonts w:ascii="Times New Roman" w:hAnsi="Times New Roman" w:cs="Times New Roman"/>
          <w:sz w:val="20"/>
          <w:szCs w:val="20"/>
        </w:rPr>
        <w:t>β</w:t>
      </w:r>
      <w:r w:rsidRPr="00DA32D9">
        <w:rPr>
          <w:sz w:val="20"/>
          <w:szCs w:val="20"/>
        </w:rPr>
        <w:t>-catenin expression (Figure 7). The above results suggested that RECK overexpression could counteract the enhancement of cell proliferation, invasion</w:t>
      </w:r>
      <w:r w:rsidR="006D4768" w:rsidRPr="00DA32D9">
        <w:rPr>
          <w:sz w:val="20"/>
          <w:szCs w:val="20"/>
        </w:rPr>
        <w:t>,</w:t>
      </w:r>
      <w:r w:rsidRPr="00DA32D9">
        <w:rPr>
          <w:sz w:val="20"/>
          <w:szCs w:val="20"/>
        </w:rPr>
        <w:t xml:space="preserve"> and migration caused by exosomal miR-182.</w:t>
      </w:r>
    </w:p>
    <w:p w14:paraId="7A3F8D9E" w14:textId="77777777" w:rsidR="00035E5B" w:rsidRPr="00DA32D9" w:rsidRDefault="00035E5B" w:rsidP="00DA32D9">
      <w:pPr>
        <w:snapToGrid w:val="0"/>
        <w:rPr>
          <w:rFonts w:cs="Times New Roman"/>
          <w:sz w:val="20"/>
          <w:szCs w:val="20"/>
        </w:rPr>
      </w:pPr>
    </w:p>
    <w:p w14:paraId="7328DBE2" w14:textId="77777777" w:rsidR="00035E5B" w:rsidRPr="00DA32D9" w:rsidRDefault="0019595D" w:rsidP="00DA32D9">
      <w:pPr>
        <w:pStyle w:val="1"/>
        <w:keepNext w:val="0"/>
        <w:keepLines w:val="0"/>
        <w:snapToGrid w:val="0"/>
        <w:spacing w:line="360" w:lineRule="auto"/>
        <w:rPr>
          <w:rFonts w:eastAsia="宋体"/>
          <w:kern w:val="0"/>
          <w:sz w:val="20"/>
          <w:szCs w:val="20"/>
          <w:u w:val="single"/>
        </w:rPr>
      </w:pPr>
      <w:r w:rsidRPr="00DA32D9">
        <w:rPr>
          <w:sz w:val="20"/>
          <w:szCs w:val="20"/>
          <w:u w:val="single"/>
        </w:rPr>
        <w:t>Discussion</w:t>
      </w:r>
    </w:p>
    <w:p w14:paraId="0188661D" w14:textId="577507C7" w:rsidR="00035E5B" w:rsidRPr="00DA32D9" w:rsidRDefault="0019595D" w:rsidP="00DA32D9">
      <w:pPr>
        <w:snapToGrid w:val="0"/>
        <w:rPr>
          <w:rFonts w:eastAsia="宋体"/>
          <w:kern w:val="0"/>
          <w:sz w:val="20"/>
          <w:szCs w:val="20"/>
        </w:rPr>
      </w:pPr>
      <w:r w:rsidRPr="00DA32D9">
        <w:rPr>
          <w:sz w:val="20"/>
          <w:szCs w:val="20"/>
        </w:rPr>
        <w:t>As essential carriers for cell-cell information communication, exosomes are extracellular vesicles with a diameter of 40-150</w:t>
      </w:r>
      <w:r w:rsidR="006D4768" w:rsidRPr="00DA32D9">
        <w:rPr>
          <w:sz w:val="20"/>
          <w:szCs w:val="20"/>
        </w:rPr>
        <w:t xml:space="preserve"> </w:t>
      </w:r>
      <w:r w:rsidRPr="00DA32D9">
        <w:rPr>
          <w:sz w:val="20"/>
          <w:szCs w:val="20"/>
        </w:rPr>
        <w:t>nm in nature, which contain a variety of proteins, DNA</w:t>
      </w:r>
      <w:r w:rsidR="006D4768" w:rsidRPr="00DA32D9">
        <w:rPr>
          <w:sz w:val="20"/>
          <w:szCs w:val="20"/>
        </w:rPr>
        <w:t>,</w:t>
      </w:r>
      <w:r w:rsidRPr="00DA32D9">
        <w:rPr>
          <w:sz w:val="20"/>
          <w:szCs w:val="20"/>
        </w:rPr>
        <w:t xml:space="preserve"> and RNA. CD63, CD81</w:t>
      </w:r>
      <w:r w:rsidR="006D4768" w:rsidRPr="00DA32D9">
        <w:rPr>
          <w:sz w:val="20"/>
          <w:szCs w:val="20"/>
        </w:rPr>
        <w:t>,</w:t>
      </w:r>
      <w:r w:rsidRPr="00DA32D9">
        <w:rPr>
          <w:sz w:val="20"/>
          <w:szCs w:val="20"/>
        </w:rPr>
        <w:t xml:space="preserve"> and CD9 on the surface of vesicles are vesicles markers</w:t>
      </w:r>
      <w:r w:rsidRPr="00DA32D9">
        <w:rPr>
          <w:sz w:val="20"/>
          <w:szCs w:val="20"/>
          <w:vertAlign w:val="superscript"/>
        </w:rPr>
        <w:t>[20]</w:t>
      </w:r>
      <w:r w:rsidRPr="00DA32D9">
        <w:rPr>
          <w:sz w:val="20"/>
          <w:szCs w:val="20"/>
        </w:rPr>
        <w:t>. Exosomes can stimulate extracellular matrix remodeling or information transmission when they are released out of the cell, which is of great significance for human health and disease</w:t>
      </w:r>
      <w:r w:rsidRPr="00DA32D9">
        <w:rPr>
          <w:sz w:val="20"/>
          <w:szCs w:val="20"/>
          <w:vertAlign w:val="superscript"/>
        </w:rPr>
        <w:t>[21]</w:t>
      </w:r>
      <w:r w:rsidRPr="00DA32D9">
        <w:rPr>
          <w:sz w:val="20"/>
          <w:szCs w:val="20"/>
        </w:rPr>
        <w:t xml:space="preserve">. Due to the presence of exosomes, miRNAs can be </w:t>
      </w:r>
      <w:r w:rsidRPr="00DA32D9">
        <w:rPr>
          <w:sz w:val="20"/>
          <w:szCs w:val="20"/>
        </w:rPr>
        <w:lastRenderedPageBreak/>
        <w:t>actively secreted outside the cell without degradation of RNA enzymes</w:t>
      </w:r>
      <w:r w:rsidR="006D4768" w:rsidRPr="00DA32D9">
        <w:rPr>
          <w:sz w:val="20"/>
          <w:szCs w:val="20"/>
        </w:rPr>
        <w:t>,</w:t>
      </w:r>
      <w:r w:rsidRPr="00DA32D9">
        <w:rPr>
          <w:sz w:val="20"/>
          <w:szCs w:val="20"/>
        </w:rPr>
        <w:t xml:space="preserve"> and play a role by being absorbed by other cells through endocytosis</w:t>
      </w:r>
      <w:r w:rsidRPr="00DA32D9">
        <w:rPr>
          <w:sz w:val="20"/>
          <w:szCs w:val="20"/>
          <w:vertAlign w:val="superscript"/>
        </w:rPr>
        <w:t>[22]</w:t>
      </w:r>
      <w:r w:rsidRPr="00DA32D9">
        <w:rPr>
          <w:sz w:val="20"/>
          <w:szCs w:val="20"/>
        </w:rPr>
        <w:t>.</w:t>
      </w:r>
    </w:p>
    <w:p w14:paraId="68C2277F" w14:textId="568AAD01" w:rsidR="00035E5B" w:rsidRPr="00DA32D9" w:rsidRDefault="0019595D" w:rsidP="00DA32D9">
      <w:pPr>
        <w:snapToGrid w:val="0"/>
        <w:ind w:firstLineChars="100" w:firstLine="200"/>
        <w:rPr>
          <w:rFonts w:eastAsia="宋体"/>
          <w:sz w:val="20"/>
          <w:szCs w:val="20"/>
        </w:rPr>
      </w:pPr>
      <w:r w:rsidRPr="00DA32D9">
        <w:rPr>
          <w:sz w:val="20"/>
          <w:szCs w:val="20"/>
        </w:rPr>
        <w:t xml:space="preserve">In </w:t>
      </w:r>
      <w:r w:rsidR="006D4768" w:rsidRPr="00DA32D9">
        <w:rPr>
          <w:sz w:val="20"/>
          <w:szCs w:val="20"/>
        </w:rPr>
        <w:t xml:space="preserve">this </w:t>
      </w:r>
      <w:r w:rsidRPr="00DA32D9">
        <w:rPr>
          <w:sz w:val="20"/>
          <w:szCs w:val="20"/>
        </w:rPr>
        <w:t>study, miR-182 and exosomal miR-182 were found</w:t>
      </w:r>
      <w:r w:rsidR="006D4768" w:rsidRPr="00DA32D9">
        <w:rPr>
          <w:sz w:val="20"/>
          <w:szCs w:val="20"/>
        </w:rPr>
        <w:t xml:space="preserve"> to be</w:t>
      </w:r>
      <w:r w:rsidRPr="00DA32D9">
        <w:rPr>
          <w:sz w:val="20"/>
          <w:szCs w:val="20"/>
        </w:rPr>
        <w:t xml:space="preserve"> highly expressed in GC, </w:t>
      </w:r>
      <w:r w:rsidR="006D4768" w:rsidRPr="00DA32D9">
        <w:rPr>
          <w:sz w:val="20"/>
          <w:szCs w:val="20"/>
        </w:rPr>
        <w:t>and had</w:t>
      </w:r>
      <w:r w:rsidRPr="00DA32D9">
        <w:rPr>
          <w:sz w:val="20"/>
          <w:szCs w:val="20"/>
        </w:rPr>
        <w:t xml:space="preserve"> the highest expression level</w:t>
      </w:r>
      <w:r w:rsidR="006D4768" w:rsidRPr="00DA32D9">
        <w:rPr>
          <w:sz w:val="20"/>
          <w:szCs w:val="20"/>
        </w:rPr>
        <w:t>s</w:t>
      </w:r>
      <w:r w:rsidRPr="00DA32D9">
        <w:rPr>
          <w:sz w:val="20"/>
          <w:szCs w:val="20"/>
        </w:rPr>
        <w:t xml:space="preserve"> in NOZ cells. </w:t>
      </w:r>
      <w:r w:rsidR="006D4768" w:rsidRPr="00DA32D9">
        <w:rPr>
          <w:sz w:val="20"/>
          <w:szCs w:val="20"/>
        </w:rPr>
        <w:t>Therefore, e</w:t>
      </w:r>
      <w:r w:rsidRPr="00DA32D9">
        <w:rPr>
          <w:sz w:val="20"/>
          <w:szCs w:val="20"/>
        </w:rPr>
        <w:t xml:space="preserve">xosomal miR-182 </w:t>
      </w:r>
      <w:r w:rsidR="006D4768" w:rsidRPr="00DA32D9">
        <w:rPr>
          <w:sz w:val="20"/>
          <w:szCs w:val="20"/>
        </w:rPr>
        <w:t>was</w:t>
      </w:r>
      <w:r w:rsidRPr="00DA32D9">
        <w:rPr>
          <w:sz w:val="20"/>
          <w:szCs w:val="20"/>
        </w:rPr>
        <w:t xml:space="preserve"> isolated from NOZ cells and co-cultured with EH-GB1</w:t>
      </w:r>
      <w:r w:rsidR="006D4768" w:rsidRPr="00DA32D9">
        <w:rPr>
          <w:sz w:val="20"/>
          <w:szCs w:val="20"/>
        </w:rPr>
        <w:t xml:space="preserve"> and</w:t>
      </w:r>
      <w:r w:rsidRPr="00DA32D9">
        <w:rPr>
          <w:sz w:val="20"/>
          <w:szCs w:val="20"/>
        </w:rPr>
        <w:t xml:space="preserve"> GBS-SD cells. The results showed that exosomal miR-182 could promote the proliferation, migration</w:t>
      </w:r>
      <w:r w:rsidR="006D4768" w:rsidRPr="00DA32D9">
        <w:rPr>
          <w:sz w:val="20"/>
          <w:szCs w:val="20"/>
        </w:rPr>
        <w:t>,</w:t>
      </w:r>
      <w:r w:rsidRPr="00DA32D9">
        <w:rPr>
          <w:sz w:val="20"/>
          <w:szCs w:val="20"/>
        </w:rPr>
        <w:t xml:space="preserve"> and invasion of EH-GB1 and GBC-SD cells and inhibit cell apoptosis. Meanwhile, the expression of RECK, </w:t>
      </w:r>
      <w:r w:rsidR="006D4768" w:rsidRPr="00DA32D9">
        <w:rPr>
          <w:sz w:val="20"/>
          <w:szCs w:val="20"/>
        </w:rPr>
        <w:t>c</w:t>
      </w:r>
      <w:r w:rsidRPr="00DA32D9">
        <w:rPr>
          <w:sz w:val="20"/>
          <w:szCs w:val="20"/>
        </w:rPr>
        <w:t>aspase</w:t>
      </w:r>
      <w:r w:rsidR="006D4768" w:rsidRPr="00DA32D9">
        <w:rPr>
          <w:sz w:val="20"/>
          <w:szCs w:val="20"/>
        </w:rPr>
        <w:t>-</w:t>
      </w:r>
      <w:r w:rsidRPr="00DA32D9">
        <w:rPr>
          <w:sz w:val="20"/>
          <w:szCs w:val="20"/>
        </w:rPr>
        <w:t xml:space="preserve">9, </w:t>
      </w:r>
      <w:r w:rsidR="006D4768" w:rsidRPr="00DA32D9">
        <w:rPr>
          <w:sz w:val="20"/>
          <w:szCs w:val="20"/>
        </w:rPr>
        <w:t>c</w:t>
      </w:r>
      <w:r w:rsidRPr="00DA32D9">
        <w:rPr>
          <w:sz w:val="20"/>
          <w:szCs w:val="20"/>
        </w:rPr>
        <w:t>aspase</w:t>
      </w:r>
      <w:r w:rsidR="006D4768" w:rsidRPr="00DA32D9">
        <w:rPr>
          <w:sz w:val="20"/>
          <w:szCs w:val="20"/>
        </w:rPr>
        <w:t>-</w:t>
      </w:r>
      <w:r w:rsidRPr="00DA32D9">
        <w:rPr>
          <w:sz w:val="20"/>
          <w:szCs w:val="20"/>
        </w:rPr>
        <w:t>9, E-cadherin</w:t>
      </w:r>
      <w:r w:rsidR="006D4768" w:rsidRPr="00DA32D9">
        <w:rPr>
          <w:sz w:val="20"/>
          <w:szCs w:val="20"/>
        </w:rPr>
        <w:t>,</w:t>
      </w:r>
      <w:r w:rsidRPr="00DA32D9">
        <w:rPr>
          <w:sz w:val="20"/>
          <w:szCs w:val="20"/>
        </w:rPr>
        <w:t xml:space="preserve"> and Bax was found to be downregulated, wh</w:t>
      </w:r>
      <w:r w:rsidR="006D4768" w:rsidRPr="00DA32D9">
        <w:rPr>
          <w:sz w:val="20"/>
          <w:szCs w:val="20"/>
        </w:rPr>
        <w:t>ereas</w:t>
      </w:r>
      <w:r w:rsidRPr="00DA32D9">
        <w:rPr>
          <w:sz w:val="20"/>
          <w:szCs w:val="20"/>
        </w:rPr>
        <w:t xml:space="preserve"> the expression of Bcl-2, N-cadherin and </w:t>
      </w:r>
      <w:r w:rsidRPr="008001B6">
        <w:rPr>
          <w:rFonts w:ascii="Times New Roman" w:hAnsi="Times New Roman" w:cs="Times New Roman"/>
          <w:sz w:val="20"/>
          <w:szCs w:val="20"/>
        </w:rPr>
        <w:t>β</w:t>
      </w:r>
      <w:r w:rsidRPr="00DA32D9">
        <w:rPr>
          <w:sz w:val="20"/>
          <w:szCs w:val="20"/>
        </w:rPr>
        <w:t xml:space="preserve">-catenin was upregulated. In the study of Qiu </w:t>
      </w:r>
      <w:r w:rsidRPr="00DA32D9">
        <w:rPr>
          <w:i/>
          <w:iCs/>
          <w:sz w:val="20"/>
          <w:szCs w:val="20"/>
        </w:rPr>
        <w:t>et al</w:t>
      </w:r>
      <w:r w:rsidRPr="00DA32D9">
        <w:rPr>
          <w:sz w:val="20"/>
          <w:szCs w:val="20"/>
          <w:vertAlign w:val="superscript"/>
        </w:rPr>
        <w:t>[10]</w:t>
      </w:r>
      <w:r w:rsidRPr="00DA32D9">
        <w:rPr>
          <w:sz w:val="20"/>
          <w:szCs w:val="20"/>
        </w:rPr>
        <w:t>, miR-182 could act as a carcinogen to promote the metastasis of GC. The results of this study further supplemented the possibility that miR-182 could regulate other cell biological functions through exosomes.</w:t>
      </w:r>
    </w:p>
    <w:p w14:paraId="7B721F7B" w14:textId="75C1EBC3" w:rsidR="00035E5B" w:rsidRPr="00DA32D9" w:rsidRDefault="0019595D" w:rsidP="00DA32D9">
      <w:pPr>
        <w:snapToGrid w:val="0"/>
        <w:ind w:firstLine="270"/>
        <w:rPr>
          <w:rFonts w:eastAsia="宋体"/>
          <w:sz w:val="20"/>
          <w:szCs w:val="20"/>
        </w:rPr>
      </w:pPr>
      <w:r w:rsidRPr="00DA32D9">
        <w:rPr>
          <w:sz w:val="20"/>
          <w:szCs w:val="20"/>
        </w:rPr>
        <w:t>In addition, we found that RECK was downregulated when exosomal miR-182 was co-cultured with cancer cells. Target</w:t>
      </w:r>
      <w:r w:rsidRPr="00DA32D9">
        <w:rPr>
          <w:caps/>
          <w:sz w:val="20"/>
          <w:szCs w:val="20"/>
        </w:rPr>
        <w:t>s</w:t>
      </w:r>
      <w:r w:rsidRPr="00DA32D9">
        <w:rPr>
          <w:sz w:val="20"/>
          <w:szCs w:val="20"/>
        </w:rPr>
        <w:t xml:space="preserve">can further predicted that there were binding sites between miR-182 and RECK mRNA, and the negative correlation between the two. Therefore, we speculated that the effect of miR-182 on cell biological function might be achieved by regulating RECK expression. In this study, the effect of RECK on GC cells was observed by interfering with </w:t>
      </w:r>
      <w:r w:rsidR="004C376A" w:rsidRPr="00DA32D9">
        <w:rPr>
          <w:sz w:val="20"/>
          <w:szCs w:val="20"/>
        </w:rPr>
        <w:t xml:space="preserve">RECK </w:t>
      </w:r>
      <w:r w:rsidRPr="00DA32D9">
        <w:rPr>
          <w:sz w:val="20"/>
          <w:szCs w:val="20"/>
        </w:rPr>
        <w:t>expression in cancer cells by siRNA, and the targeting relationship between miR-182 and RECK was validated by</w:t>
      </w:r>
      <w:r w:rsidR="004C376A" w:rsidRPr="00DA32D9">
        <w:rPr>
          <w:sz w:val="20"/>
          <w:szCs w:val="20"/>
        </w:rPr>
        <w:t xml:space="preserve"> the</w:t>
      </w:r>
      <w:r w:rsidRPr="00DA32D9">
        <w:rPr>
          <w:sz w:val="20"/>
          <w:szCs w:val="20"/>
        </w:rPr>
        <w:t xml:space="preserve"> double luciferase reporter gene assay. The results demonstrated that the absence of RECK promoted cell proliferation, migration and invasion and inhibited cell apoptosis</w:t>
      </w:r>
      <w:r w:rsidR="004C376A" w:rsidRPr="00DA32D9">
        <w:rPr>
          <w:sz w:val="20"/>
          <w:szCs w:val="20"/>
        </w:rPr>
        <w:t>;</w:t>
      </w:r>
      <w:r w:rsidRPr="00DA32D9">
        <w:rPr>
          <w:sz w:val="20"/>
          <w:szCs w:val="20"/>
        </w:rPr>
        <w:t xml:space="preserve"> meanwhile downregulat</w:t>
      </w:r>
      <w:r w:rsidR="004C376A" w:rsidRPr="00DA32D9">
        <w:rPr>
          <w:sz w:val="20"/>
          <w:szCs w:val="20"/>
        </w:rPr>
        <w:t>ing</w:t>
      </w:r>
      <w:r w:rsidRPr="00DA32D9">
        <w:rPr>
          <w:sz w:val="20"/>
          <w:szCs w:val="20"/>
        </w:rPr>
        <w:t xml:space="preserve"> the levels of </w:t>
      </w:r>
      <w:r w:rsidR="004C376A" w:rsidRPr="00DA32D9">
        <w:rPr>
          <w:sz w:val="20"/>
          <w:szCs w:val="20"/>
        </w:rPr>
        <w:t>c</w:t>
      </w:r>
      <w:r w:rsidRPr="00DA32D9">
        <w:rPr>
          <w:sz w:val="20"/>
          <w:szCs w:val="20"/>
        </w:rPr>
        <w:t>aspase</w:t>
      </w:r>
      <w:r w:rsidR="004C376A" w:rsidRPr="00DA32D9">
        <w:rPr>
          <w:sz w:val="20"/>
          <w:szCs w:val="20"/>
        </w:rPr>
        <w:t>-</w:t>
      </w:r>
      <w:r w:rsidRPr="00DA32D9">
        <w:rPr>
          <w:sz w:val="20"/>
          <w:szCs w:val="20"/>
        </w:rPr>
        <w:t xml:space="preserve">3, </w:t>
      </w:r>
      <w:r w:rsidR="004C376A" w:rsidRPr="00DA32D9">
        <w:rPr>
          <w:sz w:val="20"/>
          <w:szCs w:val="20"/>
        </w:rPr>
        <w:t>c</w:t>
      </w:r>
      <w:r w:rsidRPr="00DA32D9">
        <w:rPr>
          <w:sz w:val="20"/>
          <w:szCs w:val="20"/>
        </w:rPr>
        <w:t>aspase</w:t>
      </w:r>
      <w:r w:rsidR="004C376A" w:rsidRPr="00DA32D9">
        <w:rPr>
          <w:sz w:val="20"/>
          <w:szCs w:val="20"/>
        </w:rPr>
        <w:t>-</w:t>
      </w:r>
      <w:r w:rsidRPr="00DA32D9">
        <w:rPr>
          <w:sz w:val="20"/>
          <w:szCs w:val="20"/>
        </w:rPr>
        <w:t>9, E-cadherin</w:t>
      </w:r>
      <w:r w:rsidR="004C376A" w:rsidRPr="00DA32D9">
        <w:rPr>
          <w:sz w:val="20"/>
          <w:szCs w:val="20"/>
        </w:rPr>
        <w:t>,</w:t>
      </w:r>
      <w:r w:rsidRPr="00DA32D9">
        <w:rPr>
          <w:sz w:val="20"/>
          <w:szCs w:val="20"/>
        </w:rPr>
        <w:t xml:space="preserve"> Bax, and Bcl-2, while upregulat</w:t>
      </w:r>
      <w:r w:rsidR="004C376A" w:rsidRPr="00DA32D9">
        <w:rPr>
          <w:sz w:val="20"/>
          <w:szCs w:val="20"/>
        </w:rPr>
        <w:t>ing</w:t>
      </w:r>
      <w:r w:rsidRPr="00DA32D9">
        <w:rPr>
          <w:sz w:val="20"/>
          <w:szCs w:val="20"/>
        </w:rPr>
        <w:t xml:space="preserve"> N-cadherin and </w:t>
      </w:r>
      <w:r w:rsidRPr="008001B6">
        <w:rPr>
          <w:rFonts w:ascii="Times New Roman" w:hAnsi="Times New Roman" w:cs="Times New Roman"/>
          <w:sz w:val="20"/>
          <w:szCs w:val="20"/>
        </w:rPr>
        <w:t>β</w:t>
      </w:r>
      <w:r w:rsidRPr="00DA32D9">
        <w:rPr>
          <w:sz w:val="20"/>
          <w:szCs w:val="20"/>
        </w:rPr>
        <w:t xml:space="preserve">-catenin. </w:t>
      </w:r>
      <w:r w:rsidR="004C376A" w:rsidRPr="00DA32D9">
        <w:rPr>
          <w:sz w:val="20"/>
          <w:szCs w:val="20"/>
        </w:rPr>
        <w:t>In addition</w:t>
      </w:r>
      <w:r w:rsidRPr="00DA32D9">
        <w:rPr>
          <w:sz w:val="20"/>
          <w:szCs w:val="20"/>
        </w:rPr>
        <w:t xml:space="preserve">, it was found that luciferase activity of cells was the lowest when 182 </w:t>
      </w:r>
      <w:r w:rsidR="00C844CC" w:rsidRPr="00DA32D9">
        <w:rPr>
          <w:sz w:val="20"/>
          <w:szCs w:val="20"/>
        </w:rPr>
        <w:t>mimics</w:t>
      </w:r>
      <w:r w:rsidRPr="00DA32D9">
        <w:rPr>
          <w:sz w:val="20"/>
          <w:szCs w:val="20"/>
        </w:rPr>
        <w:t xml:space="preserve"> were co-transfected with pmirGLO-RECK-wt. RECK is a protein related to cell migration and invasion. By binding to RECK mRNA, exosomal miR-182 inhibit</w:t>
      </w:r>
      <w:r w:rsidR="008A5ABF" w:rsidRPr="00DA32D9">
        <w:rPr>
          <w:sz w:val="20"/>
          <w:szCs w:val="20"/>
        </w:rPr>
        <w:t>ed</w:t>
      </w:r>
      <w:r w:rsidRPr="00DA32D9">
        <w:rPr>
          <w:sz w:val="20"/>
          <w:szCs w:val="20"/>
        </w:rPr>
        <w:t xml:space="preserve"> the expression of RECK at the transcriptional level, resulting in increased expression of N-cadherin, </w:t>
      </w:r>
      <w:r w:rsidRPr="008001B6">
        <w:rPr>
          <w:rFonts w:ascii="Times New Roman" w:hAnsi="Times New Roman" w:cs="Times New Roman"/>
          <w:sz w:val="20"/>
          <w:szCs w:val="20"/>
        </w:rPr>
        <w:t>β</w:t>
      </w:r>
      <w:r w:rsidRPr="00DA32D9">
        <w:rPr>
          <w:sz w:val="20"/>
          <w:szCs w:val="20"/>
        </w:rPr>
        <w:t>-catenin, MMP9 and MMP2 in cells, and enhanced cell migration and invasion. Although studies</w:t>
      </w:r>
      <w:r w:rsidRPr="00DA32D9">
        <w:rPr>
          <w:sz w:val="20"/>
          <w:szCs w:val="20"/>
          <w:vertAlign w:val="superscript"/>
        </w:rPr>
        <w:t>[23-25]</w:t>
      </w:r>
      <w:r w:rsidRPr="00DA32D9">
        <w:rPr>
          <w:sz w:val="20"/>
          <w:szCs w:val="20"/>
        </w:rPr>
        <w:t xml:space="preserve"> have reported that miR-182/RECK affects the development of breast, bladder and prostate cancer, the role exosomal miR-182/RECK plays in GC has not been studied. Here, we proved that, by inhibiting RECK, exosomal miR-182 could downregulat</w:t>
      </w:r>
      <w:r w:rsidR="008A5ABF" w:rsidRPr="00DA32D9">
        <w:rPr>
          <w:sz w:val="20"/>
          <w:szCs w:val="20"/>
        </w:rPr>
        <w:t>e</w:t>
      </w:r>
      <w:r w:rsidRPr="00DA32D9">
        <w:rPr>
          <w:sz w:val="20"/>
          <w:szCs w:val="20"/>
        </w:rPr>
        <w:t xml:space="preserve"> the expression levels of </w:t>
      </w:r>
      <w:r w:rsidR="008A5ABF" w:rsidRPr="00DA32D9">
        <w:rPr>
          <w:sz w:val="20"/>
          <w:szCs w:val="20"/>
        </w:rPr>
        <w:t>c</w:t>
      </w:r>
      <w:r w:rsidRPr="00DA32D9">
        <w:rPr>
          <w:sz w:val="20"/>
          <w:szCs w:val="20"/>
        </w:rPr>
        <w:t>aspase</w:t>
      </w:r>
      <w:r w:rsidR="008A5ABF" w:rsidRPr="00DA32D9">
        <w:rPr>
          <w:sz w:val="20"/>
          <w:szCs w:val="20"/>
        </w:rPr>
        <w:t>-</w:t>
      </w:r>
      <w:r w:rsidRPr="00DA32D9">
        <w:rPr>
          <w:sz w:val="20"/>
          <w:szCs w:val="20"/>
        </w:rPr>
        <w:t xml:space="preserve">9, </w:t>
      </w:r>
      <w:r w:rsidR="008A5ABF" w:rsidRPr="00DA32D9">
        <w:rPr>
          <w:sz w:val="20"/>
          <w:szCs w:val="20"/>
        </w:rPr>
        <w:t>c</w:t>
      </w:r>
      <w:r w:rsidRPr="00DA32D9">
        <w:rPr>
          <w:sz w:val="20"/>
          <w:szCs w:val="20"/>
        </w:rPr>
        <w:t>aspase</w:t>
      </w:r>
      <w:r w:rsidR="008A5ABF" w:rsidRPr="00DA32D9">
        <w:rPr>
          <w:sz w:val="20"/>
          <w:szCs w:val="20"/>
        </w:rPr>
        <w:t>-</w:t>
      </w:r>
      <w:r w:rsidRPr="00DA32D9">
        <w:rPr>
          <w:sz w:val="20"/>
          <w:szCs w:val="20"/>
        </w:rPr>
        <w:t>9, E-cadherin</w:t>
      </w:r>
      <w:r w:rsidR="008A5ABF" w:rsidRPr="00DA32D9">
        <w:rPr>
          <w:sz w:val="20"/>
          <w:szCs w:val="20"/>
        </w:rPr>
        <w:t>,</w:t>
      </w:r>
      <w:r w:rsidRPr="00DA32D9">
        <w:rPr>
          <w:sz w:val="20"/>
          <w:szCs w:val="20"/>
        </w:rPr>
        <w:t xml:space="preserve"> and Bax, and upregulate Bcl-2, N-cadherin and </w:t>
      </w:r>
      <w:r w:rsidRPr="008001B6">
        <w:rPr>
          <w:rFonts w:ascii="Times New Roman" w:hAnsi="Times New Roman" w:cs="Times New Roman"/>
          <w:sz w:val="20"/>
          <w:szCs w:val="20"/>
        </w:rPr>
        <w:t>β</w:t>
      </w:r>
      <w:r w:rsidRPr="00DA32D9">
        <w:rPr>
          <w:sz w:val="20"/>
          <w:szCs w:val="20"/>
        </w:rPr>
        <w:t>-catenin, ultimately promoting the proliferation, migration</w:t>
      </w:r>
      <w:r w:rsidR="008A5ABF" w:rsidRPr="00DA32D9">
        <w:rPr>
          <w:sz w:val="20"/>
          <w:szCs w:val="20"/>
        </w:rPr>
        <w:t>,</w:t>
      </w:r>
      <w:r w:rsidRPr="00DA32D9">
        <w:rPr>
          <w:sz w:val="20"/>
          <w:szCs w:val="20"/>
        </w:rPr>
        <w:t xml:space="preserve"> and invasion of GC cells.</w:t>
      </w:r>
    </w:p>
    <w:p w14:paraId="642EB003" w14:textId="7334DAB6" w:rsidR="00035E5B" w:rsidRPr="00DA32D9" w:rsidRDefault="0019595D" w:rsidP="00DA32D9">
      <w:pPr>
        <w:snapToGrid w:val="0"/>
        <w:ind w:firstLineChars="100" w:firstLine="200"/>
        <w:rPr>
          <w:rFonts w:eastAsia="宋体"/>
          <w:kern w:val="0"/>
          <w:sz w:val="20"/>
          <w:szCs w:val="20"/>
        </w:rPr>
      </w:pPr>
      <w:r w:rsidRPr="00DA32D9">
        <w:rPr>
          <w:sz w:val="20"/>
          <w:szCs w:val="20"/>
        </w:rPr>
        <w:t>The present study demonstrated that by regulating RECK, exosomal miR-182 could promote cell proliferation, migration and invasion</w:t>
      </w:r>
      <w:r w:rsidR="008A5ABF" w:rsidRPr="00DA32D9">
        <w:rPr>
          <w:sz w:val="20"/>
          <w:szCs w:val="20"/>
        </w:rPr>
        <w:t xml:space="preserve"> and </w:t>
      </w:r>
      <w:r w:rsidRPr="00DA32D9">
        <w:rPr>
          <w:sz w:val="20"/>
          <w:szCs w:val="20"/>
        </w:rPr>
        <w:t>inhibit apoptosis, ultimately le</w:t>
      </w:r>
      <w:r w:rsidR="008A5ABF" w:rsidRPr="00DA32D9">
        <w:rPr>
          <w:sz w:val="20"/>
          <w:szCs w:val="20"/>
        </w:rPr>
        <w:t>ading</w:t>
      </w:r>
      <w:r w:rsidRPr="00DA32D9">
        <w:rPr>
          <w:sz w:val="20"/>
          <w:szCs w:val="20"/>
        </w:rPr>
        <w:t xml:space="preserve"> to tumor formation or metastasis, which aggravated the deterioration of GC. Although the relationship between miR-182/RECK and tumor metastasis was preliminarily studied, there is still room for improvement. </w:t>
      </w:r>
      <w:bookmarkStart w:id="31" w:name="_Hlk29127305"/>
      <w:r w:rsidR="008A5ABF" w:rsidRPr="00DA32D9">
        <w:rPr>
          <w:sz w:val="20"/>
          <w:szCs w:val="20"/>
        </w:rPr>
        <w:t>For example</w:t>
      </w:r>
      <w:r w:rsidRPr="00DA32D9">
        <w:rPr>
          <w:sz w:val="20"/>
          <w:szCs w:val="20"/>
        </w:rPr>
        <w:t>, the signaling pathways implicated in miR-182/RECK should be explored in future experimental design to supplement the oncogenic network of exosomal miR-182</w:t>
      </w:r>
      <w:bookmarkEnd w:id="31"/>
      <w:r w:rsidRPr="00DA32D9">
        <w:rPr>
          <w:sz w:val="20"/>
          <w:szCs w:val="20"/>
        </w:rPr>
        <w:t xml:space="preserve">. </w:t>
      </w:r>
      <w:r w:rsidR="008A5ABF" w:rsidRPr="00DA32D9">
        <w:rPr>
          <w:sz w:val="20"/>
          <w:szCs w:val="20"/>
        </w:rPr>
        <w:t>In addition</w:t>
      </w:r>
      <w:r w:rsidRPr="00DA32D9">
        <w:rPr>
          <w:sz w:val="20"/>
          <w:szCs w:val="20"/>
        </w:rPr>
        <w:t xml:space="preserve">, </w:t>
      </w:r>
      <w:bookmarkStart w:id="32" w:name="_Hlk29127275"/>
      <w:r w:rsidRPr="00DA32D9">
        <w:rPr>
          <w:sz w:val="20"/>
          <w:szCs w:val="20"/>
        </w:rPr>
        <w:t>the clinical value of exosomal miR-182 in GC remains to be discussed.</w:t>
      </w:r>
      <w:bookmarkEnd w:id="32"/>
    </w:p>
    <w:p w14:paraId="6E234684" w14:textId="0EB2E007" w:rsidR="00035E5B" w:rsidRPr="00DA32D9" w:rsidRDefault="0019595D" w:rsidP="00DA32D9">
      <w:pPr>
        <w:snapToGrid w:val="0"/>
        <w:ind w:firstLineChars="100" w:firstLine="200"/>
        <w:rPr>
          <w:sz w:val="20"/>
          <w:szCs w:val="20"/>
        </w:rPr>
      </w:pPr>
      <w:r w:rsidRPr="00DA32D9">
        <w:rPr>
          <w:sz w:val="20"/>
          <w:szCs w:val="20"/>
        </w:rPr>
        <w:t>To sum</w:t>
      </w:r>
      <w:r w:rsidR="008A5ABF" w:rsidRPr="00DA32D9">
        <w:rPr>
          <w:sz w:val="20"/>
          <w:szCs w:val="20"/>
        </w:rPr>
        <w:t>marize</w:t>
      </w:r>
      <w:r w:rsidRPr="00DA32D9">
        <w:rPr>
          <w:sz w:val="20"/>
          <w:szCs w:val="20"/>
        </w:rPr>
        <w:t xml:space="preserve">, this study investigated the effect of miR-182/RECK axis on the biological function </w:t>
      </w:r>
      <w:r w:rsidRPr="00DA32D9">
        <w:rPr>
          <w:sz w:val="20"/>
          <w:szCs w:val="20"/>
        </w:rPr>
        <w:lastRenderedPageBreak/>
        <w:t>of GC cells by studying the expression mechanism of exosomal miR-182 and RECK in GC. MiR-182 is highly expressed in GC cells, th</w:t>
      </w:r>
      <w:r w:rsidR="008A5ABF" w:rsidRPr="00DA32D9">
        <w:rPr>
          <w:sz w:val="20"/>
          <w:szCs w:val="20"/>
        </w:rPr>
        <w:t>ereby</w:t>
      </w:r>
      <w:r w:rsidRPr="00DA32D9">
        <w:rPr>
          <w:sz w:val="20"/>
          <w:szCs w:val="20"/>
        </w:rPr>
        <w:t xml:space="preserve"> act</w:t>
      </w:r>
      <w:r w:rsidR="008A5ABF" w:rsidRPr="00DA32D9">
        <w:rPr>
          <w:sz w:val="20"/>
          <w:szCs w:val="20"/>
        </w:rPr>
        <w:t>ing</w:t>
      </w:r>
      <w:r w:rsidRPr="00DA32D9">
        <w:rPr>
          <w:sz w:val="20"/>
          <w:szCs w:val="20"/>
        </w:rPr>
        <w:t xml:space="preserve"> on other cells through endocytosis to inhibit intracellular RECK expression, and ultimately promoting cell proliferation, migration</w:t>
      </w:r>
      <w:r w:rsidR="008A5ABF" w:rsidRPr="00DA32D9">
        <w:rPr>
          <w:sz w:val="20"/>
          <w:szCs w:val="20"/>
        </w:rPr>
        <w:t>,</w:t>
      </w:r>
      <w:r w:rsidRPr="00DA32D9">
        <w:rPr>
          <w:sz w:val="20"/>
          <w:szCs w:val="20"/>
        </w:rPr>
        <w:t xml:space="preserve"> and invasion. In addition, exosomal miR-182 is positively correlated with tumor metastasis of GC. Therefore, miR-182/RECK axis has potential application value in targeted therapy of GC.</w:t>
      </w:r>
    </w:p>
    <w:p w14:paraId="5A553794" w14:textId="77777777" w:rsidR="00E13E93" w:rsidRPr="00DA32D9" w:rsidRDefault="00E13E93" w:rsidP="00DA32D9">
      <w:pPr>
        <w:snapToGrid w:val="0"/>
        <w:rPr>
          <w:sz w:val="20"/>
          <w:szCs w:val="20"/>
        </w:rPr>
      </w:pPr>
    </w:p>
    <w:p w14:paraId="12420BE6" w14:textId="77777777" w:rsidR="00E13E93" w:rsidRPr="00DA32D9" w:rsidRDefault="00E13E93" w:rsidP="00DA32D9">
      <w:pPr>
        <w:snapToGrid w:val="0"/>
        <w:rPr>
          <w:b/>
          <w:bCs/>
          <w:sz w:val="20"/>
          <w:szCs w:val="20"/>
          <w:u w:val="single"/>
        </w:rPr>
      </w:pPr>
      <w:r w:rsidRPr="00DA32D9">
        <w:rPr>
          <w:b/>
          <w:bCs/>
          <w:sz w:val="20"/>
          <w:szCs w:val="20"/>
          <w:u w:val="single"/>
        </w:rPr>
        <w:t>ARTICLE HIGHLIGHTS</w:t>
      </w:r>
    </w:p>
    <w:p w14:paraId="0ACF35F3" w14:textId="77777777" w:rsidR="00E13E93" w:rsidRPr="00DA32D9" w:rsidRDefault="00E13E93" w:rsidP="00DA32D9">
      <w:pPr>
        <w:snapToGrid w:val="0"/>
        <w:rPr>
          <w:b/>
          <w:bCs/>
          <w:i/>
          <w:iCs/>
          <w:sz w:val="20"/>
          <w:szCs w:val="20"/>
        </w:rPr>
      </w:pPr>
      <w:r w:rsidRPr="00DA32D9">
        <w:rPr>
          <w:b/>
          <w:bCs/>
          <w:i/>
          <w:iCs/>
          <w:sz w:val="20"/>
          <w:szCs w:val="20"/>
        </w:rPr>
        <w:t>Research background</w:t>
      </w:r>
    </w:p>
    <w:p w14:paraId="4A555204" w14:textId="63886057" w:rsidR="00E13E93" w:rsidRPr="00DA32D9" w:rsidRDefault="00E13E93" w:rsidP="00DA32D9">
      <w:pPr>
        <w:snapToGrid w:val="0"/>
        <w:rPr>
          <w:sz w:val="20"/>
          <w:szCs w:val="20"/>
        </w:rPr>
      </w:pPr>
      <w:r w:rsidRPr="00DA32D9">
        <w:rPr>
          <w:sz w:val="20"/>
          <w:szCs w:val="20"/>
        </w:rPr>
        <w:t>As the most common biliary malignancy, GC is an elderly-biased disease. Although extensive studies have elucidated the molecular mechanism of miR-182 and RECK in various cancers, the specific role</w:t>
      </w:r>
      <w:r w:rsidR="008A5ABF" w:rsidRPr="00DA32D9">
        <w:rPr>
          <w:sz w:val="20"/>
          <w:szCs w:val="20"/>
        </w:rPr>
        <w:t>s</w:t>
      </w:r>
      <w:r w:rsidRPr="00DA32D9">
        <w:rPr>
          <w:sz w:val="20"/>
          <w:szCs w:val="20"/>
        </w:rPr>
        <w:t xml:space="preserve"> of exosomal miR-182 and RECK in GC remain</w:t>
      </w:r>
      <w:r w:rsidR="008A5ABF" w:rsidRPr="00DA32D9">
        <w:rPr>
          <w:sz w:val="20"/>
          <w:szCs w:val="20"/>
        </w:rPr>
        <w:t xml:space="preserve"> </w:t>
      </w:r>
      <w:r w:rsidRPr="00DA32D9">
        <w:rPr>
          <w:sz w:val="20"/>
          <w:szCs w:val="20"/>
        </w:rPr>
        <w:t>poorly understood.</w:t>
      </w:r>
    </w:p>
    <w:p w14:paraId="463839C5" w14:textId="77777777" w:rsidR="00E13E93" w:rsidRPr="00DA32D9" w:rsidRDefault="00E13E93" w:rsidP="00DA32D9">
      <w:pPr>
        <w:snapToGrid w:val="0"/>
        <w:rPr>
          <w:sz w:val="20"/>
          <w:szCs w:val="20"/>
        </w:rPr>
      </w:pPr>
    </w:p>
    <w:p w14:paraId="760D1DFE" w14:textId="77777777" w:rsidR="00E13E93" w:rsidRPr="00DA32D9" w:rsidRDefault="00E13E93" w:rsidP="00DA32D9">
      <w:pPr>
        <w:snapToGrid w:val="0"/>
        <w:rPr>
          <w:b/>
          <w:bCs/>
          <w:i/>
          <w:iCs/>
          <w:sz w:val="20"/>
          <w:szCs w:val="20"/>
        </w:rPr>
      </w:pPr>
      <w:r w:rsidRPr="00DA32D9">
        <w:rPr>
          <w:b/>
          <w:bCs/>
          <w:i/>
          <w:iCs/>
          <w:sz w:val="20"/>
          <w:szCs w:val="20"/>
        </w:rPr>
        <w:t>Research motivation</w:t>
      </w:r>
    </w:p>
    <w:p w14:paraId="70449AE6" w14:textId="77777777" w:rsidR="00E13E93" w:rsidRPr="00DA32D9" w:rsidRDefault="00E13E93" w:rsidP="00DA32D9">
      <w:pPr>
        <w:snapToGrid w:val="0"/>
        <w:rPr>
          <w:sz w:val="20"/>
          <w:szCs w:val="20"/>
        </w:rPr>
      </w:pPr>
      <w:r w:rsidRPr="00DA32D9">
        <w:rPr>
          <w:sz w:val="20"/>
          <w:szCs w:val="20"/>
        </w:rPr>
        <w:t xml:space="preserve">The expression of miR-182 and exosomal miR-182 was increased in gallbladder cancer, while RECK decreased. Targetscan7.2 predicted RECK could bind with miR-182 </w:t>
      </w:r>
      <w:r w:rsidRPr="00DA32D9">
        <w:rPr>
          <w:i/>
          <w:iCs/>
          <w:sz w:val="20"/>
          <w:szCs w:val="20"/>
        </w:rPr>
        <w:t xml:space="preserve">via </w:t>
      </w:r>
      <w:r w:rsidRPr="00DA32D9">
        <w:rPr>
          <w:sz w:val="20"/>
          <w:szCs w:val="20"/>
        </w:rPr>
        <w:t>3’UTR. RECK was negatively correlated with miR-182.</w:t>
      </w:r>
    </w:p>
    <w:p w14:paraId="12F74CB0" w14:textId="77777777" w:rsidR="00E13E93" w:rsidRPr="00DA32D9" w:rsidRDefault="00E13E93" w:rsidP="00DA32D9">
      <w:pPr>
        <w:snapToGrid w:val="0"/>
        <w:rPr>
          <w:b/>
          <w:bCs/>
          <w:i/>
          <w:iCs/>
          <w:sz w:val="20"/>
          <w:szCs w:val="20"/>
        </w:rPr>
      </w:pPr>
    </w:p>
    <w:p w14:paraId="3445BB67" w14:textId="77777777" w:rsidR="00E13E93" w:rsidRPr="00DA32D9" w:rsidRDefault="00E13E93" w:rsidP="00DA32D9">
      <w:pPr>
        <w:snapToGrid w:val="0"/>
        <w:rPr>
          <w:b/>
          <w:bCs/>
          <w:i/>
          <w:iCs/>
          <w:sz w:val="20"/>
          <w:szCs w:val="20"/>
        </w:rPr>
      </w:pPr>
      <w:r w:rsidRPr="00DA32D9">
        <w:rPr>
          <w:b/>
          <w:bCs/>
          <w:i/>
          <w:iCs/>
          <w:sz w:val="20"/>
          <w:szCs w:val="20"/>
        </w:rPr>
        <w:t>Research objectives</w:t>
      </w:r>
    </w:p>
    <w:p w14:paraId="7233327C" w14:textId="77777777" w:rsidR="00E13E93" w:rsidRPr="00DA32D9" w:rsidRDefault="00E13E93" w:rsidP="00DA32D9">
      <w:pPr>
        <w:snapToGrid w:val="0"/>
        <w:rPr>
          <w:sz w:val="20"/>
          <w:szCs w:val="20"/>
        </w:rPr>
      </w:pPr>
      <w:r w:rsidRPr="00DA32D9">
        <w:rPr>
          <w:sz w:val="20"/>
          <w:szCs w:val="20"/>
        </w:rPr>
        <w:t>This study was set out to explore the relationship between exosomal miR-182/RECK and metastasis of GC.</w:t>
      </w:r>
    </w:p>
    <w:p w14:paraId="3124B79C" w14:textId="77777777" w:rsidR="00E13E93" w:rsidRPr="00DA32D9" w:rsidRDefault="00E13E93" w:rsidP="00DA32D9">
      <w:pPr>
        <w:snapToGrid w:val="0"/>
        <w:rPr>
          <w:sz w:val="20"/>
          <w:szCs w:val="20"/>
        </w:rPr>
      </w:pPr>
    </w:p>
    <w:p w14:paraId="68A49930" w14:textId="77777777" w:rsidR="00E13E93" w:rsidRPr="00DA32D9" w:rsidRDefault="00E13E93" w:rsidP="00DA32D9">
      <w:pPr>
        <w:snapToGrid w:val="0"/>
        <w:rPr>
          <w:b/>
          <w:bCs/>
          <w:i/>
          <w:iCs/>
          <w:sz w:val="20"/>
          <w:szCs w:val="20"/>
        </w:rPr>
      </w:pPr>
      <w:r w:rsidRPr="00DA32D9">
        <w:rPr>
          <w:b/>
          <w:bCs/>
          <w:i/>
          <w:iCs/>
          <w:sz w:val="20"/>
          <w:szCs w:val="20"/>
        </w:rPr>
        <w:t>Research methods</w:t>
      </w:r>
    </w:p>
    <w:p w14:paraId="0D95A526" w14:textId="2CDF1E6C" w:rsidR="00E13E93" w:rsidRPr="00DA32D9" w:rsidRDefault="00E13E93" w:rsidP="00DA32D9">
      <w:pPr>
        <w:snapToGrid w:val="0"/>
        <w:rPr>
          <w:sz w:val="20"/>
          <w:szCs w:val="20"/>
        </w:rPr>
      </w:pPr>
      <w:r w:rsidRPr="00DA32D9">
        <w:rPr>
          <w:sz w:val="20"/>
          <w:szCs w:val="20"/>
        </w:rPr>
        <w:t xml:space="preserve">Paired GC and adjacent normal tissues were collected from 78 patients. </w:t>
      </w:r>
      <w:r w:rsidR="0004394C" w:rsidRPr="00DA32D9">
        <w:rPr>
          <w:sz w:val="20"/>
          <w:szCs w:val="20"/>
        </w:rPr>
        <w:t>q</w:t>
      </w:r>
      <w:r w:rsidRPr="00DA32D9">
        <w:rPr>
          <w:sz w:val="20"/>
          <w:szCs w:val="20"/>
        </w:rPr>
        <w:t>PCR was employed to detect miR-182 and exosomal miR-182 expression, and Western blot was adopted to determine RECK expression. In addition, the effect of exosomal miR-182/RECK on the biological function of human GC cells were observed. Moreover, double luciferase reporter gene assay was applied to validate the targeting relationship between miR-182 and RECK.</w:t>
      </w:r>
    </w:p>
    <w:p w14:paraId="40ED6D0F" w14:textId="77777777" w:rsidR="00E13E93" w:rsidRPr="00DA32D9" w:rsidRDefault="00E13E93" w:rsidP="00DA32D9">
      <w:pPr>
        <w:snapToGrid w:val="0"/>
        <w:rPr>
          <w:b/>
          <w:bCs/>
          <w:i/>
          <w:iCs/>
          <w:sz w:val="20"/>
          <w:szCs w:val="20"/>
        </w:rPr>
      </w:pPr>
    </w:p>
    <w:p w14:paraId="6F7DB283" w14:textId="77777777" w:rsidR="00E13E93" w:rsidRPr="00DA32D9" w:rsidRDefault="00E13E93" w:rsidP="00DA32D9">
      <w:pPr>
        <w:snapToGrid w:val="0"/>
        <w:rPr>
          <w:b/>
          <w:bCs/>
          <w:i/>
          <w:iCs/>
          <w:sz w:val="20"/>
          <w:szCs w:val="20"/>
        </w:rPr>
      </w:pPr>
      <w:r w:rsidRPr="00DA32D9">
        <w:rPr>
          <w:b/>
          <w:bCs/>
          <w:i/>
          <w:iCs/>
          <w:sz w:val="20"/>
          <w:szCs w:val="20"/>
        </w:rPr>
        <w:t>Research results</w:t>
      </w:r>
    </w:p>
    <w:p w14:paraId="4436322B" w14:textId="77777777" w:rsidR="00E13E93" w:rsidRPr="00DA32D9" w:rsidRDefault="00E13E93" w:rsidP="00DA32D9">
      <w:pPr>
        <w:snapToGrid w:val="0"/>
        <w:rPr>
          <w:sz w:val="20"/>
          <w:szCs w:val="20"/>
        </w:rPr>
      </w:pPr>
      <w:r w:rsidRPr="00DA32D9">
        <w:rPr>
          <w:sz w:val="20"/>
          <w:szCs w:val="20"/>
        </w:rPr>
        <w:t>Compared with normal gallbladder epithelial cells, miR-182 was highly expressed in GC cells, while RECK was lowly expressed. Exosomal miR-182 could be absorbed and transferred by cells. Exosomal miR-182 inhibited RECK expression and promoted migration and invasion of GC cells.</w:t>
      </w:r>
    </w:p>
    <w:p w14:paraId="6E2F68B8" w14:textId="77777777" w:rsidR="00E13E93" w:rsidRPr="00DA32D9" w:rsidRDefault="00E13E93" w:rsidP="00DA32D9">
      <w:pPr>
        <w:snapToGrid w:val="0"/>
        <w:rPr>
          <w:sz w:val="20"/>
          <w:szCs w:val="20"/>
        </w:rPr>
      </w:pPr>
    </w:p>
    <w:p w14:paraId="2BD15787" w14:textId="77777777" w:rsidR="00E13E93" w:rsidRPr="00DA32D9" w:rsidRDefault="00E13E93" w:rsidP="00DA32D9">
      <w:pPr>
        <w:snapToGrid w:val="0"/>
        <w:rPr>
          <w:b/>
          <w:bCs/>
          <w:i/>
          <w:iCs/>
          <w:sz w:val="20"/>
          <w:szCs w:val="20"/>
        </w:rPr>
      </w:pPr>
      <w:r w:rsidRPr="00DA32D9">
        <w:rPr>
          <w:b/>
          <w:bCs/>
          <w:i/>
          <w:iCs/>
          <w:sz w:val="20"/>
          <w:szCs w:val="20"/>
        </w:rPr>
        <w:t>Research conclusions</w:t>
      </w:r>
    </w:p>
    <w:p w14:paraId="1917931D" w14:textId="77777777" w:rsidR="00E13E93" w:rsidRPr="00DA32D9" w:rsidRDefault="00E13E93" w:rsidP="00DA32D9">
      <w:pPr>
        <w:snapToGrid w:val="0"/>
        <w:rPr>
          <w:sz w:val="20"/>
          <w:szCs w:val="20"/>
        </w:rPr>
      </w:pPr>
      <w:r w:rsidRPr="00DA32D9">
        <w:rPr>
          <w:sz w:val="20"/>
          <w:szCs w:val="20"/>
        </w:rPr>
        <w:t>Exosomal miR-182 can significantly promote the migration and invasion of GC cells by inhibiting RECK, and thus miR-182 can be used as a therapeutic target for GC.</w:t>
      </w:r>
    </w:p>
    <w:p w14:paraId="3873746F" w14:textId="77777777" w:rsidR="00E13E93" w:rsidRPr="00DA32D9" w:rsidRDefault="00E13E93" w:rsidP="00DA32D9">
      <w:pPr>
        <w:snapToGrid w:val="0"/>
        <w:rPr>
          <w:sz w:val="20"/>
          <w:szCs w:val="20"/>
        </w:rPr>
      </w:pPr>
    </w:p>
    <w:p w14:paraId="4046A94E" w14:textId="77777777" w:rsidR="00E13E93" w:rsidRPr="00DA32D9" w:rsidRDefault="00E13E93" w:rsidP="00DA32D9">
      <w:pPr>
        <w:snapToGrid w:val="0"/>
        <w:rPr>
          <w:b/>
          <w:bCs/>
          <w:i/>
          <w:iCs/>
          <w:sz w:val="20"/>
          <w:szCs w:val="20"/>
        </w:rPr>
      </w:pPr>
      <w:r w:rsidRPr="00DA32D9">
        <w:rPr>
          <w:b/>
          <w:bCs/>
          <w:i/>
          <w:iCs/>
          <w:sz w:val="20"/>
          <w:szCs w:val="20"/>
        </w:rPr>
        <w:t>Research perspectives</w:t>
      </w:r>
    </w:p>
    <w:p w14:paraId="71D9ED26" w14:textId="77777777" w:rsidR="00E13E93" w:rsidRPr="00DA32D9" w:rsidRDefault="00E13E93" w:rsidP="00DA32D9">
      <w:pPr>
        <w:snapToGrid w:val="0"/>
        <w:rPr>
          <w:sz w:val="20"/>
          <w:szCs w:val="20"/>
        </w:rPr>
      </w:pPr>
      <w:r w:rsidRPr="00DA32D9">
        <w:rPr>
          <w:sz w:val="20"/>
          <w:szCs w:val="20"/>
        </w:rPr>
        <w:lastRenderedPageBreak/>
        <w:t>The signaling pathways implicated in miR-182/RECK should be explored in future experimental design to supplement the oncogenic network of exosomal miR-182. The clinical value of exosomal miR-182 in GC remains to be discussed.</w:t>
      </w:r>
    </w:p>
    <w:p w14:paraId="506BC683" w14:textId="77777777" w:rsidR="00035E5B" w:rsidRPr="00DA32D9" w:rsidRDefault="0019595D" w:rsidP="00DA32D9">
      <w:pPr>
        <w:snapToGrid w:val="0"/>
        <w:jc w:val="left"/>
        <w:rPr>
          <w:b/>
          <w:bCs/>
          <w:caps/>
          <w:kern w:val="44"/>
          <w:sz w:val="20"/>
          <w:szCs w:val="20"/>
        </w:rPr>
      </w:pPr>
      <w:r w:rsidRPr="00DA32D9">
        <w:rPr>
          <w:sz w:val="20"/>
          <w:szCs w:val="20"/>
        </w:rPr>
        <w:br w:type="page"/>
      </w:r>
    </w:p>
    <w:p w14:paraId="51AB653B" w14:textId="77777777" w:rsidR="00035E5B" w:rsidRPr="00DA32D9" w:rsidRDefault="0019595D" w:rsidP="00DA32D9">
      <w:pPr>
        <w:pStyle w:val="1"/>
        <w:keepNext w:val="0"/>
        <w:keepLines w:val="0"/>
        <w:snapToGrid w:val="0"/>
        <w:spacing w:line="360" w:lineRule="auto"/>
        <w:rPr>
          <w:sz w:val="20"/>
          <w:szCs w:val="20"/>
        </w:rPr>
      </w:pPr>
      <w:r w:rsidRPr="00DA32D9">
        <w:rPr>
          <w:sz w:val="20"/>
          <w:szCs w:val="20"/>
        </w:rPr>
        <w:lastRenderedPageBreak/>
        <w:t>REFERENCES</w:t>
      </w:r>
    </w:p>
    <w:p w14:paraId="724CBE97" w14:textId="77777777" w:rsidR="00B93770" w:rsidRPr="00DA32D9" w:rsidRDefault="00B93770" w:rsidP="00DA32D9">
      <w:pPr>
        <w:snapToGrid w:val="0"/>
        <w:rPr>
          <w:sz w:val="20"/>
          <w:szCs w:val="20"/>
        </w:rPr>
      </w:pPr>
      <w:r w:rsidRPr="00DA32D9">
        <w:rPr>
          <w:sz w:val="20"/>
          <w:szCs w:val="20"/>
        </w:rPr>
        <w:t xml:space="preserve">1 </w:t>
      </w:r>
      <w:r w:rsidRPr="00DA32D9">
        <w:rPr>
          <w:b/>
          <w:sz w:val="20"/>
          <w:szCs w:val="20"/>
        </w:rPr>
        <w:t>Schmidt MA</w:t>
      </w:r>
      <w:r w:rsidRPr="00DA32D9">
        <w:rPr>
          <w:sz w:val="20"/>
          <w:szCs w:val="20"/>
        </w:rPr>
        <w:t xml:space="preserve">, Marcano-Bonilla L, Roberts LR. Gallbladder cancer: epidemiology and genetic risk associations. </w:t>
      </w:r>
      <w:r w:rsidRPr="00DA32D9">
        <w:rPr>
          <w:i/>
          <w:sz w:val="20"/>
          <w:szCs w:val="20"/>
        </w:rPr>
        <w:t>Chin Clin Oncol</w:t>
      </w:r>
      <w:r w:rsidRPr="00DA32D9">
        <w:rPr>
          <w:sz w:val="20"/>
          <w:szCs w:val="20"/>
        </w:rPr>
        <w:t xml:space="preserve"> 2019; </w:t>
      </w:r>
      <w:r w:rsidRPr="00DA32D9">
        <w:rPr>
          <w:b/>
          <w:sz w:val="20"/>
          <w:szCs w:val="20"/>
        </w:rPr>
        <w:t>8</w:t>
      </w:r>
      <w:r w:rsidRPr="00DA32D9">
        <w:rPr>
          <w:sz w:val="20"/>
          <w:szCs w:val="20"/>
        </w:rPr>
        <w:t>: 31 [PMID: 31484487 DOI: 10.21037/cco.2019.08.13]</w:t>
      </w:r>
    </w:p>
    <w:p w14:paraId="0538A2B7" w14:textId="77777777" w:rsidR="00B93770" w:rsidRPr="00DA32D9" w:rsidRDefault="00B93770" w:rsidP="00DA32D9">
      <w:pPr>
        <w:snapToGrid w:val="0"/>
        <w:rPr>
          <w:sz w:val="20"/>
          <w:szCs w:val="20"/>
        </w:rPr>
      </w:pPr>
      <w:r w:rsidRPr="00DA32D9">
        <w:rPr>
          <w:sz w:val="20"/>
          <w:szCs w:val="20"/>
        </w:rPr>
        <w:t xml:space="preserve">2 </w:t>
      </w:r>
      <w:r w:rsidRPr="00DA32D9">
        <w:rPr>
          <w:b/>
          <w:sz w:val="20"/>
          <w:szCs w:val="20"/>
        </w:rPr>
        <w:t>Hundal R</w:t>
      </w:r>
      <w:r w:rsidRPr="00DA32D9">
        <w:rPr>
          <w:sz w:val="20"/>
          <w:szCs w:val="20"/>
        </w:rPr>
        <w:t xml:space="preserve">, Shaffer EA. Gallbladder cancer: epidemiology and outcome. </w:t>
      </w:r>
      <w:r w:rsidRPr="00DA32D9">
        <w:rPr>
          <w:i/>
          <w:sz w:val="20"/>
          <w:szCs w:val="20"/>
        </w:rPr>
        <w:t>Clin Epidemiol</w:t>
      </w:r>
      <w:r w:rsidRPr="00DA32D9">
        <w:rPr>
          <w:sz w:val="20"/>
          <w:szCs w:val="20"/>
        </w:rPr>
        <w:t xml:space="preserve"> 2014; </w:t>
      </w:r>
      <w:r w:rsidRPr="00DA32D9">
        <w:rPr>
          <w:b/>
          <w:sz w:val="20"/>
          <w:szCs w:val="20"/>
        </w:rPr>
        <w:t>6</w:t>
      </w:r>
      <w:r w:rsidRPr="00DA32D9">
        <w:rPr>
          <w:sz w:val="20"/>
          <w:szCs w:val="20"/>
        </w:rPr>
        <w:t>: 99-109 [PMID: 24634588 DOI: 10.2147/CLEP.S37357]</w:t>
      </w:r>
    </w:p>
    <w:p w14:paraId="68C703B2" w14:textId="77777777" w:rsidR="00B93770" w:rsidRPr="00DA32D9" w:rsidRDefault="00B93770" w:rsidP="00DA32D9">
      <w:pPr>
        <w:snapToGrid w:val="0"/>
        <w:rPr>
          <w:sz w:val="20"/>
          <w:szCs w:val="20"/>
        </w:rPr>
      </w:pPr>
      <w:r w:rsidRPr="00DA32D9">
        <w:rPr>
          <w:sz w:val="20"/>
          <w:szCs w:val="20"/>
        </w:rPr>
        <w:t xml:space="preserve">3 </w:t>
      </w:r>
      <w:r w:rsidRPr="00DA32D9">
        <w:rPr>
          <w:b/>
          <w:sz w:val="20"/>
          <w:szCs w:val="20"/>
        </w:rPr>
        <w:t>de Savornin Lohman EAJ</w:t>
      </w:r>
      <w:r w:rsidRPr="00DA32D9">
        <w:rPr>
          <w:sz w:val="20"/>
          <w:szCs w:val="20"/>
        </w:rPr>
        <w:t xml:space="preserve">, de Bitter TJJ, van Laarhoven CJHM, Hermans JJ, de Haas RJ, de Reuver PR. The diagnostic accuracy of CT and MRI for the detection of lymph node metastases in gallbladder cancer: A systematic review and meta-analysis. </w:t>
      </w:r>
      <w:r w:rsidRPr="00DA32D9">
        <w:rPr>
          <w:i/>
          <w:sz w:val="20"/>
          <w:szCs w:val="20"/>
        </w:rPr>
        <w:t>Eur J Radiol</w:t>
      </w:r>
      <w:r w:rsidRPr="00DA32D9">
        <w:rPr>
          <w:sz w:val="20"/>
          <w:szCs w:val="20"/>
        </w:rPr>
        <w:t xml:space="preserve"> 2019; </w:t>
      </w:r>
      <w:r w:rsidRPr="00DA32D9">
        <w:rPr>
          <w:b/>
          <w:sz w:val="20"/>
          <w:szCs w:val="20"/>
        </w:rPr>
        <w:t>110</w:t>
      </w:r>
      <w:r w:rsidRPr="00DA32D9">
        <w:rPr>
          <w:sz w:val="20"/>
          <w:szCs w:val="20"/>
        </w:rPr>
        <w:t>: 156-162 [PMID: 30599854 DOI: 10.1016/j.ejrad.2018.11.034]</w:t>
      </w:r>
    </w:p>
    <w:p w14:paraId="35E5ACDD" w14:textId="77777777" w:rsidR="00B93770" w:rsidRPr="00DA32D9" w:rsidRDefault="00B93770" w:rsidP="00DA32D9">
      <w:pPr>
        <w:snapToGrid w:val="0"/>
        <w:rPr>
          <w:sz w:val="20"/>
          <w:szCs w:val="20"/>
        </w:rPr>
      </w:pPr>
      <w:r w:rsidRPr="00DA32D9">
        <w:rPr>
          <w:sz w:val="20"/>
          <w:szCs w:val="20"/>
        </w:rPr>
        <w:t xml:space="preserve">4 </w:t>
      </w:r>
      <w:r w:rsidRPr="00DA32D9">
        <w:rPr>
          <w:b/>
          <w:sz w:val="20"/>
          <w:szCs w:val="20"/>
        </w:rPr>
        <w:t>Niu J</w:t>
      </w:r>
      <w:r w:rsidRPr="00DA32D9">
        <w:rPr>
          <w:sz w:val="20"/>
          <w:szCs w:val="20"/>
        </w:rPr>
        <w:t xml:space="preserve">, Li Z, Li F. Overexpressed microRNA-136 works as a cancer suppressor in gallbladder cancer through suppression of JNK signaling pathway via inhibition of MAP2K4. </w:t>
      </w:r>
      <w:r w:rsidRPr="00DA32D9">
        <w:rPr>
          <w:i/>
          <w:sz w:val="20"/>
          <w:szCs w:val="20"/>
        </w:rPr>
        <w:t>Am J Physiol Gastrointest Liver Physiol</w:t>
      </w:r>
      <w:r w:rsidRPr="00DA32D9">
        <w:rPr>
          <w:sz w:val="20"/>
          <w:szCs w:val="20"/>
        </w:rPr>
        <w:t xml:space="preserve"> 2019; </w:t>
      </w:r>
      <w:r w:rsidRPr="00DA32D9">
        <w:rPr>
          <w:b/>
          <w:sz w:val="20"/>
          <w:szCs w:val="20"/>
        </w:rPr>
        <w:t>317</w:t>
      </w:r>
      <w:r w:rsidRPr="00DA32D9">
        <w:rPr>
          <w:sz w:val="20"/>
          <w:szCs w:val="20"/>
        </w:rPr>
        <w:t>: G670-G681 [PMID: 31369289 DOI: 10.1152/ajpgi.00055.2019]</w:t>
      </w:r>
    </w:p>
    <w:p w14:paraId="47257506" w14:textId="77777777" w:rsidR="00B93770" w:rsidRPr="00DA32D9" w:rsidRDefault="00B93770" w:rsidP="00DA32D9">
      <w:pPr>
        <w:snapToGrid w:val="0"/>
        <w:rPr>
          <w:sz w:val="20"/>
          <w:szCs w:val="20"/>
        </w:rPr>
      </w:pPr>
      <w:r w:rsidRPr="00DA32D9">
        <w:rPr>
          <w:sz w:val="20"/>
          <w:szCs w:val="20"/>
        </w:rPr>
        <w:t xml:space="preserve">5 </w:t>
      </w:r>
      <w:r w:rsidRPr="00DA32D9">
        <w:rPr>
          <w:b/>
          <w:sz w:val="20"/>
          <w:szCs w:val="20"/>
        </w:rPr>
        <w:t>Jin YP</w:t>
      </w:r>
      <w:r w:rsidRPr="00DA32D9">
        <w:rPr>
          <w:sz w:val="20"/>
          <w:szCs w:val="20"/>
        </w:rPr>
        <w:t xml:space="preserve">, Hu YP, Wu XS, Wu YS, Ye YY, Li HF, Liu YC, Jiang L, Liu FT, Zhang YJ, Hao YJ, Liu XY, Liu YB. miR-143-3p targeting of ITGA6 suppresses tumour growth and angiogenesis by downregulating PLGF expression via the PI3K/AKT pathway in gallbladder carcinoma. </w:t>
      </w:r>
      <w:r w:rsidRPr="00DA32D9">
        <w:rPr>
          <w:i/>
          <w:sz w:val="20"/>
          <w:szCs w:val="20"/>
        </w:rPr>
        <w:t>Cell Death Dis</w:t>
      </w:r>
      <w:r w:rsidRPr="00DA32D9">
        <w:rPr>
          <w:sz w:val="20"/>
          <w:szCs w:val="20"/>
        </w:rPr>
        <w:t xml:space="preserve"> 2018; </w:t>
      </w:r>
      <w:r w:rsidRPr="00DA32D9">
        <w:rPr>
          <w:b/>
          <w:sz w:val="20"/>
          <w:szCs w:val="20"/>
        </w:rPr>
        <w:t>9</w:t>
      </w:r>
      <w:r w:rsidRPr="00DA32D9">
        <w:rPr>
          <w:sz w:val="20"/>
          <w:szCs w:val="20"/>
        </w:rPr>
        <w:t>: 182 [PMID: 29416013 DOI: 10.1038/s41419-017-0258-2]</w:t>
      </w:r>
    </w:p>
    <w:p w14:paraId="03073FC0" w14:textId="77777777" w:rsidR="00B93770" w:rsidRPr="00DA32D9" w:rsidRDefault="00B93770" w:rsidP="00DA32D9">
      <w:pPr>
        <w:snapToGrid w:val="0"/>
        <w:rPr>
          <w:sz w:val="20"/>
          <w:szCs w:val="20"/>
        </w:rPr>
      </w:pPr>
      <w:r w:rsidRPr="00DA32D9">
        <w:rPr>
          <w:sz w:val="20"/>
          <w:szCs w:val="20"/>
        </w:rPr>
        <w:t xml:space="preserve">6 </w:t>
      </w:r>
      <w:r w:rsidRPr="00DA32D9">
        <w:rPr>
          <w:b/>
          <w:sz w:val="20"/>
          <w:szCs w:val="20"/>
        </w:rPr>
        <w:t>Kulkarni P</w:t>
      </w:r>
      <w:r w:rsidRPr="00DA32D9">
        <w:rPr>
          <w:sz w:val="20"/>
          <w:szCs w:val="20"/>
        </w:rPr>
        <w:t xml:space="preserve">, Dasgupta P, Bhat NS, Shahryari V, Shiina M, Hashimoto Y, Majid S, Deng G, Saini S, Tabatabai ZL, Yamamura S, Tanaka Y, Dahiya R. Elevated miR-182-5p Associates with Renal Cancer Cell Mitotic Arrest through Diminished </w:t>
      </w:r>
      <w:r w:rsidRPr="00DA32D9">
        <w:rPr>
          <w:i/>
          <w:sz w:val="20"/>
          <w:szCs w:val="20"/>
        </w:rPr>
        <w:t>MALAT-1</w:t>
      </w:r>
      <w:r w:rsidRPr="00DA32D9">
        <w:rPr>
          <w:sz w:val="20"/>
          <w:szCs w:val="20"/>
        </w:rPr>
        <w:t xml:space="preserve"> Expression. </w:t>
      </w:r>
      <w:r w:rsidRPr="00DA32D9">
        <w:rPr>
          <w:i/>
          <w:sz w:val="20"/>
          <w:szCs w:val="20"/>
        </w:rPr>
        <w:t>Mol Cancer Res</w:t>
      </w:r>
      <w:r w:rsidRPr="00DA32D9">
        <w:rPr>
          <w:sz w:val="20"/>
          <w:szCs w:val="20"/>
        </w:rPr>
        <w:t xml:space="preserve"> 2018; </w:t>
      </w:r>
      <w:r w:rsidRPr="00DA32D9">
        <w:rPr>
          <w:b/>
          <w:sz w:val="20"/>
          <w:szCs w:val="20"/>
        </w:rPr>
        <w:t>16</w:t>
      </w:r>
      <w:r w:rsidRPr="00DA32D9">
        <w:rPr>
          <w:sz w:val="20"/>
          <w:szCs w:val="20"/>
        </w:rPr>
        <w:t>: 1750-1760 [PMID: 30037856 DOI: 10.1158/1541-7786.MCR-17-0762]</w:t>
      </w:r>
    </w:p>
    <w:p w14:paraId="482550B0" w14:textId="77777777" w:rsidR="00B93770" w:rsidRPr="00DA32D9" w:rsidRDefault="00B93770" w:rsidP="00DA32D9">
      <w:pPr>
        <w:snapToGrid w:val="0"/>
        <w:rPr>
          <w:sz w:val="20"/>
          <w:szCs w:val="20"/>
        </w:rPr>
      </w:pPr>
      <w:r w:rsidRPr="00DA32D9">
        <w:rPr>
          <w:sz w:val="20"/>
          <w:szCs w:val="20"/>
        </w:rPr>
        <w:t xml:space="preserve">7 </w:t>
      </w:r>
      <w:r w:rsidRPr="00DA32D9">
        <w:rPr>
          <w:b/>
          <w:sz w:val="20"/>
          <w:szCs w:val="20"/>
        </w:rPr>
        <w:t>Livingstone MC</w:t>
      </w:r>
      <w:r w:rsidRPr="00DA32D9">
        <w:rPr>
          <w:sz w:val="20"/>
          <w:szCs w:val="20"/>
        </w:rPr>
        <w:t xml:space="preserve">, Johnson NM, Roebuck BD, Kensler TW, Groopman JD. Serum miR-182 is a predictive biomarker for dichotomization of risk of hepatocellular carcinoma in rats. </w:t>
      </w:r>
      <w:r w:rsidRPr="00DA32D9">
        <w:rPr>
          <w:i/>
          <w:sz w:val="20"/>
          <w:szCs w:val="20"/>
        </w:rPr>
        <w:t>Mol Carcinog</w:t>
      </w:r>
      <w:r w:rsidRPr="00DA32D9">
        <w:rPr>
          <w:sz w:val="20"/>
          <w:szCs w:val="20"/>
        </w:rPr>
        <w:t xml:space="preserve"> 2019; </w:t>
      </w:r>
      <w:r w:rsidRPr="00DA32D9">
        <w:rPr>
          <w:b/>
          <w:sz w:val="20"/>
          <w:szCs w:val="20"/>
        </w:rPr>
        <w:t>58</w:t>
      </w:r>
      <w:r w:rsidRPr="00DA32D9">
        <w:rPr>
          <w:sz w:val="20"/>
          <w:szCs w:val="20"/>
        </w:rPr>
        <w:t>: 2017-2025 [PMID: 31373075 DOI: 10.1002/mc.23093]</w:t>
      </w:r>
    </w:p>
    <w:p w14:paraId="5A9542A9" w14:textId="77777777" w:rsidR="00B93770" w:rsidRPr="00DA32D9" w:rsidRDefault="00B93770" w:rsidP="00DA32D9">
      <w:pPr>
        <w:snapToGrid w:val="0"/>
        <w:rPr>
          <w:sz w:val="20"/>
          <w:szCs w:val="20"/>
        </w:rPr>
      </w:pPr>
      <w:r w:rsidRPr="00DA32D9">
        <w:rPr>
          <w:sz w:val="20"/>
          <w:szCs w:val="20"/>
        </w:rPr>
        <w:t xml:space="preserve">8 </w:t>
      </w:r>
      <w:r w:rsidRPr="00DA32D9">
        <w:rPr>
          <w:b/>
          <w:sz w:val="20"/>
          <w:szCs w:val="20"/>
        </w:rPr>
        <w:t>Perilli L</w:t>
      </w:r>
      <w:r w:rsidRPr="00DA32D9">
        <w:rPr>
          <w:sz w:val="20"/>
          <w:szCs w:val="20"/>
        </w:rPr>
        <w:t xml:space="preserve">, Tessarollo S, Albertoni L, Curtarello M, Pastò A, Brunetti E, Fassan M, Rugge M, Indraccolo S, Amadori A, Bortoluzzi S, Zanovello P. Silencing of miR-182 is associated with modulation of tumorigenesis through apoptosis induction in an experimental model of colorectal cancer. </w:t>
      </w:r>
      <w:r w:rsidRPr="00DA32D9">
        <w:rPr>
          <w:i/>
          <w:sz w:val="20"/>
          <w:szCs w:val="20"/>
        </w:rPr>
        <w:t>BMC Cancer</w:t>
      </w:r>
      <w:r w:rsidRPr="00DA32D9">
        <w:rPr>
          <w:sz w:val="20"/>
          <w:szCs w:val="20"/>
        </w:rPr>
        <w:t xml:space="preserve"> 2019; </w:t>
      </w:r>
      <w:r w:rsidRPr="00DA32D9">
        <w:rPr>
          <w:b/>
          <w:sz w:val="20"/>
          <w:szCs w:val="20"/>
        </w:rPr>
        <w:t>19</w:t>
      </w:r>
      <w:r w:rsidRPr="00DA32D9">
        <w:rPr>
          <w:sz w:val="20"/>
          <w:szCs w:val="20"/>
        </w:rPr>
        <w:t>: 821 [PMID: 31429725 DOI: 10.1186/s12885-019-5982-9]</w:t>
      </w:r>
    </w:p>
    <w:p w14:paraId="2B2B2C41" w14:textId="77777777" w:rsidR="00B93770" w:rsidRPr="00DA32D9" w:rsidRDefault="00B93770" w:rsidP="00DA32D9">
      <w:pPr>
        <w:snapToGrid w:val="0"/>
        <w:rPr>
          <w:sz w:val="20"/>
          <w:szCs w:val="20"/>
        </w:rPr>
      </w:pPr>
      <w:r w:rsidRPr="00DA32D9">
        <w:rPr>
          <w:sz w:val="20"/>
          <w:szCs w:val="20"/>
        </w:rPr>
        <w:t xml:space="preserve">9 </w:t>
      </w:r>
      <w:r w:rsidRPr="00DA32D9">
        <w:rPr>
          <w:b/>
          <w:sz w:val="20"/>
          <w:szCs w:val="20"/>
        </w:rPr>
        <w:t>Spitschak A</w:t>
      </w:r>
      <w:r w:rsidRPr="00DA32D9">
        <w:rPr>
          <w:sz w:val="20"/>
          <w:szCs w:val="20"/>
        </w:rPr>
        <w:t xml:space="preserve">, Meier C, Kowtharapu B, Engelmann D, Pützer BM. MiR-182 promotes cancer invasion by linking RET oncogene activated NF-κB to loss of the HES1/Notch1 regulatory circuit. </w:t>
      </w:r>
      <w:r w:rsidRPr="00DA32D9">
        <w:rPr>
          <w:i/>
          <w:sz w:val="20"/>
          <w:szCs w:val="20"/>
        </w:rPr>
        <w:t>Mol Cancer</w:t>
      </w:r>
      <w:r w:rsidRPr="00DA32D9">
        <w:rPr>
          <w:sz w:val="20"/>
          <w:szCs w:val="20"/>
        </w:rPr>
        <w:t xml:space="preserve"> 2017; </w:t>
      </w:r>
      <w:r w:rsidRPr="00DA32D9">
        <w:rPr>
          <w:b/>
          <w:sz w:val="20"/>
          <w:szCs w:val="20"/>
        </w:rPr>
        <w:t>16</w:t>
      </w:r>
      <w:r w:rsidRPr="00DA32D9">
        <w:rPr>
          <w:sz w:val="20"/>
          <w:szCs w:val="20"/>
        </w:rPr>
        <w:t>: 24 [PMID: 28122586 DOI: 10.1186/s12943-016-0563-x]</w:t>
      </w:r>
    </w:p>
    <w:p w14:paraId="324D91CE" w14:textId="77777777" w:rsidR="00B93770" w:rsidRPr="00DA32D9" w:rsidRDefault="00B93770" w:rsidP="00DA32D9">
      <w:pPr>
        <w:snapToGrid w:val="0"/>
        <w:rPr>
          <w:sz w:val="20"/>
          <w:szCs w:val="20"/>
        </w:rPr>
      </w:pPr>
      <w:r w:rsidRPr="00DA32D9">
        <w:rPr>
          <w:sz w:val="20"/>
          <w:szCs w:val="20"/>
        </w:rPr>
        <w:t xml:space="preserve">10 </w:t>
      </w:r>
      <w:r w:rsidRPr="00DA32D9">
        <w:rPr>
          <w:b/>
          <w:sz w:val="20"/>
          <w:szCs w:val="20"/>
        </w:rPr>
        <w:t>Qiu Y</w:t>
      </w:r>
      <w:r w:rsidRPr="00DA32D9">
        <w:rPr>
          <w:sz w:val="20"/>
          <w:szCs w:val="20"/>
        </w:rPr>
        <w:t xml:space="preserve">, Luo X, Kan T, Zhang Y, Yu W, Wei Y, Shen N, Yi B, Jiang X. TGF-β upregulates miR-182 expression to promote gallbladder cancer metastasis by targeting CADM1. </w:t>
      </w:r>
      <w:r w:rsidRPr="00DA32D9">
        <w:rPr>
          <w:i/>
          <w:sz w:val="20"/>
          <w:szCs w:val="20"/>
        </w:rPr>
        <w:t>Mol Biosyst</w:t>
      </w:r>
      <w:r w:rsidRPr="00DA32D9">
        <w:rPr>
          <w:sz w:val="20"/>
          <w:szCs w:val="20"/>
        </w:rPr>
        <w:t xml:space="preserve"> 2014; </w:t>
      </w:r>
      <w:r w:rsidRPr="00DA32D9">
        <w:rPr>
          <w:b/>
          <w:sz w:val="20"/>
          <w:szCs w:val="20"/>
        </w:rPr>
        <w:t>10</w:t>
      </w:r>
      <w:r w:rsidRPr="00DA32D9">
        <w:rPr>
          <w:sz w:val="20"/>
          <w:szCs w:val="20"/>
        </w:rPr>
        <w:t>: 679-685 [PMID: 24445397 DOI: 10.1039/c3mb70479c]</w:t>
      </w:r>
    </w:p>
    <w:p w14:paraId="64DF5DA8" w14:textId="77777777" w:rsidR="00B93770" w:rsidRPr="00DA32D9" w:rsidRDefault="00B93770" w:rsidP="00DA32D9">
      <w:pPr>
        <w:snapToGrid w:val="0"/>
        <w:rPr>
          <w:sz w:val="20"/>
          <w:szCs w:val="20"/>
        </w:rPr>
      </w:pPr>
      <w:r w:rsidRPr="00DA32D9">
        <w:rPr>
          <w:sz w:val="20"/>
          <w:szCs w:val="20"/>
        </w:rPr>
        <w:t xml:space="preserve">11 </w:t>
      </w:r>
      <w:r w:rsidRPr="00DA32D9">
        <w:rPr>
          <w:b/>
          <w:sz w:val="20"/>
          <w:szCs w:val="20"/>
        </w:rPr>
        <w:t>Liu LT</w:t>
      </w:r>
      <w:r w:rsidRPr="00DA32D9">
        <w:rPr>
          <w:sz w:val="20"/>
          <w:szCs w:val="20"/>
        </w:rPr>
        <w:t xml:space="preserve">, Chang HC, Chiang LC, Hung WC. Histone deacetylase inhibitor up-regulates RECK to inhibit MMP-2 activation and cancer cell invasion. </w:t>
      </w:r>
      <w:r w:rsidRPr="00DA32D9">
        <w:rPr>
          <w:i/>
          <w:sz w:val="20"/>
          <w:szCs w:val="20"/>
        </w:rPr>
        <w:t>Cancer Res</w:t>
      </w:r>
      <w:r w:rsidRPr="00DA32D9">
        <w:rPr>
          <w:sz w:val="20"/>
          <w:szCs w:val="20"/>
        </w:rPr>
        <w:t xml:space="preserve"> 2003; </w:t>
      </w:r>
      <w:r w:rsidRPr="00DA32D9">
        <w:rPr>
          <w:b/>
          <w:sz w:val="20"/>
          <w:szCs w:val="20"/>
        </w:rPr>
        <w:t>63</w:t>
      </w:r>
      <w:r w:rsidRPr="00DA32D9">
        <w:rPr>
          <w:sz w:val="20"/>
          <w:szCs w:val="20"/>
        </w:rPr>
        <w:t>: 3069-3072 [PMID: 12810630]</w:t>
      </w:r>
    </w:p>
    <w:p w14:paraId="6818DD5B" w14:textId="77777777" w:rsidR="00B93770" w:rsidRPr="00DA32D9" w:rsidRDefault="00B93770" w:rsidP="00DA32D9">
      <w:pPr>
        <w:snapToGrid w:val="0"/>
        <w:rPr>
          <w:sz w:val="20"/>
          <w:szCs w:val="20"/>
        </w:rPr>
      </w:pPr>
      <w:r w:rsidRPr="00DA32D9">
        <w:rPr>
          <w:sz w:val="20"/>
          <w:szCs w:val="20"/>
        </w:rPr>
        <w:t xml:space="preserve">12 </w:t>
      </w:r>
      <w:r w:rsidRPr="00DA32D9">
        <w:rPr>
          <w:b/>
          <w:sz w:val="20"/>
          <w:szCs w:val="20"/>
        </w:rPr>
        <w:t>Noda M</w:t>
      </w:r>
      <w:r w:rsidRPr="00DA32D9">
        <w:rPr>
          <w:sz w:val="20"/>
          <w:szCs w:val="20"/>
        </w:rPr>
        <w:t xml:space="preserve">, Oh J, Takahashi R, Kondo S, Kitayama H, Takahashi C. RECK: a novel suppressor of malignancy linking oncogenic signaling to extracellular matrix remodeling. </w:t>
      </w:r>
      <w:r w:rsidRPr="00DA32D9">
        <w:rPr>
          <w:i/>
          <w:sz w:val="20"/>
          <w:szCs w:val="20"/>
        </w:rPr>
        <w:t>Cancer Metastasis Rev</w:t>
      </w:r>
      <w:r w:rsidRPr="00DA32D9">
        <w:rPr>
          <w:sz w:val="20"/>
          <w:szCs w:val="20"/>
        </w:rPr>
        <w:t xml:space="preserve"> 2003; </w:t>
      </w:r>
      <w:r w:rsidRPr="00DA32D9">
        <w:rPr>
          <w:b/>
          <w:sz w:val="20"/>
          <w:szCs w:val="20"/>
        </w:rPr>
        <w:t>22</w:t>
      </w:r>
      <w:r w:rsidRPr="00DA32D9">
        <w:rPr>
          <w:sz w:val="20"/>
          <w:szCs w:val="20"/>
        </w:rPr>
        <w:t>: 167-175 [PMID: 12784995 DOI: 10.1023/a:1023043315031]</w:t>
      </w:r>
    </w:p>
    <w:p w14:paraId="1CF0D868" w14:textId="1655907B" w:rsidR="00B93770" w:rsidRPr="00DA32D9" w:rsidRDefault="00B93770" w:rsidP="00DA32D9">
      <w:pPr>
        <w:snapToGrid w:val="0"/>
        <w:rPr>
          <w:sz w:val="20"/>
          <w:szCs w:val="20"/>
        </w:rPr>
      </w:pPr>
      <w:r w:rsidRPr="00DA32D9">
        <w:rPr>
          <w:sz w:val="20"/>
          <w:szCs w:val="20"/>
        </w:rPr>
        <w:lastRenderedPageBreak/>
        <w:t xml:space="preserve">13 </w:t>
      </w:r>
      <w:r w:rsidRPr="00DA32D9">
        <w:rPr>
          <w:b/>
          <w:sz w:val="20"/>
          <w:szCs w:val="20"/>
        </w:rPr>
        <w:t>Takahashi C</w:t>
      </w:r>
      <w:r w:rsidRPr="00DA32D9">
        <w:rPr>
          <w:sz w:val="20"/>
          <w:szCs w:val="20"/>
        </w:rPr>
        <w:t xml:space="preserve">, Sheng Z, Horan TP, Kitayama H, Maki M, Hitomi K, Kitaura Y, Takai S, Sasahara RM, Horimoto A, Ikawa Y, Ratzkin BJ, Arakawa T, Noda M. Regulation of matrix metalloproteinase-9 and inhibition of tumor invasion by the membrane-anchored glycoprotein RECK. </w:t>
      </w:r>
      <w:r w:rsidRPr="00DA32D9">
        <w:rPr>
          <w:i/>
          <w:sz w:val="20"/>
          <w:szCs w:val="20"/>
        </w:rPr>
        <w:t>Proc Natl Acad Sci USA</w:t>
      </w:r>
      <w:r w:rsidRPr="00DA32D9">
        <w:rPr>
          <w:sz w:val="20"/>
          <w:szCs w:val="20"/>
        </w:rPr>
        <w:t xml:space="preserve"> 1998; </w:t>
      </w:r>
      <w:r w:rsidRPr="00DA32D9">
        <w:rPr>
          <w:b/>
          <w:sz w:val="20"/>
          <w:szCs w:val="20"/>
        </w:rPr>
        <w:t>95</w:t>
      </w:r>
      <w:r w:rsidRPr="00DA32D9">
        <w:rPr>
          <w:sz w:val="20"/>
          <w:szCs w:val="20"/>
        </w:rPr>
        <w:t>: 13221-13226 [PMID: 9789069 DOI: 10.1073/pnas.95.22.13221]</w:t>
      </w:r>
    </w:p>
    <w:p w14:paraId="5EAADA48" w14:textId="77777777" w:rsidR="00B93770" w:rsidRPr="00DA32D9" w:rsidRDefault="00B93770" w:rsidP="00DA32D9">
      <w:pPr>
        <w:snapToGrid w:val="0"/>
        <w:rPr>
          <w:sz w:val="20"/>
          <w:szCs w:val="20"/>
        </w:rPr>
      </w:pPr>
      <w:r w:rsidRPr="00DA32D9">
        <w:rPr>
          <w:sz w:val="20"/>
          <w:szCs w:val="20"/>
        </w:rPr>
        <w:t xml:space="preserve">14 </w:t>
      </w:r>
      <w:r w:rsidRPr="00DA32D9">
        <w:rPr>
          <w:b/>
          <w:sz w:val="20"/>
          <w:szCs w:val="20"/>
        </w:rPr>
        <w:t>Liu Y</w:t>
      </w:r>
      <w:r w:rsidRPr="00DA32D9">
        <w:rPr>
          <w:sz w:val="20"/>
          <w:szCs w:val="20"/>
        </w:rPr>
        <w:t xml:space="preserve">, Li L, Liu Y, Geng P, Li G, Yang Y, Song H. RECK inhibits cervical cancer cell migration and invasion by promoting p53 signaling pathway. </w:t>
      </w:r>
      <w:r w:rsidRPr="00DA32D9">
        <w:rPr>
          <w:i/>
          <w:sz w:val="20"/>
          <w:szCs w:val="20"/>
        </w:rPr>
        <w:t>J Cell Biochem</w:t>
      </w:r>
      <w:r w:rsidRPr="00DA32D9">
        <w:rPr>
          <w:sz w:val="20"/>
          <w:szCs w:val="20"/>
        </w:rPr>
        <w:t xml:space="preserve"> 2018; </w:t>
      </w:r>
      <w:r w:rsidRPr="00DA32D9">
        <w:rPr>
          <w:b/>
          <w:sz w:val="20"/>
          <w:szCs w:val="20"/>
        </w:rPr>
        <w:t>119</w:t>
      </w:r>
      <w:r w:rsidRPr="00DA32D9">
        <w:rPr>
          <w:sz w:val="20"/>
          <w:szCs w:val="20"/>
        </w:rPr>
        <w:t>: 3058-3066 [PMID: 29064588 DOI: 10.1002/jcb.26441]</w:t>
      </w:r>
    </w:p>
    <w:p w14:paraId="5B84E774" w14:textId="77777777" w:rsidR="00B93770" w:rsidRPr="00DA32D9" w:rsidRDefault="00B93770" w:rsidP="00DA32D9">
      <w:pPr>
        <w:snapToGrid w:val="0"/>
        <w:rPr>
          <w:sz w:val="20"/>
          <w:szCs w:val="20"/>
        </w:rPr>
      </w:pPr>
      <w:r w:rsidRPr="00DA32D9">
        <w:rPr>
          <w:sz w:val="20"/>
          <w:szCs w:val="20"/>
        </w:rPr>
        <w:t xml:space="preserve">15 </w:t>
      </w:r>
      <w:r w:rsidRPr="00DA32D9">
        <w:rPr>
          <w:b/>
          <w:sz w:val="20"/>
          <w:szCs w:val="20"/>
        </w:rPr>
        <w:t>Chen R</w:t>
      </w:r>
      <w:r w:rsidRPr="00DA32D9">
        <w:rPr>
          <w:sz w:val="20"/>
          <w:szCs w:val="20"/>
        </w:rPr>
        <w:t xml:space="preserve">, Sheng L, Zhang HJ, Ji M, Qian WQ. miR-15b-5p facilitates the tumorigenicity by targeting RECK and predicts tumour recurrence in prostate cancer. </w:t>
      </w:r>
      <w:r w:rsidRPr="00DA32D9">
        <w:rPr>
          <w:i/>
          <w:sz w:val="20"/>
          <w:szCs w:val="20"/>
        </w:rPr>
        <w:t>J Cell Mol Med</w:t>
      </w:r>
      <w:r w:rsidRPr="00DA32D9">
        <w:rPr>
          <w:sz w:val="20"/>
          <w:szCs w:val="20"/>
        </w:rPr>
        <w:t xml:space="preserve"> 2018; </w:t>
      </w:r>
      <w:r w:rsidRPr="00DA32D9">
        <w:rPr>
          <w:b/>
          <w:sz w:val="20"/>
          <w:szCs w:val="20"/>
        </w:rPr>
        <w:t>22</w:t>
      </w:r>
      <w:r w:rsidRPr="00DA32D9">
        <w:rPr>
          <w:sz w:val="20"/>
          <w:szCs w:val="20"/>
        </w:rPr>
        <w:t>: 1855-1863 [PMID: 29363862 DOI: 10.1111/jcmm.13469]</w:t>
      </w:r>
    </w:p>
    <w:p w14:paraId="14B02B2E" w14:textId="77777777" w:rsidR="00B93770" w:rsidRPr="00DA32D9" w:rsidRDefault="00B93770" w:rsidP="00DA32D9">
      <w:pPr>
        <w:snapToGrid w:val="0"/>
        <w:rPr>
          <w:sz w:val="20"/>
          <w:szCs w:val="20"/>
        </w:rPr>
      </w:pPr>
      <w:r w:rsidRPr="00DA32D9">
        <w:rPr>
          <w:sz w:val="20"/>
          <w:szCs w:val="20"/>
        </w:rPr>
        <w:t xml:space="preserve">16 </w:t>
      </w:r>
      <w:r w:rsidRPr="00DA32D9">
        <w:rPr>
          <w:b/>
          <w:sz w:val="20"/>
          <w:szCs w:val="20"/>
        </w:rPr>
        <w:t>Wang J</w:t>
      </w:r>
      <w:r w:rsidRPr="00DA32D9">
        <w:rPr>
          <w:sz w:val="20"/>
          <w:szCs w:val="20"/>
        </w:rPr>
        <w:t xml:space="preserve">, Lin Y, Jiang T, Gao C, Wang D, Wang X, Wei Y, Liu T, Zhu L, Wang P, Qi F. Up-regulation of TIMP-3 and RECK decrease the invasion and metastasis ability of colon cancer. </w:t>
      </w:r>
      <w:r w:rsidRPr="00DA32D9">
        <w:rPr>
          <w:i/>
          <w:sz w:val="20"/>
          <w:szCs w:val="20"/>
        </w:rPr>
        <w:t>Arab J Gastroenterol</w:t>
      </w:r>
      <w:r w:rsidRPr="00DA32D9">
        <w:rPr>
          <w:sz w:val="20"/>
          <w:szCs w:val="20"/>
        </w:rPr>
        <w:t xml:space="preserve"> 2019; </w:t>
      </w:r>
      <w:r w:rsidRPr="00DA32D9">
        <w:rPr>
          <w:b/>
          <w:sz w:val="20"/>
          <w:szCs w:val="20"/>
        </w:rPr>
        <w:t>20</w:t>
      </w:r>
      <w:r w:rsidRPr="00DA32D9">
        <w:rPr>
          <w:sz w:val="20"/>
          <w:szCs w:val="20"/>
        </w:rPr>
        <w:t>: 127-134 [PMID: 31558368 DOI: 10.1016/j.ajg.2019.07.003]</w:t>
      </w:r>
    </w:p>
    <w:p w14:paraId="4575359D" w14:textId="77777777" w:rsidR="00B93770" w:rsidRPr="00DA32D9" w:rsidRDefault="00B93770" w:rsidP="00DA32D9">
      <w:pPr>
        <w:snapToGrid w:val="0"/>
        <w:rPr>
          <w:sz w:val="20"/>
          <w:szCs w:val="20"/>
        </w:rPr>
      </w:pPr>
      <w:r w:rsidRPr="00DA32D9">
        <w:rPr>
          <w:sz w:val="20"/>
          <w:szCs w:val="20"/>
        </w:rPr>
        <w:t xml:space="preserve">17 </w:t>
      </w:r>
      <w:r w:rsidRPr="00DA32D9">
        <w:rPr>
          <w:b/>
          <w:sz w:val="20"/>
          <w:szCs w:val="20"/>
        </w:rPr>
        <w:t>Qin J</w:t>
      </w:r>
      <w:r w:rsidRPr="00DA32D9">
        <w:rPr>
          <w:sz w:val="20"/>
          <w:szCs w:val="20"/>
        </w:rPr>
        <w:t xml:space="preserve">, Luo M. MicroRNA-221 promotes colorectal cancer cell invasion and metastasis by targeting RECK. </w:t>
      </w:r>
      <w:r w:rsidRPr="00DA32D9">
        <w:rPr>
          <w:i/>
          <w:sz w:val="20"/>
          <w:szCs w:val="20"/>
        </w:rPr>
        <w:t>FEBS Lett</w:t>
      </w:r>
      <w:r w:rsidRPr="00DA32D9">
        <w:rPr>
          <w:sz w:val="20"/>
          <w:szCs w:val="20"/>
        </w:rPr>
        <w:t xml:space="preserve"> 2014; </w:t>
      </w:r>
      <w:r w:rsidRPr="00DA32D9">
        <w:rPr>
          <w:b/>
          <w:sz w:val="20"/>
          <w:szCs w:val="20"/>
        </w:rPr>
        <w:t>588</w:t>
      </w:r>
      <w:r w:rsidRPr="00DA32D9">
        <w:rPr>
          <w:sz w:val="20"/>
          <w:szCs w:val="20"/>
        </w:rPr>
        <w:t>: 99-104 [PMID: 24269686 DOI: 10.1016/j.febslet.2013.11.014]</w:t>
      </w:r>
    </w:p>
    <w:p w14:paraId="3C96A0D3" w14:textId="77777777" w:rsidR="00B93770" w:rsidRPr="00DA32D9" w:rsidRDefault="00B93770" w:rsidP="00DA32D9">
      <w:pPr>
        <w:snapToGrid w:val="0"/>
        <w:rPr>
          <w:sz w:val="20"/>
          <w:szCs w:val="20"/>
        </w:rPr>
      </w:pPr>
      <w:r w:rsidRPr="00DA32D9">
        <w:rPr>
          <w:sz w:val="20"/>
          <w:szCs w:val="20"/>
        </w:rPr>
        <w:t xml:space="preserve">18 </w:t>
      </w:r>
      <w:r w:rsidRPr="00DA32D9">
        <w:rPr>
          <w:b/>
          <w:sz w:val="20"/>
          <w:szCs w:val="20"/>
        </w:rPr>
        <w:t>Iseki Y</w:t>
      </w:r>
      <w:r w:rsidRPr="00DA32D9">
        <w:rPr>
          <w:sz w:val="20"/>
          <w:szCs w:val="20"/>
        </w:rPr>
        <w:t xml:space="preserve">, Shibutani M, Maeda K, Nagahara H, Fukuoka T, Matsutani S, Hirakawa K, Ohira M. MicroRNA-96 Promotes Tumor Invasion in Colorectal Cancer </w:t>
      </w:r>
      <w:r w:rsidRPr="00DA32D9">
        <w:rPr>
          <w:i/>
          <w:sz w:val="20"/>
          <w:szCs w:val="20"/>
        </w:rPr>
        <w:t>via</w:t>
      </w:r>
      <w:r w:rsidRPr="00DA32D9">
        <w:rPr>
          <w:sz w:val="20"/>
          <w:szCs w:val="20"/>
        </w:rPr>
        <w:t xml:space="preserve"> RECK. </w:t>
      </w:r>
      <w:r w:rsidRPr="00DA32D9">
        <w:rPr>
          <w:i/>
          <w:sz w:val="20"/>
          <w:szCs w:val="20"/>
        </w:rPr>
        <w:t>Anticancer Res</w:t>
      </w:r>
      <w:r w:rsidRPr="00DA32D9">
        <w:rPr>
          <w:sz w:val="20"/>
          <w:szCs w:val="20"/>
        </w:rPr>
        <w:t xml:space="preserve"> 2018; </w:t>
      </w:r>
      <w:r w:rsidRPr="00DA32D9">
        <w:rPr>
          <w:b/>
          <w:sz w:val="20"/>
          <w:szCs w:val="20"/>
        </w:rPr>
        <w:t>38</w:t>
      </w:r>
      <w:r w:rsidRPr="00DA32D9">
        <w:rPr>
          <w:sz w:val="20"/>
          <w:szCs w:val="20"/>
        </w:rPr>
        <w:t>: 2031-2035 [PMID: 29599320 DOI: 10.21873/anticanres.12442]</w:t>
      </w:r>
    </w:p>
    <w:p w14:paraId="79A4A1DB" w14:textId="77777777" w:rsidR="00B93770" w:rsidRPr="00DA32D9" w:rsidRDefault="00B93770" w:rsidP="00DA32D9">
      <w:pPr>
        <w:snapToGrid w:val="0"/>
        <w:rPr>
          <w:sz w:val="20"/>
          <w:szCs w:val="20"/>
        </w:rPr>
      </w:pPr>
      <w:r w:rsidRPr="00DA32D9">
        <w:rPr>
          <w:sz w:val="20"/>
          <w:szCs w:val="20"/>
        </w:rPr>
        <w:t xml:space="preserve">19 </w:t>
      </w:r>
      <w:r w:rsidRPr="00DA32D9">
        <w:rPr>
          <w:b/>
          <w:sz w:val="20"/>
          <w:szCs w:val="20"/>
        </w:rPr>
        <w:t>Wei LJ</w:t>
      </w:r>
      <w:r w:rsidRPr="00DA32D9">
        <w:rPr>
          <w:sz w:val="20"/>
          <w:szCs w:val="20"/>
        </w:rPr>
        <w:t xml:space="preserve">, Bai DM, Wang ZY, Liu BC. MicroRNA-375 accelerates the invasion and migration of colorectal cancer through targeting RECK. </w:t>
      </w:r>
      <w:r w:rsidRPr="00DA32D9">
        <w:rPr>
          <w:i/>
          <w:sz w:val="20"/>
          <w:szCs w:val="20"/>
        </w:rPr>
        <w:t>Eur Rev Med Pharmacol Sci</w:t>
      </w:r>
      <w:r w:rsidRPr="00DA32D9">
        <w:rPr>
          <w:sz w:val="20"/>
          <w:szCs w:val="20"/>
        </w:rPr>
        <w:t xml:space="preserve"> 2019; </w:t>
      </w:r>
      <w:r w:rsidRPr="00DA32D9">
        <w:rPr>
          <w:b/>
          <w:sz w:val="20"/>
          <w:szCs w:val="20"/>
        </w:rPr>
        <w:t>23</w:t>
      </w:r>
      <w:r w:rsidRPr="00DA32D9">
        <w:rPr>
          <w:sz w:val="20"/>
          <w:szCs w:val="20"/>
        </w:rPr>
        <w:t>: 4738-4745 [PMID: 31210300 DOI: 10.26355/eurrev_201906_18055]</w:t>
      </w:r>
    </w:p>
    <w:p w14:paraId="3BE23B48" w14:textId="77777777" w:rsidR="00B93770" w:rsidRPr="00DA32D9" w:rsidRDefault="00B93770" w:rsidP="00DA32D9">
      <w:pPr>
        <w:snapToGrid w:val="0"/>
        <w:rPr>
          <w:sz w:val="20"/>
          <w:szCs w:val="20"/>
        </w:rPr>
      </w:pPr>
      <w:r w:rsidRPr="00DA32D9">
        <w:rPr>
          <w:sz w:val="20"/>
          <w:szCs w:val="20"/>
        </w:rPr>
        <w:t xml:space="preserve">20 </w:t>
      </w:r>
      <w:r w:rsidRPr="00DA32D9">
        <w:rPr>
          <w:b/>
          <w:sz w:val="20"/>
          <w:szCs w:val="20"/>
        </w:rPr>
        <w:t>McAndrews KM</w:t>
      </w:r>
      <w:r w:rsidRPr="00DA32D9">
        <w:rPr>
          <w:sz w:val="20"/>
          <w:szCs w:val="20"/>
        </w:rPr>
        <w:t xml:space="preserve">, Kalluri R. Mechanisms associated with biogenesis of exosomes in cancer. </w:t>
      </w:r>
      <w:r w:rsidRPr="00DA32D9">
        <w:rPr>
          <w:i/>
          <w:sz w:val="20"/>
          <w:szCs w:val="20"/>
        </w:rPr>
        <w:t>Mol Cancer</w:t>
      </w:r>
      <w:r w:rsidRPr="00DA32D9">
        <w:rPr>
          <w:sz w:val="20"/>
          <w:szCs w:val="20"/>
        </w:rPr>
        <w:t xml:space="preserve"> 2019; </w:t>
      </w:r>
      <w:r w:rsidRPr="00DA32D9">
        <w:rPr>
          <w:b/>
          <w:sz w:val="20"/>
          <w:szCs w:val="20"/>
        </w:rPr>
        <w:t>18</w:t>
      </w:r>
      <w:r w:rsidRPr="00DA32D9">
        <w:rPr>
          <w:sz w:val="20"/>
          <w:szCs w:val="20"/>
        </w:rPr>
        <w:t>: 52 [PMID: 30925917 DOI: 10.1186/s12943-019-0963-9]</w:t>
      </w:r>
    </w:p>
    <w:p w14:paraId="71090235" w14:textId="77777777" w:rsidR="00B93770" w:rsidRPr="00DA32D9" w:rsidRDefault="00B93770" w:rsidP="00DA32D9">
      <w:pPr>
        <w:snapToGrid w:val="0"/>
        <w:rPr>
          <w:sz w:val="20"/>
          <w:szCs w:val="20"/>
        </w:rPr>
      </w:pPr>
      <w:r w:rsidRPr="00DA32D9">
        <w:rPr>
          <w:sz w:val="20"/>
          <w:szCs w:val="20"/>
        </w:rPr>
        <w:t xml:space="preserve">21 </w:t>
      </w:r>
      <w:r w:rsidRPr="00DA32D9">
        <w:rPr>
          <w:b/>
          <w:sz w:val="20"/>
          <w:szCs w:val="20"/>
        </w:rPr>
        <w:t>Pegtel DM</w:t>
      </w:r>
      <w:r w:rsidRPr="00DA32D9">
        <w:rPr>
          <w:sz w:val="20"/>
          <w:szCs w:val="20"/>
        </w:rPr>
        <w:t xml:space="preserve">, Gould SJ. Exosomes. </w:t>
      </w:r>
      <w:r w:rsidRPr="00DA32D9">
        <w:rPr>
          <w:i/>
          <w:sz w:val="20"/>
          <w:szCs w:val="20"/>
        </w:rPr>
        <w:t>Annu Rev Biochem</w:t>
      </w:r>
      <w:r w:rsidRPr="00DA32D9">
        <w:rPr>
          <w:sz w:val="20"/>
          <w:szCs w:val="20"/>
        </w:rPr>
        <w:t xml:space="preserve"> 2019; </w:t>
      </w:r>
      <w:r w:rsidRPr="00DA32D9">
        <w:rPr>
          <w:b/>
          <w:sz w:val="20"/>
          <w:szCs w:val="20"/>
        </w:rPr>
        <w:t>88</w:t>
      </w:r>
      <w:r w:rsidRPr="00DA32D9">
        <w:rPr>
          <w:sz w:val="20"/>
          <w:szCs w:val="20"/>
        </w:rPr>
        <w:t>: 487-514 [PMID: 31220978 DOI: 10.1146/annurev-biochem-013118-111902]</w:t>
      </w:r>
    </w:p>
    <w:p w14:paraId="01A6AF48" w14:textId="0D61FAC4" w:rsidR="00B93770" w:rsidRPr="00DA32D9" w:rsidRDefault="00B93770" w:rsidP="00DA32D9">
      <w:pPr>
        <w:snapToGrid w:val="0"/>
        <w:rPr>
          <w:sz w:val="20"/>
          <w:szCs w:val="20"/>
        </w:rPr>
      </w:pPr>
      <w:r w:rsidRPr="00DA32D9">
        <w:rPr>
          <w:sz w:val="20"/>
          <w:szCs w:val="20"/>
        </w:rPr>
        <w:t xml:space="preserve">22 </w:t>
      </w:r>
      <w:r w:rsidRPr="00DA32D9">
        <w:rPr>
          <w:b/>
          <w:sz w:val="20"/>
          <w:szCs w:val="20"/>
        </w:rPr>
        <w:t>Pegtel DM</w:t>
      </w:r>
      <w:r w:rsidRPr="00DA32D9">
        <w:rPr>
          <w:sz w:val="20"/>
          <w:szCs w:val="20"/>
        </w:rPr>
        <w:t xml:space="preserve">, Cosmopoulos K, Thorley-Lawson DA, van Eijndhoven MA, Hopmans ES, Lindenberg JL, de Gruijl TD, Würdinger T, Middeldorp JM. Functional delivery of viral miRNAs via exosomes. </w:t>
      </w:r>
      <w:r w:rsidRPr="00DA32D9">
        <w:rPr>
          <w:i/>
          <w:sz w:val="20"/>
          <w:szCs w:val="20"/>
        </w:rPr>
        <w:t>Proc Natl Acad Sci USA</w:t>
      </w:r>
      <w:r w:rsidRPr="00DA32D9">
        <w:rPr>
          <w:sz w:val="20"/>
          <w:szCs w:val="20"/>
        </w:rPr>
        <w:t xml:space="preserve"> 2010; </w:t>
      </w:r>
      <w:r w:rsidRPr="00DA32D9">
        <w:rPr>
          <w:b/>
          <w:sz w:val="20"/>
          <w:szCs w:val="20"/>
        </w:rPr>
        <w:t>107</w:t>
      </w:r>
      <w:r w:rsidRPr="00DA32D9">
        <w:rPr>
          <w:sz w:val="20"/>
          <w:szCs w:val="20"/>
        </w:rPr>
        <w:t>: 6328-6333 [PMID: 20304794 DOI: 10.1073/pnas.0914843107]</w:t>
      </w:r>
    </w:p>
    <w:p w14:paraId="729F12BA" w14:textId="77777777" w:rsidR="00B93770" w:rsidRPr="00DA32D9" w:rsidRDefault="00B93770" w:rsidP="00DA32D9">
      <w:pPr>
        <w:snapToGrid w:val="0"/>
        <w:rPr>
          <w:sz w:val="20"/>
          <w:szCs w:val="20"/>
        </w:rPr>
      </w:pPr>
      <w:r w:rsidRPr="00DA32D9">
        <w:rPr>
          <w:sz w:val="20"/>
          <w:szCs w:val="20"/>
        </w:rPr>
        <w:t xml:space="preserve">23 </w:t>
      </w:r>
      <w:r w:rsidRPr="00DA32D9">
        <w:rPr>
          <w:b/>
          <w:sz w:val="20"/>
          <w:szCs w:val="20"/>
        </w:rPr>
        <w:t>Chiang CH</w:t>
      </w:r>
      <w:r w:rsidRPr="00DA32D9">
        <w:rPr>
          <w:sz w:val="20"/>
          <w:szCs w:val="20"/>
        </w:rPr>
        <w:t xml:space="preserve">, Hou MF, Hung WC. Up-regulation of miR-182 by β-catenin in breast cancer increases tumorigenicity and invasiveness by targeting the matrix metalloproteinase inhibitor RECK. </w:t>
      </w:r>
      <w:r w:rsidRPr="00DA32D9">
        <w:rPr>
          <w:i/>
          <w:sz w:val="20"/>
          <w:szCs w:val="20"/>
        </w:rPr>
        <w:t>Biochim Biophys Acta</w:t>
      </w:r>
      <w:r w:rsidRPr="00DA32D9">
        <w:rPr>
          <w:sz w:val="20"/>
          <w:szCs w:val="20"/>
        </w:rPr>
        <w:t xml:space="preserve"> 2013; </w:t>
      </w:r>
      <w:r w:rsidRPr="00DA32D9">
        <w:rPr>
          <w:b/>
          <w:sz w:val="20"/>
          <w:szCs w:val="20"/>
        </w:rPr>
        <w:t>1830</w:t>
      </w:r>
      <w:r w:rsidRPr="00DA32D9">
        <w:rPr>
          <w:sz w:val="20"/>
          <w:szCs w:val="20"/>
        </w:rPr>
        <w:t>: 3067-3076 [PMID: 23333633 DOI: 10.1016/j.bbagen.2013.01.009]</w:t>
      </w:r>
    </w:p>
    <w:p w14:paraId="5B9E64E7" w14:textId="77777777" w:rsidR="00B93770" w:rsidRPr="00DA32D9" w:rsidRDefault="00B93770" w:rsidP="00DA32D9">
      <w:pPr>
        <w:snapToGrid w:val="0"/>
        <w:rPr>
          <w:sz w:val="20"/>
          <w:szCs w:val="20"/>
        </w:rPr>
      </w:pPr>
      <w:r w:rsidRPr="00DA32D9">
        <w:rPr>
          <w:sz w:val="20"/>
          <w:szCs w:val="20"/>
        </w:rPr>
        <w:t xml:space="preserve">24 </w:t>
      </w:r>
      <w:r w:rsidRPr="00DA32D9">
        <w:rPr>
          <w:b/>
          <w:sz w:val="20"/>
          <w:szCs w:val="20"/>
        </w:rPr>
        <w:t>Hirata H</w:t>
      </w:r>
      <w:r w:rsidRPr="00DA32D9">
        <w:rPr>
          <w:sz w:val="20"/>
          <w:szCs w:val="20"/>
        </w:rPr>
        <w:t xml:space="preserve">, Ueno K, Shahryari V, Tanaka Y, Tabatabai ZL, Hinoda Y, Dahiya R. Oncogenic miRNA-182-5p targets Smad4 and RECK in human bladder cancer. </w:t>
      </w:r>
      <w:r w:rsidRPr="00DA32D9">
        <w:rPr>
          <w:i/>
          <w:sz w:val="20"/>
          <w:szCs w:val="20"/>
        </w:rPr>
        <w:t>PLoS One</w:t>
      </w:r>
      <w:r w:rsidRPr="00DA32D9">
        <w:rPr>
          <w:sz w:val="20"/>
          <w:szCs w:val="20"/>
        </w:rPr>
        <w:t xml:space="preserve"> 2012; </w:t>
      </w:r>
      <w:r w:rsidRPr="00DA32D9">
        <w:rPr>
          <w:b/>
          <w:sz w:val="20"/>
          <w:szCs w:val="20"/>
        </w:rPr>
        <w:t>7</w:t>
      </w:r>
      <w:r w:rsidRPr="00DA32D9">
        <w:rPr>
          <w:sz w:val="20"/>
          <w:szCs w:val="20"/>
        </w:rPr>
        <w:t>: e51056 [PMID: 23226455 DOI: 10.1371/journal.pone.0051056]</w:t>
      </w:r>
    </w:p>
    <w:p w14:paraId="65BA6190" w14:textId="39A382F0" w:rsidR="005E6F29" w:rsidRPr="00DA32D9" w:rsidRDefault="00B93770" w:rsidP="00DA32D9">
      <w:pPr>
        <w:snapToGrid w:val="0"/>
        <w:rPr>
          <w:sz w:val="20"/>
          <w:szCs w:val="20"/>
        </w:rPr>
      </w:pPr>
      <w:r w:rsidRPr="00DA32D9">
        <w:rPr>
          <w:sz w:val="20"/>
          <w:szCs w:val="20"/>
        </w:rPr>
        <w:t xml:space="preserve">25 </w:t>
      </w:r>
      <w:r w:rsidRPr="00DA32D9">
        <w:rPr>
          <w:b/>
          <w:sz w:val="20"/>
          <w:szCs w:val="20"/>
        </w:rPr>
        <w:t>Hirata H</w:t>
      </w:r>
      <w:r w:rsidRPr="00DA32D9">
        <w:rPr>
          <w:sz w:val="20"/>
          <w:szCs w:val="20"/>
        </w:rPr>
        <w:t xml:space="preserve">, Ueno K, Shahryari V, Deng G, Tanaka Y, Tabatabai ZL, Hinoda Y, Dahiya R. MicroRNA-182-5p promotes cell invasion and proliferation by down regulating FOXF2, RECK and MTSS1 genes in human prostate cancer. </w:t>
      </w:r>
      <w:r w:rsidRPr="00DA32D9">
        <w:rPr>
          <w:i/>
          <w:sz w:val="20"/>
          <w:szCs w:val="20"/>
        </w:rPr>
        <w:t>PLoS One</w:t>
      </w:r>
      <w:r w:rsidRPr="00DA32D9">
        <w:rPr>
          <w:sz w:val="20"/>
          <w:szCs w:val="20"/>
        </w:rPr>
        <w:t xml:space="preserve"> 2013; </w:t>
      </w:r>
      <w:r w:rsidRPr="00DA32D9">
        <w:rPr>
          <w:b/>
          <w:sz w:val="20"/>
          <w:szCs w:val="20"/>
        </w:rPr>
        <w:t>8</w:t>
      </w:r>
      <w:r w:rsidRPr="00DA32D9">
        <w:rPr>
          <w:sz w:val="20"/>
          <w:szCs w:val="20"/>
        </w:rPr>
        <w:t>: e55502 [PMID: 23383207 DOI: 10.1371/journal.pone.0055502]</w:t>
      </w:r>
      <w:r w:rsidR="005E6F29" w:rsidRPr="00DA32D9">
        <w:rPr>
          <w:sz w:val="20"/>
          <w:szCs w:val="20"/>
        </w:rPr>
        <w:br w:type="page"/>
      </w:r>
    </w:p>
    <w:p w14:paraId="55A3EB83" w14:textId="739B9984" w:rsidR="005E6F29" w:rsidRPr="00DA32D9" w:rsidRDefault="005E6F29" w:rsidP="00DA32D9">
      <w:pPr>
        <w:snapToGrid w:val="0"/>
        <w:rPr>
          <w:b/>
          <w:sz w:val="20"/>
          <w:szCs w:val="20"/>
        </w:rPr>
      </w:pPr>
      <w:r w:rsidRPr="00DA32D9">
        <w:rPr>
          <w:b/>
          <w:sz w:val="20"/>
          <w:szCs w:val="20"/>
        </w:rPr>
        <w:lastRenderedPageBreak/>
        <w:t>Footnotes</w:t>
      </w:r>
    </w:p>
    <w:p w14:paraId="69D640EE" w14:textId="75624F8C" w:rsidR="005E6F29" w:rsidRPr="00DA32D9" w:rsidRDefault="005E6F29" w:rsidP="00DA32D9">
      <w:pPr>
        <w:snapToGrid w:val="0"/>
        <w:rPr>
          <w:sz w:val="20"/>
          <w:szCs w:val="20"/>
        </w:rPr>
      </w:pPr>
      <w:r w:rsidRPr="00DA32D9">
        <w:rPr>
          <w:b/>
          <w:sz w:val="20"/>
          <w:szCs w:val="20"/>
        </w:rPr>
        <w:t xml:space="preserve">Institutional review board statement: </w:t>
      </w:r>
      <w:r w:rsidRPr="00DA32D9">
        <w:rPr>
          <w:sz w:val="20"/>
          <w:szCs w:val="20"/>
        </w:rPr>
        <w:t xml:space="preserve">This study was reviewed and approved by the </w:t>
      </w:r>
      <w:r w:rsidR="00C50ABD" w:rsidRPr="00DA32D9">
        <w:rPr>
          <w:sz w:val="20"/>
          <w:szCs w:val="20"/>
        </w:rPr>
        <w:t xml:space="preserve">Ethics Committee of </w:t>
      </w:r>
      <w:r w:rsidRPr="00DA32D9">
        <w:rPr>
          <w:sz w:val="20"/>
          <w:szCs w:val="20"/>
        </w:rPr>
        <w:t>Affiliated Hospital of Zunyi Medical University.</w:t>
      </w:r>
    </w:p>
    <w:p w14:paraId="5B85C785" w14:textId="77777777" w:rsidR="005E6F29" w:rsidRPr="00DA32D9" w:rsidRDefault="005E6F29" w:rsidP="00DA32D9">
      <w:pPr>
        <w:snapToGrid w:val="0"/>
        <w:rPr>
          <w:sz w:val="20"/>
          <w:szCs w:val="20"/>
        </w:rPr>
      </w:pPr>
    </w:p>
    <w:p w14:paraId="36442A16" w14:textId="77777777" w:rsidR="005E6F29" w:rsidRPr="00DA32D9" w:rsidRDefault="005E6F29" w:rsidP="00DA32D9">
      <w:pPr>
        <w:snapToGrid w:val="0"/>
        <w:rPr>
          <w:sz w:val="20"/>
          <w:szCs w:val="20"/>
        </w:rPr>
      </w:pPr>
      <w:r w:rsidRPr="00DA32D9">
        <w:rPr>
          <w:b/>
          <w:sz w:val="20"/>
          <w:szCs w:val="20"/>
        </w:rPr>
        <w:t>Informed consent statement:</w:t>
      </w:r>
      <w:r w:rsidRPr="00DA32D9">
        <w:rPr>
          <w:sz w:val="20"/>
          <w:szCs w:val="20"/>
        </w:rPr>
        <w:t xml:space="preserve"> All patients in our study provided informed consent.</w:t>
      </w:r>
    </w:p>
    <w:p w14:paraId="700F4FA0" w14:textId="77777777" w:rsidR="005E6F29" w:rsidRPr="00DA32D9" w:rsidRDefault="005E6F29" w:rsidP="00DA32D9">
      <w:pPr>
        <w:snapToGrid w:val="0"/>
        <w:rPr>
          <w:sz w:val="20"/>
          <w:szCs w:val="20"/>
        </w:rPr>
      </w:pPr>
    </w:p>
    <w:p w14:paraId="166EB1D3" w14:textId="07531E75" w:rsidR="005E6F29" w:rsidRPr="00DA32D9" w:rsidRDefault="005E6F29" w:rsidP="00DA32D9">
      <w:pPr>
        <w:snapToGrid w:val="0"/>
        <w:rPr>
          <w:sz w:val="20"/>
          <w:szCs w:val="20"/>
        </w:rPr>
      </w:pPr>
      <w:r w:rsidRPr="00DA32D9">
        <w:rPr>
          <w:b/>
          <w:sz w:val="20"/>
          <w:szCs w:val="20"/>
        </w:rPr>
        <w:t xml:space="preserve">Conflict-of-interest statement: </w:t>
      </w:r>
      <w:r w:rsidRPr="00DA32D9">
        <w:rPr>
          <w:sz w:val="20"/>
          <w:szCs w:val="20"/>
        </w:rPr>
        <w:t>The authors declare no conflict</w:t>
      </w:r>
      <w:r w:rsidR="00522A83" w:rsidRPr="00DA32D9">
        <w:rPr>
          <w:sz w:val="20"/>
          <w:szCs w:val="20"/>
        </w:rPr>
        <w:t>s</w:t>
      </w:r>
      <w:r w:rsidRPr="00DA32D9">
        <w:rPr>
          <w:sz w:val="20"/>
          <w:szCs w:val="20"/>
        </w:rPr>
        <w:t xml:space="preserve"> of interest.</w:t>
      </w:r>
    </w:p>
    <w:p w14:paraId="2FA8B981" w14:textId="77777777" w:rsidR="005E6F29" w:rsidRPr="00DA32D9" w:rsidRDefault="005E6F29" w:rsidP="00DA32D9">
      <w:pPr>
        <w:snapToGrid w:val="0"/>
        <w:rPr>
          <w:sz w:val="20"/>
          <w:szCs w:val="20"/>
        </w:rPr>
      </w:pPr>
    </w:p>
    <w:p w14:paraId="76E15922" w14:textId="77777777" w:rsidR="005E6F29" w:rsidRPr="00DA32D9" w:rsidRDefault="005E6F29" w:rsidP="00DA32D9">
      <w:pPr>
        <w:snapToGrid w:val="0"/>
        <w:rPr>
          <w:sz w:val="20"/>
          <w:szCs w:val="20"/>
        </w:rPr>
      </w:pPr>
      <w:r w:rsidRPr="00DA32D9">
        <w:rPr>
          <w:b/>
          <w:sz w:val="20"/>
          <w:szCs w:val="20"/>
        </w:rPr>
        <w:t xml:space="preserve">Data sharing statement: </w:t>
      </w:r>
      <w:r w:rsidRPr="00DA32D9">
        <w:rPr>
          <w:sz w:val="20"/>
          <w:szCs w:val="20"/>
        </w:rPr>
        <w:t>No additional data are available.</w:t>
      </w:r>
    </w:p>
    <w:p w14:paraId="3E25744C" w14:textId="77777777" w:rsidR="005E6F29" w:rsidRPr="00DA32D9" w:rsidRDefault="005E6F29" w:rsidP="00DA32D9">
      <w:pPr>
        <w:snapToGrid w:val="0"/>
        <w:rPr>
          <w:sz w:val="20"/>
          <w:szCs w:val="20"/>
        </w:rPr>
      </w:pPr>
    </w:p>
    <w:p w14:paraId="3DEB66B2" w14:textId="77777777" w:rsidR="005E6F29" w:rsidRPr="00DA32D9" w:rsidRDefault="005E6F29" w:rsidP="00DA32D9">
      <w:pPr>
        <w:autoSpaceDE w:val="0"/>
        <w:autoSpaceDN w:val="0"/>
        <w:adjustRightInd w:val="0"/>
        <w:snapToGrid w:val="0"/>
        <w:rPr>
          <w:bCs/>
          <w:sz w:val="20"/>
          <w:szCs w:val="20"/>
        </w:rPr>
      </w:pPr>
      <w:bookmarkStart w:id="33" w:name="OLE_LINK187"/>
      <w:bookmarkStart w:id="34" w:name="OLE_LINK188"/>
      <w:bookmarkStart w:id="35" w:name="_Hlk14782790"/>
      <w:r w:rsidRPr="00DA32D9">
        <w:rPr>
          <w:b/>
          <w:sz w:val="20"/>
          <w:szCs w:val="20"/>
        </w:rPr>
        <w:t>STROBE Statement</w:t>
      </w:r>
      <w:bookmarkEnd w:id="33"/>
      <w:bookmarkEnd w:id="34"/>
      <w:bookmarkEnd w:id="35"/>
      <w:r w:rsidRPr="008001B6">
        <w:rPr>
          <w:rFonts w:cs="Garamond-Bold"/>
          <w:b/>
          <w:sz w:val="20"/>
          <w:szCs w:val="20"/>
        </w:rPr>
        <w:t>:</w:t>
      </w:r>
      <w:r w:rsidRPr="00DA32D9">
        <w:rPr>
          <w:rFonts w:cs="Garamond-Bold"/>
          <w:bCs/>
          <w:sz w:val="20"/>
          <w:szCs w:val="20"/>
        </w:rPr>
        <w:t xml:space="preserve"> The authors have read the STROBE Statement-checklist of items, and the manuscript was prepared and revised according to the STROBE Statement-checklist of items.</w:t>
      </w:r>
    </w:p>
    <w:p w14:paraId="12AF7346" w14:textId="335D6207" w:rsidR="00035E5B" w:rsidRPr="00DA32D9" w:rsidRDefault="00035E5B" w:rsidP="00DA32D9">
      <w:pPr>
        <w:snapToGrid w:val="0"/>
        <w:rPr>
          <w:sz w:val="20"/>
          <w:szCs w:val="20"/>
        </w:rPr>
      </w:pPr>
    </w:p>
    <w:p w14:paraId="0E9E3197" w14:textId="1CB88999" w:rsidR="005E6F29" w:rsidRPr="00DA32D9" w:rsidRDefault="005E6F29" w:rsidP="00DA32D9">
      <w:pPr>
        <w:adjustRightInd w:val="0"/>
        <w:snapToGrid w:val="0"/>
        <w:rPr>
          <w:rFonts w:cs="Times New Roman"/>
          <w:sz w:val="20"/>
          <w:szCs w:val="20"/>
        </w:rPr>
      </w:pPr>
      <w:r w:rsidRPr="00DA32D9">
        <w:rPr>
          <w:rFonts w:cs="Times New Roman"/>
          <w:b/>
          <w:sz w:val="20"/>
          <w:szCs w:val="20"/>
          <w:lang w:eastAsia="fr-FR"/>
        </w:rPr>
        <w:t xml:space="preserve">Open-Access: </w:t>
      </w:r>
      <w:r w:rsidR="00102A50" w:rsidRPr="00DA32D9">
        <w:rPr>
          <w:color w:val="000000"/>
          <w:sz w:val="20"/>
          <w:szCs w:val="20"/>
        </w:rPr>
        <w:t xml:space="preserve">This article is an open-access </w:t>
      </w:r>
      <w:r w:rsidR="00102A50" w:rsidRPr="00DA32D9">
        <w:rPr>
          <w:sz w:val="20"/>
          <w:szCs w:val="20"/>
        </w:rPr>
        <w:t xml:space="preserve">article that was selected </w:t>
      </w:r>
      <w:r w:rsidR="00102A50" w:rsidRPr="00DA32D9">
        <w:rPr>
          <w:color w:val="000000"/>
          <w:sz w:val="20"/>
          <w:szCs w:val="2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5E13376" w14:textId="77777777" w:rsidR="005E6F29" w:rsidRPr="00DA32D9" w:rsidRDefault="005E6F29" w:rsidP="00DA32D9">
      <w:pPr>
        <w:snapToGrid w:val="0"/>
        <w:rPr>
          <w:rFonts w:eastAsia="Times New Roman" w:cs="Arial"/>
          <w:b/>
          <w:sz w:val="20"/>
          <w:szCs w:val="20"/>
          <w:lang w:eastAsia="ar-SA"/>
        </w:rPr>
      </w:pPr>
    </w:p>
    <w:p w14:paraId="0B802C42" w14:textId="77777777" w:rsidR="005E6F29" w:rsidRPr="00DA32D9" w:rsidRDefault="005E6F29" w:rsidP="00DA32D9">
      <w:pPr>
        <w:adjustRightInd w:val="0"/>
        <w:snapToGrid w:val="0"/>
        <w:rPr>
          <w:rFonts w:eastAsia="Times New Roman" w:cs="Times New Roman"/>
          <w:bCs/>
          <w:color w:val="000000"/>
          <w:sz w:val="20"/>
          <w:szCs w:val="20"/>
        </w:rPr>
      </w:pPr>
      <w:r w:rsidRPr="00DA32D9">
        <w:rPr>
          <w:rFonts w:eastAsia="Times New Roman" w:cs="Times New Roman"/>
          <w:b/>
          <w:bCs/>
          <w:color w:val="000000"/>
          <w:sz w:val="20"/>
          <w:szCs w:val="20"/>
          <w:lang w:eastAsia="pl-PL"/>
        </w:rPr>
        <w:t>Manuscript source:</w:t>
      </w:r>
      <w:r w:rsidRPr="00DA32D9">
        <w:rPr>
          <w:rFonts w:eastAsia="Times New Roman" w:cs="Times New Roman"/>
          <w:b/>
          <w:bCs/>
          <w:color w:val="000000"/>
          <w:sz w:val="20"/>
          <w:szCs w:val="20"/>
        </w:rPr>
        <w:t xml:space="preserve"> </w:t>
      </w:r>
      <w:r w:rsidRPr="00DA32D9">
        <w:rPr>
          <w:rFonts w:eastAsia="Times New Roman" w:cs="Times New Roman"/>
          <w:bCs/>
          <w:color w:val="000000"/>
          <w:sz w:val="20"/>
          <w:szCs w:val="20"/>
          <w:lang w:eastAsia="pl-PL"/>
        </w:rPr>
        <w:t>Unsolicited manuscript</w:t>
      </w:r>
    </w:p>
    <w:p w14:paraId="48D01B54" w14:textId="77777777" w:rsidR="005E6F29" w:rsidRPr="00DA32D9" w:rsidRDefault="005E6F29" w:rsidP="00DA32D9">
      <w:pPr>
        <w:snapToGrid w:val="0"/>
        <w:rPr>
          <w:rFonts w:eastAsia="Times New Roman" w:cs="Times New Roman"/>
          <w:b/>
          <w:sz w:val="20"/>
          <w:szCs w:val="20"/>
          <w:lang w:eastAsia="ar-SA"/>
        </w:rPr>
      </w:pPr>
    </w:p>
    <w:p w14:paraId="72B54F63" w14:textId="57079F1D" w:rsidR="005E6F29" w:rsidRPr="00DA32D9" w:rsidRDefault="005E6F29" w:rsidP="00DA32D9">
      <w:pPr>
        <w:snapToGrid w:val="0"/>
        <w:rPr>
          <w:rFonts w:cs="Times New Roman"/>
          <w:sz w:val="20"/>
          <w:szCs w:val="20"/>
        </w:rPr>
      </w:pPr>
      <w:r w:rsidRPr="00DA32D9">
        <w:rPr>
          <w:rFonts w:eastAsia="Times New Roman" w:cs="Times New Roman"/>
          <w:b/>
          <w:sz w:val="20"/>
          <w:szCs w:val="20"/>
          <w:lang w:eastAsia="ar-SA"/>
        </w:rPr>
        <w:t>Peer-review started:</w:t>
      </w:r>
      <w:r w:rsidRPr="00DA32D9">
        <w:rPr>
          <w:rFonts w:cs="Times New Roman"/>
          <w:sz w:val="20"/>
          <w:szCs w:val="20"/>
        </w:rPr>
        <w:t xml:space="preserve"> </w:t>
      </w:r>
      <w:r w:rsidR="00175B93" w:rsidRPr="00DA32D9">
        <w:rPr>
          <w:rFonts w:eastAsia="Times New Roman" w:cs="Times New Roman"/>
          <w:bCs/>
          <w:kern w:val="0"/>
          <w:sz w:val="20"/>
          <w:szCs w:val="20"/>
          <w:lang w:eastAsia="ar-SA"/>
        </w:rPr>
        <w:t>December 5, 2019</w:t>
      </w:r>
    </w:p>
    <w:p w14:paraId="30B37C0E" w14:textId="664F8EA8" w:rsidR="005E6F29" w:rsidRPr="00DA32D9" w:rsidRDefault="005E6F29" w:rsidP="00DA32D9">
      <w:pPr>
        <w:snapToGrid w:val="0"/>
        <w:rPr>
          <w:rFonts w:cs="Times New Roman"/>
          <w:sz w:val="20"/>
          <w:szCs w:val="20"/>
        </w:rPr>
      </w:pPr>
      <w:r w:rsidRPr="00DA32D9">
        <w:rPr>
          <w:rFonts w:eastAsia="Times New Roman" w:cs="Times New Roman"/>
          <w:b/>
          <w:sz w:val="20"/>
          <w:szCs w:val="20"/>
          <w:lang w:eastAsia="ar-SA"/>
        </w:rPr>
        <w:t>First decision:</w:t>
      </w:r>
      <w:r w:rsidRPr="00DA32D9">
        <w:rPr>
          <w:rFonts w:cs="Times New Roman"/>
          <w:b/>
          <w:sz w:val="20"/>
          <w:szCs w:val="20"/>
        </w:rPr>
        <w:t xml:space="preserve"> </w:t>
      </w:r>
      <w:r w:rsidR="00175B93" w:rsidRPr="00DA32D9">
        <w:rPr>
          <w:rFonts w:eastAsia="Times New Roman" w:cs="Times New Roman"/>
          <w:bCs/>
          <w:kern w:val="0"/>
          <w:sz w:val="20"/>
          <w:szCs w:val="20"/>
          <w:lang w:eastAsia="ar-SA"/>
        </w:rPr>
        <w:t>December 30, 2019</w:t>
      </w:r>
    </w:p>
    <w:p w14:paraId="70AAFEEC" w14:textId="77777777" w:rsidR="005E6F29" w:rsidRPr="00DA32D9" w:rsidRDefault="005E6F29" w:rsidP="00DA32D9">
      <w:pPr>
        <w:snapToGrid w:val="0"/>
        <w:rPr>
          <w:rFonts w:cs="Times New Roman"/>
          <w:b/>
          <w:sz w:val="20"/>
          <w:szCs w:val="20"/>
        </w:rPr>
      </w:pPr>
      <w:r w:rsidRPr="00DA32D9">
        <w:rPr>
          <w:rFonts w:eastAsia="Times New Roman" w:cs="Times New Roman"/>
          <w:b/>
          <w:sz w:val="20"/>
          <w:szCs w:val="20"/>
          <w:lang w:eastAsia="ar-SA"/>
        </w:rPr>
        <w:t>Article in press:</w:t>
      </w:r>
    </w:p>
    <w:p w14:paraId="6B029BC4" w14:textId="77777777" w:rsidR="005E6F29" w:rsidRPr="00DA32D9" w:rsidRDefault="005E6F29" w:rsidP="00DA32D9">
      <w:pPr>
        <w:snapToGrid w:val="0"/>
        <w:rPr>
          <w:rFonts w:cs="Times New Roman"/>
          <w:b/>
          <w:sz w:val="20"/>
          <w:szCs w:val="20"/>
        </w:rPr>
      </w:pPr>
    </w:p>
    <w:p w14:paraId="5E1EAE1B" w14:textId="77777777" w:rsidR="005E6F29" w:rsidRPr="00DA32D9" w:rsidRDefault="005E6F29" w:rsidP="00DA32D9">
      <w:pPr>
        <w:adjustRightInd w:val="0"/>
        <w:snapToGrid w:val="0"/>
        <w:rPr>
          <w:rFonts w:eastAsia="微软雅黑"/>
          <w:sz w:val="20"/>
          <w:szCs w:val="20"/>
        </w:rPr>
      </w:pPr>
      <w:r w:rsidRPr="00DA32D9">
        <w:rPr>
          <w:rFonts w:eastAsia="Times New Roman"/>
          <w:b/>
          <w:sz w:val="20"/>
          <w:szCs w:val="20"/>
        </w:rPr>
        <w:t xml:space="preserve">Specialty type: </w:t>
      </w:r>
      <w:r w:rsidRPr="00DA32D9">
        <w:rPr>
          <w:rFonts w:eastAsia="微软雅黑"/>
          <w:sz w:val="20"/>
          <w:szCs w:val="20"/>
        </w:rPr>
        <w:t>Gastroenterology and hepatology</w:t>
      </w:r>
    </w:p>
    <w:p w14:paraId="5A0A1E0B" w14:textId="5F387BC8" w:rsidR="005E6F29" w:rsidRPr="00DA32D9" w:rsidRDefault="005E6F29" w:rsidP="00DA32D9">
      <w:pPr>
        <w:adjustRightInd w:val="0"/>
        <w:snapToGrid w:val="0"/>
        <w:rPr>
          <w:sz w:val="20"/>
          <w:szCs w:val="20"/>
        </w:rPr>
      </w:pPr>
      <w:r w:rsidRPr="00DA32D9">
        <w:rPr>
          <w:rFonts w:eastAsia="Times New Roman"/>
          <w:b/>
          <w:sz w:val="20"/>
          <w:szCs w:val="20"/>
        </w:rPr>
        <w:t xml:space="preserve">Country of origin: </w:t>
      </w:r>
      <w:r w:rsidR="00F604C6" w:rsidRPr="00DA32D9">
        <w:rPr>
          <w:rFonts w:eastAsia="Times New Roman"/>
          <w:bCs/>
          <w:sz w:val="20"/>
          <w:szCs w:val="20"/>
        </w:rPr>
        <w:t>China</w:t>
      </w:r>
    </w:p>
    <w:p w14:paraId="512F7CD6" w14:textId="77777777" w:rsidR="005E6F29" w:rsidRPr="00DA32D9" w:rsidRDefault="005E6F29" w:rsidP="00DA32D9">
      <w:pPr>
        <w:adjustRightInd w:val="0"/>
        <w:snapToGrid w:val="0"/>
        <w:rPr>
          <w:rFonts w:eastAsia="Times New Roman"/>
          <w:b/>
          <w:sz w:val="20"/>
          <w:szCs w:val="20"/>
        </w:rPr>
      </w:pPr>
      <w:r w:rsidRPr="00DA32D9">
        <w:rPr>
          <w:rFonts w:eastAsia="Times New Roman"/>
          <w:b/>
          <w:sz w:val="20"/>
          <w:szCs w:val="20"/>
        </w:rPr>
        <w:t>Peer-review report classification</w:t>
      </w:r>
    </w:p>
    <w:p w14:paraId="25D50CB7" w14:textId="77777777" w:rsidR="005E6F29" w:rsidRPr="00DA32D9" w:rsidRDefault="005E6F29" w:rsidP="00DA32D9">
      <w:pPr>
        <w:adjustRightInd w:val="0"/>
        <w:snapToGrid w:val="0"/>
        <w:rPr>
          <w:sz w:val="20"/>
          <w:szCs w:val="20"/>
        </w:rPr>
      </w:pPr>
      <w:r w:rsidRPr="00DA32D9">
        <w:rPr>
          <w:rFonts w:eastAsia="Times New Roman"/>
          <w:sz w:val="20"/>
          <w:szCs w:val="20"/>
        </w:rPr>
        <w:t>Grade A (Excellent): 0</w:t>
      </w:r>
    </w:p>
    <w:p w14:paraId="79557C54" w14:textId="18541C26" w:rsidR="005E6F29" w:rsidRPr="00DA32D9" w:rsidRDefault="005E6F29" w:rsidP="00DA32D9">
      <w:pPr>
        <w:adjustRightInd w:val="0"/>
        <w:snapToGrid w:val="0"/>
        <w:rPr>
          <w:sz w:val="20"/>
          <w:szCs w:val="20"/>
        </w:rPr>
      </w:pPr>
      <w:r w:rsidRPr="00DA32D9">
        <w:rPr>
          <w:rFonts w:eastAsia="Times New Roman"/>
          <w:sz w:val="20"/>
          <w:szCs w:val="20"/>
        </w:rPr>
        <w:t xml:space="preserve">Grade B (Very good): </w:t>
      </w:r>
      <w:r w:rsidR="00F604C6" w:rsidRPr="00DA32D9">
        <w:rPr>
          <w:rFonts w:eastAsia="Times New Roman"/>
          <w:sz w:val="20"/>
          <w:szCs w:val="20"/>
        </w:rPr>
        <w:t>B, B</w:t>
      </w:r>
    </w:p>
    <w:p w14:paraId="5F8F9707" w14:textId="4409D6DA" w:rsidR="005E6F29" w:rsidRPr="00DA32D9" w:rsidRDefault="005E6F29" w:rsidP="00DA32D9">
      <w:pPr>
        <w:adjustRightInd w:val="0"/>
        <w:snapToGrid w:val="0"/>
        <w:rPr>
          <w:sz w:val="20"/>
          <w:szCs w:val="20"/>
        </w:rPr>
      </w:pPr>
      <w:r w:rsidRPr="00DA32D9">
        <w:rPr>
          <w:rFonts w:eastAsia="Times New Roman"/>
          <w:sz w:val="20"/>
          <w:szCs w:val="20"/>
        </w:rPr>
        <w:t xml:space="preserve">Grade C (Good): </w:t>
      </w:r>
      <w:r w:rsidR="00F604C6" w:rsidRPr="00DA32D9">
        <w:rPr>
          <w:rFonts w:eastAsia="Times New Roman"/>
          <w:sz w:val="20"/>
          <w:szCs w:val="20"/>
        </w:rPr>
        <w:t>C</w:t>
      </w:r>
    </w:p>
    <w:p w14:paraId="22A1D2C4" w14:textId="77777777" w:rsidR="005E6F29" w:rsidRPr="00DA32D9" w:rsidRDefault="005E6F29" w:rsidP="00DA32D9">
      <w:pPr>
        <w:adjustRightInd w:val="0"/>
        <w:snapToGrid w:val="0"/>
        <w:rPr>
          <w:sz w:val="20"/>
          <w:szCs w:val="20"/>
        </w:rPr>
      </w:pPr>
      <w:r w:rsidRPr="00DA32D9">
        <w:rPr>
          <w:rFonts w:eastAsia="Times New Roman"/>
          <w:sz w:val="20"/>
          <w:szCs w:val="20"/>
        </w:rPr>
        <w:t>Grade D (Fair): 0</w:t>
      </w:r>
    </w:p>
    <w:p w14:paraId="351F8045" w14:textId="77777777" w:rsidR="005E6F29" w:rsidRPr="00DA32D9" w:rsidRDefault="005E6F29" w:rsidP="00DA32D9">
      <w:pPr>
        <w:adjustRightInd w:val="0"/>
        <w:snapToGrid w:val="0"/>
        <w:rPr>
          <w:rFonts w:cs="Times New Roman"/>
          <w:sz w:val="20"/>
          <w:szCs w:val="20"/>
        </w:rPr>
      </w:pPr>
      <w:r w:rsidRPr="00DA32D9">
        <w:rPr>
          <w:rFonts w:eastAsia="Times New Roman"/>
          <w:sz w:val="20"/>
          <w:szCs w:val="20"/>
        </w:rPr>
        <w:t>Grade E (Poor): 0</w:t>
      </w:r>
    </w:p>
    <w:p w14:paraId="1488B375" w14:textId="77777777" w:rsidR="005E6F29" w:rsidRPr="00DA32D9" w:rsidRDefault="005E6F29" w:rsidP="00DA32D9">
      <w:pPr>
        <w:snapToGrid w:val="0"/>
        <w:rPr>
          <w:rFonts w:cs="Times New Roman"/>
          <w:sz w:val="20"/>
          <w:szCs w:val="20"/>
        </w:rPr>
      </w:pPr>
    </w:p>
    <w:p w14:paraId="5B59418E" w14:textId="682CE55B" w:rsidR="005E6F29" w:rsidRPr="00DA32D9" w:rsidRDefault="005E6F29" w:rsidP="00DA32D9">
      <w:pPr>
        <w:snapToGrid w:val="0"/>
        <w:rPr>
          <w:rFonts w:cs="Times New Roman"/>
          <w:b/>
          <w:sz w:val="20"/>
          <w:szCs w:val="20"/>
        </w:rPr>
      </w:pPr>
      <w:r w:rsidRPr="00DA32D9">
        <w:rPr>
          <w:rFonts w:eastAsia="Times New Roman" w:cs="Times New Roman"/>
          <w:b/>
          <w:sz w:val="20"/>
          <w:szCs w:val="20"/>
          <w:lang w:eastAsia="ar-SA"/>
        </w:rPr>
        <w:t>P-Reviewer:</w:t>
      </w:r>
      <w:r w:rsidRPr="00DA32D9">
        <w:rPr>
          <w:rFonts w:cs="Times New Roman"/>
          <w:bCs/>
          <w:sz w:val="20"/>
          <w:szCs w:val="20"/>
        </w:rPr>
        <w:t xml:space="preserve"> </w:t>
      </w:r>
      <w:r w:rsidR="00985C55" w:rsidRPr="00DA32D9">
        <w:rPr>
          <w:rFonts w:cs="Times New Roman"/>
          <w:bCs/>
          <w:sz w:val="20"/>
          <w:szCs w:val="20"/>
        </w:rPr>
        <w:t xml:space="preserve">Ho HK, Li C, Magnani M </w:t>
      </w:r>
      <w:r w:rsidRPr="00DA32D9">
        <w:rPr>
          <w:rFonts w:eastAsia="Times New Roman" w:cs="Times New Roman"/>
          <w:b/>
          <w:sz w:val="20"/>
          <w:szCs w:val="20"/>
          <w:lang w:eastAsia="ar-SA"/>
        </w:rPr>
        <w:t>S-Editor:</w:t>
      </w:r>
      <w:r w:rsidRPr="00DA32D9">
        <w:rPr>
          <w:rFonts w:eastAsia="Times New Roman" w:cs="Times New Roman"/>
          <w:sz w:val="20"/>
          <w:szCs w:val="20"/>
          <w:lang w:eastAsia="ar-SA"/>
        </w:rPr>
        <w:t xml:space="preserve"> Gong ZM </w:t>
      </w:r>
      <w:r w:rsidRPr="00DA32D9">
        <w:rPr>
          <w:rFonts w:eastAsia="Times New Roman" w:cs="Times New Roman"/>
          <w:b/>
          <w:sz w:val="20"/>
          <w:szCs w:val="20"/>
          <w:lang w:eastAsia="ar-SA"/>
        </w:rPr>
        <w:t>L-Editor:</w:t>
      </w:r>
      <w:r w:rsidR="001F4050" w:rsidRPr="00DA32D9">
        <w:rPr>
          <w:rFonts w:eastAsia="Times New Roman" w:cs="Times New Roman"/>
          <w:b/>
          <w:sz w:val="20"/>
          <w:szCs w:val="20"/>
          <w:lang w:eastAsia="ar-SA"/>
        </w:rPr>
        <w:t xml:space="preserve"> </w:t>
      </w:r>
      <w:r w:rsidR="001F4050" w:rsidRPr="00DA32D9">
        <w:rPr>
          <w:rFonts w:eastAsia="Times New Roman" w:cs="Times New Roman"/>
          <w:sz w:val="20"/>
          <w:szCs w:val="20"/>
          <w:lang w:eastAsia="ar-SA"/>
        </w:rPr>
        <w:t>Filipodia</w:t>
      </w:r>
      <w:r w:rsidRPr="00DA32D9">
        <w:rPr>
          <w:rFonts w:eastAsia="Times New Roman" w:cs="Times New Roman"/>
          <w:sz w:val="20"/>
          <w:szCs w:val="20"/>
          <w:lang w:eastAsia="ar-SA"/>
        </w:rPr>
        <w:t xml:space="preserve"> </w:t>
      </w:r>
      <w:r w:rsidRPr="00DA32D9">
        <w:rPr>
          <w:rFonts w:eastAsia="Times New Roman" w:cs="Times New Roman"/>
          <w:b/>
          <w:sz w:val="20"/>
          <w:szCs w:val="20"/>
          <w:lang w:eastAsia="ar-SA"/>
        </w:rPr>
        <w:t xml:space="preserve">E-Editor: </w:t>
      </w:r>
    </w:p>
    <w:p w14:paraId="208670CD" w14:textId="77777777" w:rsidR="005E6F29" w:rsidRPr="00DA32D9" w:rsidRDefault="005E6F29" w:rsidP="00DA32D9">
      <w:pPr>
        <w:snapToGrid w:val="0"/>
        <w:rPr>
          <w:sz w:val="20"/>
          <w:szCs w:val="20"/>
        </w:rPr>
      </w:pPr>
    </w:p>
    <w:p w14:paraId="440E198C" w14:textId="77777777" w:rsidR="00035E5B" w:rsidRPr="00DA32D9" w:rsidRDefault="0019595D" w:rsidP="00DA32D9">
      <w:pPr>
        <w:snapToGrid w:val="0"/>
        <w:rPr>
          <w:sz w:val="20"/>
          <w:szCs w:val="20"/>
        </w:rPr>
      </w:pPr>
      <w:bookmarkStart w:id="36" w:name="_Hlk5271874"/>
      <w:r w:rsidRPr="00DA32D9">
        <w:rPr>
          <w:rFonts w:eastAsia="宋体"/>
          <w:bCs/>
          <w:sz w:val="20"/>
          <w:szCs w:val="20"/>
        </w:rPr>
        <w:br w:type="page"/>
      </w:r>
    </w:p>
    <w:p w14:paraId="4A19FE54" w14:textId="77777777" w:rsidR="00333462" w:rsidRPr="00DA32D9" w:rsidRDefault="00333462" w:rsidP="00DA32D9">
      <w:pPr>
        <w:snapToGrid w:val="0"/>
        <w:rPr>
          <w:rFonts w:cs="Times New Roman"/>
          <w:color w:val="222222"/>
          <w:sz w:val="20"/>
          <w:szCs w:val="20"/>
        </w:rPr>
      </w:pPr>
      <w:r w:rsidRPr="00DA32D9">
        <w:rPr>
          <w:b/>
          <w:sz w:val="20"/>
          <w:szCs w:val="20"/>
        </w:rPr>
        <w:lastRenderedPageBreak/>
        <w:t>Figure Legends</w:t>
      </w:r>
    </w:p>
    <w:p w14:paraId="72080E82" w14:textId="5CDF076E" w:rsidR="00035E5B" w:rsidRPr="00DA32D9" w:rsidRDefault="00B93770" w:rsidP="00DA32D9">
      <w:pPr>
        <w:snapToGrid w:val="0"/>
        <w:rPr>
          <w:rFonts w:eastAsia="宋体" w:cs="Times New Roman"/>
          <w:kern w:val="0"/>
          <w:sz w:val="20"/>
          <w:szCs w:val="20"/>
        </w:rPr>
      </w:pPr>
      <w:r w:rsidRPr="00DA32D9">
        <w:rPr>
          <w:noProof/>
          <w:sz w:val="20"/>
          <w:szCs w:val="20"/>
          <w:lang w:eastAsia="en-US"/>
        </w:rPr>
        <w:drawing>
          <wp:inline distT="0" distB="0" distL="0" distR="0" wp14:anchorId="1DE8918A" wp14:editId="2A19BB01">
            <wp:extent cx="3788381" cy="1725433"/>
            <wp:effectExtent l="0" t="0" r="317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25741" cy="1742449"/>
                    </a:xfrm>
                    <a:prstGeom prst="rect">
                      <a:avLst/>
                    </a:prstGeom>
                  </pic:spPr>
                </pic:pic>
              </a:graphicData>
            </a:graphic>
          </wp:inline>
        </w:drawing>
      </w:r>
    </w:p>
    <w:p w14:paraId="3A218225" w14:textId="4CBA35B1" w:rsidR="00035E5B" w:rsidRPr="00DA32D9" w:rsidRDefault="0019595D" w:rsidP="00DA32D9">
      <w:pPr>
        <w:snapToGrid w:val="0"/>
        <w:rPr>
          <w:rFonts w:eastAsia="宋体"/>
          <w:kern w:val="0"/>
          <w:sz w:val="20"/>
          <w:szCs w:val="20"/>
        </w:rPr>
      </w:pPr>
      <w:r w:rsidRPr="00DA32D9">
        <w:rPr>
          <w:b/>
          <w:sz w:val="20"/>
          <w:szCs w:val="20"/>
        </w:rPr>
        <w:t>Figure 1</w:t>
      </w:r>
      <w:r w:rsidR="00333462" w:rsidRPr="00DA32D9">
        <w:rPr>
          <w:b/>
          <w:sz w:val="20"/>
          <w:szCs w:val="20"/>
        </w:rPr>
        <w:t xml:space="preserve"> </w:t>
      </w:r>
      <w:r w:rsidRPr="00DA32D9">
        <w:rPr>
          <w:b/>
          <w:sz w:val="20"/>
          <w:szCs w:val="20"/>
        </w:rPr>
        <w:t xml:space="preserve">Western blot </w:t>
      </w:r>
      <w:r w:rsidR="007870B5" w:rsidRPr="00DA32D9">
        <w:rPr>
          <w:b/>
          <w:sz w:val="20"/>
          <w:szCs w:val="20"/>
        </w:rPr>
        <w:t xml:space="preserve">analysis </w:t>
      </w:r>
      <w:r w:rsidRPr="00DA32D9">
        <w:rPr>
          <w:b/>
          <w:sz w:val="20"/>
          <w:szCs w:val="20"/>
        </w:rPr>
        <w:t xml:space="preserve">of </w:t>
      </w:r>
      <w:r w:rsidR="007870B5" w:rsidRPr="00DA32D9">
        <w:rPr>
          <w:b/>
          <w:sz w:val="20"/>
          <w:szCs w:val="20"/>
        </w:rPr>
        <w:t xml:space="preserve">cluster of differentiation 63 </w:t>
      </w:r>
      <w:r w:rsidRPr="00DA32D9">
        <w:rPr>
          <w:b/>
          <w:sz w:val="20"/>
          <w:szCs w:val="20"/>
        </w:rPr>
        <w:t xml:space="preserve">and </w:t>
      </w:r>
      <w:r w:rsidR="007870B5" w:rsidRPr="00DA32D9">
        <w:rPr>
          <w:b/>
          <w:sz w:val="20"/>
          <w:szCs w:val="20"/>
        </w:rPr>
        <w:t xml:space="preserve">cluster of differentiation </w:t>
      </w:r>
      <w:r w:rsidRPr="00DA32D9">
        <w:rPr>
          <w:b/>
          <w:sz w:val="20"/>
          <w:szCs w:val="20"/>
        </w:rPr>
        <w:t>81</w:t>
      </w:r>
      <w:r w:rsidR="00522A83" w:rsidRPr="00DA32D9">
        <w:rPr>
          <w:b/>
          <w:sz w:val="20"/>
          <w:szCs w:val="20"/>
        </w:rPr>
        <w:t xml:space="preserve"> exosomes</w:t>
      </w:r>
      <w:r w:rsidRPr="00DA32D9">
        <w:rPr>
          <w:rFonts w:eastAsia="宋体"/>
          <w:b/>
          <w:kern w:val="0"/>
          <w:sz w:val="20"/>
          <w:szCs w:val="20"/>
        </w:rPr>
        <w:t xml:space="preserve">. </w:t>
      </w:r>
      <w:r w:rsidRPr="00DA32D9">
        <w:rPr>
          <w:bCs/>
          <w:sz w:val="20"/>
          <w:szCs w:val="20"/>
        </w:rPr>
        <w:t xml:space="preserve">A: </w:t>
      </w:r>
      <w:r w:rsidRPr="00DA32D9">
        <w:rPr>
          <w:sz w:val="20"/>
          <w:szCs w:val="20"/>
        </w:rPr>
        <w:t xml:space="preserve">Expression levels of </w:t>
      </w:r>
      <w:r w:rsidR="007870B5" w:rsidRPr="00DA32D9">
        <w:rPr>
          <w:sz w:val="20"/>
          <w:szCs w:val="20"/>
        </w:rPr>
        <w:t xml:space="preserve">cluster of differentiation </w:t>
      </w:r>
      <w:r w:rsidR="00DA32D9">
        <w:rPr>
          <w:sz w:val="20"/>
          <w:szCs w:val="20"/>
        </w:rPr>
        <w:t xml:space="preserve">(CD) </w:t>
      </w:r>
      <w:r w:rsidRPr="00DA32D9">
        <w:rPr>
          <w:sz w:val="20"/>
          <w:szCs w:val="20"/>
        </w:rPr>
        <w:t xml:space="preserve">63 and </w:t>
      </w:r>
      <w:r w:rsidR="00DA32D9">
        <w:rPr>
          <w:sz w:val="20"/>
          <w:szCs w:val="20"/>
        </w:rPr>
        <w:t>CD</w:t>
      </w:r>
      <w:r w:rsidRPr="00DA32D9">
        <w:rPr>
          <w:sz w:val="20"/>
          <w:szCs w:val="20"/>
        </w:rPr>
        <w:t xml:space="preserve">81; </w:t>
      </w:r>
      <w:r w:rsidRPr="00DA32D9">
        <w:rPr>
          <w:bCs/>
          <w:sz w:val="20"/>
          <w:szCs w:val="20"/>
        </w:rPr>
        <w:t xml:space="preserve">B: </w:t>
      </w:r>
      <w:r w:rsidRPr="00DA32D9">
        <w:rPr>
          <w:sz w:val="20"/>
          <w:szCs w:val="20"/>
        </w:rPr>
        <w:t xml:space="preserve">Western blot bands. </w:t>
      </w:r>
      <w:bookmarkStart w:id="37" w:name="_Hlk28876894"/>
      <w:r w:rsidRPr="00DA32D9">
        <w:rPr>
          <w:sz w:val="20"/>
          <w:szCs w:val="20"/>
        </w:rPr>
        <w:t>Exosomes were isolated from cell</w:t>
      </w:r>
      <w:r w:rsidR="007870B5" w:rsidRPr="00DA32D9">
        <w:rPr>
          <w:sz w:val="20"/>
          <w:szCs w:val="20"/>
        </w:rPr>
        <w:t>s;</w:t>
      </w:r>
      <w:r w:rsidRPr="00DA32D9">
        <w:rPr>
          <w:sz w:val="20"/>
          <w:szCs w:val="20"/>
        </w:rPr>
        <w:t xml:space="preserve"> the isolation pro</w:t>
      </w:r>
      <w:r w:rsidR="007870B5" w:rsidRPr="00DA32D9">
        <w:rPr>
          <w:sz w:val="20"/>
          <w:szCs w:val="20"/>
        </w:rPr>
        <w:t>c</w:t>
      </w:r>
      <w:r w:rsidRPr="00DA32D9">
        <w:rPr>
          <w:sz w:val="20"/>
          <w:szCs w:val="20"/>
        </w:rPr>
        <w:t xml:space="preserve">ess </w:t>
      </w:r>
      <w:r w:rsidR="007870B5" w:rsidRPr="00DA32D9">
        <w:rPr>
          <w:sz w:val="20"/>
          <w:szCs w:val="20"/>
        </w:rPr>
        <w:t>i</w:t>
      </w:r>
      <w:r w:rsidRPr="00DA32D9">
        <w:rPr>
          <w:sz w:val="20"/>
          <w:szCs w:val="20"/>
        </w:rPr>
        <w:t>s described in “Separation and screening of exosomes</w:t>
      </w:r>
      <w:r w:rsidR="007870B5" w:rsidRPr="00DA32D9">
        <w:rPr>
          <w:sz w:val="20"/>
          <w:szCs w:val="20"/>
        </w:rPr>
        <w:t>.</w:t>
      </w:r>
      <w:r w:rsidRPr="00DA32D9">
        <w:rPr>
          <w:sz w:val="20"/>
          <w:szCs w:val="20"/>
        </w:rPr>
        <w:t>”</w:t>
      </w:r>
      <w:bookmarkEnd w:id="37"/>
    </w:p>
    <w:p w14:paraId="328A9517" w14:textId="77777777" w:rsidR="00035E5B" w:rsidRPr="00DA32D9" w:rsidRDefault="00035E5B" w:rsidP="00DA32D9">
      <w:pPr>
        <w:snapToGrid w:val="0"/>
        <w:rPr>
          <w:rFonts w:eastAsia="宋体" w:cs="Times New Roman"/>
          <w:kern w:val="0"/>
          <w:sz w:val="20"/>
          <w:szCs w:val="20"/>
        </w:rPr>
      </w:pPr>
    </w:p>
    <w:p w14:paraId="0986706C" w14:textId="77777777" w:rsidR="00035E5B" w:rsidRPr="00DA32D9" w:rsidRDefault="0019595D" w:rsidP="00DA32D9">
      <w:pPr>
        <w:snapToGrid w:val="0"/>
        <w:jc w:val="left"/>
        <w:rPr>
          <w:rFonts w:eastAsia="宋体" w:cs="Times New Roman"/>
          <w:kern w:val="0"/>
          <w:sz w:val="20"/>
          <w:szCs w:val="20"/>
        </w:rPr>
      </w:pPr>
      <w:r w:rsidRPr="00DA32D9">
        <w:rPr>
          <w:rFonts w:eastAsia="宋体" w:cs="Times New Roman"/>
          <w:kern w:val="0"/>
          <w:sz w:val="20"/>
          <w:szCs w:val="20"/>
        </w:rPr>
        <w:br w:type="page"/>
      </w:r>
    </w:p>
    <w:p w14:paraId="05938347" w14:textId="6D70BFE9" w:rsidR="00035E5B" w:rsidRPr="00DA32D9" w:rsidRDefault="00B93770" w:rsidP="00DA32D9">
      <w:pPr>
        <w:snapToGrid w:val="0"/>
        <w:rPr>
          <w:rFonts w:eastAsia="宋体" w:cs="Times New Roman"/>
          <w:kern w:val="0"/>
          <w:sz w:val="20"/>
          <w:szCs w:val="20"/>
        </w:rPr>
      </w:pPr>
      <w:r w:rsidRPr="00DA32D9">
        <w:rPr>
          <w:noProof/>
          <w:sz w:val="20"/>
          <w:szCs w:val="20"/>
          <w:lang w:eastAsia="en-US"/>
        </w:rPr>
        <w:lastRenderedPageBreak/>
        <w:drawing>
          <wp:inline distT="0" distB="0" distL="0" distR="0" wp14:anchorId="197F5199" wp14:editId="173AB6A6">
            <wp:extent cx="5176299" cy="3702431"/>
            <wp:effectExtent l="0" t="0" r="571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80962" cy="3705766"/>
                    </a:xfrm>
                    <a:prstGeom prst="rect">
                      <a:avLst/>
                    </a:prstGeom>
                  </pic:spPr>
                </pic:pic>
              </a:graphicData>
            </a:graphic>
          </wp:inline>
        </w:drawing>
      </w:r>
    </w:p>
    <w:p w14:paraId="071FFC6F" w14:textId="0DBBE1EA" w:rsidR="00035E5B" w:rsidRPr="00DA32D9" w:rsidRDefault="0019595D" w:rsidP="00DA32D9">
      <w:pPr>
        <w:snapToGrid w:val="0"/>
        <w:rPr>
          <w:kern w:val="0"/>
          <w:sz w:val="20"/>
          <w:szCs w:val="20"/>
        </w:rPr>
      </w:pPr>
      <w:r w:rsidRPr="00DA32D9">
        <w:rPr>
          <w:b/>
          <w:sz w:val="20"/>
          <w:szCs w:val="20"/>
        </w:rPr>
        <w:t>Figure 2</w:t>
      </w:r>
      <w:r w:rsidR="00B93770" w:rsidRPr="00DA32D9">
        <w:rPr>
          <w:b/>
          <w:sz w:val="20"/>
          <w:szCs w:val="20"/>
        </w:rPr>
        <w:t xml:space="preserve"> </w:t>
      </w:r>
      <w:r w:rsidR="007870B5" w:rsidRPr="00DA32D9">
        <w:rPr>
          <w:b/>
          <w:sz w:val="20"/>
          <w:szCs w:val="20"/>
        </w:rPr>
        <w:t xml:space="preserve">MicroRNA 182 </w:t>
      </w:r>
      <w:r w:rsidRPr="00DA32D9">
        <w:rPr>
          <w:b/>
          <w:sz w:val="20"/>
          <w:szCs w:val="20"/>
        </w:rPr>
        <w:t>was highly expressed, wh</w:t>
      </w:r>
      <w:r w:rsidR="00865F31" w:rsidRPr="00DA32D9">
        <w:rPr>
          <w:b/>
          <w:sz w:val="20"/>
          <w:szCs w:val="20"/>
        </w:rPr>
        <w:t>ereas</w:t>
      </w:r>
      <w:r w:rsidRPr="00DA32D9">
        <w:rPr>
          <w:b/>
          <w:sz w:val="20"/>
          <w:szCs w:val="20"/>
        </w:rPr>
        <w:t xml:space="preserve"> </w:t>
      </w:r>
      <w:r w:rsidR="00865F31" w:rsidRPr="00DA32D9">
        <w:rPr>
          <w:b/>
          <w:sz w:val="20"/>
          <w:szCs w:val="20"/>
        </w:rPr>
        <w:t xml:space="preserve">there was low expression of </w:t>
      </w:r>
      <w:r w:rsidR="007870B5" w:rsidRPr="008001B6">
        <w:rPr>
          <w:rStyle w:val="st"/>
          <w:rFonts w:eastAsia="Times New Roman"/>
          <w:b/>
          <w:sz w:val="20"/>
          <w:szCs w:val="20"/>
        </w:rPr>
        <w:t>reversion-inducing-cysteine-rich protein with kazal motifs</w:t>
      </w:r>
      <w:r w:rsidR="007870B5" w:rsidRPr="00DA32D9">
        <w:rPr>
          <w:sz w:val="20"/>
          <w:szCs w:val="20"/>
        </w:rPr>
        <w:t xml:space="preserve"> </w:t>
      </w:r>
      <w:r w:rsidRPr="00DA32D9">
        <w:rPr>
          <w:b/>
          <w:sz w:val="20"/>
          <w:szCs w:val="20"/>
        </w:rPr>
        <w:t xml:space="preserve">in </w:t>
      </w:r>
      <w:r w:rsidR="00AC19B7" w:rsidRPr="00DA32D9">
        <w:rPr>
          <w:b/>
          <w:sz w:val="20"/>
          <w:szCs w:val="20"/>
        </w:rPr>
        <w:t>gallbladder cancer</w:t>
      </w:r>
      <w:r w:rsidRPr="00DA32D9">
        <w:rPr>
          <w:b/>
          <w:sz w:val="20"/>
          <w:szCs w:val="20"/>
        </w:rPr>
        <w:t>.</w:t>
      </w:r>
      <w:r w:rsidRPr="00DA32D9">
        <w:rPr>
          <w:kern w:val="0"/>
          <w:sz w:val="20"/>
          <w:szCs w:val="20"/>
        </w:rPr>
        <w:t xml:space="preserve"> </w:t>
      </w:r>
      <w:r w:rsidRPr="00DA32D9">
        <w:rPr>
          <w:bCs/>
          <w:sz w:val="20"/>
          <w:szCs w:val="20"/>
        </w:rPr>
        <w:t xml:space="preserve">A: </w:t>
      </w:r>
      <w:r w:rsidR="00865F31" w:rsidRPr="00DA32D9">
        <w:rPr>
          <w:bCs/>
          <w:sz w:val="20"/>
          <w:szCs w:val="20"/>
        </w:rPr>
        <w:t>MicroRNA 182 (</w:t>
      </w:r>
      <w:r w:rsidRPr="00DA32D9">
        <w:rPr>
          <w:sz w:val="20"/>
          <w:szCs w:val="20"/>
        </w:rPr>
        <w:t>miR-182</w:t>
      </w:r>
      <w:r w:rsidR="00865F31" w:rsidRPr="00DA32D9">
        <w:rPr>
          <w:sz w:val="20"/>
          <w:szCs w:val="20"/>
        </w:rPr>
        <w:t>)</w:t>
      </w:r>
      <w:r w:rsidRPr="00DA32D9">
        <w:rPr>
          <w:sz w:val="20"/>
          <w:szCs w:val="20"/>
        </w:rPr>
        <w:t xml:space="preserve"> was highly expressed in </w:t>
      </w:r>
      <w:r w:rsidR="00AC19B7" w:rsidRPr="00DA32D9">
        <w:rPr>
          <w:sz w:val="20"/>
          <w:szCs w:val="20"/>
        </w:rPr>
        <w:t xml:space="preserve">gallbladder cancer (GC) </w:t>
      </w:r>
      <w:r w:rsidRPr="00DA32D9">
        <w:rPr>
          <w:sz w:val="20"/>
          <w:szCs w:val="20"/>
        </w:rPr>
        <w:t xml:space="preserve">tissues; </w:t>
      </w:r>
      <w:r w:rsidRPr="00DA32D9">
        <w:rPr>
          <w:bCs/>
          <w:sz w:val="20"/>
          <w:szCs w:val="20"/>
        </w:rPr>
        <w:t xml:space="preserve">B: </w:t>
      </w:r>
      <w:r w:rsidRPr="00DA32D9">
        <w:rPr>
          <w:sz w:val="20"/>
          <w:szCs w:val="20"/>
        </w:rPr>
        <w:t xml:space="preserve">Exosomal miR-182 was highly expressed in patients with GC; </w:t>
      </w:r>
      <w:r w:rsidRPr="00DA32D9">
        <w:rPr>
          <w:bCs/>
          <w:sz w:val="20"/>
          <w:szCs w:val="20"/>
        </w:rPr>
        <w:t xml:space="preserve">C: </w:t>
      </w:r>
      <w:r w:rsidR="00522A83" w:rsidRPr="00DA32D9">
        <w:rPr>
          <w:sz w:val="20"/>
          <w:szCs w:val="20"/>
        </w:rPr>
        <w:t>M</w:t>
      </w:r>
      <w:r w:rsidRPr="00DA32D9">
        <w:rPr>
          <w:sz w:val="20"/>
          <w:szCs w:val="20"/>
        </w:rPr>
        <w:t xml:space="preserve">iR-182 was highly expressed in GC cells; </w:t>
      </w:r>
      <w:r w:rsidRPr="00DA32D9">
        <w:rPr>
          <w:bCs/>
          <w:sz w:val="20"/>
          <w:szCs w:val="20"/>
        </w:rPr>
        <w:t>D:</w:t>
      </w:r>
      <w:r w:rsidRPr="00DA32D9">
        <w:rPr>
          <w:sz w:val="20"/>
          <w:szCs w:val="20"/>
        </w:rPr>
        <w:t xml:space="preserve"> </w:t>
      </w:r>
      <w:r w:rsidR="00865F31" w:rsidRPr="008001B6">
        <w:rPr>
          <w:rStyle w:val="st"/>
          <w:rFonts w:eastAsia="Times New Roman"/>
          <w:sz w:val="20"/>
          <w:szCs w:val="20"/>
        </w:rPr>
        <w:t>Reversion-inducing-cysteine-rich protein with kazal motifs</w:t>
      </w:r>
      <w:r w:rsidR="00865F31" w:rsidRPr="00DA32D9">
        <w:rPr>
          <w:sz w:val="20"/>
          <w:szCs w:val="20"/>
        </w:rPr>
        <w:t xml:space="preserve"> (</w:t>
      </w:r>
      <w:r w:rsidRPr="00DA32D9">
        <w:rPr>
          <w:sz w:val="20"/>
          <w:szCs w:val="20"/>
        </w:rPr>
        <w:t>RECK</w:t>
      </w:r>
      <w:r w:rsidR="00865F31" w:rsidRPr="00DA32D9">
        <w:rPr>
          <w:sz w:val="20"/>
          <w:szCs w:val="20"/>
        </w:rPr>
        <w:t>)</w:t>
      </w:r>
      <w:r w:rsidRPr="00DA32D9">
        <w:rPr>
          <w:sz w:val="20"/>
          <w:szCs w:val="20"/>
        </w:rPr>
        <w:t xml:space="preserve"> protein was highly expressed in GC tissues</w:t>
      </w:r>
      <w:r w:rsidR="00EB17EB" w:rsidRPr="00DA32D9">
        <w:rPr>
          <w:sz w:val="20"/>
          <w:szCs w:val="20"/>
        </w:rPr>
        <w:t xml:space="preserve">; </w:t>
      </w:r>
      <w:r w:rsidRPr="00DA32D9">
        <w:rPr>
          <w:bCs/>
          <w:sz w:val="20"/>
          <w:szCs w:val="20"/>
        </w:rPr>
        <w:t>E:</w:t>
      </w:r>
      <w:r w:rsidRPr="00DA32D9">
        <w:rPr>
          <w:sz w:val="20"/>
          <w:szCs w:val="20"/>
        </w:rPr>
        <w:t xml:space="preserve"> RECK protein was highly expressed in GC cells. </w:t>
      </w:r>
      <w:r w:rsidR="00150D1C" w:rsidRPr="00DA32D9">
        <w:rPr>
          <w:sz w:val="20"/>
          <w:szCs w:val="20"/>
          <w:vertAlign w:val="superscript"/>
        </w:rPr>
        <w:t>a</w:t>
      </w:r>
      <w:r w:rsidR="00150D1C" w:rsidRPr="00DA32D9">
        <w:rPr>
          <w:i/>
          <w:iCs/>
          <w:sz w:val="20"/>
          <w:szCs w:val="20"/>
        </w:rPr>
        <w:t xml:space="preserve">P </w:t>
      </w:r>
      <w:r w:rsidR="00150D1C" w:rsidRPr="00DA32D9">
        <w:rPr>
          <w:sz w:val="20"/>
          <w:szCs w:val="20"/>
        </w:rPr>
        <w:t xml:space="preserve">&lt; 0.05, </w:t>
      </w:r>
      <w:r w:rsidR="00150D1C" w:rsidRPr="00DA32D9">
        <w:rPr>
          <w:sz w:val="20"/>
          <w:szCs w:val="20"/>
          <w:vertAlign w:val="superscript"/>
        </w:rPr>
        <w:t>b</w:t>
      </w:r>
      <w:r w:rsidR="00150D1C" w:rsidRPr="00DA32D9">
        <w:rPr>
          <w:i/>
          <w:iCs/>
          <w:sz w:val="20"/>
          <w:szCs w:val="20"/>
        </w:rPr>
        <w:t xml:space="preserve">P </w:t>
      </w:r>
      <w:r w:rsidR="00150D1C" w:rsidRPr="00DA32D9">
        <w:rPr>
          <w:sz w:val="20"/>
          <w:szCs w:val="20"/>
        </w:rPr>
        <w:t xml:space="preserve">&lt; 0.01 </w:t>
      </w:r>
      <w:r w:rsidR="00150D1C" w:rsidRPr="00DA32D9">
        <w:rPr>
          <w:i/>
          <w:iCs/>
          <w:sz w:val="20"/>
          <w:szCs w:val="20"/>
        </w:rPr>
        <w:t>vs</w:t>
      </w:r>
      <w:r w:rsidR="00150D1C" w:rsidRPr="00DA32D9">
        <w:rPr>
          <w:sz w:val="20"/>
          <w:szCs w:val="20"/>
        </w:rPr>
        <w:t xml:space="preserve"> HGBEC. </w:t>
      </w:r>
      <w:r w:rsidR="00150D1C" w:rsidRPr="00DA32D9">
        <w:rPr>
          <w:sz w:val="20"/>
          <w:szCs w:val="20"/>
          <w:vertAlign w:val="superscript"/>
        </w:rPr>
        <w:t>c</w:t>
      </w:r>
      <w:r w:rsidR="00150D1C" w:rsidRPr="00DA32D9">
        <w:rPr>
          <w:i/>
          <w:iCs/>
          <w:sz w:val="20"/>
          <w:szCs w:val="20"/>
        </w:rPr>
        <w:t xml:space="preserve">P </w:t>
      </w:r>
      <w:r w:rsidR="00150D1C" w:rsidRPr="00DA32D9">
        <w:rPr>
          <w:sz w:val="20"/>
          <w:szCs w:val="20"/>
        </w:rPr>
        <w:t>&lt; 0.001.</w:t>
      </w:r>
    </w:p>
    <w:p w14:paraId="7123E64B" w14:textId="77777777" w:rsidR="00035E5B" w:rsidRPr="00DA32D9" w:rsidRDefault="00035E5B" w:rsidP="00DA32D9">
      <w:pPr>
        <w:snapToGrid w:val="0"/>
        <w:rPr>
          <w:b/>
          <w:sz w:val="20"/>
          <w:szCs w:val="20"/>
        </w:rPr>
      </w:pPr>
    </w:p>
    <w:p w14:paraId="0946BF63" w14:textId="77777777" w:rsidR="00035E5B" w:rsidRPr="00DA32D9" w:rsidRDefault="0019595D" w:rsidP="00DA32D9">
      <w:pPr>
        <w:snapToGrid w:val="0"/>
        <w:jc w:val="left"/>
        <w:rPr>
          <w:rFonts w:eastAsia="宋体" w:cs="Times New Roman"/>
          <w:kern w:val="0"/>
          <w:sz w:val="20"/>
          <w:szCs w:val="20"/>
        </w:rPr>
      </w:pPr>
      <w:r w:rsidRPr="00DA32D9">
        <w:rPr>
          <w:rFonts w:eastAsia="宋体" w:cs="Times New Roman"/>
          <w:kern w:val="0"/>
          <w:sz w:val="20"/>
          <w:szCs w:val="20"/>
        </w:rPr>
        <w:br w:type="page"/>
      </w:r>
    </w:p>
    <w:p w14:paraId="7A29016B" w14:textId="35D5EDBC" w:rsidR="00035E5B" w:rsidRPr="00DA32D9" w:rsidRDefault="00FD392F" w:rsidP="00DA32D9">
      <w:pPr>
        <w:snapToGrid w:val="0"/>
        <w:rPr>
          <w:rFonts w:eastAsia="宋体" w:cs="Times New Roman"/>
          <w:kern w:val="0"/>
          <w:sz w:val="20"/>
          <w:szCs w:val="20"/>
        </w:rPr>
      </w:pPr>
      <w:r w:rsidRPr="00DA32D9">
        <w:rPr>
          <w:noProof/>
          <w:sz w:val="20"/>
          <w:szCs w:val="20"/>
          <w:lang w:eastAsia="en-US"/>
        </w:rPr>
        <w:lastRenderedPageBreak/>
        <w:drawing>
          <wp:inline distT="0" distB="0" distL="0" distR="0" wp14:anchorId="6B0E0BF4" wp14:editId="24B7AD1F">
            <wp:extent cx="4642665" cy="3387256"/>
            <wp:effectExtent l="0" t="0" r="5715" b="381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52725" cy="3394595"/>
                    </a:xfrm>
                    <a:prstGeom prst="rect">
                      <a:avLst/>
                    </a:prstGeom>
                  </pic:spPr>
                </pic:pic>
              </a:graphicData>
            </a:graphic>
          </wp:inline>
        </w:drawing>
      </w:r>
    </w:p>
    <w:p w14:paraId="12285884" w14:textId="21E7F423" w:rsidR="00035E5B" w:rsidRPr="00DA32D9" w:rsidRDefault="0019595D" w:rsidP="00DA32D9">
      <w:pPr>
        <w:snapToGrid w:val="0"/>
        <w:rPr>
          <w:rFonts w:eastAsia="宋体"/>
          <w:kern w:val="0"/>
          <w:sz w:val="20"/>
          <w:szCs w:val="20"/>
        </w:rPr>
      </w:pPr>
      <w:r w:rsidRPr="00DA32D9">
        <w:rPr>
          <w:b/>
          <w:sz w:val="20"/>
          <w:szCs w:val="20"/>
        </w:rPr>
        <w:t>Figure 3</w:t>
      </w:r>
      <w:r w:rsidR="00CF54BE" w:rsidRPr="00DA32D9">
        <w:rPr>
          <w:b/>
          <w:sz w:val="20"/>
          <w:szCs w:val="20"/>
        </w:rPr>
        <w:t xml:space="preserve"> </w:t>
      </w:r>
      <w:r w:rsidRPr="00DA32D9">
        <w:rPr>
          <w:b/>
          <w:sz w:val="20"/>
          <w:szCs w:val="20"/>
        </w:rPr>
        <w:t xml:space="preserve">Relationship between </w:t>
      </w:r>
      <w:r w:rsidR="00B80490" w:rsidRPr="00DA32D9">
        <w:rPr>
          <w:b/>
          <w:sz w:val="20"/>
          <w:szCs w:val="20"/>
        </w:rPr>
        <w:t xml:space="preserve">microRNA </w:t>
      </w:r>
      <w:r w:rsidRPr="00DA32D9">
        <w:rPr>
          <w:b/>
          <w:sz w:val="20"/>
          <w:szCs w:val="20"/>
        </w:rPr>
        <w:t xml:space="preserve">182 and </w:t>
      </w:r>
      <w:r w:rsidR="00B80490" w:rsidRPr="00DA32D9">
        <w:rPr>
          <w:b/>
          <w:sz w:val="20"/>
          <w:szCs w:val="20"/>
        </w:rPr>
        <w:t xml:space="preserve">tumor-node-metastasis </w:t>
      </w:r>
      <w:r w:rsidRPr="00DA32D9">
        <w:rPr>
          <w:b/>
          <w:sz w:val="20"/>
          <w:szCs w:val="20"/>
        </w:rPr>
        <w:t>staging.</w:t>
      </w:r>
      <w:r w:rsidRPr="00DA32D9">
        <w:rPr>
          <w:rFonts w:eastAsia="宋体"/>
          <w:kern w:val="0"/>
          <w:sz w:val="20"/>
          <w:szCs w:val="20"/>
        </w:rPr>
        <w:t xml:space="preserve"> </w:t>
      </w:r>
      <w:r w:rsidRPr="00DA32D9">
        <w:rPr>
          <w:bCs/>
          <w:sz w:val="20"/>
          <w:szCs w:val="20"/>
        </w:rPr>
        <w:t>A:</w:t>
      </w:r>
      <w:r w:rsidRPr="00DA32D9">
        <w:rPr>
          <w:sz w:val="20"/>
          <w:szCs w:val="20"/>
        </w:rPr>
        <w:t xml:space="preserve"> </w:t>
      </w:r>
      <w:r w:rsidR="00B80490" w:rsidRPr="00DA32D9">
        <w:rPr>
          <w:sz w:val="20"/>
          <w:szCs w:val="20"/>
        </w:rPr>
        <w:t>MicroRNA 192 (</w:t>
      </w:r>
      <w:r w:rsidRPr="00DA32D9">
        <w:rPr>
          <w:sz w:val="20"/>
          <w:szCs w:val="20"/>
        </w:rPr>
        <w:t>miR-182</w:t>
      </w:r>
      <w:r w:rsidR="00B80490" w:rsidRPr="00DA32D9">
        <w:rPr>
          <w:sz w:val="20"/>
          <w:szCs w:val="20"/>
        </w:rPr>
        <w:t>)</w:t>
      </w:r>
      <w:r w:rsidRPr="00DA32D9">
        <w:rPr>
          <w:sz w:val="20"/>
          <w:szCs w:val="20"/>
        </w:rPr>
        <w:t xml:space="preserve"> was highly expressed in </w:t>
      </w:r>
      <w:r w:rsidR="00B80490" w:rsidRPr="00DA32D9">
        <w:rPr>
          <w:sz w:val="20"/>
          <w:szCs w:val="20"/>
        </w:rPr>
        <w:t xml:space="preserve">the </w:t>
      </w:r>
      <w:r w:rsidRPr="00DA32D9">
        <w:rPr>
          <w:sz w:val="20"/>
          <w:szCs w:val="20"/>
        </w:rPr>
        <w:t xml:space="preserve">N1/N2/N3 phase; </w:t>
      </w:r>
      <w:r w:rsidRPr="00DA32D9">
        <w:rPr>
          <w:bCs/>
          <w:sz w:val="20"/>
          <w:szCs w:val="20"/>
        </w:rPr>
        <w:t>B:</w:t>
      </w:r>
      <w:r w:rsidRPr="00DA32D9">
        <w:rPr>
          <w:sz w:val="20"/>
          <w:szCs w:val="20"/>
        </w:rPr>
        <w:t xml:space="preserve"> Exosomal miR-182 was highly expressed in </w:t>
      </w:r>
      <w:r w:rsidR="00B80490" w:rsidRPr="00DA32D9">
        <w:rPr>
          <w:sz w:val="20"/>
          <w:szCs w:val="20"/>
        </w:rPr>
        <w:t xml:space="preserve">the </w:t>
      </w:r>
      <w:r w:rsidRPr="00DA32D9">
        <w:rPr>
          <w:sz w:val="20"/>
          <w:szCs w:val="20"/>
        </w:rPr>
        <w:t xml:space="preserve">N1/N2/N3 phase; </w:t>
      </w:r>
      <w:r w:rsidRPr="00DA32D9">
        <w:rPr>
          <w:bCs/>
          <w:sz w:val="20"/>
          <w:szCs w:val="20"/>
        </w:rPr>
        <w:t>C:</w:t>
      </w:r>
      <w:r w:rsidRPr="00DA32D9">
        <w:rPr>
          <w:sz w:val="20"/>
          <w:szCs w:val="20"/>
        </w:rPr>
        <w:t xml:space="preserve"> </w:t>
      </w:r>
      <w:r w:rsidR="00522A83" w:rsidRPr="00DA32D9">
        <w:rPr>
          <w:sz w:val="20"/>
          <w:szCs w:val="20"/>
        </w:rPr>
        <w:t>M</w:t>
      </w:r>
      <w:r w:rsidRPr="00DA32D9">
        <w:rPr>
          <w:sz w:val="20"/>
          <w:szCs w:val="20"/>
        </w:rPr>
        <w:t xml:space="preserve">iR-182 was highly expressed in </w:t>
      </w:r>
      <w:r w:rsidR="00B80490" w:rsidRPr="00DA32D9">
        <w:rPr>
          <w:sz w:val="20"/>
          <w:szCs w:val="20"/>
        </w:rPr>
        <w:t xml:space="preserve">the </w:t>
      </w:r>
      <w:r w:rsidRPr="00DA32D9">
        <w:rPr>
          <w:sz w:val="20"/>
          <w:szCs w:val="20"/>
        </w:rPr>
        <w:t xml:space="preserve">M1 phase; </w:t>
      </w:r>
      <w:r w:rsidRPr="00DA32D9">
        <w:rPr>
          <w:bCs/>
          <w:sz w:val="20"/>
          <w:szCs w:val="20"/>
        </w:rPr>
        <w:t>D:</w:t>
      </w:r>
      <w:r w:rsidRPr="00DA32D9">
        <w:rPr>
          <w:sz w:val="20"/>
          <w:szCs w:val="20"/>
        </w:rPr>
        <w:t xml:space="preserve"> Exosomal miR-182 was highly expressed in the M1 phase</w:t>
      </w:r>
      <w:r w:rsidR="00CC129B" w:rsidRPr="00DA32D9">
        <w:rPr>
          <w:sz w:val="20"/>
          <w:szCs w:val="20"/>
        </w:rPr>
        <w:t xml:space="preserve">. </w:t>
      </w:r>
      <w:r w:rsidR="00C85F08" w:rsidRPr="00DA32D9">
        <w:rPr>
          <w:sz w:val="20"/>
          <w:szCs w:val="20"/>
          <w:vertAlign w:val="superscript"/>
        </w:rPr>
        <w:t>c</w:t>
      </w:r>
      <w:r w:rsidR="00C85F08" w:rsidRPr="00DA32D9">
        <w:rPr>
          <w:i/>
          <w:iCs/>
          <w:sz w:val="20"/>
          <w:szCs w:val="20"/>
        </w:rPr>
        <w:t>P</w:t>
      </w:r>
      <w:r w:rsidR="00D26D6C" w:rsidRPr="00DA32D9">
        <w:rPr>
          <w:i/>
          <w:iCs/>
          <w:sz w:val="20"/>
          <w:szCs w:val="20"/>
        </w:rPr>
        <w:t xml:space="preserve"> </w:t>
      </w:r>
      <w:r w:rsidR="00C85F08" w:rsidRPr="00DA32D9">
        <w:rPr>
          <w:sz w:val="20"/>
          <w:szCs w:val="20"/>
        </w:rPr>
        <w:t>&lt;</w:t>
      </w:r>
      <w:r w:rsidR="00D26D6C" w:rsidRPr="00DA32D9">
        <w:rPr>
          <w:sz w:val="20"/>
          <w:szCs w:val="20"/>
        </w:rPr>
        <w:t xml:space="preserve"> </w:t>
      </w:r>
      <w:r w:rsidR="00C85F08" w:rsidRPr="00DA32D9">
        <w:rPr>
          <w:sz w:val="20"/>
          <w:szCs w:val="20"/>
        </w:rPr>
        <w:t>0.001</w:t>
      </w:r>
      <w:r w:rsidRPr="00DA32D9">
        <w:rPr>
          <w:sz w:val="20"/>
          <w:szCs w:val="20"/>
        </w:rPr>
        <w:t>.</w:t>
      </w:r>
    </w:p>
    <w:p w14:paraId="30D87022" w14:textId="123878D5" w:rsidR="00E94600" w:rsidRPr="00DA32D9" w:rsidRDefault="00E94600" w:rsidP="00DA32D9">
      <w:pPr>
        <w:snapToGrid w:val="0"/>
        <w:jc w:val="left"/>
        <w:rPr>
          <w:b/>
          <w:sz w:val="20"/>
          <w:szCs w:val="20"/>
        </w:rPr>
      </w:pPr>
      <w:r w:rsidRPr="00DA32D9">
        <w:rPr>
          <w:b/>
          <w:sz w:val="20"/>
          <w:szCs w:val="20"/>
        </w:rPr>
        <w:br w:type="page"/>
      </w:r>
    </w:p>
    <w:p w14:paraId="1B8044A5" w14:textId="10925823" w:rsidR="00035E5B" w:rsidRPr="00DA32D9" w:rsidRDefault="005A57B2" w:rsidP="00DA32D9">
      <w:pPr>
        <w:snapToGrid w:val="0"/>
        <w:rPr>
          <w:b/>
          <w:sz w:val="20"/>
          <w:szCs w:val="20"/>
        </w:rPr>
      </w:pPr>
      <w:r w:rsidRPr="00DA32D9">
        <w:rPr>
          <w:noProof/>
          <w:sz w:val="20"/>
          <w:szCs w:val="20"/>
          <w:lang w:eastAsia="en-US"/>
        </w:rPr>
        <w:lastRenderedPageBreak/>
        <w:drawing>
          <wp:inline distT="0" distB="0" distL="0" distR="0" wp14:anchorId="75ABA31A" wp14:editId="58F4D02E">
            <wp:extent cx="4337291" cy="3013545"/>
            <wp:effectExtent l="0" t="0" r="635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69050" cy="3035611"/>
                    </a:xfrm>
                    <a:prstGeom prst="rect">
                      <a:avLst/>
                    </a:prstGeom>
                  </pic:spPr>
                </pic:pic>
              </a:graphicData>
            </a:graphic>
          </wp:inline>
        </w:drawing>
      </w:r>
    </w:p>
    <w:p w14:paraId="594BF953" w14:textId="6E18E985" w:rsidR="005A57B2" w:rsidRPr="00DA32D9" w:rsidRDefault="005A57B2" w:rsidP="00DA32D9">
      <w:pPr>
        <w:snapToGrid w:val="0"/>
        <w:rPr>
          <w:b/>
          <w:sz w:val="20"/>
          <w:szCs w:val="20"/>
        </w:rPr>
      </w:pPr>
      <w:r w:rsidRPr="00DA32D9">
        <w:rPr>
          <w:noProof/>
          <w:sz w:val="20"/>
          <w:szCs w:val="20"/>
          <w:lang w:eastAsia="en-US"/>
        </w:rPr>
        <w:drawing>
          <wp:inline distT="0" distB="0" distL="0" distR="0" wp14:anchorId="4CC37ACB" wp14:editId="79316405">
            <wp:extent cx="4245996" cy="3337089"/>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71988" cy="3357517"/>
                    </a:xfrm>
                    <a:prstGeom prst="rect">
                      <a:avLst/>
                    </a:prstGeom>
                  </pic:spPr>
                </pic:pic>
              </a:graphicData>
            </a:graphic>
          </wp:inline>
        </w:drawing>
      </w:r>
    </w:p>
    <w:p w14:paraId="77454E36" w14:textId="038BC0E6" w:rsidR="007328BF" w:rsidRPr="00DA32D9" w:rsidRDefault="0019595D" w:rsidP="00DA32D9">
      <w:pPr>
        <w:snapToGrid w:val="0"/>
        <w:rPr>
          <w:sz w:val="20"/>
          <w:szCs w:val="20"/>
        </w:rPr>
      </w:pPr>
      <w:r w:rsidRPr="00DA32D9">
        <w:rPr>
          <w:b/>
          <w:sz w:val="20"/>
          <w:szCs w:val="20"/>
        </w:rPr>
        <w:t>Figure 4</w:t>
      </w:r>
      <w:r w:rsidR="005A57B2" w:rsidRPr="00DA32D9">
        <w:rPr>
          <w:b/>
          <w:sz w:val="20"/>
          <w:szCs w:val="20"/>
        </w:rPr>
        <w:t xml:space="preserve"> </w:t>
      </w:r>
      <w:r w:rsidRPr="00DA32D9">
        <w:rPr>
          <w:b/>
          <w:sz w:val="20"/>
          <w:szCs w:val="20"/>
        </w:rPr>
        <w:t xml:space="preserve">Exosomal </w:t>
      </w:r>
      <w:r w:rsidR="00B80490" w:rsidRPr="00DA32D9">
        <w:rPr>
          <w:b/>
          <w:sz w:val="20"/>
          <w:szCs w:val="20"/>
        </w:rPr>
        <w:t xml:space="preserve">microRNA </w:t>
      </w:r>
      <w:r w:rsidRPr="00DA32D9">
        <w:rPr>
          <w:b/>
          <w:sz w:val="20"/>
          <w:szCs w:val="20"/>
        </w:rPr>
        <w:t>182 c</w:t>
      </w:r>
      <w:r w:rsidR="00B80490" w:rsidRPr="00DA32D9">
        <w:rPr>
          <w:b/>
          <w:sz w:val="20"/>
          <w:szCs w:val="20"/>
        </w:rPr>
        <w:t>an</w:t>
      </w:r>
      <w:r w:rsidRPr="00DA32D9">
        <w:rPr>
          <w:b/>
          <w:sz w:val="20"/>
          <w:szCs w:val="20"/>
        </w:rPr>
        <w:t xml:space="preserve"> promote cell proliferation, migration and invasion, and inhibit apoptosis and</w:t>
      </w:r>
      <w:r w:rsidR="00B80490" w:rsidRPr="00DA32D9">
        <w:rPr>
          <w:b/>
          <w:sz w:val="20"/>
          <w:szCs w:val="20"/>
        </w:rPr>
        <w:t xml:space="preserve"> expression of</w:t>
      </w:r>
      <w:r w:rsidRPr="00DA32D9">
        <w:rPr>
          <w:b/>
          <w:sz w:val="20"/>
          <w:szCs w:val="20"/>
        </w:rPr>
        <w:t xml:space="preserve"> </w:t>
      </w:r>
      <w:r w:rsidR="00B80490" w:rsidRPr="00DA32D9">
        <w:rPr>
          <w:rStyle w:val="st"/>
          <w:rFonts w:eastAsia="Times New Roman"/>
          <w:b/>
          <w:sz w:val="20"/>
          <w:szCs w:val="20"/>
        </w:rPr>
        <w:t>reversion-inducing-cysteine-rich protein with kazal motifs</w:t>
      </w:r>
      <w:r w:rsidRPr="00DA32D9">
        <w:rPr>
          <w:b/>
          <w:sz w:val="20"/>
          <w:szCs w:val="20"/>
        </w:rPr>
        <w:t>.</w:t>
      </w:r>
      <w:r w:rsidRPr="00DA32D9">
        <w:rPr>
          <w:sz w:val="20"/>
          <w:szCs w:val="20"/>
        </w:rPr>
        <w:t xml:space="preserve"> A: Exosomal </w:t>
      </w:r>
      <w:r w:rsidR="00B80490" w:rsidRPr="00DA32D9">
        <w:rPr>
          <w:sz w:val="20"/>
          <w:szCs w:val="20"/>
        </w:rPr>
        <w:t>microRNA 182 (</w:t>
      </w:r>
      <w:r w:rsidRPr="00DA32D9">
        <w:rPr>
          <w:sz w:val="20"/>
          <w:szCs w:val="20"/>
        </w:rPr>
        <w:t>miR-182</w:t>
      </w:r>
      <w:r w:rsidR="00B80490" w:rsidRPr="00DA32D9">
        <w:rPr>
          <w:sz w:val="20"/>
          <w:szCs w:val="20"/>
        </w:rPr>
        <w:t>)</w:t>
      </w:r>
      <w:r w:rsidRPr="00DA32D9">
        <w:rPr>
          <w:sz w:val="20"/>
          <w:szCs w:val="20"/>
        </w:rPr>
        <w:t xml:space="preserve"> enhanced the viability of </w:t>
      </w:r>
      <w:r w:rsidR="000A48CF" w:rsidRPr="00DA32D9">
        <w:rPr>
          <w:sz w:val="20"/>
          <w:szCs w:val="20"/>
        </w:rPr>
        <w:t xml:space="preserve">gallbladder cancer (GC) </w:t>
      </w:r>
      <w:r w:rsidRPr="00DA32D9">
        <w:rPr>
          <w:sz w:val="20"/>
          <w:szCs w:val="20"/>
        </w:rPr>
        <w:t xml:space="preserve">cells; B: Exosomal miR-182 promoted cell invasion and migration; C: Effects of exosomal miR-182 on </w:t>
      </w:r>
      <w:r w:rsidR="00B80490" w:rsidRPr="00DA32D9">
        <w:rPr>
          <w:sz w:val="20"/>
          <w:szCs w:val="20"/>
        </w:rPr>
        <w:t>c</w:t>
      </w:r>
      <w:r w:rsidRPr="00DA32D9">
        <w:rPr>
          <w:sz w:val="20"/>
          <w:szCs w:val="20"/>
        </w:rPr>
        <w:t xml:space="preserve">aspase 3, </w:t>
      </w:r>
      <w:r w:rsidR="00B80490" w:rsidRPr="00DA32D9">
        <w:rPr>
          <w:sz w:val="20"/>
          <w:szCs w:val="20"/>
        </w:rPr>
        <w:t>c</w:t>
      </w:r>
      <w:r w:rsidRPr="00DA32D9">
        <w:rPr>
          <w:sz w:val="20"/>
          <w:szCs w:val="20"/>
        </w:rPr>
        <w:t xml:space="preserve">aspase 9, E-cadherin, </w:t>
      </w:r>
      <w:r w:rsidR="00B80490" w:rsidRPr="00DA32D9">
        <w:rPr>
          <w:sz w:val="20"/>
          <w:szCs w:val="20"/>
        </w:rPr>
        <w:t>B-cell lymphoma 2 (Bcl-2), Bcl-2-associated X protein</w:t>
      </w:r>
      <w:r w:rsidRPr="00DA32D9">
        <w:rPr>
          <w:sz w:val="20"/>
          <w:szCs w:val="20"/>
        </w:rPr>
        <w:t xml:space="preserve">, N-cadherin, </w:t>
      </w:r>
      <w:r w:rsidR="00B80490" w:rsidRPr="00DA32D9">
        <w:rPr>
          <w:sz w:val="20"/>
          <w:szCs w:val="20"/>
        </w:rPr>
        <w:t xml:space="preserve">and </w:t>
      </w:r>
      <w:r w:rsidRPr="00DA32D9">
        <w:rPr>
          <w:sz w:val="20"/>
          <w:szCs w:val="20"/>
        </w:rPr>
        <w:sym w:font="Symbol" w:char="F062"/>
      </w:r>
      <w:r w:rsidRPr="00DA32D9">
        <w:rPr>
          <w:sz w:val="20"/>
          <w:szCs w:val="20"/>
        </w:rPr>
        <w:t xml:space="preserve">-catenin in GC cells; D: Exosomal miR-182 inhibited apoptosis; E: Exosomal miR-182 inhibited </w:t>
      </w:r>
      <w:r w:rsidR="00B80490" w:rsidRPr="008001B6">
        <w:rPr>
          <w:rStyle w:val="st"/>
          <w:rFonts w:eastAsia="Times New Roman"/>
          <w:sz w:val="20"/>
          <w:szCs w:val="20"/>
        </w:rPr>
        <w:t>reversion-inducing-cysteine-rich protein with kazal motifs</w:t>
      </w:r>
      <w:r w:rsidR="00B80490" w:rsidRPr="00DA32D9">
        <w:rPr>
          <w:rStyle w:val="st"/>
          <w:rFonts w:eastAsia="Times New Roman"/>
          <w:sz w:val="20"/>
          <w:szCs w:val="20"/>
        </w:rPr>
        <w:t xml:space="preserve"> </w:t>
      </w:r>
      <w:r w:rsidRPr="00DA32D9">
        <w:rPr>
          <w:sz w:val="20"/>
          <w:szCs w:val="20"/>
        </w:rPr>
        <w:t>expression</w:t>
      </w:r>
      <w:r w:rsidR="00D22356" w:rsidRPr="00DA32D9">
        <w:rPr>
          <w:sz w:val="20"/>
          <w:szCs w:val="20"/>
        </w:rPr>
        <w:t xml:space="preserve">. </w:t>
      </w:r>
      <w:r w:rsidR="00C85F08" w:rsidRPr="00DA32D9">
        <w:rPr>
          <w:sz w:val="20"/>
          <w:szCs w:val="20"/>
          <w:vertAlign w:val="superscript"/>
        </w:rPr>
        <w:t>a</w:t>
      </w:r>
      <w:r w:rsidRPr="00DA32D9">
        <w:rPr>
          <w:i/>
          <w:iCs/>
          <w:sz w:val="20"/>
          <w:szCs w:val="20"/>
        </w:rPr>
        <w:t>P</w:t>
      </w:r>
      <w:r w:rsidR="00D22356" w:rsidRPr="00DA32D9">
        <w:rPr>
          <w:i/>
          <w:iCs/>
          <w:sz w:val="20"/>
          <w:szCs w:val="20"/>
        </w:rPr>
        <w:t xml:space="preserve"> </w:t>
      </w:r>
      <w:r w:rsidRPr="00DA32D9">
        <w:rPr>
          <w:sz w:val="20"/>
          <w:szCs w:val="20"/>
        </w:rPr>
        <w:t>&lt;</w:t>
      </w:r>
      <w:r w:rsidR="00D22356" w:rsidRPr="00DA32D9">
        <w:rPr>
          <w:sz w:val="20"/>
          <w:szCs w:val="20"/>
        </w:rPr>
        <w:t xml:space="preserve"> </w:t>
      </w:r>
      <w:r w:rsidRPr="00DA32D9">
        <w:rPr>
          <w:sz w:val="20"/>
          <w:szCs w:val="20"/>
        </w:rPr>
        <w:t xml:space="preserve">0.05, </w:t>
      </w:r>
      <w:r w:rsidR="00C85F08" w:rsidRPr="00DA32D9">
        <w:rPr>
          <w:sz w:val="20"/>
          <w:szCs w:val="20"/>
          <w:vertAlign w:val="superscript"/>
        </w:rPr>
        <w:t>b</w:t>
      </w:r>
      <w:r w:rsidRPr="00DA32D9">
        <w:rPr>
          <w:i/>
          <w:iCs/>
          <w:sz w:val="20"/>
          <w:szCs w:val="20"/>
        </w:rPr>
        <w:t>P</w:t>
      </w:r>
      <w:r w:rsidR="00D22356" w:rsidRPr="00DA32D9">
        <w:rPr>
          <w:i/>
          <w:iCs/>
          <w:sz w:val="20"/>
          <w:szCs w:val="20"/>
        </w:rPr>
        <w:t xml:space="preserve"> </w:t>
      </w:r>
      <w:r w:rsidRPr="00DA32D9">
        <w:rPr>
          <w:sz w:val="20"/>
          <w:szCs w:val="20"/>
        </w:rPr>
        <w:t>&lt;</w:t>
      </w:r>
      <w:r w:rsidR="00D22356" w:rsidRPr="00DA32D9">
        <w:rPr>
          <w:sz w:val="20"/>
          <w:szCs w:val="20"/>
        </w:rPr>
        <w:t xml:space="preserve"> </w:t>
      </w:r>
      <w:r w:rsidRPr="00DA32D9">
        <w:rPr>
          <w:sz w:val="20"/>
          <w:szCs w:val="20"/>
        </w:rPr>
        <w:t>0.01,</w:t>
      </w:r>
      <w:r w:rsidR="00D22356" w:rsidRPr="00DA32D9">
        <w:rPr>
          <w:sz w:val="20"/>
          <w:szCs w:val="20"/>
        </w:rPr>
        <w:t xml:space="preserve"> and </w:t>
      </w:r>
      <w:r w:rsidR="00C85F08" w:rsidRPr="00DA32D9">
        <w:rPr>
          <w:sz w:val="20"/>
          <w:szCs w:val="20"/>
          <w:vertAlign w:val="superscript"/>
        </w:rPr>
        <w:t>c</w:t>
      </w:r>
      <w:r w:rsidRPr="00DA32D9">
        <w:rPr>
          <w:i/>
          <w:iCs/>
          <w:sz w:val="20"/>
          <w:szCs w:val="20"/>
        </w:rPr>
        <w:t>P</w:t>
      </w:r>
      <w:r w:rsidR="00D22356" w:rsidRPr="00DA32D9">
        <w:rPr>
          <w:i/>
          <w:iCs/>
          <w:sz w:val="20"/>
          <w:szCs w:val="20"/>
        </w:rPr>
        <w:t xml:space="preserve"> </w:t>
      </w:r>
      <w:r w:rsidRPr="00DA32D9">
        <w:rPr>
          <w:sz w:val="20"/>
          <w:szCs w:val="20"/>
        </w:rPr>
        <w:t>&lt;</w:t>
      </w:r>
      <w:r w:rsidR="00D22356" w:rsidRPr="00DA32D9">
        <w:rPr>
          <w:sz w:val="20"/>
          <w:szCs w:val="20"/>
        </w:rPr>
        <w:t xml:space="preserve"> </w:t>
      </w:r>
      <w:r w:rsidRPr="00DA32D9">
        <w:rPr>
          <w:sz w:val="20"/>
          <w:szCs w:val="20"/>
        </w:rPr>
        <w:t xml:space="preserve">0.001 </w:t>
      </w:r>
      <w:r w:rsidR="00D22356" w:rsidRPr="00DA32D9">
        <w:rPr>
          <w:i/>
          <w:iCs/>
          <w:sz w:val="20"/>
          <w:szCs w:val="20"/>
        </w:rPr>
        <w:t>vs</w:t>
      </w:r>
      <w:r w:rsidR="00D22356" w:rsidRPr="00DA32D9">
        <w:rPr>
          <w:sz w:val="20"/>
          <w:szCs w:val="20"/>
        </w:rPr>
        <w:t xml:space="preserve"> </w:t>
      </w:r>
      <w:r w:rsidRPr="00DA32D9">
        <w:rPr>
          <w:sz w:val="20"/>
          <w:szCs w:val="20"/>
        </w:rPr>
        <w:t xml:space="preserve">the </w:t>
      </w:r>
      <w:r w:rsidR="00DA32D9">
        <w:rPr>
          <w:sz w:val="20"/>
          <w:szCs w:val="20"/>
        </w:rPr>
        <w:t>negative control (</w:t>
      </w:r>
      <w:r w:rsidRPr="00DA32D9">
        <w:rPr>
          <w:sz w:val="20"/>
          <w:szCs w:val="20"/>
        </w:rPr>
        <w:t>NC</w:t>
      </w:r>
      <w:r w:rsidR="00DA32D9">
        <w:rPr>
          <w:sz w:val="20"/>
          <w:szCs w:val="20"/>
        </w:rPr>
        <w:t>)</w:t>
      </w:r>
      <w:r w:rsidRPr="00DA32D9">
        <w:rPr>
          <w:sz w:val="20"/>
          <w:szCs w:val="20"/>
        </w:rPr>
        <w:t xml:space="preserve"> group.</w:t>
      </w:r>
      <w:r w:rsidR="007328BF" w:rsidRPr="00DA32D9">
        <w:rPr>
          <w:sz w:val="20"/>
          <w:szCs w:val="20"/>
        </w:rPr>
        <w:br w:type="page"/>
      </w:r>
    </w:p>
    <w:p w14:paraId="1F21A3E7" w14:textId="0CE903F8" w:rsidR="00035E5B" w:rsidRPr="00DA32D9" w:rsidRDefault="007F549E" w:rsidP="00DA32D9">
      <w:pPr>
        <w:snapToGrid w:val="0"/>
        <w:rPr>
          <w:rFonts w:eastAsia="宋体" w:cs="Times New Roman"/>
          <w:kern w:val="0"/>
          <w:sz w:val="20"/>
          <w:szCs w:val="20"/>
        </w:rPr>
      </w:pPr>
      <w:r w:rsidRPr="00DA32D9">
        <w:rPr>
          <w:noProof/>
          <w:sz w:val="20"/>
          <w:szCs w:val="20"/>
          <w:lang w:eastAsia="en-US"/>
        </w:rPr>
        <w:lastRenderedPageBreak/>
        <w:drawing>
          <wp:inline distT="0" distB="0" distL="0" distR="0" wp14:anchorId="6249FCE2" wp14:editId="62D3FA1F">
            <wp:extent cx="4675367" cy="6595386"/>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00071" cy="6630235"/>
                    </a:xfrm>
                    <a:prstGeom prst="rect">
                      <a:avLst/>
                    </a:prstGeom>
                  </pic:spPr>
                </pic:pic>
              </a:graphicData>
            </a:graphic>
          </wp:inline>
        </w:drawing>
      </w:r>
    </w:p>
    <w:p w14:paraId="4AA0F765" w14:textId="0AEE0E69" w:rsidR="00035E5B" w:rsidRPr="00DA32D9" w:rsidRDefault="0019595D" w:rsidP="00DA32D9">
      <w:pPr>
        <w:snapToGrid w:val="0"/>
        <w:rPr>
          <w:rFonts w:eastAsia="宋体"/>
          <w:kern w:val="0"/>
          <w:sz w:val="20"/>
          <w:szCs w:val="20"/>
        </w:rPr>
      </w:pPr>
      <w:r w:rsidRPr="00DA32D9">
        <w:rPr>
          <w:b/>
          <w:sz w:val="20"/>
          <w:szCs w:val="20"/>
        </w:rPr>
        <w:t>Figure 5</w:t>
      </w:r>
      <w:r w:rsidR="007F549E" w:rsidRPr="00DA32D9">
        <w:rPr>
          <w:b/>
          <w:sz w:val="20"/>
          <w:szCs w:val="20"/>
        </w:rPr>
        <w:t xml:space="preserve"> </w:t>
      </w:r>
      <w:r w:rsidR="007A0863" w:rsidRPr="00DA32D9">
        <w:rPr>
          <w:rStyle w:val="st"/>
          <w:rFonts w:eastAsia="Times New Roman"/>
          <w:b/>
          <w:sz w:val="20"/>
          <w:szCs w:val="20"/>
        </w:rPr>
        <w:t>Reversion-inducing-cysteine-rich protein with kazal motifs</w:t>
      </w:r>
      <w:r w:rsidRPr="00DA32D9">
        <w:rPr>
          <w:b/>
          <w:sz w:val="20"/>
          <w:szCs w:val="20"/>
        </w:rPr>
        <w:t xml:space="preserve"> inhibited cell proliferation, migration and invasion, and promoted apoptosis</w:t>
      </w:r>
      <w:r w:rsidRPr="00DA32D9">
        <w:rPr>
          <w:rFonts w:eastAsia="宋体"/>
          <w:kern w:val="0"/>
          <w:sz w:val="20"/>
          <w:szCs w:val="20"/>
        </w:rPr>
        <w:t xml:space="preserve">. </w:t>
      </w:r>
      <w:r w:rsidRPr="00DA32D9">
        <w:rPr>
          <w:bCs/>
          <w:sz w:val="20"/>
          <w:szCs w:val="20"/>
        </w:rPr>
        <w:t>A:</w:t>
      </w:r>
      <w:r w:rsidRPr="00DA32D9">
        <w:rPr>
          <w:sz w:val="20"/>
          <w:szCs w:val="20"/>
        </w:rPr>
        <w:t xml:space="preserve"> </w:t>
      </w:r>
      <w:r w:rsidR="007A0863" w:rsidRPr="008001B6">
        <w:rPr>
          <w:rStyle w:val="st"/>
          <w:rFonts w:eastAsia="Times New Roman"/>
          <w:sz w:val="20"/>
          <w:szCs w:val="20"/>
        </w:rPr>
        <w:t>Reversion-inducing-cysteine-rich protein with kazal motifs (</w:t>
      </w:r>
      <w:r w:rsidRPr="00DA32D9">
        <w:rPr>
          <w:sz w:val="20"/>
          <w:szCs w:val="20"/>
        </w:rPr>
        <w:t>RECK</w:t>
      </w:r>
      <w:r w:rsidR="007A0863" w:rsidRPr="00DA32D9">
        <w:rPr>
          <w:sz w:val="20"/>
          <w:szCs w:val="20"/>
        </w:rPr>
        <w:t>)</w:t>
      </w:r>
      <w:r w:rsidRPr="00DA32D9">
        <w:rPr>
          <w:sz w:val="20"/>
          <w:szCs w:val="20"/>
        </w:rPr>
        <w:t xml:space="preserve"> inhibited viability of </w:t>
      </w:r>
      <w:r w:rsidR="003316D0" w:rsidRPr="00DA32D9">
        <w:rPr>
          <w:sz w:val="20"/>
          <w:szCs w:val="20"/>
        </w:rPr>
        <w:t>gallbladder cancer (GC)</w:t>
      </w:r>
      <w:r w:rsidRPr="00DA32D9">
        <w:rPr>
          <w:sz w:val="20"/>
          <w:szCs w:val="20"/>
        </w:rPr>
        <w:t xml:space="preserve"> cells; </w:t>
      </w:r>
      <w:r w:rsidRPr="00DA32D9">
        <w:rPr>
          <w:bCs/>
          <w:sz w:val="20"/>
          <w:szCs w:val="20"/>
        </w:rPr>
        <w:t>B:</w:t>
      </w:r>
      <w:r w:rsidRPr="00DA32D9">
        <w:rPr>
          <w:sz w:val="20"/>
          <w:szCs w:val="20"/>
        </w:rPr>
        <w:t xml:space="preserve"> RECK inhibited cell invasion and migration; </w:t>
      </w:r>
      <w:r w:rsidRPr="00DA32D9">
        <w:rPr>
          <w:bCs/>
          <w:sz w:val="20"/>
          <w:szCs w:val="20"/>
        </w:rPr>
        <w:t>C:</w:t>
      </w:r>
      <w:r w:rsidRPr="00DA32D9">
        <w:rPr>
          <w:sz w:val="20"/>
          <w:szCs w:val="20"/>
        </w:rPr>
        <w:t xml:space="preserve"> Effects of exosomal </w:t>
      </w:r>
      <w:r w:rsidR="007A0863" w:rsidRPr="00DA32D9">
        <w:rPr>
          <w:sz w:val="20"/>
          <w:szCs w:val="20"/>
        </w:rPr>
        <w:t xml:space="preserve">microRNA </w:t>
      </w:r>
      <w:r w:rsidRPr="00DA32D9">
        <w:rPr>
          <w:sz w:val="20"/>
          <w:szCs w:val="20"/>
        </w:rPr>
        <w:t xml:space="preserve">182 on </w:t>
      </w:r>
      <w:r w:rsidR="007A0863" w:rsidRPr="00DA32D9">
        <w:rPr>
          <w:sz w:val="20"/>
          <w:szCs w:val="20"/>
        </w:rPr>
        <w:t>c</w:t>
      </w:r>
      <w:r w:rsidRPr="00DA32D9">
        <w:rPr>
          <w:sz w:val="20"/>
          <w:szCs w:val="20"/>
        </w:rPr>
        <w:t xml:space="preserve">aspase 3, </w:t>
      </w:r>
      <w:r w:rsidR="007A0863" w:rsidRPr="00DA32D9">
        <w:rPr>
          <w:sz w:val="20"/>
          <w:szCs w:val="20"/>
        </w:rPr>
        <w:t>c</w:t>
      </w:r>
      <w:r w:rsidRPr="00DA32D9">
        <w:rPr>
          <w:sz w:val="20"/>
          <w:szCs w:val="20"/>
        </w:rPr>
        <w:t xml:space="preserve">aspase 9, E-cadherin, </w:t>
      </w:r>
      <w:r w:rsidR="007A0863" w:rsidRPr="00DA32D9">
        <w:rPr>
          <w:sz w:val="20"/>
          <w:szCs w:val="20"/>
        </w:rPr>
        <w:t>B-cell lymphoma 2 (Bcl-2), Bcl-2-associated X protein</w:t>
      </w:r>
      <w:r w:rsidR="007A0863" w:rsidRPr="00DA32D9" w:rsidDel="007A0863">
        <w:rPr>
          <w:sz w:val="20"/>
          <w:szCs w:val="20"/>
        </w:rPr>
        <w:t xml:space="preserve"> </w:t>
      </w:r>
      <w:r w:rsidRPr="00DA32D9">
        <w:rPr>
          <w:sz w:val="20"/>
          <w:szCs w:val="20"/>
        </w:rPr>
        <w:t xml:space="preserve">N-cadherin, </w:t>
      </w:r>
      <w:r w:rsidR="007A0863" w:rsidRPr="00DA32D9">
        <w:rPr>
          <w:sz w:val="20"/>
          <w:szCs w:val="20"/>
        </w:rPr>
        <w:t xml:space="preserve">and </w:t>
      </w:r>
      <w:r w:rsidRPr="00DA32D9">
        <w:rPr>
          <w:sz w:val="20"/>
          <w:szCs w:val="20"/>
        </w:rPr>
        <w:sym w:font="Symbol" w:char="F062"/>
      </w:r>
      <w:r w:rsidRPr="00DA32D9">
        <w:rPr>
          <w:sz w:val="20"/>
          <w:szCs w:val="20"/>
        </w:rPr>
        <w:t>-catenin in GC cells;</w:t>
      </w:r>
      <w:r w:rsidR="00EB5BB5" w:rsidRPr="00DA32D9">
        <w:rPr>
          <w:sz w:val="20"/>
          <w:szCs w:val="20"/>
        </w:rPr>
        <w:t xml:space="preserve"> </w:t>
      </w:r>
      <w:r w:rsidRPr="00DA32D9">
        <w:rPr>
          <w:bCs/>
          <w:sz w:val="20"/>
          <w:szCs w:val="20"/>
        </w:rPr>
        <w:t>D:</w:t>
      </w:r>
      <w:r w:rsidRPr="00DA32D9">
        <w:rPr>
          <w:sz w:val="20"/>
          <w:szCs w:val="20"/>
        </w:rPr>
        <w:t xml:space="preserve"> RECK promoted apoptosis;</w:t>
      </w:r>
      <w:r w:rsidR="002B040B" w:rsidRPr="00DA32D9">
        <w:rPr>
          <w:sz w:val="20"/>
          <w:szCs w:val="20"/>
        </w:rPr>
        <w:t xml:space="preserve"> </w:t>
      </w:r>
      <w:r w:rsidR="00C85F08" w:rsidRPr="00DA32D9">
        <w:rPr>
          <w:sz w:val="20"/>
          <w:szCs w:val="20"/>
          <w:vertAlign w:val="superscript"/>
        </w:rPr>
        <w:t>a</w:t>
      </w:r>
      <w:r w:rsidRPr="00DA32D9">
        <w:rPr>
          <w:i/>
          <w:iCs/>
          <w:sz w:val="20"/>
          <w:szCs w:val="20"/>
        </w:rPr>
        <w:t>P</w:t>
      </w:r>
      <w:r w:rsidR="002B040B" w:rsidRPr="00DA32D9">
        <w:rPr>
          <w:i/>
          <w:iCs/>
          <w:sz w:val="20"/>
          <w:szCs w:val="20"/>
        </w:rPr>
        <w:t xml:space="preserve"> </w:t>
      </w:r>
      <w:r w:rsidRPr="00DA32D9">
        <w:rPr>
          <w:sz w:val="20"/>
          <w:szCs w:val="20"/>
        </w:rPr>
        <w:t>&lt;</w:t>
      </w:r>
      <w:r w:rsidR="002B040B" w:rsidRPr="00DA32D9">
        <w:rPr>
          <w:sz w:val="20"/>
          <w:szCs w:val="20"/>
        </w:rPr>
        <w:t xml:space="preserve"> </w:t>
      </w:r>
      <w:r w:rsidRPr="00DA32D9">
        <w:rPr>
          <w:sz w:val="20"/>
          <w:szCs w:val="20"/>
        </w:rPr>
        <w:t>0.05</w:t>
      </w:r>
      <w:r w:rsidR="002B040B" w:rsidRPr="00DA32D9">
        <w:rPr>
          <w:sz w:val="20"/>
          <w:szCs w:val="20"/>
        </w:rPr>
        <w:t xml:space="preserve">, </w:t>
      </w:r>
      <w:r w:rsidR="00A6346C" w:rsidRPr="00DA32D9">
        <w:rPr>
          <w:sz w:val="20"/>
          <w:szCs w:val="20"/>
        </w:rPr>
        <w:t xml:space="preserve">and </w:t>
      </w:r>
      <w:r w:rsidR="00C85F08" w:rsidRPr="00DA32D9">
        <w:rPr>
          <w:sz w:val="20"/>
          <w:szCs w:val="20"/>
          <w:vertAlign w:val="superscript"/>
        </w:rPr>
        <w:t>b</w:t>
      </w:r>
      <w:r w:rsidRPr="00DA32D9">
        <w:rPr>
          <w:i/>
          <w:iCs/>
          <w:sz w:val="20"/>
          <w:szCs w:val="20"/>
        </w:rPr>
        <w:t>P</w:t>
      </w:r>
      <w:r w:rsidR="002B040B" w:rsidRPr="00DA32D9">
        <w:rPr>
          <w:i/>
          <w:iCs/>
          <w:sz w:val="20"/>
          <w:szCs w:val="20"/>
        </w:rPr>
        <w:t xml:space="preserve"> </w:t>
      </w:r>
      <w:r w:rsidRPr="00DA32D9">
        <w:rPr>
          <w:sz w:val="20"/>
          <w:szCs w:val="20"/>
        </w:rPr>
        <w:t>&lt;</w:t>
      </w:r>
      <w:r w:rsidR="002B040B" w:rsidRPr="00DA32D9">
        <w:rPr>
          <w:sz w:val="20"/>
          <w:szCs w:val="20"/>
        </w:rPr>
        <w:t xml:space="preserve"> </w:t>
      </w:r>
      <w:r w:rsidRPr="00DA32D9">
        <w:rPr>
          <w:sz w:val="20"/>
          <w:szCs w:val="20"/>
        </w:rPr>
        <w:t>0.01</w:t>
      </w:r>
      <w:r w:rsidR="002B040B" w:rsidRPr="00DA32D9">
        <w:rPr>
          <w:sz w:val="20"/>
          <w:szCs w:val="20"/>
        </w:rPr>
        <w:t xml:space="preserve"> </w:t>
      </w:r>
      <w:r w:rsidR="002B040B" w:rsidRPr="00DA32D9">
        <w:rPr>
          <w:i/>
          <w:iCs/>
          <w:sz w:val="20"/>
          <w:szCs w:val="20"/>
        </w:rPr>
        <w:t>vs</w:t>
      </w:r>
      <w:r w:rsidRPr="00DA32D9">
        <w:rPr>
          <w:sz w:val="20"/>
          <w:szCs w:val="20"/>
        </w:rPr>
        <w:t xml:space="preserve"> the </w:t>
      </w:r>
      <w:r w:rsidR="007A0863" w:rsidRPr="00DA32D9">
        <w:rPr>
          <w:sz w:val="20"/>
          <w:szCs w:val="20"/>
        </w:rPr>
        <w:t>negative control</w:t>
      </w:r>
      <w:r w:rsidRPr="00DA32D9">
        <w:rPr>
          <w:sz w:val="20"/>
          <w:szCs w:val="20"/>
        </w:rPr>
        <w:t xml:space="preserve"> </w:t>
      </w:r>
      <w:r w:rsidR="00DA32D9">
        <w:rPr>
          <w:sz w:val="20"/>
          <w:szCs w:val="20"/>
        </w:rPr>
        <w:t xml:space="preserve">(NC) </w:t>
      </w:r>
      <w:r w:rsidRPr="00DA32D9">
        <w:rPr>
          <w:sz w:val="20"/>
          <w:szCs w:val="20"/>
        </w:rPr>
        <w:t>group.</w:t>
      </w:r>
      <w:r w:rsidRPr="00DA32D9">
        <w:rPr>
          <w:rFonts w:eastAsia="宋体" w:cs="Times New Roman"/>
          <w:kern w:val="0"/>
          <w:sz w:val="20"/>
          <w:szCs w:val="20"/>
        </w:rPr>
        <w:br w:type="page"/>
      </w:r>
    </w:p>
    <w:p w14:paraId="1C3FB62F" w14:textId="501276A8" w:rsidR="00035E5B" w:rsidRPr="00DA32D9" w:rsidRDefault="00DF70AC" w:rsidP="00DA32D9">
      <w:pPr>
        <w:snapToGrid w:val="0"/>
        <w:rPr>
          <w:rFonts w:eastAsia="宋体" w:cs="Times New Roman"/>
          <w:kern w:val="0"/>
          <w:sz w:val="20"/>
          <w:szCs w:val="20"/>
        </w:rPr>
      </w:pPr>
      <w:r w:rsidRPr="00DA32D9">
        <w:rPr>
          <w:noProof/>
          <w:sz w:val="20"/>
          <w:szCs w:val="20"/>
          <w:lang w:eastAsia="en-US"/>
        </w:rPr>
        <w:lastRenderedPageBreak/>
        <w:drawing>
          <wp:inline distT="0" distB="0" distL="0" distR="0" wp14:anchorId="6F5EE22C" wp14:editId="6ED54B2D">
            <wp:extent cx="4572000" cy="2895343"/>
            <wp:effectExtent l="0" t="0" r="0" b="63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9852" cy="2900316"/>
                    </a:xfrm>
                    <a:prstGeom prst="rect">
                      <a:avLst/>
                    </a:prstGeom>
                  </pic:spPr>
                </pic:pic>
              </a:graphicData>
            </a:graphic>
          </wp:inline>
        </w:drawing>
      </w:r>
    </w:p>
    <w:p w14:paraId="533CF068" w14:textId="2A6B9AED" w:rsidR="00035E5B" w:rsidRPr="00DA32D9" w:rsidRDefault="0019595D" w:rsidP="00DA32D9">
      <w:pPr>
        <w:snapToGrid w:val="0"/>
        <w:rPr>
          <w:rFonts w:eastAsia="宋体"/>
          <w:kern w:val="0"/>
          <w:sz w:val="20"/>
          <w:szCs w:val="20"/>
        </w:rPr>
      </w:pPr>
      <w:r w:rsidRPr="00DA32D9">
        <w:rPr>
          <w:b/>
          <w:bCs/>
          <w:sz w:val="20"/>
          <w:szCs w:val="20"/>
        </w:rPr>
        <w:t>Figure 6</w:t>
      </w:r>
      <w:r w:rsidR="00DF70AC" w:rsidRPr="00DA32D9">
        <w:rPr>
          <w:b/>
          <w:bCs/>
          <w:sz w:val="20"/>
          <w:szCs w:val="20"/>
        </w:rPr>
        <w:t xml:space="preserve"> </w:t>
      </w:r>
      <w:r w:rsidRPr="00DA32D9">
        <w:rPr>
          <w:b/>
          <w:bCs/>
          <w:sz w:val="20"/>
          <w:szCs w:val="20"/>
        </w:rPr>
        <w:t xml:space="preserve">MiR-182 targeted inhibition of </w:t>
      </w:r>
      <w:r w:rsidR="00E91F4B" w:rsidRPr="00DA32D9">
        <w:rPr>
          <w:rStyle w:val="st"/>
          <w:rFonts w:eastAsia="Times New Roman"/>
          <w:b/>
          <w:sz w:val="20"/>
          <w:szCs w:val="20"/>
        </w:rPr>
        <w:t>reversion-inducing-cysteine-rich protein with kazal motifs</w:t>
      </w:r>
      <w:r w:rsidR="00E91F4B" w:rsidRPr="00DA32D9">
        <w:rPr>
          <w:b/>
          <w:sz w:val="20"/>
          <w:szCs w:val="20"/>
        </w:rPr>
        <w:t xml:space="preserve"> </w:t>
      </w:r>
      <w:r w:rsidRPr="00DA32D9">
        <w:rPr>
          <w:b/>
          <w:bCs/>
          <w:sz w:val="20"/>
          <w:szCs w:val="20"/>
        </w:rPr>
        <w:t>expression.</w:t>
      </w:r>
      <w:r w:rsidRPr="00DA32D9">
        <w:rPr>
          <w:rFonts w:eastAsia="宋体"/>
          <w:kern w:val="0"/>
          <w:sz w:val="20"/>
          <w:szCs w:val="20"/>
        </w:rPr>
        <w:t xml:space="preserve"> </w:t>
      </w:r>
      <w:r w:rsidRPr="00DA32D9">
        <w:rPr>
          <w:sz w:val="20"/>
          <w:szCs w:val="20"/>
        </w:rPr>
        <w:t>A: Mi</w:t>
      </w:r>
      <w:r w:rsidR="00E91F4B" w:rsidRPr="00DA32D9">
        <w:rPr>
          <w:sz w:val="20"/>
          <w:szCs w:val="20"/>
        </w:rPr>
        <w:t xml:space="preserve">croRNA </w:t>
      </w:r>
      <w:r w:rsidRPr="00DA32D9">
        <w:rPr>
          <w:sz w:val="20"/>
          <w:szCs w:val="20"/>
        </w:rPr>
        <w:t>182</w:t>
      </w:r>
      <w:r w:rsidR="00E91F4B" w:rsidRPr="00DA32D9">
        <w:rPr>
          <w:sz w:val="20"/>
          <w:szCs w:val="20"/>
        </w:rPr>
        <w:t xml:space="preserve"> (miR-182)</w:t>
      </w:r>
      <w:r w:rsidRPr="00DA32D9">
        <w:rPr>
          <w:sz w:val="20"/>
          <w:szCs w:val="20"/>
        </w:rPr>
        <w:t xml:space="preserve"> had binding sites with </w:t>
      </w:r>
      <w:r w:rsidR="00E91F4B" w:rsidRPr="008001B6">
        <w:rPr>
          <w:rStyle w:val="st"/>
          <w:rFonts w:eastAsia="Times New Roman"/>
          <w:sz w:val="20"/>
          <w:szCs w:val="20"/>
        </w:rPr>
        <w:t>reversion-inducing-cysteine-rich protein with kazal motifs</w:t>
      </w:r>
      <w:r w:rsidR="00E91F4B" w:rsidRPr="008001B6">
        <w:rPr>
          <w:sz w:val="20"/>
          <w:szCs w:val="20"/>
        </w:rPr>
        <w:t xml:space="preserve"> (</w:t>
      </w:r>
      <w:r w:rsidRPr="00DA32D9">
        <w:rPr>
          <w:sz w:val="20"/>
          <w:szCs w:val="20"/>
        </w:rPr>
        <w:t>RECK</w:t>
      </w:r>
      <w:r w:rsidR="00E91F4B" w:rsidRPr="00DA32D9">
        <w:rPr>
          <w:sz w:val="20"/>
          <w:szCs w:val="20"/>
        </w:rPr>
        <w:t>)</w:t>
      </w:r>
      <w:r w:rsidRPr="00DA32D9">
        <w:rPr>
          <w:sz w:val="20"/>
          <w:szCs w:val="20"/>
        </w:rPr>
        <w:t xml:space="preserve"> mRNA; B</w:t>
      </w:r>
      <w:r w:rsidR="00DF70AC" w:rsidRPr="00DA32D9">
        <w:rPr>
          <w:sz w:val="20"/>
          <w:szCs w:val="20"/>
        </w:rPr>
        <w:t xml:space="preserve"> and </w:t>
      </w:r>
      <w:r w:rsidRPr="00DA32D9">
        <w:rPr>
          <w:sz w:val="20"/>
          <w:szCs w:val="20"/>
        </w:rPr>
        <w:t>C: Double luciferase reporter gene assay verified the targeting relationship between miR-182 and RECK; D: MiR-182 was negatively correlated with RECK protein.</w:t>
      </w:r>
      <w:r w:rsidR="00DA32D9">
        <w:rPr>
          <w:sz w:val="20"/>
          <w:szCs w:val="20"/>
        </w:rPr>
        <w:t xml:space="preserve"> NC: Negative control.</w:t>
      </w:r>
    </w:p>
    <w:p w14:paraId="63DF9C9F" w14:textId="77777777" w:rsidR="00035E5B" w:rsidRPr="00DA32D9" w:rsidRDefault="00035E5B" w:rsidP="00DA32D9">
      <w:pPr>
        <w:snapToGrid w:val="0"/>
        <w:rPr>
          <w:b/>
          <w:sz w:val="20"/>
          <w:szCs w:val="20"/>
        </w:rPr>
      </w:pPr>
    </w:p>
    <w:p w14:paraId="14886D9C" w14:textId="21B99788" w:rsidR="00035E5B" w:rsidRPr="00DA32D9" w:rsidRDefault="00B83269" w:rsidP="00DA32D9">
      <w:pPr>
        <w:snapToGrid w:val="0"/>
        <w:rPr>
          <w:rFonts w:eastAsia="宋体" w:cs="Times New Roman"/>
          <w:kern w:val="0"/>
          <w:sz w:val="20"/>
          <w:szCs w:val="20"/>
        </w:rPr>
      </w:pPr>
      <w:r w:rsidRPr="00DA32D9">
        <w:rPr>
          <w:noProof/>
          <w:sz w:val="20"/>
          <w:szCs w:val="20"/>
          <w:lang w:eastAsia="en-US"/>
        </w:rPr>
        <w:lastRenderedPageBreak/>
        <w:drawing>
          <wp:inline distT="0" distB="0" distL="0" distR="0" wp14:anchorId="67F6F174" wp14:editId="040C72B2">
            <wp:extent cx="5207221" cy="6949440"/>
            <wp:effectExtent l="0" t="0" r="0" b="381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08912" cy="6951697"/>
                    </a:xfrm>
                    <a:prstGeom prst="rect">
                      <a:avLst/>
                    </a:prstGeom>
                  </pic:spPr>
                </pic:pic>
              </a:graphicData>
            </a:graphic>
          </wp:inline>
        </w:drawing>
      </w:r>
    </w:p>
    <w:p w14:paraId="455CF1BF" w14:textId="3B0AD485" w:rsidR="00035E5B" w:rsidRPr="00DA32D9" w:rsidRDefault="0019595D" w:rsidP="00DA32D9">
      <w:pPr>
        <w:snapToGrid w:val="0"/>
        <w:rPr>
          <w:rFonts w:eastAsia="宋体"/>
          <w:kern w:val="0"/>
          <w:sz w:val="20"/>
          <w:szCs w:val="20"/>
        </w:rPr>
      </w:pPr>
      <w:r w:rsidRPr="00DA32D9">
        <w:rPr>
          <w:b/>
          <w:sz w:val="20"/>
          <w:szCs w:val="20"/>
        </w:rPr>
        <w:t>Figure 7</w:t>
      </w:r>
      <w:r w:rsidR="000D4118" w:rsidRPr="00DA32D9">
        <w:rPr>
          <w:b/>
          <w:sz w:val="20"/>
          <w:szCs w:val="20"/>
        </w:rPr>
        <w:t xml:space="preserve"> </w:t>
      </w:r>
      <w:r w:rsidRPr="00DA32D9">
        <w:rPr>
          <w:b/>
          <w:sz w:val="20"/>
          <w:szCs w:val="20"/>
        </w:rPr>
        <w:t>Rescue experiment.</w:t>
      </w:r>
      <w:r w:rsidRPr="00DA32D9">
        <w:rPr>
          <w:rFonts w:eastAsia="宋体"/>
          <w:kern w:val="0"/>
          <w:sz w:val="20"/>
          <w:szCs w:val="20"/>
        </w:rPr>
        <w:t xml:space="preserve"> </w:t>
      </w:r>
      <w:r w:rsidRPr="00DA32D9">
        <w:rPr>
          <w:bCs/>
          <w:sz w:val="20"/>
          <w:szCs w:val="20"/>
        </w:rPr>
        <w:t>A:</w:t>
      </w:r>
      <w:r w:rsidRPr="00DA32D9">
        <w:rPr>
          <w:sz w:val="20"/>
          <w:szCs w:val="20"/>
        </w:rPr>
        <w:t xml:space="preserve"> Viability comparison of </w:t>
      </w:r>
      <w:r w:rsidR="00237939" w:rsidRPr="00DA32D9">
        <w:rPr>
          <w:sz w:val="20"/>
          <w:szCs w:val="20"/>
        </w:rPr>
        <w:t>gallbladder cancer</w:t>
      </w:r>
      <w:r w:rsidRPr="00DA32D9">
        <w:rPr>
          <w:sz w:val="20"/>
          <w:szCs w:val="20"/>
        </w:rPr>
        <w:t xml:space="preserve"> cells in each group;</w:t>
      </w:r>
      <w:r w:rsidR="00237939" w:rsidRPr="00DA32D9">
        <w:rPr>
          <w:sz w:val="20"/>
          <w:szCs w:val="20"/>
        </w:rPr>
        <w:t xml:space="preserve"> </w:t>
      </w:r>
      <w:r w:rsidRPr="00DA32D9">
        <w:rPr>
          <w:bCs/>
          <w:sz w:val="20"/>
          <w:szCs w:val="20"/>
        </w:rPr>
        <w:t>B:</w:t>
      </w:r>
      <w:r w:rsidRPr="00DA32D9">
        <w:rPr>
          <w:sz w:val="20"/>
          <w:szCs w:val="20"/>
        </w:rPr>
        <w:t xml:space="preserve"> Comparison of cell invasion in each group; </w:t>
      </w:r>
      <w:r w:rsidRPr="00DA32D9">
        <w:rPr>
          <w:bCs/>
          <w:sz w:val="20"/>
          <w:szCs w:val="20"/>
        </w:rPr>
        <w:t>C:</w:t>
      </w:r>
      <w:r w:rsidRPr="00DA32D9">
        <w:rPr>
          <w:sz w:val="20"/>
          <w:szCs w:val="20"/>
        </w:rPr>
        <w:t xml:space="preserve"> Comparison of EH-GB1 cell</w:t>
      </w:r>
      <w:r w:rsidR="00E91F4B" w:rsidRPr="00DA32D9">
        <w:rPr>
          <w:sz w:val="20"/>
          <w:szCs w:val="20"/>
        </w:rPr>
        <w:t>-</w:t>
      </w:r>
      <w:r w:rsidRPr="00DA32D9">
        <w:rPr>
          <w:sz w:val="20"/>
          <w:szCs w:val="20"/>
        </w:rPr>
        <w:t xml:space="preserve">related proteins in each group; </w:t>
      </w:r>
      <w:r w:rsidRPr="00DA32D9">
        <w:rPr>
          <w:bCs/>
          <w:sz w:val="20"/>
          <w:szCs w:val="20"/>
        </w:rPr>
        <w:t>D:</w:t>
      </w:r>
      <w:r w:rsidRPr="00DA32D9">
        <w:rPr>
          <w:sz w:val="20"/>
          <w:szCs w:val="20"/>
        </w:rPr>
        <w:t xml:space="preserve"> Comparison of apoptosis in each group</w:t>
      </w:r>
      <w:r w:rsidR="006F2D7B" w:rsidRPr="00DA32D9">
        <w:rPr>
          <w:sz w:val="20"/>
          <w:szCs w:val="20"/>
        </w:rPr>
        <w:t>.</w:t>
      </w:r>
      <w:r w:rsidRPr="00DA32D9">
        <w:rPr>
          <w:sz w:val="20"/>
          <w:szCs w:val="20"/>
        </w:rPr>
        <w:t xml:space="preserve"> </w:t>
      </w:r>
      <w:r w:rsidR="00C85F08" w:rsidRPr="00DA32D9">
        <w:rPr>
          <w:sz w:val="20"/>
          <w:szCs w:val="20"/>
          <w:vertAlign w:val="superscript"/>
        </w:rPr>
        <w:t>a</w:t>
      </w:r>
      <w:r w:rsidRPr="00DA32D9">
        <w:rPr>
          <w:i/>
          <w:iCs/>
          <w:sz w:val="20"/>
          <w:szCs w:val="20"/>
        </w:rPr>
        <w:t>P</w:t>
      </w:r>
      <w:r w:rsidR="000D4118" w:rsidRPr="00DA32D9">
        <w:rPr>
          <w:i/>
          <w:iCs/>
          <w:sz w:val="20"/>
          <w:szCs w:val="20"/>
        </w:rPr>
        <w:t xml:space="preserve"> </w:t>
      </w:r>
      <w:r w:rsidRPr="00DA32D9">
        <w:rPr>
          <w:sz w:val="20"/>
          <w:szCs w:val="20"/>
        </w:rPr>
        <w:t>&lt;</w:t>
      </w:r>
      <w:r w:rsidR="000D4118" w:rsidRPr="00DA32D9">
        <w:rPr>
          <w:sz w:val="20"/>
          <w:szCs w:val="20"/>
        </w:rPr>
        <w:t xml:space="preserve"> </w:t>
      </w:r>
      <w:r w:rsidRPr="00DA32D9">
        <w:rPr>
          <w:sz w:val="20"/>
          <w:szCs w:val="20"/>
        </w:rPr>
        <w:t xml:space="preserve">0.05 </w:t>
      </w:r>
      <w:r w:rsidR="006F2D7B" w:rsidRPr="00DA32D9">
        <w:rPr>
          <w:i/>
          <w:iCs/>
          <w:sz w:val="20"/>
          <w:szCs w:val="20"/>
        </w:rPr>
        <w:t>vs</w:t>
      </w:r>
      <w:r w:rsidRPr="00DA32D9">
        <w:rPr>
          <w:sz w:val="20"/>
          <w:szCs w:val="20"/>
        </w:rPr>
        <w:t xml:space="preserve"> the </w:t>
      </w:r>
      <w:r w:rsidR="00E91F4B" w:rsidRPr="00DA32D9">
        <w:rPr>
          <w:sz w:val="20"/>
          <w:szCs w:val="20"/>
        </w:rPr>
        <w:t xml:space="preserve">negative control </w:t>
      </w:r>
      <w:r w:rsidR="009C0E9B">
        <w:rPr>
          <w:sz w:val="20"/>
          <w:szCs w:val="20"/>
        </w:rPr>
        <w:t xml:space="preserve">(NC) </w:t>
      </w:r>
      <w:r w:rsidRPr="00DA32D9">
        <w:rPr>
          <w:sz w:val="20"/>
          <w:szCs w:val="20"/>
        </w:rPr>
        <w:t xml:space="preserve">group. </w:t>
      </w:r>
      <w:r w:rsidR="006F2D7B" w:rsidRPr="00DA32D9">
        <w:rPr>
          <w:sz w:val="20"/>
          <w:szCs w:val="20"/>
          <w:vertAlign w:val="superscript"/>
        </w:rPr>
        <w:t>c</w:t>
      </w:r>
      <w:r w:rsidRPr="00DA32D9">
        <w:rPr>
          <w:i/>
          <w:iCs/>
          <w:sz w:val="20"/>
          <w:szCs w:val="20"/>
        </w:rPr>
        <w:t>P</w:t>
      </w:r>
      <w:r w:rsidR="006F2D7B" w:rsidRPr="00DA32D9">
        <w:rPr>
          <w:i/>
          <w:iCs/>
          <w:sz w:val="20"/>
          <w:szCs w:val="20"/>
        </w:rPr>
        <w:t xml:space="preserve"> </w:t>
      </w:r>
      <w:r w:rsidRPr="00DA32D9">
        <w:rPr>
          <w:sz w:val="20"/>
          <w:szCs w:val="20"/>
        </w:rPr>
        <w:t>&lt;</w:t>
      </w:r>
      <w:r w:rsidR="006F2D7B" w:rsidRPr="00DA32D9">
        <w:rPr>
          <w:sz w:val="20"/>
          <w:szCs w:val="20"/>
        </w:rPr>
        <w:t xml:space="preserve"> </w:t>
      </w:r>
      <w:r w:rsidRPr="00DA32D9">
        <w:rPr>
          <w:sz w:val="20"/>
          <w:szCs w:val="20"/>
        </w:rPr>
        <w:t>0.05</w:t>
      </w:r>
      <w:r w:rsidR="00C85F08" w:rsidRPr="00DA32D9">
        <w:rPr>
          <w:sz w:val="20"/>
          <w:szCs w:val="20"/>
        </w:rPr>
        <w:t>,</w:t>
      </w:r>
      <w:r w:rsidR="006F2D7B" w:rsidRPr="00DA32D9">
        <w:rPr>
          <w:sz w:val="20"/>
          <w:szCs w:val="20"/>
        </w:rPr>
        <w:t xml:space="preserve"> </w:t>
      </w:r>
      <w:r w:rsidR="006F2D7B" w:rsidRPr="00DA32D9">
        <w:rPr>
          <w:sz w:val="20"/>
          <w:szCs w:val="20"/>
          <w:vertAlign w:val="superscript"/>
        </w:rPr>
        <w:t>d</w:t>
      </w:r>
      <w:r w:rsidRPr="00DA32D9">
        <w:rPr>
          <w:i/>
          <w:iCs/>
          <w:sz w:val="20"/>
          <w:szCs w:val="20"/>
        </w:rPr>
        <w:t>P</w:t>
      </w:r>
      <w:r w:rsidR="006F2D7B" w:rsidRPr="00DA32D9">
        <w:rPr>
          <w:i/>
          <w:iCs/>
          <w:sz w:val="20"/>
          <w:szCs w:val="20"/>
        </w:rPr>
        <w:t xml:space="preserve"> </w:t>
      </w:r>
      <w:r w:rsidRPr="00DA32D9">
        <w:rPr>
          <w:sz w:val="20"/>
          <w:szCs w:val="20"/>
        </w:rPr>
        <w:t>&lt;</w:t>
      </w:r>
      <w:r w:rsidR="006F2D7B" w:rsidRPr="00DA32D9">
        <w:rPr>
          <w:sz w:val="20"/>
          <w:szCs w:val="20"/>
        </w:rPr>
        <w:t xml:space="preserve"> </w:t>
      </w:r>
      <w:r w:rsidRPr="00DA32D9">
        <w:rPr>
          <w:sz w:val="20"/>
          <w:szCs w:val="20"/>
        </w:rPr>
        <w:t>0.01</w:t>
      </w:r>
      <w:r w:rsidR="006F2D7B" w:rsidRPr="00DA32D9">
        <w:rPr>
          <w:sz w:val="20"/>
          <w:szCs w:val="20"/>
        </w:rPr>
        <w:t>,</w:t>
      </w:r>
      <w:r w:rsidR="00C85F08" w:rsidRPr="00DA32D9">
        <w:rPr>
          <w:sz w:val="20"/>
          <w:szCs w:val="20"/>
        </w:rPr>
        <w:t xml:space="preserve"> and </w:t>
      </w:r>
      <w:r w:rsidR="00C85F08" w:rsidRPr="00DA32D9">
        <w:rPr>
          <w:sz w:val="20"/>
          <w:szCs w:val="20"/>
          <w:vertAlign w:val="superscript"/>
        </w:rPr>
        <w:t>f</w:t>
      </w:r>
      <w:r w:rsidR="00C85F08" w:rsidRPr="00DA32D9">
        <w:rPr>
          <w:i/>
          <w:iCs/>
          <w:sz w:val="20"/>
          <w:szCs w:val="20"/>
        </w:rPr>
        <w:t>P</w:t>
      </w:r>
      <w:r w:rsidR="006F2D7B" w:rsidRPr="00DA32D9">
        <w:rPr>
          <w:i/>
          <w:iCs/>
          <w:sz w:val="20"/>
          <w:szCs w:val="20"/>
        </w:rPr>
        <w:t xml:space="preserve"> </w:t>
      </w:r>
      <w:r w:rsidR="00C85F08" w:rsidRPr="00DA32D9">
        <w:rPr>
          <w:sz w:val="20"/>
          <w:szCs w:val="20"/>
        </w:rPr>
        <w:t>&lt;</w:t>
      </w:r>
      <w:r w:rsidR="006F2D7B" w:rsidRPr="00DA32D9">
        <w:rPr>
          <w:sz w:val="20"/>
          <w:szCs w:val="20"/>
        </w:rPr>
        <w:t xml:space="preserve"> </w:t>
      </w:r>
      <w:r w:rsidR="00C85F08" w:rsidRPr="00DA32D9">
        <w:rPr>
          <w:sz w:val="20"/>
          <w:szCs w:val="20"/>
        </w:rPr>
        <w:t>0.001</w:t>
      </w:r>
      <w:r w:rsidRPr="00DA32D9">
        <w:rPr>
          <w:sz w:val="20"/>
          <w:szCs w:val="20"/>
        </w:rPr>
        <w:t xml:space="preserve"> </w:t>
      </w:r>
      <w:r w:rsidR="006F2D7B" w:rsidRPr="00DA32D9">
        <w:rPr>
          <w:i/>
          <w:iCs/>
          <w:sz w:val="20"/>
          <w:szCs w:val="20"/>
        </w:rPr>
        <w:t>vs</w:t>
      </w:r>
      <w:r w:rsidRPr="00DA32D9">
        <w:rPr>
          <w:sz w:val="20"/>
          <w:szCs w:val="20"/>
        </w:rPr>
        <w:t xml:space="preserve"> exosomal mi</w:t>
      </w:r>
      <w:r w:rsidR="00E91F4B" w:rsidRPr="00DA32D9">
        <w:rPr>
          <w:sz w:val="20"/>
          <w:szCs w:val="20"/>
        </w:rPr>
        <w:t xml:space="preserve">croRNA </w:t>
      </w:r>
      <w:r w:rsidRPr="00DA32D9">
        <w:rPr>
          <w:sz w:val="20"/>
          <w:szCs w:val="20"/>
        </w:rPr>
        <w:t>182 group</w:t>
      </w:r>
      <w:r w:rsidR="00DA32D9">
        <w:rPr>
          <w:sz w:val="20"/>
          <w:szCs w:val="20"/>
        </w:rPr>
        <w:t>.</w:t>
      </w:r>
      <w:r w:rsidR="00DA32D9" w:rsidRPr="00DA32D9" w:rsidDel="00DA32D9">
        <w:rPr>
          <w:sz w:val="20"/>
          <w:szCs w:val="20"/>
        </w:rPr>
        <w:t xml:space="preserve"> </w:t>
      </w:r>
      <w:bookmarkEnd w:id="0"/>
      <w:bookmarkEnd w:id="36"/>
      <w:r w:rsidRPr="00DA32D9">
        <w:rPr>
          <w:b/>
          <w:bCs/>
          <w:sz w:val="20"/>
          <w:szCs w:val="20"/>
        </w:rPr>
        <w:br w:type="page"/>
      </w:r>
    </w:p>
    <w:p w14:paraId="19B30B06" w14:textId="3FF983B2" w:rsidR="00035E5B" w:rsidRPr="00DA32D9" w:rsidRDefault="0019595D" w:rsidP="00DA32D9">
      <w:pPr>
        <w:snapToGrid w:val="0"/>
        <w:rPr>
          <w:rFonts w:eastAsia="宋体"/>
          <w:b/>
          <w:bCs/>
          <w:sz w:val="20"/>
          <w:szCs w:val="20"/>
        </w:rPr>
      </w:pPr>
      <w:r w:rsidRPr="00DA32D9">
        <w:rPr>
          <w:b/>
          <w:bCs/>
          <w:sz w:val="20"/>
          <w:szCs w:val="20"/>
        </w:rPr>
        <w:lastRenderedPageBreak/>
        <w:t>Table 1</w:t>
      </w:r>
      <w:r w:rsidR="000D2DC7" w:rsidRPr="00DA32D9">
        <w:rPr>
          <w:b/>
          <w:bCs/>
          <w:sz w:val="20"/>
          <w:szCs w:val="20"/>
        </w:rPr>
        <w:t xml:space="preserve"> </w:t>
      </w:r>
      <w:r w:rsidRPr="00DA32D9">
        <w:rPr>
          <w:b/>
          <w:bCs/>
          <w:sz w:val="20"/>
          <w:szCs w:val="20"/>
        </w:rPr>
        <w:t>Primer sequences</w:t>
      </w:r>
    </w:p>
    <w:tbl>
      <w:tblPr>
        <w:tblStyle w:val="ad"/>
        <w:tblW w:w="9356"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4111"/>
        <w:gridCol w:w="3827"/>
      </w:tblGrid>
      <w:tr w:rsidR="00035E5B" w:rsidRPr="00DA32D9" w14:paraId="2FA80AB7" w14:textId="77777777" w:rsidTr="000D2DC7">
        <w:trPr>
          <w:trHeight w:val="360"/>
        </w:trPr>
        <w:tc>
          <w:tcPr>
            <w:tcW w:w="1418" w:type="dxa"/>
            <w:tcBorders>
              <w:top w:val="single" w:sz="12" w:space="0" w:color="auto"/>
              <w:bottom w:val="single" w:sz="12" w:space="0" w:color="auto"/>
            </w:tcBorders>
          </w:tcPr>
          <w:p w14:paraId="04BAA878" w14:textId="77777777" w:rsidR="00035E5B" w:rsidRPr="00DA32D9" w:rsidRDefault="00035E5B" w:rsidP="00DA32D9">
            <w:pPr>
              <w:snapToGrid w:val="0"/>
              <w:rPr>
                <w:rFonts w:eastAsia="宋体" w:cs="Times New Roman"/>
                <w:sz w:val="20"/>
                <w:szCs w:val="20"/>
              </w:rPr>
            </w:pPr>
          </w:p>
        </w:tc>
        <w:tc>
          <w:tcPr>
            <w:tcW w:w="4111" w:type="dxa"/>
            <w:tcBorders>
              <w:top w:val="single" w:sz="12" w:space="0" w:color="auto"/>
              <w:bottom w:val="single" w:sz="12" w:space="0" w:color="auto"/>
            </w:tcBorders>
          </w:tcPr>
          <w:p w14:paraId="606BB7B5" w14:textId="58BAF717" w:rsidR="00035E5B" w:rsidRPr="00DA32D9" w:rsidRDefault="0019595D" w:rsidP="00DA32D9">
            <w:pPr>
              <w:snapToGrid w:val="0"/>
              <w:rPr>
                <w:rFonts w:eastAsia="宋体" w:cs="Times New Roman"/>
                <w:b/>
                <w:bCs/>
                <w:sz w:val="20"/>
                <w:szCs w:val="20"/>
              </w:rPr>
            </w:pPr>
            <w:r w:rsidRPr="00DA32D9">
              <w:rPr>
                <w:rFonts w:eastAsia="宋体" w:cs="Times New Roman"/>
                <w:b/>
                <w:bCs/>
                <w:sz w:val="20"/>
                <w:szCs w:val="20"/>
              </w:rPr>
              <w:t>Upstream primer</w:t>
            </w:r>
            <w:r w:rsidR="000D2DC7" w:rsidRPr="00DA32D9">
              <w:rPr>
                <w:rFonts w:eastAsia="宋体" w:cs="Times New Roman"/>
                <w:b/>
                <w:bCs/>
                <w:sz w:val="20"/>
                <w:szCs w:val="20"/>
              </w:rPr>
              <w:t xml:space="preserve"> </w:t>
            </w:r>
            <w:r w:rsidRPr="00DA32D9">
              <w:rPr>
                <w:rFonts w:eastAsia="宋体" w:cs="Times New Roman"/>
                <w:b/>
                <w:bCs/>
                <w:sz w:val="20"/>
                <w:szCs w:val="20"/>
              </w:rPr>
              <w:t>(5’</w:t>
            </w:r>
            <w:r w:rsidRPr="008001B6">
              <w:rPr>
                <w:rFonts w:ascii="Times New Roman" w:eastAsia="宋体" w:hAnsi="Times New Roman" w:cs="Times New Roman" w:hint="eastAsia"/>
                <w:b/>
                <w:bCs/>
                <w:sz w:val="20"/>
                <w:szCs w:val="20"/>
              </w:rPr>
              <w:t>→</w:t>
            </w:r>
            <w:r w:rsidRPr="00DA32D9">
              <w:rPr>
                <w:rFonts w:eastAsia="宋体" w:cs="Times New Roman"/>
                <w:b/>
                <w:bCs/>
                <w:sz w:val="20"/>
                <w:szCs w:val="20"/>
              </w:rPr>
              <w:t>3’)</w:t>
            </w:r>
          </w:p>
        </w:tc>
        <w:tc>
          <w:tcPr>
            <w:tcW w:w="3827" w:type="dxa"/>
            <w:tcBorders>
              <w:top w:val="single" w:sz="12" w:space="0" w:color="auto"/>
              <w:bottom w:val="single" w:sz="12" w:space="0" w:color="auto"/>
            </w:tcBorders>
          </w:tcPr>
          <w:p w14:paraId="1F7391AB" w14:textId="77777777" w:rsidR="00035E5B" w:rsidRPr="00DA32D9" w:rsidRDefault="0019595D" w:rsidP="00DA32D9">
            <w:pPr>
              <w:snapToGrid w:val="0"/>
              <w:rPr>
                <w:rFonts w:eastAsia="宋体" w:cs="Times New Roman"/>
                <w:b/>
                <w:bCs/>
                <w:sz w:val="20"/>
                <w:szCs w:val="20"/>
              </w:rPr>
            </w:pPr>
            <w:r w:rsidRPr="00DA32D9">
              <w:rPr>
                <w:rFonts w:eastAsia="宋体" w:cs="Times New Roman"/>
                <w:b/>
                <w:bCs/>
                <w:sz w:val="20"/>
                <w:szCs w:val="20"/>
              </w:rPr>
              <w:t>Downstream primer (5'</w:t>
            </w:r>
            <w:r w:rsidRPr="008001B6">
              <w:rPr>
                <w:rFonts w:ascii="Times New Roman" w:eastAsia="宋体" w:hAnsi="Times New Roman" w:cs="Times New Roman" w:hint="eastAsia"/>
                <w:b/>
                <w:bCs/>
                <w:sz w:val="20"/>
                <w:szCs w:val="20"/>
              </w:rPr>
              <w:t>→</w:t>
            </w:r>
            <w:r w:rsidRPr="00DA32D9">
              <w:rPr>
                <w:rFonts w:eastAsia="宋体" w:cs="Times New Roman"/>
                <w:b/>
                <w:bCs/>
                <w:sz w:val="20"/>
                <w:szCs w:val="20"/>
              </w:rPr>
              <w:t>3')</w:t>
            </w:r>
          </w:p>
        </w:tc>
      </w:tr>
      <w:tr w:rsidR="00035E5B" w:rsidRPr="00DA32D9" w14:paraId="572BED6C" w14:textId="77777777" w:rsidTr="000D2DC7">
        <w:trPr>
          <w:trHeight w:val="373"/>
        </w:trPr>
        <w:tc>
          <w:tcPr>
            <w:tcW w:w="1418" w:type="dxa"/>
            <w:tcBorders>
              <w:top w:val="single" w:sz="12" w:space="0" w:color="auto"/>
            </w:tcBorders>
          </w:tcPr>
          <w:p w14:paraId="5CAFCDCB" w14:textId="77777777" w:rsidR="00035E5B" w:rsidRPr="00DA32D9" w:rsidRDefault="0019595D" w:rsidP="00DA32D9">
            <w:pPr>
              <w:snapToGrid w:val="0"/>
              <w:rPr>
                <w:rFonts w:eastAsia="宋体" w:cs="Times New Roman"/>
                <w:i/>
                <w:iCs/>
                <w:sz w:val="20"/>
                <w:szCs w:val="20"/>
              </w:rPr>
            </w:pPr>
            <w:r w:rsidRPr="00DA32D9">
              <w:rPr>
                <w:rFonts w:eastAsia="宋体" w:cs="Times New Roman"/>
                <w:i/>
                <w:iCs/>
                <w:sz w:val="20"/>
                <w:szCs w:val="20"/>
              </w:rPr>
              <w:t>miR-182</w:t>
            </w:r>
          </w:p>
        </w:tc>
        <w:tc>
          <w:tcPr>
            <w:tcW w:w="4111" w:type="dxa"/>
            <w:tcBorders>
              <w:top w:val="single" w:sz="12" w:space="0" w:color="auto"/>
            </w:tcBorders>
          </w:tcPr>
          <w:p w14:paraId="5F76D13E" w14:textId="77777777" w:rsidR="00035E5B" w:rsidRPr="00DA32D9" w:rsidRDefault="0019595D" w:rsidP="00DA32D9">
            <w:pPr>
              <w:snapToGrid w:val="0"/>
              <w:rPr>
                <w:rFonts w:eastAsia="宋体" w:cs="Times New Roman"/>
                <w:sz w:val="20"/>
                <w:szCs w:val="20"/>
              </w:rPr>
            </w:pPr>
            <w:r w:rsidRPr="00DA32D9">
              <w:rPr>
                <w:rFonts w:eastAsia="宋体" w:cs="Times New Roman"/>
                <w:sz w:val="20"/>
                <w:szCs w:val="20"/>
              </w:rPr>
              <w:t>TGCGGTTTGGCAATGGTAGAAC</w:t>
            </w:r>
          </w:p>
        </w:tc>
        <w:tc>
          <w:tcPr>
            <w:tcW w:w="3827" w:type="dxa"/>
            <w:tcBorders>
              <w:top w:val="single" w:sz="12" w:space="0" w:color="auto"/>
            </w:tcBorders>
          </w:tcPr>
          <w:p w14:paraId="6C4611F6" w14:textId="77777777" w:rsidR="00035E5B" w:rsidRPr="00DA32D9" w:rsidRDefault="0019595D" w:rsidP="00DA32D9">
            <w:pPr>
              <w:snapToGrid w:val="0"/>
              <w:rPr>
                <w:rFonts w:eastAsia="宋体" w:cs="Times New Roman"/>
                <w:sz w:val="20"/>
                <w:szCs w:val="20"/>
              </w:rPr>
            </w:pPr>
            <w:r w:rsidRPr="00DA32D9">
              <w:rPr>
                <w:rFonts w:eastAsia="宋体" w:cs="Times New Roman"/>
                <w:sz w:val="20"/>
                <w:szCs w:val="20"/>
              </w:rPr>
              <w:t>CCAGTGCAGGGTCCGAGGT</w:t>
            </w:r>
          </w:p>
        </w:tc>
      </w:tr>
      <w:tr w:rsidR="00035E5B" w:rsidRPr="00DA32D9" w14:paraId="42FB0BD6" w14:textId="77777777" w:rsidTr="000D2DC7">
        <w:trPr>
          <w:trHeight w:val="339"/>
        </w:trPr>
        <w:tc>
          <w:tcPr>
            <w:tcW w:w="1418" w:type="dxa"/>
          </w:tcPr>
          <w:p w14:paraId="4B40272B" w14:textId="77777777" w:rsidR="00035E5B" w:rsidRPr="00DA32D9" w:rsidRDefault="0019595D" w:rsidP="00DA32D9">
            <w:pPr>
              <w:snapToGrid w:val="0"/>
              <w:rPr>
                <w:rFonts w:eastAsia="宋体" w:cs="Times New Roman"/>
                <w:i/>
                <w:iCs/>
                <w:sz w:val="20"/>
                <w:szCs w:val="20"/>
              </w:rPr>
            </w:pPr>
            <w:r w:rsidRPr="00DA32D9">
              <w:rPr>
                <w:rFonts w:eastAsia="宋体" w:cs="Times New Roman"/>
                <w:i/>
                <w:iCs/>
                <w:sz w:val="20"/>
                <w:szCs w:val="20"/>
              </w:rPr>
              <w:t>RECK</w:t>
            </w:r>
          </w:p>
        </w:tc>
        <w:tc>
          <w:tcPr>
            <w:tcW w:w="4111" w:type="dxa"/>
          </w:tcPr>
          <w:p w14:paraId="772B7BC7" w14:textId="77777777" w:rsidR="00035E5B" w:rsidRPr="00DA32D9" w:rsidRDefault="0019595D" w:rsidP="00DA32D9">
            <w:pPr>
              <w:snapToGrid w:val="0"/>
              <w:rPr>
                <w:rFonts w:eastAsia="宋体" w:cs="Times New Roman"/>
                <w:sz w:val="20"/>
                <w:szCs w:val="20"/>
              </w:rPr>
            </w:pPr>
            <w:r w:rsidRPr="00DA32D9">
              <w:rPr>
                <w:rFonts w:eastAsia="宋体" w:cs="Times New Roman"/>
                <w:sz w:val="20"/>
                <w:szCs w:val="20"/>
              </w:rPr>
              <w:t>TCTGCAGGGGAAGTTGGTTG</w:t>
            </w:r>
          </w:p>
        </w:tc>
        <w:tc>
          <w:tcPr>
            <w:tcW w:w="3827" w:type="dxa"/>
          </w:tcPr>
          <w:p w14:paraId="5A38755B" w14:textId="77777777" w:rsidR="00035E5B" w:rsidRPr="00DA32D9" w:rsidRDefault="0019595D" w:rsidP="00DA32D9">
            <w:pPr>
              <w:snapToGrid w:val="0"/>
              <w:rPr>
                <w:rFonts w:eastAsia="宋体" w:cs="Times New Roman"/>
                <w:sz w:val="20"/>
                <w:szCs w:val="20"/>
              </w:rPr>
            </w:pPr>
            <w:r w:rsidRPr="00DA32D9">
              <w:rPr>
                <w:rFonts w:eastAsia="宋体" w:cs="Times New Roman"/>
                <w:sz w:val="20"/>
                <w:szCs w:val="20"/>
              </w:rPr>
              <w:t>CAGTTACAGGGCAGACCTGT</w:t>
            </w:r>
          </w:p>
        </w:tc>
      </w:tr>
      <w:tr w:rsidR="00035E5B" w:rsidRPr="00DA32D9" w14:paraId="5C019C1A" w14:textId="77777777" w:rsidTr="000D2DC7">
        <w:trPr>
          <w:trHeight w:val="289"/>
        </w:trPr>
        <w:tc>
          <w:tcPr>
            <w:tcW w:w="1418" w:type="dxa"/>
          </w:tcPr>
          <w:p w14:paraId="3401DA2C" w14:textId="77777777" w:rsidR="00035E5B" w:rsidRPr="00DA32D9" w:rsidRDefault="0019595D" w:rsidP="00DA32D9">
            <w:pPr>
              <w:snapToGrid w:val="0"/>
              <w:rPr>
                <w:rFonts w:eastAsia="宋体" w:cs="Times New Roman"/>
                <w:i/>
                <w:iCs/>
                <w:sz w:val="20"/>
                <w:szCs w:val="20"/>
              </w:rPr>
            </w:pPr>
            <w:r w:rsidRPr="00DA32D9">
              <w:rPr>
                <w:rFonts w:eastAsia="宋体" w:cs="Times New Roman"/>
                <w:i/>
                <w:iCs/>
                <w:sz w:val="20"/>
                <w:szCs w:val="20"/>
              </w:rPr>
              <w:t>U6</w:t>
            </w:r>
          </w:p>
        </w:tc>
        <w:tc>
          <w:tcPr>
            <w:tcW w:w="4111" w:type="dxa"/>
          </w:tcPr>
          <w:p w14:paraId="461BA420" w14:textId="77777777" w:rsidR="00035E5B" w:rsidRPr="00DA32D9" w:rsidRDefault="0019595D" w:rsidP="00DA32D9">
            <w:pPr>
              <w:snapToGrid w:val="0"/>
              <w:rPr>
                <w:rFonts w:eastAsia="宋体" w:cs="Times New Roman"/>
                <w:sz w:val="20"/>
                <w:szCs w:val="20"/>
              </w:rPr>
            </w:pPr>
            <w:r w:rsidRPr="00DA32D9">
              <w:rPr>
                <w:rFonts w:eastAsia="宋体" w:cs="Times New Roman"/>
                <w:bCs/>
                <w:sz w:val="20"/>
                <w:szCs w:val="20"/>
              </w:rPr>
              <w:t>CTCGCTTCGGCAGCACA</w:t>
            </w:r>
          </w:p>
        </w:tc>
        <w:tc>
          <w:tcPr>
            <w:tcW w:w="3827" w:type="dxa"/>
          </w:tcPr>
          <w:p w14:paraId="2D7426CF" w14:textId="77777777" w:rsidR="00035E5B" w:rsidRPr="00DA32D9" w:rsidRDefault="0019595D" w:rsidP="00DA32D9">
            <w:pPr>
              <w:snapToGrid w:val="0"/>
              <w:rPr>
                <w:rFonts w:eastAsia="宋体" w:cs="Times New Roman"/>
                <w:sz w:val="20"/>
                <w:szCs w:val="20"/>
              </w:rPr>
            </w:pPr>
            <w:r w:rsidRPr="00DA32D9">
              <w:rPr>
                <w:rFonts w:eastAsia="宋体" w:cs="Times New Roman"/>
                <w:bCs/>
                <w:sz w:val="20"/>
                <w:szCs w:val="20"/>
              </w:rPr>
              <w:t>AACGCTTCACGAATTTGCGT</w:t>
            </w:r>
          </w:p>
        </w:tc>
      </w:tr>
      <w:tr w:rsidR="00035E5B" w:rsidRPr="00DA32D9" w14:paraId="26937879" w14:textId="77777777" w:rsidTr="000D2DC7">
        <w:trPr>
          <w:trHeight w:val="395"/>
        </w:trPr>
        <w:tc>
          <w:tcPr>
            <w:tcW w:w="1418" w:type="dxa"/>
          </w:tcPr>
          <w:p w14:paraId="44CE8788" w14:textId="77777777" w:rsidR="00035E5B" w:rsidRPr="00DA32D9" w:rsidRDefault="0019595D" w:rsidP="00DA32D9">
            <w:pPr>
              <w:snapToGrid w:val="0"/>
              <w:rPr>
                <w:rFonts w:eastAsia="宋体" w:cs="Times New Roman"/>
                <w:i/>
                <w:iCs/>
                <w:sz w:val="20"/>
                <w:szCs w:val="20"/>
              </w:rPr>
            </w:pPr>
            <w:r w:rsidRPr="00DA32D9">
              <w:rPr>
                <w:rFonts w:eastAsia="宋体" w:cs="Times New Roman"/>
                <w:i/>
                <w:iCs/>
                <w:sz w:val="20"/>
                <w:szCs w:val="20"/>
              </w:rPr>
              <w:t>GAPDH</w:t>
            </w:r>
          </w:p>
        </w:tc>
        <w:tc>
          <w:tcPr>
            <w:tcW w:w="4111" w:type="dxa"/>
          </w:tcPr>
          <w:p w14:paraId="42325070" w14:textId="77777777" w:rsidR="00035E5B" w:rsidRPr="00DA32D9" w:rsidRDefault="0019595D" w:rsidP="00DA32D9">
            <w:pPr>
              <w:snapToGrid w:val="0"/>
              <w:rPr>
                <w:rFonts w:eastAsia="宋体" w:cs="Times New Roman"/>
                <w:sz w:val="20"/>
                <w:szCs w:val="20"/>
              </w:rPr>
            </w:pPr>
            <w:r w:rsidRPr="00DA32D9">
              <w:rPr>
                <w:rStyle w:val="fontstyle01"/>
                <w:rFonts w:ascii="Book Antiqua" w:eastAsia="宋体" w:hAnsi="Book Antiqua" w:cs="Times New Roman"/>
                <w:color w:val="auto"/>
                <w:sz w:val="20"/>
                <w:szCs w:val="20"/>
              </w:rPr>
              <w:t>AGAAGGCTGGGGCTCATTTG</w:t>
            </w:r>
          </w:p>
        </w:tc>
        <w:tc>
          <w:tcPr>
            <w:tcW w:w="3827" w:type="dxa"/>
          </w:tcPr>
          <w:p w14:paraId="1F449EF9" w14:textId="77777777" w:rsidR="00035E5B" w:rsidRPr="00DA32D9" w:rsidRDefault="0019595D" w:rsidP="00DA32D9">
            <w:pPr>
              <w:snapToGrid w:val="0"/>
              <w:rPr>
                <w:rFonts w:eastAsia="宋体" w:cs="Times New Roman"/>
                <w:sz w:val="20"/>
                <w:szCs w:val="20"/>
              </w:rPr>
            </w:pPr>
            <w:r w:rsidRPr="00DA32D9">
              <w:rPr>
                <w:rStyle w:val="fontstyle01"/>
                <w:rFonts w:ascii="Book Antiqua" w:eastAsia="宋体" w:hAnsi="Book Antiqua" w:cs="Times New Roman"/>
                <w:color w:val="auto"/>
                <w:sz w:val="20"/>
                <w:szCs w:val="20"/>
              </w:rPr>
              <w:t>AGGGGCCATCCACAGTCTTC</w:t>
            </w:r>
          </w:p>
        </w:tc>
      </w:tr>
    </w:tbl>
    <w:p w14:paraId="3A756B51" w14:textId="2766572C" w:rsidR="00035E5B" w:rsidRPr="00DA32D9" w:rsidRDefault="009C0E9B" w:rsidP="008001B6">
      <w:pPr>
        <w:snapToGrid w:val="0"/>
        <w:rPr>
          <w:b/>
          <w:sz w:val="20"/>
          <w:szCs w:val="20"/>
        </w:rPr>
      </w:pPr>
      <w:r>
        <w:rPr>
          <w:rFonts w:cs="Times New Roman"/>
          <w:sz w:val="20"/>
          <w:szCs w:val="20"/>
        </w:rPr>
        <w:t>miR-182: MicroRNA 182;</w:t>
      </w:r>
      <w:r>
        <w:rPr>
          <w:rStyle w:val="st"/>
          <w:rFonts w:eastAsia="Times New Roman"/>
          <w:sz w:val="20"/>
          <w:szCs w:val="20"/>
        </w:rPr>
        <w:t xml:space="preserve"> RECK: R</w:t>
      </w:r>
      <w:r w:rsidRPr="00756374">
        <w:rPr>
          <w:rStyle w:val="st"/>
          <w:rFonts w:eastAsia="Times New Roman"/>
          <w:sz w:val="20"/>
          <w:szCs w:val="20"/>
        </w:rPr>
        <w:t>eversion-inducing-cysteine-rich protein with kazal motifs</w:t>
      </w:r>
      <w:r>
        <w:rPr>
          <w:rStyle w:val="st"/>
          <w:rFonts w:eastAsia="Times New Roman"/>
          <w:sz w:val="20"/>
          <w:szCs w:val="20"/>
        </w:rPr>
        <w:t>.</w:t>
      </w:r>
      <w:r w:rsidRPr="00DA32D9">
        <w:rPr>
          <w:b/>
          <w:sz w:val="20"/>
          <w:szCs w:val="20"/>
        </w:rPr>
        <w:t xml:space="preserve"> </w:t>
      </w:r>
      <w:r w:rsidR="0019595D" w:rsidRPr="00DA32D9">
        <w:rPr>
          <w:b/>
          <w:sz w:val="20"/>
          <w:szCs w:val="20"/>
        </w:rPr>
        <w:br w:type="page"/>
      </w:r>
    </w:p>
    <w:p w14:paraId="45A2CC9B" w14:textId="204A521B" w:rsidR="00035E5B" w:rsidRPr="00DA32D9" w:rsidRDefault="0019595D" w:rsidP="00DA32D9">
      <w:pPr>
        <w:snapToGrid w:val="0"/>
        <w:rPr>
          <w:rFonts w:eastAsia="宋体"/>
          <w:b/>
          <w:kern w:val="0"/>
          <w:sz w:val="20"/>
          <w:szCs w:val="20"/>
        </w:rPr>
      </w:pPr>
      <w:r w:rsidRPr="00DA32D9">
        <w:rPr>
          <w:b/>
          <w:sz w:val="20"/>
          <w:szCs w:val="20"/>
        </w:rPr>
        <w:lastRenderedPageBreak/>
        <w:t>Table 2</w:t>
      </w:r>
      <w:r w:rsidR="00BC4DA4" w:rsidRPr="00DA32D9">
        <w:rPr>
          <w:b/>
          <w:sz w:val="20"/>
          <w:szCs w:val="20"/>
        </w:rPr>
        <w:t xml:space="preserve"> </w:t>
      </w:r>
      <w:r w:rsidRPr="00DA32D9">
        <w:rPr>
          <w:b/>
          <w:sz w:val="20"/>
          <w:szCs w:val="20"/>
        </w:rPr>
        <w:t>Correlation between miR-182 and clinical features</w:t>
      </w:r>
    </w:p>
    <w:tbl>
      <w:tblPr>
        <w:tblStyle w:val="ad"/>
        <w:tblW w:w="8863" w:type="dxa"/>
        <w:tblInd w:w="-567"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1213"/>
        <w:gridCol w:w="1396"/>
        <w:gridCol w:w="1648"/>
        <w:gridCol w:w="1111"/>
        <w:gridCol w:w="1373"/>
      </w:tblGrid>
      <w:tr w:rsidR="00035E5B" w:rsidRPr="00DA32D9" w14:paraId="41B726E2" w14:textId="77777777" w:rsidTr="00D56FB5">
        <w:trPr>
          <w:trHeight w:val="218"/>
        </w:trPr>
        <w:tc>
          <w:tcPr>
            <w:tcW w:w="2122" w:type="dxa"/>
            <w:vMerge w:val="restart"/>
            <w:tcBorders>
              <w:top w:val="single" w:sz="12" w:space="0" w:color="auto"/>
              <w:bottom w:val="single" w:sz="12" w:space="0" w:color="auto"/>
            </w:tcBorders>
            <w:vAlign w:val="center"/>
          </w:tcPr>
          <w:p w14:paraId="11904069" w14:textId="77777777" w:rsidR="00035E5B" w:rsidRPr="00DA32D9" w:rsidRDefault="0019595D" w:rsidP="00DA32D9">
            <w:pPr>
              <w:snapToGrid w:val="0"/>
              <w:rPr>
                <w:rFonts w:eastAsia="宋体" w:cs="Times New Roman"/>
                <w:b/>
                <w:bCs/>
                <w:kern w:val="0"/>
                <w:sz w:val="20"/>
                <w:szCs w:val="20"/>
              </w:rPr>
            </w:pPr>
            <w:r w:rsidRPr="00DA32D9">
              <w:rPr>
                <w:rFonts w:eastAsia="宋体" w:cs="Times New Roman"/>
                <w:b/>
                <w:bCs/>
                <w:sz w:val="20"/>
                <w:szCs w:val="20"/>
              </w:rPr>
              <w:t>Categories</w:t>
            </w:r>
          </w:p>
        </w:tc>
        <w:tc>
          <w:tcPr>
            <w:tcW w:w="1213" w:type="dxa"/>
            <w:vMerge w:val="restart"/>
            <w:tcBorders>
              <w:top w:val="single" w:sz="12" w:space="0" w:color="auto"/>
              <w:bottom w:val="single" w:sz="12" w:space="0" w:color="auto"/>
            </w:tcBorders>
            <w:vAlign w:val="center"/>
          </w:tcPr>
          <w:p w14:paraId="6603B769" w14:textId="77777777" w:rsidR="00035E5B" w:rsidRPr="00DA32D9" w:rsidRDefault="0019595D" w:rsidP="00DA32D9">
            <w:pPr>
              <w:snapToGrid w:val="0"/>
              <w:rPr>
                <w:rFonts w:eastAsia="宋体" w:cs="Times New Roman"/>
                <w:b/>
                <w:bCs/>
                <w:i/>
                <w:iCs/>
                <w:kern w:val="0"/>
                <w:sz w:val="20"/>
                <w:szCs w:val="20"/>
              </w:rPr>
            </w:pPr>
            <w:r w:rsidRPr="00DA32D9">
              <w:rPr>
                <w:rFonts w:eastAsia="宋体" w:cs="Times New Roman"/>
                <w:b/>
                <w:bCs/>
                <w:i/>
                <w:iCs/>
                <w:sz w:val="20"/>
                <w:szCs w:val="20"/>
              </w:rPr>
              <w:t>n</w:t>
            </w:r>
          </w:p>
        </w:tc>
        <w:tc>
          <w:tcPr>
            <w:tcW w:w="3044" w:type="dxa"/>
            <w:gridSpan w:val="2"/>
            <w:tcBorders>
              <w:top w:val="single" w:sz="12" w:space="0" w:color="auto"/>
              <w:bottom w:val="single" w:sz="12" w:space="0" w:color="auto"/>
            </w:tcBorders>
            <w:vAlign w:val="center"/>
          </w:tcPr>
          <w:p w14:paraId="37A02AFC" w14:textId="77777777" w:rsidR="00035E5B" w:rsidRPr="00DA32D9" w:rsidRDefault="0019595D" w:rsidP="00DA32D9">
            <w:pPr>
              <w:snapToGrid w:val="0"/>
              <w:jc w:val="center"/>
              <w:rPr>
                <w:rFonts w:eastAsia="宋体" w:cs="Times New Roman"/>
                <w:b/>
                <w:bCs/>
                <w:kern w:val="0"/>
                <w:sz w:val="20"/>
                <w:szCs w:val="20"/>
              </w:rPr>
            </w:pPr>
            <w:r w:rsidRPr="00DA32D9">
              <w:rPr>
                <w:rFonts w:eastAsia="宋体" w:cs="Times New Roman"/>
                <w:b/>
                <w:bCs/>
                <w:sz w:val="20"/>
                <w:szCs w:val="20"/>
              </w:rPr>
              <w:t>miR-182</w:t>
            </w:r>
          </w:p>
        </w:tc>
        <w:tc>
          <w:tcPr>
            <w:tcW w:w="1111" w:type="dxa"/>
            <w:vMerge w:val="restart"/>
            <w:tcBorders>
              <w:top w:val="single" w:sz="12" w:space="0" w:color="auto"/>
              <w:bottom w:val="single" w:sz="12" w:space="0" w:color="auto"/>
            </w:tcBorders>
            <w:vAlign w:val="center"/>
          </w:tcPr>
          <w:p w14:paraId="169DD858" w14:textId="77777777" w:rsidR="00035E5B" w:rsidRPr="00DA32D9" w:rsidRDefault="0019595D" w:rsidP="00DA32D9">
            <w:pPr>
              <w:snapToGrid w:val="0"/>
              <w:rPr>
                <w:rFonts w:eastAsia="宋体" w:cs="Times New Roman"/>
                <w:b/>
                <w:bCs/>
                <w:i/>
                <w:iCs/>
                <w:kern w:val="0"/>
                <w:sz w:val="20"/>
                <w:szCs w:val="20"/>
              </w:rPr>
            </w:pPr>
            <w:r w:rsidRPr="00DA32D9">
              <w:rPr>
                <w:rFonts w:eastAsia="宋体" w:cs="Times New Roman"/>
                <w:b/>
                <w:bCs/>
                <w:i/>
                <w:iCs/>
                <w:sz w:val="20"/>
                <w:szCs w:val="20"/>
              </w:rPr>
              <w:sym w:font="Symbol" w:char="F063"/>
            </w:r>
            <w:r w:rsidRPr="00DA32D9">
              <w:rPr>
                <w:rFonts w:eastAsia="宋体" w:cs="Times New Roman"/>
                <w:b/>
                <w:bCs/>
                <w:i/>
                <w:iCs/>
                <w:sz w:val="20"/>
                <w:szCs w:val="20"/>
                <w:vertAlign w:val="superscript"/>
              </w:rPr>
              <w:t>2</w:t>
            </w:r>
          </w:p>
        </w:tc>
        <w:tc>
          <w:tcPr>
            <w:tcW w:w="1373" w:type="dxa"/>
            <w:vMerge w:val="restart"/>
            <w:tcBorders>
              <w:top w:val="single" w:sz="12" w:space="0" w:color="auto"/>
              <w:bottom w:val="single" w:sz="12" w:space="0" w:color="auto"/>
            </w:tcBorders>
            <w:vAlign w:val="center"/>
          </w:tcPr>
          <w:p w14:paraId="408176CB" w14:textId="1567912C" w:rsidR="00035E5B" w:rsidRPr="00DA32D9" w:rsidRDefault="0019595D" w:rsidP="00DA32D9">
            <w:pPr>
              <w:snapToGrid w:val="0"/>
              <w:rPr>
                <w:rFonts w:eastAsia="宋体" w:cs="Times New Roman"/>
                <w:b/>
                <w:bCs/>
                <w:kern w:val="0"/>
                <w:sz w:val="20"/>
                <w:szCs w:val="20"/>
              </w:rPr>
            </w:pPr>
            <w:r w:rsidRPr="00DA32D9">
              <w:rPr>
                <w:rFonts w:eastAsia="宋体" w:cs="Times New Roman"/>
                <w:b/>
                <w:bCs/>
                <w:i/>
                <w:iCs/>
                <w:sz w:val="20"/>
                <w:szCs w:val="20"/>
              </w:rPr>
              <w:t>P</w:t>
            </w:r>
            <w:r w:rsidR="00BC4DA4" w:rsidRPr="00DA32D9">
              <w:rPr>
                <w:rFonts w:eastAsia="宋体" w:cs="Times New Roman"/>
                <w:b/>
                <w:bCs/>
                <w:sz w:val="20"/>
                <w:szCs w:val="20"/>
              </w:rPr>
              <w:t xml:space="preserve"> value</w:t>
            </w:r>
          </w:p>
        </w:tc>
      </w:tr>
      <w:tr w:rsidR="00035E5B" w:rsidRPr="00DA32D9" w14:paraId="79A31B53" w14:textId="77777777" w:rsidTr="00D56FB5">
        <w:trPr>
          <w:trHeight w:val="424"/>
        </w:trPr>
        <w:tc>
          <w:tcPr>
            <w:tcW w:w="2122" w:type="dxa"/>
            <w:vMerge/>
            <w:tcBorders>
              <w:top w:val="nil"/>
              <w:bottom w:val="single" w:sz="12" w:space="0" w:color="auto"/>
            </w:tcBorders>
            <w:vAlign w:val="center"/>
          </w:tcPr>
          <w:p w14:paraId="2A5B7D7A" w14:textId="77777777" w:rsidR="00035E5B" w:rsidRPr="00DA32D9" w:rsidRDefault="00035E5B" w:rsidP="00DA32D9">
            <w:pPr>
              <w:snapToGrid w:val="0"/>
              <w:rPr>
                <w:rFonts w:eastAsia="宋体" w:cs="Times New Roman"/>
                <w:kern w:val="0"/>
                <w:sz w:val="20"/>
                <w:szCs w:val="20"/>
              </w:rPr>
            </w:pPr>
          </w:p>
        </w:tc>
        <w:tc>
          <w:tcPr>
            <w:tcW w:w="1213" w:type="dxa"/>
            <w:vMerge/>
            <w:tcBorders>
              <w:top w:val="nil"/>
              <w:bottom w:val="single" w:sz="12" w:space="0" w:color="auto"/>
            </w:tcBorders>
            <w:vAlign w:val="center"/>
          </w:tcPr>
          <w:p w14:paraId="12E96ED7" w14:textId="77777777" w:rsidR="00035E5B" w:rsidRPr="00DA32D9" w:rsidRDefault="00035E5B" w:rsidP="00DA32D9">
            <w:pPr>
              <w:snapToGrid w:val="0"/>
              <w:rPr>
                <w:rFonts w:eastAsia="宋体" w:cs="Times New Roman"/>
                <w:kern w:val="0"/>
                <w:sz w:val="20"/>
                <w:szCs w:val="20"/>
              </w:rPr>
            </w:pPr>
          </w:p>
        </w:tc>
        <w:tc>
          <w:tcPr>
            <w:tcW w:w="1396" w:type="dxa"/>
            <w:tcBorders>
              <w:top w:val="single" w:sz="12" w:space="0" w:color="auto"/>
              <w:bottom w:val="single" w:sz="12" w:space="0" w:color="auto"/>
            </w:tcBorders>
            <w:vAlign w:val="center"/>
          </w:tcPr>
          <w:p w14:paraId="204DE674" w14:textId="77777777" w:rsidR="00035E5B" w:rsidRPr="00DA32D9" w:rsidRDefault="0019595D" w:rsidP="00DA32D9">
            <w:pPr>
              <w:snapToGrid w:val="0"/>
              <w:rPr>
                <w:rFonts w:eastAsia="宋体" w:cs="Times New Roman"/>
                <w:b/>
                <w:bCs/>
                <w:kern w:val="0"/>
                <w:sz w:val="20"/>
                <w:szCs w:val="20"/>
              </w:rPr>
            </w:pPr>
            <w:r w:rsidRPr="00DA32D9">
              <w:rPr>
                <w:rFonts w:eastAsia="宋体" w:cs="Times New Roman"/>
                <w:b/>
                <w:bCs/>
                <w:sz w:val="20"/>
                <w:szCs w:val="20"/>
              </w:rPr>
              <w:t>Low expression</w:t>
            </w:r>
          </w:p>
        </w:tc>
        <w:tc>
          <w:tcPr>
            <w:tcW w:w="1648" w:type="dxa"/>
            <w:tcBorders>
              <w:top w:val="single" w:sz="12" w:space="0" w:color="auto"/>
              <w:bottom w:val="single" w:sz="12" w:space="0" w:color="auto"/>
            </w:tcBorders>
            <w:vAlign w:val="center"/>
          </w:tcPr>
          <w:p w14:paraId="678EBA64" w14:textId="77777777" w:rsidR="00035E5B" w:rsidRPr="00DA32D9" w:rsidRDefault="0019595D" w:rsidP="00DA32D9">
            <w:pPr>
              <w:snapToGrid w:val="0"/>
              <w:rPr>
                <w:rFonts w:eastAsia="宋体" w:cs="Times New Roman"/>
                <w:b/>
                <w:bCs/>
                <w:kern w:val="0"/>
                <w:sz w:val="20"/>
                <w:szCs w:val="20"/>
              </w:rPr>
            </w:pPr>
            <w:r w:rsidRPr="00DA32D9">
              <w:rPr>
                <w:rFonts w:eastAsia="宋体" w:cs="Times New Roman"/>
                <w:b/>
                <w:bCs/>
                <w:sz w:val="20"/>
                <w:szCs w:val="20"/>
              </w:rPr>
              <w:t>High expression</w:t>
            </w:r>
          </w:p>
        </w:tc>
        <w:tc>
          <w:tcPr>
            <w:tcW w:w="1111" w:type="dxa"/>
            <w:vMerge/>
            <w:tcBorders>
              <w:top w:val="nil"/>
              <w:bottom w:val="single" w:sz="12" w:space="0" w:color="auto"/>
            </w:tcBorders>
            <w:vAlign w:val="center"/>
          </w:tcPr>
          <w:p w14:paraId="69918EC1" w14:textId="77777777" w:rsidR="00035E5B" w:rsidRPr="00DA32D9" w:rsidRDefault="00035E5B" w:rsidP="00DA32D9">
            <w:pPr>
              <w:snapToGrid w:val="0"/>
              <w:rPr>
                <w:rFonts w:eastAsia="宋体" w:cs="Times New Roman"/>
                <w:kern w:val="0"/>
                <w:sz w:val="20"/>
                <w:szCs w:val="20"/>
              </w:rPr>
            </w:pPr>
          </w:p>
        </w:tc>
        <w:tc>
          <w:tcPr>
            <w:tcW w:w="1373" w:type="dxa"/>
            <w:vMerge/>
            <w:tcBorders>
              <w:top w:val="nil"/>
              <w:bottom w:val="single" w:sz="12" w:space="0" w:color="auto"/>
            </w:tcBorders>
            <w:vAlign w:val="center"/>
          </w:tcPr>
          <w:p w14:paraId="101E68B2" w14:textId="77777777" w:rsidR="00035E5B" w:rsidRPr="00DA32D9" w:rsidRDefault="00035E5B" w:rsidP="00DA32D9">
            <w:pPr>
              <w:snapToGrid w:val="0"/>
              <w:rPr>
                <w:rFonts w:eastAsia="宋体" w:cs="Times New Roman"/>
                <w:kern w:val="0"/>
                <w:sz w:val="20"/>
                <w:szCs w:val="20"/>
              </w:rPr>
            </w:pPr>
          </w:p>
        </w:tc>
      </w:tr>
      <w:tr w:rsidR="00035E5B" w:rsidRPr="00DA32D9" w14:paraId="213F4471" w14:textId="77777777" w:rsidTr="00D56FB5">
        <w:tc>
          <w:tcPr>
            <w:tcW w:w="2122" w:type="dxa"/>
            <w:tcBorders>
              <w:top w:val="single" w:sz="12" w:space="0" w:color="auto"/>
            </w:tcBorders>
            <w:vAlign w:val="center"/>
          </w:tcPr>
          <w:p w14:paraId="015C34DE"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Gender</w:t>
            </w:r>
          </w:p>
        </w:tc>
        <w:tc>
          <w:tcPr>
            <w:tcW w:w="1213" w:type="dxa"/>
            <w:tcBorders>
              <w:top w:val="single" w:sz="12" w:space="0" w:color="auto"/>
            </w:tcBorders>
            <w:vAlign w:val="center"/>
          </w:tcPr>
          <w:p w14:paraId="4964E9E9" w14:textId="77777777" w:rsidR="00035E5B" w:rsidRPr="00DA32D9" w:rsidRDefault="00035E5B" w:rsidP="00DA32D9">
            <w:pPr>
              <w:snapToGrid w:val="0"/>
              <w:rPr>
                <w:rFonts w:eastAsia="宋体" w:cs="Times New Roman"/>
                <w:kern w:val="0"/>
                <w:sz w:val="20"/>
                <w:szCs w:val="20"/>
              </w:rPr>
            </w:pPr>
          </w:p>
        </w:tc>
        <w:tc>
          <w:tcPr>
            <w:tcW w:w="1396" w:type="dxa"/>
            <w:tcBorders>
              <w:top w:val="single" w:sz="12" w:space="0" w:color="auto"/>
            </w:tcBorders>
            <w:vAlign w:val="center"/>
          </w:tcPr>
          <w:p w14:paraId="3F6E7181" w14:textId="77777777" w:rsidR="00035E5B" w:rsidRPr="00DA32D9" w:rsidRDefault="00035E5B" w:rsidP="00DA32D9">
            <w:pPr>
              <w:snapToGrid w:val="0"/>
              <w:rPr>
                <w:rFonts w:eastAsia="宋体" w:cs="Times New Roman"/>
                <w:kern w:val="0"/>
                <w:sz w:val="20"/>
                <w:szCs w:val="20"/>
              </w:rPr>
            </w:pPr>
          </w:p>
        </w:tc>
        <w:tc>
          <w:tcPr>
            <w:tcW w:w="1648" w:type="dxa"/>
            <w:tcBorders>
              <w:top w:val="single" w:sz="12" w:space="0" w:color="auto"/>
            </w:tcBorders>
            <w:vAlign w:val="center"/>
          </w:tcPr>
          <w:p w14:paraId="0B052959" w14:textId="77777777" w:rsidR="00035E5B" w:rsidRPr="00DA32D9" w:rsidRDefault="00035E5B" w:rsidP="00DA32D9">
            <w:pPr>
              <w:snapToGrid w:val="0"/>
              <w:rPr>
                <w:rFonts w:eastAsia="宋体" w:cs="Times New Roman"/>
                <w:kern w:val="0"/>
                <w:sz w:val="20"/>
                <w:szCs w:val="20"/>
              </w:rPr>
            </w:pPr>
          </w:p>
        </w:tc>
        <w:tc>
          <w:tcPr>
            <w:tcW w:w="1111" w:type="dxa"/>
            <w:tcBorders>
              <w:top w:val="single" w:sz="12" w:space="0" w:color="auto"/>
            </w:tcBorders>
            <w:vAlign w:val="center"/>
          </w:tcPr>
          <w:p w14:paraId="600FF9BF"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0.125</w:t>
            </w:r>
          </w:p>
        </w:tc>
        <w:tc>
          <w:tcPr>
            <w:tcW w:w="1373" w:type="dxa"/>
            <w:tcBorders>
              <w:top w:val="single" w:sz="12" w:space="0" w:color="auto"/>
            </w:tcBorders>
            <w:vAlign w:val="center"/>
          </w:tcPr>
          <w:p w14:paraId="5FECF9FD"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0.819</w:t>
            </w:r>
          </w:p>
        </w:tc>
      </w:tr>
      <w:tr w:rsidR="00035E5B" w:rsidRPr="00DA32D9" w14:paraId="74307528" w14:textId="77777777" w:rsidTr="00D56FB5">
        <w:tc>
          <w:tcPr>
            <w:tcW w:w="2122" w:type="dxa"/>
            <w:vAlign w:val="center"/>
          </w:tcPr>
          <w:p w14:paraId="13315B40" w14:textId="77777777" w:rsidR="00035E5B" w:rsidRPr="00DA32D9" w:rsidRDefault="0019595D" w:rsidP="00DA32D9">
            <w:pPr>
              <w:snapToGrid w:val="0"/>
              <w:ind w:firstLineChars="100" w:firstLine="200"/>
              <w:rPr>
                <w:rFonts w:eastAsia="宋体" w:cs="Times New Roman"/>
                <w:kern w:val="0"/>
                <w:sz w:val="20"/>
                <w:szCs w:val="20"/>
              </w:rPr>
            </w:pPr>
            <w:r w:rsidRPr="00DA32D9">
              <w:rPr>
                <w:rFonts w:eastAsia="宋体" w:cs="Times New Roman"/>
                <w:sz w:val="20"/>
                <w:szCs w:val="20"/>
              </w:rPr>
              <w:t>Male</w:t>
            </w:r>
          </w:p>
        </w:tc>
        <w:tc>
          <w:tcPr>
            <w:tcW w:w="1213" w:type="dxa"/>
            <w:vAlign w:val="center"/>
          </w:tcPr>
          <w:p w14:paraId="67866291"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36</w:t>
            </w:r>
          </w:p>
        </w:tc>
        <w:tc>
          <w:tcPr>
            <w:tcW w:w="1396" w:type="dxa"/>
            <w:vAlign w:val="center"/>
          </w:tcPr>
          <w:p w14:paraId="298036FC"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17</w:t>
            </w:r>
          </w:p>
        </w:tc>
        <w:tc>
          <w:tcPr>
            <w:tcW w:w="1648" w:type="dxa"/>
            <w:vAlign w:val="center"/>
          </w:tcPr>
          <w:p w14:paraId="36CA2103"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25</w:t>
            </w:r>
          </w:p>
        </w:tc>
        <w:tc>
          <w:tcPr>
            <w:tcW w:w="1111" w:type="dxa"/>
            <w:vAlign w:val="center"/>
          </w:tcPr>
          <w:p w14:paraId="0361442A" w14:textId="77777777" w:rsidR="00035E5B" w:rsidRPr="00DA32D9" w:rsidRDefault="00035E5B" w:rsidP="00DA32D9">
            <w:pPr>
              <w:snapToGrid w:val="0"/>
              <w:rPr>
                <w:rFonts w:eastAsia="宋体" w:cs="Times New Roman"/>
                <w:kern w:val="0"/>
                <w:sz w:val="20"/>
                <w:szCs w:val="20"/>
              </w:rPr>
            </w:pPr>
          </w:p>
        </w:tc>
        <w:tc>
          <w:tcPr>
            <w:tcW w:w="1373" w:type="dxa"/>
            <w:vAlign w:val="center"/>
          </w:tcPr>
          <w:p w14:paraId="4580AB17" w14:textId="77777777" w:rsidR="00035E5B" w:rsidRPr="00DA32D9" w:rsidRDefault="00035E5B" w:rsidP="00DA32D9">
            <w:pPr>
              <w:snapToGrid w:val="0"/>
              <w:rPr>
                <w:rFonts w:eastAsia="宋体" w:cs="Times New Roman"/>
                <w:kern w:val="0"/>
                <w:sz w:val="20"/>
                <w:szCs w:val="20"/>
              </w:rPr>
            </w:pPr>
          </w:p>
        </w:tc>
      </w:tr>
      <w:tr w:rsidR="00035E5B" w:rsidRPr="00DA32D9" w14:paraId="2A0CAE70" w14:textId="77777777" w:rsidTr="00D56FB5">
        <w:tc>
          <w:tcPr>
            <w:tcW w:w="2122" w:type="dxa"/>
            <w:vAlign w:val="center"/>
          </w:tcPr>
          <w:p w14:paraId="020B7DA4" w14:textId="77777777" w:rsidR="00035E5B" w:rsidRPr="00DA32D9" w:rsidRDefault="0019595D" w:rsidP="00DA32D9">
            <w:pPr>
              <w:snapToGrid w:val="0"/>
              <w:ind w:firstLineChars="100" w:firstLine="200"/>
              <w:rPr>
                <w:rFonts w:eastAsia="宋体" w:cs="Times New Roman"/>
                <w:kern w:val="0"/>
                <w:sz w:val="20"/>
                <w:szCs w:val="20"/>
              </w:rPr>
            </w:pPr>
            <w:r w:rsidRPr="00DA32D9">
              <w:rPr>
                <w:rFonts w:eastAsia="宋体" w:cs="Times New Roman"/>
                <w:sz w:val="20"/>
                <w:szCs w:val="20"/>
              </w:rPr>
              <w:t>Female</w:t>
            </w:r>
          </w:p>
        </w:tc>
        <w:tc>
          <w:tcPr>
            <w:tcW w:w="1213" w:type="dxa"/>
            <w:vAlign w:val="center"/>
          </w:tcPr>
          <w:p w14:paraId="0DDFA4AB"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42</w:t>
            </w:r>
          </w:p>
        </w:tc>
        <w:tc>
          <w:tcPr>
            <w:tcW w:w="1396" w:type="dxa"/>
            <w:vAlign w:val="center"/>
          </w:tcPr>
          <w:p w14:paraId="57BCEE6B"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16</w:t>
            </w:r>
          </w:p>
        </w:tc>
        <w:tc>
          <w:tcPr>
            <w:tcW w:w="1648" w:type="dxa"/>
            <w:vAlign w:val="center"/>
          </w:tcPr>
          <w:p w14:paraId="0613557E"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20</w:t>
            </w:r>
          </w:p>
        </w:tc>
        <w:tc>
          <w:tcPr>
            <w:tcW w:w="1111" w:type="dxa"/>
            <w:vAlign w:val="center"/>
          </w:tcPr>
          <w:p w14:paraId="2EC3755A" w14:textId="77777777" w:rsidR="00035E5B" w:rsidRPr="00DA32D9" w:rsidRDefault="00035E5B" w:rsidP="00DA32D9">
            <w:pPr>
              <w:snapToGrid w:val="0"/>
              <w:rPr>
                <w:rFonts w:eastAsia="宋体" w:cs="Times New Roman"/>
                <w:kern w:val="0"/>
                <w:sz w:val="20"/>
                <w:szCs w:val="20"/>
              </w:rPr>
            </w:pPr>
          </w:p>
        </w:tc>
        <w:tc>
          <w:tcPr>
            <w:tcW w:w="1373" w:type="dxa"/>
            <w:vAlign w:val="center"/>
          </w:tcPr>
          <w:p w14:paraId="1B79C87A" w14:textId="77777777" w:rsidR="00035E5B" w:rsidRPr="00DA32D9" w:rsidRDefault="00035E5B" w:rsidP="00DA32D9">
            <w:pPr>
              <w:snapToGrid w:val="0"/>
              <w:rPr>
                <w:rFonts w:eastAsia="宋体" w:cs="Times New Roman"/>
                <w:kern w:val="0"/>
                <w:sz w:val="20"/>
                <w:szCs w:val="20"/>
              </w:rPr>
            </w:pPr>
          </w:p>
        </w:tc>
      </w:tr>
      <w:tr w:rsidR="00035E5B" w:rsidRPr="00DA32D9" w14:paraId="567DE61C" w14:textId="77777777" w:rsidTr="00D56FB5">
        <w:tc>
          <w:tcPr>
            <w:tcW w:w="2122" w:type="dxa"/>
            <w:vAlign w:val="center"/>
          </w:tcPr>
          <w:p w14:paraId="438CC86B" w14:textId="35900643"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Age</w:t>
            </w:r>
            <w:r w:rsidR="009C0E9B">
              <w:rPr>
                <w:rFonts w:eastAsia="宋体" w:cs="Times New Roman"/>
                <w:sz w:val="20"/>
                <w:szCs w:val="20"/>
              </w:rPr>
              <w:t xml:space="preserve"> in</w:t>
            </w:r>
            <w:r w:rsidR="00D56FB5" w:rsidRPr="00DA32D9">
              <w:rPr>
                <w:rFonts w:eastAsia="宋体" w:cs="Times New Roman"/>
                <w:sz w:val="20"/>
                <w:szCs w:val="20"/>
              </w:rPr>
              <w:t xml:space="preserve"> yr</w:t>
            </w:r>
          </w:p>
        </w:tc>
        <w:tc>
          <w:tcPr>
            <w:tcW w:w="1213" w:type="dxa"/>
            <w:vAlign w:val="center"/>
          </w:tcPr>
          <w:p w14:paraId="0AF18086" w14:textId="77777777" w:rsidR="00035E5B" w:rsidRPr="00DA32D9" w:rsidRDefault="00035E5B" w:rsidP="00DA32D9">
            <w:pPr>
              <w:snapToGrid w:val="0"/>
              <w:rPr>
                <w:rFonts w:eastAsia="宋体" w:cs="Times New Roman"/>
                <w:kern w:val="0"/>
                <w:sz w:val="20"/>
                <w:szCs w:val="20"/>
              </w:rPr>
            </w:pPr>
          </w:p>
        </w:tc>
        <w:tc>
          <w:tcPr>
            <w:tcW w:w="1396" w:type="dxa"/>
            <w:vAlign w:val="center"/>
          </w:tcPr>
          <w:p w14:paraId="6DDC4B60" w14:textId="77777777" w:rsidR="00035E5B" w:rsidRPr="00DA32D9" w:rsidRDefault="00035E5B" w:rsidP="00DA32D9">
            <w:pPr>
              <w:snapToGrid w:val="0"/>
              <w:rPr>
                <w:rFonts w:eastAsia="宋体" w:cs="Times New Roman"/>
                <w:kern w:val="0"/>
                <w:sz w:val="20"/>
                <w:szCs w:val="20"/>
              </w:rPr>
            </w:pPr>
          </w:p>
        </w:tc>
        <w:tc>
          <w:tcPr>
            <w:tcW w:w="1648" w:type="dxa"/>
            <w:vAlign w:val="center"/>
          </w:tcPr>
          <w:p w14:paraId="374492A5" w14:textId="77777777" w:rsidR="00035E5B" w:rsidRPr="00DA32D9" w:rsidRDefault="00035E5B" w:rsidP="00DA32D9">
            <w:pPr>
              <w:snapToGrid w:val="0"/>
              <w:rPr>
                <w:rFonts w:eastAsia="宋体" w:cs="Times New Roman"/>
                <w:kern w:val="0"/>
                <w:sz w:val="20"/>
                <w:szCs w:val="20"/>
              </w:rPr>
            </w:pPr>
          </w:p>
        </w:tc>
        <w:tc>
          <w:tcPr>
            <w:tcW w:w="1111" w:type="dxa"/>
            <w:vAlign w:val="center"/>
          </w:tcPr>
          <w:p w14:paraId="5CBA85A7"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0.273</w:t>
            </w:r>
          </w:p>
        </w:tc>
        <w:tc>
          <w:tcPr>
            <w:tcW w:w="1373" w:type="dxa"/>
            <w:vAlign w:val="center"/>
          </w:tcPr>
          <w:p w14:paraId="7AA63CF8"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0.646</w:t>
            </w:r>
          </w:p>
        </w:tc>
      </w:tr>
      <w:tr w:rsidR="00035E5B" w:rsidRPr="00DA32D9" w14:paraId="4C6DFE9B" w14:textId="77777777" w:rsidTr="00D56FB5">
        <w:tc>
          <w:tcPr>
            <w:tcW w:w="2122" w:type="dxa"/>
            <w:vAlign w:val="center"/>
          </w:tcPr>
          <w:p w14:paraId="36F1AF4B" w14:textId="1A51C800" w:rsidR="00035E5B" w:rsidRPr="00DA32D9" w:rsidRDefault="0019595D" w:rsidP="00DA32D9">
            <w:pPr>
              <w:snapToGrid w:val="0"/>
              <w:ind w:firstLineChars="100" w:firstLine="200"/>
              <w:rPr>
                <w:rFonts w:eastAsia="宋体" w:cs="Times New Roman"/>
                <w:kern w:val="0"/>
                <w:sz w:val="20"/>
                <w:szCs w:val="20"/>
              </w:rPr>
            </w:pPr>
            <w:r w:rsidRPr="00DA32D9">
              <w:rPr>
                <w:rFonts w:eastAsia="宋体" w:cs="Times New Roman"/>
                <w:sz w:val="20"/>
                <w:szCs w:val="20"/>
              </w:rPr>
              <w:t>≤</w:t>
            </w:r>
            <w:r w:rsidR="00D56FB5" w:rsidRPr="00DA32D9">
              <w:rPr>
                <w:rFonts w:eastAsia="宋体" w:cs="Times New Roman"/>
                <w:sz w:val="20"/>
                <w:szCs w:val="20"/>
              </w:rPr>
              <w:t xml:space="preserve"> </w:t>
            </w:r>
            <w:r w:rsidRPr="00DA32D9">
              <w:rPr>
                <w:rFonts w:eastAsia="宋体" w:cs="Times New Roman"/>
                <w:sz w:val="20"/>
                <w:szCs w:val="20"/>
              </w:rPr>
              <w:t>60</w:t>
            </w:r>
          </w:p>
        </w:tc>
        <w:tc>
          <w:tcPr>
            <w:tcW w:w="1213" w:type="dxa"/>
            <w:vAlign w:val="center"/>
          </w:tcPr>
          <w:p w14:paraId="70DE9208"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45</w:t>
            </w:r>
          </w:p>
        </w:tc>
        <w:tc>
          <w:tcPr>
            <w:tcW w:w="1396" w:type="dxa"/>
            <w:vAlign w:val="center"/>
          </w:tcPr>
          <w:p w14:paraId="2595292E"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19</w:t>
            </w:r>
          </w:p>
        </w:tc>
        <w:tc>
          <w:tcPr>
            <w:tcW w:w="1648" w:type="dxa"/>
            <w:vAlign w:val="center"/>
          </w:tcPr>
          <w:p w14:paraId="66598F51"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26</w:t>
            </w:r>
          </w:p>
        </w:tc>
        <w:tc>
          <w:tcPr>
            <w:tcW w:w="1111" w:type="dxa"/>
            <w:vAlign w:val="center"/>
          </w:tcPr>
          <w:p w14:paraId="14DC0CD1" w14:textId="77777777" w:rsidR="00035E5B" w:rsidRPr="00DA32D9" w:rsidRDefault="00035E5B" w:rsidP="00DA32D9">
            <w:pPr>
              <w:snapToGrid w:val="0"/>
              <w:rPr>
                <w:rFonts w:eastAsia="宋体" w:cs="Times New Roman"/>
                <w:kern w:val="0"/>
                <w:sz w:val="20"/>
                <w:szCs w:val="20"/>
              </w:rPr>
            </w:pPr>
          </w:p>
        </w:tc>
        <w:tc>
          <w:tcPr>
            <w:tcW w:w="1373" w:type="dxa"/>
            <w:vAlign w:val="center"/>
          </w:tcPr>
          <w:p w14:paraId="58E4611A" w14:textId="77777777" w:rsidR="00035E5B" w:rsidRPr="00DA32D9" w:rsidRDefault="00035E5B" w:rsidP="00DA32D9">
            <w:pPr>
              <w:snapToGrid w:val="0"/>
              <w:rPr>
                <w:rFonts w:eastAsia="宋体" w:cs="Times New Roman"/>
                <w:kern w:val="0"/>
                <w:sz w:val="20"/>
                <w:szCs w:val="20"/>
              </w:rPr>
            </w:pPr>
          </w:p>
        </w:tc>
      </w:tr>
      <w:tr w:rsidR="00035E5B" w:rsidRPr="00DA32D9" w14:paraId="7C365702" w14:textId="77777777" w:rsidTr="00D56FB5">
        <w:tc>
          <w:tcPr>
            <w:tcW w:w="2122" w:type="dxa"/>
            <w:vAlign w:val="center"/>
          </w:tcPr>
          <w:p w14:paraId="32CD6A2F" w14:textId="4E725E8C" w:rsidR="00035E5B" w:rsidRPr="00DA32D9" w:rsidRDefault="0019595D" w:rsidP="00DA32D9">
            <w:pPr>
              <w:snapToGrid w:val="0"/>
              <w:ind w:firstLineChars="100" w:firstLine="200"/>
              <w:rPr>
                <w:rFonts w:eastAsia="宋体" w:cs="Times New Roman"/>
                <w:kern w:val="0"/>
                <w:sz w:val="20"/>
                <w:szCs w:val="20"/>
              </w:rPr>
            </w:pPr>
            <w:r w:rsidRPr="00DA32D9">
              <w:rPr>
                <w:rFonts w:eastAsia="宋体" w:cs="Times New Roman"/>
                <w:sz w:val="20"/>
                <w:szCs w:val="20"/>
              </w:rPr>
              <w:t>&gt;</w:t>
            </w:r>
            <w:r w:rsidR="00D56FB5" w:rsidRPr="00DA32D9">
              <w:rPr>
                <w:rFonts w:eastAsia="宋体" w:cs="Times New Roman"/>
                <w:sz w:val="20"/>
                <w:szCs w:val="20"/>
              </w:rPr>
              <w:t xml:space="preserve"> </w:t>
            </w:r>
            <w:r w:rsidRPr="00DA32D9">
              <w:rPr>
                <w:rFonts w:eastAsia="宋体" w:cs="Times New Roman"/>
                <w:sz w:val="20"/>
                <w:szCs w:val="20"/>
              </w:rPr>
              <w:t>60</w:t>
            </w:r>
          </w:p>
        </w:tc>
        <w:tc>
          <w:tcPr>
            <w:tcW w:w="1213" w:type="dxa"/>
            <w:vAlign w:val="center"/>
          </w:tcPr>
          <w:p w14:paraId="0D6F59CE"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33</w:t>
            </w:r>
          </w:p>
        </w:tc>
        <w:tc>
          <w:tcPr>
            <w:tcW w:w="1396" w:type="dxa"/>
            <w:vAlign w:val="center"/>
          </w:tcPr>
          <w:p w14:paraId="03D4E751"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12</w:t>
            </w:r>
          </w:p>
        </w:tc>
        <w:tc>
          <w:tcPr>
            <w:tcW w:w="1648" w:type="dxa"/>
            <w:vAlign w:val="center"/>
          </w:tcPr>
          <w:p w14:paraId="19BAB9BD"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21</w:t>
            </w:r>
          </w:p>
        </w:tc>
        <w:tc>
          <w:tcPr>
            <w:tcW w:w="1111" w:type="dxa"/>
            <w:vAlign w:val="center"/>
          </w:tcPr>
          <w:p w14:paraId="2B743AB0" w14:textId="77777777" w:rsidR="00035E5B" w:rsidRPr="00DA32D9" w:rsidRDefault="00035E5B" w:rsidP="00DA32D9">
            <w:pPr>
              <w:snapToGrid w:val="0"/>
              <w:rPr>
                <w:rFonts w:eastAsia="宋体" w:cs="Times New Roman"/>
                <w:kern w:val="0"/>
                <w:sz w:val="20"/>
                <w:szCs w:val="20"/>
              </w:rPr>
            </w:pPr>
          </w:p>
        </w:tc>
        <w:tc>
          <w:tcPr>
            <w:tcW w:w="1373" w:type="dxa"/>
            <w:vAlign w:val="center"/>
          </w:tcPr>
          <w:p w14:paraId="24FC402A" w14:textId="77777777" w:rsidR="00035E5B" w:rsidRPr="00DA32D9" w:rsidRDefault="00035E5B" w:rsidP="00DA32D9">
            <w:pPr>
              <w:snapToGrid w:val="0"/>
              <w:rPr>
                <w:rFonts w:eastAsia="宋体" w:cs="Times New Roman"/>
                <w:kern w:val="0"/>
                <w:sz w:val="20"/>
                <w:szCs w:val="20"/>
              </w:rPr>
            </w:pPr>
          </w:p>
        </w:tc>
      </w:tr>
      <w:tr w:rsidR="00035E5B" w:rsidRPr="00DA32D9" w14:paraId="590117DF" w14:textId="77777777" w:rsidTr="00D56FB5">
        <w:tc>
          <w:tcPr>
            <w:tcW w:w="2122" w:type="dxa"/>
            <w:vAlign w:val="center"/>
          </w:tcPr>
          <w:p w14:paraId="4BB4DA11"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Smoking history</w:t>
            </w:r>
          </w:p>
        </w:tc>
        <w:tc>
          <w:tcPr>
            <w:tcW w:w="1213" w:type="dxa"/>
            <w:vAlign w:val="center"/>
          </w:tcPr>
          <w:p w14:paraId="741E9F34" w14:textId="77777777" w:rsidR="00035E5B" w:rsidRPr="00DA32D9" w:rsidRDefault="00035E5B" w:rsidP="00DA32D9">
            <w:pPr>
              <w:snapToGrid w:val="0"/>
              <w:rPr>
                <w:rFonts w:eastAsia="宋体" w:cs="Times New Roman"/>
                <w:kern w:val="0"/>
                <w:sz w:val="20"/>
                <w:szCs w:val="20"/>
              </w:rPr>
            </w:pPr>
          </w:p>
        </w:tc>
        <w:tc>
          <w:tcPr>
            <w:tcW w:w="1396" w:type="dxa"/>
            <w:vAlign w:val="center"/>
          </w:tcPr>
          <w:p w14:paraId="55CE96B5" w14:textId="77777777" w:rsidR="00035E5B" w:rsidRPr="00DA32D9" w:rsidRDefault="00035E5B" w:rsidP="00DA32D9">
            <w:pPr>
              <w:snapToGrid w:val="0"/>
              <w:rPr>
                <w:rFonts w:eastAsia="宋体" w:cs="Times New Roman"/>
                <w:kern w:val="0"/>
                <w:sz w:val="20"/>
                <w:szCs w:val="20"/>
              </w:rPr>
            </w:pPr>
          </w:p>
        </w:tc>
        <w:tc>
          <w:tcPr>
            <w:tcW w:w="1648" w:type="dxa"/>
            <w:vAlign w:val="center"/>
          </w:tcPr>
          <w:p w14:paraId="717891AA" w14:textId="77777777" w:rsidR="00035E5B" w:rsidRPr="00DA32D9" w:rsidRDefault="00035E5B" w:rsidP="00DA32D9">
            <w:pPr>
              <w:snapToGrid w:val="0"/>
              <w:rPr>
                <w:rFonts w:eastAsia="宋体" w:cs="Times New Roman"/>
                <w:kern w:val="0"/>
                <w:sz w:val="20"/>
                <w:szCs w:val="20"/>
              </w:rPr>
            </w:pPr>
          </w:p>
        </w:tc>
        <w:tc>
          <w:tcPr>
            <w:tcW w:w="1111" w:type="dxa"/>
            <w:vAlign w:val="center"/>
          </w:tcPr>
          <w:p w14:paraId="397926E3"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0.075</w:t>
            </w:r>
          </w:p>
        </w:tc>
        <w:tc>
          <w:tcPr>
            <w:tcW w:w="1373" w:type="dxa"/>
            <w:vAlign w:val="center"/>
          </w:tcPr>
          <w:p w14:paraId="77D59D51"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0.823</w:t>
            </w:r>
          </w:p>
        </w:tc>
      </w:tr>
      <w:tr w:rsidR="00035E5B" w:rsidRPr="00DA32D9" w14:paraId="5B81EA39" w14:textId="77777777" w:rsidTr="00D56FB5">
        <w:tc>
          <w:tcPr>
            <w:tcW w:w="2122" w:type="dxa"/>
            <w:vAlign w:val="center"/>
          </w:tcPr>
          <w:p w14:paraId="19FDB223" w14:textId="77777777" w:rsidR="00035E5B" w:rsidRPr="00DA32D9" w:rsidRDefault="0019595D" w:rsidP="00DA32D9">
            <w:pPr>
              <w:snapToGrid w:val="0"/>
              <w:ind w:firstLineChars="100" w:firstLine="200"/>
              <w:rPr>
                <w:rFonts w:eastAsia="宋体" w:cs="Times New Roman"/>
                <w:kern w:val="0"/>
                <w:sz w:val="20"/>
                <w:szCs w:val="20"/>
              </w:rPr>
            </w:pPr>
            <w:r w:rsidRPr="00DA32D9">
              <w:rPr>
                <w:rFonts w:eastAsia="宋体" w:cs="Times New Roman"/>
                <w:sz w:val="20"/>
                <w:szCs w:val="20"/>
              </w:rPr>
              <w:t>Yes</w:t>
            </w:r>
          </w:p>
        </w:tc>
        <w:tc>
          <w:tcPr>
            <w:tcW w:w="1213" w:type="dxa"/>
            <w:vAlign w:val="center"/>
          </w:tcPr>
          <w:p w14:paraId="34A7A050"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41</w:t>
            </w:r>
          </w:p>
        </w:tc>
        <w:tc>
          <w:tcPr>
            <w:tcW w:w="1396" w:type="dxa"/>
            <w:vAlign w:val="center"/>
          </w:tcPr>
          <w:p w14:paraId="1DBDEE5D"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22</w:t>
            </w:r>
          </w:p>
        </w:tc>
        <w:tc>
          <w:tcPr>
            <w:tcW w:w="1648" w:type="dxa"/>
            <w:vAlign w:val="center"/>
          </w:tcPr>
          <w:p w14:paraId="1A6E1C56"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19</w:t>
            </w:r>
          </w:p>
        </w:tc>
        <w:tc>
          <w:tcPr>
            <w:tcW w:w="1111" w:type="dxa"/>
            <w:vAlign w:val="center"/>
          </w:tcPr>
          <w:p w14:paraId="0D41CBB6" w14:textId="77777777" w:rsidR="00035E5B" w:rsidRPr="00DA32D9" w:rsidRDefault="00035E5B" w:rsidP="00DA32D9">
            <w:pPr>
              <w:snapToGrid w:val="0"/>
              <w:rPr>
                <w:rFonts w:eastAsia="宋体" w:cs="Times New Roman"/>
                <w:kern w:val="0"/>
                <w:sz w:val="20"/>
                <w:szCs w:val="20"/>
              </w:rPr>
            </w:pPr>
          </w:p>
        </w:tc>
        <w:tc>
          <w:tcPr>
            <w:tcW w:w="1373" w:type="dxa"/>
            <w:vAlign w:val="center"/>
          </w:tcPr>
          <w:p w14:paraId="3030CEFF" w14:textId="77777777" w:rsidR="00035E5B" w:rsidRPr="00DA32D9" w:rsidRDefault="00035E5B" w:rsidP="00DA32D9">
            <w:pPr>
              <w:snapToGrid w:val="0"/>
              <w:rPr>
                <w:rFonts w:eastAsia="宋体" w:cs="Times New Roman"/>
                <w:kern w:val="0"/>
                <w:sz w:val="20"/>
                <w:szCs w:val="20"/>
              </w:rPr>
            </w:pPr>
          </w:p>
        </w:tc>
      </w:tr>
      <w:tr w:rsidR="00035E5B" w:rsidRPr="00DA32D9" w14:paraId="56A68BDD" w14:textId="77777777" w:rsidTr="00D56FB5">
        <w:tc>
          <w:tcPr>
            <w:tcW w:w="2122" w:type="dxa"/>
            <w:vAlign w:val="center"/>
          </w:tcPr>
          <w:p w14:paraId="22036187" w14:textId="77777777" w:rsidR="00035E5B" w:rsidRPr="00DA32D9" w:rsidRDefault="0019595D" w:rsidP="00DA32D9">
            <w:pPr>
              <w:snapToGrid w:val="0"/>
              <w:ind w:firstLineChars="100" w:firstLine="200"/>
              <w:rPr>
                <w:rFonts w:eastAsia="宋体" w:cs="Times New Roman"/>
                <w:kern w:val="0"/>
                <w:sz w:val="20"/>
                <w:szCs w:val="20"/>
              </w:rPr>
            </w:pPr>
            <w:r w:rsidRPr="00DA32D9">
              <w:rPr>
                <w:rFonts w:eastAsia="宋体" w:cs="Times New Roman"/>
                <w:sz w:val="20"/>
                <w:szCs w:val="20"/>
              </w:rPr>
              <w:t>No</w:t>
            </w:r>
          </w:p>
        </w:tc>
        <w:tc>
          <w:tcPr>
            <w:tcW w:w="1213" w:type="dxa"/>
            <w:vAlign w:val="center"/>
          </w:tcPr>
          <w:p w14:paraId="76C14331"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37</w:t>
            </w:r>
          </w:p>
        </w:tc>
        <w:tc>
          <w:tcPr>
            <w:tcW w:w="1396" w:type="dxa"/>
            <w:vAlign w:val="center"/>
          </w:tcPr>
          <w:p w14:paraId="6F3BB61E"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21</w:t>
            </w:r>
          </w:p>
        </w:tc>
        <w:tc>
          <w:tcPr>
            <w:tcW w:w="1648" w:type="dxa"/>
            <w:vAlign w:val="center"/>
          </w:tcPr>
          <w:p w14:paraId="60C69EE6"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16</w:t>
            </w:r>
          </w:p>
        </w:tc>
        <w:tc>
          <w:tcPr>
            <w:tcW w:w="1111" w:type="dxa"/>
            <w:vAlign w:val="center"/>
          </w:tcPr>
          <w:p w14:paraId="3ECABD17" w14:textId="77777777" w:rsidR="00035E5B" w:rsidRPr="00DA32D9" w:rsidRDefault="00035E5B" w:rsidP="00DA32D9">
            <w:pPr>
              <w:snapToGrid w:val="0"/>
              <w:rPr>
                <w:rFonts w:eastAsia="宋体" w:cs="Times New Roman"/>
                <w:kern w:val="0"/>
                <w:sz w:val="20"/>
                <w:szCs w:val="20"/>
              </w:rPr>
            </w:pPr>
          </w:p>
        </w:tc>
        <w:tc>
          <w:tcPr>
            <w:tcW w:w="1373" w:type="dxa"/>
            <w:vAlign w:val="center"/>
          </w:tcPr>
          <w:p w14:paraId="02C4E58A" w14:textId="77777777" w:rsidR="00035E5B" w:rsidRPr="00DA32D9" w:rsidRDefault="00035E5B" w:rsidP="00DA32D9">
            <w:pPr>
              <w:snapToGrid w:val="0"/>
              <w:rPr>
                <w:rFonts w:eastAsia="宋体" w:cs="Times New Roman"/>
                <w:kern w:val="0"/>
                <w:sz w:val="20"/>
                <w:szCs w:val="20"/>
              </w:rPr>
            </w:pPr>
          </w:p>
        </w:tc>
      </w:tr>
      <w:tr w:rsidR="00035E5B" w:rsidRPr="00DA32D9" w14:paraId="5468C5D5" w14:textId="77777777" w:rsidTr="00D56FB5">
        <w:tc>
          <w:tcPr>
            <w:tcW w:w="2122" w:type="dxa"/>
            <w:vAlign w:val="center"/>
          </w:tcPr>
          <w:p w14:paraId="4E5087FC"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Drinking history</w:t>
            </w:r>
          </w:p>
        </w:tc>
        <w:tc>
          <w:tcPr>
            <w:tcW w:w="1213" w:type="dxa"/>
            <w:vAlign w:val="center"/>
          </w:tcPr>
          <w:p w14:paraId="027DB235" w14:textId="77777777" w:rsidR="00035E5B" w:rsidRPr="00DA32D9" w:rsidRDefault="00035E5B" w:rsidP="00DA32D9">
            <w:pPr>
              <w:snapToGrid w:val="0"/>
              <w:rPr>
                <w:rFonts w:eastAsia="宋体" w:cs="Times New Roman"/>
                <w:kern w:val="0"/>
                <w:sz w:val="20"/>
                <w:szCs w:val="20"/>
              </w:rPr>
            </w:pPr>
          </w:p>
        </w:tc>
        <w:tc>
          <w:tcPr>
            <w:tcW w:w="1396" w:type="dxa"/>
            <w:vAlign w:val="center"/>
          </w:tcPr>
          <w:p w14:paraId="2B2A3EB2" w14:textId="77777777" w:rsidR="00035E5B" w:rsidRPr="00DA32D9" w:rsidRDefault="00035E5B" w:rsidP="00DA32D9">
            <w:pPr>
              <w:snapToGrid w:val="0"/>
              <w:rPr>
                <w:rFonts w:eastAsia="宋体" w:cs="Times New Roman"/>
                <w:kern w:val="0"/>
                <w:sz w:val="20"/>
                <w:szCs w:val="20"/>
              </w:rPr>
            </w:pPr>
          </w:p>
        </w:tc>
        <w:tc>
          <w:tcPr>
            <w:tcW w:w="1648" w:type="dxa"/>
            <w:vAlign w:val="center"/>
          </w:tcPr>
          <w:p w14:paraId="0EB40949" w14:textId="77777777" w:rsidR="00035E5B" w:rsidRPr="00DA32D9" w:rsidRDefault="00035E5B" w:rsidP="00DA32D9">
            <w:pPr>
              <w:snapToGrid w:val="0"/>
              <w:rPr>
                <w:rFonts w:eastAsia="宋体" w:cs="Times New Roman"/>
                <w:kern w:val="0"/>
                <w:sz w:val="20"/>
                <w:szCs w:val="20"/>
              </w:rPr>
            </w:pPr>
          </w:p>
        </w:tc>
        <w:tc>
          <w:tcPr>
            <w:tcW w:w="1111" w:type="dxa"/>
            <w:vAlign w:val="center"/>
          </w:tcPr>
          <w:p w14:paraId="2BD4FF1A"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0.396</w:t>
            </w:r>
          </w:p>
        </w:tc>
        <w:tc>
          <w:tcPr>
            <w:tcW w:w="1373" w:type="dxa"/>
            <w:vAlign w:val="center"/>
          </w:tcPr>
          <w:p w14:paraId="254B4A29"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0.645</w:t>
            </w:r>
          </w:p>
        </w:tc>
      </w:tr>
      <w:tr w:rsidR="00035E5B" w:rsidRPr="00DA32D9" w14:paraId="5AE92195" w14:textId="77777777" w:rsidTr="00D56FB5">
        <w:tc>
          <w:tcPr>
            <w:tcW w:w="2122" w:type="dxa"/>
            <w:vAlign w:val="center"/>
          </w:tcPr>
          <w:p w14:paraId="527A6C65" w14:textId="77777777" w:rsidR="00035E5B" w:rsidRPr="00DA32D9" w:rsidRDefault="0019595D" w:rsidP="00DA32D9">
            <w:pPr>
              <w:snapToGrid w:val="0"/>
              <w:ind w:firstLineChars="100" w:firstLine="200"/>
              <w:rPr>
                <w:rFonts w:eastAsia="宋体" w:cs="Times New Roman"/>
                <w:kern w:val="0"/>
                <w:sz w:val="20"/>
                <w:szCs w:val="20"/>
              </w:rPr>
            </w:pPr>
            <w:r w:rsidRPr="00DA32D9">
              <w:rPr>
                <w:rFonts w:eastAsia="宋体" w:cs="Times New Roman"/>
                <w:sz w:val="20"/>
                <w:szCs w:val="20"/>
              </w:rPr>
              <w:t>Yes</w:t>
            </w:r>
          </w:p>
        </w:tc>
        <w:tc>
          <w:tcPr>
            <w:tcW w:w="1213" w:type="dxa"/>
            <w:vAlign w:val="center"/>
          </w:tcPr>
          <w:p w14:paraId="3D9D4DBC"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46</w:t>
            </w:r>
          </w:p>
        </w:tc>
        <w:tc>
          <w:tcPr>
            <w:tcW w:w="1396" w:type="dxa"/>
            <w:vAlign w:val="center"/>
          </w:tcPr>
          <w:p w14:paraId="56BC067A"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22</w:t>
            </w:r>
          </w:p>
        </w:tc>
        <w:tc>
          <w:tcPr>
            <w:tcW w:w="1648" w:type="dxa"/>
            <w:vAlign w:val="center"/>
          </w:tcPr>
          <w:p w14:paraId="065166B7"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24</w:t>
            </w:r>
          </w:p>
        </w:tc>
        <w:tc>
          <w:tcPr>
            <w:tcW w:w="1111" w:type="dxa"/>
            <w:vAlign w:val="center"/>
          </w:tcPr>
          <w:p w14:paraId="7BDE3FA3" w14:textId="77777777" w:rsidR="00035E5B" w:rsidRPr="00DA32D9" w:rsidRDefault="00035E5B" w:rsidP="00DA32D9">
            <w:pPr>
              <w:snapToGrid w:val="0"/>
              <w:rPr>
                <w:rFonts w:eastAsia="宋体" w:cs="Times New Roman"/>
                <w:kern w:val="0"/>
                <w:sz w:val="20"/>
                <w:szCs w:val="20"/>
              </w:rPr>
            </w:pPr>
          </w:p>
        </w:tc>
        <w:tc>
          <w:tcPr>
            <w:tcW w:w="1373" w:type="dxa"/>
            <w:vAlign w:val="center"/>
          </w:tcPr>
          <w:p w14:paraId="183C4328" w14:textId="77777777" w:rsidR="00035E5B" w:rsidRPr="00DA32D9" w:rsidRDefault="00035E5B" w:rsidP="00DA32D9">
            <w:pPr>
              <w:snapToGrid w:val="0"/>
              <w:rPr>
                <w:rFonts w:eastAsia="宋体" w:cs="Times New Roman"/>
                <w:kern w:val="0"/>
                <w:sz w:val="20"/>
                <w:szCs w:val="20"/>
              </w:rPr>
            </w:pPr>
          </w:p>
        </w:tc>
      </w:tr>
      <w:tr w:rsidR="00035E5B" w:rsidRPr="00DA32D9" w14:paraId="37EB1759" w14:textId="77777777" w:rsidTr="00D56FB5">
        <w:tc>
          <w:tcPr>
            <w:tcW w:w="2122" w:type="dxa"/>
            <w:vAlign w:val="center"/>
          </w:tcPr>
          <w:p w14:paraId="3CBA38FB" w14:textId="77777777" w:rsidR="00035E5B" w:rsidRPr="00DA32D9" w:rsidRDefault="0019595D" w:rsidP="00DA32D9">
            <w:pPr>
              <w:snapToGrid w:val="0"/>
              <w:ind w:firstLineChars="100" w:firstLine="200"/>
              <w:rPr>
                <w:rFonts w:eastAsia="宋体" w:cs="Times New Roman"/>
                <w:kern w:val="0"/>
                <w:sz w:val="20"/>
                <w:szCs w:val="20"/>
              </w:rPr>
            </w:pPr>
            <w:r w:rsidRPr="00DA32D9">
              <w:rPr>
                <w:rFonts w:eastAsia="宋体" w:cs="Times New Roman"/>
                <w:sz w:val="20"/>
                <w:szCs w:val="20"/>
              </w:rPr>
              <w:t>No</w:t>
            </w:r>
          </w:p>
        </w:tc>
        <w:tc>
          <w:tcPr>
            <w:tcW w:w="1213" w:type="dxa"/>
            <w:vAlign w:val="center"/>
          </w:tcPr>
          <w:p w14:paraId="4F28C595"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32</w:t>
            </w:r>
          </w:p>
        </w:tc>
        <w:tc>
          <w:tcPr>
            <w:tcW w:w="1396" w:type="dxa"/>
            <w:vAlign w:val="center"/>
          </w:tcPr>
          <w:p w14:paraId="6A30BB25"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15</w:t>
            </w:r>
          </w:p>
        </w:tc>
        <w:tc>
          <w:tcPr>
            <w:tcW w:w="1648" w:type="dxa"/>
            <w:vAlign w:val="center"/>
          </w:tcPr>
          <w:p w14:paraId="6A88685C"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17</w:t>
            </w:r>
          </w:p>
        </w:tc>
        <w:tc>
          <w:tcPr>
            <w:tcW w:w="1111" w:type="dxa"/>
            <w:vAlign w:val="center"/>
          </w:tcPr>
          <w:p w14:paraId="0E187D2C" w14:textId="77777777" w:rsidR="00035E5B" w:rsidRPr="00DA32D9" w:rsidRDefault="00035E5B" w:rsidP="00DA32D9">
            <w:pPr>
              <w:snapToGrid w:val="0"/>
              <w:rPr>
                <w:rFonts w:eastAsia="宋体" w:cs="Times New Roman"/>
                <w:kern w:val="0"/>
                <w:sz w:val="20"/>
                <w:szCs w:val="20"/>
              </w:rPr>
            </w:pPr>
          </w:p>
        </w:tc>
        <w:tc>
          <w:tcPr>
            <w:tcW w:w="1373" w:type="dxa"/>
            <w:vAlign w:val="center"/>
          </w:tcPr>
          <w:p w14:paraId="5C86BC1A" w14:textId="77777777" w:rsidR="00035E5B" w:rsidRPr="00DA32D9" w:rsidRDefault="00035E5B" w:rsidP="00DA32D9">
            <w:pPr>
              <w:snapToGrid w:val="0"/>
              <w:rPr>
                <w:rFonts w:eastAsia="宋体" w:cs="Times New Roman"/>
                <w:kern w:val="0"/>
                <w:sz w:val="20"/>
                <w:szCs w:val="20"/>
              </w:rPr>
            </w:pPr>
          </w:p>
        </w:tc>
      </w:tr>
      <w:tr w:rsidR="00035E5B" w:rsidRPr="00DA32D9" w14:paraId="065BB24C" w14:textId="77777777" w:rsidTr="00D56FB5">
        <w:tc>
          <w:tcPr>
            <w:tcW w:w="2122" w:type="dxa"/>
            <w:vAlign w:val="center"/>
          </w:tcPr>
          <w:p w14:paraId="50EB8C5F"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N staging</w:t>
            </w:r>
          </w:p>
        </w:tc>
        <w:tc>
          <w:tcPr>
            <w:tcW w:w="1213" w:type="dxa"/>
            <w:vAlign w:val="center"/>
          </w:tcPr>
          <w:p w14:paraId="7774E695" w14:textId="77777777" w:rsidR="00035E5B" w:rsidRPr="00DA32D9" w:rsidRDefault="00035E5B" w:rsidP="00DA32D9">
            <w:pPr>
              <w:snapToGrid w:val="0"/>
              <w:rPr>
                <w:rFonts w:eastAsia="宋体" w:cs="Times New Roman"/>
                <w:kern w:val="0"/>
                <w:sz w:val="20"/>
                <w:szCs w:val="20"/>
              </w:rPr>
            </w:pPr>
          </w:p>
        </w:tc>
        <w:tc>
          <w:tcPr>
            <w:tcW w:w="1396" w:type="dxa"/>
            <w:vAlign w:val="center"/>
          </w:tcPr>
          <w:p w14:paraId="5ABEECAC" w14:textId="77777777" w:rsidR="00035E5B" w:rsidRPr="00DA32D9" w:rsidRDefault="00035E5B" w:rsidP="00DA32D9">
            <w:pPr>
              <w:snapToGrid w:val="0"/>
              <w:rPr>
                <w:rFonts w:eastAsia="宋体" w:cs="Times New Roman"/>
                <w:kern w:val="0"/>
                <w:sz w:val="20"/>
                <w:szCs w:val="20"/>
              </w:rPr>
            </w:pPr>
          </w:p>
        </w:tc>
        <w:tc>
          <w:tcPr>
            <w:tcW w:w="1648" w:type="dxa"/>
            <w:vAlign w:val="center"/>
          </w:tcPr>
          <w:p w14:paraId="698A56C7" w14:textId="77777777" w:rsidR="00035E5B" w:rsidRPr="00DA32D9" w:rsidRDefault="00035E5B" w:rsidP="00DA32D9">
            <w:pPr>
              <w:snapToGrid w:val="0"/>
              <w:rPr>
                <w:rFonts w:eastAsia="宋体" w:cs="Times New Roman"/>
                <w:kern w:val="0"/>
                <w:sz w:val="20"/>
                <w:szCs w:val="20"/>
              </w:rPr>
            </w:pPr>
          </w:p>
        </w:tc>
        <w:tc>
          <w:tcPr>
            <w:tcW w:w="1111" w:type="dxa"/>
            <w:vAlign w:val="center"/>
          </w:tcPr>
          <w:p w14:paraId="7B2FF764"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5.128</w:t>
            </w:r>
          </w:p>
        </w:tc>
        <w:tc>
          <w:tcPr>
            <w:tcW w:w="1373" w:type="dxa"/>
            <w:vAlign w:val="center"/>
          </w:tcPr>
          <w:p w14:paraId="7A32B521" w14:textId="77777777" w:rsidR="00035E5B" w:rsidRPr="008001B6" w:rsidRDefault="0019595D" w:rsidP="00DA32D9">
            <w:pPr>
              <w:snapToGrid w:val="0"/>
              <w:rPr>
                <w:rFonts w:eastAsia="宋体" w:cs="Times New Roman"/>
                <w:kern w:val="0"/>
                <w:sz w:val="20"/>
                <w:szCs w:val="20"/>
              </w:rPr>
            </w:pPr>
            <w:r w:rsidRPr="008001B6">
              <w:rPr>
                <w:rFonts w:eastAsia="宋体" w:cs="Times New Roman"/>
                <w:sz w:val="20"/>
                <w:szCs w:val="20"/>
              </w:rPr>
              <w:t>0.035</w:t>
            </w:r>
          </w:p>
        </w:tc>
      </w:tr>
      <w:tr w:rsidR="00035E5B" w:rsidRPr="00DA32D9" w14:paraId="520BAC8D" w14:textId="77777777" w:rsidTr="00D56FB5">
        <w:tc>
          <w:tcPr>
            <w:tcW w:w="2122" w:type="dxa"/>
            <w:vAlign w:val="center"/>
          </w:tcPr>
          <w:p w14:paraId="06D3B21A" w14:textId="77777777" w:rsidR="00035E5B" w:rsidRPr="00DA32D9" w:rsidRDefault="0019595D" w:rsidP="00DA32D9">
            <w:pPr>
              <w:snapToGrid w:val="0"/>
              <w:ind w:firstLineChars="100" w:firstLine="200"/>
              <w:rPr>
                <w:rFonts w:eastAsia="宋体" w:cs="Times New Roman"/>
                <w:kern w:val="0"/>
                <w:sz w:val="20"/>
                <w:szCs w:val="20"/>
              </w:rPr>
            </w:pPr>
            <w:r w:rsidRPr="00DA32D9">
              <w:rPr>
                <w:rFonts w:eastAsia="宋体" w:cs="Times New Roman"/>
                <w:sz w:val="20"/>
                <w:szCs w:val="20"/>
              </w:rPr>
              <w:t>N</w:t>
            </w:r>
            <w:r w:rsidRPr="00DA32D9">
              <w:rPr>
                <w:rFonts w:eastAsia="宋体" w:cs="Times New Roman"/>
                <w:sz w:val="20"/>
                <w:szCs w:val="20"/>
                <w:vertAlign w:val="subscript"/>
              </w:rPr>
              <w:t>0</w:t>
            </w:r>
          </w:p>
        </w:tc>
        <w:tc>
          <w:tcPr>
            <w:tcW w:w="1213" w:type="dxa"/>
            <w:vAlign w:val="center"/>
          </w:tcPr>
          <w:p w14:paraId="02645489"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25</w:t>
            </w:r>
          </w:p>
        </w:tc>
        <w:tc>
          <w:tcPr>
            <w:tcW w:w="1396" w:type="dxa"/>
            <w:vAlign w:val="center"/>
          </w:tcPr>
          <w:p w14:paraId="5E0BAB03"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12</w:t>
            </w:r>
          </w:p>
        </w:tc>
        <w:tc>
          <w:tcPr>
            <w:tcW w:w="1648" w:type="dxa"/>
            <w:vAlign w:val="center"/>
          </w:tcPr>
          <w:p w14:paraId="00AC887C"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13</w:t>
            </w:r>
          </w:p>
        </w:tc>
        <w:tc>
          <w:tcPr>
            <w:tcW w:w="1111" w:type="dxa"/>
            <w:vAlign w:val="center"/>
          </w:tcPr>
          <w:p w14:paraId="75FCA0DC" w14:textId="77777777" w:rsidR="00035E5B" w:rsidRPr="00DA32D9" w:rsidRDefault="00035E5B" w:rsidP="00DA32D9">
            <w:pPr>
              <w:snapToGrid w:val="0"/>
              <w:rPr>
                <w:rFonts w:eastAsia="宋体" w:cs="Times New Roman"/>
                <w:kern w:val="0"/>
                <w:sz w:val="20"/>
                <w:szCs w:val="20"/>
              </w:rPr>
            </w:pPr>
          </w:p>
        </w:tc>
        <w:tc>
          <w:tcPr>
            <w:tcW w:w="1373" w:type="dxa"/>
            <w:vAlign w:val="center"/>
          </w:tcPr>
          <w:p w14:paraId="77B41161" w14:textId="77777777" w:rsidR="00035E5B" w:rsidRPr="009C0E9B" w:rsidRDefault="00035E5B" w:rsidP="00DA32D9">
            <w:pPr>
              <w:snapToGrid w:val="0"/>
              <w:rPr>
                <w:rFonts w:eastAsia="宋体" w:cs="Times New Roman"/>
                <w:kern w:val="0"/>
                <w:sz w:val="20"/>
                <w:szCs w:val="20"/>
              </w:rPr>
            </w:pPr>
          </w:p>
        </w:tc>
      </w:tr>
      <w:tr w:rsidR="00035E5B" w:rsidRPr="00DA32D9" w14:paraId="4AB299FB" w14:textId="77777777" w:rsidTr="00D56FB5">
        <w:tc>
          <w:tcPr>
            <w:tcW w:w="2122" w:type="dxa"/>
            <w:vAlign w:val="center"/>
          </w:tcPr>
          <w:p w14:paraId="24E76FDF" w14:textId="77777777" w:rsidR="00035E5B" w:rsidRPr="00DA32D9" w:rsidRDefault="0019595D" w:rsidP="00DA32D9">
            <w:pPr>
              <w:snapToGrid w:val="0"/>
              <w:ind w:firstLineChars="100" w:firstLine="200"/>
              <w:rPr>
                <w:rFonts w:eastAsia="宋体" w:cs="Times New Roman"/>
                <w:kern w:val="0"/>
                <w:sz w:val="20"/>
                <w:szCs w:val="20"/>
              </w:rPr>
            </w:pPr>
            <w:r w:rsidRPr="00DA32D9">
              <w:rPr>
                <w:rFonts w:eastAsia="宋体" w:cs="Times New Roman"/>
                <w:sz w:val="20"/>
                <w:szCs w:val="20"/>
              </w:rPr>
              <w:t>N</w:t>
            </w:r>
            <w:r w:rsidRPr="00DA32D9">
              <w:rPr>
                <w:rFonts w:eastAsia="宋体" w:cs="Times New Roman"/>
                <w:sz w:val="20"/>
                <w:szCs w:val="20"/>
                <w:vertAlign w:val="subscript"/>
              </w:rPr>
              <w:t>1</w:t>
            </w:r>
            <w:r w:rsidRPr="00DA32D9">
              <w:rPr>
                <w:rFonts w:eastAsia="宋体" w:cs="Times New Roman"/>
                <w:sz w:val="20"/>
                <w:szCs w:val="20"/>
              </w:rPr>
              <w:t>/N</w:t>
            </w:r>
            <w:r w:rsidRPr="00DA32D9">
              <w:rPr>
                <w:rFonts w:eastAsia="宋体" w:cs="Times New Roman"/>
                <w:sz w:val="20"/>
                <w:szCs w:val="20"/>
                <w:vertAlign w:val="subscript"/>
              </w:rPr>
              <w:t>2</w:t>
            </w:r>
            <w:r w:rsidRPr="00DA32D9">
              <w:rPr>
                <w:rFonts w:eastAsia="宋体" w:cs="Times New Roman"/>
                <w:sz w:val="20"/>
                <w:szCs w:val="20"/>
              </w:rPr>
              <w:t>/N</w:t>
            </w:r>
            <w:r w:rsidRPr="00DA32D9">
              <w:rPr>
                <w:rFonts w:eastAsia="宋体" w:cs="Times New Roman"/>
                <w:sz w:val="20"/>
                <w:szCs w:val="20"/>
                <w:vertAlign w:val="subscript"/>
              </w:rPr>
              <w:t>3</w:t>
            </w:r>
          </w:p>
        </w:tc>
        <w:tc>
          <w:tcPr>
            <w:tcW w:w="1213" w:type="dxa"/>
            <w:vAlign w:val="center"/>
          </w:tcPr>
          <w:p w14:paraId="5DBB7EE6"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53</w:t>
            </w:r>
          </w:p>
        </w:tc>
        <w:tc>
          <w:tcPr>
            <w:tcW w:w="1396" w:type="dxa"/>
            <w:vAlign w:val="center"/>
          </w:tcPr>
          <w:p w14:paraId="7D0022EE"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12</w:t>
            </w:r>
          </w:p>
        </w:tc>
        <w:tc>
          <w:tcPr>
            <w:tcW w:w="1648" w:type="dxa"/>
            <w:vAlign w:val="center"/>
          </w:tcPr>
          <w:p w14:paraId="0948FB73"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41</w:t>
            </w:r>
          </w:p>
        </w:tc>
        <w:tc>
          <w:tcPr>
            <w:tcW w:w="1111" w:type="dxa"/>
            <w:vAlign w:val="center"/>
          </w:tcPr>
          <w:p w14:paraId="4FE32F56" w14:textId="77777777" w:rsidR="00035E5B" w:rsidRPr="00DA32D9" w:rsidRDefault="00035E5B" w:rsidP="00DA32D9">
            <w:pPr>
              <w:snapToGrid w:val="0"/>
              <w:rPr>
                <w:rFonts w:eastAsia="宋体" w:cs="Times New Roman"/>
                <w:kern w:val="0"/>
                <w:sz w:val="20"/>
                <w:szCs w:val="20"/>
              </w:rPr>
            </w:pPr>
          </w:p>
        </w:tc>
        <w:tc>
          <w:tcPr>
            <w:tcW w:w="1373" w:type="dxa"/>
            <w:vAlign w:val="center"/>
          </w:tcPr>
          <w:p w14:paraId="599BD7CC" w14:textId="77777777" w:rsidR="00035E5B" w:rsidRPr="009C0E9B" w:rsidRDefault="00035E5B" w:rsidP="00DA32D9">
            <w:pPr>
              <w:snapToGrid w:val="0"/>
              <w:rPr>
                <w:rFonts w:eastAsia="宋体" w:cs="Times New Roman"/>
                <w:kern w:val="0"/>
                <w:sz w:val="20"/>
                <w:szCs w:val="20"/>
              </w:rPr>
            </w:pPr>
          </w:p>
        </w:tc>
      </w:tr>
      <w:tr w:rsidR="00035E5B" w:rsidRPr="00DA32D9" w14:paraId="7047CECE" w14:textId="77777777" w:rsidTr="00D56FB5">
        <w:tc>
          <w:tcPr>
            <w:tcW w:w="2122" w:type="dxa"/>
            <w:vAlign w:val="center"/>
          </w:tcPr>
          <w:p w14:paraId="40CA091A"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M staging</w:t>
            </w:r>
          </w:p>
        </w:tc>
        <w:tc>
          <w:tcPr>
            <w:tcW w:w="1213" w:type="dxa"/>
            <w:vAlign w:val="center"/>
          </w:tcPr>
          <w:p w14:paraId="21CBF8E6" w14:textId="77777777" w:rsidR="00035E5B" w:rsidRPr="00DA32D9" w:rsidRDefault="00035E5B" w:rsidP="00DA32D9">
            <w:pPr>
              <w:snapToGrid w:val="0"/>
              <w:rPr>
                <w:rFonts w:eastAsia="宋体" w:cs="Times New Roman"/>
                <w:kern w:val="0"/>
                <w:sz w:val="20"/>
                <w:szCs w:val="20"/>
              </w:rPr>
            </w:pPr>
          </w:p>
        </w:tc>
        <w:tc>
          <w:tcPr>
            <w:tcW w:w="1396" w:type="dxa"/>
            <w:vAlign w:val="center"/>
          </w:tcPr>
          <w:p w14:paraId="291849DA" w14:textId="77777777" w:rsidR="00035E5B" w:rsidRPr="00DA32D9" w:rsidRDefault="00035E5B" w:rsidP="00DA32D9">
            <w:pPr>
              <w:snapToGrid w:val="0"/>
              <w:rPr>
                <w:rFonts w:eastAsia="宋体" w:cs="Times New Roman"/>
                <w:kern w:val="0"/>
                <w:sz w:val="20"/>
                <w:szCs w:val="20"/>
              </w:rPr>
            </w:pPr>
          </w:p>
        </w:tc>
        <w:tc>
          <w:tcPr>
            <w:tcW w:w="1648" w:type="dxa"/>
            <w:vAlign w:val="center"/>
          </w:tcPr>
          <w:p w14:paraId="23D5EFD0" w14:textId="77777777" w:rsidR="00035E5B" w:rsidRPr="00DA32D9" w:rsidRDefault="00035E5B" w:rsidP="00DA32D9">
            <w:pPr>
              <w:snapToGrid w:val="0"/>
              <w:rPr>
                <w:rFonts w:eastAsia="宋体" w:cs="Times New Roman"/>
                <w:kern w:val="0"/>
                <w:sz w:val="20"/>
                <w:szCs w:val="20"/>
              </w:rPr>
            </w:pPr>
          </w:p>
        </w:tc>
        <w:tc>
          <w:tcPr>
            <w:tcW w:w="1111" w:type="dxa"/>
            <w:vAlign w:val="center"/>
          </w:tcPr>
          <w:p w14:paraId="615DBA34"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5.349</w:t>
            </w:r>
          </w:p>
        </w:tc>
        <w:tc>
          <w:tcPr>
            <w:tcW w:w="1373" w:type="dxa"/>
            <w:vAlign w:val="center"/>
          </w:tcPr>
          <w:p w14:paraId="63BD4D35" w14:textId="77777777" w:rsidR="00035E5B" w:rsidRPr="008001B6" w:rsidRDefault="0019595D" w:rsidP="00DA32D9">
            <w:pPr>
              <w:snapToGrid w:val="0"/>
              <w:rPr>
                <w:rFonts w:eastAsia="宋体" w:cs="Times New Roman"/>
                <w:kern w:val="0"/>
                <w:sz w:val="20"/>
                <w:szCs w:val="20"/>
              </w:rPr>
            </w:pPr>
            <w:r w:rsidRPr="008001B6">
              <w:rPr>
                <w:rFonts w:eastAsia="宋体" w:cs="Times New Roman"/>
                <w:sz w:val="20"/>
                <w:szCs w:val="20"/>
              </w:rPr>
              <w:t>0.027</w:t>
            </w:r>
          </w:p>
        </w:tc>
      </w:tr>
      <w:tr w:rsidR="00035E5B" w:rsidRPr="00DA32D9" w14:paraId="4F7E8649" w14:textId="77777777" w:rsidTr="00D56FB5">
        <w:tc>
          <w:tcPr>
            <w:tcW w:w="2122" w:type="dxa"/>
            <w:vAlign w:val="center"/>
          </w:tcPr>
          <w:p w14:paraId="0DD5ABE6" w14:textId="77777777" w:rsidR="00035E5B" w:rsidRPr="00DA32D9" w:rsidRDefault="0019595D" w:rsidP="00DA32D9">
            <w:pPr>
              <w:snapToGrid w:val="0"/>
              <w:ind w:firstLineChars="100" w:firstLine="200"/>
              <w:rPr>
                <w:rFonts w:eastAsia="宋体" w:cs="Times New Roman"/>
                <w:kern w:val="0"/>
                <w:sz w:val="20"/>
                <w:szCs w:val="20"/>
              </w:rPr>
            </w:pPr>
            <w:r w:rsidRPr="00DA32D9">
              <w:rPr>
                <w:rFonts w:eastAsia="宋体" w:cs="Times New Roman"/>
                <w:sz w:val="20"/>
                <w:szCs w:val="20"/>
              </w:rPr>
              <w:t>M</w:t>
            </w:r>
            <w:r w:rsidRPr="00DA32D9">
              <w:rPr>
                <w:rFonts w:eastAsia="宋体" w:cs="Times New Roman"/>
                <w:sz w:val="20"/>
                <w:szCs w:val="20"/>
                <w:vertAlign w:val="subscript"/>
              </w:rPr>
              <w:t>0</w:t>
            </w:r>
          </w:p>
        </w:tc>
        <w:tc>
          <w:tcPr>
            <w:tcW w:w="1213" w:type="dxa"/>
            <w:vAlign w:val="center"/>
          </w:tcPr>
          <w:p w14:paraId="59306228"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22</w:t>
            </w:r>
          </w:p>
        </w:tc>
        <w:tc>
          <w:tcPr>
            <w:tcW w:w="1396" w:type="dxa"/>
            <w:vAlign w:val="center"/>
          </w:tcPr>
          <w:p w14:paraId="30327CF0"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10</w:t>
            </w:r>
          </w:p>
        </w:tc>
        <w:tc>
          <w:tcPr>
            <w:tcW w:w="1648" w:type="dxa"/>
            <w:vAlign w:val="center"/>
          </w:tcPr>
          <w:p w14:paraId="1BEFC5F3"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12</w:t>
            </w:r>
          </w:p>
        </w:tc>
        <w:tc>
          <w:tcPr>
            <w:tcW w:w="1111" w:type="dxa"/>
            <w:vAlign w:val="center"/>
          </w:tcPr>
          <w:p w14:paraId="5889CF0C" w14:textId="77777777" w:rsidR="00035E5B" w:rsidRPr="00DA32D9" w:rsidRDefault="00035E5B" w:rsidP="00DA32D9">
            <w:pPr>
              <w:snapToGrid w:val="0"/>
              <w:rPr>
                <w:rFonts w:eastAsia="宋体" w:cs="Times New Roman"/>
                <w:kern w:val="0"/>
                <w:sz w:val="20"/>
                <w:szCs w:val="20"/>
              </w:rPr>
            </w:pPr>
          </w:p>
        </w:tc>
        <w:tc>
          <w:tcPr>
            <w:tcW w:w="1373" w:type="dxa"/>
            <w:vAlign w:val="center"/>
          </w:tcPr>
          <w:p w14:paraId="39D8DC0C" w14:textId="77777777" w:rsidR="00035E5B" w:rsidRPr="009C0E9B" w:rsidRDefault="00035E5B" w:rsidP="00DA32D9">
            <w:pPr>
              <w:snapToGrid w:val="0"/>
              <w:rPr>
                <w:rFonts w:eastAsia="宋体" w:cs="Times New Roman"/>
                <w:kern w:val="0"/>
                <w:sz w:val="20"/>
                <w:szCs w:val="20"/>
              </w:rPr>
            </w:pPr>
          </w:p>
        </w:tc>
      </w:tr>
      <w:tr w:rsidR="00035E5B" w:rsidRPr="00DA32D9" w14:paraId="143661B1" w14:textId="77777777" w:rsidTr="00D56FB5">
        <w:tc>
          <w:tcPr>
            <w:tcW w:w="2122" w:type="dxa"/>
            <w:vAlign w:val="center"/>
          </w:tcPr>
          <w:p w14:paraId="43F274C3" w14:textId="77777777" w:rsidR="00035E5B" w:rsidRPr="00DA32D9" w:rsidRDefault="0019595D" w:rsidP="00DA32D9">
            <w:pPr>
              <w:snapToGrid w:val="0"/>
              <w:ind w:firstLineChars="100" w:firstLine="200"/>
              <w:rPr>
                <w:rFonts w:eastAsia="宋体" w:cs="Times New Roman"/>
                <w:kern w:val="0"/>
                <w:sz w:val="20"/>
                <w:szCs w:val="20"/>
              </w:rPr>
            </w:pPr>
            <w:r w:rsidRPr="00DA32D9">
              <w:rPr>
                <w:rFonts w:eastAsia="宋体" w:cs="Times New Roman"/>
                <w:sz w:val="20"/>
                <w:szCs w:val="20"/>
              </w:rPr>
              <w:t>M</w:t>
            </w:r>
            <w:r w:rsidRPr="00DA32D9">
              <w:rPr>
                <w:rFonts w:eastAsia="宋体" w:cs="Times New Roman"/>
                <w:sz w:val="20"/>
                <w:szCs w:val="20"/>
                <w:vertAlign w:val="subscript"/>
              </w:rPr>
              <w:t>1</w:t>
            </w:r>
          </w:p>
        </w:tc>
        <w:tc>
          <w:tcPr>
            <w:tcW w:w="1213" w:type="dxa"/>
            <w:vAlign w:val="center"/>
          </w:tcPr>
          <w:p w14:paraId="4776394D"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56</w:t>
            </w:r>
          </w:p>
        </w:tc>
        <w:tc>
          <w:tcPr>
            <w:tcW w:w="1396" w:type="dxa"/>
            <w:vAlign w:val="center"/>
          </w:tcPr>
          <w:p w14:paraId="1D811E5C"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11</w:t>
            </w:r>
          </w:p>
        </w:tc>
        <w:tc>
          <w:tcPr>
            <w:tcW w:w="1648" w:type="dxa"/>
            <w:vAlign w:val="center"/>
          </w:tcPr>
          <w:p w14:paraId="7D766BA9"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45</w:t>
            </w:r>
          </w:p>
        </w:tc>
        <w:tc>
          <w:tcPr>
            <w:tcW w:w="1111" w:type="dxa"/>
            <w:vAlign w:val="center"/>
          </w:tcPr>
          <w:p w14:paraId="430D3418" w14:textId="77777777" w:rsidR="00035E5B" w:rsidRPr="00DA32D9" w:rsidRDefault="00035E5B" w:rsidP="00DA32D9">
            <w:pPr>
              <w:snapToGrid w:val="0"/>
              <w:rPr>
                <w:rFonts w:eastAsia="宋体" w:cs="Times New Roman"/>
                <w:kern w:val="0"/>
                <w:sz w:val="20"/>
                <w:szCs w:val="20"/>
              </w:rPr>
            </w:pPr>
          </w:p>
        </w:tc>
        <w:tc>
          <w:tcPr>
            <w:tcW w:w="1373" w:type="dxa"/>
            <w:vAlign w:val="center"/>
          </w:tcPr>
          <w:p w14:paraId="6C9466BD" w14:textId="77777777" w:rsidR="00035E5B" w:rsidRPr="009C0E9B" w:rsidRDefault="00035E5B" w:rsidP="00DA32D9">
            <w:pPr>
              <w:snapToGrid w:val="0"/>
              <w:rPr>
                <w:rFonts w:eastAsia="宋体" w:cs="Times New Roman"/>
                <w:kern w:val="0"/>
                <w:sz w:val="20"/>
                <w:szCs w:val="20"/>
              </w:rPr>
            </w:pPr>
          </w:p>
        </w:tc>
      </w:tr>
      <w:tr w:rsidR="00035E5B" w:rsidRPr="00DA32D9" w14:paraId="4DA040FF" w14:textId="77777777" w:rsidTr="00D56FB5">
        <w:tc>
          <w:tcPr>
            <w:tcW w:w="2122" w:type="dxa"/>
            <w:vAlign w:val="center"/>
          </w:tcPr>
          <w:p w14:paraId="054E6EB0"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RECK expression</w:t>
            </w:r>
          </w:p>
        </w:tc>
        <w:tc>
          <w:tcPr>
            <w:tcW w:w="1213" w:type="dxa"/>
            <w:vAlign w:val="center"/>
          </w:tcPr>
          <w:p w14:paraId="2CF90FEF" w14:textId="77777777" w:rsidR="00035E5B" w:rsidRPr="00DA32D9" w:rsidRDefault="00035E5B" w:rsidP="00DA32D9">
            <w:pPr>
              <w:snapToGrid w:val="0"/>
              <w:rPr>
                <w:rFonts w:eastAsia="宋体" w:cs="Times New Roman"/>
                <w:kern w:val="0"/>
                <w:sz w:val="20"/>
                <w:szCs w:val="20"/>
              </w:rPr>
            </w:pPr>
          </w:p>
        </w:tc>
        <w:tc>
          <w:tcPr>
            <w:tcW w:w="1396" w:type="dxa"/>
            <w:vAlign w:val="center"/>
          </w:tcPr>
          <w:p w14:paraId="69E50DED" w14:textId="77777777" w:rsidR="00035E5B" w:rsidRPr="00DA32D9" w:rsidRDefault="00035E5B" w:rsidP="00DA32D9">
            <w:pPr>
              <w:snapToGrid w:val="0"/>
              <w:rPr>
                <w:rFonts w:eastAsia="宋体" w:cs="Times New Roman"/>
                <w:kern w:val="0"/>
                <w:sz w:val="20"/>
                <w:szCs w:val="20"/>
              </w:rPr>
            </w:pPr>
          </w:p>
        </w:tc>
        <w:tc>
          <w:tcPr>
            <w:tcW w:w="1648" w:type="dxa"/>
            <w:vAlign w:val="center"/>
          </w:tcPr>
          <w:p w14:paraId="13542F97" w14:textId="77777777" w:rsidR="00035E5B" w:rsidRPr="00DA32D9" w:rsidRDefault="00035E5B" w:rsidP="00DA32D9">
            <w:pPr>
              <w:snapToGrid w:val="0"/>
              <w:rPr>
                <w:rFonts w:eastAsia="宋体" w:cs="Times New Roman"/>
                <w:kern w:val="0"/>
                <w:sz w:val="20"/>
                <w:szCs w:val="20"/>
              </w:rPr>
            </w:pPr>
          </w:p>
        </w:tc>
        <w:tc>
          <w:tcPr>
            <w:tcW w:w="1111" w:type="dxa"/>
            <w:vAlign w:val="center"/>
          </w:tcPr>
          <w:p w14:paraId="1FB27C50" w14:textId="77777777" w:rsidR="00035E5B" w:rsidRPr="00DA32D9" w:rsidRDefault="00035E5B" w:rsidP="00DA32D9">
            <w:pPr>
              <w:snapToGrid w:val="0"/>
              <w:rPr>
                <w:rFonts w:eastAsia="宋体" w:cs="Times New Roman"/>
                <w:kern w:val="0"/>
                <w:sz w:val="20"/>
                <w:szCs w:val="20"/>
              </w:rPr>
            </w:pPr>
          </w:p>
        </w:tc>
        <w:tc>
          <w:tcPr>
            <w:tcW w:w="1373" w:type="dxa"/>
            <w:vAlign w:val="center"/>
          </w:tcPr>
          <w:p w14:paraId="1D57D558" w14:textId="77777777" w:rsidR="00035E5B" w:rsidRPr="009C0E9B" w:rsidRDefault="00035E5B" w:rsidP="00DA32D9">
            <w:pPr>
              <w:snapToGrid w:val="0"/>
              <w:rPr>
                <w:rFonts w:eastAsia="宋体" w:cs="Times New Roman"/>
                <w:kern w:val="0"/>
                <w:sz w:val="20"/>
                <w:szCs w:val="20"/>
              </w:rPr>
            </w:pPr>
          </w:p>
        </w:tc>
      </w:tr>
      <w:tr w:rsidR="00035E5B" w:rsidRPr="00DA32D9" w14:paraId="2B63E64C" w14:textId="77777777" w:rsidTr="00D56FB5">
        <w:tc>
          <w:tcPr>
            <w:tcW w:w="2122" w:type="dxa"/>
            <w:vAlign w:val="center"/>
          </w:tcPr>
          <w:p w14:paraId="17EA610A" w14:textId="77777777" w:rsidR="00035E5B" w:rsidRPr="00DA32D9" w:rsidRDefault="0019595D" w:rsidP="00DA32D9">
            <w:pPr>
              <w:snapToGrid w:val="0"/>
              <w:ind w:firstLineChars="100" w:firstLine="200"/>
              <w:rPr>
                <w:rFonts w:eastAsia="宋体" w:cs="Times New Roman"/>
                <w:kern w:val="0"/>
                <w:sz w:val="20"/>
                <w:szCs w:val="20"/>
              </w:rPr>
            </w:pPr>
            <w:r w:rsidRPr="00DA32D9">
              <w:rPr>
                <w:rFonts w:eastAsia="宋体" w:cs="Times New Roman"/>
                <w:sz w:val="20"/>
                <w:szCs w:val="20"/>
              </w:rPr>
              <w:t xml:space="preserve">Low </w:t>
            </w:r>
          </w:p>
        </w:tc>
        <w:tc>
          <w:tcPr>
            <w:tcW w:w="1213" w:type="dxa"/>
            <w:vAlign w:val="center"/>
          </w:tcPr>
          <w:p w14:paraId="15996D6A"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31</w:t>
            </w:r>
          </w:p>
        </w:tc>
        <w:tc>
          <w:tcPr>
            <w:tcW w:w="1396" w:type="dxa"/>
            <w:vAlign w:val="center"/>
          </w:tcPr>
          <w:p w14:paraId="3A073880"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15</w:t>
            </w:r>
          </w:p>
        </w:tc>
        <w:tc>
          <w:tcPr>
            <w:tcW w:w="1648" w:type="dxa"/>
            <w:vAlign w:val="center"/>
          </w:tcPr>
          <w:p w14:paraId="420F5ACB"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16</w:t>
            </w:r>
          </w:p>
        </w:tc>
        <w:tc>
          <w:tcPr>
            <w:tcW w:w="1111" w:type="dxa"/>
            <w:vAlign w:val="center"/>
          </w:tcPr>
          <w:p w14:paraId="621B04D8"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5.246</w:t>
            </w:r>
          </w:p>
        </w:tc>
        <w:tc>
          <w:tcPr>
            <w:tcW w:w="1373" w:type="dxa"/>
            <w:vAlign w:val="center"/>
          </w:tcPr>
          <w:p w14:paraId="4195D046" w14:textId="77777777" w:rsidR="00035E5B" w:rsidRPr="008001B6" w:rsidRDefault="0019595D" w:rsidP="00DA32D9">
            <w:pPr>
              <w:snapToGrid w:val="0"/>
              <w:rPr>
                <w:rFonts w:eastAsia="宋体" w:cs="Times New Roman"/>
                <w:kern w:val="0"/>
                <w:sz w:val="20"/>
                <w:szCs w:val="20"/>
              </w:rPr>
            </w:pPr>
            <w:r w:rsidRPr="008001B6">
              <w:rPr>
                <w:rFonts w:eastAsia="宋体" w:cs="Times New Roman"/>
                <w:sz w:val="20"/>
                <w:szCs w:val="20"/>
              </w:rPr>
              <w:t>0.028</w:t>
            </w:r>
          </w:p>
        </w:tc>
      </w:tr>
      <w:tr w:rsidR="00035E5B" w:rsidRPr="00DA32D9" w14:paraId="0ECA431C" w14:textId="77777777" w:rsidTr="00D56FB5">
        <w:tc>
          <w:tcPr>
            <w:tcW w:w="2122" w:type="dxa"/>
            <w:vAlign w:val="center"/>
          </w:tcPr>
          <w:p w14:paraId="3286B56C" w14:textId="77777777" w:rsidR="00035E5B" w:rsidRPr="00DA32D9" w:rsidRDefault="0019595D" w:rsidP="00DA32D9">
            <w:pPr>
              <w:snapToGrid w:val="0"/>
              <w:ind w:firstLineChars="100" w:firstLine="200"/>
              <w:rPr>
                <w:rFonts w:eastAsia="宋体" w:cs="Times New Roman"/>
                <w:kern w:val="0"/>
                <w:sz w:val="20"/>
                <w:szCs w:val="20"/>
              </w:rPr>
            </w:pPr>
            <w:r w:rsidRPr="00DA32D9">
              <w:rPr>
                <w:rFonts w:eastAsia="宋体" w:cs="Times New Roman"/>
                <w:sz w:val="20"/>
                <w:szCs w:val="20"/>
              </w:rPr>
              <w:t xml:space="preserve">High </w:t>
            </w:r>
          </w:p>
        </w:tc>
        <w:tc>
          <w:tcPr>
            <w:tcW w:w="1213" w:type="dxa"/>
            <w:vAlign w:val="center"/>
          </w:tcPr>
          <w:p w14:paraId="74EAB278"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47</w:t>
            </w:r>
          </w:p>
        </w:tc>
        <w:tc>
          <w:tcPr>
            <w:tcW w:w="1396" w:type="dxa"/>
            <w:vAlign w:val="center"/>
          </w:tcPr>
          <w:p w14:paraId="6ACD954F"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11</w:t>
            </w:r>
          </w:p>
        </w:tc>
        <w:tc>
          <w:tcPr>
            <w:tcW w:w="1648" w:type="dxa"/>
            <w:vAlign w:val="center"/>
          </w:tcPr>
          <w:p w14:paraId="6BE5F14E" w14:textId="77777777" w:rsidR="00035E5B" w:rsidRPr="00DA32D9" w:rsidRDefault="0019595D" w:rsidP="00DA32D9">
            <w:pPr>
              <w:snapToGrid w:val="0"/>
              <w:rPr>
                <w:rFonts w:eastAsia="宋体" w:cs="Times New Roman"/>
                <w:kern w:val="0"/>
                <w:sz w:val="20"/>
                <w:szCs w:val="20"/>
              </w:rPr>
            </w:pPr>
            <w:r w:rsidRPr="00DA32D9">
              <w:rPr>
                <w:rFonts w:eastAsia="宋体" w:cs="Times New Roman"/>
                <w:sz w:val="20"/>
                <w:szCs w:val="20"/>
              </w:rPr>
              <w:t>36</w:t>
            </w:r>
          </w:p>
        </w:tc>
        <w:tc>
          <w:tcPr>
            <w:tcW w:w="1111" w:type="dxa"/>
            <w:vAlign w:val="center"/>
          </w:tcPr>
          <w:p w14:paraId="6F67360B" w14:textId="77777777" w:rsidR="00035E5B" w:rsidRPr="00DA32D9" w:rsidRDefault="00035E5B" w:rsidP="00DA32D9">
            <w:pPr>
              <w:snapToGrid w:val="0"/>
              <w:rPr>
                <w:rFonts w:eastAsia="宋体" w:cs="Times New Roman"/>
                <w:kern w:val="0"/>
                <w:sz w:val="20"/>
                <w:szCs w:val="20"/>
              </w:rPr>
            </w:pPr>
          </w:p>
        </w:tc>
        <w:tc>
          <w:tcPr>
            <w:tcW w:w="1373" w:type="dxa"/>
            <w:vAlign w:val="center"/>
          </w:tcPr>
          <w:p w14:paraId="659135CF" w14:textId="77777777" w:rsidR="00035E5B" w:rsidRPr="00DA32D9" w:rsidRDefault="00035E5B" w:rsidP="00DA32D9">
            <w:pPr>
              <w:snapToGrid w:val="0"/>
              <w:rPr>
                <w:rFonts w:eastAsia="宋体" w:cs="Times New Roman"/>
                <w:kern w:val="0"/>
                <w:sz w:val="20"/>
                <w:szCs w:val="20"/>
              </w:rPr>
            </w:pPr>
          </w:p>
        </w:tc>
      </w:tr>
    </w:tbl>
    <w:p w14:paraId="2B7912B1" w14:textId="2FF48847" w:rsidR="00035E5B" w:rsidRPr="00DA32D9" w:rsidRDefault="009C0E9B" w:rsidP="00DA32D9">
      <w:pPr>
        <w:snapToGrid w:val="0"/>
        <w:jc w:val="left"/>
        <w:rPr>
          <w:rFonts w:cs="Times New Roman"/>
          <w:sz w:val="20"/>
          <w:szCs w:val="20"/>
        </w:rPr>
      </w:pPr>
      <w:r>
        <w:rPr>
          <w:rStyle w:val="st"/>
          <w:rFonts w:eastAsia="Times New Roman"/>
          <w:sz w:val="20"/>
          <w:szCs w:val="20"/>
        </w:rPr>
        <w:t>M: Metastasis; N: Node; RECK: R</w:t>
      </w:r>
      <w:r w:rsidRPr="00756374">
        <w:rPr>
          <w:rStyle w:val="st"/>
          <w:rFonts w:eastAsia="Times New Roman"/>
          <w:sz w:val="20"/>
          <w:szCs w:val="20"/>
        </w:rPr>
        <w:t>eversion-inducing-cysteine-rich protein with kazal motifs</w:t>
      </w:r>
      <w:r w:rsidR="008001B6">
        <w:rPr>
          <w:rStyle w:val="st"/>
          <w:rFonts w:eastAsia="Times New Roman"/>
          <w:sz w:val="20"/>
          <w:szCs w:val="20"/>
        </w:rPr>
        <w:t>.</w:t>
      </w:r>
      <w:bookmarkStart w:id="38" w:name="_GoBack"/>
      <w:bookmarkEnd w:id="38"/>
    </w:p>
    <w:sectPr w:rsidR="00035E5B" w:rsidRPr="00DA32D9" w:rsidSect="00DA32D9">
      <w:footerReference w:type="even" r:id="rId16"/>
      <w:footerReference w:type="default" r:id="rId17"/>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7F7C4" w14:textId="77777777" w:rsidR="00D10C73" w:rsidRDefault="00D10C73" w:rsidP="00E94600">
      <w:pPr>
        <w:spacing w:line="240" w:lineRule="auto"/>
      </w:pPr>
      <w:r>
        <w:separator/>
      </w:r>
    </w:p>
  </w:endnote>
  <w:endnote w:type="continuationSeparator" w:id="0">
    <w:p w14:paraId="71E78964" w14:textId="77777777" w:rsidR="00D10C73" w:rsidRDefault="00D10C73" w:rsidP="00E946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Arial"/>
    <w:panose1 w:val="020B0604020202020204"/>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aramond-Bold">
    <w:altName w:val="等线"/>
    <w:panose1 w:val="020B0604020202020204"/>
    <w:charset w:val="00"/>
    <w:family w:val="auto"/>
    <w:pitch w:val="variable"/>
    <w:sig w:usb0="00000287" w:usb1="00000000" w:usb2="00000000" w:usb3="00000000" w:csb0="0000009F" w:csb1="00000000"/>
  </w:font>
  <w:font w:name="微软雅黑">
    <w:panose1 w:val="020B0503020204020204"/>
    <w:charset w:val="86"/>
    <w:family w:val="swiss"/>
    <w:pitch w:val="variable"/>
    <w:sig w:usb0="80000287" w:usb1="28CF3C52" w:usb2="00000016" w:usb3="00000000" w:csb0="0004001F" w:csb1="00000000"/>
  </w:font>
  <w:font w:name="Symbol">
    <w:panose1 w:val="05050102010706020507"/>
    <w:charset w:val="00"/>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99A4B" w14:textId="77777777" w:rsidR="00EF2BB9" w:rsidRDefault="00EF2BB9" w:rsidP="00711B95">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04D44FE4" w14:textId="77777777" w:rsidR="00EF2BB9" w:rsidRDefault="00EF2BB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19A88" w14:textId="77777777" w:rsidR="00EF2BB9" w:rsidRPr="008001B6" w:rsidRDefault="00EF2BB9" w:rsidP="00711B95">
    <w:pPr>
      <w:pStyle w:val="a7"/>
      <w:framePr w:wrap="around" w:vAnchor="text" w:hAnchor="margin" w:xAlign="center" w:y="1"/>
      <w:rPr>
        <w:rStyle w:val="af2"/>
        <w:sz w:val="20"/>
        <w:szCs w:val="20"/>
      </w:rPr>
    </w:pPr>
    <w:r w:rsidRPr="008001B6">
      <w:rPr>
        <w:rStyle w:val="af2"/>
        <w:sz w:val="20"/>
        <w:szCs w:val="20"/>
      </w:rPr>
      <w:fldChar w:fldCharType="begin"/>
    </w:r>
    <w:r w:rsidRPr="008001B6">
      <w:rPr>
        <w:rStyle w:val="af2"/>
        <w:sz w:val="20"/>
        <w:szCs w:val="20"/>
      </w:rPr>
      <w:instrText xml:space="preserve">PAGE  </w:instrText>
    </w:r>
    <w:r w:rsidRPr="008001B6">
      <w:rPr>
        <w:rStyle w:val="af2"/>
        <w:sz w:val="20"/>
        <w:szCs w:val="20"/>
      </w:rPr>
      <w:fldChar w:fldCharType="separate"/>
    </w:r>
    <w:r w:rsidR="006D6BEA">
      <w:rPr>
        <w:rStyle w:val="af2"/>
        <w:noProof/>
        <w:sz w:val="20"/>
        <w:szCs w:val="20"/>
      </w:rPr>
      <w:t>10</w:t>
    </w:r>
    <w:r w:rsidRPr="008001B6">
      <w:rPr>
        <w:rStyle w:val="af2"/>
        <w:sz w:val="20"/>
        <w:szCs w:val="20"/>
      </w:rPr>
      <w:fldChar w:fldCharType="end"/>
    </w:r>
  </w:p>
  <w:p w14:paraId="6DD1DBFE" w14:textId="77777777" w:rsidR="00EF2BB9" w:rsidRDefault="00EF2BB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3EA67" w14:textId="77777777" w:rsidR="00D10C73" w:rsidRDefault="00D10C73" w:rsidP="00E94600">
      <w:pPr>
        <w:spacing w:line="240" w:lineRule="auto"/>
      </w:pPr>
      <w:r>
        <w:separator/>
      </w:r>
    </w:p>
  </w:footnote>
  <w:footnote w:type="continuationSeparator" w:id="0">
    <w:p w14:paraId="729550D7" w14:textId="77777777" w:rsidR="00D10C73" w:rsidRDefault="00D10C73" w:rsidP="00E9460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removePersonalInformation/>
  <w:removeDateAndTime/>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99vxpz5u9pwxuewt075vdxnws5fe52vsfaf&quot;&gt;My EndNote Library&lt;record-ids&gt;&lt;item&gt;1143&lt;/item&gt;&lt;/record-ids&gt;&lt;/item&gt;&lt;/Libraries&gt;"/>
  </w:docVars>
  <w:rsids>
    <w:rsidRoot w:val="00053A4D"/>
    <w:rsid w:val="00003678"/>
    <w:rsid w:val="00007109"/>
    <w:rsid w:val="0001165D"/>
    <w:rsid w:val="00011FF8"/>
    <w:rsid w:val="00012D22"/>
    <w:rsid w:val="00012EB4"/>
    <w:rsid w:val="000141F3"/>
    <w:rsid w:val="00023D98"/>
    <w:rsid w:val="00024F9B"/>
    <w:rsid w:val="000352F7"/>
    <w:rsid w:val="00035744"/>
    <w:rsid w:val="00035E5B"/>
    <w:rsid w:val="00037CB1"/>
    <w:rsid w:val="00040EA4"/>
    <w:rsid w:val="00042955"/>
    <w:rsid w:val="0004394C"/>
    <w:rsid w:val="0005207C"/>
    <w:rsid w:val="00053A4D"/>
    <w:rsid w:val="0005440A"/>
    <w:rsid w:val="00054684"/>
    <w:rsid w:val="00055EEA"/>
    <w:rsid w:val="00064E0B"/>
    <w:rsid w:val="000653D4"/>
    <w:rsid w:val="00066EC1"/>
    <w:rsid w:val="0007048F"/>
    <w:rsid w:val="0007091F"/>
    <w:rsid w:val="000714A0"/>
    <w:rsid w:val="000742E4"/>
    <w:rsid w:val="0008352A"/>
    <w:rsid w:val="000865BB"/>
    <w:rsid w:val="00087AB1"/>
    <w:rsid w:val="00087D05"/>
    <w:rsid w:val="000908CF"/>
    <w:rsid w:val="00090C8F"/>
    <w:rsid w:val="00090D58"/>
    <w:rsid w:val="00092A89"/>
    <w:rsid w:val="000A0431"/>
    <w:rsid w:val="000A1842"/>
    <w:rsid w:val="000A2CB7"/>
    <w:rsid w:val="000A3436"/>
    <w:rsid w:val="000A3CC4"/>
    <w:rsid w:val="000A48CF"/>
    <w:rsid w:val="000B1713"/>
    <w:rsid w:val="000B3D6D"/>
    <w:rsid w:val="000B4594"/>
    <w:rsid w:val="000B727E"/>
    <w:rsid w:val="000C11EE"/>
    <w:rsid w:val="000C3E15"/>
    <w:rsid w:val="000C5014"/>
    <w:rsid w:val="000D2A49"/>
    <w:rsid w:val="000D2DC7"/>
    <w:rsid w:val="000D4118"/>
    <w:rsid w:val="000E2387"/>
    <w:rsid w:val="000E4A15"/>
    <w:rsid w:val="00102A50"/>
    <w:rsid w:val="0010416E"/>
    <w:rsid w:val="00111614"/>
    <w:rsid w:val="0011378B"/>
    <w:rsid w:val="0011379F"/>
    <w:rsid w:val="001140B9"/>
    <w:rsid w:val="0012234F"/>
    <w:rsid w:val="0012477B"/>
    <w:rsid w:val="00124B02"/>
    <w:rsid w:val="001260F4"/>
    <w:rsid w:val="00126F75"/>
    <w:rsid w:val="00133DBF"/>
    <w:rsid w:val="00135C59"/>
    <w:rsid w:val="00143603"/>
    <w:rsid w:val="00145998"/>
    <w:rsid w:val="00145D1E"/>
    <w:rsid w:val="00150D1C"/>
    <w:rsid w:val="00154826"/>
    <w:rsid w:val="00163BC4"/>
    <w:rsid w:val="001709B7"/>
    <w:rsid w:val="00175B93"/>
    <w:rsid w:val="00176A16"/>
    <w:rsid w:val="001820F7"/>
    <w:rsid w:val="001844FD"/>
    <w:rsid w:val="00187C21"/>
    <w:rsid w:val="00190F0D"/>
    <w:rsid w:val="0019595D"/>
    <w:rsid w:val="001979C3"/>
    <w:rsid w:val="001A40D2"/>
    <w:rsid w:val="001A4A4A"/>
    <w:rsid w:val="001A4BE1"/>
    <w:rsid w:val="001A7116"/>
    <w:rsid w:val="001B6EA0"/>
    <w:rsid w:val="001C5593"/>
    <w:rsid w:val="001D179E"/>
    <w:rsid w:val="001D4B99"/>
    <w:rsid w:val="001E0097"/>
    <w:rsid w:val="001E21D1"/>
    <w:rsid w:val="001E39A1"/>
    <w:rsid w:val="001F0B5D"/>
    <w:rsid w:val="001F3F7C"/>
    <w:rsid w:val="001F4050"/>
    <w:rsid w:val="00210074"/>
    <w:rsid w:val="0021007C"/>
    <w:rsid w:val="00214555"/>
    <w:rsid w:val="0021786B"/>
    <w:rsid w:val="00220518"/>
    <w:rsid w:val="00220FE4"/>
    <w:rsid w:val="00223F6F"/>
    <w:rsid w:val="002275EC"/>
    <w:rsid w:val="00233DCD"/>
    <w:rsid w:val="00237939"/>
    <w:rsid w:val="00244C58"/>
    <w:rsid w:val="00254823"/>
    <w:rsid w:val="00255A71"/>
    <w:rsid w:val="00256244"/>
    <w:rsid w:val="00260B97"/>
    <w:rsid w:val="00263D46"/>
    <w:rsid w:val="00266BB5"/>
    <w:rsid w:val="00270C38"/>
    <w:rsid w:val="00281F2C"/>
    <w:rsid w:val="00293071"/>
    <w:rsid w:val="00294D11"/>
    <w:rsid w:val="0029743C"/>
    <w:rsid w:val="002B040B"/>
    <w:rsid w:val="002B1355"/>
    <w:rsid w:val="002B3C97"/>
    <w:rsid w:val="002B75A1"/>
    <w:rsid w:val="002C190C"/>
    <w:rsid w:val="002C2ACD"/>
    <w:rsid w:val="002C5A0D"/>
    <w:rsid w:val="002C64AB"/>
    <w:rsid w:val="002C6DCB"/>
    <w:rsid w:val="002D4173"/>
    <w:rsid w:val="002D59CE"/>
    <w:rsid w:val="002D5C49"/>
    <w:rsid w:val="002E2916"/>
    <w:rsid w:val="002F1B47"/>
    <w:rsid w:val="00306962"/>
    <w:rsid w:val="00310723"/>
    <w:rsid w:val="003119A6"/>
    <w:rsid w:val="00320061"/>
    <w:rsid w:val="003245E0"/>
    <w:rsid w:val="003316D0"/>
    <w:rsid w:val="00333462"/>
    <w:rsid w:val="00335330"/>
    <w:rsid w:val="0034129C"/>
    <w:rsid w:val="003421C2"/>
    <w:rsid w:val="00365190"/>
    <w:rsid w:val="00365E52"/>
    <w:rsid w:val="00372534"/>
    <w:rsid w:val="00375E44"/>
    <w:rsid w:val="003778F1"/>
    <w:rsid w:val="00380B67"/>
    <w:rsid w:val="00383769"/>
    <w:rsid w:val="00383D1A"/>
    <w:rsid w:val="00385DEB"/>
    <w:rsid w:val="003901B4"/>
    <w:rsid w:val="00394D81"/>
    <w:rsid w:val="0039510F"/>
    <w:rsid w:val="00397B31"/>
    <w:rsid w:val="003A17E7"/>
    <w:rsid w:val="003A1C2A"/>
    <w:rsid w:val="003A6666"/>
    <w:rsid w:val="003B44D0"/>
    <w:rsid w:val="003B6FC7"/>
    <w:rsid w:val="003B7D34"/>
    <w:rsid w:val="003C2CEA"/>
    <w:rsid w:val="003C30F6"/>
    <w:rsid w:val="003C3190"/>
    <w:rsid w:val="003D01A8"/>
    <w:rsid w:val="003E03B2"/>
    <w:rsid w:val="003E262E"/>
    <w:rsid w:val="003E67E0"/>
    <w:rsid w:val="003F0738"/>
    <w:rsid w:val="003F389F"/>
    <w:rsid w:val="003F7C31"/>
    <w:rsid w:val="00400729"/>
    <w:rsid w:val="004018CB"/>
    <w:rsid w:val="004046BE"/>
    <w:rsid w:val="00407450"/>
    <w:rsid w:val="00407C58"/>
    <w:rsid w:val="00416597"/>
    <w:rsid w:val="004211F8"/>
    <w:rsid w:val="00430896"/>
    <w:rsid w:val="00441E51"/>
    <w:rsid w:val="00443800"/>
    <w:rsid w:val="00446095"/>
    <w:rsid w:val="004510C3"/>
    <w:rsid w:val="0045307B"/>
    <w:rsid w:val="00456F3F"/>
    <w:rsid w:val="004575BC"/>
    <w:rsid w:val="00461C0C"/>
    <w:rsid w:val="004641B1"/>
    <w:rsid w:val="00471615"/>
    <w:rsid w:val="0047680E"/>
    <w:rsid w:val="00485C7E"/>
    <w:rsid w:val="004905EB"/>
    <w:rsid w:val="0049145B"/>
    <w:rsid w:val="004925EF"/>
    <w:rsid w:val="0049710C"/>
    <w:rsid w:val="004A2C23"/>
    <w:rsid w:val="004A64BD"/>
    <w:rsid w:val="004B1D12"/>
    <w:rsid w:val="004B3A27"/>
    <w:rsid w:val="004B4711"/>
    <w:rsid w:val="004B689E"/>
    <w:rsid w:val="004C042D"/>
    <w:rsid w:val="004C1790"/>
    <w:rsid w:val="004C376A"/>
    <w:rsid w:val="004C7789"/>
    <w:rsid w:val="004D19CA"/>
    <w:rsid w:val="004D3E63"/>
    <w:rsid w:val="004D46ED"/>
    <w:rsid w:val="004E2D96"/>
    <w:rsid w:val="004E4B33"/>
    <w:rsid w:val="004F3C3B"/>
    <w:rsid w:val="004F40A2"/>
    <w:rsid w:val="004F4CFD"/>
    <w:rsid w:val="004F6A54"/>
    <w:rsid w:val="005001E2"/>
    <w:rsid w:val="0051573D"/>
    <w:rsid w:val="00517C48"/>
    <w:rsid w:val="0052260A"/>
    <w:rsid w:val="00522A83"/>
    <w:rsid w:val="0053076A"/>
    <w:rsid w:val="00535E30"/>
    <w:rsid w:val="005360BC"/>
    <w:rsid w:val="00536B63"/>
    <w:rsid w:val="00541E8B"/>
    <w:rsid w:val="00542F53"/>
    <w:rsid w:val="00545BA4"/>
    <w:rsid w:val="00545F29"/>
    <w:rsid w:val="00546C42"/>
    <w:rsid w:val="00550137"/>
    <w:rsid w:val="00554E88"/>
    <w:rsid w:val="00557282"/>
    <w:rsid w:val="00561847"/>
    <w:rsid w:val="00571A73"/>
    <w:rsid w:val="005728DE"/>
    <w:rsid w:val="005732DA"/>
    <w:rsid w:val="00573D6D"/>
    <w:rsid w:val="00583867"/>
    <w:rsid w:val="00585803"/>
    <w:rsid w:val="00585CE9"/>
    <w:rsid w:val="005935B0"/>
    <w:rsid w:val="005A1993"/>
    <w:rsid w:val="005A42B5"/>
    <w:rsid w:val="005A5321"/>
    <w:rsid w:val="005A57B2"/>
    <w:rsid w:val="005B4404"/>
    <w:rsid w:val="005C1000"/>
    <w:rsid w:val="005C3667"/>
    <w:rsid w:val="005C3CE3"/>
    <w:rsid w:val="005D2675"/>
    <w:rsid w:val="005D3D98"/>
    <w:rsid w:val="005D58D8"/>
    <w:rsid w:val="005D6A1F"/>
    <w:rsid w:val="005D6F87"/>
    <w:rsid w:val="005E46A5"/>
    <w:rsid w:val="005E6F29"/>
    <w:rsid w:val="005F40E4"/>
    <w:rsid w:val="005F4E80"/>
    <w:rsid w:val="005F7668"/>
    <w:rsid w:val="006021FC"/>
    <w:rsid w:val="00602AEB"/>
    <w:rsid w:val="00603C49"/>
    <w:rsid w:val="006148D1"/>
    <w:rsid w:val="00625824"/>
    <w:rsid w:val="0062704E"/>
    <w:rsid w:val="00634625"/>
    <w:rsid w:val="006357A4"/>
    <w:rsid w:val="00635DF3"/>
    <w:rsid w:val="00636D04"/>
    <w:rsid w:val="006374CE"/>
    <w:rsid w:val="00637739"/>
    <w:rsid w:val="00643091"/>
    <w:rsid w:val="006508F5"/>
    <w:rsid w:val="00652C70"/>
    <w:rsid w:val="00654C43"/>
    <w:rsid w:val="00655649"/>
    <w:rsid w:val="0065590B"/>
    <w:rsid w:val="00660ADA"/>
    <w:rsid w:val="00661812"/>
    <w:rsid w:val="00662A61"/>
    <w:rsid w:val="00665E74"/>
    <w:rsid w:val="00670E30"/>
    <w:rsid w:val="00673221"/>
    <w:rsid w:val="00681671"/>
    <w:rsid w:val="00690474"/>
    <w:rsid w:val="00690D64"/>
    <w:rsid w:val="0069311A"/>
    <w:rsid w:val="006964DB"/>
    <w:rsid w:val="006A09AE"/>
    <w:rsid w:val="006B12B5"/>
    <w:rsid w:val="006B1C46"/>
    <w:rsid w:val="006B4DE5"/>
    <w:rsid w:val="006C0982"/>
    <w:rsid w:val="006C1A45"/>
    <w:rsid w:val="006C2C4E"/>
    <w:rsid w:val="006C493B"/>
    <w:rsid w:val="006D1F10"/>
    <w:rsid w:val="006D200A"/>
    <w:rsid w:val="006D3355"/>
    <w:rsid w:val="006D4768"/>
    <w:rsid w:val="006D5295"/>
    <w:rsid w:val="006D67A5"/>
    <w:rsid w:val="006D6BEA"/>
    <w:rsid w:val="006D7157"/>
    <w:rsid w:val="006E57D3"/>
    <w:rsid w:val="006F2D7B"/>
    <w:rsid w:val="006F3330"/>
    <w:rsid w:val="006F5582"/>
    <w:rsid w:val="006F676B"/>
    <w:rsid w:val="007015C6"/>
    <w:rsid w:val="00702AA6"/>
    <w:rsid w:val="00706CCE"/>
    <w:rsid w:val="00711B95"/>
    <w:rsid w:val="00716FB1"/>
    <w:rsid w:val="00720289"/>
    <w:rsid w:val="007215C1"/>
    <w:rsid w:val="007252FF"/>
    <w:rsid w:val="007328BF"/>
    <w:rsid w:val="0073658A"/>
    <w:rsid w:val="00737D01"/>
    <w:rsid w:val="00740653"/>
    <w:rsid w:val="0074148A"/>
    <w:rsid w:val="00741C3A"/>
    <w:rsid w:val="0074599A"/>
    <w:rsid w:val="00747C57"/>
    <w:rsid w:val="00750EE4"/>
    <w:rsid w:val="00754669"/>
    <w:rsid w:val="0075735E"/>
    <w:rsid w:val="00757DAD"/>
    <w:rsid w:val="007609AC"/>
    <w:rsid w:val="007611DA"/>
    <w:rsid w:val="00782D13"/>
    <w:rsid w:val="007870B5"/>
    <w:rsid w:val="007905D5"/>
    <w:rsid w:val="00790657"/>
    <w:rsid w:val="00790DCB"/>
    <w:rsid w:val="00794CE6"/>
    <w:rsid w:val="00797346"/>
    <w:rsid w:val="007A00FF"/>
    <w:rsid w:val="007A0863"/>
    <w:rsid w:val="007B4FC0"/>
    <w:rsid w:val="007B5CAD"/>
    <w:rsid w:val="007B7265"/>
    <w:rsid w:val="007C0A45"/>
    <w:rsid w:val="007C53D0"/>
    <w:rsid w:val="007C7221"/>
    <w:rsid w:val="007C7992"/>
    <w:rsid w:val="007D61F7"/>
    <w:rsid w:val="007D649D"/>
    <w:rsid w:val="007E1009"/>
    <w:rsid w:val="007E1A04"/>
    <w:rsid w:val="007E34B0"/>
    <w:rsid w:val="007E512D"/>
    <w:rsid w:val="007E66C7"/>
    <w:rsid w:val="007F0DF6"/>
    <w:rsid w:val="007F1AA9"/>
    <w:rsid w:val="007F3107"/>
    <w:rsid w:val="007F549E"/>
    <w:rsid w:val="008001B6"/>
    <w:rsid w:val="008065D9"/>
    <w:rsid w:val="00807FF0"/>
    <w:rsid w:val="008107C9"/>
    <w:rsid w:val="00810DE3"/>
    <w:rsid w:val="008117CC"/>
    <w:rsid w:val="00813E48"/>
    <w:rsid w:val="00816EA1"/>
    <w:rsid w:val="00824219"/>
    <w:rsid w:val="00825001"/>
    <w:rsid w:val="008253F8"/>
    <w:rsid w:val="0082546B"/>
    <w:rsid w:val="00826AC6"/>
    <w:rsid w:val="00831E29"/>
    <w:rsid w:val="008347AA"/>
    <w:rsid w:val="008365F3"/>
    <w:rsid w:val="00836BC7"/>
    <w:rsid w:val="00837462"/>
    <w:rsid w:val="00844779"/>
    <w:rsid w:val="0084784D"/>
    <w:rsid w:val="00847CE1"/>
    <w:rsid w:val="00852FFF"/>
    <w:rsid w:val="00853884"/>
    <w:rsid w:val="00855F2E"/>
    <w:rsid w:val="00862CF8"/>
    <w:rsid w:val="00865F31"/>
    <w:rsid w:val="00870794"/>
    <w:rsid w:val="00875E74"/>
    <w:rsid w:val="0088300B"/>
    <w:rsid w:val="008860E8"/>
    <w:rsid w:val="00887B52"/>
    <w:rsid w:val="0089287D"/>
    <w:rsid w:val="008A24D4"/>
    <w:rsid w:val="008A45EE"/>
    <w:rsid w:val="008A5ABF"/>
    <w:rsid w:val="008B2B1D"/>
    <w:rsid w:val="008B57B3"/>
    <w:rsid w:val="008C2116"/>
    <w:rsid w:val="008C26F6"/>
    <w:rsid w:val="008C311F"/>
    <w:rsid w:val="008C5469"/>
    <w:rsid w:val="008D258C"/>
    <w:rsid w:val="008D634B"/>
    <w:rsid w:val="008E33A1"/>
    <w:rsid w:val="008E4A10"/>
    <w:rsid w:val="008F065F"/>
    <w:rsid w:val="008F0D43"/>
    <w:rsid w:val="008F41E0"/>
    <w:rsid w:val="008F64AB"/>
    <w:rsid w:val="00907A88"/>
    <w:rsid w:val="0091413F"/>
    <w:rsid w:val="00916B0A"/>
    <w:rsid w:val="009224AB"/>
    <w:rsid w:val="00923420"/>
    <w:rsid w:val="00923D51"/>
    <w:rsid w:val="009415DF"/>
    <w:rsid w:val="009461D4"/>
    <w:rsid w:val="00961696"/>
    <w:rsid w:val="00964E17"/>
    <w:rsid w:val="009748AA"/>
    <w:rsid w:val="009762E1"/>
    <w:rsid w:val="0098408F"/>
    <w:rsid w:val="00985C55"/>
    <w:rsid w:val="009911CF"/>
    <w:rsid w:val="00995649"/>
    <w:rsid w:val="009958DB"/>
    <w:rsid w:val="00997233"/>
    <w:rsid w:val="009B24BF"/>
    <w:rsid w:val="009B4BE9"/>
    <w:rsid w:val="009B660B"/>
    <w:rsid w:val="009B77D7"/>
    <w:rsid w:val="009C0E9B"/>
    <w:rsid w:val="009C139A"/>
    <w:rsid w:val="009C1D40"/>
    <w:rsid w:val="009C4D81"/>
    <w:rsid w:val="009D3D00"/>
    <w:rsid w:val="009D4E6F"/>
    <w:rsid w:val="009D77D5"/>
    <w:rsid w:val="009E1657"/>
    <w:rsid w:val="009E42AE"/>
    <w:rsid w:val="009E50E2"/>
    <w:rsid w:val="009E51AC"/>
    <w:rsid w:val="009F1B2F"/>
    <w:rsid w:val="009F4F25"/>
    <w:rsid w:val="00A038A6"/>
    <w:rsid w:val="00A03A30"/>
    <w:rsid w:val="00A045F5"/>
    <w:rsid w:val="00A0595A"/>
    <w:rsid w:val="00A13B67"/>
    <w:rsid w:val="00A1754D"/>
    <w:rsid w:val="00A20B74"/>
    <w:rsid w:val="00A37E78"/>
    <w:rsid w:val="00A461DE"/>
    <w:rsid w:val="00A469D6"/>
    <w:rsid w:val="00A5482C"/>
    <w:rsid w:val="00A55468"/>
    <w:rsid w:val="00A5737D"/>
    <w:rsid w:val="00A579E7"/>
    <w:rsid w:val="00A6346C"/>
    <w:rsid w:val="00A732F4"/>
    <w:rsid w:val="00A761E2"/>
    <w:rsid w:val="00A8081F"/>
    <w:rsid w:val="00A85688"/>
    <w:rsid w:val="00A90C73"/>
    <w:rsid w:val="00AA0866"/>
    <w:rsid w:val="00AA174B"/>
    <w:rsid w:val="00AA397A"/>
    <w:rsid w:val="00AA62B2"/>
    <w:rsid w:val="00AB28F3"/>
    <w:rsid w:val="00AB3DC9"/>
    <w:rsid w:val="00AB404D"/>
    <w:rsid w:val="00AB4943"/>
    <w:rsid w:val="00AB69BC"/>
    <w:rsid w:val="00AC0F91"/>
    <w:rsid w:val="00AC19B7"/>
    <w:rsid w:val="00AC2B7C"/>
    <w:rsid w:val="00AC35D1"/>
    <w:rsid w:val="00AC400E"/>
    <w:rsid w:val="00AC6B06"/>
    <w:rsid w:val="00AE0A81"/>
    <w:rsid w:val="00AE3D35"/>
    <w:rsid w:val="00AE48B7"/>
    <w:rsid w:val="00AE612A"/>
    <w:rsid w:val="00AF2ADE"/>
    <w:rsid w:val="00AF42B4"/>
    <w:rsid w:val="00AF769C"/>
    <w:rsid w:val="00B01841"/>
    <w:rsid w:val="00B0686A"/>
    <w:rsid w:val="00B16B3F"/>
    <w:rsid w:val="00B224CF"/>
    <w:rsid w:val="00B22FE1"/>
    <w:rsid w:val="00B25F89"/>
    <w:rsid w:val="00B30674"/>
    <w:rsid w:val="00B33E22"/>
    <w:rsid w:val="00B44951"/>
    <w:rsid w:val="00B462AF"/>
    <w:rsid w:val="00B479C1"/>
    <w:rsid w:val="00B504D1"/>
    <w:rsid w:val="00B532C2"/>
    <w:rsid w:val="00B539C8"/>
    <w:rsid w:val="00B54D77"/>
    <w:rsid w:val="00B66DE5"/>
    <w:rsid w:val="00B71DAD"/>
    <w:rsid w:val="00B72005"/>
    <w:rsid w:val="00B75287"/>
    <w:rsid w:val="00B76B95"/>
    <w:rsid w:val="00B80490"/>
    <w:rsid w:val="00B83269"/>
    <w:rsid w:val="00B9066F"/>
    <w:rsid w:val="00B93770"/>
    <w:rsid w:val="00B97AF4"/>
    <w:rsid w:val="00BA278E"/>
    <w:rsid w:val="00BA319B"/>
    <w:rsid w:val="00BA32CD"/>
    <w:rsid w:val="00BB5F5F"/>
    <w:rsid w:val="00BC4DA4"/>
    <w:rsid w:val="00BD0E4B"/>
    <w:rsid w:val="00BD5712"/>
    <w:rsid w:val="00BD78F5"/>
    <w:rsid w:val="00BE36B6"/>
    <w:rsid w:val="00BE6EAE"/>
    <w:rsid w:val="00BF19CC"/>
    <w:rsid w:val="00C04CCC"/>
    <w:rsid w:val="00C14884"/>
    <w:rsid w:val="00C15DF2"/>
    <w:rsid w:val="00C16123"/>
    <w:rsid w:val="00C20B2B"/>
    <w:rsid w:val="00C22389"/>
    <w:rsid w:val="00C27EE9"/>
    <w:rsid w:val="00C33B80"/>
    <w:rsid w:val="00C37CCC"/>
    <w:rsid w:val="00C453BB"/>
    <w:rsid w:val="00C46FD3"/>
    <w:rsid w:val="00C50ABD"/>
    <w:rsid w:val="00C54A51"/>
    <w:rsid w:val="00C55537"/>
    <w:rsid w:val="00C5554C"/>
    <w:rsid w:val="00C5701F"/>
    <w:rsid w:val="00C613AE"/>
    <w:rsid w:val="00C707F3"/>
    <w:rsid w:val="00C70B0D"/>
    <w:rsid w:val="00C712CE"/>
    <w:rsid w:val="00C71EB2"/>
    <w:rsid w:val="00C722FD"/>
    <w:rsid w:val="00C72321"/>
    <w:rsid w:val="00C757D3"/>
    <w:rsid w:val="00C76CE8"/>
    <w:rsid w:val="00C77B02"/>
    <w:rsid w:val="00C82749"/>
    <w:rsid w:val="00C844CC"/>
    <w:rsid w:val="00C85F08"/>
    <w:rsid w:val="00C87BBB"/>
    <w:rsid w:val="00C90AB7"/>
    <w:rsid w:val="00C93138"/>
    <w:rsid w:val="00C93BEA"/>
    <w:rsid w:val="00C97950"/>
    <w:rsid w:val="00C97CC3"/>
    <w:rsid w:val="00CA3CDD"/>
    <w:rsid w:val="00CA5B13"/>
    <w:rsid w:val="00CB130A"/>
    <w:rsid w:val="00CB18CC"/>
    <w:rsid w:val="00CB2E0D"/>
    <w:rsid w:val="00CB4B1B"/>
    <w:rsid w:val="00CC129B"/>
    <w:rsid w:val="00CC1ABB"/>
    <w:rsid w:val="00CC28B9"/>
    <w:rsid w:val="00CC30A8"/>
    <w:rsid w:val="00CD0816"/>
    <w:rsid w:val="00CD10F3"/>
    <w:rsid w:val="00CD3436"/>
    <w:rsid w:val="00CD58B4"/>
    <w:rsid w:val="00CE11E9"/>
    <w:rsid w:val="00CE3EC2"/>
    <w:rsid w:val="00CF4CAB"/>
    <w:rsid w:val="00CF4D7C"/>
    <w:rsid w:val="00CF54BE"/>
    <w:rsid w:val="00CF5E96"/>
    <w:rsid w:val="00D012EF"/>
    <w:rsid w:val="00D043A6"/>
    <w:rsid w:val="00D04AE8"/>
    <w:rsid w:val="00D07896"/>
    <w:rsid w:val="00D07DB9"/>
    <w:rsid w:val="00D10B6C"/>
    <w:rsid w:val="00D10C73"/>
    <w:rsid w:val="00D110AC"/>
    <w:rsid w:val="00D12A2D"/>
    <w:rsid w:val="00D15CDB"/>
    <w:rsid w:val="00D16602"/>
    <w:rsid w:val="00D22356"/>
    <w:rsid w:val="00D26D6C"/>
    <w:rsid w:val="00D346DB"/>
    <w:rsid w:val="00D35D63"/>
    <w:rsid w:val="00D41876"/>
    <w:rsid w:val="00D42542"/>
    <w:rsid w:val="00D4493D"/>
    <w:rsid w:val="00D45FEC"/>
    <w:rsid w:val="00D5478E"/>
    <w:rsid w:val="00D549F3"/>
    <w:rsid w:val="00D56FB5"/>
    <w:rsid w:val="00D60157"/>
    <w:rsid w:val="00D64C73"/>
    <w:rsid w:val="00D7173D"/>
    <w:rsid w:val="00D71FEF"/>
    <w:rsid w:val="00D7220C"/>
    <w:rsid w:val="00D743EE"/>
    <w:rsid w:val="00D779EC"/>
    <w:rsid w:val="00D80924"/>
    <w:rsid w:val="00D838C7"/>
    <w:rsid w:val="00D8675E"/>
    <w:rsid w:val="00D9409E"/>
    <w:rsid w:val="00DA1F08"/>
    <w:rsid w:val="00DA2744"/>
    <w:rsid w:val="00DA32D9"/>
    <w:rsid w:val="00DA789A"/>
    <w:rsid w:val="00DB0854"/>
    <w:rsid w:val="00DB2C92"/>
    <w:rsid w:val="00DB3495"/>
    <w:rsid w:val="00DB3E0D"/>
    <w:rsid w:val="00DB6F8F"/>
    <w:rsid w:val="00DC307F"/>
    <w:rsid w:val="00DD0D4D"/>
    <w:rsid w:val="00DD360D"/>
    <w:rsid w:val="00DD76C3"/>
    <w:rsid w:val="00DE0B74"/>
    <w:rsid w:val="00DE3D53"/>
    <w:rsid w:val="00DE54FD"/>
    <w:rsid w:val="00DF47A2"/>
    <w:rsid w:val="00DF54E6"/>
    <w:rsid w:val="00DF54F2"/>
    <w:rsid w:val="00DF70AC"/>
    <w:rsid w:val="00E0293D"/>
    <w:rsid w:val="00E107A8"/>
    <w:rsid w:val="00E13E93"/>
    <w:rsid w:val="00E14924"/>
    <w:rsid w:val="00E17F9A"/>
    <w:rsid w:val="00E20C55"/>
    <w:rsid w:val="00E21EBB"/>
    <w:rsid w:val="00E3034C"/>
    <w:rsid w:val="00E32D2D"/>
    <w:rsid w:val="00E3560E"/>
    <w:rsid w:val="00E360C9"/>
    <w:rsid w:val="00E37D10"/>
    <w:rsid w:val="00E37FD1"/>
    <w:rsid w:val="00E4112C"/>
    <w:rsid w:val="00E46487"/>
    <w:rsid w:val="00E4799F"/>
    <w:rsid w:val="00E50140"/>
    <w:rsid w:val="00E51B12"/>
    <w:rsid w:val="00E52B7C"/>
    <w:rsid w:val="00E613A8"/>
    <w:rsid w:val="00E62F62"/>
    <w:rsid w:val="00E677F2"/>
    <w:rsid w:val="00E73F52"/>
    <w:rsid w:val="00E76AAF"/>
    <w:rsid w:val="00E772B1"/>
    <w:rsid w:val="00E85DA0"/>
    <w:rsid w:val="00E861FB"/>
    <w:rsid w:val="00E90A1E"/>
    <w:rsid w:val="00E91F4B"/>
    <w:rsid w:val="00E9355C"/>
    <w:rsid w:val="00E94600"/>
    <w:rsid w:val="00EA5260"/>
    <w:rsid w:val="00EA53AD"/>
    <w:rsid w:val="00EA5E23"/>
    <w:rsid w:val="00EB17EB"/>
    <w:rsid w:val="00EB3091"/>
    <w:rsid w:val="00EB4CF5"/>
    <w:rsid w:val="00EB5481"/>
    <w:rsid w:val="00EB58BB"/>
    <w:rsid w:val="00EB5BB5"/>
    <w:rsid w:val="00EB7863"/>
    <w:rsid w:val="00EC138E"/>
    <w:rsid w:val="00EC3368"/>
    <w:rsid w:val="00EC3846"/>
    <w:rsid w:val="00EC6F7F"/>
    <w:rsid w:val="00EC7D41"/>
    <w:rsid w:val="00ED172E"/>
    <w:rsid w:val="00ED7FD0"/>
    <w:rsid w:val="00EE78B5"/>
    <w:rsid w:val="00EF02E6"/>
    <w:rsid w:val="00EF291C"/>
    <w:rsid w:val="00EF2BB9"/>
    <w:rsid w:val="00EF597E"/>
    <w:rsid w:val="00EF6BC7"/>
    <w:rsid w:val="00F0293D"/>
    <w:rsid w:val="00F11A86"/>
    <w:rsid w:val="00F32067"/>
    <w:rsid w:val="00F35E7A"/>
    <w:rsid w:val="00F40D53"/>
    <w:rsid w:val="00F4322B"/>
    <w:rsid w:val="00F479AB"/>
    <w:rsid w:val="00F5088D"/>
    <w:rsid w:val="00F55BE6"/>
    <w:rsid w:val="00F604C6"/>
    <w:rsid w:val="00F60A7A"/>
    <w:rsid w:val="00F63AE6"/>
    <w:rsid w:val="00F73661"/>
    <w:rsid w:val="00F7674B"/>
    <w:rsid w:val="00F83437"/>
    <w:rsid w:val="00F83F2E"/>
    <w:rsid w:val="00F84C4E"/>
    <w:rsid w:val="00F86729"/>
    <w:rsid w:val="00F90C7D"/>
    <w:rsid w:val="00F919BF"/>
    <w:rsid w:val="00FA6C89"/>
    <w:rsid w:val="00FB0B0C"/>
    <w:rsid w:val="00FB1206"/>
    <w:rsid w:val="00FB286F"/>
    <w:rsid w:val="00FB588F"/>
    <w:rsid w:val="00FC060E"/>
    <w:rsid w:val="00FC1D5E"/>
    <w:rsid w:val="00FC68D7"/>
    <w:rsid w:val="00FC7C18"/>
    <w:rsid w:val="00FD0335"/>
    <w:rsid w:val="00FD2E25"/>
    <w:rsid w:val="00FD3097"/>
    <w:rsid w:val="00FD34AC"/>
    <w:rsid w:val="00FD392F"/>
    <w:rsid w:val="00FD60EA"/>
    <w:rsid w:val="00FD6526"/>
    <w:rsid w:val="00FD6B90"/>
    <w:rsid w:val="00FE6D9A"/>
    <w:rsid w:val="00FE70EC"/>
    <w:rsid w:val="00FE7289"/>
    <w:rsid w:val="00FF00B0"/>
    <w:rsid w:val="00FF1A1C"/>
    <w:rsid w:val="00FF389B"/>
    <w:rsid w:val="00FF6708"/>
    <w:rsid w:val="03B007D7"/>
    <w:rsid w:val="0E05035F"/>
    <w:rsid w:val="12B12136"/>
    <w:rsid w:val="140E7641"/>
    <w:rsid w:val="26216F95"/>
    <w:rsid w:val="2A976E70"/>
    <w:rsid w:val="4AE250EF"/>
    <w:rsid w:val="542F3F53"/>
    <w:rsid w:val="5B9270AD"/>
    <w:rsid w:val="5F837036"/>
    <w:rsid w:val="62806417"/>
    <w:rsid w:val="75AE1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EF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jc w:val="both"/>
    </w:pPr>
    <w:rPr>
      <w:rFonts w:ascii="Book Antiqua" w:eastAsiaTheme="minorEastAsia" w:hAnsi="Book Antiqua" w:cstheme="minorBidi"/>
      <w:kern w:val="2"/>
      <w:sz w:val="24"/>
      <w:szCs w:val="22"/>
    </w:rPr>
  </w:style>
  <w:style w:type="paragraph" w:styleId="1">
    <w:name w:val="heading 1"/>
    <w:basedOn w:val="a"/>
    <w:next w:val="a"/>
    <w:link w:val="10"/>
    <w:uiPriority w:val="9"/>
    <w:qFormat/>
    <w:pPr>
      <w:keepNext/>
      <w:keepLines/>
      <w:spacing w:line="480" w:lineRule="exact"/>
      <w:outlineLvl w:val="0"/>
    </w:pPr>
    <w:rPr>
      <w:b/>
      <w:bCs/>
      <w:caps/>
      <w:kern w:val="44"/>
      <w:sz w:val="28"/>
      <w:szCs w:val="44"/>
    </w:rPr>
  </w:style>
  <w:style w:type="paragraph" w:styleId="2">
    <w:name w:val="heading 2"/>
    <w:basedOn w:val="a"/>
    <w:next w:val="a"/>
    <w:link w:val="20"/>
    <w:uiPriority w:val="9"/>
    <w:unhideWhenUsed/>
    <w:qFormat/>
    <w:pPr>
      <w:keepNext/>
      <w:keepLines/>
      <w:spacing w:line="480" w:lineRule="exact"/>
      <w:outlineLvl w:val="1"/>
    </w:pPr>
    <w:rPr>
      <w:rFonts w:eastAsiaTheme="majorEastAsia" w:cstheme="majorBidi"/>
      <w:b/>
      <w:bCs/>
      <w:i/>
      <w:szCs w:val="32"/>
    </w:rPr>
  </w:style>
  <w:style w:type="paragraph" w:styleId="3">
    <w:name w:val="heading 3"/>
    <w:basedOn w:val="a"/>
    <w:next w:val="a"/>
    <w:link w:val="30"/>
    <w:uiPriority w:val="9"/>
    <w:semiHidden/>
    <w:unhideWhenUsed/>
    <w:qFormat/>
    <w:pPr>
      <w:keepNext/>
      <w:keepLines/>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semiHidden/>
    <w:unhideWhenUsed/>
    <w:rPr>
      <w:color w:val="0000FF"/>
      <w:u w:val="single"/>
    </w:rPr>
  </w:style>
  <w:style w:type="character" w:styleId="af">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0">
    <w:name w:val="List Paragraph"/>
    <w:basedOn w:val="a"/>
    <w:uiPriority w:val="34"/>
    <w:qFormat/>
    <w:pPr>
      <w:ind w:firstLineChars="200" w:firstLine="420"/>
    </w:pPr>
  </w:style>
  <w:style w:type="character" w:customStyle="1" w:styleId="a6">
    <w:name w:val="批注框文本 字符"/>
    <w:basedOn w:val="a0"/>
    <w:link w:val="a5"/>
    <w:uiPriority w:val="99"/>
    <w:semiHidden/>
    <w:rPr>
      <w:kern w:val="2"/>
      <w:sz w:val="18"/>
      <w:szCs w:val="18"/>
    </w:rPr>
  </w:style>
  <w:style w:type="character" w:customStyle="1" w:styleId="a4">
    <w:name w:val="批注文字 字符"/>
    <w:basedOn w:val="a0"/>
    <w:link w:val="a3"/>
    <w:uiPriority w:val="99"/>
    <w:semiHidden/>
    <w:rPr>
      <w:kern w:val="2"/>
      <w:sz w:val="21"/>
      <w:szCs w:val="22"/>
    </w:rPr>
  </w:style>
  <w:style w:type="character" w:customStyle="1" w:styleId="ac">
    <w:name w:val="批注主题 字符"/>
    <w:basedOn w:val="a4"/>
    <w:link w:val="ab"/>
    <w:uiPriority w:val="99"/>
    <w:semiHidden/>
    <w:qFormat/>
    <w:rPr>
      <w:b/>
      <w:bCs/>
      <w:kern w:val="2"/>
      <w:sz w:val="21"/>
      <w:szCs w:val="22"/>
    </w:rPr>
  </w:style>
  <w:style w:type="character" w:customStyle="1" w:styleId="Char">
    <w:name w:val="批注文字 Char"/>
    <w:uiPriority w:val="99"/>
    <w:semiHidden/>
    <w:rPr>
      <w:kern w:val="2"/>
      <w:sz w:val="21"/>
      <w:szCs w:val="22"/>
    </w:rPr>
  </w:style>
  <w:style w:type="paragraph" w:customStyle="1" w:styleId="EndNoteBibliographyTitle">
    <w:name w:val="EndNote Bibliography Title"/>
    <w:basedOn w:val="a"/>
    <w:link w:val="EndNoteBibliographyTitleChar"/>
    <w:qFormat/>
    <w:pPr>
      <w:jc w:val="center"/>
    </w:pPr>
    <w:rPr>
      <w:rFonts w:ascii="Calibri" w:hAnsi="Calibri" w:cs="Calibri"/>
      <w:sz w:val="20"/>
    </w:rPr>
  </w:style>
  <w:style w:type="character" w:customStyle="1" w:styleId="EndNoteBibliographyTitleChar">
    <w:name w:val="EndNote Bibliography Title Char"/>
    <w:basedOn w:val="a0"/>
    <w:link w:val="EndNoteBibliographyTitle"/>
    <w:qFormat/>
    <w:rPr>
      <w:rFonts w:ascii="Calibri" w:hAnsi="Calibri" w:cs="Calibri"/>
      <w:kern w:val="2"/>
      <w:szCs w:val="22"/>
    </w:rPr>
  </w:style>
  <w:style w:type="paragraph" w:customStyle="1" w:styleId="EndNoteBibliography">
    <w:name w:val="EndNote Bibliography"/>
    <w:basedOn w:val="a"/>
    <w:link w:val="EndNoteBibliographyChar"/>
    <w:qFormat/>
    <w:pPr>
      <w:spacing w:line="240" w:lineRule="auto"/>
    </w:pPr>
    <w:rPr>
      <w:rFonts w:ascii="Calibri" w:hAnsi="Calibri" w:cs="Calibri"/>
      <w:sz w:val="20"/>
    </w:rPr>
  </w:style>
  <w:style w:type="character" w:customStyle="1" w:styleId="EndNoteBibliographyChar">
    <w:name w:val="EndNote Bibliography Char"/>
    <w:basedOn w:val="a0"/>
    <w:link w:val="EndNoteBibliography"/>
    <w:qFormat/>
    <w:rPr>
      <w:rFonts w:ascii="Calibri" w:hAnsi="Calibri" w:cs="Calibri"/>
      <w:kern w:val="2"/>
      <w:szCs w:val="22"/>
    </w:rPr>
  </w:style>
  <w:style w:type="character" w:customStyle="1" w:styleId="10">
    <w:name w:val="标题 1 字符"/>
    <w:basedOn w:val="a0"/>
    <w:link w:val="1"/>
    <w:uiPriority w:val="9"/>
    <w:qFormat/>
    <w:rPr>
      <w:rFonts w:ascii="Book Antiqua" w:hAnsi="Book Antiqua"/>
      <w:b/>
      <w:bCs/>
      <w:caps/>
      <w:kern w:val="44"/>
      <w:sz w:val="28"/>
      <w:szCs w:val="44"/>
    </w:rPr>
  </w:style>
  <w:style w:type="character" w:customStyle="1" w:styleId="20">
    <w:name w:val="标题 2 字符"/>
    <w:basedOn w:val="a0"/>
    <w:link w:val="2"/>
    <w:uiPriority w:val="9"/>
    <w:rPr>
      <w:rFonts w:ascii="Book Antiqua" w:eastAsiaTheme="majorEastAsia" w:hAnsi="Book Antiqua" w:cstheme="majorBidi"/>
      <w:b/>
      <w:bCs/>
      <w:i/>
      <w:kern w:val="2"/>
      <w:sz w:val="24"/>
      <w:szCs w:val="32"/>
    </w:rPr>
  </w:style>
  <w:style w:type="paragraph" w:customStyle="1" w:styleId="12ptBold">
    <w:name w:val="12pt+Bold"/>
    <w:basedOn w:val="a"/>
    <w:qFormat/>
    <w:rPr>
      <w:b/>
      <w:szCs w:val="24"/>
    </w:rPr>
  </w:style>
  <w:style w:type="paragraph" w:customStyle="1" w:styleId="SmallcapsItalics">
    <w:name w:val="Small caps+Italics"/>
    <w:basedOn w:val="a"/>
    <w:qFormat/>
    <w:rPr>
      <w:b/>
      <w:i/>
      <w:caps/>
      <w:szCs w:val="24"/>
    </w:rPr>
  </w:style>
  <w:style w:type="paragraph" w:customStyle="1" w:styleId="Red">
    <w:name w:val="Red"/>
    <w:basedOn w:val="a"/>
    <w:qFormat/>
    <w:pPr>
      <w:snapToGrid w:val="0"/>
    </w:pPr>
    <w:rPr>
      <w:rFonts w:cs="Times New Roman"/>
      <w:color w:val="FF0000"/>
      <w:sz w:val="21"/>
      <w:szCs w:val="24"/>
    </w:rPr>
  </w:style>
  <w:style w:type="paragraph" w:customStyle="1" w:styleId="HighlightHeading">
    <w:name w:val="Highlight Heading"/>
    <w:basedOn w:val="a"/>
    <w:qFormat/>
    <w:pPr>
      <w:snapToGrid w:val="0"/>
    </w:pPr>
    <w:rPr>
      <w:rFonts w:cs="Times New Roman"/>
      <w:b/>
      <w:i/>
      <w:szCs w:val="24"/>
    </w:rPr>
  </w:style>
  <w:style w:type="paragraph" w:customStyle="1" w:styleId="Smallcapsnormal">
    <w:name w:val="Small caps+normal"/>
    <w:qFormat/>
    <w:rPr>
      <w:rFonts w:ascii="Book Antiqua" w:eastAsiaTheme="minorEastAsia" w:hAnsi="Book Antiqua" w:cstheme="minorBidi"/>
      <w:b/>
      <w:caps/>
      <w:kern w:val="2"/>
      <w:sz w:val="24"/>
      <w:szCs w:val="24"/>
    </w:rPr>
  </w:style>
  <w:style w:type="character" w:customStyle="1" w:styleId="30">
    <w:name w:val="标题 3 字符"/>
    <w:basedOn w:val="a0"/>
    <w:link w:val="3"/>
    <w:uiPriority w:val="9"/>
    <w:semiHidden/>
    <w:qFormat/>
    <w:rPr>
      <w:rFonts w:ascii="Book Antiqua" w:hAnsi="Book Antiqua"/>
      <w:b/>
      <w:bCs/>
      <w:kern w:val="2"/>
      <w:sz w:val="24"/>
      <w:szCs w:val="32"/>
    </w:rPr>
  </w:style>
  <w:style w:type="character" w:customStyle="1" w:styleId="fontstyle01">
    <w:name w:val="fontstyle01"/>
    <w:basedOn w:val="a0"/>
    <w:qFormat/>
    <w:rPr>
      <w:rFonts w:ascii="ArialMT" w:hAnsi="ArialMT" w:hint="default"/>
      <w:color w:val="231F20"/>
      <w:sz w:val="22"/>
      <w:szCs w:val="22"/>
    </w:rPr>
  </w:style>
  <w:style w:type="character" w:customStyle="1" w:styleId="EndNoteBibliography0">
    <w:name w:val="EndNote Bibliography 字符"/>
    <w:basedOn w:val="a0"/>
    <w:qFormat/>
    <w:rPr>
      <w:rFonts w:ascii="DengXian" w:eastAsia="DengXian" w:hAnsi="DengXian" w:cstheme="minorBidi"/>
      <w:kern w:val="2"/>
      <w:szCs w:val="22"/>
    </w:rPr>
  </w:style>
  <w:style w:type="paragraph" w:styleId="af1">
    <w:name w:val="Revision"/>
    <w:hidden/>
    <w:uiPriority w:val="99"/>
    <w:semiHidden/>
    <w:rsid w:val="00D4493D"/>
    <w:rPr>
      <w:rFonts w:ascii="Book Antiqua" w:eastAsiaTheme="minorEastAsia" w:hAnsi="Book Antiqua" w:cstheme="minorBidi"/>
      <w:kern w:val="2"/>
      <w:sz w:val="24"/>
      <w:szCs w:val="22"/>
    </w:rPr>
  </w:style>
  <w:style w:type="character" w:styleId="af2">
    <w:name w:val="page number"/>
    <w:basedOn w:val="a0"/>
    <w:uiPriority w:val="99"/>
    <w:semiHidden/>
    <w:unhideWhenUsed/>
    <w:rsid w:val="00012EB4"/>
  </w:style>
  <w:style w:type="character" w:customStyle="1" w:styleId="st">
    <w:name w:val="st"/>
    <w:basedOn w:val="a0"/>
    <w:rsid w:val="00012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340178">
      <w:bodyDiv w:val="1"/>
      <w:marLeft w:val="0"/>
      <w:marRight w:val="0"/>
      <w:marTop w:val="0"/>
      <w:marBottom w:val="0"/>
      <w:divBdr>
        <w:top w:val="none" w:sz="0" w:space="0" w:color="auto"/>
        <w:left w:val="none" w:sz="0" w:space="0" w:color="auto"/>
        <w:bottom w:val="none" w:sz="0" w:space="0" w:color="auto"/>
        <w:right w:val="none" w:sz="0" w:space="0" w:color="auto"/>
      </w:divBdr>
      <w:divsChild>
        <w:div w:id="132724218">
          <w:marLeft w:val="0"/>
          <w:marRight w:val="0"/>
          <w:marTop w:val="0"/>
          <w:marBottom w:val="0"/>
          <w:divBdr>
            <w:top w:val="none" w:sz="0" w:space="0" w:color="auto"/>
            <w:left w:val="none" w:sz="0" w:space="0" w:color="auto"/>
            <w:bottom w:val="none" w:sz="0" w:space="0" w:color="auto"/>
            <w:right w:val="none" w:sz="0" w:space="0" w:color="auto"/>
          </w:divBdr>
          <w:divsChild>
            <w:div w:id="505822769">
              <w:marLeft w:val="0"/>
              <w:marRight w:val="0"/>
              <w:marTop w:val="0"/>
              <w:marBottom w:val="0"/>
              <w:divBdr>
                <w:top w:val="single" w:sz="6" w:space="0" w:color="DEDEDE"/>
                <w:left w:val="single" w:sz="6" w:space="0" w:color="DEDEDE"/>
                <w:bottom w:val="single" w:sz="6" w:space="0" w:color="DEDEDE"/>
                <w:right w:val="single" w:sz="6" w:space="0" w:color="DEDEDE"/>
              </w:divBdr>
              <w:divsChild>
                <w:div w:id="505831722">
                  <w:marLeft w:val="0"/>
                  <w:marRight w:val="0"/>
                  <w:marTop w:val="0"/>
                  <w:marBottom w:val="0"/>
                  <w:divBdr>
                    <w:top w:val="none" w:sz="0" w:space="0" w:color="auto"/>
                    <w:left w:val="none" w:sz="0" w:space="0" w:color="auto"/>
                    <w:bottom w:val="none" w:sz="0" w:space="0" w:color="auto"/>
                    <w:right w:val="none" w:sz="0" w:space="0" w:color="auto"/>
                  </w:divBdr>
                  <w:divsChild>
                    <w:div w:id="1844583070">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648747236">
          <w:marLeft w:val="0"/>
          <w:marRight w:val="0"/>
          <w:marTop w:val="0"/>
          <w:marBottom w:val="0"/>
          <w:divBdr>
            <w:top w:val="none" w:sz="0" w:space="0" w:color="auto"/>
            <w:left w:val="none" w:sz="0" w:space="0" w:color="auto"/>
            <w:bottom w:val="none" w:sz="0" w:space="0" w:color="auto"/>
            <w:right w:val="none" w:sz="0" w:space="0" w:color="auto"/>
          </w:divBdr>
          <w:divsChild>
            <w:div w:id="991253998">
              <w:marLeft w:val="0"/>
              <w:marRight w:val="0"/>
              <w:marTop w:val="0"/>
              <w:marBottom w:val="0"/>
              <w:divBdr>
                <w:top w:val="none" w:sz="0" w:space="0" w:color="auto"/>
                <w:left w:val="none" w:sz="0" w:space="0" w:color="auto"/>
                <w:bottom w:val="none" w:sz="0" w:space="0" w:color="auto"/>
                <w:right w:val="none" w:sz="0" w:space="0" w:color="auto"/>
              </w:divBdr>
              <w:divsChild>
                <w:div w:id="1748724842">
                  <w:marLeft w:val="0"/>
                  <w:marRight w:val="0"/>
                  <w:marTop w:val="0"/>
                  <w:marBottom w:val="0"/>
                  <w:divBdr>
                    <w:top w:val="single" w:sz="6" w:space="8" w:color="EEEEEE"/>
                    <w:left w:val="none" w:sz="0" w:space="8" w:color="auto"/>
                    <w:bottom w:val="single" w:sz="6" w:space="8" w:color="EEEEEE"/>
                    <w:right w:val="single" w:sz="6" w:space="8" w:color="EEEEEE"/>
                  </w:divBdr>
                  <w:divsChild>
                    <w:div w:id="15342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127382">
      <w:bodyDiv w:val="1"/>
      <w:marLeft w:val="0"/>
      <w:marRight w:val="0"/>
      <w:marTop w:val="0"/>
      <w:marBottom w:val="0"/>
      <w:divBdr>
        <w:top w:val="none" w:sz="0" w:space="0" w:color="auto"/>
        <w:left w:val="none" w:sz="0" w:space="0" w:color="auto"/>
        <w:bottom w:val="none" w:sz="0" w:space="0" w:color="auto"/>
        <w:right w:val="none" w:sz="0" w:space="0" w:color="auto"/>
      </w:divBdr>
      <w:divsChild>
        <w:div w:id="1814060569">
          <w:marLeft w:val="0"/>
          <w:marRight w:val="0"/>
          <w:marTop w:val="0"/>
          <w:marBottom w:val="0"/>
          <w:divBdr>
            <w:top w:val="none" w:sz="0" w:space="0" w:color="auto"/>
            <w:left w:val="none" w:sz="0" w:space="0" w:color="auto"/>
            <w:bottom w:val="none" w:sz="0" w:space="0" w:color="auto"/>
            <w:right w:val="none" w:sz="0" w:space="0" w:color="auto"/>
          </w:divBdr>
          <w:divsChild>
            <w:div w:id="1408573889">
              <w:marLeft w:val="0"/>
              <w:marRight w:val="0"/>
              <w:marTop w:val="0"/>
              <w:marBottom w:val="0"/>
              <w:divBdr>
                <w:top w:val="single" w:sz="6" w:space="0" w:color="DEDEDE"/>
                <w:left w:val="single" w:sz="6" w:space="0" w:color="DEDEDE"/>
                <w:bottom w:val="single" w:sz="6" w:space="0" w:color="DEDEDE"/>
                <w:right w:val="single" w:sz="6" w:space="0" w:color="DEDEDE"/>
              </w:divBdr>
              <w:divsChild>
                <w:div w:id="753160850">
                  <w:marLeft w:val="0"/>
                  <w:marRight w:val="0"/>
                  <w:marTop w:val="0"/>
                  <w:marBottom w:val="0"/>
                  <w:divBdr>
                    <w:top w:val="none" w:sz="0" w:space="0" w:color="auto"/>
                    <w:left w:val="none" w:sz="0" w:space="0" w:color="auto"/>
                    <w:bottom w:val="none" w:sz="0" w:space="0" w:color="auto"/>
                    <w:right w:val="none" w:sz="0" w:space="0" w:color="auto"/>
                  </w:divBdr>
                  <w:divsChild>
                    <w:div w:id="130484889">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058934791">
          <w:marLeft w:val="0"/>
          <w:marRight w:val="0"/>
          <w:marTop w:val="0"/>
          <w:marBottom w:val="0"/>
          <w:divBdr>
            <w:top w:val="none" w:sz="0" w:space="0" w:color="auto"/>
            <w:left w:val="none" w:sz="0" w:space="0" w:color="auto"/>
            <w:bottom w:val="none" w:sz="0" w:space="0" w:color="auto"/>
            <w:right w:val="none" w:sz="0" w:space="0" w:color="auto"/>
          </w:divBdr>
          <w:divsChild>
            <w:div w:id="497576055">
              <w:marLeft w:val="0"/>
              <w:marRight w:val="0"/>
              <w:marTop w:val="0"/>
              <w:marBottom w:val="0"/>
              <w:divBdr>
                <w:top w:val="none" w:sz="0" w:space="0" w:color="auto"/>
                <w:left w:val="none" w:sz="0" w:space="0" w:color="auto"/>
                <w:bottom w:val="none" w:sz="0" w:space="0" w:color="auto"/>
                <w:right w:val="none" w:sz="0" w:space="0" w:color="auto"/>
              </w:divBdr>
              <w:divsChild>
                <w:div w:id="1164541922">
                  <w:marLeft w:val="0"/>
                  <w:marRight w:val="0"/>
                  <w:marTop w:val="0"/>
                  <w:marBottom w:val="0"/>
                  <w:divBdr>
                    <w:top w:val="single" w:sz="6" w:space="8" w:color="EEEEEE"/>
                    <w:left w:val="none" w:sz="0" w:space="8" w:color="auto"/>
                    <w:bottom w:val="single" w:sz="6" w:space="8" w:color="EEEEEE"/>
                    <w:right w:val="single" w:sz="6" w:space="8" w:color="EEEEEE"/>
                  </w:divBdr>
                  <w:divsChild>
                    <w:div w:id="2207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21E5A6-F1A0-6247-B424-816F225BF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23</Pages>
  <Words>5858</Words>
  <Characters>33392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10</cp:revision>
  <dcterms:created xsi:type="dcterms:W3CDTF">2020-02-08T00:57:00Z</dcterms:created>
  <dcterms:modified xsi:type="dcterms:W3CDTF">2020-02-20T07:14:00Z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2052-11.1.0.9339</vt:lpwstr>
  </property>
</Properties>
</file>