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0A" w:rsidRPr="002864A0" w:rsidRDefault="009D590A" w:rsidP="002864A0">
      <w:pPr>
        <w:adjustRightInd w:val="0"/>
        <w:snapToGrid w:val="0"/>
        <w:spacing w:line="360" w:lineRule="auto"/>
        <w:rPr>
          <w:rFonts w:ascii="Book Antiqua" w:hAnsi="Book Antiqua" w:cs="Segoe UI"/>
          <w:b/>
          <w:bCs/>
          <w:i/>
          <w:color w:val="000000"/>
          <w:sz w:val="24"/>
          <w:szCs w:val="24"/>
        </w:rPr>
      </w:pPr>
      <w:bookmarkStart w:id="0" w:name="OLE_LINK1"/>
      <w:bookmarkStart w:id="1" w:name="OLE_LINK3"/>
      <w:r w:rsidRPr="002864A0">
        <w:rPr>
          <w:rFonts w:ascii="Book Antiqua" w:hAnsi="Book Antiqua" w:cs="Tahoma"/>
          <w:b/>
          <w:color w:val="000000"/>
          <w:sz w:val="24"/>
          <w:szCs w:val="24"/>
        </w:rPr>
        <w:t xml:space="preserve">Name of Journal: </w:t>
      </w:r>
      <w:r w:rsidRPr="002864A0">
        <w:rPr>
          <w:rFonts w:ascii="Book Antiqua" w:hAnsi="Book Antiqua" w:cs="Tahoma"/>
          <w:i/>
          <w:color w:val="000000"/>
          <w:sz w:val="24"/>
          <w:szCs w:val="24"/>
        </w:rPr>
        <w:t>World Journal of Clinical Cases</w:t>
      </w:r>
    </w:p>
    <w:p w:rsidR="009D590A" w:rsidRPr="002864A0" w:rsidRDefault="009D590A" w:rsidP="002864A0">
      <w:pPr>
        <w:adjustRightInd w:val="0"/>
        <w:snapToGrid w:val="0"/>
        <w:spacing w:line="360" w:lineRule="auto"/>
        <w:rPr>
          <w:rFonts w:ascii="Book Antiqua" w:hAnsi="Book Antiqua" w:cs="Tahoma"/>
          <w:b/>
          <w:color w:val="000000"/>
          <w:sz w:val="24"/>
          <w:szCs w:val="24"/>
        </w:rPr>
      </w:pPr>
      <w:r w:rsidRPr="002864A0">
        <w:rPr>
          <w:rFonts w:ascii="Book Antiqua" w:hAnsi="Book Antiqua" w:cs="Tahoma"/>
          <w:b/>
          <w:color w:val="000000"/>
          <w:sz w:val="24"/>
          <w:szCs w:val="24"/>
        </w:rPr>
        <w:t xml:space="preserve">Manuscript NO: </w:t>
      </w:r>
      <w:r w:rsidRPr="002864A0">
        <w:rPr>
          <w:rFonts w:ascii="Book Antiqua" w:hAnsi="Book Antiqua"/>
          <w:sz w:val="24"/>
          <w:szCs w:val="24"/>
        </w:rPr>
        <w:t>53142</w:t>
      </w: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b/>
          <w:color w:val="000000"/>
          <w:sz w:val="24"/>
          <w:szCs w:val="24"/>
          <w:shd w:val="clear" w:color="auto" w:fill="FFFFFF"/>
        </w:rPr>
        <w:t>Manuscript Type</w:t>
      </w:r>
      <w:r w:rsidRPr="002864A0">
        <w:rPr>
          <w:rFonts w:ascii="Book Antiqua" w:hAnsi="Book Antiqua"/>
          <w:b/>
          <w:color w:val="000000"/>
          <w:sz w:val="24"/>
          <w:szCs w:val="24"/>
        </w:rPr>
        <w:t>:</w:t>
      </w:r>
      <w:r w:rsidRPr="002864A0">
        <w:rPr>
          <w:rFonts w:ascii="Book Antiqua" w:hAnsi="Book Antiqua" w:cs="Segoe UI"/>
          <w:b/>
          <w:bCs/>
          <w:i/>
          <w:color w:val="000000"/>
          <w:sz w:val="24"/>
          <w:szCs w:val="24"/>
        </w:rPr>
        <w:t xml:space="preserve"> </w:t>
      </w:r>
      <w:r w:rsidRPr="002864A0">
        <w:rPr>
          <w:rFonts w:ascii="Book Antiqua" w:hAnsi="Book Antiqua"/>
          <w:sz w:val="24"/>
          <w:szCs w:val="24"/>
        </w:rPr>
        <w:t>ORIGINAL ARTICLE</w:t>
      </w:r>
    </w:p>
    <w:p w:rsidR="009D590A" w:rsidRPr="002864A0" w:rsidRDefault="009D590A" w:rsidP="002864A0">
      <w:pPr>
        <w:adjustRightInd w:val="0"/>
        <w:snapToGrid w:val="0"/>
        <w:spacing w:line="360" w:lineRule="auto"/>
        <w:rPr>
          <w:rFonts w:ascii="Book Antiqua" w:hAnsi="Book Antiqua" w:cs="Segoe UI"/>
          <w:b/>
          <w:bCs/>
          <w:i/>
          <w:color w:val="000000"/>
          <w:sz w:val="24"/>
          <w:szCs w:val="24"/>
        </w:rPr>
      </w:pPr>
    </w:p>
    <w:p w:rsidR="009D590A" w:rsidRPr="002864A0" w:rsidRDefault="009D590A" w:rsidP="002864A0">
      <w:pPr>
        <w:adjustRightInd w:val="0"/>
        <w:snapToGrid w:val="0"/>
        <w:spacing w:line="360" w:lineRule="auto"/>
        <w:rPr>
          <w:rFonts w:ascii="Book Antiqua" w:hAnsi="Book Antiqua" w:cs="Segoe UI"/>
          <w:b/>
          <w:bCs/>
          <w:i/>
          <w:color w:val="000000"/>
          <w:sz w:val="24"/>
          <w:szCs w:val="24"/>
        </w:rPr>
      </w:pPr>
      <w:r w:rsidRPr="002864A0">
        <w:rPr>
          <w:rFonts w:ascii="Book Antiqua" w:hAnsi="Book Antiqua" w:cs="Segoe UI"/>
          <w:b/>
          <w:bCs/>
          <w:i/>
          <w:color w:val="000000"/>
          <w:sz w:val="24"/>
          <w:szCs w:val="24"/>
        </w:rPr>
        <w:t>Case Control Study</w:t>
      </w:r>
    </w:p>
    <w:p w:rsidR="009D590A" w:rsidRPr="002864A0" w:rsidRDefault="009D590A" w:rsidP="002864A0">
      <w:pPr>
        <w:adjustRightInd w:val="0"/>
        <w:snapToGrid w:val="0"/>
        <w:spacing w:line="360" w:lineRule="auto"/>
        <w:rPr>
          <w:rFonts w:ascii="Book Antiqua" w:hAnsi="Book Antiqua"/>
          <w:b/>
          <w:bCs/>
          <w:sz w:val="24"/>
          <w:szCs w:val="24"/>
        </w:rPr>
      </w:pPr>
      <w:r w:rsidRPr="002864A0">
        <w:rPr>
          <w:rFonts w:ascii="Book Antiqua" w:hAnsi="Book Antiqua"/>
          <w:b/>
          <w:bCs/>
          <w:sz w:val="24"/>
          <w:szCs w:val="24"/>
        </w:rPr>
        <w:t>Determination of vitamin D and analysis of risk factors for osteoporosis in patients with chronic pain</w:t>
      </w:r>
    </w:p>
    <w:p w:rsidR="009D590A" w:rsidRPr="002864A0" w:rsidRDefault="009D590A" w:rsidP="002864A0">
      <w:pPr>
        <w:adjustRightInd w:val="0"/>
        <w:snapToGrid w:val="0"/>
        <w:spacing w:line="360" w:lineRule="auto"/>
        <w:rPr>
          <w:rFonts w:ascii="Book Antiqua" w:hAnsi="Book Antiqua"/>
          <w:b/>
          <w:bCs/>
          <w:sz w:val="24"/>
          <w:szCs w:val="24"/>
        </w:rPr>
      </w:pPr>
    </w:p>
    <w:p w:rsidR="009D590A" w:rsidRPr="002864A0" w:rsidRDefault="009D590A" w:rsidP="002864A0">
      <w:pPr>
        <w:adjustRightInd w:val="0"/>
        <w:snapToGrid w:val="0"/>
        <w:spacing w:line="360" w:lineRule="auto"/>
        <w:rPr>
          <w:rFonts w:ascii="Book Antiqua" w:hAnsi="Book Antiqua"/>
          <w:sz w:val="24"/>
          <w:szCs w:val="24"/>
        </w:rPr>
      </w:pPr>
      <w:proofErr w:type="spellStart"/>
      <w:r w:rsidRPr="002864A0">
        <w:rPr>
          <w:rFonts w:ascii="Book Antiqua" w:hAnsi="Book Antiqua"/>
          <w:sz w:val="24"/>
          <w:szCs w:val="24"/>
        </w:rPr>
        <w:t>Duan</w:t>
      </w:r>
      <w:proofErr w:type="spellEnd"/>
      <w:r w:rsidRPr="002864A0">
        <w:rPr>
          <w:rFonts w:ascii="Book Antiqua" w:hAnsi="Book Antiqua"/>
          <w:sz w:val="24"/>
          <w:szCs w:val="24"/>
        </w:rPr>
        <w:t xml:space="preserve"> BL</w:t>
      </w:r>
      <w:r w:rsidRPr="002864A0">
        <w:rPr>
          <w:rFonts w:ascii="Book Antiqua" w:hAnsi="Book Antiqua"/>
          <w:i/>
          <w:iCs/>
          <w:sz w:val="24"/>
          <w:szCs w:val="24"/>
        </w:rPr>
        <w:t xml:space="preserve"> et al</w:t>
      </w:r>
      <w:r w:rsidRPr="002864A0">
        <w:rPr>
          <w:rFonts w:ascii="Book Antiqua" w:hAnsi="Book Antiqua"/>
          <w:sz w:val="24"/>
          <w:szCs w:val="24"/>
        </w:rPr>
        <w:t>. Clinical significance of 25OHD in patients with chronic pain</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b/>
          <w:bCs/>
          <w:sz w:val="24"/>
          <w:szCs w:val="24"/>
        </w:rPr>
      </w:pPr>
      <w:proofErr w:type="spellStart"/>
      <w:r w:rsidRPr="002864A0">
        <w:rPr>
          <w:rFonts w:ascii="Book Antiqua" w:hAnsi="Book Antiqua"/>
          <w:sz w:val="24"/>
          <w:szCs w:val="24"/>
        </w:rPr>
        <w:t>Bao</w:t>
      </w:r>
      <w:proofErr w:type="spellEnd"/>
      <w:r w:rsidRPr="002864A0">
        <w:rPr>
          <w:rFonts w:ascii="Book Antiqua" w:hAnsi="Book Antiqua"/>
          <w:sz w:val="24"/>
          <w:szCs w:val="24"/>
        </w:rPr>
        <w:t xml:space="preserve">-Lin </w:t>
      </w:r>
      <w:proofErr w:type="spellStart"/>
      <w:r w:rsidRPr="002864A0">
        <w:rPr>
          <w:rFonts w:ascii="Book Antiqua" w:hAnsi="Book Antiqua"/>
          <w:sz w:val="24"/>
          <w:szCs w:val="24"/>
        </w:rPr>
        <w:t>Duan</w:t>
      </w:r>
      <w:proofErr w:type="spellEnd"/>
      <w:r w:rsidRPr="002864A0">
        <w:rPr>
          <w:rFonts w:ascii="Book Antiqua" w:hAnsi="Book Antiqua"/>
          <w:sz w:val="24"/>
          <w:szCs w:val="24"/>
        </w:rPr>
        <w:t>, Yuan-</w:t>
      </w:r>
      <w:proofErr w:type="spellStart"/>
      <w:r w:rsidRPr="002864A0">
        <w:rPr>
          <w:rFonts w:ascii="Book Antiqua" w:hAnsi="Book Antiqua"/>
          <w:sz w:val="24"/>
          <w:szCs w:val="24"/>
        </w:rPr>
        <w:t>Rong</w:t>
      </w:r>
      <w:proofErr w:type="spellEnd"/>
      <w:r w:rsidRPr="002864A0">
        <w:rPr>
          <w:rFonts w:ascii="Book Antiqua" w:hAnsi="Book Antiqua"/>
          <w:sz w:val="24"/>
          <w:szCs w:val="24"/>
        </w:rPr>
        <w:t xml:space="preserve"> Mao, Li-Qi </w:t>
      </w:r>
      <w:proofErr w:type="spellStart"/>
      <w:r w:rsidRPr="002864A0">
        <w:rPr>
          <w:rFonts w:ascii="Book Antiqua" w:hAnsi="Book Antiqua"/>
          <w:sz w:val="24"/>
          <w:szCs w:val="24"/>
        </w:rPr>
        <w:t>Xue</w:t>
      </w:r>
      <w:proofErr w:type="spellEnd"/>
      <w:r w:rsidRPr="002864A0">
        <w:rPr>
          <w:rFonts w:ascii="Book Antiqua" w:hAnsi="Book Antiqua"/>
          <w:sz w:val="24"/>
          <w:szCs w:val="24"/>
        </w:rPr>
        <w:t>, Qing-Yuan Yu, Mei-Yi Liu</w:t>
      </w:r>
    </w:p>
    <w:p w:rsidR="009D590A" w:rsidRPr="002864A0" w:rsidRDefault="009D590A" w:rsidP="002864A0">
      <w:pPr>
        <w:adjustRightInd w:val="0"/>
        <w:snapToGrid w:val="0"/>
        <w:spacing w:line="360" w:lineRule="auto"/>
        <w:rPr>
          <w:rFonts w:ascii="Book Antiqua" w:hAnsi="Book Antiqua"/>
          <w:b/>
          <w:bCs/>
          <w:sz w:val="24"/>
          <w:szCs w:val="24"/>
        </w:rPr>
      </w:pPr>
    </w:p>
    <w:p w:rsidR="009D590A" w:rsidRPr="002864A0" w:rsidRDefault="009D590A" w:rsidP="002864A0">
      <w:pPr>
        <w:adjustRightInd w:val="0"/>
        <w:snapToGrid w:val="0"/>
        <w:spacing w:line="360" w:lineRule="auto"/>
        <w:rPr>
          <w:rFonts w:ascii="Book Antiqua" w:hAnsi="Book Antiqua"/>
          <w:sz w:val="24"/>
          <w:szCs w:val="24"/>
        </w:rPr>
      </w:pPr>
      <w:proofErr w:type="spellStart"/>
      <w:r w:rsidRPr="002864A0">
        <w:rPr>
          <w:rFonts w:ascii="Book Antiqua" w:hAnsi="Book Antiqua"/>
          <w:b/>
          <w:bCs/>
          <w:sz w:val="24"/>
          <w:szCs w:val="24"/>
        </w:rPr>
        <w:t>Bao</w:t>
      </w:r>
      <w:proofErr w:type="spellEnd"/>
      <w:r w:rsidRPr="002864A0">
        <w:rPr>
          <w:rFonts w:ascii="Book Antiqua" w:hAnsi="Book Antiqua"/>
          <w:b/>
          <w:bCs/>
          <w:sz w:val="24"/>
          <w:szCs w:val="24"/>
        </w:rPr>
        <w:t xml:space="preserve">-Lin </w:t>
      </w:r>
      <w:proofErr w:type="spellStart"/>
      <w:r w:rsidRPr="002864A0">
        <w:rPr>
          <w:rFonts w:ascii="Book Antiqua" w:hAnsi="Book Antiqua"/>
          <w:b/>
          <w:bCs/>
          <w:sz w:val="24"/>
          <w:szCs w:val="24"/>
        </w:rPr>
        <w:t>Duan</w:t>
      </w:r>
      <w:proofErr w:type="spellEnd"/>
      <w:r w:rsidRPr="002864A0">
        <w:rPr>
          <w:rFonts w:ascii="Book Antiqua" w:hAnsi="Book Antiqua"/>
          <w:b/>
          <w:bCs/>
          <w:sz w:val="24"/>
          <w:szCs w:val="24"/>
        </w:rPr>
        <w:t>, Yuan-</w:t>
      </w:r>
      <w:proofErr w:type="spellStart"/>
      <w:r w:rsidRPr="002864A0">
        <w:rPr>
          <w:rFonts w:ascii="Book Antiqua" w:hAnsi="Book Antiqua"/>
          <w:b/>
          <w:bCs/>
          <w:sz w:val="24"/>
          <w:szCs w:val="24"/>
        </w:rPr>
        <w:t>Rong</w:t>
      </w:r>
      <w:proofErr w:type="spellEnd"/>
      <w:r w:rsidRPr="002864A0">
        <w:rPr>
          <w:rFonts w:ascii="Book Antiqua" w:hAnsi="Book Antiqua"/>
          <w:b/>
          <w:bCs/>
          <w:sz w:val="24"/>
          <w:szCs w:val="24"/>
        </w:rPr>
        <w:t xml:space="preserve"> Mao, Li-Qi </w:t>
      </w:r>
      <w:proofErr w:type="spellStart"/>
      <w:r w:rsidRPr="002864A0">
        <w:rPr>
          <w:rFonts w:ascii="Book Antiqua" w:hAnsi="Book Antiqua"/>
          <w:b/>
          <w:bCs/>
          <w:sz w:val="24"/>
          <w:szCs w:val="24"/>
        </w:rPr>
        <w:t>Xue</w:t>
      </w:r>
      <w:proofErr w:type="spellEnd"/>
      <w:r w:rsidRPr="002864A0">
        <w:rPr>
          <w:rFonts w:ascii="Book Antiqua" w:hAnsi="Book Antiqua"/>
          <w:b/>
          <w:bCs/>
          <w:sz w:val="24"/>
          <w:szCs w:val="24"/>
        </w:rPr>
        <w:t xml:space="preserve">, </w:t>
      </w:r>
      <w:bookmarkStart w:id="2" w:name="OLE_LINK4"/>
      <w:bookmarkStart w:id="3" w:name="OLE_LINK5"/>
      <w:r w:rsidRPr="002864A0">
        <w:rPr>
          <w:rFonts w:ascii="Book Antiqua" w:hAnsi="Book Antiqua"/>
          <w:b/>
          <w:bCs/>
          <w:sz w:val="24"/>
          <w:szCs w:val="24"/>
        </w:rPr>
        <w:t>Qing-Yuan Yu</w:t>
      </w:r>
      <w:bookmarkEnd w:id="2"/>
      <w:bookmarkEnd w:id="3"/>
      <w:r w:rsidRPr="002864A0">
        <w:rPr>
          <w:rFonts w:ascii="Book Antiqua" w:hAnsi="Book Antiqua"/>
          <w:b/>
          <w:bCs/>
          <w:sz w:val="24"/>
          <w:szCs w:val="24"/>
        </w:rPr>
        <w:t xml:space="preserve"> and Mei-Yi Liu, </w:t>
      </w:r>
      <w:r w:rsidRPr="002864A0">
        <w:rPr>
          <w:rFonts w:ascii="Book Antiqua" w:hAnsi="Book Antiqua"/>
          <w:sz w:val="24"/>
          <w:szCs w:val="24"/>
        </w:rPr>
        <w:t xml:space="preserve">Department of </w:t>
      </w:r>
      <w:r w:rsidR="00A03E79">
        <w:rPr>
          <w:rFonts w:ascii="Book Antiqua" w:hAnsi="Book Antiqua"/>
          <w:sz w:val="24"/>
          <w:szCs w:val="24"/>
        </w:rPr>
        <w:t>P</w:t>
      </w:r>
      <w:r w:rsidRPr="002864A0">
        <w:rPr>
          <w:rFonts w:ascii="Book Antiqua" w:hAnsi="Book Antiqua"/>
          <w:sz w:val="24"/>
          <w:szCs w:val="24"/>
        </w:rPr>
        <w:t>ain, Qinghai Provincial People’s Hospital, Xining</w:t>
      </w:r>
      <w:r w:rsidR="00686FDE">
        <w:rPr>
          <w:rFonts w:ascii="Book Antiqua" w:hAnsi="Book Antiqua"/>
          <w:sz w:val="24"/>
          <w:szCs w:val="24"/>
        </w:rPr>
        <w:t xml:space="preserve"> </w:t>
      </w:r>
      <w:r w:rsidR="00686FDE" w:rsidRPr="002864A0">
        <w:rPr>
          <w:rFonts w:ascii="Book Antiqua" w:hAnsi="Book Antiqua"/>
          <w:sz w:val="24"/>
          <w:szCs w:val="24"/>
        </w:rPr>
        <w:t>810000</w:t>
      </w:r>
      <w:r w:rsidRPr="002864A0">
        <w:rPr>
          <w:rFonts w:ascii="Book Antiqua" w:hAnsi="Book Antiqua"/>
          <w:sz w:val="24"/>
          <w:szCs w:val="24"/>
        </w:rPr>
        <w:t>, Qinghai Province, China</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eastAsia="MS Mincho" w:hAnsi="Book Antiqua"/>
          <w:b/>
          <w:sz w:val="24"/>
          <w:szCs w:val="24"/>
          <w:lang w:eastAsia="ja-JP"/>
        </w:rPr>
        <w:t>Author contributions:</w:t>
      </w:r>
      <w:r w:rsidRPr="002864A0">
        <w:rPr>
          <w:rFonts w:ascii="Book Antiqua" w:hAnsi="Book Antiqua"/>
          <w:b/>
          <w:sz w:val="24"/>
          <w:szCs w:val="24"/>
        </w:rPr>
        <w:t xml:space="preserve"> </w:t>
      </w:r>
      <w:proofErr w:type="spellStart"/>
      <w:r w:rsidRPr="002864A0">
        <w:rPr>
          <w:rFonts w:ascii="Book Antiqua" w:hAnsi="Book Antiqua"/>
          <w:sz w:val="24"/>
          <w:szCs w:val="24"/>
        </w:rPr>
        <w:t>Duan</w:t>
      </w:r>
      <w:proofErr w:type="spellEnd"/>
      <w:r w:rsidRPr="002864A0">
        <w:rPr>
          <w:rFonts w:ascii="Book Antiqua" w:hAnsi="Book Antiqua"/>
          <w:sz w:val="24"/>
          <w:szCs w:val="24"/>
        </w:rPr>
        <w:t xml:space="preserve"> BL performed the majority of experiments and wrote the manuscript; Liu MY designed the study and corrected the manuscript; Mao YR </w:t>
      </w:r>
      <w:r w:rsidR="00A03E79">
        <w:rPr>
          <w:rFonts w:ascii="Book Antiqua" w:hAnsi="Book Antiqua"/>
          <w:sz w:val="24"/>
          <w:szCs w:val="24"/>
        </w:rPr>
        <w:t>was</w:t>
      </w:r>
      <w:r w:rsidRPr="002864A0">
        <w:rPr>
          <w:rFonts w:ascii="Book Antiqua" w:hAnsi="Book Antiqua"/>
          <w:sz w:val="24"/>
          <w:szCs w:val="24"/>
        </w:rPr>
        <w:t xml:space="preserve"> involved in analytical tools; </w:t>
      </w:r>
      <w:proofErr w:type="spellStart"/>
      <w:r w:rsidRPr="002864A0">
        <w:rPr>
          <w:rFonts w:ascii="Book Antiqua" w:hAnsi="Book Antiqua"/>
          <w:sz w:val="24"/>
          <w:szCs w:val="24"/>
        </w:rPr>
        <w:t>Xue</w:t>
      </w:r>
      <w:proofErr w:type="spellEnd"/>
      <w:r w:rsidRPr="002864A0">
        <w:rPr>
          <w:rFonts w:ascii="Book Antiqua" w:hAnsi="Book Antiqua"/>
          <w:sz w:val="24"/>
          <w:szCs w:val="24"/>
        </w:rPr>
        <w:t xml:space="preserve"> LQ and Yu QY participated </w:t>
      </w:r>
      <w:r w:rsidR="00A03E79">
        <w:rPr>
          <w:rFonts w:ascii="Book Antiqua" w:hAnsi="Book Antiqua"/>
          <w:sz w:val="24"/>
          <w:szCs w:val="24"/>
        </w:rPr>
        <w:t>in</w:t>
      </w:r>
      <w:r w:rsidRPr="002864A0">
        <w:rPr>
          <w:rFonts w:ascii="Book Antiqua" w:hAnsi="Book Antiqua"/>
          <w:sz w:val="24"/>
          <w:szCs w:val="24"/>
        </w:rPr>
        <w:t xml:space="preserve"> the collection of data.</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proofErr w:type="gramStart"/>
      <w:r w:rsidRPr="002864A0">
        <w:rPr>
          <w:rFonts w:ascii="Book Antiqua" w:hAnsi="Book Antiqua"/>
          <w:b/>
          <w:bCs/>
          <w:sz w:val="24"/>
          <w:szCs w:val="24"/>
        </w:rPr>
        <w:t>Supported by</w:t>
      </w:r>
      <w:r w:rsidRPr="002864A0">
        <w:rPr>
          <w:rFonts w:ascii="Book Antiqua" w:hAnsi="Book Antiqua"/>
          <w:sz w:val="24"/>
          <w:szCs w:val="24"/>
        </w:rPr>
        <w:t xml:space="preserve"> the 2016 Guidance Project of Qinghai Provincial Health and Family Planning Commission, No. 2016-wjzdx-14.</w:t>
      </w:r>
      <w:proofErr w:type="gramEnd"/>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b/>
          <w:sz w:val="24"/>
          <w:szCs w:val="24"/>
        </w:rPr>
      </w:pPr>
      <w:bookmarkStart w:id="4" w:name="OLE_LINK535"/>
      <w:bookmarkStart w:id="5" w:name="OLE_LINK536"/>
      <w:r w:rsidRPr="002864A0">
        <w:rPr>
          <w:rFonts w:ascii="Book Antiqua" w:hAnsi="Book Antiqua"/>
          <w:b/>
          <w:sz w:val="24"/>
          <w:szCs w:val="24"/>
        </w:rPr>
        <w:t>Corresponding author:</w:t>
      </w:r>
      <w:bookmarkEnd w:id="4"/>
      <w:bookmarkEnd w:id="5"/>
      <w:r w:rsidRPr="002864A0">
        <w:rPr>
          <w:rFonts w:ascii="Book Antiqua" w:hAnsi="Book Antiqua"/>
          <w:b/>
          <w:sz w:val="24"/>
          <w:szCs w:val="24"/>
        </w:rPr>
        <w:t xml:space="preserve"> </w:t>
      </w:r>
      <w:r w:rsidRPr="002864A0">
        <w:rPr>
          <w:rFonts w:ascii="Book Antiqua" w:hAnsi="Book Antiqua"/>
          <w:b/>
          <w:bCs/>
          <w:sz w:val="24"/>
          <w:szCs w:val="24"/>
        </w:rPr>
        <w:t>Mei-Yi Liu, MD, Doctor,</w:t>
      </w:r>
      <w:r w:rsidRPr="002864A0">
        <w:rPr>
          <w:rFonts w:ascii="Book Antiqua" w:hAnsi="Book Antiqua"/>
          <w:sz w:val="24"/>
          <w:szCs w:val="24"/>
        </w:rPr>
        <w:t xml:space="preserve"> Department of </w:t>
      </w:r>
      <w:r w:rsidR="00A03E79">
        <w:rPr>
          <w:rFonts w:ascii="Book Antiqua" w:hAnsi="Book Antiqua"/>
          <w:sz w:val="24"/>
          <w:szCs w:val="24"/>
        </w:rPr>
        <w:t>P</w:t>
      </w:r>
      <w:r w:rsidRPr="002864A0">
        <w:rPr>
          <w:rFonts w:ascii="Book Antiqua" w:hAnsi="Book Antiqua"/>
          <w:sz w:val="24"/>
          <w:szCs w:val="24"/>
        </w:rPr>
        <w:t xml:space="preserve">ain, Qinghai Provincial People’s Hospital, 2 </w:t>
      </w:r>
      <w:proofErr w:type="spellStart"/>
      <w:r w:rsidRPr="002864A0">
        <w:rPr>
          <w:rFonts w:ascii="Book Antiqua" w:hAnsi="Book Antiqua"/>
          <w:sz w:val="24"/>
          <w:szCs w:val="24"/>
        </w:rPr>
        <w:t>Gonghe</w:t>
      </w:r>
      <w:proofErr w:type="spellEnd"/>
      <w:r w:rsidRPr="002864A0">
        <w:rPr>
          <w:rFonts w:ascii="Book Antiqua" w:hAnsi="Book Antiqua"/>
          <w:sz w:val="24"/>
          <w:szCs w:val="24"/>
        </w:rPr>
        <w:t xml:space="preserve"> Road </w:t>
      </w:r>
      <w:proofErr w:type="spellStart"/>
      <w:r w:rsidRPr="002864A0">
        <w:rPr>
          <w:rFonts w:ascii="Book Antiqua" w:hAnsi="Book Antiqua"/>
          <w:sz w:val="24"/>
          <w:szCs w:val="24"/>
        </w:rPr>
        <w:t>Chengdong</w:t>
      </w:r>
      <w:proofErr w:type="spellEnd"/>
      <w:r w:rsidRPr="002864A0">
        <w:rPr>
          <w:rFonts w:ascii="Book Antiqua" w:hAnsi="Book Antiqua"/>
          <w:sz w:val="24"/>
          <w:szCs w:val="24"/>
        </w:rPr>
        <w:t xml:space="preserve"> District, Xining 810000, Qinghai Province, China. 1461519537@qq.com</w:t>
      </w:r>
    </w:p>
    <w:bookmarkEnd w:id="0"/>
    <w:bookmarkEnd w:id="1"/>
    <w:p w:rsidR="009D590A" w:rsidRPr="002864A0" w:rsidRDefault="009D590A" w:rsidP="002864A0">
      <w:pPr>
        <w:adjustRightInd w:val="0"/>
        <w:snapToGrid w:val="0"/>
        <w:spacing w:line="360" w:lineRule="auto"/>
        <w:rPr>
          <w:rFonts w:ascii="Book Antiqua" w:hAnsi="Book Antiqua"/>
          <w:b/>
          <w:sz w:val="24"/>
          <w:szCs w:val="24"/>
          <w:lang w:val="en"/>
        </w:rPr>
      </w:pP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 xml:space="preserve">Received: </w:t>
      </w:r>
      <w:r w:rsidRPr="002864A0">
        <w:rPr>
          <w:rFonts w:ascii="Book Antiqua" w:hAnsi="Book Antiqua"/>
          <w:sz w:val="24"/>
          <w:szCs w:val="24"/>
        </w:rPr>
        <w:t>January 2, 2020</w:t>
      </w: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 xml:space="preserve">Revised: </w:t>
      </w:r>
      <w:r w:rsidRPr="002864A0">
        <w:rPr>
          <w:rFonts w:ascii="Book Antiqua" w:hAnsi="Book Antiqua"/>
          <w:sz w:val="24"/>
          <w:szCs w:val="24"/>
        </w:rPr>
        <w:t>April 17, 2020</w:t>
      </w:r>
    </w:p>
    <w:p w:rsidR="009D590A" w:rsidRPr="002864A0" w:rsidRDefault="009D590A" w:rsidP="002864A0">
      <w:pPr>
        <w:adjustRightInd w:val="0"/>
        <w:snapToGrid w:val="0"/>
        <w:spacing w:line="360" w:lineRule="auto"/>
        <w:rPr>
          <w:rFonts w:ascii="Book Antiqua" w:hAnsi="Book Antiqua"/>
          <w:color w:val="000000"/>
          <w:sz w:val="24"/>
          <w:szCs w:val="24"/>
        </w:rPr>
      </w:pPr>
      <w:r w:rsidRPr="002864A0">
        <w:rPr>
          <w:rFonts w:ascii="Book Antiqua" w:hAnsi="Book Antiqua"/>
          <w:b/>
          <w:sz w:val="24"/>
          <w:szCs w:val="24"/>
        </w:rPr>
        <w:t>Accepted:</w:t>
      </w:r>
      <w:r w:rsidR="003A5F03" w:rsidRPr="003A5F03">
        <w:t xml:space="preserve"> </w:t>
      </w:r>
      <w:r w:rsidR="003A5F03" w:rsidRPr="003A5F03">
        <w:rPr>
          <w:rFonts w:ascii="Book Antiqua" w:hAnsi="Book Antiqua"/>
          <w:bCs/>
          <w:sz w:val="24"/>
          <w:szCs w:val="24"/>
        </w:rPr>
        <w:t>May 1, 2020</w:t>
      </w:r>
      <w:r w:rsidRPr="003A5F03">
        <w:rPr>
          <w:rFonts w:ascii="Book Antiqua" w:hAnsi="Book Antiqua"/>
          <w:bCs/>
          <w:sz w:val="24"/>
          <w:szCs w:val="24"/>
        </w:rPr>
        <w:t xml:space="preserve"> </w:t>
      </w: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Published online:</w:t>
      </w:r>
      <w:r w:rsidR="000F3E37" w:rsidRPr="000F3E37">
        <w:rPr>
          <w:rFonts w:ascii="Book Antiqua" w:hAnsi="Book Antiqua"/>
          <w:color w:val="000000"/>
          <w:shd w:val="clear" w:color="auto" w:fill="FFFFFF"/>
        </w:rPr>
        <w:t xml:space="preserve"> </w:t>
      </w:r>
      <w:r w:rsidR="000F3E37">
        <w:rPr>
          <w:rFonts w:ascii="Book Antiqua" w:hAnsi="Book Antiqua"/>
          <w:color w:val="000000"/>
          <w:shd w:val="clear" w:color="auto" w:fill="FFFFFF"/>
        </w:rPr>
        <w:t>June 6</w:t>
      </w:r>
      <w:r w:rsidR="000F3E37" w:rsidRPr="000F3E37">
        <w:rPr>
          <w:rFonts w:ascii="Book Antiqua" w:hAnsi="Book Antiqua" w:hint="eastAsia"/>
          <w:color w:val="000000"/>
          <w:shd w:val="clear" w:color="auto" w:fill="FFFFFF"/>
        </w:rPr>
        <w:t>, 2020</w:t>
      </w:r>
    </w:p>
    <w:p w:rsidR="009D590A" w:rsidRPr="002864A0" w:rsidRDefault="009D590A" w:rsidP="002864A0">
      <w:pPr>
        <w:adjustRightInd w:val="0"/>
        <w:snapToGrid w:val="0"/>
        <w:spacing w:line="360" w:lineRule="auto"/>
        <w:rPr>
          <w:rFonts w:ascii="Book Antiqua" w:hAnsi="Book Antiqua"/>
          <w:b/>
          <w:sz w:val="24"/>
          <w:szCs w:val="24"/>
          <w:lang w:val="en"/>
        </w:rPr>
      </w:pP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br w:type="page"/>
        <w:t>Abstract</w:t>
      </w:r>
    </w:p>
    <w:p w:rsidR="009D590A" w:rsidRPr="002864A0" w:rsidRDefault="009D590A" w:rsidP="002864A0">
      <w:pPr>
        <w:adjustRightInd w:val="0"/>
        <w:snapToGrid w:val="0"/>
        <w:spacing w:line="360" w:lineRule="auto"/>
        <w:rPr>
          <w:rFonts w:ascii="Book Antiqua" w:hAnsi="Book Antiqua"/>
          <w:color w:val="000000"/>
          <w:sz w:val="24"/>
          <w:szCs w:val="24"/>
        </w:rPr>
      </w:pPr>
      <w:r w:rsidRPr="002864A0">
        <w:rPr>
          <w:rFonts w:ascii="Book Antiqua" w:hAnsi="Book Antiqua"/>
          <w:color w:val="000000"/>
          <w:sz w:val="24"/>
          <w:szCs w:val="24"/>
        </w:rPr>
        <w:t>BACKGROUND</w:t>
      </w:r>
    </w:p>
    <w:p w:rsidR="009D590A" w:rsidRPr="002864A0" w:rsidRDefault="009D590A" w:rsidP="002864A0">
      <w:pPr>
        <w:adjustRightInd w:val="0"/>
        <w:snapToGrid w:val="0"/>
        <w:spacing w:line="360" w:lineRule="auto"/>
        <w:rPr>
          <w:rFonts w:ascii="Book Antiqua" w:hAnsi="Book Antiqua"/>
          <w:color w:val="000000"/>
          <w:sz w:val="24"/>
          <w:szCs w:val="24"/>
        </w:rPr>
      </w:pPr>
      <w:r w:rsidRPr="002864A0">
        <w:rPr>
          <w:rStyle w:val="a5"/>
          <w:rFonts w:ascii="Book Antiqua" w:hAnsi="Book Antiqua" w:cs="Calibri"/>
          <w:sz w:val="24"/>
          <w:szCs w:val="24"/>
        </w:rPr>
        <w:t xml:space="preserve">Vitamin D deficiency is common in patients with chronic pain and healthy people, but the difference between the two has not been reported; </w:t>
      </w:r>
      <w:r w:rsidR="00A03E79">
        <w:rPr>
          <w:rStyle w:val="a5"/>
          <w:rFonts w:ascii="Book Antiqua" w:hAnsi="Book Antiqua" w:cs="Calibri"/>
          <w:sz w:val="24"/>
          <w:szCs w:val="24"/>
        </w:rPr>
        <w:t xml:space="preserve">thus, </w:t>
      </w:r>
      <w:r w:rsidRPr="002864A0">
        <w:rPr>
          <w:rStyle w:val="a5"/>
          <w:rFonts w:ascii="Book Antiqua" w:hAnsi="Book Antiqua" w:cs="Calibri"/>
          <w:sz w:val="24"/>
          <w:szCs w:val="24"/>
        </w:rPr>
        <w:t>whether there is a relationship between vitamin D deficiency and chronic pain remains to be confirmed. Osteoporosis is a common disease in chronic pain dis</w:t>
      </w:r>
      <w:r w:rsidR="00A03E79">
        <w:rPr>
          <w:rStyle w:val="a5"/>
          <w:rFonts w:ascii="Book Antiqua" w:hAnsi="Book Antiqua" w:cs="Calibri"/>
          <w:sz w:val="24"/>
          <w:szCs w:val="24"/>
        </w:rPr>
        <w:t>orders</w:t>
      </w:r>
      <w:r w:rsidRPr="002864A0">
        <w:rPr>
          <w:rStyle w:val="a5"/>
          <w:rFonts w:ascii="Book Antiqua" w:hAnsi="Book Antiqua" w:cs="Calibri"/>
          <w:sz w:val="24"/>
          <w:szCs w:val="24"/>
        </w:rPr>
        <w:t xml:space="preserve">. </w:t>
      </w:r>
      <w:r w:rsidR="00A03E79">
        <w:rPr>
          <w:rStyle w:val="a5"/>
          <w:rFonts w:ascii="Book Antiqua" w:hAnsi="Book Antiqua" w:cs="Calibri"/>
          <w:sz w:val="24"/>
          <w:szCs w:val="24"/>
        </w:rPr>
        <w:t>U</w:t>
      </w:r>
      <w:r w:rsidRPr="002864A0">
        <w:rPr>
          <w:rStyle w:val="a5"/>
          <w:rFonts w:ascii="Book Antiqua" w:hAnsi="Book Antiqua" w:cs="Calibri"/>
          <w:sz w:val="24"/>
          <w:szCs w:val="24"/>
        </w:rPr>
        <w:t>nderstand</w:t>
      </w:r>
      <w:r w:rsidR="00A03E79">
        <w:rPr>
          <w:rStyle w:val="a5"/>
          <w:rFonts w:ascii="Book Antiqua" w:hAnsi="Book Antiqua" w:cs="Calibri"/>
          <w:sz w:val="24"/>
          <w:szCs w:val="24"/>
        </w:rPr>
        <w:t>ing</w:t>
      </w:r>
      <w:r w:rsidRPr="002864A0">
        <w:rPr>
          <w:rStyle w:val="a5"/>
          <w:rFonts w:ascii="Book Antiqua" w:hAnsi="Book Antiqua" w:cs="Calibri"/>
          <w:sz w:val="24"/>
          <w:szCs w:val="24"/>
        </w:rPr>
        <w:t xml:space="preserve"> the relationship between vitamin D and osteoporosis </w:t>
      </w:r>
      <w:r w:rsidR="00A03E79">
        <w:rPr>
          <w:rStyle w:val="a5"/>
          <w:rFonts w:ascii="Book Antiqua" w:hAnsi="Book Antiqua" w:cs="Calibri"/>
          <w:sz w:val="24"/>
          <w:szCs w:val="24"/>
        </w:rPr>
        <w:t>will</w:t>
      </w:r>
      <w:r w:rsidRPr="002864A0">
        <w:rPr>
          <w:rStyle w:val="a5"/>
          <w:rFonts w:ascii="Book Antiqua" w:hAnsi="Book Antiqua" w:cs="Calibri"/>
          <w:sz w:val="24"/>
          <w:szCs w:val="24"/>
        </w:rPr>
        <w:t xml:space="preserve"> provide </w:t>
      </w:r>
      <w:r w:rsidR="00A03E79">
        <w:rPr>
          <w:rStyle w:val="a5"/>
          <w:rFonts w:ascii="Book Antiqua" w:hAnsi="Book Antiqua" w:cs="Calibri"/>
          <w:sz w:val="24"/>
          <w:szCs w:val="24"/>
        </w:rPr>
        <w:t xml:space="preserve">a </w:t>
      </w:r>
      <w:r w:rsidRPr="002864A0">
        <w:rPr>
          <w:rStyle w:val="a5"/>
          <w:rFonts w:ascii="Book Antiqua" w:hAnsi="Book Antiqua" w:cs="Calibri"/>
          <w:sz w:val="24"/>
          <w:szCs w:val="24"/>
        </w:rPr>
        <w:t xml:space="preserve">basis for </w:t>
      </w:r>
      <w:r w:rsidR="00A03E79">
        <w:rPr>
          <w:rStyle w:val="a5"/>
          <w:rFonts w:ascii="Book Antiqua" w:hAnsi="Book Antiqua" w:cs="Calibri"/>
          <w:sz w:val="24"/>
          <w:szCs w:val="24"/>
        </w:rPr>
        <w:t xml:space="preserve">the </w:t>
      </w:r>
      <w:r w:rsidRPr="002864A0">
        <w:rPr>
          <w:rStyle w:val="a5"/>
          <w:rFonts w:ascii="Book Antiqua" w:hAnsi="Book Antiqua" w:cs="Calibri"/>
          <w:sz w:val="24"/>
          <w:szCs w:val="24"/>
        </w:rPr>
        <w:t>rational supplement</w:t>
      </w:r>
      <w:r w:rsidR="00A03E79">
        <w:rPr>
          <w:rStyle w:val="a5"/>
          <w:rFonts w:ascii="Book Antiqua" w:hAnsi="Book Antiqua" w:cs="Calibri"/>
          <w:sz w:val="24"/>
          <w:szCs w:val="24"/>
        </w:rPr>
        <w:t>ation</w:t>
      </w:r>
      <w:r w:rsidRPr="002864A0">
        <w:rPr>
          <w:rStyle w:val="a5"/>
          <w:rFonts w:ascii="Book Antiqua" w:hAnsi="Book Antiqua" w:cs="Calibri"/>
          <w:sz w:val="24"/>
          <w:szCs w:val="24"/>
        </w:rPr>
        <w:t xml:space="preserve"> of vitamin D </w:t>
      </w:r>
      <w:r w:rsidR="00A03E79">
        <w:rPr>
          <w:rStyle w:val="a5"/>
          <w:rFonts w:ascii="Book Antiqua" w:hAnsi="Book Antiqua" w:cs="Calibri"/>
          <w:sz w:val="24"/>
          <w:szCs w:val="24"/>
        </w:rPr>
        <w:t>to prevent</w:t>
      </w:r>
      <w:r w:rsidRPr="002864A0">
        <w:rPr>
          <w:rStyle w:val="a5"/>
          <w:rFonts w:ascii="Book Antiqua" w:hAnsi="Book Antiqua" w:cs="Calibri"/>
          <w:sz w:val="24"/>
          <w:szCs w:val="24"/>
        </w:rPr>
        <w:t xml:space="preserve"> osteoporosis, and to understand the risk factors of bone mass change to provide a new treatment plan for early prevention of osteoporosis.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AIM</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To </w:t>
      </w:r>
      <w:r w:rsidR="00A03E79">
        <w:rPr>
          <w:rFonts w:ascii="Book Antiqua" w:hAnsi="Book Antiqua" w:cs="Calibri"/>
          <w:sz w:val="24"/>
          <w:szCs w:val="24"/>
        </w:rPr>
        <w:t>determine</w:t>
      </w:r>
      <w:bookmarkStart w:id="6" w:name="_Hlk26563937"/>
      <w:r w:rsidR="00A03E79">
        <w:rPr>
          <w:rFonts w:ascii="Book Antiqua" w:hAnsi="Book Antiqua" w:cs="Calibri"/>
          <w:sz w:val="24"/>
          <w:szCs w:val="24"/>
        </w:rPr>
        <w:t xml:space="preserve"> </w:t>
      </w:r>
      <w:r w:rsidRPr="002864A0">
        <w:rPr>
          <w:rFonts w:ascii="Book Antiqua" w:hAnsi="Book Antiqua" w:cs="Calibri"/>
          <w:sz w:val="24"/>
          <w:szCs w:val="24"/>
        </w:rPr>
        <w:t xml:space="preserve">25 </w:t>
      </w:r>
      <w:proofErr w:type="spellStart"/>
      <w:r w:rsidRPr="002864A0">
        <w:rPr>
          <w:rFonts w:ascii="Book Antiqua" w:hAnsi="Book Antiqua" w:cs="Calibri"/>
          <w:sz w:val="24"/>
          <w:szCs w:val="24"/>
        </w:rPr>
        <w:t>hydroxy</w:t>
      </w:r>
      <w:proofErr w:type="spellEnd"/>
      <w:r w:rsidRPr="002864A0">
        <w:rPr>
          <w:rFonts w:ascii="Book Antiqua" w:hAnsi="Book Antiqua" w:cs="Calibri"/>
          <w:sz w:val="24"/>
          <w:szCs w:val="24"/>
        </w:rPr>
        <w:t xml:space="preserve"> vitamin D (25OHD) level in patients with chronic pain</w:t>
      </w:r>
      <w:r w:rsidR="00A03E79">
        <w:rPr>
          <w:rFonts w:ascii="Book Antiqua" w:hAnsi="Book Antiqua" w:cs="Calibri"/>
          <w:sz w:val="24"/>
          <w:szCs w:val="24"/>
        </w:rPr>
        <w:t xml:space="preserve"> to</w:t>
      </w:r>
      <w:r w:rsidRPr="002864A0">
        <w:rPr>
          <w:rFonts w:ascii="Book Antiqua" w:hAnsi="Book Antiqua" w:cs="Calibri"/>
          <w:sz w:val="24"/>
          <w:szCs w:val="24"/>
        </w:rPr>
        <w:t xml:space="preserve"> clarify its clinical significance. The relationship between vitamin D and </w:t>
      </w:r>
      <w:r w:rsidR="00BE4168" w:rsidRPr="002864A0">
        <w:rPr>
          <w:rFonts w:ascii="Book Antiqua" w:hAnsi="Book Antiqua" w:cs="Calibri"/>
          <w:sz w:val="24"/>
          <w:szCs w:val="24"/>
        </w:rPr>
        <w:t>bone mineral density (BMD)</w:t>
      </w:r>
      <w:r w:rsidRPr="002864A0">
        <w:rPr>
          <w:rFonts w:ascii="Book Antiqua" w:hAnsi="Book Antiqua" w:cs="Calibri"/>
          <w:sz w:val="24"/>
          <w:szCs w:val="24"/>
        </w:rPr>
        <w:t xml:space="preserve"> and the risk factors </w:t>
      </w:r>
      <w:r w:rsidR="00A03E79">
        <w:rPr>
          <w:rFonts w:ascii="Book Antiqua" w:hAnsi="Book Antiqua" w:cs="Calibri"/>
          <w:sz w:val="24"/>
          <w:szCs w:val="24"/>
        </w:rPr>
        <w:t>for</w:t>
      </w:r>
      <w:r w:rsidRPr="002864A0">
        <w:rPr>
          <w:rFonts w:ascii="Book Antiqua" w:hAnsi="Book Antiqua" w:cs="Calibri"/>
          <w:sz w:val="24"/>
          <w:szCs w:val="24"/>
        </w:rPr>
        <w:t xml:space="preserve"> bone mass change</w:t>
      </w:r>
      <w:r w:rsidR="00A03E79">
        <w:rPr>
          <w:rFonts w:ascii="Book Antiqua" w:hAnsi="Book Antiqua" w:cs="Calibri"/>
          <w:sz w:val="24"/>
          <w:szCs w:val="24"/>
        </w:rPr>
        <w:t xml:space="preserve"> were also evaluated</w:t>
      </w:r>
      <w:r w:rsidRPr="002864A0">
        <w:rPr>
          <w:rFonts w:ascii="Book Antiqua" w:hAnsi="Book Antiqua" w:cs="Calibri"/>
          <w:sz w:val="24"/>
          <w:szCs w:val="24"/>
        </w:rPr>
        <w:t xml:space="preserve">. </w:t>
      </w:r>
    </w:p>
    <w:p w:rsidR="009D590A" w:rsidRPr="002864A0" w:rsidRDefault="009D590A" w:rsidP="002864A0">
      <w:pPr>
        <w:adjustRightInd w:val="0"/>
        <w:snapToGrid w:val="0"/>
        <w:spacing w:line="360" w:lineRule="auto"/>
        <w:rPr>
          <w:rFonts w:ascii="Book Antiqua" w:hAnsi="Book Antiqua" w:cs="Calibri"/>
          <w:sz w:val="24"/>
          <w:szCs w:val="24"/>
        </w:rPr>
      </w:pPr>
    </w:p>
    <w:bookmarkEnd w:id="6"/>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METHODS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In this study</w:t>
      </w:r>
      <w:r w:rsidR="00A03E79">
        <w:rPr>
          <w:rFonts w:ascii="Book Antiqua" w:hAnsi="Book Antiqua" w:cs="Calibri"/>
          <w:sz w:val="24"/>
          <w:szCs w:val="24"/>
        </w:rPr>
        <w:t>,</w:t>
      </w:r>
      <w:r w:rsidRPr="002864A0">
        <w:rPr>
          <w:rFonts w:ascii="Book Antiqua" w:hAnsi="Book Antiqua" w:cs="Calibri"/>
          <w:sz w:val="24"/>
          <w:szCs w:val="24"/>
        </w:rPr>
        <w:t xml:space="preserve"> 184 patients with chronic pain </w:t>
      </w:r>
      <w:r w:rsidR="00A03E79">
        <w:rPr>
          <w:rFonts w:ascii="Book Antiqua" w:hAnsi="Book Antiqua" w:cs="Calibri"/>
          <w:sz w:val="24"/>
          <w:szCs w:val="24"/>
        </w:rPr>
        <w:t>were included in</w:t>
      </w:r>
      <w:r w:rsidRPr="002864A0">
        <w:rPr>
          <w:rFonts w:ascii="Book Antiqua" w:hAnsi="Book Antiqua" w:cs="Calibri"/>
          <w:sz w:val="24"/>
          <w:szCs w:val="24"/>
        </w:rPr>
        <w:t xml:space="preserve"> the study group, and 104 healthy individuals who underwent routine health checkups during the same period </w:t>
      </w:r>
      <w:r w:rsidR="00A03E79">
        <w:rPr>
          <w:rFonts w:ascii="Book Antiqua" w:hAnsi="Book Antiqua" w:cs="Calibri"/>
          <w:sz w:val="24"/>
          <w:szCs w:val="24"/>
        </w:rPr>
        <w:t>were included in</w:t>
      </w:r>
      <w:r w:rsidRPr="002864A0">
        <w:rPr>
          <w:rFonts w:ascii="Book Antiqua" w:hAnsi="Book Antiqua" w:cs="Calibri"/>
          <w:sz w:val="24"/>
          <w:szCs w:val="24"/>
        </w:rPr>
        <w:t xml:space="preserve"> the control group. 25OHD level was detected in both groups by </w:t>
      </w:r>
      <w:r w:rsidR="00BE4168" w:rsidRPr="002864A0">
        <w:rPr>
          <w:rFonts w:ascii="Book Antiqua" w:hAnsi="Book Antiqua" w:cs="Calibri"/>
          <w:sz w:val="24"/>
          <w:szCs w:val="24"/>
        </w:rPr>
        <w:t xml:space="preserve">enzyme-linked immunosorbent </w:t>
      </w:r>
      <w:r w:rsidRPr="002864A0">
        <w:rPr>
          <w:rFonts w:ascii="Book Antiqua" w:hAnsi="Book Antiqua" w:cs="Calibri"/>
          <w:sz w:val="24"/>
          <w:szCs w:val="24"/>
        </w:rPr>
        <w:t xml:space="preserve">assay. According to the </w:t>
      </w:r>
      <w:r w:rsidR="00295A0B" w:rsidRPr="002864A0">
        <w:rPr>
          <w:rFonts w:ascii="Book Antiqua" w:hAnsi="Book Antiqua" w:cs="Calibri"/>
          <w:sz w:val="24"/>
          <w:szCs w:val="24"/>
        </w:rPr>
        <w:t>BMD</w:t>
      </w:r>
      <w:r w:rsidRPr="002864A0">
        <w:rPr>
          <w:rFonts w:ascii="Book Antiqua" w:hAnsi="Book Antiqua" w:cs="Calibri"/>
          <w:sz w:val="24"/>
          <w:szCs w:val="24"/>
        </w:rPr>
        <w:t xml:space="preserve"> test</w:t>
      </w:r>
      <w:r w:rsidR="00A03E79" w:rsidRPr="00A03E79">
        <w:rPr>
          <w:rFonts w:ascii="Book Antiqua" w:hAnsi="Book Antiqua" w:cs="Calibri"/>
          <w:sz w:val="24"/>
          <w:szCs w:val="24"/>
        </w:rPr>
        <w:t xml:space="preserve"> </w:t>
      </w:r>
      <w:r w:rsidR="00A03E79" w:rsidRPr="002864A0">
        <w:rPr>
          <w:rFonts w:ascii="Book Antiqua" w:hAnsi="Book Antiqua" w:cs="Calibri"/>
          <w:sz w:val="24"/>
          <w:szCs w:val="24"/>
        </w:rPr>
        <w:t>results</w:t>
      </w:r>
      <w:r w:rsidRPr="002864A0">
        <w:rPr>
          <w:rFonts w:ascii="Book Antiqua" w:hAnsi="Book Antiqua" w:cs="Calibri"/>
          <w:sz w:val="24"/>
          <w:szCs w:val="24"/>
        </w:rPr>
        <w:t xml:space="preserve">, the patients in the study group were further classified into three subgroups: Normal BMD group, reduced BMD group, and osteoporosis group. Age, sex, ethnicity, living altitude, </w:t>
      </w:r>
      <w:r w:rsidR="00BE4168" w:rsidRPr="002864A0">
        <w:rPr>
          <w:rFonts w:ascii="Book Antiqua" w:hAnsi="Book Antiqua" w:cs="Calibri"/>
          <w:sz w:val="24"/>
          <w:szCs w:val="24"/>
        </w:rPr>
        <w:t>body mass index</w:t>
      </w:r>
      <w:r w:rsidRPr="002864A0">
        <w:rPr>
          <w:rFonts w:ascii="Book Antiqua" w:hAnsi="Book Antiqua" w:cs="Calibri"/>
          <w:sz w:val="24"/>
          <w:szCs w:val="24"/>
        </w:rPr>
        <w:t xml:space="preserve">, 25OHD level, </w:t>
      </w:r>
      <w:r w:rsidR="00BE4168" w:rsidRPr="002864A0">
        <w:rPr>
          <w:rFonts w:ascii="Book Antiqua" w:hAnsi="Book Antiqua" w:cs="Calibri"/>
          <w:sz w:val="24"/>
          <w:szCs w:val="24"/>
        </w:rPr>
        <w:t>parathyroid hormone (PTH)</w:t>
      </w:r>
      <w:r w:rsidRPr="002864A0">
        <w:rPr>
          <w:rFonts w:ascii="Book Antiqua" w:hAnsi="Book Antiqua" w:cs="Calibri"/>
          <w:sz w:val="24"/>
          <w:szCs w:val="24"/>
        </w:rPr>
        <w:t xml:space="preserve">, </w:t>
      </w:r>
      <w:r w:rsidR="00D2283B" w:rsidRPr="002864A0">
        <w:rPr>
          <w:rFonts w:ascii="Book Antiqua" w:hAnsi="Book Antiqua" w:cs="Calibri"/>
          <w:sz w:val="24"/>
          <w:szCs w:val="24"/>
        </w:rPr>
        <w:t>calcium (Ca)</w:t>
      </w:r>
      <w:r w:rsidRPr="002864A0">
        <w:rPr>
          <w:rFonts w:ascii="Book Antiqua" w:hAnsi="Book Antiqua" w:cs="Calibri"/>
          <w:sz w:val="24"/>
          <w:szCs w:val="24"/>
        </w:rPr>
        <w:t xml:space="preserve"> and </w:t>
      </w:r>
      <w:r w:rsidR="007364D5" w:rsidRPr="002864A0">
        <w:rPr>
          <w:rFonts w:ascii="Book Antiqua" w:hAnsi="Book Antiqua" w:cs="Calibri"/>
          <w:sz w:val="24"/>
          <w:szCs w:val="24"/>
        </w:rPr>
        <w:t>phosphorus</w:t>
      </w:r>
      <w:r w:rsidRPr="002864A0">
        <w:rPr>
          <w:rFonts w:ascii="Book Antiqua" w:hAnsi="Book Antiqua" w:cs="Calibri"/>
          <w:sz w:val="24"/>
          <w:szCs w:val="24"/>
        </w:rPr>
        <w:t xml:space="preserve"> levels were analyzed statistically in both groups.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RESULTS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The vitamin D level in the study group was lower than that in the control group a</w:t>
      </w:r>
      <w:r w:rsidR="00A1300B">
        <w:rPr>
          <w:rFonts w:ascii="Book Antiqua" w:hAnsi="Book Antiqua" w:cs="Calibri"/>
          <w:sz w:val="24"/>
          <w:szCs w:val="24"/>
        </w:rPr>
        <w:t>t</w:t>
      </w:r>
      <w:r w:rsidRPr="002864A0">
        <w:rPr>
          <w:rFonts w:ascii="Book Antiqua" w:hAnsi="Book Antiqua" w:cs="Calibri"/>
          <w:sz w:val="24"/>
          <w:szCs w:val="24"/>
        </w:rPr>
        <w:t xml:space="preserve"> 53.8% </w:t>
      </w:r>
      <w:r w:rsidR="00A1300B" w:rsidRPr="00CE44E5">
        <w:rPr>
          <w:rFonts w:ascii="Book Antiqua" w:hAnsi="Book Antiqua" w:cs="Calibri"/>
          <w:i/>
          <w:sz w:val="24"/>
          <w:szCs w:val="24"/>
        </w:rPr>
        <w:t>vs</w:t>
      </w:r>
      <w:r w:rsidRPr="002864A0">
        <w:rPr>
          <w:rFonts w:ascii="Book Antiqua" w:hAnsi="Book Antiqua" w:cs="Calibri"/>
          <w:sz w:val="24"/>
          <w:szCs w:val="24"/>
        </w:rPr>
        <w:t xml:space="preserve"> 57.7%, </w:t>
      </w:r>
      <w:r w:rsidR="00A1300B">
        <w:rPr>
          <w:rFonts w:ascii="Book Antiqua" w:hAnsi="Book Antiqua" w:cs="Calibri"/>
          <w:sz w:val="24"/>
          <w:szCs w:val="24"/>
        </w:rPr>
        <w:t>with</w:t>
      </w:r>
      <w:r w:rsidRPr="002864A0">
        <w:rPr>
          <w:rFonts w:ascii="Book Antiqua" w:hAnsi="Book Antiqua" w:cs="Calibri"/>
          <w:sz w:val="24"/>
          <w:szCs w:val="24"/>
        </w:rPr>
        <w:t xml:space="preserve"> no significant difference between the two groups. The proportion of patients with severe vitamin D deficiency in the study group was higher than that in the control group. The mean age was </w:t>
      </w:r>
      <w:r w:rsidR="00A1300B">
        <w:rPr>
          <w:rFonts w:ascii="Book Antiqua" w:hAnsi="Book Antiqua" w:cs="Calibri"/>
          <w:sz w:val="24"/>
          <w:szCs w:val="24"/>
        </w:rPr>
        <w:t>greater</w:t>
      </w:r>
      <w:r w:rsidRPr="002864A0">
        <w:rPr>
          <w:rFonts w:ascii="Book Antiqua" w:hAnsi="Book Antiqua" w:cs="Calibri"/>
          <w:sz w:val="24"/>
          <w:szCs w:val="24"/>
        </w:rPr>
        <w:t xml:space="preserve"> in the osteoporosis subgroup, and the youngest in the normal B</w:t>
      </w:r>
      <w:r w:rsidR="00BE4168" w:rsidRPr="002864A0">
        <w:rPr>
          <w:rFonts w:ascii="Book Antiqua" w:hAnsi="Book Antiqua" w:cs="Calibri"/>
          <w:sz w:val="24"/>
          <w:szCs w:val="24"/>
        </w:rPr>
        <w:t>M</w:t>
      </w:r>
      <w:r w:rsidRPr="002864A0">
        <w:rPr>
          <w:rFonts w:ascii="Book Antiqua" w:hAnsi="Book Antiqua" w:cs="Calibri"/>
          <w:sz w:val="24"/>
          <w:szCs w:val="24"/>
        </w:rPr>
        <w:t xml:space="preserve">D subgroup. </w:t>
      </w:r>
      <w:r w:rsidR="00A1300B">
        <w:rPr>
          <w:rFonts w:ascii="Book Antiqua" w:hAnsi="Book Antiqua" w:cs="Calibri"/>
          <w:sz w:val="24"/>
          <w:szCs w:val="24"/>
        </w:rPr>
        <w:t>V</w:t>
      </w:r>
      <w:r w:rsidRPr="002864A0">
        <w:rPr>
          <w:rFonts w:ascii="Book Antiqua" w:hAnsi="Book Antiqua" w:cs="Calibri"/>
          <w:sz w:val="24"/>
          <w:szCs w:val="24"/>
        </w:rPr>
        <w:t xml:space="preserve">itamin D level in the osteoporosis subgroup was lower than that in the other two subgroups, and was not specific for the diagnosis of bone mass reduction and osteoporosis. </w:t>
      </w:r>
      <w:r w:rsidR="00A1300B">
        <w:rPr>
          <w:rFonts w:ascii="Book Antiqua" w:hAnsi="Book Antiqua" w:cs="Calibri"/>
          <w:sz w:val="24"/>
          <w:szCs w:val="24"/>
        </w:rPr>
        <w:t>T</w:t>
      </w:r>
      <w:r w:rsidRPr="002864A0">
        <w:rPr>
          <w:rFonts w:ascii="Book Antiqua" w:hAnsi="Book Antiqua" w:cs="Calibri"/>
          <w:sz w:val="24"/>
          <w:szCs w:val="24"/>
        </w:rPr>
        <w:t>he above results were analyzed statistically and showed significant differences (</w:t>
      </w:r>
      <w:r w:rsidRPr="002864A0">
        <w:rPr>
          <w:rFonts w:ascii="Book Antiqua" w:hAnsi="Book Antiqua" w:cs="Calibri"/>
          <w:i/>
          <w:iCs/>
          <w:sz w:val="24"/>
          <w:szCs w:val="24"/>
        </w:rPr>
        <w:t>P</w:t>
      </w:r>
      <w:r w:rsidRPr="002864A0">
        <w:rPr>
          <w:rFonts w:ascii="Book Antiqua" w:hAnsi="Book Antiqua" w:cs="Calibri"/>
          <w:sz w:val="24"/>
          <w:szCs w:val="24"/>
        </w:rPr>
        <w:t xml:space="preserve"> &lt; 0.05). There was a positive correlation between age and BMD in patients with chronic pain (R = 0.567, </w:t>
      </w:r>
      <w:r w:rsidRPr="002864A0">
        <w:rPr>
          <w:rFonts w:ascii="Book Antiqua" w:hAnsi="Book Antiqua" w:cs="Calibri"/>
          <w:i/>
          <w:iCs/>
          <w:sz w:val="24"/>
          <w:szCs w:val="24"/>
        </w:rPr>
        <w:t>P</w:t>
      </w:r>
      <w:r w:rsidRPr="002864A0">
        <w:rPr>
          <w:rFonts w:ascii="Book Antiqua" w:hAnsi="Book Antiqua" w:cs="Calibri"/>
          <w:sz w:val="24"/>
          <w:szCs w:val="24"/>
        </w:rPr>
        <w:t xml:space="preserve"> &lt; 0.001). Age, PTH and Ca were risk factors for bone mass reduction, while age, ethnicity and altitude were risk factors for osteoporosis.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CONCLUSION</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Vitamin D deficiency </w:t>
      </w:r>
      <w:r w:rsidR="00B059CF">
        <w:rPr>
          <w:rFonts w:ascii="Book Antiqua" w:hAnsi="Book Antiqua" w:cs="Calibri"/>
          <w:sz w:val="24"/>
          <w:szCs w:val="24"/>
        </w:rPr>
        <w:t>is</w:t>
      </w:r>
      <w:r w:rsidRPr="002864A0">
        <w:rPr>
          <w:rFonts w:ascii="Book Antiqua" w:hAnsi="Book Antiqua" w:cs="Calibri"/>
          <w:sz w:val="24"/>
          <w:szCs w:val="24"/>
        </w:rPr>
        <w:t xml:space="preserve"> a common phenomenon in patients with chronic pain, and severe vitamin D deficiency </w:t>
      </w:r>
      <w:r w:rsidR="00B059CF">
        <w:rPr>
          <w:rFonts w:ascii="Book Antiqua" w:hAnsi="Book Antiqua" w:cs="Calibri"/>
          <w:sz w:val="24"/>
          <w:szCs w:val="24"/>
        </w:rPr>
        <w:t>is</w:t>
      </w:r>
      <w:r w:rsidRPr="002864A0">
        <w:rPr>
          <w:rFonts w:ascii="Book Antiqua" w:hAnsi="Book Antiqua" w:cs="Calibri"/>
          <w:sz w:val="24"/>
          <w:szCs w:val="24"/>
        </w:rPr>
        <w:t xml:space="preserve"> not uncommon. Vitamin D level is not a risk factor for bone mass reduction and osteoporosis. Bone mass reduction is correlated with age, PTH and Ca, while osteoporosis is correlated with age, ethnicity and altitude.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b/>
          <w:bCs/>
          <w:sz w:val="24"/>
          <w:szCs w:val="24"/>
        </w:rPr>
        <w:t>Key words:</w:t>
      </w:r>
      <w:r w:rsidRPr="002864A0">
        <w:rPr>
          <w:rFonts w:ascii="Book Antiqua" w:hAnsi="Book Antiqua" w:cs="Calibri"/>
          <w:sz w:val="24"/>
          <w:szCs w:val="24"/>
        </w:rPr>
        <w:t xml:space="preserve"> Chronic pain; Vitamin D deficiency; Bone mass reduction; </w:t>
      </w:r>
      <w:bookmarkStart w:id="7" w:name="OLE_LINK2"/>
      <w:r w:rsidRPr="002864A0">
        <w:rPr>
          <w:rFonts w:ascii="Book Antiqua" w:hAnsi="Book Antiqua" w:cs="Calibri"/>
          <w:sz w:val="24"/>
          <w:szCs w:val="24"/>
        </w:rPr>
        <w:t>Osteoporosis</w:t>
      </w:r>
      <w:bookmarkEnd w:id="7"/>
      <w:r w:rsidRPr="002864A0">
        <w:rPr>
          <w:rFonts w:ascii="Book Antiqua" w:hAnsi="Book Antiqua" w:cs="Calibri"/>
          <w:sz w:val="24"/>
          <w:szCs w:val="24"/>
        </w:rPr>
        <w:t>; Bone mineral density</w:t>
      </w:r>
    </w:p>
    <w:p w:rsidR="009D590A" w:rsidRPr="002864A0" w:rsidRDefault="009D590A" w:rsidP="002864A0">
      <w:pPr>
        <w:adjustRightInd w:val="0"/>
        <w:snapToGrid w:val="0"/>
        <w:spacing w:line="360" w:lineRule="auto"/>
        <w:rPr>
          <w:rFonts w:ascii="Book Antiqua" w:hAnsi="Book Antiqua" w:cs="Calibri"/>
          <w:sz w:val="24"/>
          <w:szCs w:val="24"/>
        </w:rPr>
      </w:pPr>
    </w:p>
    <w:p w:rsidR="005C258F" w:rsidRPr="002864A0" w:rsidRDefault="009D590A" w:rsidP="005C258F">
      <w:pPr>
        <w:adjustRightInd w:val="0"/>
        <w:snapToGrid w:val="0"/>
        <w:spacing w:line="360" w:lineRule="auto"/>
        <w:rPr>
          <w:rFonts w:ascii="Book Antiqua" w:hAnsi="Book Antiqua"/>
          <w:bCs/>
          <w:sz w:val="24"/>
          <w:szCs w:val="24"/>
        </w:rPr>
      </w:pPr>
      <w:proofErr w:type="spellStart"/>
      <w:proofErr w:type="gramStart"/>
      <w:r w:rsidRPr="002864A0">
        <w:rPr>
          <w:rFonts w:ascii="Book Antiqua" w:hAnsi="Book Antiqua"/>
          <w:sz w:val="24"/>
          <w:szCs w:val="24"/>
        </w:rPr>
        <w:t>Duan</w:t>
      </w:r>
      <w:proofErr w:type="spellEnd"/>
      <w:r w:rsidRPr="002864A0">
        <w:rPr>
          <w:rFonts w:ascii="Book Antiqua" w:hAnsi="Book Antiqua"/>
          <w:sz w:val="24"/>
          <w:szCs w:val="24"/>
        </w:rPr>
        <w:t xml:space="preserve"> BL, Mao YR, </w:t>
      </w:r>
      <w:proofErr w:type="spellStart"/>
      <w:r w:rsidRPr="002864A0">
        <w:rPr>
          <w:rFonts w:ascii="Book Antiqua" w:hAnsi="Book Antiqua"/>
          <w:sz w:val="24"/>
          <w:szCs w:val="24"/>
        </w:rPr>
        <w:t>Xue</w:t>
      </w:r>
      <w:proofErr w:type="spellEnd"/>
      <w:r w:rsidRPr="002864A0">
        <w:rPr>
          <w:rFonts w:ascii="Book Antiqua" w:hAnsi="Book Antiqua"/>
          <w:sz w:val="24"/>
          <w:szCs w:val="24"/>
        </w:rPr>
        <w:t xml:space="preserve"> LQ, Yu QY, Liu MY.</w:t>
      </w:r>
      <w:proofErr w:type="gramEnd"/>
      <w:r w:rsidRPr="002864A0">
        <w:rPr>
          <w:rFonts w:ascii="Book Antiqua" w:hAnsi="Book Antiqua"/>
          <w:sz w:val="24"/>
          <w:szCs w:val="24"/>
        </w:rPr>
        <w:t xml:space="preserve"> </w:t>
      </w:r>
      <w:proofErr w:type="gramStart"/>
      <w:r w:rsidRPr="002864A0">
        <w:rPr>
          <w:rFonts w:ascii="Book Antiqua" w:hAnsi="Book Antiqua"/>
          <w:sz w:val="24"/>
          <w:szCs w:val="24"/>
        </w:rPr>
        <w:t>Determination of vitamin D and analysis of risk factors for osteoporosis in patients with chronic pain.</w:t>
      </w:r>
      <w:proofErr w:type="gramEnd"/>
      <w:r w:rsidRPr="002864A0">
        <w:rPr>
          <w:rFonts w:ascii="Book Antiqua" w:hAnsi="Book Antiqua"/>
          <w:sz w:val="24"/>
          <w:szCs w:val="24"/>
        </w:rPr>
        <w:t xml:space="preserve"> </w:t>
      </w:r>
      <w:r w:rsidRPr="002864A0">
        <w:rPr>
          <w:rFonts w:ascii="Book Antiqua" w:hAnsi="Book Antiqua"/>
          <w:bCs/>
          <w:i/>
          <w:iCs/>
          <w:sz w:val="24"/>
          <w:szCs w:val="24"/>
        </w:rPr>
        <w:t xml:space="preserve">World J </w:t>
      </w:r>
      <w:proofErr w:type="spellStart"/>
      <w:r w:rsidRPr="002864A0">
        <w:rPr>
          <w:rFonts w:ascii="Book Antiqua" w:hAnsi="Book Antiqua"/>
          <w:bCs/>
          <w:i/>
          <w:iCs/>
          <w:sz w:val="24"/>
          <w:szCs w:val="24"/>
        </w:rPr>
        <w:t>Clin</w:t>
      </w:r>
      <w:proofErr w:type="spellEnd"/>
      <w:r w:rsidRPr="002864A0">
        <w:rPr>
          <w:rFonts w:ascii="Book Antiqua" w:hAnsi="Book Antiqua"/>
          <w:bCs/>
          <w:i/>
          <w:iCs/>
          <w:sz w:val="24"/>
          <w:szCs w:val="24"/>
        </w:rPr>
        <w:t xml:space="preserve"> Cases </w:t>
      </w:r>
      <w:r w:rsidR="000F3E37" w:rsidRPr="002C2A87">
        <w:rPr>
          <w:rFonts w:ascii="Book Antiqua" w:eastAsia="等线" w:hAnsi="Book Antiqua"/>
          <w:color w:val="000000"/>
        </w:rPr>
        <w:t>2</w:t>
      </w:r>
      <w:r w:rsidR="000F3E37" w:rsidRPr="002C2A87">
        <w:rPr>
          <w:rFonts w:ascii="Book Antiqua" w:hAnsi="Book Antiqua"/>
          <w:iCs/>
        </w:rPr>
        <w:t>020; 8(</w:t>
      </w:r>
      <w:r w:rsidR="000F3E37">
        <w:rPr>
          <w:rFonts w:ascii="Book Antiqua" w:hAnsi="Book Antiqua" w:hint="eastAsia"/>
          <w:iCs/>
        </w:rPr>
        <w:t>1</w:t>
      </w:r>
      <w:r w:rsidR="000F3E37" w:rsidRPr="000F3E37">
        <w:rPr>
          <w:rFonts w:ascii="Book Antiqua" w:hAnsi="Book Antiqua" w:hint="eastAsia"/>
          <w:iCs/>
        </w:rPr>
        <w:t>1</w:t>
      </w:r>
      <w:r w:rsidR="000F3E37" w:rsidRPr="002C2A87">
        <w:rPr>
          <w:rFonts w:ascii="Book Antiqua" w:hAnsi="Book Antiqua"/>
          <w:iCs/>
        </w:rPr>
        <w:t xml:space="preserve">): </w:t>
      </w:r>
      <w:r w:rsidR="005C258F">
        <w:rPr>
          <w:rFonts w:ascii="Book Antiqua" w:hAnsi="Book Antiqua" w:hint="eastAsia"/>
          <w:iCs/>
        </w:rPr>
        <w:t>2150-2161</w:t>
      </w:r>
      <w:r w:rsidR="005C258F">
        <w:rPr>
          <w:rFonts w:ascii="Book Antiqua" w:hAnsi="Book Antiqua"/>
          <w:iCs/>
        </w:rPr>
        <w:t xml:space="preserve"> </w:t>
      </w:r>
      <w:r w:rsidR="005C258F" w:rsidRPr="002C2A87">
        <w:rPr>
          <w:rFonts w:ascii="Book Antiqua" w:hAnsi="Book Antiqua"/>
          <w:iCs/>
        </w:rPr>
        <w:t>URL: https://www.wjgnet.com/</w:t>
      </w:r>
      <w:r w:rsidR="005C258F" w:rsidRPr="002C2A87">
        <w:rPr>
          <w:rFonts w:ascii="Book Antiqua" w:hAnsi="Book Antiqua"/>
          <w:color w:val="333333"/>
          <w:shd w:val="clear" w:color="auto" w:fill="FFFFFF"/>
        </w:rPr>
        <w:t>2307-8960</w:t>
      </w:r>
      <w:r w:rsidR="005C258F" w:rsidRPr="002C2A87">
        <w:rPr>
          <w:rFonts w:ascii="Book Antiqua" w:hAnsi="Book Antiqua"/>
          <w:iCs/>
        </w:rPr>
        <w:t>/full/v8/i</w:t>
      </w:r>
      <w:r w:rsidR="005C258F">
        <w:rPr>
          <w:rFonts w:ascii="Book Antiqua" w:hAnsi="Book Antiqua" w:hint="eastAsia"/>
          <w:iCs/>
        </w:rPr>
        <w:t>1</w:t>
      </w:r>
      <w:r w:rsidR="005C258F" w:rsidRPr="000F3E37">
        <w:rPr>
          <w:rFonts w:ascii="Book Antiqua" w:hAnsi="Book Antiqua" w:hint="eastAsia"/>
          <w:iCs/>
        </w:rPr>
        <w:t>1</w:t>
      </w:r>
      <w:r w:rsidR="005C258F" w:rsidRPr="002C2A87">
        <w:rPr>
          <w:rFonts w:ascii="Book Antiqua" w:hAnsi="Book Antiqua"/>
          <w:iCs/>
        </w:rPr>
        <w:t>/</w:t>
      </w:r>
      <w:r w:rsidR="005C258F">
        <w:rPr>
          <w:rFonts w:ascii="Book Antiqua" w:hAnsi="Book Antiqua" w:hint="eastAsia"/>
          <w:iCs/>
        </w:rPr>
        <w:t>2150</w:t>
      </w:r>
      <w:r w:rsidR="005C258F">
        <w:rPr>
          <w:rFonts w:ascii="Book Antiqua" w:hAnsi="Book Antiqua"/>
          <w:iCs/>
        </w:rPr>
        <w:t xml:space="preserve">.htm </w:t>
      </w:r>
      <w:r w:rsidR="005C258F" w:rsidRPr="002C2A87">
        <w:rPr>
          <w:rFonts w:ascii="Book Antiqua" w:hAnsi="Book Antiqua"/>
          <w:iCs/>
        </w:rPr>
        <w:t>DOI: https://dx.doi.org/</w:t>
      </w:r>
      <w:r w:rsidR="005C258F" w:rsidRPr="002C2A87">
        <w:rPr>
          <w:rFonts w:ascii="Book Antiqua" w:hAnsi="Book Antiqua" w:cs="宋体"/>
        </w:rPr>
        <w:t>10.12998</w:t>
      </w:r>
      <w:r w:rsidR="005C258F" w:rsidRPr="002C2A87">
        <w:rPr>
          <w:rFonts w:ascii="Book Antiqua" w:hAnsi="Book Antiqua"/>
          <w:iCs/>
        </w:rPr>
        <w:t>/wjcc.v8.i</w:t>
      </w:r>
      <w:r w:rsidR="005C258F">
        <w:rPr>
          <w:rFonts w:ascii="Book Antiqua" w:hAnsi="Book Antiqua" w:hint="eastAsia"/>
          <w:iCs/>
        </w:rPr>
        <w:t>1</w:t>
      </w:r>
      <w:r w:rsidR="005C258F" w:rsidRPr="000F3E37">
        <w:rPr>
          <w:rFonts w:ascii="Book Antiqua" w:hAnsi="Book Antiqua" w:hint="eastAsia"/>
          <w:iCs/>
        </w:rPr>
        <w:t>1</w:t>
      </w:r>
      <w:r w:rsidR="005C258F" w:rsidRPr="002C2A87">
        <w:rPr>
          <w:rFonts w:ascii="Book Antiqua" w:hAnsi="Book Antiqua"/>
          <w:iCs/>
        </w:rPr>
        <w:t>.</w:t>
      </w:r>
      <w:r w:rsidR="005C258F">
        <w:rPr>
          <w:rFonts w:ascii="Book Antiqua" w:hAnsi="Book Antiqua" w:hint="eastAsia"/>
          <w:iCs/>
        </w:rPr>
        <w:t>215</w:t>
      </w:r>
      <w:r w:rsidR="005C258F" w:rsidRPr="002C2A87">
        <w:rPr>
          <w:rFonts w:ascii="Book Antiqua" w:hAnsi="Book Antiqua"/>
          <w:iCs/>
        </w:rPr>
        <w:t>0</w:t>
      </w:r>
    </w:p>
    <w:p w:rsidR="009D590A" w:rsidRPr="005C258F" w:rsidRDefault="009D590A" w:rsidP="002864A0">
      <w:pPr>
        <w:adjustRightInd w:val="0"/>
        <w:snapToGrid w:val="0"/>
        <w:spacing w:line="360" w:lineRule="auto"/>
        <w:rPr>
          <w:rFonts w:ascii="Book Antiqua" w:hAnsi="Book Antiqua" w:cs="Calibri"/>
          <w:sz w:val="24"/>
          <w:szCs w:val="24"/>
        </w:rPr>
      </w:pPr>
      <w:bookmarkStart w:id="8" w:name="_GoBack"/>
      <w:bookmarkEnd w:id="8"/>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b/>
          <w:bCs/>
          <w:sz w:val="24"/>
          <w:szCs w:val="24"/>
        </w:rPr>
        <w:t>Core tip:</w:t>
      </w:r>
      <w:r w:rsidRPr="002864A0">
        <w:rPr>
          <w:rFonts w:ascii="Book Antiqua" w:hAnsi="Book Antiqua" w:cs="Calibri"/>
          <w:sz w:val="24"/>
          <w:szCs w:val="24"/>
        </w:rPr>
        <w:t xml:space="preserve"> Vitamin D deficiency is common in chronic pain patients and healthy people, and its level is not different between the two, but severe deficiency is more common in patients with chronic pain. Vitamin D is not a risk factor for bone loss and osteoporosis. Age, </w:t>
      </w:r>
      <w:r w:rsidR="00BE4168" w:rsidRPr="002864A0">
        <w:rPr>
          <w:rFonts w:ascii="Book Antiqua" w:hAnsi="Book Antiqua" w:cs="Calibri"/>
          <w:sz w:val="24"/>
          <w:szCs w:val="24"/>
        </w:rPr>
        <w:t>parathyroid hormone</w:t>
      </w:r>
      <w:r w:rsidRPr="002864A0">
        <w:rPr>
          <w:rFonts w:ascii="Book Antiqua" w:hAnsi="Book Antiqua" w:cs="Calibri"/>
          <w:sz w:val="24"/>
          <w:szCs w:val="24"/>
        </w:rPr>
        <w:t xml:space="preserve">, and </w:t>
      </w:r>
      <w:r w:rsidR="00D2283B" w:rsidRPr="002864A0">
        <w:rPr>
          <w:rFonts w:ascii="Book Antiqua" w:hAnsi="Book Antiqua" w:cs="Calibri"/>
          <w:sz w:val="24"/>
          <w:szCs w:val="24"/>
        </w:rPr>
        <w:t>calcium</w:t>
      </w:r>
      <w:r w:rsidRPr="002864A0">
        <w:rPr>
          <w:rFonts w:ascii="Book Antiqua" w:hAnsi="Book Antiqua" w:cs="Calibri"/>
          <w:sz w:val="24"/>
          <w:szCs w:val="24"/>
        </w:rPr>
        <w:t xml:space="preserve"> are risk factors for bone loss. Age, ethnicity, and altitude are risk factors for osteoporosis.</w:t>
      </w:r>
    </w:p>
    <w:p w:rsidR="009D590A" w:rsidRPr="002864A0" w:rsidRDefault="009D590A" w:rsidP="002864A0">
      <w:pPr>
        <w:adjustRightInd w:val="0"/>
        <w:snapToGrid w:val="0"/>
        <w:spacing w:line="360" w:lineRule="auto"/>
        <w:rPr>
          <w:rFonts w:ascii="Book Antiqua" w:hAnsi="Book Antiqua" w:cs="Calibri"/>
          <w:b/>
          <w:bCs/>
          <w:sz w:val="24"/>
          <w:szCs w:val="24"/>
          <w:u w:val="single"/>
        </w:rPr>
      </w:pPr>
      <w:r w:rsidRPr="002864A0">
        <w:rPr>
          <w:rFonts w:ascii="Book Antiqua" w:hAnsi="Book Antiqua" w:cs="Calibri"/>
          <w:sz w:val="24"/>
          <w:szCs w:val="24"/>
        </w:rPr>
        <w:br w:type="page"/>
      </w:r>
      <w:r w:rsidRPr="002864A0">
        <w:rPr>
          <w:rFonts w:ascii="Book Antiqua" w:hAnsi="Book Antiqua" w:cs="Calibri"/>
          <w:b/>
          <w:bCs/>
          <w:sz w:val="24"/>
          <w:szCs w:val="24"/>
          <w:u w:val="single"/>
        </w:rPr>
        <w:t>INTRODUCTION</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Chronic pain is one of the most challenging clinical problem</w:t>
      </w:r>
      <w:r w:rsidR="00D40FD9">
        <w:rPr>
          <w:rFonts w:ascii="Book Antiqua" w:hAnsi="Book Antiqua" w:cs="Calibri"/>
          <w:sz w:val="24"/>
          <w:szCs w:val="24"/>
        </w:rPr>
        <w:t>s</w:t>
      </w:r>
      <w:r w:rsidRPr="002864A0">
        <w:rPr>
          <w:rFonts w:ascii="Book Antiqua" w:hAnsi="Book Antiqua" w:cs="Calibri"/>
          <w:sz w:val="24"/>
          <w:szCs w:val="24"/>
        </w:rPr>
        <w:t xml:space="preserve"> for clinicians. Patients with chronic pain not only have to endure somatic pain but </w:t>
      </w:r>
      <w:r w:rsidR="00950C18">
        <w:rPr>
          <w:rFonts w:ascii="Book Antiqua" w:hAnsi="Book Antiqua" w:cs="Calibri"/>
          <w:sz w:val="24"/>
          <w:szCs w:val="24"/>
        </w:rPr>
        <w:t xml:space="preserve">also </w:t>
      </w:r>
      <w:r w:rsidRPr="002864A0">
        <w:rPr>
          <w:rFonts w:ascii="Book Antiqua" w:hAnsi="Book Antiqua" w:cs="Calibri"/>
          <w:sz w:val="24"/>
          <w:szCs w:val="24"/>
        </w:rPr>
        <w:t xml:space="preserve">bear </w:t>
      </w:r>
      <w:r w:rsidR="00950C18">
        <w:rPr>
          <w:rFonts w:ascii="Book Antiqua" w:hAnsi="Book Antiqua" w:cs="Calibri"/>
          <w:sz w:val="24"/>
          <w:szCs w:val="24"/>
        </w:rPr>
        <w:t xml:space="preserve">a </w:t>
      </w:r>
      <w:r w:rsidRPr="002864A0">
        <w:rPr>
          <w:rFonts w:ascii="Book Antiqua" w:hAnsi="Book Antiqua" w:cs="Calibri"/>
          <w:sz w:val="24"/>
          <w:szCs w:val="24"/>
        </w:rPr>
        <w:t xml:space="preserve">huge psychological burden </w:t>
      </w:r>
      <w:r w:rsidR="00950C18">
        <w:rPr>
          <w:rFonts w:ascii="Book Antiqua" w:hAnsi="Book Antiqua" w:cs="Calibri"/>
          <w:sz w:val="24"/>
          <w:szCs w:val="24"/>
        </w:rPr>
        <w:t>due to</w:t>
      </w:r>
      <w:r w:rsidRPr="002864A0">
        <w:rPr>
          <w:rFonts w:ascii="Book Antiqua" w:hAnsi="Book Antiqua" w:cs="Calibri"/>
          <w:sz w:val="24"/>
          <w:szCs w:val="24"/>
        </w:rPr>
        <w:t xml:space="preserve"> behavioral responses. Some studies have demonstrated that vitamin D deficiency is associated with non-specific musculoskeletal pain</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[1]</w:t>
      </w:r>
      <w:r w:rsidRPr="002864A0">
        <w:rPr>
          <w:rFonts w:ascii="Book Antiqua" w:hAnsi="Book Antiqua" w:cs="Calibri"/>
          <w:sz w:val="24"/>
          <w:szCs w:val="24"/>
        </w:rPr>
        <w:fldChar w:fldCharType="end"/>
      </w:r>
      <w:r w:rsidRPr="002864A0">
        <w:rPr>
          <w:rFonts w:ascii="Book Antiqua" w:hAnsi="Book Antiqua" w:cs="Calibri"/>
          <w:sz w:val="24"/>
          <w:szCs w:val="24"/>
        </w:rPr>
        <w:t xml:space="preserve">, </w:t>
      </w:r>
      <w:r w:rsidR="00D2283B" w:rsidRPr="002864A0">
        <w:rPr>
          <w:rFonts w:ascii="Book Antiqua" w:hAnsi="Book Antiqua" w:cs="Calibri"/>
          <w:sz w:val="24"/>
          <w:szCs w:val="24"/>
        </w:rPr>
        <w:t>k</w:t>
      </w:r>
      <w:r w:rsidRPr="002864A0">
        <w:rPr>
          <w:rFonts w:ascii="Book Antiqua" w:hAnsi="Book Antiqua" w:cs="Calibri"/>
          <w:sz w:val="24"/>
          <w:szCs w:val="24"/>
        </w:rPr>
        <w:t>nee osteoarthritis</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[2]</w:t>
      </w:r>
      <w:r w:rsidRPr="002864A0">
        <w:rPr>
          <w:rFonts w:ascii="Book Antiqua" w:hAnsi="Book Antiqua" w:cs="Calibri"/>
          <w:sz w:val="24"/>
          <w:szCs w:val="24"/>
        </w:rPr>
        <w:fldChar w:fldCharType="end"/>
      </w:r>
      <w:r w:rsidRPr="002864A0">
        <w:rPr>
          <w:rFonts w:ascii="Book Antiqua" w:hAnsi="Book Antiqua" w:cs="Calibri"/>
          <w:sz w:val="24"/>
          <w:szCs w:val="24"/>
        </w:rPr>
        <w:t>, migraine</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&lt;EndNote&gt;&lt;Cite&gt;&lt;Author&gt;Song&lt;/Author&gt;&lt;RecNum&gt;39&lt;/RecNum&gt;&lt;DisplayText&gt;&lt;style face="superscript"&gt;[3]&lt;/style&gt;&lt;/DisplayText&gt;&lt;record&gt;&lt;rec-number&gt;39&lt;/rec-number&gt;&lt;foreign-keys&gt;&lt;key app="EN" db-id="9ez5p2tf5z2wx3ex0rl5rsrur2p2swassv5w" timestamp="1585531745"&gt;39&lt;/key&gt;&lt;/foreign-keys&gt;&lt;ref-type name="Journal Article"&gt;17&lt;/ref-type&gt;&lt;contributors&gt;&lt;authors&gt;&lt;author&gt;Song, Tae Jin&lt;/author&gt;&lt;author&gt;Chu Min-Kyung&lt;/author&gt;&lt;author&gt;Sohn Jong-Hee&lt;/author&gt;&lt;author&gt;Ahn Hong-Yup&lt;/author&gt;&lt;author&gt;Lee Sun Hwa&lt;/author&gt;&lt;author&gt;Cho Soo-Jin&lt;/author&gt;&lt;/authors&gt;&lt;/contributors&gt;&lt;titles&gt;&lt;title&gt;Effect of Vitamin D Deficiency on the Frequency of Headaches in Migraine&lt;/title&gt;&lt;secondary-title&gt;Journal of Clinical Neurology&lt;/secondary-title&gt;&lt;/titles&gt;&lt;periodical&gt;&lt;full-title&gt;Journal of Clinical Neurology&lt;/full-title&gt;&lt;/periodical&gt;&lt;pages&gt;366-&lt;/pages&gt;&lt;volume&gt;14&lt;/volume&gt;&lt;number&gt;3&lt;/number&gt;&lt;dates&gt;&lt;/dates&gt;&lt;urls&gt;&lt;/urls&gt;&lt;/record&gt;&lt;/Cite&gt;&lt;/EndNote&gt;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[3]</w:t>
      </w:r>
      <w:r w:rsidRPr="002864A0">
        <w:rPr>
          <w:rFonts w:ascii="Book Antiqua" w:hAnsi="Book Antiqua" w:cs="Calibri"/>
          <w:sz w:val="24"/>
          <w:szCs w:val="24"/>
        </w:rPr>
        <w:fldChar w:fldCharType="end"/>
      </w:r>
      <w:r w:rsidRPr="002864A0">
        <w:rPr>
          <w:rFonts w:ascii="Book Antiqua" w:hAnsi="Book Antiqua" w:cs="Calibri"/>
          <w:sz w:val="24"/>
          <w:szCs w:val="24"/>
        </w:rPr>
        <w:t>, chronic cervical pain</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&lt;EndNote&gt;&lt;Cite&gt;&lt;Author&gt;Eloqayli&lt;/Author&gt;&lt;Year&gt;2018&lt;/Year&gt;&lt;RecNum&gt;40&lt;/RecNum&gt;&lt;DisplayText&gt;&lt;style face="superscript"&gt;[4]&lt;/style&gt;&lt;/DisplayText&gt;&lt;record&gt;&lt;rec-number&gt;40&lt;/rec-number&gt;&lt;foreign-keys&gt;&lt;key app="EN" db-id="9ez5p2tf5z2wx3ex0rl5rsrur2p2swassv5w" timestamp="1585531956"&gt;40&lt;/key&gt;&lt;/foreign-keys&gt;&lt;ref-type name="Journal Article"&gt;17&lt;/ref-type&gt;&lt;contributors&gt;&lt;authors&gt;&lt;author&gt;Eloqayli, Haytham&lt;/author&gt;&lt;author&gt;Al-Yousef, Ali&lt;/author&gt;&lt;author&gt;Jaradat, Raid&lt;/author&gt;&lt;/authors&gt;&lt;/contributors&gt;&lt;auth-address&gt;a Department of Neurosurgery, Faculty of Medicine , Jordan University of Science and Technology (JUST) , Irbid , Jordan.&lt;/auth-address&gt;&lt;titles&gt;&lt;title&gt;Vitamin D and ferritin correlation with chronic neck pain using standard statistics and a novel artificial neural network prediction model&lt;/title&gt;&lt;secondary-title&gt;British journal of neurosurgery&lt;/secondary-title&gt;&lt;alt-title&gt;Br J Neurosurg&lt;/alt-title&gt;&lt;/titles&gt;&lt;periodical&gt;&lt;full-title&gt;British journal of neurosurgery&lt;/full-title&gt;&lt;abbr-1&gt;Br J Neurosurg&lt;/abbr-1&gt;&lt;/periodical&gt;&lt;alt-periodical&gt;&lt;full-title&gt;British journal of neurosurgery&lt;/full-title&gt;&lt;abbr-1&gt;Br J Neurosurg&lt;/abbr-1&gt;&lt;/alt-periodical&gt;&lt;pages&gt;172-176&lt;/pages&gt;&lt;volume&gt;32&lt;/volume&gt;&lt;number&gt;2&lt;/number&gt;&lt;dates&gt;&lt;year&gt;2018&lt;/year&gt;&lt;pub-dates&gt;&lt;date&gt;2018/04//&lt;/date&gt;&lt;/pub-dates&gt;&lt;/dates&gt;&lt;isbn&gt;0268-8697&lt;/isbn&gt;&lt;accession-num&gt;29447493&lt;/accession-num&gt;&lt;urls&gt;&lt;related-urls&gt;&lt;url&gt;http://europepmc.org/abstract/MED/29447493&lt;/url&gt;&lt;url&gt;https://doi.org/10.1080/02688697.2018.1436691&lt;/url&gt;&lt;/related-urls&gt;&lt;/urls&gt;&lt;electronic-resource-num&gt;10.1080/02688697.2018.1436691&lt;/electronic-resource-num&gt;&lt;remote-database-name&gt;PubMed&lt;/remote-database-name&gt;&lt;language&gt;eng&lt;/language&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[4]</w:t>
      </w:r>
      <w:r w:rsidRPr="002864A0">
        <w:rPr>
          <w:rFonts w:ascii="Book Antiqua" w:hAnsi="Book Antiqua" w:cs="Calibri"/>
          <w:sz w:val="24"/>
          <w:szCs w:val="24"/>
        </w:rPr>
        <w:fldChar w:fldCharType="end"/>
      </w:r>
      <w:r w:rsidRPr="002864A0">
        <w:rPr>
          <w:rFonts w:ascii="Book Antiqua" w:hAnsi="Book Antiqua" w:cs="Calibri"/>
          <w:sz w:val="24"/>
          <w:szCs w:val="24"/>
        </w:rPr>
        <w:t>, and other multiple chronic pains. It is also a risk factor for various chronic diseases such as osteoporosis, hypertension and cardiovascular disease</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&lt;EndNote&gt;&lt;Cite&gt;&lt;Author&gt;Anta&lt;/Author&gt;&lt;Year&gt;2012&lt;/Year&gt;&lt;RecNum&gt;41&lt;/RecNum&gt;&lt;DisplayText&gt;&lt;style face="superscript"&gt;[5]&lt;/style&gt;&lt;/DisplayText&gt;&lt;record&gt;&lt;rec-number&gt;41&lt;/rec-number&gt;&lt;foreign-keys&gt;&lt;key app="EN" db-id="9ez5p2tf5z2wx3ex0rl5rsrur2p2swassv5w" timestamp="1585532031"&gt;41&lt;/key&gt;&lt;/foreign-keys&gt;&lt;ref-type name="Journal Article"&gt;17&lt;/ref-type&gt;&lt;contributors&gt;&lt;authors&gt;&lt;author&gt;Anta, Rm Ortega&lt;/author&gt;&lt;author&gt;González-Rodríguez, L. G.&lt;/author&gt;&lt;author&gt;Ortega, A I Jiménez&lt;/author&gt;&lt;author&gt;Gómez, P Estaire&lt;/author&gt;&lt;author&gt;Vizuete, A Aparicio&lt;/author&gt;&lt;/authors&gt;&lt;/contributors&gt;&lt;titles&gt;&lt;title&gt;Insufficient intake of vitamin D in Spanish schoolchildren; determinants Of the problem and basis for its improvement&lt;/title&gt;&lt;secondary-title&gt;Nutricion Hospitalaria Organo Oficial De La Sociedad Espanola De Nutricion Parenteral Y Enteral&lt;/secondary-title&gt;&lt;/titles&gt;&lt;periodical&gt;&lt;full-title&gt;Nutricion Hospitalaria Organo Oficial De La Sociedad Espanola De Nutricion Parenteral Y Enteral&lt;/full-title&gt;&lt;/periodical&gt;&lt;pages&gt;1437-1443&lt;/pages&gt;&lt;volume&gt;2727&lt;/volume&gt;&lt;number&gt;318&lt;/number&gt;&lt;dates&gt;&lt;year&gt;2012&lt;/year&gt;&lt;/dates&gt;&lt;urls&gt;&lt;/urls&gt;&lt;/record&gt;&lt;/Cite&gt;&lt;/EndNote&gt;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[5]</w:t>
      </w:r>
      <w:r w:rsidRPr="002864A0">
        <w:rPr>
          <w:rFonts w:ascii="Book Antiqua" w:hAnsi="Book Antiqua" w:cs="Calibri"/>
          <w:sz w:val="24"/>
          <w:szCs w:val="24"/>
        </w:rPr>
        <w:fldChar w:fldCharType="end"/>
      </w:r>
      <w:r w:rsidRPr="002864A0">
        <w:rPr>
          <w:rFonts w:ascii="Book Antiqua" w:hAnsi="Book Antiqua" w:cs="Calibri"/>
          <w:sz w:val="24"/>
          <w:szCs w:val="24"/>
        </w:rPr>
        <w:t>.</w:t>
      </w:r>
    </w:p>
    <w:p w:rsidR="009D590A" w:rsidRPr="002864A0" w:rsidRDefault="009D590A" w:rsidP="002864A0">
      <w:pPr>
        <w:pStyle w:val="af"/>
        <w:spacing w:before="0" w:beforeAutospacing="0" w:line="360" w:lineRule="auto"/>
        <w:ind w:firstLineChars="100" w:firstLine="240"/>
        <w:jc w:val="both"/>
        <w:rPr>
          <w:rFonts w:ascii="Book Antiqua" w:hAnsi="Book Antiqua" w:cs="Calibri"/>
        </w:rPr>
      </w:pPr>
      <w:r w:rsidRPr="002864A0">
        <w:rPr>
          <w:rFonts w:ascii="Book Antiqua" w:hAnsi="Book Antiqua" w:cs="Calibri"/>
        </w:rPr>
        <w:t>Vitamin D deficiency is not only present in patients with chronic pain but also a common phenomenon in healthy populations. It is estimated that more than 50% of the world</w:t>
      </w:r>
      <w:r w:rsidR="00950C18">
        <w:rPr>
          <w:rFonts w:ascii="Book Antiqua" w:hAnsi="Book Antiqua" w:cs="Calibri"/>
        </w:rPr>
        <w:t>’s</w:t>
      </w:r>
      <w:r w:rsidRPr="002864A0">
        <w:rPr>
          <w:rFonts w:ascii="Book Antiqua" w:hAnsi="Book Antiqua" w:cs="Calibri"/>
        </w:rPr>
        <w:t xml:space="preserve"> population </w:t>
      </w:r>
      <w:r w:rsidR="00950C18">
        <w:rPr>
          <w:rFonts w:ascii="Book Antiqua" w:hAnsi="Book Antiqua" w:cs="Calibri"/>
        </w:rPr>
        <w:t>have</w:t>
      </w:r>
      <w:r w:rsidRPr="002864A0">
        <w:rPr>
          <w:rFonts w:ascii="Book Antiqua" w:hAnsi="Book Antiqua" w:cs="Calibri"/>
        </w:rPr>
        <w:t xml:space="preserve"> vitamin D </w:t>
      </w:r>
      <w:proofErr w:type="gramStart"/>
      <w:r w:rsidRPr="002864A0">
        <w:rPr>
          <w:rFonts w:ascii="Book Antiqua" w:hAnsi="Book Antiqua" w:cs="Calibri"/>
        </w:rPr>
        <w:t>deficiency</w:t>
      </w:r>
      <w:proofErr w:type="gramEnd"/>
      <w:r w:rsidRPr="002864A0">
        <w:rPr>
          <w:rFonts w:ascii="Book Antiqua" w:hAnsi="Book Antiqua" w:cs="Calibri"/>
        </w:rPr>
        <w:fldChar w:fldCharType="begin"/>
      </w:r>
      <w:r w:rsidRPr="002864A0">
        <w:rPr>
          <w:rFonts w:ascii="Book Antiqua" w:hAnsi="Book Antiqua" w:cs="Calibri"/>
        </w:rPr>
        <w:instrText xml:space="preserve"> ADDIN EN.CITE </w:instrText>
      </w:r>
      <w:r w:rsidRPr="002864A0">
        <w:rPr>
          <w:rFonts w:ascii="Book Antiqua" w:hAnsi="Book Antiqua" w:cs="Calibri"/>
        </w:rPr>
        <w:fldChar w:fldCharType="begin"/>
      </w:r>
      <w:r w:rsidRPr="002864A0">
        <w:rPr>
          <w:rFonts w:ascii="Book Antiqua" w:hAnsi="Book Antiqua" w:cs="Calibri"/>
        </w:rPr>
        <w:instrText xml:space="preserve"> ADDIN EN.CITE.DATA </w:instrText>
      </w:r>
      <w:r w:rsidRPr="002864A0">
        <w:rPr>
          <w:rFonts w:ascii="Book Antiqua" w:hAnsi="Book Antiqua" w:cs="Calibri"/>
        </w:rPr>
        <w:fldChar w:fldCharType="end"/>
      </w:r>
      <w:r w:rsidRPr="002864A0">
        <w:rPr>
          <w:rFonts w:ascii="Book Antiqua" w:hAnsi="Book Antiqua" w:cs="Calibri"/>
        </w:rPr>
        <w:fldChar w:fldCharType="separate"/>
      </w:r>
      <w:r w:rsidRPr="002864A0">
        <w:rPr>
          <w:rFonts w:ascii="Book Antiqua" w:hAnsi="Book Antiqua" w:cs="Calibri"/>
          <w:vertAlign w:val="superscript"/>
        </w:rPr>
        <w:t>[6]</w:t>
      </w:r>
      <w:r w:rsidRPr="002864A0">
        <w:rPr>
          <w:rFonts w:ascii="Book Antiqua" w:hAnsi="Book Antiqua" w:cs="Calibri"/>
        </w:rPr>
        <w:fldChar w:fldCharType="end"/>
      </w:r>
      <w:r w:rsidRPr="002864A0">
        <w:rPr>
          <w:rFonts w:ascii="Book Antiqua" w:hAnsi="Book Antiqua" w:cs="Calibri"/>
        </w:rPr>
        <w:t>. A recent multi-center survey in China show</w:t>
      </w:r>
      <w:r w:rsidR="00950C18">
        <w:rPr>
          <w:rFonts w:ascii="Book Antiqua" w:hAnsi="Book Antiqua" w:cs="Calibri"/>
        </w:rPr>
        <w:t>ed</w:t>
      </w:r>
      <w:r w:rsidRPr="002864A0">
        <w:rPr>
          <w:rFonts w:ascii="Book Antiqua" w:hAnsi="Book Antiqua" w:cs="Calibri"/>
        </w:rPr>
        <w:t xml:space="preserve"> that the prevalence of vitamin D deficiency in Chinese urban residents is a</w:t>
      </w:r>
      <w:r w:rsidR="00950C18">
        <w:rPr>
          <w:rFonts w:ascii="Book Antiqua" w:hAnsi="Book Antiqua" w:cs="Calibri"/>
        </w:rPr>
        <w:t>pproximately</w:t>
      </w:r>
      <w:r w:rsidRPr="002864A0">
        <w:rPr>
          <w:rFonts w:ascii="Book Antiqua" w:hAnsi="Book Antiqua" w:cs="Calibri"/>
        </w:rPr>
        <w:t xml:space="preserve"> 55.9</w:t>
      </w:r>
      <w:proofErr w:type="gramStart"/>
      <w:r w:rsidRPr="002864A0">
        <w:rPr>
          <w:rFonts w:ascii="Book Antiqua" w:hAnsi="Book Antiqua" w:cs="Calibri"/>
        </w:rPr>
        <w:t>%</w:t>
      </w:r>
      <w:proofErr w:type="gramEnd"/>
      <w:r w:rsidRPr="002864A0">
        <w:rPr>
          <w:rFonts w:ascii="Book Antiqua" w:hAnsi="Book Antiqua" w:cs="Calibri"/>
        </w:rPr>
        <w:fldChar w:fldCharType="begin"/>
      </w:r>
      <w:r w:rsidRPr="002864A0">
        <w:rPr>
          <w:rFonts w:ascii="Book Antiqua" w:hAnsi="Book Antiqua" w:cs="Calibri"/>
        </w:rPr>
        <w:instrText xml:space="preserve"> ADDIN EN.CITE </w:instrText>
      </w:r>
      <w:r w:rsidRPr="002864A0">
        <w:rPr>
          <w:rFonts w:ascii="Book Antiqua" w:hAnsi="Book Antiqua" w:cs="Calibri"/>
        </w:rPr>
        <w:fldChar w:fldCharType="begin"/>
      </w:r>
      <w:r w:rsidRPr="002864A0">
        <w:rPr>
          <w:rFonts w:ascii="Book Antiqua" w:hAnsi="Book Antiqua" w:cs="Calibri"/>
        </w:rPr>
        <w:instrText xml:space="preserve"> ADDIN EN.CITE.DATA </w:instrText>
      </w:r>
      <w:r w:rsidRPr="002864A0">
        <w:rPr>
          <w:rFonts w:ascii="Book Antiqua" w:hAnsi="Book Antiqua" w:cs="Calibri"/>
        </w:rPr>
        <w:fldChar w:fldCharType="end"/>
      </w:r>
      <w:r w:rsidRPr="002864A0">
        <w:rPr>
          <w:rFonts w:ascii="Book Antiqua" w:hAnsi="Book Antiqua" w:cs="Calibri"/>
        </w:rPr>
        <w:fldChar w:fldCharType="separate"/>
      </w:r>
      <w:r w:rsidRPr="002864A0">
        <w:rPr>
          <w:rFonts w:ascii="Book Antiqua" w:hAnsi="Book Antiqua" w:cs="Calibri"/>
          <w:vertAlign w:val="superscript"/>
        </w:rPr>
        <w:t>[7]</w:t>
      </w:r>
      <w:r w:rsidRPr="002864A0">
        <w:rPr>
          <w:rFonts w:ascii="Book Antiqua" w:hAnsi="Book Antiqua" w:cs="Calibri"/>
        </w:rPr>
        <w:fldChar w:fldCharType="end"/>
      </w:r>
      <w:r w:rsidRPr="002864A0">
        <w:rPr>
          <w:rFonts w:ascii="Book Antiqua" w:hAnsi="Book Antiqua" w:cs="Calibri"/>
        </w:rPr>
        <w:t xml:space="preserve">. Vitamin D is a pro-hormone that regulates the calcium (Ca) and </w:t>
      </w:r>
      <w:bookmarkStart w:id="9" w:name="_Hlk39126834"/>
      <w:r w:rsidRPr="002864A0">
        <w:rPr>
          <w:rFonts w:ascii="Book Antiqua" w:hAnsi="Book Antiqua" w:cs="Calibri"/>
        </w:rPr>
        <w:t>phosphorus</w:t>
      </w:r>
      <w:bookmarkEnd w:id="9"/>
      <w:r w:rsidRPr="002864A0">
        <w:rPr>
          <w:rFonts w:ascii="Book Antiqua" w:hAnsi="Book Antiqua" w:cs="Calibri"/>
        </w:rPr>
        <w:t xml:space="preserve"> (P) balance and skeletal structures. Vitamin D deficiency increases the risk of </w:t>
      </w:r>
      <w:proofErr w:type="gramStart"/>
      <w:r w:rsidRPr="002864A0">
        <w:rPr>
          <w:rFonts w:ascii="Book Antiqua" w:hAnsi="Book Antiqua" w:cs="Calibri"/>
        </w:rPr>
        <w:t>osteoporosis</w:t>
      </w:r>
      <w:proofErr w:type="gramEnd"/>
      <w:r w:rsidRPr="002864A0">
        <w:rPr>
          <w:rFonts w:ascii="Book Antiqua" w:hAnsi="Book Antiqua" w:cs="Calibri"/>
        </w:rPr>
        <w:fldChar w:fldCharType="begin"/>
      </w:r>
      <w:r w:rsidRPr="002864A0">
        <w:rPr>
          <w:rFonts w:ascii="Book Antiqua" w:hAnsi="Book Antiqua" w:cs="Calibri"/>
        </w:rPr>
        <w:instrText xml:space="preserve"> ADDIN EN.CITE </w:instrText>
      </w:r>
      <w:r w:rsidRPr="002864A0">
        <w:rPr>
          <w:rFonts w:ascii="Book Antiqua" w:hAnsi="Book Antiqua" w:cs="Calibri"/>
        </w:rPr>
        <w:fldChar w:fldCharType="begin"/>
      </w:r>
      <w:r w:rsidRPr="002864A0">
        <w:rPr>
          <w:rFonts w:ascii="Book Antiqua" w:hAnsi="Book Antiqua" w:cs="Calibri"/>
        </w:rPr>
        <w:instrText xml:space="preserve"> ADDIN EN.CITE.DATA </w:instrText>
      </w:r>
      <w:r w:rsidRPr="002864A0">
        <w:rPr>
          <w:rFonts w:ascii="Book Antiqua" w:hAnsi="Book Antiqua" w:cs="Calibri"/>
        </w:rPr>
        <w:fldChar w:fldCharType="end"/>
      </w:r>
      <w:r w:rsidRPr="002864A0">
        <w:rPr>
          <w:rFonts w:ascii="Book Antiqua" w:hAnsi="Book Antiqua" w:cs="Calibri"/>
        </w:rPr>
        <w:fldChar w:fldCharType="separate"/>
      </w:r>
      <w:r w:rsidRPr="002864A0">
        <w:rPr>
          <w:rFonts w:ascii="Book Antiqua" w:hAnsi="Book Antiqua" w:cs="Calibri"/>
          <w:vertAlign w:val="superscript"/>
        </w:rPr>
        <w:t>[8]</w:t>
      </w:r>
      <w:r w:rsidRPr="002864A0">
        <w:rPr>
          <w:rFonts w:ascii="Book Antiqua" w:hAnsi="Book Antiqua" w:cs="Calibri"/>
        </w:rPr>
        <w:fldChar w:fldCharType="end"/>
      </w:r>
      <w:r w:rsidRPr="002864A0">
        <w:rPr>
          <w:rFonts w:ascii="Book Antiqua" w:hAnsi="Book Antiqua" w:cs="Calibri"/>
        </w:rPr>
        <w:t xml:space="preserve">. The occurrence of osteoporosis is a silent and imperceptible process, and is often ignored until fragile fracture occurs. For osteoporotic patients, early detection, diagnosis and treatment are of primary importance. Currently, the diagnosis of osteoporosis mainly depends on bone mineral density (BMD) measured by </w:t>
      </w:r>
      <w:bookmarkStart w:id="10" w:name="_Hlk39127021"/>
      <w:r w:rsidRPr="002864A0">
        <w:rPr>
          <w:rFonts w:ascii="Book Antiqua" w:hAnsi="Book Antiqua" w:cs="Calibri"/>
        </w:rPr>
        <w:t>dual-energy X-ray absorptiometry</w:t>
      </w:r>
      <w:bookmarkEnd w:id="10"/>
      <w:r w:rsidRPr="002864A0">
        <w:rPr>
          <w:rFonts w:ascii="Book Antiqua" w:hAnsi="Book Antiqua" w:cs="Calibri"/>
        </w:rPr>
        <w:t xml:space="preserve">. </w:t>
      </w:r>
      <w:r w:rsidR="00950C18">
        <w:rPr>
          <w:rFonts w:ascii="Book Antiqua" w:hAnsi="Book Antiqua" w:cs="Calibri"/>
        </w:rPr>
        <w:t>M</w:t>
      </w:r>
      <w:r w:rsidRPr="002864A0">
        <w:rPr>
          <w:rFonts w:ascii="Book Antiqua" w:hAnsi="Book Antiqua" w:cs="Calibri"/>
        </w:rPr>
        <w:t xml:space="preserve">any studies </w:t>
      </w:r>
      <w:r w:rsidR="00950C18">
        <w:rPr>
          <w:rFonts w:ascii="Book Antiqua" w:hAnsi="Book Antiqua" w:cs="Calibri"/>
        </w:rPr>
        <w:t xml:space="preserve">have </w:t>
      </w:r>
      <w:r w:rsidRPr="002864A0">
        <w:rPr>
          <w:rFonts w:ascii="Book Antiqua" w:hAnsi="Book Antiqua" w:cs="Calibri"/>
        </w:rPr>
        <w:t>report</w:t>
      </w:r>
      <w:r w:rsidR="00950C18">
        <w:rPr>
          <w:rFonts w:ascii="Book Antiqua" w:hAnsi="Book Antiqua" w:cs="Calibri"/>
        </w:rPr>
        <w:t>ed</w:t>
      </w:r>
      <w:r w:rsidRPr="002864A0">
        <w:rPr>
          <w:rFonts w:ascii="Book Antiqua" w:hAnsi="Book Antiqua" w:cs="Calibri"/>
        </w:rPr>
        <w:t xml:space="preserve"> the relationship between vitamin D and BMD, but the conclusions </w:t>
      </w:r>
      <w:r w:rsidR="00950C18">
        <w:rPr>
          <w:rFonts w:ascii="Book Antiqua" w:hAnsi="Book Antiqua" w:cs="Calibri"/>
        </w:rPr>
        <w:t>are</w:t>
      </w:r>
      <w:r w:rsidRPr="002864A0">
        <w:rPr>
          <w:rFonts w:ascii="Book Antiqua" w:hAnsi="Book Antiqua" w:cs="Calibri"/>
        </w:rPr>
        <w:t xml:space="preserve"> controversial.</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The aim of the present study </w:t>
      </w:r>
      <w:r w:rsidR="00950C18">
        <w:rPr>
          <w:rFonts w:ascii="Book Antiqua" w:hAnsi="Book Antiqua" w:cs="Calibri"/>
          <w:sz w:val="24"/>
          <w:szCs w:val="24"/>
        </w:rPr>
        <w:t>was</w:t>
      </w:r>
      <w:r w:rsidRPr="002864A0">
        <w:rPr>
          <w:rFonts w:ascii="Book Antiqua" w:hAnsi="Book Antiqua" w:cs="Calibri"/>
          <w:sz w:val="24"/>
          <w:szCs w:val="24"/>
        </w:rPr>
        <w:t xml:space="preserve"> to </w:t>
      </w:r>
      <w:r w:rsidR="00950C18">
        <w:rPr>
          <w:rFonts w:ascii="Book Antiqua" w:hAnsi="Book Antiqua" w:cs="Calibri"/>
          <w:sz w:val="24"/>
          <w:szCs w:val="24"/>
        </w:rPr>
        <w:t>determine the</w:t>
      </w:r>
      <w:r w:rsidRPr="002864A0">
        <w:rPr>
          <w:rFonts w:ascii="Book Antiqua" w:hAnsi="Book Antiqua" w:cs="Calibri"/>
          <w:sz w:val="24"/>
          <w:szCs w:val="24"/>
        </w:rPr>
        <w:t xml:space="preserve"> changes in vitamin D level in patients with chronic pain, clarify the relationship between vitamin D and BMD, and explore </w:t>
      </w:r>
      <w:r w:rsidR="00950C18">
        <w:rPr>
          <w:rFonts w:ascii="Book Antiqua" w:hAnsi="Book Antiqua" w:cs="Calibri"/>
          <w:sz w:val="24"/>
          <w:szCs w:val="24"/>
        </w:rPr>
        <w:t xml:space="preserve">the </w:t>
      </w:r>
      <w:r w:rsidRPr="002864A0">
        <w:rPr>
          <w:rFonts w:ascii="Book Antiqua" w:hAnsi="Book Antiqua" w:cs="Calibri"/>
          <w:sz w:val="24"/>
          <w:szCs w:val="24"/>
        </w:rPr>
        <w:t>risk factors for bone mass reduction and osteoporosis in patients with chronic pain, in an attempt to provide experimental clues for the prevention and treatment of osteoporosis.</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b/>
          <w:sz w:val="24"/>
          <w:szCs w:val="24"/>
          <w:u w:val="single"/>
        </w:rPr>
      </w:pPr>
      <w:bookmarkStart w:id="11" w:name="OLE_LINK337"/>
      <w:bookmarkStart w:id="12" w:name="OLE_LINK338"/>
      <w:bookmarkStart w:id="13" w:name="OLE_LINK378"/>
      <w:bookmarkStart w:id="14" w:name="OLE_LINK388"/>
      <w:r w:rsidRPr="002864A0">
        <w:rPr>
          <w:rFonts w:ascii="Book Antiqua" w:hAnsi="Book Antiqua"/>
          <w:b/>
          <w:sz w:val="24"/>
          <w:szCs w:val="24"/>
          <w:u w:val="single"/>
        </w:rPr>
        <w:t>MATERIALS AND METHODS</w:t>
      </w:r>
    </w:p>
    <w:bookmarkEnd w:id="11"/>
    <w:bookmarkEnd w:id="12"/>
    <w:bookmarkEnd w:id="13"/>
    <w:bookmarkEnd w:id="14"/>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General data</w:t>
      </w:r>
    </w:p>
    <w:p w:rsidR="009D590A" w:rsidRPr="002864A0" w:rsidRDefault="00950C18" w:rsidP="002864A0">
      <w:pPr>
        <w:adjustRightInd w:val="0"/>
        <w:snapToGrid w:val="0"/>
        <w:spacing w:line="360" w:lineRule="auto"/>
        <w:rPr>
          <w:rFonts w:ascii="Book Antiqua" w:hAnsi="Book Antiqua" w:cs="Calibri"/>
          <w:sz w:val="24"/>
          <w:szCs w:val="24"/>
        </w:rPr>
      </w:pPr>
      <w:r>
        <w:rPr>
          <w:rFonts w:ascii="Book Antiqua" w:hAnsi="Book Antiqua" w:cs="Calibri"/>
          <w:sz w:val="24"/>
          <w:szCs w:val="24"/>
        </w:rPr>
        <w:t>I</w:t>
      </w:r>
      <w:r w:rsidR="009D590A" w:rsidRPr="002864A0">
        <w:rPr>
          <w:rFonts w:ascii="Book Antiqua" w:hAnsi="Book Antiqua" w:cs="Calibri"/>
          <w:sz w:val="24"/>
          <w:szCs w:val="24"/>
        </w:rPr>
        <w:t>n this study</w:t>
      </w:r>
      <w:r>
        <w:rPr>
          <w:rFonts w:ascii="Book Antiqua" w:hAnsi="Book Antiqua" w:cs="Calibri"/>
          <w:sz w:val="24"/>
          <w:szCs w:val="24"/>
        </w:rPr>
        <w:t>,</w:t>
      </w:r>
      <w:r w:rsidR="009D590A" w:rsidRPr="002864A0">
        <w:rPr>
          <w:rFonts w:ascii="Book Antiqua" w:hAnsi="Book Antiqua" w:cs="Calibri"/>
          <w:sz w:val="24"/>
          <w:szCs w:val="24"/>
        </w:rPr>
        <w:t xml:space="preserve"> 184 patients with chronic pain who were admitted </w:t>
      </w:r>
      <w:r>
        <w:rPr>
          <w:rFonts w:ascii="Book Antiqua" w:hAnsi="Book Antiqua" w:cs="Calibri"/>
          <w:sz w:val="24"/>
          <w:szCs w:val="24"/>
        </w:rPr>
        <w:t>to</w:t>
      </w:r>
      <w:r w:rsidR="009D590A" w:rsidRPr="002864A0">
        <w:rPr>
          <w:rFonts w:ascii="Book Antiqua" w:hAnsi="Book Antiqua" w:cs="Calibri"/>
          <w:sz w:val="24"/>
          <w:szCs w:val="24"/>
        </w:rPr>
        <w:t xml:space="preserve"> the Pain Department of Qinghai People’s Hospital (Xining, China) between May and September 2017</w:t>
      </w:r>
      <w:r>
        <w:rPr>
          <w:rFonts w:ascii="Book Antiqua" w:hAnsi="Book Antiqua" w:cs="Calibri"/>
          <w:sz w:val="24"/>
          <w:szCs w:val="24"/>
        </w:rPr>
        <w:t xml:space="preserve"> were enrolled. These patients consisted of</w:t>
      </w:r>
      <w:r w:rsidR="009D590A" w:rsidRPr="002864A0">
        <w:rPr>
          <w:rFonts w:ascii="Book Antiqua" w:hAnsi="Book Antiqua" w:cs="Calibri"/>
          <w:sz w:val="24"/>
          <w:szCs w:val="24"/>
        </w:rPr>
        <w:t xml:space="preserve"> 49 males and 135 females with a mean age of 57.62 ± 13.79 years. A</w:t>
      </w:r>
      <w:r>
        <w:rPr>
          <w:rFonts w:ascii="Book Antiqua" w:hAnsi="Book Antiqua" w:cs="Calibri"/>
          <w:sz w:val="24"/>
          <w:szCs w:val="24"/>
        </w:rPr>
        <w:t>n a</w:t>
      </w:r>
      <w:r w:rsidR="009D590A" w:rsidRPr="002864A0">
        <w:rPr>
          <w:rFonts w:ascii="Book Antiqua" w:hAnsi="Book Antiqua" w:cs="Calibri"/>
          <w:sz w:val="24"/>
          <w:szCs w:val="24"/>
        </w:rPr>
        <w:t xml:space="preserve">dditional 104 healthy individuals who underwent routine health checkups in the same hospital during the same period were </w:t>
      </w:r>
      <w:r>
        <w:rPr>
          <w:rFonts w:ascii="Book Antiqua" w:hAnsi="Book Antiqua" w:cs="Calibri"/>
          <w:sz w:val="24"/>
          <w:szCs w:val="24"/>
        </w:rPr>
        <w:t xml:space="preserve">enrolled </w:t>
      </w:r>
      <w:r w:rsidR="009D590A" w:rsidRPr="002864A0">
        <w:rPr>
          <w:rFonts w:ascii="Book Antiqua" w:hAnsi="Book Antiqua" w:cs="Calibri"/>
          <w:sz w:val="24"/>
          <w:szCs w:val="24"/>
        </w:rPr>
        <w:t>as control</w:t>
      </w:r>
      <w:r>
        <w:rPr>
          <w:rFonts w:ascii="Book Antiqua" w:hAnsi="Book Antiqua" w:cs="Calibri"/>
          <w:sz w:val="24"/>
          <w:szCs w:val="24"/>
        </w:rPr>
        <w:t>s</w:t>
      </w:r>
      <w:r w:rsidR="009D590A" w:rsidRPr="002864A0">
        <w:rPr>
          <w:rFonts w:ascii="Book Antiqua" w:hAnsi="Book Antiqua" w:cs="Calibri"/>
          <w:sz w:val="24"/>
          <w:szCs w:val="24"/>
        </w:rPr>
        <w:t>, including 25 males and 79 females with a mean age of 56.52 ± 13.66 years. According to the BMD test</w:t>
      </w:r>
      <w:r w:rsidRPr="00950C18">
        <w:rPr>
          <w:rFonts w:ascii="Book Antiqua" w:hAnsi="Book Antiqua" w:cs="Calibri"/>
          <w:sz w:val="24"/>
          <w:szCs w:val="24"/>
        </w:rPr>
        <w:t xml:space="preserve"> </w:t>
      </w:r>
      <w:r w:rsidRPr="002864A0">
        <w:rPr>
          <w:rFonts w:ascii="Book Antiqua" w:hAnsi="Book Antiqua" w:cs="Calibri"/>
          <w:sz w:val="24"/>
          <w:szCs w:val="24"/>
        </w:rPr>
        <w:t>results</w:t>
      </w:r>
      <w:r w:rsidR="009D590A" w:rsidRPr="002864A0">
        <w:rPr>
          <w:rFonts w:ascii="Book Antiqua" w:hAnsi="Book Antiqua" w:cs="Calibri"/>
          <w:sz w:val="24"/>
          <w:szCs w:val="24"/>
        </w:rPr>
        <w:t>, the patients in the study group were further classified into three subgroups: normal BMD group (</w:t>
      </w:r>
      <w:r w:rsidR="009D590A" w:rsidRPr="002864A0">
        <w:rPr>
          <w:rFonts w:ascii="Book Antiqua" w:hAnsi="Book Antiqua" w:cs="Calibri"/>
          <w:i/>
          <w:iCs/>
          <w:sz w:val="24"/>
          <w:szCs w:val="24"/>
        </w:rPr>
        <w:t xml:space="preserve">n </w:t>
      </w:r>
      <w:r w:rsidR="009D590A" w:rsidRPr="002864A0">
        <w:rPr>
          <w:rFonts w:ascii="Book Antiqua" w:hAnsi="Book Antiqua" w:cs="Calibri"/>
          <w:sz w:val="24"/>
          <w:szCs w:val="24"/>
        </w:rPr>
        <w:t>= 55), reduced BMD group (</w:t>
      </w:r>
      <w:r w:rsidR="009D590A" w:rsidRPr="002864A0">
        <w:rPr>
          <w:rFonts w:ascii="Book Antiqua" w:hAnsi="Book Antiqua" w:cs="Calibri"/>
          <w:i/>
          <w:iCs/>
          <w:sz w:val="24"/>
          <w:szCs w:val="24"/>
        </w:rPr>
        <w:t xml:space="preserve">n </w:t>
      </w:r>
      <w:r w:rsidR="009D590A" w:rsidRPr="002864A0">
        <w:rPr>
          <w:rFonts w:ascii="Book Antiqua" w:hAnsi="Book Antiqua" w:cs="Calibri"/>
          <w:sz w:val="24"/>
          <w:szCs w:val="24"/>
        </w:rPr>
        <w:t>= 74) and osteoporosis group (</w:t>
      </w:r>
      <w:r w:rsidR="009D590A" w:rsidRPr="002864A0">
        <w:rPr>
          <w:rFonts w:ascii="Book Antiqua" w:hAnsi="Book Antiqua" w:cs="Calibri"/>
          <w:i/>
          <w:iCs/>
          <w:sz w:val="24"/>
          <w:szCs w:val="24"/>
        </w:rPr>
        <w:t xml:space="preserve">n </w:t>
      </w:r>
      <w:r w:rsidR="009D590A" w:rsidRPr="002864A0">
        <w:rPr>
          <w:rFonts w:ascii="Book Antiqua" w:hAnsi="Book Antiqua" w:cs="Calibri"/>
          <w:sz w:val="24"/>
          <w:szCs w:val="24"/>
        </w:rPr>
        <w:t xml:space="preserve">= 55). The exclusion criteria were </w:t>
      </w:r>
      <w:r>
        <w:rPr>
          <w:rFonts w:ascii="Book Antiqua" w:hAnsi="Book Antiqua" w:cs="Calibri"/>
          <w:sz w:val="24"/>
          <w:szCs w:val="24"/>
        </w:rPr>
        <w:t xml:space="preserve">as follows: </w:t>
      </w:r>
      <w:r w:rsidR="009D590A" w:rsidRPr="002864A0">
        <w:rPr>
          <w:rFonts w:ascii="Book Antiqua" w:hAnsi="Book Antiqua" w:cs="Calibri"/>
          <w:sz w:val="24"/>
          <w:szCs w:val="24"/>
        </w:rPr>
        <w:t xml:space="preserve">patients with endocrine and autoimmune diseases; malignant tumors; chronic liver disease, chronic obstructive pulmonary disease and chronic kidney disease; sequelae of cardio-cerebrovascular disease affecting extremity </w:t>
      </w:r>
      <w:r>
        <w:rPr>
          <w:rFonts w:ascii="Book Antiqua" w:hAnsi="Book Antiqua" w:cs="Calibri"/>
          <w:sz w:val="24"/>
          <w:szCs w:val="24"/>
        </w:rPr>
        <w:t>function</w:t>
      </w:r>
      <w:r w:rsidR="009D590A" w:rsidRPr="002864A0">
        <w:rPr>
          <w:rFonts w:ascii="Book Antiqua" w:hAnsi="Book Antiqua" w:cs="Calibri"/>
          <w:sz w:val="24"/>
          <w:szCs w:val="24"/>
        </w:rPr>
        <w:t xml:space="preserve">; skin diseases who could not be exposed to sunlight; </w:t>
      </w:r>
      <w:r>
        <w:rPr>
          <w:rFonts w:ascii="Book Antiqua" w:hAnsi="Book Antiqua" w:cs="Calibri"/>
          <w:sz w:val="24"/>
          <w:szCs w:val="24"/>
        </w:rPr>
        <w:t xml:space="preserve">those </w:t>
      </w:r>
      <w:r w:rsidR="009D590A" w:rsidRPr="002864A0">
        <w:rPr>
          <w:rFonts w:ascii="Book Antiqua" w:hAnsi="Book Antiqua" w:cs="Calibri"/>
          <w:sz w:val="24"/>
          <w:szCs w:val="24"/>
        </w:rPr>
        <w:t xml:space="preserve">using active vitamin D, steroids, sex hormones, parathyroid hormone (PTH), calcitonin, diphosphate and other drugs that may affect bone metabolism within 6 </w:t>
      </w:r>
      <w:proofErr w:type="spellStart"/>
      <w:r w:rsidR="009D590A" w:rsidRPr="002864A0">
        <w:rPr>
          <w:rFonts w:ascii="Book Antiqua" w:hAnsi="Book Antiqua" w:cs="Calibri"/>
          <w:sz w:val="24"/>
          <w:szCs w:val="24"/>
        </w:rPr>
        <w:t>mo</w:t>
      </w:r>
      <w:proofErr w:type="spellEnd"/>
      <w:r w:rsidR="009D590A" w:rsidRPr="002864A0">
        <w:rPr>
          <w:rFonts w:ascii="Book Antiqua" w:hAnsi="Book Antiqua" w:cs="Calibri"/>
          <w:sz w:val="24"/>
          <w:szCs w:val="24"/>
        </w:rPr>
        <w:t xml:space="preserve"> before initiation of the study.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The research protocol was approved by Qinghai People’s Hospital, and informed consent was obtained from all participants </w:t>
      </w:r>
      <w:r w:rsidR="00950C18">
        <w:rPr>
          <w:rFonts w:ascii="Book Antiqua" w:hAnsi="Book Antiqua" w:cs="Calibri"/>
          <w:sz w:val="24"/>
          <w:szCs w:val="24"/>
        </w:rPr>
        <w:t>in</w:t>
      </w:r>
      <w:r w:rsidRPr="002864A0">
        <w:rPr>
          <w:rFonts w:ascii="Book Antiqua" w:hAnsi="Book Antiqua" w:cs="Calibri"/>
          <w:sz w:val="24"/>
          <w:szCs w:val="24"/>
        </w:rPr>
        <w:t xml:space="preserve"> the study on the principle of voluntary participation. Of the initially recruited 346 patients with chronic pain, 103 patients with complicated autoimmune, cardiovascular, endocrine and chronic kidney diseases, malignant tumors, and those who had </w:t>
      </w:r>
      <w:r w:rsidR="00D1057F">
        <w:rPr>
          <w:rFonts w:ascii="Book Antiqua" w:hAnsi="Book Antiqua" w:cs="Calibri"/>
          <w:sz w:val="24"/>
          <w:szCs w:val="24"/>
        </w:rPr>
        <w:t xml:space="preserve">a </w:t>
      </w:r>
      <w:r w:rsidRPr="002864A0">
        <w:rPr>
          <w:rFonts w:ascii="Book Antiqua" w:hAnsi="Book Antiqua" w:cs="Calibri"/>
          <w:sz w:val="24"/>
          <w:szCs w:val="24"/>
        </w:rPr>
        <w:t>histor</w:t>
      </w:r>
      <w:r w:rsidR="00D1057F">
        <w:rPr>
          <w:rFonts w:ascii="Book Antiqua" w:hAnsi="Book Antiqua" w:cs="Calibri"/>
          <w:sz w:val="24"/>
          <w:szCs w:val="24"/>
        </w:rPr>
        <w:t>y</w:t>
      </w:r>
      <w:r w:rsidRPr="002864A0">
        <w:rPr>
          <w:rFonts w:ascii="Book Antiqua" w:hAnsi="Book Antiqua" w:cs="Calibri"/>
          <w:sz w:val="24"/>
          <w:szCs w:val="24"/>
        </w:rPr>
        <w:t xml:space="preserve"> of using anti-osteoporosis drugs or Ca supplements, and 59 patients who lacked BMD, PTH and other key data were excluded from the study. </w:t>
      </w:r>
      <w:r w:rsidR="00D1057F">
        <w:rPr>
          <w:rFonts w:ascii="Book Antiqua" w:hAnsi="Book Antiqua" w:cs="Calibri"/>
          <w:sz w:val="24"/>
          <w:szCs w:val="24"/>
        </w:rPr>
        <w:t>In total</w:t>
      </w:r>
      <w:r w:rsidRPr="002864A0">
        <w:rPr>
          <w:rFonts w:ascii="Book Antiqua" w:hAnsi="Book Antiqua" w:cs="Calibri"/>
          <w:sz w:val="24"/>
          <w:szCs w:val="24"/>
        </w:rPr>
        <w:t xml:space="preserve">, 184 patients were included in this study for analysis.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Methods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b/>
          <w:bCs/>
          <w:sz w:val="24"/>
          <w:szCs w:val="24"/>
        </w:rPr>
        <w:t xml:space="preserve">Criteria for test index evaluation: </w:t>
      </w:r>
      <w:r w:rsidRPr="002864A0">
        <w:rPr>
          <w:rFonts w:ascii="Book Antiqua" w:hAnsi="Book Antiqua" w:cs="Calibri"/>
          <w:sz w:val="24"/>
          <w:szCs w:val="24"/>
        </w:rPr>
        <w:t>Venous blood samples were collected at 7:00-8:00 AM from all participants under fasting condition</w:t>
      </w:r>
      <w:r w:rsidR="00D1057F">
        <w:rPr>
          <w:rFonts w:ascii="Book Antiqua" w:hAnsi="Book Antiqua" w:cs="Calibri"/>
          <w:sz w:val="24"/>
          <w:szCs w:val="24"/>
        </w:rPr>
        <w:t>s</w:t>
      </w:r>
      <w:r w:rsidRPr="002864A0">
        <w:rPr>
          <w:rFonts w:ascii="Book Antiqua" w:hAnsi="Book Antiqua" w:cs="Calibri"/>
          <w:sz w:val="24"/>
          <w:szCs w:val="24"/>
        </w:rPr>
        <w:t xml:space="preserve"> and sent to our laboratory for analysis. 25 </w:t>
      </w:r>
      <w:proofErr w:type="spellStart"/>
      <w:r w:rsidRPr="002864A0">
        <w:rPr>
          <w:rFonts w:ascii="Book Antiqua" w:hAnsi="Book Antiqua" w:cs="Calibri"/>
          <w:sz w:val="24"/>
          <w:szCs w:val="24"/>
        </w:rPr>
        <w:t>hydroxy</w:t>
      </w:r>
      <w:proofErr w:type="spellEnd"/>
      <w:r w:rsidRPr="002864A0">
        <w:rPr>
          <w:rFonts w:ascii="Book Antiqua" w:hAnsi="Book Antiqua" w:cs="Calibri"/>
          <w:sz w:val="24"/>
          <w:szCs w:val="24"/>
        </w:rPr>
        <w:t xml:space="preserve"> vitamin D (25OHD) and PTH were measured </w:t>
      </w:r>
      <w:r w:rsidR="00D1057F">
        <w:rPr>
          <w:rFonts w:ascii="Book Antiqua" w:hAnsi="Book Antiqua" w:cs="Calibri"/>
          <w:sz w:val="24"/>
          <w:szCs w:val="24"/>
        </w:rPr>
        <w:t>by</w:t>
      </w:r>
      <w:r w:rsidRPr="002864A0">
        <w:rPr>
          <w:rFonts w:ascii="Book Antiqua" w:hAnsi="Book Antiqua" w:cs="Calibri"/>
          <w:sz w:val="24"/>
          <w:szCs w:val="24"/>
        </w:rPr>
        <w:t xml:space="preserve"> </w:t>
      </w:r>
      <w:r w:rsidR="00D1057F">
        <w:rPr>
          <w:rFonts w:ascii="Book Antiqua" w:hAnsi="Book Antiqua" w:cs="Calibri"/>
          <w:sz w:val="24"/>
          <w:szCs w:val="24"/>
        </w:rPr>
        <w:t xml:space="preserve">a </w:t>
      </w:r>
      <w:proofErr w:type="spellStart"/>
      <w:r w:rsidRPr="002864A0">
        <w:rPr>
          <w:rFonts w:ascii="Book Antiqua" w:hAnsi="Book Antiqua" w:cs="Calibri"/>
          <w:sz w:val="24"/>
          <w:szCs w:val="24"/>
        </w:rPr>
        <w:t>Cobas</w:t>
      </w:r>
      <w:proofErr w:type="spellEnd"/>
      <w:r w:rsidRPr="002864A0">
        <w:rPr>
          <w:rFonts w:ascii="Book Antiqua" w:hAnsi="Book Antiqua" w:cs="Calibri"/>
          <w:sz w:val="24"/>
          <w:szCs w:val="24"/>
        </w:rPr>
        <w:t xml:space="preserve"> 8000 </w:t>
      </w:r>
      <w:proofErr w:type="spellStart"/>
      <w:r w:rsidRPr="002864A0">
        <w:rPr>
          <w:rFonts w:ascii="Book Antiqua" w:hAnsi="Book Antiqua" w:cs="Calibri"/>
          <w:sz w:val="24"/>
          <w:szCs w:val="24"/>
        </w:rPr>
        <w:t>electrochemiluminescence</w:t>
      </w:r>
      <w:proofErr w:type="spellEnd"/>
      <w:r w:rsidRPr="002864A0">
        <w:rPr>
          <w:rFonts w:ascii="Book Antiqua" w:hAnsi="Book Antiqua" w:cs="Calibri"/>
          <w:sz w:val="24"/>
          <w:szCs w:val="24"/>
        </w:rPr>
        <w:t xml:space="preserve"> immunoassay kit. Ca and </w:t>
      </w:r>
      <w:r w:rsidR="002142B5" w:rsidRPr="002864A0">
        <w:rPr>
          <w:rFonts w:ascii="Book Antiqua" w:hAnsi="Book Antiqua" w:cs="Calibri"/>
          <w:sz w:val="24"/>
          <w:szCs w:val="24"/>
        </w:rPr>
        <w:t>P</w:t>
      </w:r>
      <w:r w:rsidRPr="002864A0">
        <w:rPr>
          <w:rFonts w:ascii="Book Antiqua" w:hAnsi="Book Antiqua" w:cs="Calibri"/>
          <w:sz w:val="24"/>
          <w:szCs w:val="24"/>
        </w:rPr>
        <w:t xml:space="preserve"> levels were detected using </w:t>
      </w:r>
      <w:r w:rsidR="00D1057F">
        <w:rPr>
          <w:rFonts w:ascii="Book Antiqua" w:hAnsi="Book Antiqua" w:cs="Calibri"/>
          <w:sz w:val="24"/>
          <w:szCs w:val="24"/>
        </w:rPr>
        <w:t>an</w:t>
      </w:r>
      <w:r w:rsidRPr="002864A0">
        <w:rPr>
          <w:rFonts w:ascii="Book Antiqua" w:hAnsi="Book Antiqua" w:cs="Calibri"/>
          <w:sz w:val="24"/>
          <w:szCs w:val="24"/>
        </w:rPr>
        <w:t xml:space="preserve"> automatic biochemical analyzer and the </w:t>
      </w:r>
      <w:r w:rsidR="00D1057F">
        <w:rPr>
          <w:rFonts w:ascii="Book Antiqua" w:hAnsi="Book Antiqua" w:cs="Calibri"/>
          <w:sz w:val="24"/>
          <w:szCs w:val="24"/>
        </w:rPr>
        <w:t>required</w:t>
      </w:r>
      <w:r w:rsidRPr="002864A0">
        <w:rPr>
          <w:rFonts w:ascii="Book Antiqua" w:hAnsi="Book Antiqua" w:cs="Calibri"/>
          <w:sz w:val="24"/>
          <w:szCs w:val="24"/>
        </w:rPr>
        <w:t xml:space="preserve"> kit (Hitachi. Japan). BMD of the L-1-4 and femoral neck, Ward’s triangle and trochanter was measured by </w:t>
      </w:r>
      <w:r w:rsidR="002142B5" w:rsidRPr="002864A0">
        <w:rPr>
          <w:rFonts w:ascii="Book Antiqua" w:hAnsi="Book Antiqua" w:cs="Calibri"/>
          <w:sz w:val="24"/>
          <w:szCs w:val="24"/>
        </w:rPr>
        <w:t>dual-energy X-ray absorptiometry</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Hologic</w:t>
      </w:r>
      <w:proofErr w:type="spellEnd"/>
      <w:r w:rsidRPr="002864A0">
        <w:rPr>
          <w:rFonts w:ascii="Book Antiqua" w:hAnsi="Book Antiqua" w:cs="Calibri"/>
          <w:sz w:val="24"/>
          <w:szCs w:val="24"/>
        </w:rPr>
        <w:t xml:space="preserve"> Q DR 2000, United States). Other general data of the participants including age, height, weight, body mass index (BMI), living altitude, past medical history and drug administration were also recorded for analysis.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The vitamin D status was assessed by measuring the serum level of 25OHD, and </w:t>
      </w:r>
      <w:r w:rsidR="00D1057F">
        <w:rPr>
          <w:rFonts w:ascii="Book Antiqua" w:hAnsi="Book Antiqua" w:cs="Calibri"/>
          <w:sz w:val="24"/>
          <w:szCs w:val="24"/>
        </w:rPr>
        <w:t xml:space="preserve">was </w:t>
      </w:r>
      <w:r w:rsidRPr="002864A0">
        <w:rPr>
          <w:rFonts w:ascii="Book Antiqua" w:hAnsi="Book Antiqua" w:cs="Calibri"/>
          <w:sz w:val="24"/>
          <w:szCs w:val="24"/>
        </w:rPr>
        <w:t xml:space="preserve">classified as severe vitamin D deficiency (&lt; 10 ng/mL), vitamin D deficiency (≥ 10 &lt; 20 ng/mL), vitamin D insufficiency (≥ 20 &lt; 30 ng/mL), and vitamin D sufficiency (≥ 30 ng/mL).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The criteria for BMD assessment</w:t>
      </w:r>
      <w:r w:rsidR="00D1057F">
        <w:rPr>
          <w:rFonts w:ascii="Book Antiqua" w:hAnsi="Book Antiqua" w:cs="Calibri"/>
          <w:sz w:val="24"/>
          <w:szCs w:val="24"/>
        </w:rPr>
        <w:t xml:space="preserve"> were as follows</w:t>
      </w:r>
      <w:r w:rsidRPr="002864A0">
        <w:rPr>
          <w:rFonts w:ascii="Book Antiqua" w:hAnsi="Book Antiqua" w:cs="Calibri"/>
          <w:sz w:val="24"/>
          <w:szCs w:val="24"/>
        </w:rPr>
        <w:t xml:space="preserve">: Patients with a BMD T value &gt; 1 in any of the L1-4, total hip and femoral neck </w:t>
      </w:r>
      <w:r w:rsidR="00D1057F">
        <w:rPr>
          <w:rFonts w:ascii="Book Antiqua" w:hAnsi="Book Antiqua" w:cs="Calibri"/>
          <w:sz w:val="24"/>
          <w:szCs w:val="24"/>
        </w:rPr>
        <w:t>were included</w:t>
      </w:r>
      <w:r w:rsidRPr="002864A0">
        <w:rPr>
          <w:rFonts w:ascii="Book Antiqua" w:hAnsi="Book Antiqua" w:cs="Calibri"/>
          <w:sz w:val="24"/>
          <w:szCs w:val="24"/>
        </w:rPr>
        <w:t xml:space="preserve"> in the normal BMD group, -1 to 2.5 </w:t>
      </w:r>
      <w:r w:rsidR="00D1057F">
        <w:rPr>
          <w:rFonts w:ascii="Book Antiqua" w:hAnsi="Book Antiqua" w:cs="Calibri"/>
          <w:sz w:val="24"/>
          <w:szCs w:val="24"/>
        </w:rPr>
        <w:t xml:space="preserve">were included </w:t>
      </w:r>
      <w:r w:rsidRPr="002864A0">
        <w:rPr>
          <w:rFonts w:ascii="Book Antiqua" w:hAnsi="Book Antiqua" w:cs="Calibri"/>
          <w:sz w:val="24"/>
          <w:szCs w:val="24"/>
        </w:rPr>
        <w:t xml:space="preserve">in the reduced BMD group, and ≤ -2.5 </w:t>
      </w:r>
      <w:r w:rsidR="00D1057F">
        <w:rPr>
          <w:rFonts w:ascii="Book Antiqua" w:hAnsi="Book Antiqua" w:cs="Calibri"/>
          <w:sz w:val="24"/>
          <w:szCs w:val="24"/>
        </w:rPr>
        <w:t xml:space="preserve">were included </w:t>
      </w:r>
      <w:r w:rsidRPr="002864A0">
        <w:rPr>
          <w:rFonts w:ascii="Book Antiqua" w:hAnsi="Book Antiqua" w:cs="Calibri"/>
          <w:sz w:val="24"/>
          <w:szCs w:val="24"/>
        </w:rPr>
        <w:t xml:space="preserve">in the osteoporosis group.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The criteria for PTH assessment</w:t>
      </w:r>
      <w:r w:rsidR="00D1057F">
        <w:rPr>
          <w:rFonts w:ascii="Book Antiqua" w:hAnsi="Book Antiqua" w:cs="Calibri"/>
          <w:sz w:val="24"/>
          <w:szCs w:val="24"/>
        </w:rPr>
        <w:t xml:space="preserve"> were as follows</w:t>
      </w:r>
      <w:r w:rsidRPr="002864A0">
        <w:rPr>
          <w:rFonts w:ascii="Book Antiqua" w:hAnsi="Book Antiqua" w:cs="Calibri"/>
          <w:sz w:val="24"/>
          <w:szCs w:val="24"/>
        </w:rPr>
        <w:t xml:space="preserve">: serum PTH &lt; 15 </w:t>
      </w:r>
      <w:proofErr w:type="spellStart"/>
      <w:r w:rsidRPr="002864A0">
        <w:rPr>
          <w:rFonts w:ascii="Book Antiqua" w:hAnsi="Book Antiqua" w:cs="Calibri"/>
          <w:sz w:val="24"/>
          <w:szCs w:val="24"/>
        </w:rPr>
        <w:t>pg</w:t>
      </w:r>
      <w:proofErr w:type="spellEnd"/>
      <w:r w:rsidRPr="002864A0">
        <w:rPr>
          <w:rFonts w:ascii="Book Antiqua" w:hAnsi="Book Antiqua" w:cs="Calibri"/>
          <w:sz w:val="24"/>
          <w:szCs w:val="24"/>
        </w:rPr>
        <w:t xml:space="preserve">/mL </w:t>
      </w:r>
      <w:r w:rsidR="00D1057F">
        <w:rPr>
          <w:rFonts w:ascii="Book Antiqua" w:hAnsi="Book Antiqua" w:cs="Calibri"/>
          <w:sz w:val="24"/>
          <w:szCs w:val="24"/>
        </w:rPr>
        <w:t>was considered</w:t>
      </w:r>
      <w:r w:rsidRPr="002864A0">
        <w:rPr>
          <w:rFonts w:ascii="Book Antiqua" w:hAnsi="Book Antiqua" w:cs="Calibri"/>
          <w:sz w:val="24"/>
          <w:szCs w:val="24"/>
        </w:rPr>
        <w:t xml:space="preserve"> reduced, ≥ 15 </w:t>
      </w:r>
      <w:proofErr w:type="spellStart"/>
      <w:r w:rsidRPr="002864A0">
        <w:rPr>
          <w:rFonts w:ascii="Book Antiqua" w:hAnsi="Book Antiqua" w:cs="Calibri"/>
          <w:sz w:val="24"/>
          <w:szCs w:val="24"/>
        </w:rPr>
        <w:t>pg</w:t>
      </w:r>
      <w:proofErr w:type="spellEnd"/>
      <w:r w:rsidRPr="002864A0">
        <w:rPr>
          <w:rFonts w:ascii="Book Antiqua" w:hAnsi="Book Antiqua" w:cs="Calibri"/>
          <w:sz w:val="24"/>
          <w:szCs w:val="24"/>
        </w:rPr>
        <w:t xml:space="preserve">/mL ≤ </w:t>
      </w:r>
      <w:proofErr w:type="gramStart"/>
      <w:r w:rsidRPr="002864A0">
        <w:rPr>
          <w:rFonts w:ascii="Book Antiqua" w:hAnsi="Book Antiqua" w:cs="Calibri"/>
          <w:sz w:val="24"/>
          <w:szCs w:val="24"/>
        </w:rPr>
        <w:t xml:space="preserve">65 </w:t>
      </w:r>
      <w:proofErr w:type="spellStart"/>
      <w:r w:rsidRPr="002864A0">
        <w:rPr>
          <w:rFonts w:ascii="Book Antiqua" w:hAnsi="Book Antiqua" w:cs="Calibri"/>
          <w:sz w:val="24"/>
          <w:szCs w:val="24"/>
        </w:rPr>
        <w:t>pg</w:t>
      </w:r>
      <w:proofErr w:type="spellEnd"/>
      <w:r w:rsidRPr="002864A0">
        <w:rPr>
          <w:rFonts w:ascii="Book Antiqua" w:hAnsi="Book Antiqua" w:cs="Calibri"/>
          <w:sz w:val="24"/>
          <w:szCs w:val="24"/>
        </w:rPr>
        <w:t>/mL</w:t>
      </w:r>
      <w:proofErr w:type="gramEnd"/>
      <w:r w:rsidRPr="002864A0">
        <w:rPr>
          <w:rFonts w:ascii="Book Antiqua" w:hAnsi="Book Antiqua" w:cs="Calibri"/>
          <w:sz w:val="24"/>
          <w:szCs w:val="24"/>
        </w:rPr>
        <w:t xml:space="preserve">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normal, and &gt; 65 </w:t>
      </w:r>
      <w:proofErr w:type="spellStart"/>
      <w:r w:rsidRPr="002864A0">
        <w:rPr>
          <w:rFonts w:ascii="Book Antiqua" w:hAnsi="Book Antiqua" w:cs="Calibri"/>
          <w:sz w:val="24"/>
          <w:szCs w:val="24"/>
        </w:rPr>
        <w:t>pg</w:t>
      </w:r>
      <w:proofErr w:type="spellEnd"/>
      <w:r w:rsidRPr="002864A0">
        <w:rPr>
          <w:rFonts w:ascii="Book Antiqua" w:hAnsi="Book Antiqua" w:cs="Calibri"/>
          <w:sz w:val="24"/>
          <w:szCs w:val="24"/>
        </w:rPr>
        <w:t xml:space="preserve">/mL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increased.</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The criteria for P assessment</w:t>
      </w:r>
      <w:r w:rsidR="00D1057F">
        <w:rPr>
          <w:rFonts w:ascii="Book Antiqua" w:hAnsi="Book Antiqua" w:cs="Calibri"/>
          <w:sz w:val="24"/>
          <w:szCs w:val="24"/>
        </w:rPr>
        <w:t xml:space="preserve"> were as follows</w:t>
      </w:r>
      <w:r w:rsidRPr="002864A0">
        <w:rPr>
          <w:rFonts w:ascii="Book Antiqua" w:hAnsi="Book Antiqua" w:cs="Calibri"/>
          <w:sz w:val="24"/>
          <w:szCs w:val="24"/>
        </w:rPr>
        <w:t xml:space="preserve">: serum P &lt; 0.85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 xml:space="preserve">/L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reduced, ≥ 0.85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 xml:space="preserve">/L ≤ </w:t>
      </w:r>
      <w:proofErr w:type="gramStart"/>
      <w:r w:rsidRPr="002864A0">
        <w:rPr>
          <w:rFonts w:ascii="Book Antiqua" w:hAnsi="Book Antiqua" w:cs="Calibri"/>
          <w:sz w:val="24"/>
          <w:szCs w:val="24"/>
        </w:rPr>
        <w:t xml:space="preserve">1.51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/L</w:t>
      </w:r>
      <w:proofErr w:type="gramEnd"/>
      <w:r w:rsidRPr="002864A0">
        <w:rPr>
          <w:rFonts w:ascii="Book Antiqua" w:hAnsi="Book Antiqua" w:cs="Calibri"/>
          <w:sz w:val="24"/>
          <w:szCs w:val="24"/>
        </w:rPr>
        <w:t xml:space="preserve">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normal, and &gt; 1.51 </w:t>
      </w:r>
      <w:proofErr w:type="spellStart"/>
      <w:r w:rsidRPr="002864A0">
        <w:rPr>
          <w:rFonts w:ascii="Book Antiqua" w:hAnsi="Book Antiqua" w:cs="Calibri"/>
          <w:sz w:val="24"/>
          <w:szCs w:val="24"/>
        </w:rPr>
        <w:t>mol</w:t>
      </w:r>
      <w:proofErr w:type="spellEnd"/>
      <w:r w:rsidRPr="002864A0">
        <w:rPr>
          <w:rFonts w:ascii="Book Antiqua" w:hAnsi="Book Antiqua" w:cs="Calibri"/>
          <w:sz w:val="24"/>
          <w:szCs w:val="24"/>
        </w:rPr>
        <w:t xml:space="preserve">/L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increased.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The criteria for Ca assessment</w:t>
      </w:r>
      <w:r w:rsidR="00D1057F">
        <w:rPr>
          <w:rFonts w:ascii="Book Antiqua" w:hAnsi="Book Antiqua" w:cs="Calibri"/>
          <w:sz w:val="24"/>
          <w:szCs w:val="24"/>
        </w:rPr>
        <w:t xml:space="preserve"> were as follows</w:t>
      </w:r>
      <w:r w:rsidRPr="002864A0">
        <w:rPr>
          <w:rFonts w:ascii="Book Antiqua" w:hAnsi="Book Antiqua" w:cs="Calibri"/>
          <w:sz w:val="24"/>
          <w:szCs w:val="24"/>
        </w:rPr>
        <w:t xml:space="preserve">: serum Ca &lt; 2.2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 xml:space="preserve">/L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reduced, ≥ 2.2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 xml:space="preserve">/L ≤ </w:t>
      </w:r>
      <w:proofErr w:type="gramStart"/>
      <w:r w:rsidRPr="002864A0">
        <w:rPr>
          <w:rFonts w:ascii="Book Antiqua" w:hAnsi="Book Antiqua" w:cs="Calibri"/>
          <w:sz w:val="24"/>
          <w:szCs w:val="24"/>
        </w:rPr>
        <w:t xml:space="preserve">2.7 </w:t>
      </w:r>
      <w:proofErr w:type="spellStart"/>
      <w:r w:rsidRPr="002864A0">
        <w:rPr>
          <w:rFonts w:ascii="Book Antiqua" w:hAnsi="Book Antiqua" w:cs="Calibri"/>
          <w:sz w:val="24"/>
          <w:szCs w:val="24"/>
        </w:rPr>
        <w:t>mmol</w:t>
      </w:r>
      <w:proofErr w:type="spellEnd"/>
      <w:r w:rsidRPr="002864A0">
        <w:rPr>
          <w:rFonts w:ascii="Book Antiqua" w:hAnsi="Book Antiqua" w:cs="Calibri"/>
          <w:sz w:val="24"/>
          <w:szCs w:val="24"/>
        </w:rPr>
        <w:t>/L</w:t>
      </w:r>
      <w:proofErr w:type="gramEnd"/>
      <w:r w:rsidRPr="002864A0">
        <w:rPr>
          <w:rFonts w:ascii="Book Antiqua" w:hAnsi="Book Antiqua" w:cs="Calibri"/>
          <w:sz w:val="24"/>
          <w:szCs w:val="24"/>
        </w:rPr>
        <w:t xml:space="preserve">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normal, and &gt; 2.7 </w:t>
      </w:r>
      <w:proofErr w:type="spellStart"/>
      <w:r w:rsidRPr="002864A0">
        <w:rPr>
          <w:rFonts w:ascii="Book Antiqua" w:hAnsi="Book Antiqua" w:cs="Calibri"/>
          <w:sz w:val="24"/>
          <w:szCs w:val="24"/>
        </w:rPr>
        <w:t>mol</w:t>
      </w:r>
      <w:proofErr w:type="spellEnd"/>
      <w:r w:rsidRPr="002864A0">
        <w:rPr>
          <w:rFonts w:ascii="Book Antiqua" w:hAnsi="Book Antiqua" w:cs="Calibri"/>
          <w:sz w:val="24"/>
          <w:szCs w:val="24"/>
        </w:rPr>
        <w:t xml:space="preserve">/L </w:t>
      </w:r>
      <w:r w:rsidR="00D1057F">
        <w:rPr>
          <w:rFonts w:ascii="Book Antiqua" w:hAnsi="Book Antiqua" w:cs="Calibri"/>
          <w:sz w:val="24"/>
          <w:szCs w:val="24"/>
        </w:rPr>
        <w:t>w</w:t>
      </w:r>
      <w:r w:rsidRPr="002864A0">
        <w:rPr>
          <w:rFonts w:ascii="Book Antiqua" w:hAnsi="Book Antiqua" w:cs="Calibri"/>
          <w:sz w:val="24"/>
          <w:szCs w:val="24"/>
        </w:rPr>
        <w:t xml:space="preserve">as </w:t>
      </w:r>
      <w:r w:rsidR="00D1057F">
        <w:rPr>
          <w:rFonts w:ascii="Book Antiqua" w:hAnsi="Book Antiqua" w:cs="Calibri"/>
          <w:sz w:val="24"/>
          <w:szCs w:val="24"/>
        </w:rPr>
        <w:t xml:space="preserve">considered </w:t>
      </w:r>
      <w:r w:rsidRPr="002864A0">
        <w:rPr>
          <w:rFonts w:ascii="Book Antiqua" w:hAnsi="Book Antiqua" w:cs="Calibri"/>
          <w:sz w:val="24"/>
          <w:szCs w:val="24"/>
        </w:rPr>
        <w:t xml:space="preserve">increased.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i/>
          <w:iCs/>
          <w:sz w:val="24"/>
          <w:szCs w:val="24"/>
        </w:rPr>
      </w:pPr>
      <w:r w:rsidRPr="002864A0">
        <w:rPr>
          <w:rFonts w:ascii="Book Antiqua" w:hAnsi="Book Antiqua" w:cs="Calibri"/>
          <w:b/>
          <w:bCs/>
          <w:i/>
          <w:iCs/>
          <w:sz w:val="24"/>
          <w:szCs w:val="24"/>
        </w:rPr>
        <w:t xml:space="preserve">Statistical </w:t>
      </w:r>
      <w:r w:rsidR="00BE3F5A">
        <w:rPr>
          <w:rFonts w:ascii="Book Antiqua" w:hAnsi="Book Antiqua" w:cs="Calibri"/>
          <w:b/>
          <w:bCs/>
          <w:i/>
          <w:iCs/>
          <w:sz w:val="24"/>
          <w:szCs w:val="24"/>
        </w:rPr>
        <w:t>analysis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All statistical analyses were performed using SPSS 17.0. Quantitative data are expressed as x </w:t>
      </w:r>
      <w:r w:rsidRPr="002864A0">
        <w:rPr>
          <w:rFonts w:ascii="Book Antiqua" w:hAnsi="Book Antiqua" w:cs="Calibri"/>
          <w:i/>
          <w:iCs/>
          <w:sz w:val="24"/>
          <w:szCs w:val="24"/>
        </w:rPr>
        <w:t xml:space="preserve">± s. </w:t>
      </w:r>
      <w:r w:rsidRPr="002864A0">
        <w:rPr>
          <w:rFonts w:ascii="Book Antiqua" w:hAnsi="Book Antiqua" w:cs="Calibri"/>
          <w:sz w:val="24"/>
          <w:szCs w:val="24"/>
        </w:rPr>
        <w:t>Comparison</w:t>
      </w:r>
      <w:r w:rsidR="00D1057F">
        <w:rPr>
          <w:rFonts w:ascii="Book Antiqua" w:hAnsi="Book Antiqua" w:cs="Calibri"/>
          <w:sz w:val="24"/>
          <w:szCs w:val="24"/>
        </w:rPr>
        <w:t>s</w:t>
      </w:r>
      <w:r w:rsidRPr="002864A0">
        <w:rPr>
          <w:rFonts w:ascii="Book Antiqua" w:hAnsi="Book Antiqua" w:cs="Calibri"/>
          <w:sz w:val="24"/>
          <w:szCs w:val="24"/>
        </w:rPr>
        <w:t xml:space="preserve"> between two groups w</w:t>
      </w:r>
      <w:r w:rsidR="00D1057F">
        <w:rPr>
          <w:rFonts w:ascii="Book Antiqua" w:hAnsi="Book Antiqua" w:cs="Calibri"/>
          <w:sz w:val="24"/>
          <w:szCs w:val="24"/>
        </w:rPr>
        <w:t>ere</w:t>
      </w:r>
      <w:r w:rsidRPr="002864A0">
        <w:rPr>
          <w:rFonts w:ascii="Book Antiqua" w:hAnsi="Book Antiqua" w:cs="Calibri"/>
          <w:sz w:val="24"/>
          <w:szCs w:val="24"/>
        </w:rPr>
        <w:t xml:space="preserve"> performed </w:t>
      </w:r>
      <w:r w:rsidR="00D1057F">
        <w:rPr>
          <w:rFonts w:ascii="Book Antiqua" w:hAnsi="Book Antiqua" w:cs="Calibri"/>
          <w:sz w:val="24"/>
          <w:szCs w:val="24"/>
        </w:rPr>
        <w:t>using the</w:t>
      </w:r>
      <w:r w:rsidRPr="002864A0">
        <w:rPr>
          <w:rFonts w:ascii="Book Antiqua" w:hAnsi="Book Antiqua" w:cs="Calibri"/>
          <w:sz w:val="24"/>
          <w:szCs w:val="24"/>
        </w:rPr>
        <w:t xml:space="preserve"> independent sample t test; comparison</w:t>
      </w:r>
      <w:r w:rsidR="00D1057F">
        <w:rPr>
          <w:rFonts w:ascii="Book Antiqua" w:hAnsi="Book Antiqua" w:cs="Calibri"/>
          <w:sz w:val="24"/>
          <w:szCs w:val="24"/>
        </w:rPr>
        <w:t>s</w:t>
      </w:r>
      <w:r w:rsidRPr="002864A0">
        <w:rPr>
          <w:rFonts w:ascii="Book Antiqua" w:hAnsi="Book Antiqua" w:cs="Calibri"/>
          <w:sz w:val="24"/>
          <w:szCs w:val="24"/>
        </w:rPr>
        <w:t xml:space="preserve"> between three groups w</w:t>
      </w:r>
      <w:r w:rsidR="00D1057F">
        <w:rPr>
          <w:rFonts w:ascii="Book Antiqua" w:hAnsi="Book Antiqua" w:cs="Calibri"/>
          <w:sz w:val="24"/>
          <w:szCs w:val="24"/>
        </w:rPr>
        <w:t>ere</w:t>
      </w:r>
      <w:r w:rsidRPr="002864A0">
        <w:rPr>
          <w:rFonts w:ascii="Book Antiqua" w:hAnsi="Book Antiqua" w:cs="Calibri"/>
          <w:sz w:val="24"/>
          <w:szCs w:val="24"/>
        </w:rPr>
        <w:t xml:space="preserve"> performed by one way ANOVA; and comparison</w:t>
      </w:r>
      <w:r w:rsidR="00D1057F">
        <w:rPr>
          <w:rFonts w:ascii="Book Antiqua" w:hAnsi="Book Antiqua" w:cs="Calibri"/>
          <w:sz w:val="24"/>
          <w:szCs w:val="24"/>
        </w:rPr>
        <w:t>s</w:t>
      </w:r>
      <w:r w:rsidRPr="002864A0">
        <w:rPr>
          <w:rFonts w:ascii="Book Antiqua" w:hAnsi="Book Antiqua" w:cs="Calibri"/>
          <w:sz w:val="24"/>
          <w:szCs w:val="24"/>
        </w:rPr>
        <w:t xml:space="preserve"> between multiple groups w</w:t>
      </w:r>
      <w:r w:rsidR="00D1057F">
        <w:rPr>
          <w:rFonts w:ascii="Book Antiqua" w:hAnsi="Book Antiqua" w:cs="Calibri"/>
          <w:sz w:val="24"/>
          <w:szCs w:val="24"/>
        </w:rPr>
        <w:t>ere</w:t>
      </w:r>
      <w:r w:rsidRPr="002864A0">
        <w:rPr>
          <w:rFonts w:ascii="Book Antiqua" w:hAnsi="Book Antiqua" w:cs="Calibri"/>
          <w:sz w:val="24"/>
          <w:szCs w:val="24"/>
        </w:rPr>
        <w:t xml:space="preserve"> performed by LSD. Counting data are expressed as </w:t>
      </w:r>
      <w:r w:rsidRPr="002864A0">
        <w:rPr>
          <w:rFonts w:ascii="Book Antiqua" w:hAnsi="Book Antiqua" w:cs="Calibri"/>
          <w:i/>
          <w:iCs/>
          <w:sz w:val="24"/>
          <w:szCs w:val="24"/>
        </w:rPr>
        <w:t>c</w:t>
      </w:r>
      <w:r w:rsidRPr="002864A0">
        <w:rPr>
          <w:rFonts w:ascii="Book Antiqua" w:hAnsi="Book Antiqua" w:cs="Calibri"/>
          <w:i/>
          <w:iCs/>
          <w:sz w:val="24"/>
          <w:szCs w:val="24"/>
          <w:vertAlign w:val="superscript"/>
        </w:rPr>
        <w:t>2</w:t>
      </w:r>
      <w:r w:rsidRPr="002864A0">
        <w:rPr>
          <w:rFonts w:ascii="Book Antiqua" w:hAnsi="Book Antiqua" w:cs="Calibri"/>
          <w:sz w:val="24"/>
          <w:szCs w:val="24"/>
        </w:rPr>
        <w:t>. Two sets of ordered counting data were analyzed by Mantel-</w:t>
      </w:r>
      <w:proofErr w:type="spellStart"/>
      <w:r w:rsidRPr="002864A0">
        <w:rPr>
          <w:rFonts w:ascii="Book Antiqua" w:hAnsi="Book Antiqua" w:cs="Calibri"/>
          <w:sz w:val="24"/>
          <w:szCs w:val="24"/>
        </w:rPr>
        <w:t>Haenszel</w:t>
      </w:r>
      <w:proofErr w:type="spellEnd"/>
      <w:r w:rsidRPr="002864A0">
        <w:rPr>
          <w:rFonts w:ascii="Book Antiqua" w:hAnsi="Book Antiqua" w:cs="Calibri"/>
          <w:sz w:val="24"/>
          <w:szCs w:val="24"/>
        </w:rPr>
        <w:t xml:space="preserve"> test for linear trend. Risk factors were analyzed by binary logistic regression. Values of </w:t>
      </w:r>
      <w:r w:rsidRPr="002864A0">
        <w:rPr>
          <w:rFonts w:ascii="Book Antiqua" w:hAnsi="Book Antiqua" w:cs="Calibri"/>
          <w:i/>
          <w:iCs/>
          <w:sz w:val="24"/>
          <w:szCs w:val="24"/>
        </w:rPr>
        <w:t xml:space="preserve">P </w:t>
      </w:r>
      <w:r w:rsidRPr="002864A0">
        <w:rPr>
          <w:rFonts w:ascii="Book Antiqua" w:hAnsi="Book Antiqua" w:cs="Calibri"/>
          <w:sz w:val="24"/>
          <w:szCs w:val="24"/>
        </w:rPr>
        <w:t xml:space="preserve">&lt; 0.05 were considered statistically significant.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sz w:val="24"/>
          <w:szCs w:val="24"/>
          <w:u w:val="single"/>
        </w:rPr>
      </w:pPr>
      <w:r w:rsidRPr="002864A0">
        <w:rPr>
          <w:rFonts w:ascii="Book Antiqua" w:hAnsi="Book Antiqua" w:cs="Calibri"/>
          <w:b/>
          <w:bCs/>
          <w:sz w:val="24"/>
          <w:szCs w:val="24"/>
          <w:u w:val="single"/>
        </w:rPr>
        <w:t>RESULTS</w:t>
      </w: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Comparison of the general data and vitamin D concentrations between the study and control groups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Comparison</w:t>
      </w:r>
      <w:r w:rsidR="00EC0B93">
        <w:rPr>
          <w:rFonts w:ascii="Book Antiqua" w:hAnsi="Book Antiqua" w:cs="Calibri"/>
          <w:sz w:val="24"/>
          <w:szCs w:val="24"/>
        </w:rPr>
        <w:t>s</w:t>
      </w:r>
      <w:r w:rsidRPr="002864A0">
        <w:rPr>
          <w:rFonts w:ascii="Book Antiqua" w:hAnsi="Book Antiqua" w:cs="Calibri"/>
          <w:sz w:val="24"/>
          <w:szCs w:val="24"/>
        </w:rPr>
        <w:t xml:space="preserve"> of the general data indicated no significant difference in age and sex between the two groups</w:t>
      </w:r>
      <w:r w:rsidR="00EC0B93">
        <w:rPr>
          <w:rFonts w:ascii="Book Antiqua" w:hAnsi="Book Antiqua" w:cs="Calibri"/>
          <w:sz w:val="24"/>
          <w:szCs w:val="24"/>
        </w:rPr>
        <w:t>. T</w:t>
      </w:r>
      <w:r w:rsidRPr="002864A0">
        <w:rPr>
          <w:rFonts w:ascii="Book Antiqua" w:hAnsi="Book Antiqua" w:cs="Calibri"/>
          <w:sz w:val="24"/>
          <w:szCs w:val="24"/>
        </w:rPr>
        <w:t>he vitamin D concentration in the study group was significantly lower than that in the control group (</w:t>
      </w:r>
      <w:r w:rsidRPr="002864A0">
        <w:rPr>
          <w:rFonts w:ascii="Book Antiqua" w:hAnsi="Book Antiqua" w:cs="Calibri"/>
          <w:i/>
          <w:iCs/>
          <w:sz w:val="24"/>
          <w:szCs w:val="24"/>
        </w:rPr>
        <w:t xml:space="preserve">P &lt; </w:t>
      </w:r>
      <w:r w:rsidRPr="002864A0">
        <w:rPr>
          <w:rFonts w:ascii="Book Antiqua" w:hAnsi="Book Antiqua" w:cs="Calibri"/>
          <w:sz w:val="24"/>
          <w:szCs w:val="24"/>
        </w:rPr>
        <w:t xml:space="preserve">0.05) (Table 1).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Comparison of the percentage of vitamin D concentration betwe</w:t>
      </w:r>
      <w:r w:rsidR="00B138CC">
        <w:rPr>
          <w:rFonts w:ascii="Book Antiqua" w:hAnsi="Book Antiqua" w:cs="Calibri"/>
          <w:b/>
          <w:bCs/>
          <w:i/>
          <w:iCs/>
          <w:sz w:val="24"/>
          <w:szCs w:val="24"/>
        </w:rPr>
        <w:t>en the study and control groups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Vitamin D deficiency was predominant in both groups, accounting for 53.8% and 57.7%</w:t>
      </w:r>
      <w:r w:rsidR="00EC0B93">
        <w:rPr>
          <w:rFonts w:ascii="Book Antiqua" w:hAnsi="Book Antiqua" w:cs="Calibri"/>
          <w:sz w:val="24"/>
          <w:szCs w:val="24"/>
        </w:rPr>
        <w:t>,</w:t>
      </w:r>
      <w:r w:rsidRPr="002864A0">
        <w:rPr>
          <w:rFonts w:ascii="Book Antiqua" w:hAnsi="Book Antiqua" w:cs="Calibri"/>
          <w:sz w:val="24"/>
          <w:szCs w:val="24"/>
        </w:rPr>
        <w:t xml:space="preserve"> respectively, </w:t>
      </w:r>
      <w:r w:rsidR="00EC0B93">
        <w:rPr>
          <w:rFonts w:ascii="Book Antiqua" w:hAnsi="Book Antiqua" w:cs="Calibri"/>
          <w:sz w:val="24"/>
          <w:szCs w:val="24"/>
        </w:rPr>
        <w:t>with</w:t>
      </w:r>
      <w:r w:rsidRPr="002864A0">
        <w:rPr>
          <w:rFonts w:ascii="Book Antiqua" w:hAnsi="Book Antiqua" w:cs="Calibri"/>
          <w:sz w:val="24"/>
          <w:szCs w:val="24"/>
        </w:rPr>
        <w:t xml:space="preserve"> no significant difference between the two groups. The proportion of patients with severe vitamin D deficiency in the study group was significantly higher than that in the control group (</w:t>
      </w:r>
      <w:r w:rsidRPr="002864A0">
        <w:rPr>
          <w:rFonts w:ascii="Book Antiqua" w:hAnsi="Book Antiqua" w:cs="Calibri"/>
          <w:i/>
          <w:iCs/>
          <w:sz w:val="24"/>
          <w:szCs w:val="24"/>
        </w:rPr>
        <w:t>P</w:t>
      </w:r>
      <w:r w:rsidRPr="002864A0">
        <w:rPr>
          <w:rFonts w:ascii="Book Antiqua" w:hAnsi="Book Antiqua" w:cs="Calibri"/>
          <w:sz w:val="24"/>
          <w:szCs w:val="24"/>
        </w:rPr>
        <w:t xml:space="preserve"> &lt; 0.05) (Table 2).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 xml:space="preserve">Comparison of vitamin D concentrations between </w:t>
      </w:r>
      <w:r w:rsidR="00EC0B93">
        <w:rPr>
          <w:rFonts w:ascii="Book Antiqua" w:hAnsi="Book Antiqua" w:cs="Calibri"/>
          <w:b/>
          <w:bCs/>
          <w:i/>
          <w:iCs/>
          <w:sz w:val="24"/>
          <w:szCs w:val="24"/>
        </w:rPr>
        <w:t xml:space="preserve">the </w:t>
      </w:r>
      <w:r w:rsidRPr="002864A0">
        <w:rPr>
          <w:rFonts w:ascii="Book Antiqua" w:hAnsi="Book Antiqua" w:cs="Calibri"/>
          <w:b/>
          <w:bCs/>
          <w:i/>
          <w:iCs/>
          <w:sz w:val="24"/>
          <w:szCs w:val="24"/>
        </w:rPr>
        <w:t xml:space="preserve">normal BMD group, reduced BMD group and osteoporosis group, and the diagnostic value of vitamin </w:t>
      </w:r>
      <w:r w:rsidR="00377320">
        <w:rPr>
          <w:rFonts w:ascii="Book Antiqua" w:hAnsi="Book Antiqua" w:cs="Calibri"/>
          <w:b/>
          <w:bCs/>
          <w:i/>
          <w:iCs/>
          <w:sz w:val="24"/>
          <w:szCs w:val="24"/>
        </w:rPr>
        <w:t xml:space="preserve">D </w:t>
      </w:r>
      <w:r w:rsidRPr="002864A0">
        <w:rPr>
          <w:rFonts w:ascii="Book Antiqua" w:hAnsi="Book Antiqua" w:cs="Calibri"/>
          <w:b/>
          <w:bCs/>
          <w:i/>
          <w:iCs/>
          <w:sz w:val="24"/>
          <w:szCs w:val="24"/>
        </w:rPr>
        <w:t>concentration on osteoporosis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Two-group comparison</w:t>
      </w:r>
      <w:r w:rsidR="00EC0B93">
        <w:rPr>
          <w:rFonts w:ascii="Book Antiqua" w:hAnsi="Book Antiqua" w:cs="Calibri"/>
          <w:sz w:val="24"/>
          <w:szCs w:val="24"/>
        </w:rPr>
        <w:t>s</w:t>
      </w:r>
      <w:r w:rsidRPr="002864A0">
        <w:rPr>
          <w:rFonts w:ascii="Book Antiqua" w:hAnsi="Book Antiqua" w:cs="Calibri"/>
          <w:sz w:val="24"/>
          <w:szCs w:val="24"/>
        </w:rPr>
        <w:t xml:space="preserve"> showed a significant difference in age between the normal BMD, reduced BMD and osteoporosis groups, with the oldest </w:t>
      </w:r>
      <w:r w:rsidR="00EC0B93">
        <w:rPr>
          <w:rFonts w:ascii="Book Antiqua" w:hAnsi="Book Antiqua" w:cs="Calibri"/>
          <w:sz w:val="24"/>
          <w:szCs w:val="24"/>
        </w:rPr>
        <w:t xml:space="preserve">patients </w:t>
      </w:r>
      <w:r w:rsidRPr="002864A0">
        <w:rPr>
          <w:rFonts w:ascii="Book Antiqua" w:hAnsi="Book Antiqua" w:cs="Calibri"/>
          <w:sz w:val="24"/>
          <w:szCs w:val="24"/>
        </w:rPr>
        <w:t xml:space="preserve">in the osteoporosis group and the youngest in the normal BMD group. There was no significant difference in sex between the three groups. The vitamin D level in the osteoporosis group was lower than </w:t>
      </w:r>
      <w:r w:rsidR="00EC0B93">
        <w:rPr>
          <w:rFonts w:ascii="Book Antiqua" w:hAnsi="Book Antiqua" w:cs="Calibri"/>
          <w:sz w:val="24"/>
          <w:szCs w:val="24"/>
        </w:rPr>
        <w:t xml:space="preserve">that in </w:t>
      </w:r>
      <w:r w:rsidRPr="002864A0">
        <w:rPr>
          <w:rFonts w:ascii="Book Antiqua" w:hAnsi="Book Antiqua" w:cs="Calibri"/>
          <w:sz w:val="24"/>
          <w:szCs w:val="24"/>
        </w:rPr>
        <w:t>the other two groups (Table 3).</w:t>
      </w:r>
    </w:p>
    <w:p w:rsidR="009D590A" w:rsidRPr="002864A0" w:rsidRDefault="00EC0B93" w:rsidP="002864A0">
      <w:pPr>
        <w:adjustRightInd w:val="0"/>
        <w:snapToGrid w:val="0"/>
        <w:spacing w:line="360" w:lineRule="auto"/>
        <w:ind w:firstLineChars="100" w:firstLine="240"/>
        <w:rPr>
          <w:rFonts w:ascii="Book Antiqua" w:hAnsi="Book Antiqua" w:cs="Calibri"/>
          <w:sz w:val="24"/>
          <w:szCs w:val="24"/>
        </w:rPr>
      </w:pPr>
      <w:r>
        <w:rPr>
          <w:rFonts w:ascii="Book Antiqua" w:hAnsi="Book Antiqua" w:cs="Calibri"/>
          <w:sz w:val="24"/>
          <w:szCs w:val="24"/>
        </w:rPr>
        <w:t>The a</w:t>
      </w:r>
      <w:r w:rsidR="009D590A" w:rsidRPr="002864A0">
        <w:rPr>
          <w:rFonts w:ascii="Book Antiqua" w:hAnsi="Book Antiqua" w:cs="Calibri"/>
          <w:sz w:val="24"/>
          <w:szCs w:val="24"/>
        </w:rPr>
        <w:t xml:space="preserve">rea under the </w:t>
      </w:r>
      <w:r w:rsidR="002E1F4D" w:rsidRPr="002864A0">
        <w:rPr>
          <w:rFonts w:ascii="Book Antiqua" w:hAnsi="Book Antiqua" w:cs="Calibri"/>
          <w:sz w:val="24"/>
          <w:szCs w:val="24"/>
        </w:rPr>
        <w:t>receiver operating characteristic</w:t>
      </w:r>
      <w:r w:rsidR="009D590A" w:rsidRPr="002864A0">
        <w:rPr>
          <w:rFonts w:ascii="Book Antiqua" w:hAnsi="Book Antiqua" w:cs="Calibri"/>
          <w:sz w:val="24"/>
          <w:szCs w:val="24"/>
        </w:rPr>
        <w:t xml:space="preserve"> curve of vitamin D concentration in </w:t>
      </w:r>
      <w:r>
        <w:rPr>
          <w:rFonts w:ascii="Book Antiqua" w:hAnsi="Book Antiqua" w:cs="Calibri"/>
          <w:sz w:val="24"/>
          <w:szCs w:val="24"/>
        </w:rPr>
        <w:t xml:space="preserve">the </w:t>
      </w:r>
      <w:r w:rsidR="009D590A" w:rsidRPr="002864A0">
        <w:rPr>
          <w:rFonts w:ascii="Book Antiqua" w:hAnsi="Book Antiqua" w:cs="Calibri"/>
          <w:sz w:val="24"/>
          <w:szCs w:val="24"/>
        </w:rPr>
        <w:t>reduced BMD and osteoporosis groups was 0.487 and 0.417</w:t>
      </w:r>
      <w:r>
        <w:rPr>
          <w:rFonts w:ascii="Book Antiqua" w:hAnsi="Book Antiqua" w:cs="Calibri"/>
          <w:sz w:val="24"/>
          <w:szCs w:val="24"/>
        </w:rPr>
        <w:t>,</w:t>
      </w:r>
      <w:r w:rsidR="009D590A" w:rsidRPr="002864A0">
        <w:rPr>
          <w:rFonts w:ascii="Book Antiqua" w:hAnsi="Book Antiqua" w:cs="Calibri"/>
          <w:sz w:val="24"/>
          <w:szCs w:val="24"/>
        </w:rPr>
        <w:t xml:space="preserve"> respectively, suggesting that it was significant for the diagnosis of bone mass reduction and osteoporosis (Table 4, Figure 1). </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 xml:space="preserve">Relationship between BMD and vitamin </w:t>
      </w:r>
      <w:r w:rsidR="00EC0B93">
        <w:rPr>
          <w:rFonts w:ascii="Book Antiqua" w:hAnsi="Book Antiqua" w:cs="Calibri"/>
          <w:b/>
          <w:bCs/>
          <w:i/>
          <w:iCs/>
          <w:sz w:val="24"/>
          <w:szCs w:val="24"/>
        </w:rPr>
        <w:t xml:space="preserve">D </w:t>
      </w:r>
      <w:r w:rsidRPr="002864A0">
        <w:rPr>
          <w:rFonts w:ascii="Book Antiqua" w:hAnsi="Book Antiqua" w:cs="Calibri"/>
          <w:b/>
          <w:bCs/>
          <w:i/>
          <w:iCs/>
          <w:sz w:val="24"/>
          <w:szCs w:val="24"/>
        </w:rPr>
        <w:t>concentrations in terms of age in the study group</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The relationship between age and BMD was analyzed by </w:t>
      </w:r>
      <w:r w:rsidR="00EC0B93">
        <w:rPr>
          <w:rFonts w:ascii="Book Antiqua" w:hAnsi="Book Antiqua" w:cs="Calibri"/>
          <w:sz w:val="24"/>
          <w:szCs w:val="24"/>
        </w:rPr>
        <w:t xml:space="preserve">the </w:t>
      </w:r>
      <w:r w:rsidRPr="002864A0">
        <w:rPr>
          <w:rFonts w:ascii="Book Antiqua" w:hAnsi="Book Antiqua" w:cs="Calibri"/>
          <w:sz w:val="24"/>
          <w:szCs w:val="24"/>
        </w:rPr>
        <w:t>Mantel-</w:t>
      </w:r>
      <w:proofErr w:type="spellStart"/>
      <w:r w:rsidRPr="002864A0">
        <w:rPr>
          <w:rFonts w:ascii="Book Antiqua" w:hAnsi="Book Antiqua" w:cs="Calibri"/>
          <w:sz w:val="24"/>
          <w:szCs w:val="24"/>
        </w:rPr>
        <w:t>Haenszel</w:t>
      </w:r>
      <w:proofErr w:type="spellEnd"/>
      <w:r w:rsidRPr="002864A0">
        <w:rPr>
          <w:rFonts w:ascii="Book Antiqua" w:hAnsi="Book Antiqua" w:cs="Calibri"/>
          <w:sz w:val="24"/>
          <w:szCs w:val="24"/>
        </w:rPr>
        <w:t xml:space="preserve"> chi-square test, and the result</w:t>
      </w:r>
      <w:r w:rsidR="00EC0B93">
        <w:rPr>
          <w:rFonts w:ascii="Book Antiqua" w:hAnsi="Book Antiqua" w:cs="Calibri"/>
          <w:sz w:val="24"/>
          <w:szCs w:val="24"/>
        </w:rPr>
        <w:t>s</w:t>
      </w:r>
      <w:r w:rsidRPr="002864A0">
        <w:rPr>
          <w:rFonts w:ascii="Book Antiqua" w:hAnsi="Book Antiqua" w:cs="Calibri"/>
          <w:sz w:val="24"/>
          <w:szCs w:val="24"/>
        </w:rPr>
        <w:t xml:space="preserve"> showed a linear correlation between age and BMD in patients with chronic pain (</w:t>
      </w:r>
      <w:r w:rsidRPr="002864A0">
        <w:rPr>
          <w:rFonts w:ascii="Book Antiqua" w:hAnsi="Book Antiqua" w:cs="Calibri"/>
          <w:i/>
          <w:iCs/>
          <w:sz w:val="24"/>
          <w:szCs w:val="24"/>
        </w:rPr>
        <w:t>c</w:t>
      </w:r>
      <w:r w:rsidRPr="002864A0">
        <w:rPr>
          <w:rFonts w:ascii="Book Antiqua" w:hAnsi="Book Antiqua" w:cs="Calibri"/>
          <w:i/>
          <w:iCs/>
          <w:sz w:val="24"/>
          <w:szCs w:val="24"/>
          <w:vertAlign w:val="superscript"/>
        </w:rPr>
        <w:t xml:space="preserve">2 </w:t>
      </w:r>
      <w:r w:rsidRPr="002864A0">
        <w:rPr>
          <w:rFonts w:ascii="Book Antiqua" w:hAnsi="Book Antiqua" w:cs="Calibri"/>
          <w:sz w:val="24"/>
          <w:szCs w:val="24"/>
        </w:rPr>
        <w:t>=</w:t>
      </w:r>
      <w:r w:rsidRPr="002864A0">
        <w:rPr>
          <w:rFonts w:ascii="Book Antiqua" w:hAnsi="Book Antiqua" w:cs="Calibri"/>
          <w:i/>
          <w:iCs/>
          <w:sz w:val="24"/>
          <w:szCs w:val="24"/>
        </w:rPr>
        <w:t xml:space="preserve"> </w:t>
      </w:r>
      <w:r w:rsidRPr="002864A0">
        <w:rPr>
          <w:rFonts w:ascii="Book Antiqua" w:hAnsi="Book Antiqua" w:cs="Calibri"/>
          <w:sz w:val="24"/>
          <w:szCs w:val="24"/>
        </w:rPr>
        <w:t xml:space="preserve">58.933, </w:t>
      </w:r>
      <w:r w:rsidRPr="002864A0">
        <w:rPr>
          <w:rFonts w:ascii="Book Antiqua" w:hAnsi="Book Antiqua" w:cs="Calibri"/>
          <w:i/>
          <w:iCs/>
          <w:sz w:val="24"/>
          <w:szCs w:val="24"/>
        </w:rPr>
        <w:t>P</w:t>
      </w:r>
      <w:r w:rsidRPr="002864A0">
        <w:rPr>
          <w:rFonts w:ascii="Book Antiqua" w:hAnsi="Book Antiqua" w:cs="Calibri"/>
          <w:sz w:val="24"/>
          <w:szCs w:val="24"/>
        </w:rPr>
        <w:t xml:space="preserve"> &lt; 0.001). Pe</w:t>
      </w:r>
      <w:r w:rsidR="00EC0B93">
        <w:rPr>
          <w:rFonts w:ascii="Book Antiqua" w:hAnsi="Book Antiqua" w:cs="Calibri"/>
          <w:sz w:val="24"/>
          <w:szCs w:val="24"/>
        </w:rPr>
        <w:t>a</w:t>
      </w:r>
      <w:r w:rsidRPr="002864A0">
        <w:rPr>
          <w:rFonts w:ascii="Book Antiqua" w:hAnsi="Book Antiqua" w:cs="Calibri"/>
          <w:sz w:val="24"/>
          <w:szCs w:val="24"/>
        </w:rPr>
        <w:t xml:space="preserve">rson correlation analysis showed </w:t>
      </w:r>
      <w:r w:rsidR="00377320">
        <w:rPr>
          <w:rFonts w:ascii="Book Antiqua" w:hAnsi="Book Antiqua" w:cs="Calibri"/>
          <w:sz w:val="24"/>
          <w:szCs w:val="24"/>
        </w:rPr>
        <w:t xml:space="preserve">that </w:t>
      </w:r>
      <w:r w:rsidRPr="002864A0">
        <w:rPr>
          <w:rFonts w:ascii="Book Antiqua" w:hAnsi="Book Antiqua" w:cs="Calibri"/>
          <w:sz w:val="24"/>
          <w:szCs w:val="24"/>
        </w:rPr>
        <w:t xml:space="preserve">R = 0.567 and </w:t>
      </w:r>
      <w:r w:rsidRPr="002864A0">
        <w:rPr>
          <w:rFonts w:ascii="Book Antiqua" w:hAnsi="Book Antiqua" w:cs="Calibri"/>
          <w:i/>
          <w:iCs/>
          <w:sz w:val="24"/>
          <w:szCs w:val="24"/>
        </w:rPr>
        <w:t>P</w:t>
      </w:r>
      <w:r w:rsidRPr="002864A0">
        <w:rPr>
          <w:rFonts w:ascii="Book Antiqua" w:hAnsi="Book Antiqua" w:cs="Calibri"/>
          <w:sz w:val="24"/>
          <w:szCs w:val="24"/>
        </w:rPr>
        <w:t xml:space="preserve"> &lt; 0.001, indicating that BMD decreased gradually with </w:t>
      </w:r>
      <w:r w:rsidR="00EC0B93">
        <w:rPr>
          <w:rFonts w:ascii="Book Antiqua" w:hAnsi="Book Antiqua" w:cs="Calibri"/>
          <w:sz w:val="24"/>
          <w:szCs w:val="24"/>
        </w:rPr>
        <w:t>increased</w:t>
      </w:r>
      <w:r w:rsidRPr="002864A0">
        <w:rPr>
          <w:rFonts w:ascii="Book Antiqua" w:hAnsi="Book Antiqua" w:cs="Calibri"/>
          <w:sz w:val="24"/>
          <w:szCs w:val="24"/>
        </w:rPr>
        <w:t xml:space="preserve"> age in chronic pain patients (Table 5).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There was no significant difference in vitamin D change between </w:t>
      </w:r>
      <w:r w:rsidR="00EC0B93">
        <w:rPr>
          <w:rFonts w:ascii="Book Antiqua" w:hAnsi="Book Antiqua" w:cs="Calibri"/>
          <w:sz w:val="24"/>
          <w:szCs w:val="24"/>
        </w:rPr>
        <w:t xml:space="preserve">the </w:t>
      </w:r>
      <w:r w:rsidRPr="002864A0">
        <w:rPr>
          <w:rFonts w:ascii="Book Antiqua" w:hAnsi="Book Antiqua" w:cs="Calibri"/>
          <w:sz w:val="24"/>
          <w:szCs w:val="24"/>
        </w:rPr>
        <w:t>different age groups in the study group (</w:t>
      </w:r>
      <w:r w:rsidRPr="002864A0">
        <w:rPr>
          <w:rFonts w:ascii="Book Antiqua" w:hAnsi="Book Antiqua" w:cs="Calibri"/>
          <w:i/>
          <w:iCs/>
          <w:sz w:val="24"/>
          <w:szCs w:val="24"/>
        </w:rPr>
        <w:t>P</w:t>
      </w:r>
      <w:r w:rsidRPr="002864A0">
        <w:rPr>
          <w:rFonts w:ascii="Book Antiqua" w:hAnsi="Book Antiqua" w:cs="Calibri"/>
          <w:sz w:val="24"/>
          <w:szCs w:val="24"/>
        </w:rPr>
        <w:t xml:space="preserve"> &gt; 0.05) (Table 6).</w:t>
      </w:r>
    </w:p>
    <w:p w:rsidR="009D590A" w:rsidRPr="002864A0" w:rsidRDefault="009D590A" w:rsidP="002864A0">
      <w:pPr>
        <w:adjustRightInd w:val="0"/>
        <w:snapToGrid w:val="0"/>
        <w:spacing w:line="360" w:lineRule="auto"/>
        <w:rPr>
          <w:rFonts w:ascii="Book Antiqua" w:hAnsi="Book Antiqua" w:cs="Calibri"/>
          <w:b/>
          <w:bCs/>
          <w:i/>
          <w:i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Analysis of risk factors for bone mass reduction in the study group</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 xml:space="preserve">Ten factors including age, sex, ethnicity and BMI in </w:t>
      </w:r>
      <w:r w:rsidR="00EC0B93">
        <w:rPr>
          <w:rFonts w:ascii="Book Antiqua" w:hAnsi="Book Antiqua" w:cs="Calibri"/>
          <w:sz w:val="24"/>
          <w:szCs w:val="24"/>
        </w:rPr>
        <w:t xml:space="preserve">the </w:t>
      </w:r>
      <w:r w:rsidRPr="002864A0">
        <w:rPr>
          <w:rFonts w:ascii="Book Antiqua" w:hAnsi="Book Antiqua" w:cs="Calibri"/>
          <w:sz w:val="24"/>
          <w:szCs w:val="24"/>
        </w:rPr>
        <w:t xml:space="preserve">normal and reduced BMD groups were analyzed by univariate analysis and the results showed that age, sex, ethnicity, PTH and Ca </w:t>
      </w:r>
      <w:r w:rsidR="00E87A2E">
        <w:rPr>
          <w:rFonts w:ascii="Book Antiqua" w:hAnsi="Book Antiqua" w:cs="Calibri"/>
          <w:sz w:val="24"/>
          <w:szCs w:val="24"/>
        </w:rPr>
        <w:t>showed</w:t>
      </w:r>
      <w:r w:rsidRPr="002864A0">
        <w:rPr>
          <w:rFonts w:ascii="Book Antiqua" w:hAnsi="Book Antiqua" w:cs="Calibri"/>
          <w:sz w:val="24"/>
          <w:szCs w:val="24"/>
        </w:rPr>
        <w:t xml:space="preserve"> statistical significance (</w:t>
      </w:r>
      <w:r w:rsidRPr="00CE44E5">
        <w:rPr>
          <w:rFonts w:ascii="Book Antiqua" w:hAnsi="Book Antiqua" w:cs="Calibri"/>
          <w:i/>
          <w:sz w:val="24"/>
          <w:szCs w:val="24"/>
        </w:rPr>
        <w:t>P</w:t>
      </w:r>
      <w:r w:rsidRPr="002864A0">
        <w:rPr>
          <w:rFonts w:ascii="Book Antiqua" w:hAnsi="Book Antiqua" w:cs="Calibri"/>
          <w:i/>
          <w:iCs/>
          <w:sz w:val="24"/>
          <w:szCs w:val="24"/>
        </w:rPr>
        <w:t xml:space="preserve"> &lt; </w:t>
      </w:r>
      <w:r w:rsidRPr="002864A0">
        <w:rPr>
          <w:rFonts w:ascii="Book Antiqua" w:hAnsi="Book Antiqua" w:cs="Calibri"/>
          <w:sz w:val="24"/>
          <w:szCs w:val="24"/>
        </w:rPr>
        <w:t xml:space="preserve">0.05) (Table 7).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Of the above results, age, sex, ethnicity, PTH, and Ca were entered </w:t>
      </w:r>
      <w:r w:rsidR="00E87A2E">
        <w:rPr>
          <w:rFonts w:ascii="Book Antiqua" w:hAnsi="Book Antiqua" w:cs="Calibri"/>
          <w:sz w:val="24"/>
          <w:szCs w:val="24"/>
        </w:rPr>
        <w:t xml:space="preserve">into </w:t>
      </w:r>
      <w:r w:rsidRPr="002864A0">
        <w:rPr>
          <w:rFonts w:ascii="Book Antiqua" w:hAnsi="Book Antiqua" w:cs="Calibri"/>
          <w:sz w:val="24"/>
          <w:szCs w:val="24"/>
        </w:rPr>
        <w:t>binary logistic analysis, and the result</w:t>
      </w:r>
      <w:r w:rsidR="00E87A2E">
        <w:rPr>
          <w:rFonts w:ascii="Book Antiqua" w:hAnsi="Book Antiqua" w:cs="Calibri"/>
          <w:sz w:val="24"/>
          <w:szCs w:val="24"/>
        </w:rPr>
        <w:t>s</w:t>
      </w:r>
      <w:r w:rsidRPr="002864A0">
        <w:rPr>
          <w:rFonts w:ascii="Book Antiqua" w:hAnsi="Book Antiqua" w:cs="Calibri"/>
          <w:sz w:val="24"/>
          <w:szCs w:val="24"/>
        </w:rPr>
        <w:t xml:space="preserve"> showed that age, PTH and Ca were risk factors for bone mass reduction (Table 8).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Analysis of risk factors for osteoporosis in patients with chronic pain</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 xml:space="preserve">Univariate analysis of 10 factors including age, sex, ethnicity and BMI in </w:t>
      </w:r>
      <w:r w:rsidR="00E87A2E">
        <w:rPr>
          <w:rFonts w:ascii="Book Antiqua" w:hAnsi="Book Antiqua" w:cs="Calibri"/>
          <w:sz w:val="24"/>
          <w:szCs w:val="24"/>
        </w:rPr>
        <w:t xml:space="preserve">the </w:t>
      </w:r>
      <w:r w:rsidRPr="002864A0">
        <w:rPr>
          <w:rFonts w:ascii="Book Antiqua" w:hAnsi="Book Antiqua" w:cs="Calibri"/>
          <w:sz w:val="24"/>
          <w:szCs w:val="24"/>
        </w:rPr>
        <w:t>osteoporosis and normal BMD subgroups showed significant differences in age, sex, ethnicity and altitude between the</w:t>
      </w:r>
      <w:r w:rsidR="00E87A2E">
        <w:rPr>
          <w:rFonts w:ascii="Book Antiqua" w:hAnsi="Book Antiqua" w:cs="Calibri"/>
          <w:sz w:val="24"/>
          <w:szCs w:val="24"/>
        </w:rPr>
        <w:t>se</w:t>
      </w:r>
      <w:r w:rsidRPr="002864A0">
        <w:rPr>
          <w:rFonts w:ascii="Book Antiqua" w:hAnsi="Book Antiqua" w:cs="Calibri"/>
          <w:sz w:val="24"/>
          <w:szCs w:val="24"/>
        </w:rPr>
        <w:t xml:space="preserve"> two subgroups (</w:t>
      </w:r>
      <w:r w:rsidRPr="002864A0">
        <w:rPr>
          <w:rFonts w:ascii="Book Antiqua" w:hAnsi="Book Antiqua" w:cs="Calibri"/>
          <w:i/>
          <w:iCs/>
          <w:sz w:val="24"/>
          <w:szCs w:val="24"/>
        </w:rPr>
        <w:t xml:space="preserve">P &lt; </w:t>
      </w:r>
      <w:r w:rsidRPr="002864A0">
        <w:rPr>
          <w:rFonts w:ascii="Book Antiqua" w:hAnsi="Book Antiqua" w:cs="Calibri"/>
          <w:sz w:val="24"/>
          <w:szCs w:val="24"/>
        </w:rPr>
        <w:t xml:space="preserve">0.05) (Table 9).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Of the above results, age, sex, ethnicity and altitude were entered </w:t>
      </w:r>
      <w:r w:rsidR="00E87A2E">
        <w:rPr>
          <w:rFonts w:ascii="Book Antiqua" w:hAnsi="Book Antiqua" w:cs="Calibri"/>
          <w:sz w:val="24"/>
          <w:szCs w:val="24"/>
        </w:rPr>
        <w:t xml:space="preserve">into </w:t>
      </w:r>
      <w:r w:rsidRPr="002864A0">
        <w:rPr>
          <w:rFonts w:ascii="Book Antiqua" w:hAnsi="Book Antiqua" w:cs="Calibri"/>
          <w:sz w:val="24"/>
          <w:szCs w:val="24"/>
        </w:rPr>
        <w:t>binary logistic analysis, and the result</w:t>
      </w:r>
      <w:r w:rsidR="00E87A2E">
        <w:rPr>
          <w:rFonts w:ascii="Book Antiqua" w:hAnsi="Book Antiqua" w:cs="Calibri"/>
          <w:sz w:val="24"/>
          <w:szCs w:val="24"/>
        </w:rPr>
        <w:t>s</w:t>
      </w:r>
      <w:r w:rsidRPr="002864A0">
        <w:rPr>
          <w:rFonts w:ascii="Book Antiqua" w:hAnsi="Book Antiqua" w:cs="Calibri"/>
          <w:sz w:val="24"/>
          <w:szCs w:val="24"/>
        </w:rPr>
        <w:t xml:space="preserve"> showed that age, ethnicity and altitude were risk factors for osteoporosis (Table 10).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sz w:val="24"/>
          <w:szCs w:val="24"/>
          <w:u w:val="single"/>
        </w:rPr>
      </w:pPr>
      <w:r w:rsidRPr="002864A0">
        <w:rPr>
          <w:rFonts w:ascii="Book Antiqua" w:hAnsi="Book Antiqua" w:cs="Calibri"/>
          <w:b/>
          <w:bCs/>
          <w:sz w:val="24"/>
          <w:szCs w:val="24"/>
          <w:u w:val="single"/>
        </w:rPr>
        <w:t>DISCUSSION</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Vitamin D is a hormone synthesized in the skin </w:t>
      </w:r>
      <w:r w:rsidR="00E87A2E">
        <w:rPr>
          <w:rFonts w:ascii="Book Antiqua" w:hAnsi="Book Antiqua" w:cs="Calibri"/>
          <w:sz w:val="24"/>
          <w:szCs w:val="24"/>
        </w:rPr>
        <w:t>during</w:t>
      </w:r>
      <w:r w:rsidRPr="002864A0">
        <w:rPr>
          <w:rFonts w:ascii="Book Antiqua" w:hAnsi="Book Antiqua" w:cs="Calibri"/>
          <w:sz w:val="24"/>
          <w:szCs w:val="24"/>
        </w:rPr>
        <w:t xml:space="preserve"> sunlight exposure. It not only participates in bone and cellular metabolism but plays </w:t>
      </w:r>
      <w:r w:rsidR="00E87A2E">
        <w:rPr>
          <w:rFonts w:ascii="Book Antiqua" w:hAnsi="Book Antiqua" w:cs="Calibri"/>
          <w:sz w:val="24"/>
          <w:szCs w:val="24"/>
        </w:rPr>
        <w:t xml:space="preserve">a </w:t>
      </w:r>
      <w:r w:rsidRPr="002864A0">
        <w:rPr>
          <w:rFonts w:ascii="Book Antiqua" w:hAnsi="Book Antiqua" w:cs="Calibri"/>
          <w:sz w:val="24"/>
          <w:szCs w:val="24"/>
        </w:rPr>
        <w:t xml:space="preserve">role in the regulation of autoimmune disease, inflammation, neuromuscular and other immune functions. </w:t>
      </w:r>
      <w:r w:rsidR="00E87A2E">
        <w:rPr>
          <w:rFonts w:ascii="Book Antiqua" w:hAnsi="Book Antiqua" w:cs="Calibri"/>
          <w:sz w:val="24"/>
          <w:szCs w:val="24"/>
        </w:rPr>
        <w:t xml:space="preserve">During </w:t>
      </w:r>
      <w:r w:rsidRPr="002864A0">
        <w:rPr>
          <w:rFonts w:ascii="Book Antiqua" w:hAnsi="Book Antiqua" w:cs="Calibri"/>
          <w:sz w:val="24"/>
          <w:szCs w:val="24"/>
        </w:rPr>
        <w:t>the process of vitamin D metabolism, serum 25OHD concentration is the optimal marker for evaluating vitamin D status</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&lt;EndNote&gt;&lt;Cite&gt;&lt;Author&gt;Tsugawa&lt;/Author&gt;&lt;Year&gt;2010&lt;/Year&gt;&lt;RecNum&gt;45&lt;/RecNum&gt;&lt;DisplayText&gt;&lt;style face="superscript"&gt;[9]&lt;/style&gt;&lt;/DisplayText&gt;&lt;record&gt;&lt;rec-number&gt;45&lt;/rec-number&gt;&lt;foreign-keys&gt;&lt;key app="EN" db-id="9ez5p2tf5z2wx3ex0rl5rsrur2p2swassv5w" timestamp="1585532887"&gt;45&lt;/key&gt;&lt;/foreign-keys&gt;&lt;ref-type name="Journal Article"&gt;17&lt;/ref-type&gt;&lt;contributors&gt;&lt;authors&gt;&lt;author&gt;Tsugawa, N.&lt;/author&gt;&lt;/authors&gt;&lt;/contributors&gt;&lt;auth-address&gt;Department of Hygienic Sciences, Kobe Pharmaceutical University, Kobe 658-8558, Japan. tsugawa@kobepharma-u.ac.jp&lt;/auth-address&gt;&lt;titles&gt;&lt;title&gt;[Vitamin D and osteoporosis: current topics from epidemiological studies]&lt;/title&gt;&lt;secondary-title&gt;Rinsho Byori&lt;/secondary-title&gt;&lt;alt-title&gt;Rinsho byori. The Japanese journal of clinical pathology&lt;/alt-title&gt;&lt;/titles&gt;&lt;periodical&gt;&lt;full-title&gt;Rinsho Byori&lt;/full-title&gt;&lt;abbr-1&gt;Rinsho byori. The Japanese journal of clinical pathology&lt;/abbr-1&gt;&lt;/periodical&gt;&lt;alt-periodical&gt;&lt;full-title&gt;Rinsho Byori&lt;/full-title&gt;&lt;abbr-1&gt;Rinsho byori. The Japanese journal of clinical pathology&lt;/abbr-1&gt;&lt;/alt-periodical&gt;&lt;pages&gt;244-53&lt;/pages&gt;&lt;volume&gt;58&lt;/volume&gt;&lt;number&gt;3&lt;/number&gt;&lt;edition&gt;2010/04/23&lt;/edition&gt;&lt;keywords&gt;&lt;keyword&gt;Bone and Bones/metabolism&lt;/keyword&gt;&lt;keyword&gt;Calcium/metabolism&lt;/keyword&gt;&lt;keyword&gt;Female&lt;/keyword&gt;&lt;keyword&gt;Fractures, Bone/etiology/prevention &amp;amp; control&lt;/keyword&gt;&lt;keyword&gt;Homeostasis&lt;/keyword&gt;&lt;keyword&gt;Humans&lt;/keyword&gt;&lt;keyword&gt;Hyperparathyroidism/etiology&lt;/keyword&gt;&lt;keyword&gt;Meta-Analysis as Topic&lt;/keyword&gt;&lt;keyword&gt;Osteoporosis/*epidemiology/*etiology/prevention &amp;amp; control&lt;/keyword&gt;&lt;keyword&gt;Risk Factors&lt;/keyword&gt;&lt;keyword&gt;*Vitamin D/administration &amp;amp; dosage/blood/physiology&lt;/keyword&gt;&lt;keyword&gt;Vitamin D Deficiency/complications/*epidemiology&lt;/keyword&gt;&lt;/keywords&gt;&lt;dates&gt;&lt;year&gt;2010&lt;/year&gt;&lt;pub-dates&gt;&lt;date&gt;Mar&lt;/date&gt;&lt;/pub-dates&gt;&lt;/dates&gt;&lt;isbn&gt;0047-1860 (Print)&amp;#xD;0047-1860&lt;/isbn&gt;&lt;accession-num&gt;20408443&lt;/accession-num&gt;&lt;urls&gt;&lt;/urls&gt;&lt;remote-database-provider&gt;NLM&lt;/remote-database-provider&gt;&lt;language&gt;jpn&lt;/language&gt;&lt;/record&gt;&lt;/Cite&gt;&lt;/EndNote&gt;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[9]</w:t>
      </w:r>
      <w:r w:rsidRPr="002864A0">
        <w:rPr>
          <w:rFonts w:ascii="Book Antiqua" w:hAnsi="Book Antiqua" w:cs="Calibri"/>
          <w:sz w:val="24"/>
          <w:szCs w:val="24"/>
        </w:rPr>
        <w:fldChar w:fldCharType="end"/>
      </w:r>
      <w:r w:rsidRPr="002864A0">
        <w:rPr>
          <w:rFonts w:ascii="Book Antiqua" w:hAnsi="Book Antiqua" w:cs="Calibri"/>
          <w:sz w:val="24"/>
          <w:szCs w:val="24"/>
        </w:rPr>
        <w:t xml:space="preserve">. </w:t>
      </w:r>
      <w:r w:rsidR="00E87A2E">
        <w:rPr>
          <w:rFonts w:ascii="Book Antiqua" w:hAnsi="Book Antiqua" w:cs="Calibri"/>
          <w:sz w:val="24"/>
          <w:szCs w:val="24"/>
        </w:rPr>
        <w:t>A</w:t>
      </w:r>
      <w:r w:rsidRPr="002864A0">
        <w:rPr>
          <w:rFonts w:ascii="Book Antiqua" w:hAnsi="Book Antiqua" w:cs="Calibri"/>
          <w:sz w:val="24"/>
          <w:szCs w:val="24"/>
        </w:rPr>
        <w:t xml:space="preserve"> number of studies have demonstrated the deficiency or insufficiency of vitamin D in multiple chronic pain</w:t>
      </w:r>
      <w:r w:rsidR="00E87A2E">
        <w:rPr>
          <w:rFonts w:ascii="Book Antiqua" w:hAnsi="Book Antiqua" w:cs="Calibri"/>
          <w:sz w:val="24"/>
          <w:szCs w:val="24"/>
        </w:rPr>
        <w:t xml:space="preserve"> disorder</w:t>
      </w:r>
      <w:r w:rsidRPr="002864A0">
        <w:rPr>
          <w:rFonts w:ascii="Book Antiqua" w:hAnsi="Book Antiqua" w:cs="Calibri"/>
          <w:sz w:val="24"/>
          <w:szCs w:val="24"/>
        </w:rPr>
        <w:t xml:space="preserve">s including non-specific musculoskeletal pain, chronic generalized pain, fibromuscular pain, lower back pain, headache and lumbar canal stenosis. </w:t>
      </w:r>
      <w:r w:rsidR="00E87A2E">
        <w:rPr>
          <w:rFonts w:ascii="Book Antiqua" w:hAnsi="Book Antiqua" w:cs="Calibri"/>
          <w:sz w:val="24"/>
          <w:szCs w:val="24"/>
        </w:rPr>
        <w:t>In addition</w:t>
      </w:r>
      <w:r w:rsidRPr="002864A0">
        <w:rPr>
          <w:rFonts w:ascii="Book Antiqua" w:hAnsi="Book Antiqua" w:cs="Calibri"/>
          <w:sz w:val="24"/>
          <w:szCs w:val="24"/>
        </w:rPr>
        <w:t>, the results of vitamin D surveys in healthy populations worldwide are not optimistic, with the prevalence of vitamin insufficiency reaching 30%-50%</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&lt;EndNote&gt;&lt;Cite&gt;&lt;Author&gt;Emini-Sadiku&lt;/Author&gt;&lt;Year&gt;2019&lt;/Year&gt;&lt;RecNum&gt;46&lt;/RecNum&gt;&lt;DisplayText&gt;&lt;style face="superscript"&gt;[10]&lt;/style&gt;&lt;/DisplayText&gt;&lt;record&gt;&lt;rec-number&gt;46&lt;/rec-number&gt;&lt;foreign-keys&gt;&lt;key app="EN" db-id="9ez5p2tf5z2wx3ex0rl5rsrur2p2swassv5w" timestamp="1585532944"&gt;46&lt;/key&gt;&lt;/foreign-keys&gt;&lt;ref-type name="Journal Article"&gt;17&lt;/ref-type&gt;&lt;contributors&gt;&lt;authors&gt;&lt;author&gt;Emini-Sadiku, M.&lt;/author&gt;&lt;author&gt;Morina-Kuqi, N.&lt;/author&gt;&lt;/authors&gt;&lt;/contributors&gt;&lt;auth-address&gt;Clinic of Endocrinology, University Clinical Centre of Kosovo, Prishtina, Kosovo.&amp;#xD;Medical Faculty, University of Prishtina, Prishtina, Kosovo.&lt;/auth-address&gt;&lt;titles&gt;&lt;title&gt;Concealing Clothing Leading to Severe Vitamin D Deficiency, Osteomalacia and Muscle Weakness&lt;/title&gt;&lt;secondary-title&gt;Open Access Maced J Med Sci&lt;/secondary-title&gt;&lt;alt-title&gt;Open access Macedonian journal of medical sciences&lt;/alt-title&gt;&lt;/titles&gt;&lt;periodical&gt;&lt;full-title&gt;Open Access Maced J Med Sci&lt;/full-title&gt;&lt;abbr-1&gt;Open access Macedonian journal of medical sciences&lt;/abbr-1&gt;&lt;/periodical&gt;&lt;alt-periodical&gt;&lt;full-title&gt;Open Access Maced J Med Sci&lt;/full-title&gt;&lt;abbr-1&gt;Open access Macedonian journal of medical sciences&lt;/abbr-1&gt;&lt;/alt-periodical&gt;&lt;pages&gt;2146-2149&lt;/pages&gt;&lt;volume&gt;7&lt;/volume&gt;&lt;number&gt;13&lt;/number&gt;&lt;edition&gt;2019/08/29&lt;/edition&gt;&lt;keywords&gt;&lt;keyword&gt;Myopathy&lt;/keyword&gt;&lt;keyword&gt;Osteomalacia&lt;/keyword&gt;&lt;keyword&gt;Vitamin D deficiency&lt;/keyword&gt;&lt;/keywords&gt;&lt;dates&gt;&lt;year&gt;2019&lt;/year&gt;&lt;pub-dates&gt;&lt;date&gt;Jul 15&lt;/date&gt;&lt;/pub-dates&gt;&lt;/dates&gt;&lt;isbn&gt;1857-9655 (Print)&amp;#xD;1857-9655&lt;/isbn&gt;&lt;accession-num&gt;31456842&lt;/accession-num&gt;&lt;urls&gt;&lt;/urls&gt;&lt;custom2&gt;PMC6698119&lt;/custom2&gt;&lt;electronic-resource-num&gt;10.3889/oamjms.2019.584&lt;/electronic-resource-num&gt;&lt;remote-database-provider&gt;NLM&lt;/remote-database-provider&gt;&lt;language&gt;eng&lt;/language&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[10]</w:t>
      </w:r>
      <w:r w:rsidRPr="002864A0">
        <w:rPr>
          <w:rFonts w:ascii="Book Antiqua" w:hAnsi="Book Antiqua" w:cs="Calibri"/>
          <w:sz w:val="24"/>
          <w:szCs w:val="24"/>
        </w:rPr>
        <w:fldChar w:fldCharType="end"/>
      </w:r>
      <w:r w:rsidRPr="002864A0">
        <w:rPr>
          <w:rFonts w:ascii="Book Antiqua" w:hAnsi="Book Antiqua" w:cs="Calibri"/>
          <w:sz w:val="24"/>
          <w:szCs w:val="24"/>
        </w:rPr>
        <w:t xml:space="preserve">. </w:t>
      </w:r>
      <w:r w:rsidR="00E87A2E">
        <w:rPr>
          <w:rFonts w:ascii="Book Antiqua" w:hAnsi="Book Antiqua" w:cs="Calibri"/>
          <w:sz w:val="24"/>
          <w:szCs w:val="24"/>
        </w:rPr>
        <w:t>In the present study, i</w:t>
      </w:r>
      <w:r w:rsidRPr="002864A0">
        <w:rPr>
          <w:rFonts w:ascii="Book Antiqua" w:hAnsi="Book Antiqua" w:cs="Calibri"/>
          <w:sz w:val="24"/>
          <w:szCs w:val="24"/>
        </w:rPr>
        <w:t xml:space="preserve">t was found that vitamin deficiency </w:t>
      </w:r>
      <w:r w:rsidR="00E87A2E">
        <w:rPr>
          <w:rFonts w:ascii="Book Antiqua" w:hAnsi="Book Antiqua" w:cs="Calibri"/>
          <w:sz w:val="24"/>
          <w:szCs w:val="24"/>
        </w:rPr>
        <w:t xml:space="preserve">was </w:t>
      </w:r>
      <w:r w:rsidRPr="002864A0">
        <w:rPr>
          <w:rFonts w:ascii="Book Antiqua" w:hAnsi="Book Antiqua" w:cs="Calibri"/>
          <w:sz w:val="24"/>
          <w:szCs w:val="24"/>
        </w:rPr>
        <w:t xml:space="preserve">generally </w:t>
      </w:r>
      <w:r w:rsidR="00E87A2E">
        <w:rPr>
          <w:rFonts w:ascii="Book Antiqua" w:hAnsi="Book Antiqua" w:cs="Calibri"/>
          <w:sz w:val="24"/>
          <w:szCs w:val="24"/>
        </w:rPr>
        <w:t>present</w:t>
      </w:r>
      <w:r w:rsidRPr="002864A0">
        <w:rPr>
          <w:rFonts w:ascii="Book Antiqua" w:hAnsi="Book Antiqua" w:cs="Calibri"/>
          <w:sz w:val="24"/>
          <w:szCs w:val="24"/>
        </w:rPr>
        <w:t xml:space="preserve"> in both chronic pain patients and healthy </w:t>
      </w:r>
      <w:proofErr w:type="gramStart"/>
      <w:r w:rsidRPr="002864A0">
        <w:rPr>
          <w:rFonts w:ascii="Book Antiqua" w:hAnsi="Book Antiqua" w:cs="Calibri"/>
          <w:sz w:val="24"/>
          <w:szCs w:val="24"/>
        </w:rPr>
        <w:t>individuals,</w:t>
      </w:r>
      <w:proofErr w:type="gramEnd"/>
      <w:r w:rsidRPr="002864A0">
        <w:rPr>
          <w:rFonts w:ascii="Book Antiqua" w:hAnsi="Book Antiqua" w:cs="Calibri"/>
          <w:sz w:val="24"/>
          <w:szCs w:val="24"/>
        </w:rPr>
        <w:t xml:space="preserve"> </w:t>
      </w:r>
      <w:r w:rsidR="00E87A2E">
        <w:rPr>
          <w:rFonts w:ascii="Book Antiqua" w:hAnsi="Book Antiqua" w:cs="Calibri"/>
          <w:sz w:val="24"/>
          <w:szCs w:val="24"/>
        </w:rPr>
        <w:t>al</w:t>
      </w:r>
      <w:r w:rsidRPr="002864A0">
        <w:rPr>
          <w:rFonts w:ascii="Book Antiqua" w:hAnsi="Book Antiqua" w:cs="Calibri"/>
          <w:sz w:val="24"/>
          <w:szCs w:val="24"/>
        </w:rPr>
        <w:t xml:space="preserve">though the overall vitamin D level in chronic pain patients was lower than that in healthy individuals, especially in those with vitamin D deficiency or severe vitamin D insufficiency. Some studies showed that vitamin D supplements could alleviate </w:t>
      </w:r>
      <w:proofErr w:type="gramStart"/>
      <w:r w:rsidRPr="002864A0">
        <w:rPr>
          <w:rFonts w:ascii="Book Antiqua" w:hAnsi="Book Antiqua" w:cs="Calibri"/>
          <w:sz w:val="24"/>
          <w:szCs w:val="24"/>
        </w:rPr>
        <w:t>pain</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[11-14]</w:t>
      </w:r>
      <w:r w:rsidRPr="002864A0">
        <w:rPr>
          <w:rFonts w:ascii="Book Antiqua" w:hAnsi="Book Antiqua" w:cs="Calibri"/>
          <w:sz w:val="24"/>
          <w:szCs w:val="24"/>
        </w:rPr>
        <w:fldChar w:fldCharType="end"/>
      </w:r>
      <w:r w:rsidRPr="002864A0">
        <w:rPr>
          <w:rFonts w:ascii="Book Antiqua" w:hAnsi="Book Antiqua" w:cs="Calibri"/>
          <w:sz w:val="24"/>
          <w:szCs w:val="24"/>
        </w:rPr>
        <w:t xml:space="preserve">. However, three meta-analyses found no significant correlation between vitamin D supplementation and pain relief in their randomized study and placebo control </w:t>
      </w:r>
      <w:proofErr w:type="gramStart"/>
      <w:r w:rsidRPr="002864A0">
        <w:rPr>
          <w:rFonts w:ascii="Book Antiqua" w:hAnsi="Book Antiqua" w:cs="Calibri"/>
          <w:sz w:val="24"/>
          <w:szCs w:val="24"/>
        </w:rPr>
        <w:t>groups</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[15-17]</w:t>
      </w:r>
      <w:r w:rsidRPr="002864A0">
        <w:rPr>
          <w:rFonts w:ascii="Book Antiqua" w:hAnsi="Book Antiqua" w:cs="Calibri"/>
          <w:sz w:val="24"/>
          <w:szCs w:val="24"/>
        </w:rPr>
        <w:fldChar w:fldCharType="end"/>
      </w:r>
      <w:r w:rsidRPr="002864A0">
        <w:rPr>
          <w:rFonts w:ascii="Book Antiqua" w:hAnsi="Book Antiqua" w:cs="Calibri"/>
          <w:sz w:val="24"/>
          <w:szCs w:val="24"/>
        </w:rPr>
        <w:t xml:space="preserve">. </w:t>
      </w:r>
      <w:r w:rsidR="00E87A2E">
        <w:rPr>
          <w:rFonts w:ascii="Book Antiqua" w:hAnsi="Book Antiqua" w:cs="Calibri"/>
          <w:sz w:val="24"/>
          <w:szCs w:val="24"/>
        </w:rPr>
        <w:t>S</w:t>
      </w:r>
      <w:r w:rsidRPr="002864A0">
        <w:rPr>
          <w:rFonts w:ascii="Book Antiqua" w:hAnsi="Book Antiqua" w:cs="Calibri"/>
          <w:sz w:val="24"/>
          <w:szCs w:val="24"/>
        </w:rPr>
        <w:t xml:space="preserve">erum 25OHD concentration is affected by multiple host and environmental factors, including age, sex, diet, sunlight exposure, physical activity, body weight, skin pigmentation, and genetic factors. Whether there is </w:t>
      </w:r>
      <w:r w:rsidR="00BA6926">
        <w:rPr>
          <w:rFonts w:ascii="Book Antiqua" w:hAnsi="Book Antiqua" w:cs="Calibri"/>
          <w:sz w:val="24"/>
          <w:szCs w:val="24"/>
        </w:rPr>
        <w:t>a</w:t>
      </w:r>
      <w:r w:rsidRPr="002864A0">
        <w:rPr>
          <w:rFonts w:ascii="Book Antiqua" w:hAnsi="Book Antiqua" w:cs="Calibri"/>
          <w:sz w:val="24"/>
          <w:szCs w:val="24"/>
        </w:rPr>
        <w:t xml:space="preserve"> relation</w:t>
      </w:r>
      <w:r w:rsidR="00BA6926">
        <w:rPr>
          <w:rFonts w:ascii="Book Antiqua" w:hAnsi="Book Antiqua" w:cs="Calibri"/>
          <w:sz w:val="24"/>
          <w:szCs w:val="24"/>
        </w:rPr>
        <w:t>ship</w:t>
      </w:r>
      <w:r w:rsidRPr="002864A0">
        <w:rPr>
          <w:rFonts w:ascii="Book Antiqua" w:hAnsi="Book Antiqua" w:cs="Calibri"/>
          <w:sz w:val="24"/>
          <w:szCs w:val="24"/>
        </w:rPr>
        <w:t xml:space="preserve"> between vitamin </w:t>
      </w:r>
      <w:r w:rsidR="00377320">
        <w:rPr>
          <w:rFonts w:ascii="Book Antiqua" w:hAnsi="Book Antiqua" w:cs="Calibri"/>
          <w:sz w:val="24"/>
          <w:szCs w:val="24"/>
        </w:rPr>
        <w:t xml:space="preserve">D </w:t>
      </w:r>
      <w:r w:rsidRPr="002864A0">
        <w:rPr>
          <w:rFonts w:ascii="Book Antiqua" w:hAnsi="Book Antiqua" w:cs="Calibri"/>
          <w:sz w:val="24"/>
          <w:szCs w:val="24"/>
        </w:rPr>
        <w:t xml:space="preserve">deficiency/severe insufficiency and chronic pain </w:t>
      </w:r>
      <w:r w:rsidR="00BA6926">
        <w:rPr>
          <w:rFonts w:ascii="Book Antiqua" w:hAnsi="Book Antiqua" w:cs="Calibri"/>
          <w:sz w:val="24"/>
          <w:szCs w:val="24"/>
        </w:rPr>
        <w:t>requires further</w:t>
      </w:r>
      <w:r w:rsidRPr="002864A0">
        <w:rPr>
          <w:rFonts w:ascii="Book Antiqua" w:hAnsi="Book Antiqua" w:cs="Calibri"/>
          <w:sz w:val="24"/>
          <w:szCs w:val="24"/>
        </w:rPr>
        <w:t xml:space="preserve"> studies.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r w:rsidRPr="002864A0">
        <w:rPr>
          <w:rFonts w:ascii="Book Antiqua" w:hAnsi="Book Antiqua" w:cs="Calibri"/>
          <w:sz w:val="24"/>
          <w:szCs w:val="24"/>
        </w:rPr>
        <w:t xml:space="preserve">Vitamin D is a pro-hormone that regulates Ca and P balance and skeletal structures, and has an adverse impact on skeletal health and neuromuscular function. Vitamin D deficiency increases the risk of osteoporosis. Serum 25OHD level lower than 20 ng/mL was reported to be associated with defective bone </w:t>
      </w:r>
      <w:proofErr w:type="gramStart"/>
      <w:r w:rsidRPr="002864A0">
        <w:rPr>
          <w:rFonts w:ascii="Book Antiqua" w:hAnsi="Book Antiqua" w:cs="Calibri"/>
          <w:sz w:val="24"/>
          <w:szCs w:val="24"/>
        </w:rPr>
        <w:t>mineralization</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[8,18]</w:t>
      </w:r>
      <w:r w:rsidRPr="002864A0">
        <w:rPr>
          <w:rFonts w:ascii="Book Antiqua" w:hAnsi="Book Antiqua" w:cs="Calibri"/>
          <w:sz w:val="24"/>
          <w:szCs w:val="24"/>
        </w:rPr>
        <w:fldChar w:fldCharType="end"/>
      </w:r>
      <w:r w:rsidRPr="002864A0">
        <w:rPr>
          <w:rFonts w:ascii="Book Antiqua" w:hAnsi="Book Antiqua" w:cs="Calibri"/>
          <w:sz w:val="24"/>
          <w:szCs w:val="24"/>
        </w:rPr>
        <w:t>. In our study</w:t>
      </w:r>
      <w:r w:rsidR="00BA6926">
        <w:rPr>
          <w:rFonts w:ascii="Book Antiqua" w:hAnsi="Book Antiqua" w:cs="Calibri"/>
          <w:sz w:val="24"/>
          <w:szCs w:val="24"/>
        </w:rPr>
        <w:t>, it was found</w:t>
      </w:r>
      <w:r w:rsidRPr="002864A0">
        <w:rPr>
          <w:rFonts w:ascii="Book Antiqua" w:hAnsi="Book Antiqua" w:cs="Calibri"/>
          <w:sz w:val="24"/>
          <w:szCs w:val="24"/>
        </w:rPr>
        <w:t xml:space="preserve"> that vitamin D concentration was lowest in osteoporotic patients but was not </w:t>
      </w:r>
      <w:r w:rsidR="00BA6926">
        <w:rPr>
          <w:rFonts w:ascii="Book Antiqua" w:hAnsi="Book Antiqua" w:cs="Calibri"/>
          <w:sz w:val="24"/>
          <w:szCs w:val="24"/>
        </w:rPr>
        <w:t>a</w:t>
      </w:r>
      <w:r w:rsidRPr="002864A0">
        <w:rPr>
          <w:rFonts w:ascii="Book Antiqua" w:hAnsi="Book Antiqua" w:cs="Calibri"/>
          <w:sz w:val="24"/>
          <w:szCs w:val="24"/>
        </w:rPr>
        <w:t xml:space="preserve"> risk factor for bone mass reduction and osteoporosis, suggesting that they are not correlated. This finding is consistent with the result</w:t>
      </w:r>
      <w:r w:rsidR="00BA6926">
        <w:rPr>
          <w:rFonts w:ascii="Book Antiqua" w:hAnsi="Book Antiqua" w:cs="Calibri"/>
          <w:sz w:val="24"/>
          <w:szCs w:val="24"/>
        </w:rPr>
        <w:t>s</w:t>
      </w:r>
      <w:r w:rsidRPr="002864A0">
        <w:rPr>
          <w:rFonts w:ascii="Book Antiqua" w:hAnsi="Book Antiqua" w:cs="Calibri"/>
          <w:sz w:val="24"/>
          <w:szCs w:val="24"/>
        </w:rPr>
        <w:t xml:space="preserve"> of a large-scale cross-sectional study conducted in Northwest </w:t>
      </w:r>
      <w:proofErr w:type="gramStart"/>
      <w:r w:rsidRPr="002864A0">
        <w:rPr>
          <w:rFonts w:ascii="Book Antiqua" w:hAnsi="Book Antiqua" w:cs="Calibri"/>
          <w:sz w:val="24"/>
          <w:szCs w:val="24"/>
        </w:rPr>
        <w:t>China</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[19]</w:t>
      </w:r>
      <w:r w:rsidRPr="002864A0">
        <w:rPr>
          <w:rFonts w:ascii="Book Antiqua" w:hAnsi="Book Antiqua" w:cs="Calibri"/>
          <w:sz w:val="24"/>
          <w:szCs w:val="24"/>
        </w:rPr>
        <w:fldChar w:fldCharType="end"/>
      </w:r>
      <w:r w:rsidRPr="002864A0">
        <w:rPr>
          <w:rFonts w:ascii="Book Antiqua" w:hAnsi="Book Antiqua" w:cs="Calibri"/>
          <w:sz w:val="24"/>
          <w:szCs w:val="24"/>
        </w:rPr>
        <w:t xml:space="preserve">. </w:t>
      </w:r>
      <w:r w:rsidR="00BA6926">
        <w:rPr>
          <w:rFonts w:ascii="Book Antiqua" w:hAnsi="Book Antiqua" w:cs="Calibri"/>
          <w:sz w:val="24"/>
          <w:szCs w:val="24"/>
        </w:rPr>
        <w:t>However</w:t>
      </w:r>
      <w:r w:rsidRPr="002864A0">
        <w:rPr>
          <w:rFonts w:ascii="Book Antiqua" w:hAnsi="Book Antiqua" w:cs="Calibri"/>
          <w:sz w:val="24"/>
          <w:szCs w:val="24"/>
        </w:rPr>
        <w:t xml:space="preserve">, the role of vitamin D in the basic treatment of osteoporosis should not be questioned. </w:t>
      </w:r>
      <w:r w:rsidR="00BA6926">
        <w:rPr>
          <w:rFonts w:ascii="Book Antiqua" w:hAnsi="Book Antiqua" w:cs="Calibri"/>
          <w:sz w:val="24"/>
          <w:szCs w:val="24"/>
        </w:rPr>
        <w:t>A l</w:t>
      </w:r>
      <w:r w:rsidRPr="002864A0">
        <w:rPr>
          <w:rFonts w:ascii="Book Antiqua" w:hAnsi="Book Antiqua" w:cs="Calibri"/>
          <w:sz w:val="24"/>
          <w:szCs w:val="24"/>
        </w:rPr>
        <w:t>arge number of studies have confirmed that vitamin D alone cannot reduce the risk of bone fracture</w:t>
      </w:r>
      <w:r w:rsidR="00BA6926">
        <w:rPr>
          <w:rFonts w:ascii="Book Antiqua" w:hAnsi="Book Antiqua" w:cs="Calibri"/>
          <w:sz w:val="24"/>
          <w:szCs w:val="24"/>
        </w:rPr>
        <w:t>, but</w:t>
      </w:r>
      <w:r w:rsidRPr="002864A0">
        <w:rPr>
          <w:rFonts w:ascii="Book Antiqua" w:hAnsi="Book Antiqua" w:cs="Calibri"/>
          <w:sz w:val="24"/>
          <w:szCs w:val="24"/>
        </w:rPr>
        <w:t xml:space="preserve"> combined use of vitamin D and Ca supplements can reduce the risk of hip and non-vertebral </w:t>
      </w:r>
      <w:proofErr w:type="gramStart"/>
      <w:r w:rsidRPr="002864A0">
        <w:rPr>
          <w:rFonts w:ascii="Book Antiqua" w:hAnsi="Book Antiqua" w:cs="Calibri"/>
          <w:sz w:val="24"/>
          <w:szCs w:val="24"/>
        </w:rPr>
        <w:t>fractures</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[20-22]</w:t>
      </w:r>
      <w:r w:rsidRPr="002864A0">
        <w:rPr>
          <w:rFonts w:ascii="Book Antiqua" w:hAnsi="Book Antiqua" w:cs="Calibri"/>
          <w:sz w:val="24"/>
          <w:szCs w:val="24"/>
        </w:rPr>
        <w:fldChar w:fldCharType="end"/>
      </w:r>
      <w:r w:rsidRPr="002864A0">
        <w:rPr>
          <w:rFonts w:ascii="Book Antiqua" w:hAnsi="Book Antiqua" w:cs="Calibri"/>
          <w:sz w:val="24"/>
          <w:szCs w:val="24"/>
        </w:rPr>
        <w:t xml:space="preserve">. The anti-osteoporosis treatment guidelines from multiple different countries and regions maintain that sufficient Ca uptake plus the vitamin D status is </w:t>
      </w:r>
      <w:r w:rsidR="00BA6926">
        <w:rPr>
          <w:rFonts w:ascii="Book Antiqua" w:hAnsi="Book Antiqua" w:cs="Calibri"/>
          <w:sz w:val="24"/>
          <w:szCs w:val="24"/>
        </w:rPr>
        <w:t>a</w:t>
      </w:r>
      <w:r w:rsidRPr="002864A0">
        <w:rPr>
          <w:rFonts w:ascii="Book Antiqua" w:hAnsi="Book Antiqua" w:cs="Calibri"/>
          <w:sz w:val="24"/>
          <w:szCs w:val="24"/>
        </w:rPr>
        <w:t xml:space="preserve"> precondition of any regimen for the prevention and treatment of osteoporosis regardless of wh</w:t>
      </w:r>
      <w:r w:rsidR="00BA6926">
        <w:rPr>
          <w:rFonts w:ascii="Book Antiqua" w:hAnsi="Book Antiqua" w:cs="Calibri"/>
          <w:sz w:val="24"/>
          <w:szCs w:val="24"/>
        </w:rPr>
        <w:t>ich</w:t>
      </w:r>
      <w:r w:rsidRPr="002864A0">
        <w:rPr>
          <w:rFonts w:ascii="Book Antiqua" w:hAnsi="Book Antiqua" w:cs="Calibri"/>
          <w:sz w:val="24"/>
          <w:szCs w:val="24"/>
        </w:rPr>
        <w:t xml:space="preserve"> drug is </w:t>
      </w:r>
      <w:proofErr w:type="gramStart"/>
      <w:r w:rsidRPr="002864A0">
        <w:rPr>
          <w:rFonts w:ascii="Book Antiqua" w:hAnsi="Book Antiqua" w:cs="Calibri"/>
          <w:sz w:val="24"/>
          <w:szCs w:val="24"/>
        </w:rPr>
        <w:t>used</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[23-25]</w:t>
      </w:r>
      <w:r w:rsidRPr="002864A0">
        <w:rPr>
          <w:rFonts w:ascii="Book Antiqua" w:hAnsi="Book Antiqua" w:cs="Calibri"/>
          <w:sz w:val="24"/>
          <w:szCs w:val="24"/>
        </w:rPr>
        <w:fldChar w:fldCharType="end"/>
      </w:r>
      <w:r w:rsidRPr="002864A0">
        <w:rPr>
          <w:rFonts w:ascii="Book Antiqua" w:hAnsi="Book Antiqua" w:cs="Calibri"/>
          <w:sz w:val="24"/>
          <w:szCs w:val="24"/>
        </w:rPr>
        <w:t>. Th</w:t>
      </w:r>
      <w:r w:rsidR="00377320">
        <w:rPr>
          <w:rFonts w:ascii="Book Antiqua" w:hAnsi="Book Antiqua" w:cs="Calibri"/>
          <w:sz w:val="24"/>
          <w:szCs w:val="24"/>
        </w:rPr>
        <w:t xml:space="preserve">us, </w:t>
      </w:r>
      <w:r w:rsidRPr="002864A0">
        <w:rPr>
          <w:rFonts w:ascii="Book Antiqua" w:hAnsi="Book Antiqua" w:cs="Calibri"/>
          <w:sz w:val="24"/>
          <w:szCs w:val="24"/>
        </w:rPr>
        <w:t>question</w:t>
      </w:r>
      <w:r w:rsidR="0023741F">
        <w:rPr>
          <w:rFonts w:ascii="Book Antiqua" w:hAnsi="Book Antiqua" w:cs="Calibri"/>
          <w:sz w:val="24"/>
          <w:szCs w:val="24"/>
        </w:rPr>
        <w:t>s</w:t>
      </w:r>
      <w:r w:rsidRPr="002864A0">
        <w:rPr>
          <w:rFonts w:ascii="Book Antiqua" w:hAnsi="Book Antiqua" w:cs="Calibri"/>
          <w:sz w:val="24"/>
          <w:szCs w:val="24"/>
        </w:rPr>
        <w:t xml:space="preserve"> arise as to what amount of vitamin D supplementation can maximally increase the serum 25OHD concentration and at the same time ensure that the concentration will not be excessive? In other words, what is the optimal vitamin D supplement concentration required for the 25OGD target for general populations? </w:t>
      </w:r>
      <w:r w:rsidR="009A7444">
        <w:rPr>
          <w:rFonts w:ascii="Book Antiqua" w:hAnsi="Book Antiqua" w:cs="Calibri"/>
          <w:sz w:val="24"/>
          <w:szCs w:val="24"/>
        </w:rPr>
        <w:t xml:space="preserve">One </w:t>
      </w:r>
      <w:r w:rsidRPr="002864A0">
        <w:rPr>
          <w:rFonts w:ascii="Book Antiqua" w:hAnsi="Book Antiqua" w:cs="Calibri"/>
          <w:sz w:val="24"/>
          <w:szCs w:val="24"/>
        </w:rPr>
        <w:t>study set up the general practical criteria and the latest suggestions for preventive administration of vitamin D for newborns, infants, children, adolescents and adults (including pregnant women, lactating mothers and old</w:t>
      </w:r>
      <w:r w:rsidR="009A7444">
        <w:rPr>
          <w:rFonts w:ascii="Book Antiqua" w:hAnsi="Book Antiqua" w:cs="Calibri"/>
          <w:sz w:val="24"/>
          <w:szCs w:val="24"/>
        </w:rPr>
        <w:t>er</w:t>
      </w:r>
      <w:r w:rsidRPr="002864A0">
        <w:rPr>
          <w:rFonts w:ascii="Book Antiqua" w:hAnsi="Book Antiqua" w:cs="Calibri"/>
          <w:sz w:val="24"/>
          <w:szCs w:val="24"/>
        </w:rPr>
        <w:t xml:space="preserve"> people) in central European areas, in which the vitamin D concentration &lt; 20 ng/mL is defined as deficiency, 20-30 ng/mL as the sub-health</w:t>
      </w:r>
      <w:r w:rsidR="0031238E">
        <w:rPr>
          <w:rFonts w:ascii="Book Antiqua" w:hAnsi="Book Antiqua" w:cs="Calibri"/>
          <w:sz w:val="24"/>
          <w:szCs w:val="24"/>
        </w:rPr>
        <w:t>y</w:t>
      </w:r>
      <w:r w:rsidRPr="002864A0">
        <w:rPr>
          <w:rFonts w:ascii="Book Antiqua" w:hAnsi="Book Antiqua" w:cs="Calibri"/>
          <w:sz w:val="24"/>
          <w:szCs w:val="24"/>
        </w:rPr>
        <w:t xml:space="preserve"> state, and 30-50 ng/mL as the optimal target concentration of vitamin D action and the range of serum 25OHD concentration. It also suggests that all individuals with serum 25OHD lower than 20 ng/mL should be supplemented or corrected for vitamin D, and 30 ng/mL is the target most suitable for infirm, osteoporotic and senile </w:t>
      </w:r>
      <w:proofErr w:type="gramStart"/>
      <w:r w:rsidRPr="002864A0">
        <w:rPr>
          <w:rFonts w:ascii="Book Antiqua" w:hAnsi="Book Antiqua" w:cs="Calibri"/>
          <w:sz w:val="24"/>
          <w:szCs w:val="24"/>
        </w:rPr>
        <w:t>patients</w:t>
      </w:r>
      <w:proofErr w:type="gramEnd"/>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w:instrTex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EN.CITE.DATA </w:instrText>
      </w:r>
      <w:r w:rsidRPr="002864A0">
        <w:rPr>
          <w:rFonts w:ascii="Book Antiqua" w:hAnsi="Book Antiqua" w:cs="Calibri"/>
          <w:sz w:val="24"/>
          <w:szCs w:val="24"/>
        </w:rPr>
        <w:fldChar w:fldCharType="end"/>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[26]</w:t>
      </w:r>
      <w:r w:rsidRPr="002864A0">
        <w:rPr>
          <w:rFonts w:ascii="Book Antiqua" w:hAnsi="Book Antiqua" w:cs="Calibri"/>
          <w:sz w:val="24"/>
          <w:szCs w:val="24"/>
        </w:rPr>
        <w:fldChar w:fldCharType="end"/>
      </w:r>
      <w:r w:rsidRPr="002864A0">
        <w:rPr>
          <w:rFonts w:ascii="Book Antiqua" w:hAnsi="Book Antiqua" w:cs="Calibri"/>
          <w:sz w:val="24"/>
          <w:szCs w:val="24"/>
        </w:rPr>
        <w:t>.</w:t>
      </w:r>
    </w:p>
    <w:p w:rsidR="009D590A" w:rsidRPr="002864A0" w:rsidRDefault="009D590A" w:rsidP="002864A0">
      <w:pPr>
        <w:pStyle w:val="af"/>
        <w:spacing w:before="0" w:beforeAutospacing="0" w:line="360" w:lineRule="auto"/>
        <w:ind w:firstLineChars="100" w:firstLine="240"/>
        <w:jc w:val="both"/>
        <w:rPr>
          <w:rFonts w:ascii="Book Antiqua" w:hAnsi="Book Antiqua" w:cs="Calibri"/>
        </w:rPr>
      </w:pPr>
      <w:r w:rsidRPr="002864A0">
        <w:rPr>
          <w:rFonts w:ascii="Book Antiqua" w:hAnsi="Book Antiqua" w:cs="Calibri"/>
        </w:rPr>
        <w:t>Osteoporosis is one of the main health concerns worldwide. With increasing</w:t>
      </w:r>
      <w:r w:rsidR="0031238E" w:rsidRPr="0031238E">
        <w:rPr>
          <w:rFonts w:ascii="Book Antiqua" w:hAnsi="Book Antiqua" w:cs="Calibri"/>
        </w:rPr>
        <w:t xml:space="preserve"> </w:t>
      </w:r>
      <w:r w:rsidR="0031238E" w:rsidRPr="002864A0">
        <w:rPr>
          <w:rFonts w:ascii="Book Antiqua" w:hAnsi="Book Antiqua" w:cs="Calibri"/>
        </w:rPr>
        <w:t>age</w:t>
      </w:r>
      <w:r w:rsidRPr="002864A0">
        <w:rPr>
          <w:rFonts w:ascii="Book Antiqua" w:hAnsi="Book Antiqua" w:cs="Calibri"/>
        </w:rPr>
        <w:t xml:space="preserve">, bone mass decreases gradually, leading to bone mass reduction and osteoporosis. The differential diagnosis of bone mass reduction and osteoporosis is based on the BMD level. The main goal of osteoporosis screening and treatment is to prevent fracture by reducing bone mass loss. It is therefore extremely important to recognize risk factors associated with bone mass change </w:t>
      </w:r>
      <w:r w:rsidR="0031238E">
        <w:rPr>
          <w:rFonts w:ascii="Book Antiqua" w:hAnsi="Book Antiqua" w:cs="Calibri"/>
        </w:rPr>
        <w:t>in order</w:t>
      </w:r>
      <w:r w:rsidRPr="002864A0">
        <w:rPr>
          <w:rFonts w:ascii="Book Antiqua" w:hAnsi="Book Antiqua" w:cs="Calibri"/>
        </w:rPr>
        <w:t xml:space="preserve"> to identify </w:t>
      </w:r>
      <w:r w:rsidR="0023741F">
        <w:rPr>
          <w:rFonts w:ascii="Book Antiqua" w:hAnsi="Book Antiqua" w:cs="Calibri"/>
        </w:rPr>
        <w:t xml:space="preserve">high </w:t>
      </w:r>
      <w:r w:rsidRPr="002864A0">
        <w:rPr>
          <w:rFonts w:ascii="Book Antiqua" w:hAnsi="Book Antiqua" w:cs="Calibri"/>
        </w:rPr>
        <w:t>risk populations and take early preventive strategies to reduce the occurrence of osteoporosis. With increasing</w:t>
      </w:r>
      <w:r w:rsidR="00981F50" w:rsidRPr="00981F50">
        <w:rPr>
          <w:rFonts w:ascii="Book Antiqua" w:hAnsi="Book Antiqua" w:cs="Calibri"/>
        </w:rPr>
        <w:t xml:space="preserve"> </w:t>
      </w:r>
      <w:r w:rsidR="00981F50" w:rsidRPr="002864A0">
        <w:rPr>
          <w:rFonts w:ascii="Book Antiqua" w:hAnsi="Book Antiqua" w:cs="Calibri"/>
        </w:rPr>
        <w:t>age</w:t>
      </w:r>
      <w:r w:rsidRPr="002864A0">
        <w:rPr>
          <w:rFonts w:ascii="Book Antiqua" w:hAnsi="Book Antiqua" w:cs="Calibri"/>
        </w:rPr>
        <w:t xml:space="preserve">, the risk of bone mass reduction and fracture is generally increased, especially in menopausal women whose estrogen level and liver/kidney function </w:t>
      </w:r>
      <w:r w:rsidR="00981F50">
        <w:rPr>
          <w:rFonts w:ascii="Book Antiqua" w:hAnsi="Book Antiqua" w:cs="Calibri"/>
        </w:rPr>
        <w:t>in</w:t>
      </w:r>
      <w:r w:rsidRPr="002864A0">
        <w:rPr>
          <w:rFonts w:ascii="Book Antiqua" w:hAnsi="Book Antiqua" w:cs="Calibri"/>
        </w:rPr>
        <w:t xml:space="preserve"> synthesizing active vitamin D are both reduced, leading to reduced absorption of Ca in the gut. In addition, a reduction in estrogen level activates PTH, thus increasing the activity of osteoclasts, increasing bone absorption, and quickening bone turnover and bone mass loss. As a result, the bone trabecula becomes thinner, the bone cortex is structurally damaged and </w:t>
      </w:r>
      <w:r w:rsidR="00981F50" w:rsidRPr="002864A0">
        <w:rPr>
          <w:rFonts w:ascii="Book Antiqua" w:hAnsi="Book Antiqua" w:cs="Calibri"/>
        </w:rPr>
        <w:t xml:space="preserve">becomes </w:t>
      </w:r>
      <w:r w:rsidRPr="002864A0">
        <w:rPr>
          <w:rFonts w:ascii="Book Antiqua" w:hAnsi="Book Antiqua" w:cs="Calibri"/>
        </w:rPr>
        <w:t xml:space="preserve">progressively thinner, and the bone </w:t>
      </w:r>
      <w:r w:rsidR="0023741F">
        <w:rPr>
          <w:rFonts w:ascii="Book Antiqua" w:hAnsi="Book Antiqua" w:cs="Calibri"/>
        </w:rPr>
        <w:t>de</w:t>
      </w:r>
      <w:r w:rsidRPr="002864A0">
        <w:rPr>
          <w:rFonts w:ascii="Book Antiqua" w:hAnsi="Book Antiqua" w:cs="Calibri"/>
        </w:rPr>
        <w:t xml:space="preserve">nsity is decreased. Undoubtedly, age is an important risk factor for bone mass change, which is consistent with related </w:t>
      </w:r>
      <w:proofErr w:type="gramStart"/>
      <w:r w:rsidRPr="002864A0">
        <w:rPr>
          <w:rFonts w:ascii="Book Antiqua" w:hAnsi="Book Antiqua" w:cs="Calibri"/>
        </w:rPr>
        <w:t>reports</w:t>
      </w:r>
      <w:proofErr w:type="gramEnd"/>
      <w:r w:rsidRPr="002864A0">
        <w:rPr>
          <w:rFonts w:ascii="Book Antiqua" w:hAnsi="Book Antiqua" w:cs="Calibri"/>
        </w:rPr>
        <w:fldChar w:fldCharType="begin"/>
      </w:r>
      <w:r w:rsidRPr="002864A0">
        <w:rPr>
          <w:rFonts w:ascii="Book Antiqua" w:hAnsi="Book Antiqua" w:cs="Calibri"/>
        </w:rPr>
        <w:instrText xml:space="preserve"> ADDIN EN.CITE </w:instrText>
      </w:r>
      <w:r w:rsidRPr="002864A0">
        <w:rPr>
          <w:rFonts w:ascii="Book Antiqua" w:hAnsi="Book Antiqua" w:cs="Calibri"/>
        </w:rPr>
        <w:fldChar w:fldCharType="begin"/>
      </w:r>
      <w:r w:rsidRPr="002864A0">
        <w:rPr>
          <w:rFonts w:ascii="Book Antiqua" w:hAnsi="Book Antiqua" w:cs="Calibri"/>
        </w:rPr>
        <w:instrText xml:space="preserve"> ADDIN EN.CITE.DATA </w:instrText>
      </w:r>
      <w:r w:rsidRPr="002864A0">
        <w:rPr>
          <w:rFonts w:ascii="Book Antiqua" w:hAnsi="Book Antiqua" w:cs="Calibri"/>
        </w:rPr>
        <w:fldChar w:fldCharType="end"/>
      </w:r>
      <w:r w:rsidRPr="002864A0">
        <w:rPr>
          <w:rFonts w:ascii="Book Antiqua" w:hAnsi="Book Antiqua" w:cs="Calibri"/>
        </w:rPr>
        <w:fldChar w:fldCharType="separate"/>
      </w:r>
      <w:r w:rsidRPr="002864A0">
        <w:rPr>
          <w:rFonts w:ascii="Book Antiqua" w:hAnsi="Book Antiqua" w:cs="Calibri"/>
          <w:vertAlign w:val="superscript"/>
        </w:rPr>
        <w:t>[23]</w:t>
      </w:r>
      <w:r w:rsidRPr="002864A0">
        <w:rPr>
          <w:rFonts w:ascii="Book Antiqua" w:hAnsi="Book Antiqua" w:cs="Calibri"/>
        </w:rPr>
        <w:fldChar w:fldCharType="end"/>
      </w:r>
      <w:r w:rsidRPr="002864A0">
        <w:rPr>
          <w:rFonts w:ascii="Book Antiqua" w:hAnsi="Book Antiqua" w:cs="Calibri"/>
        </w:rPr>
        <w:t xml:space="preserve">. What is different is that we failed to find a significant correlation between bone mass loss and BMI. Lifestyle factors associated with the risk of osteoporosis include alcohol consumption, diet, hormones, sports and smoking. In addition, Ca and vitamin D are extremely important </w:t>
      </w:r>
      <w:r w:rsidR="00F8192E">
        <w:rPr>
          <w:rFonts w:ascii="Book Antiqua" w:hAnsi="Book Antiqua" w:cs="Calibri"/>
        </w:rPr>
        <w:t>in</w:t>
      </w:r>
      <w:r w:rsidRPr="002864A0">
        <w:rPr>
          <w:rFonts w:ascii="Book Antiqua" w:hAnsi="Book Antiqua" w:cs="Calibri"/>
        </w:rPr>
        <w:t xml:space="preserve"> age-related BMD and skeletal muscle mass </w:t>
      </w:r>
      <w:proofErr w:type="gramStart"/>
      <w:r w:rsidRPr="002864A0">
        <w:rPr>
          <w:rFonts w:ascii="Book Antiqua" w:hAnsi="Book Antiqua" w:cs="Calibri"/>
        </w:rPr>
        <w:t>reduction</w:t>
      </w:r>
      <w:proofErr w:type="gramEnd"/>
      <w:r w:rsidRPr="002864A0">
        <w:rPr>
          <w:rFonts w:ascii="Book Antiqua" w:hAnsi="Book Antiqua" w:cs="Calibri"/>
        </w:rPr>
        <w:fldChar w:fldCharType="begin"/>
      </w:r>
      <w:r w:rsidRPr="002864A0">
        <w:rPr>
          <w:rFonts w:ascii="Book Antiqua" w:hAnsi="Book Antiqua" w:cs="Calibri"/>
        </w:rPr>
        <w:instrText xml:space="preserve"> ADDIN EN.CITE </w:instrText>
      </w:r>
      <w:r w:rsidRPr="002864A0">
        <w:rPr>
          <w:rFonts w:ascii="Book Antiqua" w:hAnsi="Book Antiqua" w:cs="Calibri"/>
        </w:rPr>
        <w:fldChar w:fldCharType="begin"/>
      </w:r>
      <w:r w:rsidRPr="002864A0">
        <w:rPr>
          <w:rFonts w:ascii="Book Antiqua" w:hAnsi="Book Antiqua" w:cs="Calibri"/>
        </w:rPr>
        <w:instrText xml:space="preserve"> ADDIN EN.CITE.DATA </w:instrText>
      </w:r>
      <w:r w:rsidRPr="002864A0">
        <w:rPr>
          <w:rFonts w:ascii="Book Antiqua" w:hAnsi="Book Antiqua" w:cs="Calibri"/>
        </w:rPr>
        <w:fldChar w:fldCharType="end"/>
      </w:r>
      <w:r w:rsidRPr="002864A0">
        <w:rPr>
          <w:rFonts w:ascii="Book Antiqua" w:hAnsi="Book Antiqua" w:cs="Calibri"/>
        </w:rPr>
        <w:fldChar w:fldCharType="separate"/>
      </w:r>
      <w:r w:rsidRPr="002864A0">
        <w:rPr>
          <w:rFonts w:ascii="Book Antiqua" w:hAnsi="Book Antiqua" w:cs="Calibri"/>
          <w:vertAlign w:val="superscript"/>
        </w:rPr>
        <w:t>[27]</w:t>
      </w:r>
      <w:r w:rsidRPr="002864A0">
        <w:rPr>
          <w:rFonts w:ascii="Book Antiqua" w:hAnsi="Book Antiqua" w:cs="Calibri"/>
        </w:rPr>
        <w:fldChar w:fldCharType="end"/>
      </w:r>
      <w:r w:rsidRPr="002864A0">
        <w:rPr>
          <w:rFonts w:ascii="Book Antiqua" w:hAnsi="Book Antiqua" w:cs="Calibri"/>
        </w:rPr>
        <w:t>. It was observed in our study that PTH and Ca were risk factors contributing to bone mass reduction, while ethnicity and altitude were risk factors contributing to osteoporosis. Whether this phenomenon is due to the relatively small sample size or refle</w:t>
      </w:r>
      <w:r w:rsidR="00F8192E">
        <w:rPr>
          <w:rFonts w:ascii="Book Antiqua" w:hAnsi="Book Antiqua" w:cs="Calibri"/>
        </w:rPr>
        <w:t>ct</w:t>
      </w:r>
      <w:r w:rsidRPr="002864A0">
        <w:rPr>
          <w:rFonts w:ascii="Book Antiqua" w:hAnsi="Book Antiqua" w:cs="Calibri"/>
        </w:rPr>
        <w:t>s intrinsic difference</w:t>
      </w:r>
      <w:r w:rsidR="00F8192E">
        <w:rPr>
          <w:rFonts w:ascii="Book Antiqua" w:hAnsi="Book Antiqua" w:cs="Calibri"/>
        </w:rPr>
        <w:t>s</w:t>
      </w:r>
      <w:r w:rsidRPr="002864A0">
        <w:rPr>
          <w:rFonts w:ascii="Book Antiqua" w:hAnsi="Book Antiqua" w:cs="Calibri"/>
        </w:rPr>
        <w:t xml:space="preserve"> remains to be confirmed in future studies.</w:t>
      </w:r>
    </w:p>
    <w:p w:rsidR="009D590A" w:rsidRPr="002864A0" w:rsidRDefault="009D590A" w:rsidP="002864A0">
      <w:pPr>
        <w:adjustRightInd w:val="0"/>
        <w:snapToGrid w:val="0"/>
        <w:spacing w:line="360" w:lineRule="auto"/>
        <w:ind w:firstLineChars="100" w:firstLine="240"/>
        <w:rPr>
          <w:rStyle w:val="a7"/>
          <w:rFonts w:ascii="Book Antiqua" w:hAnsi="Book Antiqua" w:cs="Calibri"/>
          <w:color w:val="auto"/>
          <w:sz w:val="24"/>
          <w:szCs w:val="24"/>
        </w:rPr>
      </w:pPr>
      <w:r w:rsidRPr="002864A0">
        <w:rPr>
          <w:rFonts w:ascii="Book Antiqua" w:hAnsi="Book Antiqua" w:cs="Calibri"/>
          <w:sz w:val="24"/>
          <w:szCs w:val="24"/>
        </w:rPr>
        <w:t>Multiple individual factors should be considered in the treatment of osteoporosis. Personalized treatment strategies should be built on disease severity, patient sex, complications and adverse effects that the drug(s) may produce</w:t>
      </w:r>
      <w:r w:rsidRPr="002864A0">
        <w:rPr>
          <w:rFonts w:ascii="Book Antiqua" w:hAnsi="Book Antiqua" w:cs="Calibri"/>
          <w:sz w:val="24"/>
          <w:szCs w:val="24"/>
        </w:rPr>
        <w:fldChar w:fldCharType="begin"/>
      </w:r>
      <w:r w:rsidRPr="002864A0">
        <w:rPr>
          <w:rFonts w:ascii="Book Antiqua" w:hAnsi="Book Antiqua" w:cs="Calibri"/>
          <w:sz w:val="24"/>
          <w:szCs w:val="24"/>
        </w:rPr>
        <w:instrText xml:space="preserve"> ADDIN EN.CITE &lt;EndNote&gt;&lt;Cite&gt;&lt;Author&gt;Schulz&lt;/Author&gt;&lt;Year&gt;2019&lt;/Year&gt;&lt;RecNum&gt;67&lt;/RecNum&gt;&lt;DisplayText&gt;&lt;style face="superscript"&gt;[28]&lt;/style&gt;&lt;/DisplayText&gt;&lt;record&gt;&lt;rec-number&gt;67&lt;/rec-number&gt;&lt;foreign-keys&gt;&lt;key app="EN" db-id="9ez5p2tf5z2wx3ex0rl5rsrur2p2swassv5w" timestamp="1585535682"&gt;67&lt;/key&gt;&lt;/foreign-keys&gt;&lt;ref-type name="Journal Article"&gt;17&lt;/ref-type&gt;&lt;contributors&gt;&lt;authors&gt;&lt;author&gt;Schulz, K.&lt;/author&gt;&lt;author&gt;Kalscheuer, H.&lt;/author&gt;&lt;author&gt;Lehnert, H.&lt;/author&gt;&lt;/authors&gt;&lt;/contributors&gt;&lt;titles&gt;&lt;title&gt;[Personalized Therapy In Osteoporosis]&lt;/title&gt;&lt;secondary-title&gt;Dtsch Med Wochenschr&lt;/secondary-title&gt;&lt;alt-title&gt;Deutsche medizinische Wochenschrift (1946)&lt;/alt-title&gt;&lt;/titles&gt;&lt;periodical&gt;&lt;full-title&gt;Dtsch Med Wochenschr&lt;/full-title&gt;&lt;abbr-1&gt;Deutsche medizinische Wochenschrift (1946)&lt;/abbr-1&gt;&lt;/periodical&gt;&lt;alt-periodical&gt;&lt;full-title&gt;Dtsch Med Wochenschr&lt;/full-title&gt;&lt;abbr-1&gt;Deutsche medizinische Wochenschrift (1946)&lt;/abbr-1&gt;&lt;/alt-periodical&gt;&lt;pages&gt;1111-1119&lt;/pages&gt;&lt;volume&gt;144&lt;/volume&gt;&lt;number&gt;16&lt;/number&gt;&lt;edition&gt;2019/08/16&lt;/edition&gt;&lt;keywords&gt;&lt;keyword&gt;Aged&lt;/keyword&gt;&lt;keyword&gt;Aged, 80 and over&lt;/keyword&gt;&lt;keyword&gt;Female&lt;/keyword&gt;&lt;keyword&gt;Germany&lt;/keyword&gt;&lt;keyword&gt;Humans&lt;/keyword&gt;&lt;keyword&gt;Male&lt;/keyword&gt;&lt;keyword&gt;Middle Aged&lt;/keyword&gt;&lt;keyword&gt;*Osteoporosis/diagnosis/epidemiology/therapy&lt;/keyword&gt;&lt;keyword&gt;*Precision Medicine&lt;/keyword&gt;&lt;/keywords&gt;&lt;dates&gt;&lt;year&gt;2019&lt;/year&gt;&lt;pub-dates&gt;&lt;date&gt;Aug&lt;/date&gt;&lt;/pub-dates&gt;&lt;/dates&gt;&lt;orig-pub&gt;Personalisierte Osteoporose-Therapie.&lt;/orig-pub&gt;&lt;isbn&gt;0012-0472&lt;/isbn&gt;&lt;accession-num&gt;31416102&lt;/accession-num&gt;&lt;urls&gt;&lt;/urls&gt;&lt;electronic-resource-num&gt;10.1055/a-0841-8336&lt;/electronic-resource-num&gt;&lt;remote-database-provider&gt;NLM&lt;/remote-database-provider&gt;&lt;language&gt;ger&lt;/language&gt;&lt;/record&gt;&lt;/Cite&gt;&lt;/EndNote&gt;</w:instrText>
      </w:r>
      <w:r w:rsidRPr="002864A0">
        <w:rPr>
          <w:rFonts w:ascii="Book Antiqua" w:hAnsi="Book Antiqua" w:cs="Calibri"/>
          <w:sz w:val="24"/>
          <w:szCs w:val="24"/>
        </w:rPr>
        <w:fldChar w:fldCharType="separate"/>
      </w:r>
      <w:r w:rsidRPr="002864A0">
        <w:rPr>
          <w:rFonts w:ascii="Book Antiqua" w:hAnsi="Book Antiqua" w:cs="Calibri"/>
          <w:sz w:val="24"/>
          <w:szCs w:val="24"/>
          <w:vertAlign w:val="superscript"/>
        </w:rPr>
        <w:t>[28]</w:t>
      </w:r>
      <w:r w:rsidRPr="002864A0">
        <w:rPr>
          <w:rFonts w:ascii="Book Antiqua" w:hAnsi="Book Antiqua" w:cs="Calibri"/>
          <w:sz w:val="24"/>
          <w:szCs w:val="24"/>
        </w:rPr>
        <w:fldChar w:fldCharType="end"/>
      </w:r>
      <w:r w:rsidRPr="002864A0">
        <w:rPr>
          <w:rStyle w:val="a7"/>
          <w:rFonts w:ascii="Book Antiqua" w:hAnsi="Book Antiqua" w:cs="Calibri"/>
          <w:color w:val="auto"/>
          <w:sz w:val="24"/>
          <w:szCs w:val="24"/>
        </w:rPr>
        <w:t xml:space="preserve">. Differences in related risk factors should also be </w:t>
      </w:r>
      <w:r w:rsidR="00F8192E">
        <w:rPr>
          <w:rStyle w:val="a7"/>
          <w:rFonts w:ascii="Book Antiqua" w:hAnsi="Book Antiqua" w:cs="Calibri"/>
          <w:color w:val="auto"/>
          <w:sz w:val="24"/>
          <w:szCs w:val="24"/>
        </w:rPr>
        <w:t xml:space="preserve">included in the </w:t>
      </w:r>
      <w:r w:rsidRPr="002864A0">
        <w:rPr>
          <w:rStyle w:val="a7"/>
          <w:rFonts w:ascii="Book Antiqua" w:hAnsi="Book Antiqua" w:cs="Calibri"/>
          <w:color w:val="auto"/>
          <w:sz w:val="24"/>
          <w:szCs w:val="24"/>
        </w:rPr>
        <w:t xml:space="preserve">selection of therapies. </w:t>
      </w:r>
    </w:p>
    <w:p w:rsidR="009D590A" w:rsidRPr="002864A0" w:rsidRDefault="009D590A" w:rsidP="002864A0">
      <w:pPr>
        <w:adjustRightInd w:val="0"/>
        <w:snapToGrid w:val="0"/>
        <w:spacing w:line="360" w:lineRule="auto"/>
        <w:ind w:firstLineChars="100" w:firstLine="240"/>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b/>
          <w:bCs/>
          <w:sz w:val="24"/>
          <w:szCs w:val="24"/>
          <w:u w:val="single"/>
        </w:rPr>
      </w:pPr>
      <w:r w:rsidRPr="002864A0">
        <w:rPr>
          <w:rFonts w:ascii="Book Antiqua" w:hAnsi="Book Antiqua"/>
          <w:b/>
          <w:bCs/>
          <w:sz w:val="24"/>
          <w:szCs w:val="24"/>
          <w:u w:val="single"/>
        </w:rPr>
        <w:t>ARTICLE HIGHLIGHTS</w:t>
      </w: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background</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Vitamin D deficiency is common in chronic pain patients and healthy people, but the difference between the two </w:t>
      </w:r>
      <w:r w:rsidR="00F8192E">
        <w:rPr>
          <w:rFonts w:ascii="Book Antiqua" w:hAnsi="Book Antiqua" w:cs="Calibri"/>
          <w:sz w:val="24"/>
          <w:szCs w:val="24"/>
        </w:rPr>
        <w:t>has</w:t>
      </w:r>
      <w:r w:rsidRPr="002864A0">
        <w:rPr>
          <w:rFonts w:ascii="Book Antiqua" w:hAnsi="Book Antiqua" w:cs="Calibri"/>
          <w:sz w:val="24"/>
          <w:szCs w:val="24"/>
        </w:rPr>
        <w:t xml:space="preserve"> not </w:t>
      </w:r>
      <w:r w:rsidR="00F8192E">
        <w:rPr>
          <w:rFonts w:ascii="Book Antiqua" w:hAnsi="Book Antiqua" w:cs="Calibri"/>
          <w:sz w:val="24"/>
          <w:szCs w:val="24"/>
        </w:rPr>
        <w:t xml:space="preserve">been </w:t>
      </w:r>
      <w:r w:rsidRPr="002864A0">
        <w:rPr>
          <w:rFonts w:ascii="Book Antiqua" w:hAnsi="Book Antiqua" w:cs="Calibri"/>
          <w:sz w:val="24"/>
          <w:szCs w:val="24"/>
        </w:rPr>
        <w:t>reported. The relationship between vitamin D</w:t>
      </w:r>
      <w:r w:rsidR="00F8192E">
        <w:rPr>
          <w:rFonts w:ascii="Book Antiqua" w:hAnsi="Book Antiqua" w:cs="Calibri"/>
          <w:sz w:val="24"/>
          <w:szCs w:val="24"/>
        </w:rPr>
        <w:t>,</w:t>
      </w:r>
      <w:r w:rsidRPr="002864A0">
        <w:rPr>
          <w:rFonts w:ascii="Book Antiqua" w:hAnsi="Book Antiqua" w:cs="Calibri"/>
          <w:sz w:val="24"/>
          <w:szCs w:val="24"/>
        </w:rPr>
        <w:t xml:space="preserve"> chronic pain and </w:t>
      </w:r>
      <w:r w:rsidR="00BE4168" w:rsidRPr="002864A0">
        <w:rPr>
          <w:rFonts w:ascii="Book Antiqua" w:hAnsi="Book Antiqua" w:cs="Calibri"/>
          <w:sz w:val="24"/>
          <w:szCs w:val="24"/>
        </w:rPr>
        <w:t>bone mineral density (BMD)</w:t>
      </w:r>
      <w:r w:rsidRPr="002864A0">
        <w:rPr>
          <w:rFonts w:ascii="Book Antiqua" w:hAnsi="Book Antiqua" w:cs="Calibri"/>
          <w:sz w:val="24"/>
          <w:szCs w:val="24"/>
        </w:rPr>
        <w:t xml:space="preserve"> </w:t>
      </w:r>
      <w:r w:rsidR="00F8192E">
        <w:rPr>
          <w:rFonts w:ascii="Book Antiqua" w:hAnsi="Book Antiqua" w:cs="Calibri"/>
          <w:sz w:val="24"/>
          <w:szCs w:val="24"/>
        </w:rPr>
        <w:t>is</w:t>
      </w:r>
      <w:r w:rsidRPr="002864A0">
        <w:rPr>
          <w:rFonts w:ascii="Book Antiqua" w:hAnsi="Book Antiqua" w:cs="Calibri"/>
          <w:sz w:val="24"/>
          <w:szCs w:val="24"/>
        </w:rPr>
        <w:t xml:space="preserve"> controversial.</w:t>
      </w:r>
      <w:r w:rsidR="003C5CEB" w:rsidRPr="002864A0">
        <w:rPr>
          <w:rFonts w:ascii="Book Antiqua" w:hAnsi="Book Antiqua" w:cs="Calibri"/>
          <w:sz w:val="24"/>
          <w:szCs w:val="24"/>
        </w:rPr>
        <w:t xml:space="preserve"> </w:t>
      </w:r>
      <w:r w:rsidRPr="002864A0">
        <w:rPr>
          <w:rFonts w:ascii="Book Antiqua" w:hAnsi="Book Antiqua" w:cs="Calibri"/>
          <w:sz w:val="24"/>
          <w:szCs w:val="24"/>
        </w:rPr>
        <w:t xml:space="preserve">The aim of the present study </w:t>
      </w:r>
      <w:r w:rsidR="00F8192E">
        <w:rPr>
          <w:rFonts w:ascii="Book Antiqua" w:hAnsi="Book Antiqua" w:cs="Calibri"/>
          <w:sz w:val="24"/>
          <w:szCs w:val="24"/>
        </w:rPr>
        <w:t>was</w:t>
      </w:r>
      <w:r w:rsidRPr="002864A0">
        <w:rPr>
          <w:rFonts w:ascii="Book Antiqua" w:hAnsi="Book Antiqua" w:cs="Calibri"/>
          <w:sz w:val="24"/>
          <w:szCs w:val="24"/>
        </w:rPr>
        <w:t xml:space="preserve"> to observe changes in vitamin D level</w:t>
      </w:r>
      <w:r w:rsidR="00F8192E">
        <w:rPr>
          <w:rFonts w:ascii="Book Antiqua" w:hAnsi="Book Antiqua" w:cs="Calibri"/>
          <w:sz w:val="24"/>
          <w:szCs w:val="24"/>
        </w:rPr>
        <w:t>s</w:t>
      </w:r>
      <w:r w:rsidRPr="002864A0">
        <w:rPr>
          <w:rFonts w:ascii="Book Antiqua" w:hAnsi="Book Antiqua" w:cs="Calibri"/>
          <w:sz w:val="24"/>
          <w:szCs w:val="24"/>
        </w:rPr>
        <w:t xml:space="preserve"> in patients with chronic pain, clarify the relationship between vitamin D and BMD, and explore risk factors for bone mass reduction and osteoporosis.</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motivation</w:t>
      </w:r>
    </w:p>
    <w:p w:rsidR="009D590A" w:rsidRPr="002864A0" w:rsidRDefault="00F8192E" w:rsidP="002864A0">
      <w:pPr>
        <w:adjustRightInd w:val="0"/>
        <w:snapToGrid w:val="0"/>
        <w:spacing w:line="360" w:lineRule="auto"/>
        <w:rPr>
          <w:rFonts w:ascii="Book Antiqua" w:hAnsi="Book Antiqua" w:cs="Calibri"/>
          <w:sz w:val="24"/>
          <w:szCs w:val="24"/>
        </w:rPr>
      </w:pPr>
      <w:r>
        <w:rPr>
          <w:rFonts w:ascii="Book Antiqua" w:hAnsi="Book Antiqua" w:cs="Calibri"/>
          <w:sz w:val="24"/>
          <w:szCs w:val="24"/>
        </w:rPr>
        <w:t>To u</w:t>
      </w:r>
      <w:r w:rsidR="009D590A" w:rsidRPr="002864A0">
        <w:rPr>
          <w:rFonts w:ascii="Book Antiqua" w:hAnsi="Book Antiqua" w:cs="Calibri"/>
          <w:sz w:val="24"/>
          <w:szCs w:val="24"/>
        </w:rPr>
        <w:t>nderstand the relationship between vitamin D and chronic pain, clarify the relationship between vitamin D and bone density, analyze the risk factors of bone mass reduction and osteoporosis, and provide a basis for early treatment of osteoporosis.</w:t>
      </w:r>
    </w:p>
    <w:p w:rsidR="009D590A" w:rsidRPr="002864A0" w:rsidRDefault="009D590A" w:rsidP="002864A0">
      <w:pPr>
        <w:adjustRightInd w:val="0"/>
        <w:snapToGrid w:val="0"/>
        <w:spacing w:line="360" w:lineRule="auto"/>
        <w:rPr>
          <w:rFonts w:ascii="Book Antiqua" w:hAnsi="Book Antiqua" w:cs="Calibri"/>
          <w:sz w:val="24"/>
          <w:szCs w:val="24"/>
          <w:u w:val="single"/>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objectives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Vitamin D deficiency is very common in patients with chronic pain and healthy people, but severe vitamin D deficiency is more likely to occur in patients with chronic pain. Vitamin D is not a risk factor for bone mass changes. Age, </w:t>
      </w:r>
      <w:r w:rsidR="00BE4168" w:rsidRPr="002864A0">
        <w:rPr>
          <w:rFonts w:ascii="Book Antiqua" w:hAnsi="Book Antiqua" w:cs="Calibri"/>
          <w:sz w:val="24"/>
          <w:szCs w:val="24"/>
        </w:rPr>
        <w:t>parathyroid hormone (PTH)</w:t>
      </w:r>
      <w:r w:rsidRPr="002864A0">
        <w:rPr>
          <w:rFonts w:ascii="Book Antiqua" w:hAnsi="Book Antiqua" w:cs="Calibri"/>
          <w:sz w:val="24"/>
          <w:szCs w:val="24"/>
        </w:rPr>
        <w:t xml:space="preserve"> and </w:t>
      </w:r>
      <w:r w:rsidR="007364D5" w:rsidRPr="002864A0">
        <w:rPr>
          <w:rFonts w:ascii="Book Antiqua" w:hAnsi="Book Antiqua" w:cs="Calibri"/>
          <w:sz w:val="24"/>
          <w:szCs w:val="24"/>
        </w:rPr>
        <w:t>calcium (Ca)</w:t>
      </w:r>
      <w:r w:rsidRPr="002864A0">
        <w:rPr>
          <w:rFonts w:ascii="Book Antiqua" w:hAnsi="Book Antiqua" w:cs="Calibri"/>
          <w:sz w:val="24"/>
          <w:szCs w:val="24"/>
        </w:rPr>
        <w:t xml:space="preserve"> were risk factors for bone mass reduction, while age, ethnicity and altitude were risk factors for osteoporosis.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methods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25 </w:t>
      </w:r>
      <w:proofErr w:type="spellStart"/>
      <w:r w:rsidRPr="002864A0">
        <w:rPr>
          <w:rFonts w:ascii="Book Antiqua" w:hAnsi="Book Antiqua" w:cs="Calibri"/>
          <w:sz w:val="24"/>
          <w:szCs w:val="24"/>
        </w:rPr>
        <w:t>hydroxy</w:t>
      </w:r>
      <w:proofErr w:type="spellEnd"/>
      <w:r w:rsidR="0023741F">
        <w:rPr>
          <w:rFonts w:ascii="Book Antiqua" w:hAnsi="Book Antiqua" w:cs="Calibri"/>
          <w:sz w:val="24"/>
          <w:szCs w:val="24"/>
        </w:rPr>
        <w:t xml:space="preserve"> </w:t>
      </w:r>
      <w:r w:rsidRPr="002864A0">
        <w:rPr>
          <w:rFonts w:ascii="Book Antiqua" w:hAnsi="Book Antiqua" w:cs="Calibri"/>
          <w:sz w:val="24"/>
          <w:szCs w:val="24"/>
        </w:rPr>
        <w:t xml:space="preserve">vitamin D and PTH were determined by </w:t>
      </w:r>
      <w:r w:rsidR="00F8192E">
        <w:rPr>
          <w:rFonts w:ascii="Book Antiqua" w:hAnsi="Book Antiqua" w:cs="Calibri"/>
          <w:sz w:val="24"/>
          <w:szCs w:val="24"/>
        </w:rPr>
        <w:t xml:space="preserve">a </w:t>
      </w:r>
      <w:proofErr w:type="spellStart"/>
      <w:r w:rsidRPr="002864A0">
        <w:rPr>
          <w:rFonts w:ascii="Book Antiqua" w:hAnsi="Book Antiqua" w:cs="Calibri"/>
          <w:sz w:val="24"/>
          <w:szCs w:val="24"/>
        </w:rPr>
        <w:t>Cobas</w:t>
      </w:r>
      <w:proofErr w:type="spellEnd"/>
      <w:r w:rsidRPr="002864A0">
        <w:rPr>
          <w:rFonts w:ascii="Book Antiqua" w:hAnsi="Book Antiqua" w:cs="Calibri"/>
          <w:sz w:val="24"/>
          <w:szCs w:val="24"/>
        </w:rPr>
        <w:t xml:space="preserve"> 8000 electrochemical luminescence immunoassay kit. Ca and P levels </w:t>
      </w:r>
      <w:r w:rsidR="00F8192E">
        <w:rPr>
          <w:rFonts w:ascii="Book Antiqua" w:hAnsi="Book Antiqua" w:cs="Calibri"/>
          <w:sz w:val="24"/>
          <w:szCs w:val="24"/>
        </w:rPr>
        <w:t xml:space="preserve">were detected </w:t>
      </w:r>
      <w:r w:rsidRPr="002864A0">
        <w:rPr>
          <w:rFonts w:ascii="Book Antiqua" w:hAnsi="Book Antiqua" w:cs="Calibri"/>
          <w:sz w:val="24"/>
          <w:szCs w:val="24"/>
        </w:rPr>
        <w:t xml:space="preserve">using a fully automated biochemical analyzer and the </w:t>
      </w:r>
      <w:r w:rsidR="00F8192E">
        <w:rPr>
          <w:rFonts w:ascii="Book Antiqua" w:hAnsi="Book Antiqua" w:cs="Calibri"/>
          <w:sz w:val="24"/>
          <w:szCs w:val="24"/>
        </w:rPr>
        <w:t xml:space="preserve">relevant </w:t>
      </w:r>
      <w:r w:rsidRPr="002864A0">
        <w:rPr>
          <w:rFonts w:ascii="Book Antiqua" w:hAnsi="Book Antiqua" w:cs="Calibri"/>
          <w:sz w:val="24"/>
          <w:szCs w:val="24"/>
        </w:rPr>
        <w:t xml:space="preserve">kit (Hitachi). BMD of l-1-4, femoral neck, Ward's triangle, and femoral trochanter </w:t>
      </w:r>
      <w:proofErr w:type="gramStart"/>
      <w:r w:rsidRPr="002864A0">
        <w:rPr>
          <w:rFonts w:ascii="Book Antiqua" w:hAnsi="Book Antiqua" w:cs="Calibri"/>
          <w:sz w:val="24"/>
          <w:szCs w:val="24"/>
        </w:rPr>
        <w:t>was</w:t>
      </w:r>
      <w:proofErr w:type="gramEnd"/>
      <w:r w:rsidRPr="002864A0">
        <w:rPr>
          <w:rFonts w:ascii="Book Antiqua" w:hAnsi="Book Antiqua" w:cs="Calibri"/>
          <w:sz w:val="24"/>
          <w:szCs w:val="24"/>
        </w:rPr>
        <w:t xml:space="preserve"> measured by </w:t>
      </w:r>
      <w:r w:rsidR="002142B5" w:rsidRPr="002864A0">
        <w:rPr>
          <w:rFonts w:ascii="Book Antiqua" w:hAnsi="Book Antiqua" w:cs="Calibri"/>
          <w:sz w:val="24"/>
          <w:szCs w:val="24"/>
        </w:rPr>
        <w:t>dual-energy X-ray absorptiometry</w:t>
      </w:r>
      <w:r w:rsidRPr="002864A0">
        <w:rPr>
          <w:rFonts w:ascii="Book Antiqua" w:hAnsi="Book Antiqua" w:cs="Calibri"/>
          <w:sz w:val="24"/>
          <w:szCs w:val="24"/>
        </w:rPr>
        <w:t xml:space="preserve">. General </w:t>
      </w:r>
      <w:r w:rsidR="00F8192E">
        <w:rPr>
          <w:rFonts w:ascii="Book Antiqua" w:hAnsi="Book Antiqua" w:cs="Calibri"/>
          <w:sz w:val="24"/>
          <w:szCs w:val="24"/>
        </w:rPr>
        <w:t xml:space="preserve">patient </w:t>
      </w:r>
      <w:r w:rsidRPr="002864A0">
        <w:rPr>
          <w:rFonts w:ascii="Book Antiqua" w:hAnsi="Book Antiqua" w:cs="Calibri"/>
          <w:sz w:val="24"/>
          <w:szCs w:val="24"/>
        </w:rPr>
        <w:t xml:space="preserve">information was collected including age, height, weight, </w:t>
      </w:r>
      <w:proofErr w:type="gramStart"/>
      <w:r w:rsidRPr="002864A0">
        <w:rPr>
          <w:rFonts w:ascii="Book Antiqua" w:hAnsi="Book Antiqua" w:cs="Calibri"/>
          <w:sz w:val="24"/>
          <w:szCs w:val="24"/>
        </w:rPr>
        <w:t>body</w:t>
      </w:r>
      <w:proofErr w:type="gramEnd"/>
      <w:r w:rsidRPr="002864A0">
        <w:rPr>
          <w:rFonts w:ascii="Book Antiqua" w:hAnsi="Book Antiqua" w:cs="Calibri"/>
          <w:sz w:val="24"/>
          <w:szCs w:val="24"/>
        </w:rPr>
        <w:t xml:space="preserve"> mass index, </w:t>
      </w:r>
      <w:r w:rsidR="00F8192E">
        <w:rPr>
          <w:rFonts w:ascii="Book Antiqua" w:hAnsi="Book Antiqua" w:cs="Calibri"/>
          <w:sz w:val="24"/>
          <w:szCs w:val="24"/>
        </w:rPr>
        <w:t>altitude</w:t>
      </w:r>
      <w:r w:rsidRPr="002864A0">
        <w:rPr>
          <w:rFonts w:ascii="Book Antiqua" w:hAnsi="Book Antiqua" w:cs="Calibri"/>
          <w:sz w:val="24"/>
          <w:szCs w:val="24"/>
        </w:rPr>
        <w:t xml:space="preserve"> of residence, previous medical history and medication use.</w:t>
      </w:r>
      <w:r w:rsidR="003C5CEB" w:rsidRPr="002864A0">
        <w:rPr>
          <w:rFonts w:ascii="Book Antiqua" w:hAnsi="Book Antiqua" w:cs="Calibri"/>
          <w:sz w:val="24"/>
          <w:szCs w:val="24"/>
        </w:rPr>
        <w:t xml:space="preserve"> </w:t>
      </w:r>
      <w:r w:rsidRPr="002864A0">
        <w:rPr>
          <w:rFonts w:ascii="Book Antiqua" w:hAnsi="Book Antiqua" w:cs="Calibri"/>
          <w:sz w:val="24"/>
          <w:szCs w:val="24"/>
        </w:rPr>
        <w:t>All statistical analyses were performed using SPSS 17.0. Quantitative data are expressed as x ± s. Comparison</w:t>
      </w:r>
      <w:r w:rsidR="00F8192E">
        <w:rPr>
          <w:rFonts w:ascii="Book Antiqua" w:hAnsi="Book Antiqua" w:cs="Calibri"/>
          <w:sz w:val="24"/>
          <w:szCs w:val="24"/>
        </w:rPr>
        <w:t>s</w:t>
      </w:r>
      <w:r w:rsidRPr="002864A0">
        <w:rPr>
          <w:rFonts w:ascii="Book Antiqua" w:hAnsi="Book Antiqua" w:cs="Calibri"/>
          <w:sz w:val="24"/>
          <w:szCs w:val="24"/>
        </w:rPr>
        <w:t xml:space="preserve"> between two groups w</w:t>
      </w:r>
      <w:r w:rsidR="00F8192E">
        <w:rPr>
          <w:rFonts w:ascii="Book Antiqua" w:hAnsi="Book Antiqua" w:cs="Calibri"/>
          <w:sz w:val="24"/>
          <w:szCs w:val="24"/>
        </w:rPr>
        <w:t>ere</w:t>
      </w:r>
      <w:r w:rsidRPr="002864A0">
        <w:rPr>
          <w:rFonts w:ascii="Book Antiqua" w:hAnsi="Book Antiqua" w:cs="Calibri"/>
          <w:sz w:val="24"/>
          <w:szCs w:val="24"/>
        </w:rPr>
        <w:t xml:space="preserve"> performed </w:t>
      </w:r>
      <w:r w:rsidR="0023741F">
        <w:rPr>
          <w:rFonts w:ascii="Book Antiqua" w:hAnsi="Book Antiqua" w:cs="Calibri"/>
          <w:sz w:val="24"/>
          <w:szCs w:val="24"/>
        </w:rPr>
        <w:t>using</w:t>
      </w:r>
      <w:r w:rsidRPr="002864A0">
        <w:rPr>
          <w:rFonts w:ascii="Book Antiqua" w:hAnsi="Book Antiqua" w:cs="Calibri"/>
          <w:sz w:val="24"/>
          <w:szCs w:val="24"/>
        </w:rPr>
        <w:t xml:space="preserve"> </w:t>
      </w:r>
      <w:r w:rsidR="00F8192E">
        <w:rPr>
          <w:rFonts w:ascii="Book Antiqua" w:hAnsi="Book Antiqua" w:cs="Calibri"/>
          <w:sz w:val="24"/>
          <w:szCs w:val="24"/>
        </w:rPr>
        <w:t xml:space="preserve">the </w:t>
      </w:r>
      <w:r w:rsidRPr="002864A0">
        <w:rPr>
          <w:rFonts w:ascii="Book Antiqua" w:hAnsi="Book Antiqua" w:cs="Calibri"/>
          <w:sz w:val="24"/>
          <w:szCs w:val="24"/>
        </w:rPr>
        <w:t>independent sample t test; comparison</w:t>
      </w:r>
      <w:r w:rsidR="00F8192E">
        <w:rPr>
          <w:rFonts w:ascii="Book Antiqua" w:hAnsi="Book Antiqua" w:cs="Calibri"/>
          <w:sz w:val="24"/>
          <w:szCs w:val="24"/>
        </w:rPr>
        <w:t>s</w:t>
      </w:r>
      <w:r w:rsidRPr="002864A0">
        <w:rPr>
          <w:rFonts w:ascii="Book Antiqua" w:hAnsi="Book Antiqua" w:cs="Calibri"/>
          <w:sz w:val="24"/>
          <w:szCs w:val="24"/>
        </w:rPr>
        <w:t xml:space="preserve"> between three groups w</w:t>
      </w:r>
      <w:r w:rsidR="00F8192E">
        <w:rPr>
          <w:rFonts w:ascii="Book Antiqua" w:hAnsi="Book Antiqua" w:cs="Calibri"/>
          <w:sz w:val="24"/>
          <w:szCs w:val="24"/>
        </w:rPr>
        <w:t>ere</w:t>
      </w:r>
      <w:r w:rsidRPr="002864A0">
        <w:rPr>
          <w:rFonts w:ascii="Book Antiqua" w:hAnsi="Book Antiqua" w:cs="Calibri"/>
          <w:sz w:val="24"/>
          <w:szCs w:val="24"/>
        </w:rPr>
        <w:t xml:space="preserve"> performed by one way ANOVA; and comparison</w:t>
      </w:r>
      <w:r w:rsidR="00F8192E">
        <w:rPr>
          <w:rFonts w:ascii="Book Antiqua" w:hAnsi="Book Antiqua" w:cs="Calibri"/>
          <w:sz w:val="24"/>
          <w:szCs w:val="24"/>
        </w:rPr>
        <w:t>s</w:t>
      </w:r>
      <w:r w:rsidRPr="002864A0">
        <w:rPr>
          <w:rFonts w:ascii="Book Antiqua" w:hAnsi="Book Antiqua" w:cs="Calibri"/>
          <w:sz w:val="24"/>
          <w:szCs w:val="24"/>
        </w:rPr>
        <w:t xml:space="preserve"> between multiple groups w</w:t>
      </w:r>
      <w:r w:rsidR="00F8192E">
        <w:rPr>
          <w:rFonts w:ascii="Book Antiqua" w:hAnsi="Book Antiqua" w:cs="Calibri"/>
          <w:sz w:val="24"/>
          <w:szCs w:val="24"/>
        </w:rPr>
        <w:t>ere</w:t>
      </w:r>
      <w:r w:rsidRPr="002864A0">
        <w:rPr>
          <w:rFonts w:ascii="Book Antiqua" w:hAnsi="Book Antiqua" w:cs="Calibri"/>
          <w:sz w:val="24"/>
          <w:szCs w:val="24"/>
        </w:rPr>
        <w:t xml:space="preserve"> performed by LSD. Counting data are expressed as c2. Two sets of ordered counting data were analyzed by </w:t>
      </w:r>
      <w:r w:rsidR="005D7828">
        <w:rPr>
          <w:rFonts w:ascii="Book Antiqua" w:hAnsi="Book Antiqua" w:cs="Calibri"/>
          <w:sz w:val="24"/>
          <w:szCs w:val="24"/>
        </w:rPr>
        <w:t xml:space="preserve">the </w:t>
      </w:r>
      <w:r w:rsidRPr="002864A0">
        <w:rPr>
          <w:rFonts w:ascii="Book Antiqua" w:hAnsi="Book Antiqua" w:cs="Calibri"/>
          <w:sz w:val="24"/>
          <w:szCs w:val="24"/>
        </w:rPr>
        <w:t>Mantel-</w:t>
      </w:r>
      <w:proofErr w:type="spellStart"/>
      <w:r w:rsidRPr="002864A0">
        <w:rPr>
          <w:rFonts w:ascii="Book Antiqua" w:hAnsi="Book Antiqua" w:cs="Calibri"/>
          <w:sz w:val="24"/>
          <w:szCs w:val="24"/>
        </w:rPr>
        <w:t>Haenszel</w:t>
      </w:r>
      <w:proofErr w:type="spellEnd"/>
      <w:r w:rsidRPr="002864A0">
        <w:rPr>
          <w:rFonts w:ascii="Book Antiqua" w:hAnsi="Book Antiqua" w:cs="Calibri"/>
          <w:sz w:val="24"/>
          <w:szCs w:val="24"/>
        </w:rPr>
        <w:t xml:space="preserve"> test for linear trend. Risk factors were analyzed by binary logistic regression. Values of </w:t>
      </w:r>
      <w:r w:rsidRPr="002864A0">
        <w:rPr>
          <w:rFonts w:ascii="Book Antiqua" w:hAnsi="Book Antiqua" w:cs="Calibri"/>
          <w:i/>
          <w:iCs/>
          <w:sz w:val="24"/>
          <w:szCs w:val="24"/>
        </w:rPr>
        <w:t>P</w:t>
      </w:r>
      <w:r w:rsidRPr="002864A0">
        <w:rPr>
          <w:rFonts w:ascii="Book Antiqua" w:hAnsi="Book Antiqua" w:cs="Calibri"/>
          <w:sz w:val="24"/>
          <w:szCs w:val="24"/>
        </w:rPr>
        <w:t xml:space="preserve"> &lt; 0.05 were considered statistically significant. </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b/>
          <w:bCs/>
          <w:i/>
          <w:iCs/>
          <w:sz w:val="24"/>
          <w:szCs w:val="24"/>
        </w:rPr>
        <w:t>Research results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Both chronic pain patients and healthy people were mainly deficient in vitamin D, but the proportion of severe vitamin D deficiency in chronic pain patients was significantly higher than that in the healthy group. Patients with chronic pain </w:t>
      </w:r>
      <w:r w:rsidR="005D7828">
        <w:rPr>
          <w:rFonts w:ascii="Book Antiqua" w:hAnsi="Book Antiqua" w:cs="Calibri"/>
          <w:sz w:val="24"/>
          <w:szCs w:val="24"/>
        </w:rPr>
        <w:t>were</w:t>
      </w:r>
      <w:r w:rsidRPr="002864A0">
        <w:rPr>
          <w:rFonts w:ascii="Book Antiqua" w:hAnsi="Book Antiqua" w:cs="Calibri"/>
          <w:sz w:val="24"/>
          <w:szCs w:val="24"/>
        </w:rPr>
        <w:t xml:space="preserve"> more likely to suffer from vitamin D deficiency or severe deficiency, the causes of which </w:t>
      </w:r>
      <w:r w:rsidR="005D7828">
        <w:rPr>
          <w:rFonts w:ascii="Book Antiqua" w:hAnsi="Book Antiqua" w:cs="Calibri"/>
          <w:sz w:val="24"/>
          <w:szCs w:val="24"/>
        </w:rPr>
        <w:t>require</w:t>
      </w:r>
      <w:r w:rsidRPr="002864A0">
        <w:rPr>
          <w:rFonts w:ascii="Book Antiqua" w:hAnsi="Book Antiqua" w:cs="Calibri"/>
          <w:sz w:val="24"/>
          <w:szCs w:val="24"/>
        </w:rPr>
        <w:t xml:space="preserve"> further study. The levels of vitamin D in the osteoporosis group were lower than those in the groups with normal bone mass and reduced bone mass, but vitamin D levels were not a risk factor for changes in bone mass. Age, PTH and Ca were risk factors for bone mass loss. Age, sex, ethnicity, and altitude </w:t>
      </w:r>
      <w:r w:rsidR="005D7828">
        <w:rPr>
          <w:rFonts w:ascii="Book Antiqua" w:hAnsi="Book Antiqua" w:cs="Calibri"/>
          <w:sz w:val="24"/>
          <w:szCs w:val="24"/>
        </w:rPr>
        <w:t>were</w:t>
      </w:r>
      <w:r w:rsidRPr="002864A0">
        <w:rPr>
          <w:rFonts w:ascii="Book Antiqua" w:hAnsi="Book Antiqua" w:cs="Calibri"/>
          <w:sz w:val="24"/>
          <w:szCs w:val="24"/>
        </w:rPr>
        <w:t xml:space="preserve"> risk factors for osteoporosis.</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conclusions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Vitamin D deficiency is common among patients with chronic pain, and severe vitamin D deficiency is more likely to occur. Although vitamin D levels are lowest during osteoporosis, they are not a risk factor for changes in bone mass. According to the different risk factors of bone mass change, independent treatment methods can be adopted clinically.</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Research perspectives</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Chronic pain patients are more likely to have severe vitamin D deficiency, </w:t>
      </w:r>
      <w:r w:rsidR="005D7828">
        <w:rPr>
          <w:rFonts w:ascii="Book Antiqua" w:hAnsi="Book Antiqua" w:cs="Calibri"/>
          <w:sz w:val="24"/>
          <w:szCs w:val="24"/>
        </w:rPr>
        <w:t xml:space="preserve">and </w:t>
      </w:r>
      <w:r w:rsidRPr="002864A0">
        <w:rPr>
          <w:rFonts w:ascii="Book Antiqua" w:hAnsi="Book Antiqua" w:cs="Calibri"/>
          <w:sz w:val="24"/>
          <w:szCs w:val="24"/>
        </w:rPr>
        <w:t xml:space="preserve">the reason </w:t>
      </w:r>
      <w:r w:rsidR="005D7828">
        <w:rPr>
          <w:rFonts w:ascii="Book Antiqua" w:hAnsi="Book Antiqua" w:cs="Calibri"/>
          <w:sz w:val="24"/>
          <w:szCs w:val="24"/>
        </w:rPr>
        <w:t xml:space="preserve">for this </w:t>
      </w:r>
      <w:r w:rsidRPr="002864A0">
        <w:rPr>
          <w:rFonts w:ascii="Book Antiqua" w:hAnsi="Book Antiqua" w:cs="Calibri"/>
          <w:sz w:val="24"/>
          <w:szCs w:val="24"/>
        </w:rPr>
        <w:t xml:space="preserve">is not clear. Vitamin D is not a risk factor for osteoporosis. Whether vitamin D supplementation </w:t>
      </w:r>
      <w:r w:rsidR="005D7828">
        <w:rPr>
          <w:rFonts w:ascii="Book Antiqua" w:hAnsi="Book Antiqua" w:cs="Calibri"/>
          <w:sz w:val="24"/>
          <w:szCs w:val="24"/>
        </w:rPr>
        <w:t xml:space="preserve">is </w:t>
      </w:r>
      <w:r w:rsidRPr="002864A0">
        <w:rPr>
          <w:rFonts w:ascii="Book Antiqua" w:hAnsi="Book Antiqua" w:cs="Calibri"/>
          <w:sz w:val="24"/>
          <w:szCs w:val="24"/>
        </w:rPr>
        <w:t>benefi</w:t>
      </w:r>
      <w:r w:rsidR="005D7828">
        <w:rPr>
          <w:rFonts w:ascii="Book Antiqua" w:hAnsi="Book Antiqua" w:cs="Calibri"/>
          <w:sz w:val="24"/>
          <w:szCs w:val="24"/>
        </w:rPr>
        <w:t xml:space="preserve">cial requires </w:t>
      </w:r>
      <w:r w:rsidRPr="002864A0">
        <w:rPr>
          <w:rFonts w:ascii="Book Antiqua" w:hAnsi="Book Antiqua" w:cs="Calibri"/>
          <w:sz w:val="24"/>
          <w:szCs w:val="24"/>
        </w:rPr>
        <w:t>further study. Whether early monitoring of PTH and Ca levels has a</w:t>
      </w:r>
      <w:r w:rsidR="005D7828">
        <w:rPr>
          <w:rFonts w:ascii="Book Antiqua" w:hAnsi="Book Antiqua" w:cs="Calibri"/>
          <w:sz w:val="24"/>
          <w:szCs w:val="24"/>
        </w:rPr>
        <w:t>n</w:t>
      </w:r>
      <w:r w:rsidRPr="002864A0">
        <w:rPr>
          <w:rFonts w:ascii="Book Antiqua" w:hAnsi="Book Antiqua" w:cs="Calibri"/>
          <w:sz w:val="24"/>
          <w:szCs w:val="24"/>
        </w:rPr>
        <w:t xml:space="preserve"> effect on the prevention of bone mass change, and which age group can effectively prevent osteoporosis </w:t>
      </w:r>
      <w:r w:rsidR="005D7828">
        <w:rPr>
          <w:rFonts w:ascii="Book Antiqua" w:hAnsi="Book Antiqua" w:cs="Calibri"/>
          <w:sz w:val="24"/>
          <w:szCs w:val="24"/>
        </w:rPr>
        <w:t xml:space="preserve">requires </w:t>
      </w:r>
      <w:r w:rsidRPr="002864A0">
        <w:rPr>
          <w:rFonts w:ascii="Book Antiqua" w:hAnsi="Book Antiqua" w:cs="Calibri"/>
          <w:sz w:val="24"/>
          <w:szCs w:val="24"/>
        </w:rPr>
        <w:t xml:space="preserve">further </w:t>
      </w:r>
      <w:r w:rsidR="005D7828">
        <w:rPr>
          <w:rFonts w:ascii="Book Antiqua" w:hAnsi="Book Antiqua" w:cs="Calibri"/>
          <w:sz w:val="24"/>
          <w:szCs w:val="24"/>
        </w:rPr>
        <w:t>investigation</w:t>
      </w:r>
      <w:r w:rsidRPr="002864A0">
        <w:rPr>
          <w:rFonts w:ascii="Book Antiqua" w:hAnsi="Book Antiqua" w:cs="Calibri"/>
          <w:sz w:val="24"/>
          <w:szCs w:val="24"/>
        </w:rPr>
        <w:t>.</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REFERENCES</w:t>
      </w:r>
    </w:p>
    <w:p w:rsidR="009D590A" w:rsidRPr="002864A0" w:rsidRDefault="009D590A" w:rsidP="002864A0">
      <w:pPr>
        <w:adjustRightInd w:val="0"/>
        <w:snapToGrid w:val="0"/>
        <w:spacing w:line="360" w:lineRule="auto"/>
        <w:rPr>
          <w:rFonts w:ascii="Book Antiqua" w:hAnsi="Book Antiqua" w:cs="Calibri"/>
          <w:sz w:val="24"/>
          <w:szCs w:val="24"/>
        </w:rPr>
      </w:pPr>
      <w:bookmarkStart w:id="15" w:name="_ENREF_1"/>
      <w:bookmarkEnd w:id="15"/>
      <w:r w:rsidRPr="002864A0">
        <w:rPr>
          <w:rFonts w:ascii="Book Antiqua" w:hAnsi="Book Antiqua" w:cs="Calibri"/>
          <w:sz w:val="24"/>
          <w:szCs w:val="24"/>
        </w:rPr>
        <w:t xml:space="preserve">1 </w:t>
      </w:r>
      <w:proofErr w:type="spellStart"/>
      <w:r w:rsidRPr="002864A0">
        <w:rPr>
          <w:rFonts w:ascii="Book Antiqua" w:hAnsi="Book Antiqua" w:cs="Calibri"/>
          <w:b/>
          <w:bCs/>
          <w:sz w:val="24"/>
          <w:szCs w:val="24"/>
        </w:rPr>
        <w:t>Knutsen</w:t>
      </w:r>
      <w:proofErr w:type="spellEnd"/>
      <w:r w:rsidRPr="002864A0">
        <w:rPr>
          <w:rFonts w:ascii="Book Antiqua" w:hAnsi="Book Antiqua" w:cs="Calibri"/>
          <w:b/>
          <w:bCs/>
          <w:sz w:val="24"/>
          <w:szCs w:val="24"/>
        </w:rPr>
        <w:t xml:space="preserve"> KV</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Brekke</w:t>
      </w:r>
      <w:proofErr w:type="spellEnd"/>
      <w:r w:rsidRPr="002864A0">
        <w:rPr>
          <w:rFonts w:ascii="Book Antiqua" w:hAnsi="Book Antiqua" w:cs="Calibri"/>
          <w:sz w:val="24"/>
          <w:szCs w:val="24"/>
        </w:rPr>
        <w:t xml:space="preserve"> M, </w:t>
      </w:r>
      <w:proofErr w:type="spellStart"/>
      <w:r w:rsidRPr="002864A0">
        <w:rPr>
          <w:rFonts w:ascii="Book Antiqua" w:hAnsi="Book Antiqua" w:cs="Calibri"/>
          <w:sz w:val="24"/>
          <w:szCs w:val="24"/>
        </w:rPr>
        <w:t>Gjelstad</w:t>
      </w:r>
      <w:proofErr w:type="spellEnd"/>
      <w:r w:rsidRPr="002864A0">
        <w:rPr>
          <w:rFonts w:ascii="Book Antiqua" w:hAnsi="Book Antiqua" w:cs="Calibri"/>
          <w:sz w:val="24"/>
          <w:szCs w:val="24"/>
        </w:rPr>
        <w:t xml:space="preserve"> S, </w:t>
      </w:r>
      <w:proofErr w:type="spellStart"/>
      <w:r w:rsidRPr="002864A0">
        <w:rPr>
          <w:rFonts w:ascii="Book Antiqua" w:hAnsi="Book Antiqua" w:cs="Calibri"/>
          <w:sz w:val="24"/>
          <w:szCs w:val="24"/>
        </w:rPr>
        <w:t>Lagerløv</w:t>
      </w:r>
      <w:proofErr w:type="spellEnd"/>
      <w:r w:rsidRPr="002864A0">
        <w:rPr>
          <w:rFonts w:ascii="Book Antiqua" w:hAnsi="Book Antiqua" w:cs="Calibri"/>
          <w:sz w:val="24"/>
          <w:szCs w:val="24"/>
        </w:rPr>
        <w:t xml:space="preserve"> P. Vitamin D status in patients with musculoskeletal pain, fatigue and headache: a cross-sectional descriptive study in a multi-ethnic general practice in Norway. </w:t>
      </w:r>
      <w:proofErr w:type="spellStart"/>
      <w:r w:rsidRPr="002864A0">
        <w:rPr>
          <w:rFonts w:ascii="Book Antiqua" w:hAnsi="Book Antiqua" w:cs="Calibri"/>
          <w:i/>
          <w:iCs/>
          <w:sz w:val="24"/>
          <w:szCs w:val="24"/>
        </w:rPr>
        <w:t>Scand</w:t>
      </w:r>
      <w:proofErr w:type="spellEnd"/>
      <w:r w:rsidRPr="002864A0">
        <w:rPr>
          <w:rFonts w:ascii="Book Antiqua" w:hAnsi="Book Antiqua" w:cs="Calibri"/>
          <w:i/>
          <w:iCs/>
          <w:sz w:val="24"/>
          <w:szCs w:val="24"/>
        </w:rPr>
        <w:t xml:space="preserve"> J Prim Health Care</w:t>
      </w:r>
      <w:r w:rsidRPr="002864A0">
        <w:rPr>
          <w:rFonts w:ascii="Book Antiqua" w:hAnsi="Book Antiqua" w:cs="Calibri"/>
          <w:sz w:val="24"/>
          <w:szCs w:val="24"/>
        </w:rPr>
        <w:t xml:space="preserve"> 2010; </w:t>
      </w:r>
      <w:r w:rsidRPr="002864A0">
        <w:rPr>
          <w:rFonts w:ascii="Book Antiqua" w:hAnsi="Book Antiqua" w:cs="Calibri"/>
          <w:b/>
          <w:bCs/>
          <w:sz w:val="24"/>
          <w:szCs w:val="24"/>
        </w:rPr>
        <w:t>28</w:t>
      </w:r>
      <w:r w:rsidRPr="002864A0">
        <w:rPr>
          <w:rFonts w:ascii="Book Antiqua" w:hAnsi="Book Antiqua" w:cs="Calibri"/>
          <w:sz w:val="24"/>
          <w:szCs w:val="24"/>
        </w:rPr>
        <w:t>: 166-171 [PMID: 20642395 DOI: 10.3109/02813432.2010.505407]</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 </w:t>
      </w:r>
      <w:r w:rsidRPr="002864A0">
        <w:rPr>
          <w:rFonts w:ascii="Book Antiqua" w:hAnsi="Book Antiqua" w:cs="Calibri"/>
          <w:b/>
          <w:bCs/>
          <w:sz w:val="24"/>
          <w:szCs w:val="24"/>
        </w:rPr>
        <w:t>Al-</w:t>
      </w:r>
      <w:proofErr w:type="spellStart"/>
      <w:r w:rsidRPr="002864A0">
        <w:rPr>
          <w:rFonts w:ascii="Book Antiqua" w:hAnsi="Book Antiqua" w:cs="Calibri"/>
          <w:b/>
          <w:bCs/>
          <w:sz w:val="24"/>
          <w:szCs w:val="24"/>
        </w:rPr>
        <w:t>Jarallah</w:t>
      </w:r>
      <w:proofErr w:type="spellEnd"/>
      <w:r w:rsidRPr="002864A0">
        <w:rPr>
          <w:rFonts w:ascii="Book Antiqua" w:hAnsi="Book Antiqua" w:cs="Calibri"/>
          <w:b/>
          <w:bCs/>
          <w:sz w:val="24"/>
          <w:szCs w:val="24"/>
        </w:rPr>
        <w:t xml:space="preserve"> KF</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Shehab</w:t>
      </w:r>
      <w:proofErr w:type="spellEnd"/>
      <w:r w:rsidRPr="002864A0">
        <w:rPr>
          <w:rFonts w:ascii="Book Antiqua" w:hAnsi="Book Antiqua" w:cs="Calibri"/>
          <w:sz w:val="24"/>
          <w:szCs w:val="24"/>
        </w:rPr>
        <w:t xml:space="preserve"> D, Al-Awadhi A, </w:t>
      </w:r>
      <w:proofErr w:type="spellStart"/>
      <w:r w:rsidRPr="002864A0">
        <w:rPr>
          <w:rFonts w:ascii="Book Antiqua" w:hAnsi="Book Antiqua" w:cs="Calibri"/>
          <w:sz w:val="24"/>
          <w:szCs w:val="24"/>
        </w:rPr>
        <w:t>Nahar</w:t>
      </w:r>
      <w:proofErr w:type="spellEnd"/>
      <w:r w:rsidRPr="002864A0">
        <w:rPr>
          <w:rFonts w:ascii="Book Antiqua" w:hAnsi="Book Antiqua" w:cs="Calibri"/>
          <w:sz w:val="24"/>
          <w:szCs w:val="24"/>
        </w:rPr>
        <w:t xml:space="preserve"> I, </w:t>
      </w:r>
      <w:proofErr w:type="spellStart"/>
      <w:r w:rsidRPr="002864A0">
        <w:rPr>
          <w:rFonts w:ascii="Book Antiqua" w:hAnsi="Book Antiqua" w:cs="Calibri"/>
          <w:sz w:val="24"/>
          <w:szCs w:val="24"/>
        </w:rPr>
        <w:t>Haider</w:t>
      </w:r>
      <w:proofErr w:type="spellEnd"/>
      <w:r w:rsidRPr="002864A0">
        <w:rPr>
          <w:rFonts w:ascii="Book Antiqua" w:hAnsi="Book Antiqua" w:cs="Calibri"/>
          <w:sz w:val="24"/>
          <w:szCs w:val="24"/>
        </w:rPr>
        <w:t xml:space="preserve"> MZ, Moussa MA. Are 25(OH</w:t>
      </w:r>
      <w:proofErr w:type="gramStart"/>
      <w:r w:rsidRPr="002864A0">
        <w:rPr>
          <w:rFonts w:ascii="Book Antiqua" w:hAnsi="Book Antiqua" w:cs="Calibri"/>
          <w:sz w:val="24"/>
          <w:szCs w:val="24"/>
        </w:rPr>
        <w:t>)D</w:t>
      </w:r>
      <w:proofErr w:type="gramEnd"/>
      <w:r w:rsidRPr="002864A0">
        <w:rPr>
          <w:rFonts w:ascii="Book Antiqua" w:hAnsi="Book Antiqua" w:cs="Calibri"/>
          <w:sz w:val="24"/>
          <w:szCs w:val="24"/>
        </w:rPr>
        <w:t xml:space="preserve"> levels related to the severity of knee osteoarthritis and function? </w:t>
      </w:r>
      <w:r w:rsidRPr="002864A0">
        <w:rPr>
          <w:rFonts w:ascii="Book Antiqua" w:hAnsi="Book Antiqua" w:cs="Calibri"/>
          <w:i/>
          <w:iCs/>
          <w:sz w:val="24"/>
          <w:szCs w:val="24"/>
        </w:rPr>
        <w:t xml:space="preserve">Med </w:t>
      </w:r>
      <w:proofErr w:type="spellStart"/>
      <w:r w:rsidRPr="002864A0">
        <w:rPr>
          <w:rFonts w:ascii="Book Antiqua" w:hAnsi="Book Antiqua" w:cs="Calibri"/>
          <w:i/>
          <w:iCs/>
          <w:sz w:val="24"/>
          <w:szCs w:val="24"/>
        </w:rPr>
        <w:t>Princ</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Pract</w:t>
      </w:r>
      <w:proofErr w:type="spellEnd"/>
      <w:r w:rsidRPr="002864A0">
        <w:rPr>
          <w:rFonts w:ascii="Book Antiqua" w:hAnsi="Book Antiqua" w:cs="Calibri"/>
          <w:sz w:val="24"/>
          <w:szCs w:val="24"/>
        </w:rPr>
        <w:t xml:space="preserve"> 2012; </w:t>
      </w:r>
      <w:r w:rsidRPr="002864A0">
        <w:rPr>
          <w:rFonts w:ascii="Book Antiqua" w:hAnsi="Book Antiqua" w:cs="Calibri"/>
          <w:b/>
          <w:bCs/>
          <w:sz w:val="24"/>
          <w:szCs w:val="24"/>
        </w:rPr>
        <w:t>21</w:t>
      </w:r>
      <w:r w:rsidRPr="002864A0">
        <w:rPr>
          <w:rFonts w:ascii="Book Antiqua" w:hAnsi="Book Antiqua" w:cs="Calibri"/>
          <w:sz w:val="24"/>
          <w:szCs w:val="24"/>
        </w:rPr>
        <w:t>: 74-78 [PMID: 22024977 DOI: 10.1159/000330025]</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3 </w:t>
      </w:r>
      <w:r w:rsidRPr="002864A0">
        <w:rPr>
          <w:rFonts w:ascii="Book Antiqua" w:hAnsi="Book Antiqua" w:cs="Calibri"/>
          <w:b/>
          <w:bCs/>
          <w:sz w:val="24"/>
          <w:szCs w:val="24"/>
        </w:rPr>
        <w:t>Song TJ</w:t>
      </w:r>
      <w:r w:rsidRPr="002864A0">
        <w:rPr>
          <w:rFonts w:ascii="Book Antiqua" w:hAnsi="Book Antiqua" w:cs="Calibri"/>
          <w:sz w:val="24"/>
          <w:szCs w:val="24"/>
        </w:rPr>
        <w:t xml:space="preserve">, Chu MK, </w:t>
      </w:r>
      <w:proofErr w:type="spellStart"/>
      <w:r w:rsidRPr="002864A0">
        <w:rPr>
          <w:rFonts w:ascii="Book Antiqua" w:hAnsi="Book Antiqua" w:cs="Calibri"/>
          <w:sz w:val="24"/>
          <w:szCs w:val="24"/>
        </w:rPr>
        <w:t>Sohn</w:t>
      </w:r>
      <w:proofErr w:type="spellEnd"/>
      <w:r w:rsidRPr="002864A0">
        <w:rPr>
          <w:rFonts w:ascii="Book Antiqua" w:hAnsi="Book Antiqua" w:cs="Calibri"/>
          <w:sz w:val="24"/>
          <w:szCs w:val="24"/>
        </w:rPr>
        <w:t xml:space="preserve"> JH, </w:t>
      </w:r>
      <w:proofErr w:type="spellStart"/>
      <w:r w:rsidRPr="002864A0">
        <w:rPr>
          <w:rFonts w:ascii="Book Antiqua" w:hAnsi="Book Antiqua" w:cs="Calibri"/>
          <w:sz w:val="24"/>
          <w:szCs w:val="24"/>
        </w:rPr>
        <w:t>Ahn</w:t>
      </w:r>
      <w:proofErr w:type="spellEnd"/>
      <w:r w:rsidRPr="002864A0">
        <w:rPr>
          <w:rFonts w:ascii="Book Antiqua" w:hAnsi="Book Antiqua" w:cs="Calibri"/>
          <w:sz w:val="24"/>
          <w:szCs w:val="24"/>
        </w:rPr>
        <w:t xml:space="preserve"> HY, Lee SH, Cho SJ.</w:t>
      </w:r>
      <w:proofErr w:type="gramEnd"/>
      <w:r w:rsidRPr="002864A0">
        <w:rPr>
          <w:rFonts w:ascii="Book Antiqua" w:hAnsi="Book Antiqua" w:cs="Calibri"/>
          <w:sz w:val="24"/>
          <w:szCs w:val="24"/>
        </w:rPr>
        <w:t xml:space="preserve"> </w:t>
      </w:r>
      <w:proofErr w:type="gramStart"/>
      <w:r w:rsidRPr="002864A0">
        <w:rPr>
          <w:rFonts w:ascii="Book Antiqua" w:hAnsi="Book Antiqua" w:cs="Calibri"/>
          <w:sz w:val="24"/>
          <w:szCs w:val="24"/>
        </w:rPr>
        <w:t>Effect of Vitamin D Deficiency on the Frequency of Headaches in Migraine.</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J </w:t>
      </w:r>
      <w:proofErr w:type="spellStart"/>
      <w:r w:rsidRPr="002864A0">
        <w:rPr>
          <w:rFonts w:ascii="Book Antiqua" w:hAnsi="Book Antiqua" w:cs="Calibri"/>
          <w:i/>
          <w:iCs/>
          <w:sz w:val="24"/>
          <w:szCs w:val="24"/>
        </w:rPr>
        <w:t>Clin</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Neurol</w:t>
      </w:r>
      <w:proofErr w:type="spellEnd"/>
      <w:r w:rsidRPr="002864A0">
        <w:rPr>
          <w:rFonts w:ascii="Book Antiqua" w:hAnsi="Book Antiqua" w:cs="Calibri"/>
          <w:sz w:val="24"/>
          <w:szCs w:val="24"/>
        </w:rPr>
        <w:t xml:space="preserve"> 2018; </w:t>
      </w:r>
      <w:r w:rsidRPr="002864A0">
        <w:rPr>
          <w:rFonts w:ascii="Book Antiqua" w:hAnsi="Book Antiqua" w:cs="Calibri"/>
          <w:b/>
          <w:bCs/>
          <w:sz w:val="24"/>
          <w:szCs w:val="24"/>
        </w:rPr>
        <w:t>14</w:t>
      </w:r>
      <w:r w:rsidRPr="002864A0">
        <w:rPr>
          <w:rFonts w:ascii="Book Antiqua" w:hAnsi="Book Antiqua" w:cs="Calibri"/>
          <w:sz w:val="24"/>
          <w:szCs w:val="24"/>
        </w:rPr>
        <w:t>: 366-373 [PMID: 29971976 DOI: 10.3988/jcn.2018.14.3.366]</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4 </w:t>
      </w:r>
      <w:proofErr w:type="spellStart"/>
      <w:r w:rsidRPr="002864A0">
        <w:rPr>
          <w:rFonts w:ascii="Book Antiqua" w:hAnsi="Book Antiqua" w:cs="Calibri"/>
          <w:b/>
          <w:bCs/>
          <w:sz w:val="24"/>
          <w:szCs w:val="24"/>
        </w:rPr>
        <w:t>Eloqayli</w:t>
      </w:r>
      <w:proofErr w:type="spellEnd"/>
      <w:r w:rsidRPr="002864A0">
        <w:rPr>
          <w:rFonts w:ascii="Book Antiqua" w:hAnsi="Book Antiqua" w:cs="Calibri"/>
          <w:b/>
          <w:bCs/>
          <w:sz w:val="24"/>
          <w:szCs w:val="24"/>
        </w:rPr>
        <w:t xml:space="preserve"> H</w:t>
      </w:r>
      <w:r w:rsidRPr="002864A0">
        <w:rPr>
          <w:rFonts w:ascii="Book Antiqua" w:hAnsi="Book Antiqua" w:cs="Calibri"/>
          <w:sz w:val="24"/>
          <w:szCs w:val="24"/>
        </w:rPr>
        <w:t xml:space="preserve">, Al-Yousef A, </w:t>
      </w:r>
      <w:proofErr w:type="spellStart"/>
      <w:r w:rsidRPr="002864A0">
        <w:rPr>
          <w:rFonts w:ascii="Book Antiqua" w:hAnsi="Book Antiqua" w:cs="Calibri"/>
          <w:sz w:val="24"/>
          <w:szCs w:val="24"/>
        </w:rPr>
        <w:t>Jaradat</w:t>
      </w:r>
      <w:proofErr w:type="spellEnd"/>
      <w:r w:rsidRPr="002864A0">
        <w:rPr>
          <w:rFonts w:ascii="Book Antiqua" w:hAnsi="Book Antiqua" w:cs="Calibri"/>
          <w:sz w:val="24"/>
          <w:szCs w:val="24"/>
        </w:rPr>
        <w:t xml:space="preserve"> R. Vitamin D and ferritin correlation with chronic neck pain using standard statistics and a novel artificial neural network prediction model.</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Br J </w:t>
      </w:r>
      <w:proofErr w:type="spellStart"/>
      <w:r w:rsidRPr="002864A0">
        <w:rPr>
          <w:rFonts w:ascii="Book Antiqua" w:hAnsi="Book Antiqua" w:cs="Calibri"/>
          <w:i/>
          <w:iCs/>
          <w:sz w:val="24"/>
          <w:szCs w:val="24"/>
        </w:rPr>
        <w:t>Neurosurg</w:t>
      </w:r>
      <w:proofErr w:type="spellEnd"/>
      <w:r w:rsidRPr="002864A0">
        <w:rPr>
          <w:rFonts w:ascii="Book Antiqua" w:hAnsi="Book Antiqua" w:cs="Calibri"/>
          <w:sz w:val="24"/>
          <w:szCs w:val="24"/>
        </w:rPr>
        <w:t xml:space="preserve"> 2018; </w:t>
      </w:r>
      <w:r w:rsidRPr="002864A0">
        <w:rPr>
          <w:rFonts w:ascii="Book Antiqua" w:hAnsi="Book Antiqua" w:cs="Calibri"/>
          <w:b/>
          <w:bCs/>
          <w:sz w:val="24"/>
          <w:szCs w:val="24"/>
        </w:rPr>
        <w:t>32</w:t>
      </w:r>
      <w:r w:rsidRPr="002864A0">
        <w:rPr>
          <w:rFonts w:ascii="Book Antiqua" w:hAnsi="Book Antiqua" w:cs="Calibri"/>
          <w:sz w:val="24"/>
          <w:szCs w:val="24"/>
        </w:rPr>
        <w:t>: 172-176 [PMID: 29447493 DOI: 10.1080/02688697.2018.1436691]</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5 </w:t>
      </w:r>
      <w:r w:rsidRPr="002864A0">
        <w:rPr>
          <w:rFonts w:ascii="Book Antiqua" w:hAnsi="Book Antiqua" w:cs="Calibri"/>
          <w:b/>
          <w:bCs/>
          <w:sz w:val="24"/>
          <w:szCs w:val="24"/>
        </w:rPr>
        <w:t>Ortega Anta RM</w:t>
      </w:r>
      <w:r w:rsidRPr="002864A0">
        <w:rPr>
          <w:rFonts w:ascii="Book Antiqua" w:hAnsi="Book Antiqua" w:cs="Calibri"/>
          <w:sz w:val="24"/>
          <w:szCs w:val="24"/>
        </w:rPr>
        <w:t xml:space="preserve">, González-Rodríguez LG, Jiménez Ortega AI, </w:t>
      </w:r>
      <w:proofErr w:type="spellStart"/>
      <w:r w:rsidRPr="002864A0">
        <w:rPr>
          <w:rFonts w:ascii="Book Antiqua" w:hAnsi="Book Antiqua" w:cs="Calibri"/>
          <w:sz w:val="24"/>
          <w:szCs w:val="24"/>
        </w:rPr>
        <w:t>Estaire</w:t>
      </w:r>
      <w:proofErr w:type="spellEnd"/>
      <w:r w:rsidRPr="002864A0">
        <w:rPr>
          <w:rFonts w:ascii="Book Antiqua" w:hAnsi="Book Antiqua" w:cs="Calibri"/>
          <w:sz w:val="24"/>
          <w:szCs w:val="24"/>
        </w:rPr>
        <w:t xml:space="preserve"> Gómez P, Rodríguez-Rodríguez E, </w:t>
      </w:r>
      <w:proofErr w:type="spellStart"/>
      <w:r w:rsidRPr="002864A0">
        <w:rPr>
          <w:rFonts w:ascii="Book Antiqua" w:hAnsi="Book Antiqua" w:cs="Calibri"/>
          <w:sz w:val="24"/>
          <w:szCs w:val="24"/>
        </w:rPr>
        <w:t>Perea</w:t>
      </w:r>
      <w:proofErr w:type="spellEnd"/>
      <w:r w:rsidRPr="002864A0">
        <w:rPr>
          <w:rFonts w:ascii="Book Antiqua" w:hAnsi="Book Antiqua" w:cs="Calibri"/>
          <w:sz w:val="24"/>
          <w:szCs w:val="24"/>
        </w:rPr>
        <w:t xml:space="preserve"> Sánchez JM, </w:t>
      </w:r>
      <w:proofErr w:type="spellStart"/>
      <w:r w:rsidRPr="002864A0">
        <w:rPr>
          <w:rFonts w:ascii="Book Antiqua" w:hAnsi="Book Antiqua" w:cs="Calibri"/>
          <w:sz w:val="24"/>
          <w:szCs w:val="24"/>
        </w:rPr>
        <w:t>Aparicio</w:t>
      </w:r>
      <w:proofErr w:type="spellEnd"/>
      <w:r w:rsidRPr="002864A0">
        <w:rPr>
          <w:rFonts w:ascii="Book Antiqua" w:hAnsi="Book Antiqua" w:cs="Calibri"/>
          <w:sz w:val="24"/>
          <w:szCs w:val="24"/>
        </w:rPr>
        <w:t xml:space="preserve"> </w:t>
      </w:r>
      <w:proofErr w:type="spellStart"/>
      <w:r w:rsidRPr="002864A0">
        <w:rPr>
          <w:rFonts w:ascii="Book Antiqua" w:hAnsi="Book Antiqua" w:cs="Calibri"/>
          <w:sz w:val="24"/>
          <w:szCs w:val="24"/>
        </w:rPr>
        <w:t>Vizuete</w:t>
      </w:r>
      <w:proofErr w:type="spellEnd"/>
      <w:r w:rsidRPr="002864A0">
        <w:rPr>
          <w:rFonts w:ascii="Book Antiqua" w:hAnsi="Book Antiqua" w:cs="Calibri"/>
          <w:sz w:val="24"/>
          <w:szCs w:val="24"/>
        </w:rPr>
        <w:t xml:space="preserve"> A; </w:t>
      </w:r>
      <w:proofErr w:type="spellStart"/>
      <w:r w:rsidRPr="002864A0">
        <w:rPr>
          <w:rFonts w:ascii="Book Antiqua" w:hAnsi="Book Antiqua" w:cs="Calibri"/>
          <w:sz w:val="24"/>
          <w:szCs w:val="24"/>
        </w:rPr>
        <w:t>Grupo</w:t>
      </w:r>
      <w:proofErr w:type="spellEnd"/>
      <w:r w:rsidRPr="002864A0">
        <w:rPr>
          <w:rFonts w:ascii="Book Antiqua" w:hAnsi="Book Antiqua" w:cs="Calibri"/>
          <w:sz w:val="24"/>
          <w:szCs w:val="24"/>
        </w:rPr>
        <w:t xml:space="preserve"> de </w:t>
      </w:r>
      <w:proofErr w:type="spellStart"/>
      <w:r w:rsidRPr="002864A0">
        <w:rPr>
          <w:rFonts w:ascii="Book Antiqua" w:hAnsi="Book Antiqua" w:cs="Calibri"/>
          <w:sz w:val="24"/>
          <w:szCs w:val="24"/>
        </w:rPr>
        <w:t>Investigación</w:t>
      </w:r>
      <w:proofErr w:type="spellEnd"/>
      <w:r w:rsidRPr="002864A0">
        <w:rPr>
          <w:rFonts w:ascii="Book Antiqua" w:hAnsi="Book Antiqua" w:cs="Calibri"/>
          <w:sz w:val="24"/>
          <w:szCs w:val="24"/>
        </w:rPr>
        <w:t xml:space="preserve"> Nº 920030. [Insufficient intake of vitamin D in </w:t>
      </w:r>
      <w:proofErr w:type="spellStart"/>
      <w:proofErr w:type="gramStart"/>
      <w:r w:rsidRPr="002864A0">
        <w:rPr>
          <w:rFonts w:ascii="Book Antiqua" w:hAnsi="Book Antiqua" w:cs="Calibri"/>
          <w:sz w:val="24"/>
          <w:szCs w:val="24"/>
        </w:rPr>
        <w:t>spanish</w:t>
      </w:r>
      <w:proofErr w:type="spellEnd"/>
      <w:proofErr w:type="gramEnd"/>
      <w:r w:rsidRPr="002864A0">
        <w:rPr>
          <w:rFonts w:ascii="Book Antiqua" w:hAnsi="Book Antiqua" w:cs="Calibri"/>
          <w:sz w:val="24"/>
          <w:szCs w:val="24"/>
        </w:rPr>
        <w:t xml:space="preserve"> schoolchildren: determinants of the problem and basis for its improvement]. </w:t>
      </w:r>
      <w:proofErr w:type="spellStart"/>
      <w:r w:rsidRPr="002864A0">
        <w:rPr>
          <w:rFonts w:ascii="Book Antiqua" w:hAnsi="Book Antiqua" w:cs="Calibri"/>
          <w:i/>
          <w:iCs/>
          <w:sz w:val="24"/>
          <w:szCs w:val="24"/>
        </w:rPr>
        <w:t>Nutr</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Hosp</w:t>
      </w:r>
      <w:proofErr w:type="spellEnd"/>
      <w:r w:rsidRPr="002864A0">
        <w:rPr>
          <w:rFonts w:ascii="Book Antiqua" w:hAnsi="Book Antiqua" w:cs="Calibri"/>
          <w:sz w:val="24"/>
          <w:szCs w:val="24"/>
        </w:rPr>
        <w:t xml:space="preserve"> 2012; </w:t>
      </w:r>
      <w:r w:rsidRPr="002864A0">
        <w:rPr>
          <w:rFonts w:ascii="Book Antiqua" w:hAnsi="Book Antiqua" w:cs="Calibri"/>
          <w:b/>
          <w:bCs/>
          <w:sz w:val="24"/>
          <w:szCs w:val="24"/>
        </w:rPr>
        <w:t>27</w:t>
      </w:r>
      <w:r w:rsidRPr="002864A0">
        <w:rPr>
          <w:rFonts w:ascii="Book Antiqua" w:hAnsi="Book Antiqua" w:cs="Calibri"/>
          <w:sz w:val="24"/>
          <w:szCs w:val="24"/>
        </w:rPr>
        <w:t>: 1437-1443 [PMID: 23478689 DOI: 10.3305/nh.2012.27.5.5900]</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6 </w:t>
      </w:r>
      <w:proofErr w:type="spellStart"/>
      <w:r w:rsidRPr="002864A0">
        <w:rPr>
          <w:rFonts w:ascii="Book Antiqua" w:hAnsi="Book Antiqua" w:cs="Calibri"/>
          <w:b/>
          <w:bCs/>
          <w:sz w:val="24"/>
          <w:szCs w:val="24"/>
        </w:rPr>
        <w:t>Wimalawansa</w:t>
      </w:r>
      <w:proofErr w:type="spellEnd"/>
      <w:r w:rsidRPr="002864A0">
        <w:rPr>
          <w:rFonts w:ascii="Book Antiqua" w:hAnsi="Book Antiqua" w:cs="Calibri"/>
          <w:b/>
          <w:bCs/>
          <w:sz w:val="24"/>
          <w:szCs w:val="24"/>
        </w:rPr>
        <w:t xml:space="preserve"> SJ</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Razzaque</w:t>
      </w:r>
      <w:proofErr w:type="spellEnd"/>
      <w:r w:rsidRPr="002864A0">
        <w:rPr>
          <w:rFonts w:ascii="Book Antiqua" w:hAnsi="Book Antiqua" w:cs="Calibri"/>
          <w:sz w:val="24"/>
          <w:szCs w:val="24"/>
        </w:rPr>
        <w:t xml:space="preserve"> MS, Al-</w:t>
      </w:r>
      <w:proofErr w:type="spellStart"/>
      <w:r w:rsidRPr="002864A0">
        <w:rPr>
          <w:rFonts w:ascii="Book Antiqua" w:hAnsi="Book Antiqua" w:cs="Calibri"/>
          <w:sz w:val="24"/>
          <w:szCs w:val="24"/>
        </w:rPr>
        <w:t>Daghri</w:t>
      </w:r>
      <w:proofErr w:type="spellEnd"/>
      <w:r w:rsidRPr="002864A0">
        <w:rPr>
          <w:rFonts w:ascii="Book Antiqua" w:hAnsi="Book Antiqua" w:cs="Calibri"/>
          <w:sz w:val="24"/>
          <w:szCs w:val="24"/>
        </w:rPr>
        <w:t xml:space="preserve"> NM.</w:t>
      </w:r>
      <w:proofErr w:type="gramEnd"/>
      <w:r w:rsidRPr="002864A0">
        <w:rPr>
          <w:rFonts w:ascii="Book Antiqua" w:hAnsi="Book Antiqua" w:cs="Calibri"/>
          <w:sz w:val="24"/>
          <w:szCs w:val="24"/>
        </w:rPr>
        <w:t xml:space="preserve"> Calcium and vitamin D in human health: Hype or real? </w:t>
      </w:r>
      <w:r w:rsidRPr="002864A0">
        <w:rPr>
          <w:rFonts w:ascii="Book Antiqua" w:hAnsi="Book Antiqua" w:cs="Calibri"/>
          <w:i/>
          <w:iCs/>
          <w:sz w:val="24"/>
          <w:szCs w:val="24"/>
        </w:rPr>
        <w:t xml:space="preserve">J Steroid </w:t>
      </w:r>
      <w:proofErr w:type="spellStart"/>
      <w:r w:rsidRPr="002864A0">
        <w:rPr>
          <w:rFonts w:ascii="Book Antiqua" w:hAnsi="Book Antiqua" w:cs="Calibri"/>
          <w:i/>
          <w:iCs/>
          <w:sz w:val="24"/>
          <w:szCs w:val="24"/>
        </w:rPr>
        <w:t>Biochem</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Mol</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Biol</w:t>
      </w:r>
      <w:proofErr w:type="spellEnd"/>
      <w:r w:rsidRPr="002864A0">
        <w:rPr>
          <w:rFonts w:ascii="Book Antiqua" w:hAnsi="Book Antiqua" w:cs="Calibri"/>
          <w:sz w:val="24"/>
          <w:szCs w:val="24"/>
        </w:rPr>
        <w:t xml:space="preserve"> 2018; </w:t>
      </w:r>
      <w:r w:rsidRPr="002864A0">
        <w:rPr>
          <w:rFonts w:ascii="Book Antiqua" w:hAnsi="Book Antiqua" w:cs="Calibri"/>
          <w:b/>
          <w:bCs/>
          <w:sz w:val="24"/>
          <w:szCs w:val="24"/>
        </w:rPr>
        <w:t>180</w:t>
      </w:r>
      <w:r w:rsidRPr="002864A0">
        <w:rPr>
          <w:rFonts w:ascii="Book Antiqua" w:hAnsi="Book Antiqua" w:cs="Calibri"/>
          <w:sz w:val="24"/>
          <w:szCs w:val="24"/>
        </w:rPr>
        <w:t>: 4-14 [PMID: 29258769 DOI: 10.1016/j.jsbmb.2017.12.009]</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7 </w:t>
      </w:r>
      <w:r w:rsidRPr="002864A0">
        <w:rPr>
          <w:rFonts w:ascii="Book Antiqua" w:hAnsi="Book Antiqua" w:cs="Calibri"/>
          <w:b/>
          <w:bCs/>
          <w:sz w:val="24"/>
          <w:szCs w:val="24"/>
        </w:rPr>
        <w:t>Yan X</w:t>
      </w:r>
      <w:r w:rsidRPr="002864A0">
        <w:rPr>
          <w:rFonts w:ascii="Book Antiqua" w:hAnsi="Book Antiqua" w:cs="Calibri"/>
          <w:sz w:val="24"/>
          <w:szCs w:val="24"/>
        </w:rPr>
        <w:t xml:space="preserve">, Thomson JS, Zhao R, Zhu R, Wang Z, Zhang N, Coad J. Vitamin D Status of Residents in Taiyuan, China and Influencing Factors. </w:t>
      </w:r>
      <w:r w:rsidRPr="002864A0">
        <w:rPr>
          <w:rFonts w:ascii="Book Antiqua" w:hAnsi="Book Antiqua" w:cs="Calibri"/>
          <w:i/>
          <w:iCs/>
          <w:sz w:val="24"/>
          <w:szCs w:val="24"/>
        </w:rPr>
        <w:t>Nutrients</w:t>
      </w:r>
      <w:r w:rsidRPr="002864A0">
        <w:rPr>
          <w:rFonts w:ascii="Book Antiqua" w:hAnsi="Book Antiqua" w:cs="Calibri"/>
          <w:sz w:val="24"/>
          <w:szCs w:val="24"/>
        </w:rPr>
        <w:t xml:space="preserve"> 2017; </w:t>
      </w:r>
      <w:r w:rsidRPr="002864A0">
        <w:rPr>
          <w:rFonts w:ascii="Book Antiqua" w:hAnsi="Book Antiqua" w:cs="Calibri"/>
          <w:b/>
          <w:bCs/>
          <w:sz w:val="24"/>
          <w:szCs w:val="24"/>
        </w:rPr>
        <w:t>9</w:t>
      </w:r>
      <w:r w:rsidRPr="002864A0">
        <w:rPr>
          <w:rFonts w:ascii="Book Antiqua" w:hAnsi="Book Antiqua" w:cs="Calibri"/>
          <w:sz w:val="24"/>
          <w:szCs w:val="24"/>
        </w:rPr>
        <w:t xml:space="preserve"> [PMID: 28820448 DOI: 10.3390/nu9080898]</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8 </w:t>
      </w:r>
      <w:r w:rsidRPr="002864A0">
        <w:rPr>
          <w:rFonts w:ascii="Book Antiqua" w:hAnsi="Book Antiqua" w:cs="Calibri"/>
          <w:b/>
          <w:bCs/>
          <w:sz w:val="24"/>
          <w:szCs w:val="24"/>
        </w:rPr>
        <w:t>Yuan R</w:t>
      </w:r>
      <w:r w:rsidRPr="002864A0">
        <w:rPr>
          <w:rFonts w:ascii="Book Antiqua" w:hAnsi="Book Antiqua" w:cs="Calibri"/>
          <w:sz w:val="24"/>
          <w:szCs w:val="24"/>
        </w:rPr>
        <w:t xml:space="preserve">, Ma S, Zhu X, Li J, Liang Y, Liu T, Zhu Y, Zhang B, Tan S, </w:t>
      </w:r>
      <w:proofErr w:type="spellStart"/>
      <w:r w:rsidRPr="002864A0">
        <w:rPr>
          <w:rFonts w:ascii="Book Antiqua" w:hAnsi="Book Antiqua" w:cs="Calibri"/>
          <w:sz w:val="24"/>
          <w:szCs w:val="24"/>
        </w:rPr>
        <w:t>Guo</w:t>
      </w:r>
      <w:proofErr w:type="spellEnd"/>
      <w:r w:rsidRPr="002864A0">
        <w:rPr>
          <w:rFonts w:ascii="Book Antiqua" w:hAnsi="Book Antiqua" w:cs="Calibri"/>
          <w:sz w:val="24"/>
          <w:szCs w:val="24"/>
        </w:rPr>
        <w:t xml:space="preserve"> H, Guan S, </w:t>
      </w:r>
      <w:proofErr w:type="spellStart"/>
      <w:r w:rsidRPr="002864A0">
        <w:rPr>
          <w:rFonts w:ascii="Book Antiqua" w:hAnsi="Book Antiqua" w:cs="Calibri"/>
          <w:sz w:val="24"/>
          <w:szCs w:val="24"/>
        </w:rPr>
        <w:t>Ao</w:t>
      </w:r>
      <w:proofErr w:type="spellEnd"/>
      <w:r w:rsidRPr="002864A0">
        <w:rPr>
          <w:rFonts w:ascii="Book Antiqua" w:hAnsi="Book Antiqua" w:cs="Calibri"/>
          <w:sz w:val="24"/>
          <w:szCs w:val="24"/>
        </w:rPr>
        <w:t xml:space="preserve"> P, Zhou G. Core level regulatory network of osteoblast as molecular mechanism for osteoporosis and treatment. </w:t>
      </w:r>
      <w:proofErr w:type="spellStart"/>
      <w:r w:rsidRPr="002864A0">
        <w:rPr>
          <w:rFonts w:ascii="Book Antiqua" w:hAnsi="Book Antiqua" w:cs="Calibri"/>
          <w:i/>
          <w:iCs/>
          <w:sz w:val="24"/>
          <w:szCs w:val="24"/>
        </w:rPr>
        <w:t>Oncotarget</w:t>
      </w:r>
      <w:proofErr w:type="spellEnd"/>
      <w:r w:rsidRPr="002864A0">
        <w:rPr>
          <w:rFonts w:ascii="Book Antiqua" w:hAnsi="Book Antiqua" w:cs="Calibri"/>
          <w:sz w:val="24"/>
          <w:szCs w:val="24"/>
        </w:rPr>
        <w:t xml:space="preserve"> 2016; </w:t>
      </w:r>
      <w:r w:rsidRPr="002864A0">
        <w:rPr>
          <w:rFonts w:ascii="Book Antiqua" w:hAnsi="Book Antiqua" w:cs="Calibri"/>
          <w:b/>
          <w:bCs/>
          <w:sz w:val="24"/>
          <w:szCs w:val="24"/>
        </w:rPr>
        <w:t>7</w:t>
      </w:r>
      <w:r w:rsidRPr="002864A0">
        <w:rPr>
          <w:rFonts w:ascii="Book Antiqua" w:hAnsi="Book Antiqua" w:cs="Calibri"/>
          <w:sz w:val="24"/>
          <w:szCs w:val="24"/>
        </w:rPr>
        <w:t>: 3692-3701 [PMID: 26783964 DOI: 10.18632/oncotarget.6923]</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9 </w:t>
      </w:r>
      <w:proofErr w:type="spellStart"/>
      <w:r w:rsidRPr="002864A0">
        <w:rPr>
          <w:rFonts w:ascii="Book Antiqua" w:hAnsi="Book Antiqua" w:cs="Calibri"/>
          <w:b/>
          <w:bCs/>
          <w:sz w:val="24"/>
          <w:szCs w:val="24"/>
        </w:rPr>
        <w:t>Tsugawa</w:t>
      </w:r>
      <w:proofErr w:type="spellEnd"/>
      <w:r w:rsidRPr="002864A0">
        <w:rPr>
          <w:rFonts w:ascii="Book Antiqua" w:hAnsi="Book Antiqua" w:cs="Calibri"/>
          <w:b/>
          <w:bCs/>
          <w:sz w:val="24"/>
          <w:szCs w:val="24"/>
        </w:rPr>
        <w:t xml:space="preserve"> N</w:t>
      </w:r>
      <w:r w:rsidRPr="002864A0">
        <w:rPr>
          <w:rFonts w:ascii="Book Antiqua" w:hAnsi="Book Antiqua" w:cs="Calibri"/>
          <w:sz w:val="24"/>
          <w:szCs w:val="24"/>
        </w:rPr>
        <w:t xml:space="preserve">. [Vitamin D and osteoporosis: current topics from epidemiological studies]. </w:t>
      </w:r>
      <w:proofErr w:type="spellStart"/>
      <w:r w:rsidRPr="002864A0">
        <w:rPr>
          <w:rFonts w:ascii="Book Antiqua" w:hAnsi="Book Antiqua" w:cs="Calibri"/>
          <w:i/>
          <w:iCs/>
          <w:sz w:val="24"/>
          <w:szCs w:val="24"/>
        </w:rPr>
        <w:t>Rinsho</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Byori</w:t>
      </w:r>
      <w:proofErr w:type="spellEnd"/>
      <w:r w:rsidRPr="002864A0">
        <w:rPr>
          <w:rFonts w:ascii="Book Antiqua" w:hAnsi="Book Antiqua" w:cs="Calibri"/>
          <w:sz w:val="24"/>
          <w:szCs w:val="24"/>
        </w:rPr>
        <w:t xml:space="preserve"> 2010; </w:t>
      </w:r>
      <w:r w:rsidRPr="002864A0">
        <w:rPr>
          <w:rFonts w:ascii="Book Antiqua" w:hAnsi="Book Antiqua" w:cs="Calibri"/>
          <w:b/>
          <w:bCs/>
          <w:sz w:val="24"/>
          <w:szCs w:val="24"/>
        </w:rPr>
        <w:t>58</w:t>
      </w:r>
      <w:r w:rsidRPr="002864A0">
        <w:rPr>
          <w:rFonts w:ascii="Book Antiqua" w:hAnsi="Book Antiqua" w:cs="Calibri"/>
          <w:sz w:val="24"/>
          <w:szCs w:val="24"/>
        </w:rPr>
        <w:t>: 244-253 [PMID: 20408443]</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10 </w:t>
      </w:r>
      <w:proofErr w:type="spellStart"/>
      <w:r w:rsidRPr="002864A0">
        <w:rPr>
          <w:rFonts w:ascii="Book Antiqua" w:hAnsi="Book Antiqua" w:cs="Calibri"/>
          <w:b/>
          <w:bCs/>
          <w:sz w:val="24"/>
          <w:szCs w:val="24"/>
        </w:rPr>
        <w:t>Emini-Sadiku</w:t>
      </w:r>
      <w:proofErr w:type="spellEnd"/>
      <w:r w:rsidRPr="002864A0">
        <w:rPr>
          <w:rFonts w:ascii="Book Antiqua" w:hAnsi="Book Antiqua" w:cs="Calibri"/>
          <w:b/>
          <w:bCs/>
          <w:sz w:val="24"/>
          <w:szCs w:val="24"/>
        </w:rPr>
        <w:t xml:space="preserve"> M</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Morina-Kuqi</w:t>
      </w:r>
      <w:proofErr w:type="spellEnd"/>
      <w:r w:rsidRPr="002864A0">
        <w:rPr>
          <w:rFonts w:ascii="Book Antiqua" w:hAnsi="Book Antiqua" w:cs="Calibri"/>
          <w:sz w:val="24"/>
          <w:szCs w:val="24"/>
        </w:rPr>
        <w:t xml:space="preserve"> N. Concealing Clothing Leading to Severe Vitamin D Deficiency, </w:t>
      </w:r>
      <w:proofErr w:type="spellStart"/>
      <w:r w:rsidRPr="002864A0">
        <w:rPr>
          <w:rFonts w:ascii="Book Antiqua" w:hAnsi="Book Antiqua" w:cs="Calibri"/>
          <w:sz w:val="24"/>
          <w:szCs w:val="24"/>
        </w:rPr>
        <w:t>Osteomalacia</w:t>
      </w:r>
      <w:proofErr w:type="spellEnd"/>
      <w:r w:rsidRPr="002864A0">
        <w:rPr>
          <w:rFonts w:ascii="Book Antiqua" w:hAnsi="Book Antiqua" w:cs="Calibri"/>
          <w:sz w:val="24"/>
          <w:szCs w:val="24"/>
        </w:rPr>
        <w:t xml:space="preserve"> and Muscle Weakness. </w:t>
      </w:r>
      <w:r w:rsidRPr="002864A0">
        <w:rPr>
          <w:rFonts w:ascii="Book Antiqua" w:hAnsi="Book Antiqua" w:cs="Calibri"/>
          <w:i/>
          <w:iCs/>
          <w:sz w:val="24"/>
          <w:szCs w:val="24"/>
        </w:rPr>
        <w:t xml:space="preserve">Open Access </w:t>
      </w:r>
      <w:proofErr w:type="spellStart"/>
      <w:r w:rsidRPr="002864A0">
        <w:rPr>
          <w:rFonts w:ascii="Book Antiqua" w:hAnsi="Book Antiqua" w:cs="Calibri"/>
          <w:i/>
          <w:iCs/>
          <w:sz w:val="24"/>
          <w:szCs w:val="24"/>
        </w:rPr>
        <w:t>Maced</w:t>
      </w:r>
      <w:proofErr w:type="spellEnd"/>
      <w:r w:rsidRPr="002864A0">
        <w:rPr>
          <w:rFonts w:ascii="Book Antiqua" w:hAnsi="Book Antiqua" w:cs="Calibri"/>
          <w:i/>
          <w:iCs/>
          <w:sz w:val="24"/>
          <w:szCs w:val="24"/>
        </w:rPr>
        <w:t xml:space="preserve"> J Med </w:t>
      </w:r>
      <w:proofErr w:type="spellStart"/>
      <w:r w:rsidRPr="002864A0">
        <w:rPr>
          <w:rFonts w:ascii="Book Antiqua" w:hAnsi="Book Antiqua" w:cs="Calibri"/>
          <w:i/>
          <w:iCs/>
          <w:sz w:val="24"/>
          <w:szCs w:val="24"/>
        </w:rPr>
        <w:t>Sci</w:t>
      </w:r>
      <w:proofErr w:type="spellEnd"/>
      <w:r w:rsidRPr="002864A0">
        <w:rPr>
          <w:rFonts w:ascii="Book Antiqua" w:hAnsi="Book Antiqua" w:cs="Calibri"/>
          <w:sz w:val="24"/>
          <w:szCs w:val="24"/>
        </w:rPr>
        <w:t xml:space="preserve"> 2019; </w:t>
      </w:r>
      <w:r w:rsidRPr="002864A0">
        <w:rPr>
          <w:rFonts w:ascii="Book Antiqua" w:hAnsi="Book Antiqua" w:cs="Calibri"/>
          <w:b/>
          <w:bCs/>
          <w:sz w:val="24"/>
          <w:szCs w:val="24"/>
        </w:rPr>
        <w:t>7</w:t>
      </w:r>
      <w:r w:rsidRPr="002864A0">
        <w:rPr>
          <w:rFonts w:ascii="Book Antiqua" w:hAnsi="Book Antiqua" w:cs="Calibri"/>
          <w:sz w:val="24"/>
          <w:szCs w:val="24"/>
        </w:rPr>
        <w:t>: 2146-2149 [PMID: 31456842 DOI: 10.3889/oamjms.2019.584]</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11 </w:t>
      </w:r>
      <w:r w:rsidRPr="002864A0">
        <w:rPr>
          <w:rFonts w:ascii="Book Antiqua" w:hAnsi="Book Antiqua" w:cs="Calibri"/>
          <w:b/>
          <w:bCs/>
          <w:sz w:val="24"/>
          <w:szCs w:val="24"/>
        </w:rPr>
        <w:t>Bergman P</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Sperneder</w:t>
      </w:r>
      <w:proofErr w:type="spellEnd"/>
      <w:r w:rsidRPr="002864A0">
        <w:rPr>
          <w:rFonts w:ascii="Book Antiqua" w:hAnsi="Book Antiqua" w:cs="Calibri"/>
          <w:sz w:val="24"/>
          <w:szCs w:val="24"/>
        </w:rPr>
        <w:t xml:space="preserve"> S, </w:t>
      </w:r>
      <w:proofErr w:type="spellStart"/>
      <w:r w:rsidRPr="002864A0">
        <w:rPr>
          <w:rFonts w:ascii="Book Antiqua" w:hAnsi="Book Antiqua" w:cs="Calibri"/>
          <w:sz w:val="24"/>
          <w:szCs w:val="24"/>
        </w:rPr>
        <w:t>Höijer</w:t>
      </w:r>
      <w:proofErr w:type="spellEnd"/>
      <w:r w:rsidRPr="002864A0">
        <w:rPr>
          <w:rFonts w:ascii="Book Antiqua" w:hAnsi="Book Antiqua" w:cs="Calibri"/>
          <w:sz w:val="24"/>
          <w:szCs w:val="24"/>
        </w:rPr>
        <w:t xml:space="preserve"> J, </w:t>
      </w:r>
      <w:proofErr w:type="spellStart"/>
      <w:r w:rsidRPr="002864A0">
        <w:rPr>
          <w:rFonts w:ascii="Book Antiqua" w:hAnsi="Book Antiqua" w:cs="Calibri"/>
          <w:sz w:val="24"/>
          <w:szCs w:val="24"/>
        </w:rPr>
        <w:t>Bergqvist</w:t>
      </w:r>
      <w:proofErr w:type="spellEnd"/>
      <w:r w:rsidRPr="002864A0">
        <w:rPr>
          <w:rFonts w:ascii="Book Antiqua" w:hAnsi="Book Antiqua" w:cs="Calibri"/>
          <w:sz w:val="24"/>
          <w:szCs w:val="24"/>
        </w:rPr>
        <w:t xml:space="preserve"> J, </w:t>
      </w:r>
      <w:proofErr w:type="spellStart"/>
      <w:r w:rsidRPr="002864A0">
        <w:rPr>
          <w:rFonts w:ascii="Book Antiqua" w:hAnsi="Book Antiqua" w:cs="Calibri"/>
          <w:sz w:val="24"/>
          <w:szCs w:val="24"/>
        </w:rPr>
        <w:t>Björkhem</w:t>
      </w:r>
      <w:proofErr w:type="spellEnd"/>
      <w:r w:rsidRPr="002864A0">
        <w:rPr>
          <w:rFonts w:ascii="Book Antiqua" w:hAnsi="Book Antiqua" w:cs="Calibri"/>
          <w:sz w:val="24"/>
          <w:szCs w:val="24"/>
        </w:rPr>
        <w:t xml:space="preserve">-Bergman L. Low vitamin D levels are associated with higher opioid dose in palliative cancer patients--results from an observational study in Sweden. </w:t>
      </w:r>
      <w:proofErr w:type="spellStart"/>
      <w:r w:rsidRPr="002864A0">
        <w:rPr>
          <w:rFonts w:ascii="Book Antiqua" w:hAnsi="Book Antiqua" w:cs="Calibri"/>
          <w:i/>
          <w:iCs/>
          <w:sz w:val="24"/>
          <w:szCs w:val="24"/>
        </w:rPr>
        <w:t>PLoS</w:t>
      </w:r>
      <w:proofErr w:type="spellEnd"/>
      <w:r w:rsidRPr="002864A0">
        <w:rPr>
          <w:rFonts w:ascii="Book Antiqua" w:hAnsi="Book Antiqua" w:cs="Calibri"/>
          <w:i/>
          <w:iCs/>
          <w:sz w:val="24"/>
          <w:szCs w:val="24"/>
        </w:rPr>
        <w:t xml:space="preserve"> One</w:t>
      </w:r>
      <w:r w:rsidRPr="002864A0">
        <w:rPr>
          <w:rFonts w:ascii="Book Antiqua" w:hAnsi="Book Antiqua" w:cs="Calibri"/>
          <w:sz w:val="24"/>
          <w:szCs w:val="24"/>
        </w:rPr>
        <w:t xml:space="preserve"> 2015; </w:t>
      </w:r>
      <w:r w:rsidRPr="002864A0">
        <w:rPr>
          <w:rFonts w:ascii="Book Antiqua" w:hAnsi="Book Antiqua" w:cs="Calibri"/>
          <w:b/>
          <w:bCs/>
          <w:sz w:val="24"/>
          <w:szCs w:val="24"/>
        </w:rPr>
        <w:t>10</w:t>
      </w:r>
      <w:r w:rsidRPr="002864A0">
        <w:rPr>
          <w:rFonts w:ascii="Book Antiqua" w:hAnsi="Book Antiqua" w:cs="Calibri"/>
          <w:sz w:val="24"/>
          <w:szCs w:val="24"/>
        </w:rPr>
        <w:t>: e0128223 [PMID: 26018761 DOI: 10.1371/journal.pone.0128223]</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12 </w:t>
      </w:r>
      <w:proofErr w:type="spellStart"/>
      <w:r w:rsidRPr="002864A0">
        <w:rPr>
          <w:rFonts w:ascii="Book Antiqua" w:hAnsi="Book Antiqua" w:cs="Calibri"/>
          <w:b/>
          <w:bCs/>
          <w:sz w:val="24"/>
          <w:szCs w:val="24"/>
        </w:rPr>
        <w:t>Björkhem</w:t>
      </w:r>
      <w:proofErr w:type="spellEnd"/>
      <w:r w:rsidRPr="002864A0">
        <w:rPr>
          <w:rFonts w:ascii="Book Antiqua" w:hAnsi="Book Antiqua" w:cs="Calibri"/>
          <w:b/>
          <w:bCs/>
          <w:sz w:val="24"/>
          <w:szCs w:val="24"/>
        </w:rPr>
        <w:t>-Bergman L</w:t>
      </w:r>
      <w:r w:rsidRPr="002864A0">
        <w:rPr>
          <w:rFonts w:ascii="Book Antiqua" w:hAnsi="Book Antiqua" w:cs="Calibri"/>
          <w:sz w:val="24"/>
          <w:szCs w:val="24"/>
        </w:rPr>
        <w:t>, Bergman P. Vitamin D and patients with palliative cancer.</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BMJ Support </w:t>
      </w:r>
      <w:proofErr w:type="spellStart"/>
      <w:r w:rsidRPr="002864A0">
        <w:rPr>
          <w:rFonts w:ascii="Book Antiqua" w:hAnsi="Book Antiqua" w:cs="Calibri"/>
          <w:i/>
          <w:iCs/>
          <w:sz w:val="24"/>
          <w:szCs w:val="24"/>
        </w:rPr>
        <w:t>Palliat</w:t>
      </w:r>
      <w:proofErr w:type="spellEnd"/>
      <w:r w:rsidRPr="002864A0">
        <w:rPr>
          <w:rFonts w:ascii="Book Antiqua" w:hAnsi="Book Antiqua" w:cs="Calibri"/>
          <w:i/>
          <w:iCs/>
          <w:sz w:val="24"/>
          <w:szCs w:val="24"/>
        </w:rPr>
        <w:t xml:space="preserve"> Care</w:t>
      </w:r>
      <w:r w:rsidRPr="002864A0">
        <w:rPr>
          <w:rFonts w:ascii="Book Antiqua" w:hAnsi="Book Antiqua" w:cs="Calibri"/>
          <w:sz w:val="24"/>
          <w:szCs w:val="24"/>
        </w:rPr>
        <w:t xml:space="preserve"> 2016; </w:t>
      </w:r>
      <w:r w:rsidRPr="002864A0">
        <w:rPr>
          <w:rFonts w:ascii="Book Antiqua" w:hAnsi="Book Antiqua" w:cs="Calibri"/>
          <w:b/>
          <w:bCs/>
          <w:sz w:val="24"/>
          <w:szCs w:val="24"/>
        </w:rPr>
        <w:t>6</w:t>
      </w:r>
      <w:r w:rsidRPr="002864A0">
        <w:rPr>
          <w:rFonts w:ascii="Book Antiqua" w:hAnsi="Book Antiqua" w:cs="Calibri"/>
          <w:sz w:val="24"/>
          <w:szCs w:val="24"/>
        </w:rPr>
        <w:t>: 287-291 [PMID: 27084421 DOI: 10.1136/bmjspcare-2015-000921]</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13 </w:t>
      </w:r>
      <w:proofErr w:type="spellStart"/>
      <w:r w:rsidRPr="002864A0">
        <w:rPr>
          <w:rFonts w:ascii="Book Antiqua" w:hAnsi="Book Antiqua" w:cs="Calibri"/>
          <w:b/>
          <w:bCs/>
          <w:sz w:val="24"/>
          <w:szCs w:val="24"/>
        </w:rPr>
        <w:t>Gendelman</w:t>
      </w:r>
      <w:proofErr w:type="spellEnd"/>
      <w:r w:rsidRPr="002864A0">
        <w:rPr>
          <w:rFonts w:ascii="Book Antiqua" w:hAnsi="Book Antiqua" w:cs="Calibri"/>
          <w:b/>
          <w:bCs/>
          <w:sz w:val="24"/>
          <w:szCs w:val="24"/>
        </w:rPr>
        <w:t xml:space="preserve"> O</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Itzhaki</w:t>
      </w:r>
      <w:proofErr w:type="spellEnd"/>
      <w:r w:rsidRPr="002864A0">
        <w:rPr>
          <w:rFonts w:ascii="Book Antiqua" w:hAnsi="Book Antiqua" w:cs="Calibri"/>
          <w:sz w:val="24"/>
          <w:szCs w:val="24"/>
        </w:rPr>
        <w:t xml:space="preserve"> D, Makarov S, </w:t>
      </w:r>
      <w:proofErr w:type="spellStart"/>
      <w:r w:rsidRPr="002864A0">
        <w:rPr>
          <w:rFonts w:ascii="Book Antiqua" w:hAnsi="Book Antiqua" w:cs="Calibri"/>
          <w:sz w:val="24"/>
          <w:szCs w:val="24"/>
        </w:rPr>
        <w:t>Bennun</w:t>
      </w:r>
      <w:proofErr w:type="spellEnd"/>
      <w:r w:rsidRPr="002864A0">
        <w:rPr>
          <w:rFonts w:ascii="Book Antiqua" w:hAnsi="Book Antiqua" w:cs="Calibri"/>
          <w:sz w:val="24"/>
          <w:szCs w:val="24"/>
        </w:rPr>
        <w:t xml:space="preserve"> M, </w:t>
      </w:r>
      <w:proofErr w:type="spellStart"/>
      <w:r w:rsidRPr="002864A0">
        <w:rPr>
          <w:rFonts w:ascii="Book Antiqua" w:hAnsi="Book Antiqua" w:cs="Calibri"/>
          <w:sz w:val="24"/>
          <w:szCs w:val="24"/>
        </w:rPr>
        <w:t>Amital</w:t>
      </w:r>
      <w:proofErr w:type="spellEnd"/>
      <w:r w:rsidRPr="002864A0">
        <w:rPr>
          <w:rFonts w:ascii="Book Antiqua" w:hAnsi="Book Antiqua" w:cs="Calibri"/>
          <w:sz w:val="24"/>
          <w:szCs w:val="24"/>
        </w:rPr>
        <w:t xml:space="preserve"> H. </w:t>
      </w:r>
      <w:proofErr w:type="gramStart"/>
      <w:r w:rsidRPr="002864A0">
        <w:rPr>
          <w:rFonts w:ascii="Book Antiqua" w:hAnsi="Book Antiqua" w:cs="Calibri"/>
          <w:sz w:val="24"/>
          <w:szCs w:val="24"/>
        </w:rPr>
        <w:t>A randomized double-blind placebo-controlled study adding high dose vitamin D to analgesic regimens in patients with musculoskeletal pain.</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Lupus</w:t>
      </w:r>
      <w:r w:rsidRPr="002864A0">
        <w:rPr>
          <w:rFonts w:ascii="Book Antiqua" w:hAnsi="Book Antiqua" w:cs="Calibri"/>
          <w:sz w:val="24"/>
          <w:szCs w:val="24"/>
        </w:rPr>
        <w:t xml:space="preserve"> 2015; </w:t>
      </w:r>
      <w:r w:rsidRPr="002864A0">
        <w:rPr>
          <w:rFonts w:ascii="Book Antiqua" w:hAnsi="Book Antiqua" w:cs="Calibri"/>
          <w:b/>
          <w:bCs/>
          <w:sz w:val="24"/>
          <w:szCs w:val="24"/>
        </w:rPr>
        <w:t>24</w:t>
      </w:r>
      <w:r w:rsidRPr="002864A0">
        <w:rPr>
          <w:rFonts w:ascii="Book Antiqua" w:hAnsi="Book Antiqua" w:cs="Calibri"/>
          <w:sz w:val="24"/>
          <w:szCs w:val="24"/>
        </w:rPr>
        <w:t>: 483-489 [PMID: 25801891 DOI: 10.1177/0961203314558676]</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14 </w:t>
      </w:r>
      <w:proofErr w:type="spellStart"/>
      <w:r w:rsidRPr="002864A0">
        <w:rPr>
          <w:rFonts w:ascii="Book Antiqua" w:hAnsi="Book Antiqua" w:cs="Calibri"/>
          <w:b/>
          <w:bCs/>
          <w:sz w:val="24"/>
          <w:szCs w:val="24"/>
        </w:rPr>
        <w:t>Ovesjö</w:t>
      </w:r>
      <w:proofErr w:type="spellEnd"/>
      <w:r w:rsidRPr="002864A0">
        <w:rPr>
          <w:rFonts w:ascii="Book Antiqua" w:hAnsi="Book Antiqua" w:cs="Calibri"/>
          <w:b/>
          <w:bCs/>
          <w:sz w:val="24"/>
          <w:szCs w:val="24"/>
        </w:rPr>
        <w:t xml:space="preserve"> ML</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Skilving</w:t>
      </w:r>
      <w:proofErr w:type="spellEnd"/>
      <w:r w:rsidRPr="002864A0">
        <w:rPr>
          <w:rFonts w:ascii="Book Antiqua" w:hAnsi="Book Antiqua" w:cs="Calibri"/>
          <w:sz w:val="24"/>
          <w:szCs w:val="24"/>
        </w:rPr>
        <w:t xml:space="preserve"> I, Bergman P, </w:t>
      </w:r>
      <w:proofErr w:type="spellStart"/>
      <w:r w:rsidRPr="002864A0">
        <w:rPr>
          <w:rFonts w:ascii="Book Antiqua" w:hAnsi="Book Antiqua" w:cs="Calibri"/>
          <w:sz w:val="24"/>
          <w:szCs w:val="24"/>
        </w:rPr>
        <w:t>Rane</w:t>
      </w:r>
      <w:proofErr w:type="spellEnd"/>
      <w:r w:rsidRPr="002864A0">
        <w:rPr>
          <w:rFonts w:ascii="Book Antiqua" w:hAnsi="Book Antiqua" w:cs="Calibri"/>
          <w:sz w:val="24"/>
          <w:szCs w:val="24"/>
        </w:rPr>
        <w:t xml:space="preserve"> A, </w:t>
      </w:r>
      <w:proofErr w:type="spellStart"/>
      <w:r w:rsidRPr="002864A0">
        <w:rPr>
          <w:rFonts w:ascii="Book Antiqua" w:hAnsi="Book Antiqua" w:cs="Calibri"/>
          <w:sz w:val="24"/>
          <w:szCs w:val="24"/>
        </w:rPr>
        <w:t>Ekström</w:t>
      </w:r>
      <w:proofErr w:type="spellEnd"/>
      <w:r w:rsidRPr="002864A0">
        <w:rPr>
          <w:rFonts w:ascii="Book Antiqua" w:hAnsi="Book Antiqua" w:cs="Calibri"/>
          <w:sz w:val="24"/>
          <w:szCs w:val="24"/>
        </w:rPr>
        <w:t xml:space="preserve"> L, </w:t>
      </w:r>
      <w:proofErr w:type="spellStart"/>
      <w:r w:rsidRPr="002864A0">
        <w:rPr>
          <w:rFonts w:ascii="Book Antiqua" w:hAnsi="Book Antiqua" w:cs="Calibri"/>
          <w:sz w:val="24"/>
          <w:szCs w:val="24"/>
        </w:rPr>
        <w:t>Björkhem</w:t>
      </w:r>
      <w:proofErr w:type="spellEnd"/>
      <w:r w:rsidRPr="002864A0">
        <w:rPr>
          <w:rFonts w:ascii="Book Antiqua" w:hAnsi="Book Antiqua" w:cs="Calibri"/>
          <w:sz w:val="24"/>
          <w:szCs w:val="24"/>
        </w:rPr>
        <w:t xml:space="preserve">-Bergman L. Low Vitamin D Levels and Genetic Polymorphism in the Vitamin D Receptor are Associated with Increased Risk of Statin-Induced Myopathy. </w:t>
      </w:r>
      <w:r w:rsidRPr="002864A0">
        <w:rPr>
          <w:rFonts w:ascii="Book Antiqua" w:hAnsi="Book Antiqua" w:cs="Calibri"/>
          <w:i/>
          <w:iCs/>
          <w:sz w:val="24"/>
          <w:szCs w:val="24"/>
        </w:rPr>
        <w:t xml:space="preserve">Basic </w:t>
      </w:r>
      <w:proofErr w:type="spellStart"/>
      <w:r w:rsidRPr="002864A0">
        <w:rPr>
          <w:rFonts w:ascii="Book Antiqua" w:hAnsi="Book Antiqua" w:cs="Calibri"/>
          <w:i/>
          <w:iCs/>
          <w:sz w:val="24"/>
          <w:szCs w:val="24"/>
        </w:rPr>
        <w:t>Clin</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Pharmacol</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Toxicol</w:t>
      </w:r>
      <w:proofErr w:type="spellEnd"/>
      <w:r w:rsidRPr="002864A0">
        <w:rPr>
          <w:rFonts w:ascii="Book Antiqua" w:hAnsi="Book Antiqua" w:cs="Calibri"/>
          <w:sz w:val="24"/>
          <w:szCs w:val="24"/>
        </w:rPr>
        <w:t xml:space="preserve"> 2016; </w:t>
      </w:r>
      <w:r w:rsidRPr="002864A0">
        <w:rPr>
          <w:rFonts w:ascii="Book Antiqua" w:hAnsi="Book Antiqua" w:cs="Calibri"/>
          <w:b/>
          <w:bCs/>
          <w:sz w:val="24"/>
          <w:szCs w:val="24"/>
        </w:rPr>
        <w:t>118</w:t>
      </w:r>
      <w:r w:rsidRPr="002864A0">
        <w:rPr>
          <w:rFonts w:ascii="Book Antiqua" w:hAnsi="Book Antiqua" w:cs="Calibri"/>
          <w:sz w:val="24"/>
          <w:szCs w:val="24"/>
        </w:rPr>
        <w:t>: 214-218 [PMID: 26423691 DOI: 10.1111/bcpt.12482]</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15 </w:t>
      </w:r>
      <w:proofErr w:type="spellStart"/>
      <w:r w:rsidRPr="002864A0">
        <w:rPr>
          <w:rFonts w:ascii="Book Antiqua" w:hAnsi="Book Antiqua" w:cs="Calibri"/>
          <w:b/>
          <w:bCs/>
          <w:sz w:val="24"/>
          <w:szCs w:val="24"/>
        </w:rPr>
        <w:t>Shipton</w:t>
      </w:r>
      <w:proofErr w:type="spellEnd"/>
      <w:r w:rsidRPr="002864A0">
        <w:rPr>
          <w:rFonts w:ascii="Book Antiqua" w:hAnsi="Book Antiqua" w:cs="Calibri"/>
          <w:b/>
          <w:bCs/>
          <w:sz w:val="24"/>
          <w:szCs w:val="24"/>
        </w:rPr>
        <w:t xml:space="preserve"> EE</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Shipton</w:t>
      </w:r>
      <w:proofErr w:type="spellEnd"/>
      <w:r w:rsidRPr="002864A0">
        <w:rPr>
          <w:rFonts w:ascii="Book Antiqua" w:hAnsi="Book Antiqua" w:cs="Calibri"/>
          <w:sz w:val="24"/>
          <w:szCs w:val="24"/>
        </w:rPr>
        <w:t xml:space="preserve"> EA. Vitamin D Deficiency and Pain: Clinical Evidence of Low Levels of Vitamin D and Supplementation in Chronic Pain States. </w:t>
      </w:r>
      <w:r w:rsidRPr="002864A0">
        <w:rPr>
          <w:rFonts w:ascii="Book Antiqua" w:hAnsi="Book Antiqua" w:cs="Calibri"/>
          <w:i/>
          <w:iCs/>
          <w:sz w:val="24"/>
          <w:szCs w:val="24"/>
        </w:rPr>
        <w:t xml:space="preserve">Pain </w:t>
      </w:r>
      <w:proofErr w:type="spellStart"/>
      <w:r w:rsidRPr="002864A0">
        <w:rPr>
          <w:rFonts w:ascii="Book Antiqua" w:hAnsi="Book Antiqua" w:cs="Calibri"/>
          <w:i/>
          <w:iCs/>
          <w:sz w:val="24"/>
          <w:szCs w:val="24"/>
        </w:rPr>
        <w:t>Ther</w:t>
      </w:r>
      <w:proofErr w:type="spellEnd"/>
      <w:r w:rsidRPr="002864A0">
        <w:rPr>
          <w:rFonts w:ascii="Book Antiqua" w:hAnsi="Book Antiqua" w:cs="Calibri"/>
          <w:sz w:val="24"/>
          <w:szCs w:val="24"/>
        </w:rPr>
        <w:t xml:space="preserve"> 2015; </w:t>
      </w:r>
      <w:r w:rsidRPr="002864A0">
        <w:rPr>
          <w:rFonts w:ascii="Book Antiqua" w:hAnsi="Book Antiqua" w:cs="Calibri"/>
          <w:b/>
          <w:bCs/>
          <w:sz w:val="24"/>
          <w:szCs w:val="24"/>
        </w:rPr>
        <w:t>4</w:t>
      </w:r>
      <w:r w:rsidRPr="002864A0">
        <w:rPr>
          <w:rFonts w:ascii="Book Antiqua" w:hAnsi="Book Antiqua" w:cs="Calibri"/>
          <w:sz w:val="24"/>
          <w:szCs w:val="24"/>
        </w:rPr>
        <w:t>: 67-87 [PMID: 25920326 DOI: 10.1007/s40122-015-0036-8]</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16 </w:t>
      </w:r>
      <w:proofErr w:type="spellStart"/>
      <w:r w:rsidRPr="002864A0">
        <w:rPr>
          <w:rFonts w:ascii="Book Antiqua" w:hAnsi="Book Antiqua" w:cs="Calibri"/>
          <w:b/>
          <w:bCs/>
          <w:sz w:val="24"/>
          <w:szCs w:val="24"/>
        </w:rPr>
        <w:t>Straube</w:t>
      </w:r>
      <w:proofErr w:type="spellEnd"/>
      <w:r w:rsidRPr="002864A0">
        <w:rPr>
          <w:rFonts w:ascii="Book Antiqua" w:hAnsi="Book Antiqua" w:cs="Calibri"/>
          <w:b/>
          <w:bCs/>
          <w:sz w:val="24"/>
          <w:szCs w:val="24"/>
        </w:rPr>
        <w:t xml:space="preserve"> S</w:t>
      </w:r>
      <w:r w:rsidRPr="002864A0">
        <w:rPr>
          <w:rFonts w:ascii="Book Antiqua" w:hAnsi="Book Antiqua" w:cs="Calibri"/>
          <w:sz w:val="24"/>
          <w:szCs w:val="24"/>
        </w:rPr>
        <w:t xml:space="preserve">, Andrew Moore R, Derry S, McQuay HJ. </w:t>
      </w:r>
      <w:proofErr w:type="gramStart"/>
      <w:r w:rsidRPr="002864A0">
        <w:rPr>
          <w:rFonts w:ascii="Book Antiqua" w:hAnsi="Book Antiqua" w:cs="Calibri"/>
          <w:sz w:val="24"/>
          <w:szCs w:val="24"/>
        </w:rPr>
        <w:t>Vitamin D and chronic pain.</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Pain</w:t>
      </w:r>
      <w:r w:rsidRPr="002864A0">
        <w:rPr>
          <w:rFonts w:ascii="Book Antiqua" w:hAnsi="Book Antiqua" w:cs="Calibri"/>
          <w:sz w:val="24"/>
          <w:szCs w:val="24"/>
        </w:rPr>
        <w:t xml:space="preserve"> 2009; </w:t>
      </w:r>
      <w:r w:rsidRPr="002864A0">
        <w:rPr>
          <w:rFonts w:ascii="Book Antiqua" w:hAnsi="Book Antiqua" w:cs="Calibri"/>
          <w:b/>
          <w:bCs/>
          <w:sz w:val="24"/>
          <w:szCs w:val="24"/>
        </w:rPr>
        <w:t>141</w:t>
      </w:r>
      <w:r w:rsidRPr="002864A0">
        <w:rPr>
          <w:rFonts w:ascii="Book Antiqua" w:hAnsi="Book Antiqua" w:cs="Calibri"/>
          <w:sz w:val="24"/>
          <w:szCs w:val="24"/>
        </w:rPr>
        <w:t>: 10-13 [PMID: 19084336 DOI: 10.1016/j.pain.2008.11.010]</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17 </w:t>
      </w:r>
      <w:proofErr w:type="spellStart"/>
      <w:r w:rsidRPr="002864A0">
        <w:rPr>
          <w:rFonts w:ascii="Book Antiqua" w:hAnsi="Book Antiqua" w:cs="Calibri"/>
          <w:b/>
          <w:bCs/>
          <w:sz w:val="24"/>
          <w:szCs w:val="24"/>
        </w:rPr>
        <w:t>Straube</w:t>
      </w:r>
      <w:proofErr w:type="spellEnd"/>
      <w:r w:rsidRPr="002864A0">
        <w:rPr>
          <w:rFonts w:ascii="Book Antiqua" w:hAnsi="Book Antiqua" w:cs="Calibri"/>
          <w:b/>
          <w:bCs/>
          <w:sz w:val="24"/>
          <w:szCs w:val="24"/>
        </w:rPr>
        <w:t xml:space="preserve"> S</w:t>
      </w:r>
      <w:r w:rsidRPr="002864A0">
        <w:rPr>
          <w:rFonts w:ascii="Book Antiqua" w:hAnsi="Book Antiqua" w:cs="Calibri"/>
          <w:sz w:val="24"/>
          <w:szCs w:val="24"/>
        </w:rPr>
        <w:t xml:space="preserve">, Derry S, </w:t>
      </w:r>
      <w:proofErr w:type="spellStart"/>
      <w:r w:rsidRPr="002864A0">
        <w:rPr>
          <w:rFonts w:ascii="Book Antiqua" w:hAnsi="Book Antiqua" w:cs="Calibri"/>
          <w:sz w:val="24"/>
          <w:szCs w:val="24"/>
        </w:rPr>
        <w:t>Straube</w:t>
      </w:r>
      <w:proofErr w:type="spellEnd"/>
      <w:r w:rsidRPr="002864A0">
        <w:rPr>
          <w:rFonts w:ascii="Book Antiqua" w:hAnsi="Book Antiqua" w:cs="Calibri"/>
          <w:sz w:val="24"/>
          <w:szCs w:val="24"/>
        </w:rPr>
        <w:t xml:space="preserve"> C, Moore RA.</w:t>
      </w:r>
      <w:proofErr w:type="gramEnd"/>
      <w:r w:rsidRPr="002864A0">
        <w:rPr>
          <w:rFonts w:ascii="Book Antiqua" w:hAnsi="Book Antiqua" w:cs="Calibri"/>
          <w:sz w:val="24"/>
          <w:szCs w:val="24"/>
        </w:rPr>
        <w:t xml:space="preserve"> </w:t>
      </w:r>
      <w:proofErr w:type="gramStart"/>
      <w:r w:rsidRPr="002864A0">
        <w:rPr>
          <w:rFonts w:ascii="Book Antiqua" w:hAnsi="Book Antiqua" w:cs="Calibri"/>
          <w:sz w:val="24"/>
          <w:szCs w:val="24"/>
        </w:rPr>
        <w:t>Vitamin D for the treatment of chronic painful conditions in adults.</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Cochrane Database </w:t>
      </w:r>
      <w:proofErr w:type="spellStart"/>
      <w:r w:rsidRPr="002864A0">
        <w:rPr>
          <w:rFonts w:ascii="Book Antiqua" w:hAnsi="Book Antiqua" w:cs="Calibri"/>
          <w:i/>
          <w:iCs/>
          <w:sz w:val="24"/>
          <w:szCs w:val="24"/>
        </w:rPr>
        <w:t>Syst</w:t>
      </w:r>
      <w:proofErr w:type="spellEnd"/>
      <w:r w:rsidRPr="002864A0">
        <w:rPr>
          <w:rFonts w:ascii="Book Antiqua" w:hAnsi="Book Antiqua" w:cs="Calibri"/>
          <w:i/>
          <w:iCs/>
          <w:sz w:val="24"/>
          <w:szCs w:val="24"/>
        </w:rPr>
        <w:t xml:space="preserve"> Rev</w:t>
      </w:r>
      <w:r w:rsidRPr="002864A0">
        <w:rPr>
          <w:rFonts w:ascii="Book Antiqua" w:hAnsi="Book Antiqua" w:cs="Calibri"/>
          <w:sz w:val="24"/>
          <w:szCs w:val="24"/>
        </w:rPr>
        <w:t xml:space="preserve"> 2015; CD007771 [PMID: 25946084 DOI: 10.1002/14651858.CD007771.pub3]</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18 </w:t>
      </w:r>
      <w:r w:rsidRPr="002864A0">
        <w:rPr>
          <w:rFonts w:ascii="Book Antiqua" w:hAnsi="Book Antiqua" w:cs="Calibri"/>
          <w:b/>
          <w:bCs/>
          <w:sz w:val="24"/>
          <w:szCs w:val="24"/>
        </w:rPr>
        <w:t>Rizzoli R</w:t>
      </w:r>
      <w:r w:rsidRPr="002864A0">
        <w:rPr>
          <w:rFonts w:ascii="Book Antiqua" w:hAnsi="Book Antiqua" w:cs="Calibri"/>
          <w:sz w:val="24"/>
          <w:szCs w:val="24"/>
        </w:rPr>
        <w:t xml:space="preserve">, Stevenson JC, Bauer JM, van Loon LJ, </w:t>
      </w:r>
      <w:proofErr w:type="spellStart"/>
      <w:r w:rsidRPr="002864A0">
        <w:rPr>
          <w:rFonts w:ascii="Book Antiqua" w:hAnsi="Book Antiqua" w:cs="Calibri"/>
          <w:sz w:val="24"/>
          <w:szCs w:val="24"/>
        </w:rPr>
        <w:t>Walrand</w:t>
      </w:r>
      <w:proofErr w:type="spellEnd"/>
      <w:r w:rsidRPr="002864A0">
        <w:rPr>
          <w:rFonts w:ascii="Book Antiqua" w:hAnsi="Book Antiqua" w:cs="Calibri"/>
          <w:sz w:val="24"/>
          <w:szCs w:val="24"/>
        </w:rPr>
        <w:t xml:space="preserve"> S, </w:t>
      </w:r>
      <w:proofErr w:type="spellStart"/>
      <w:r w:rsidRPr="002864A0">
        <w:rPr>
          <w:rFonts w:ascii="Book Antiqua" w:hAnsi="Book Antiqua" w:cs="Calibri"/>
          <w:sz w:val="24"/>
          <w:szCs w:val="24"/>
        </w:rPr>
        <w:t>Kanis</w:t>
      </w:r>
      <w:proofErr w:type="spellEnd"/>
      <w:r w:rsidRPr="002864A0">
        <w:rPr>
          <w:rFonts w:ascii="Book Antiqua" w:hAnsi="Book Antiqua" w:cs="Calibri"/>
          <w:sz w:val="24"/>
          <w:szCs w:val="24"/>
        </w:rPr>
        <w:t xml:space="preserve"> JA, Cooper C, Brandi ML, </w:t>
      </w:r>
      <w:proofErr w:type="spellStart"/>
      <w:r w:rsidRPr="002864A0">
        <w:rPr>
          <w:rFonts w:ascii="Book Antiqua" w:hAnsi="Book Antiqua" w:cs="Calibri"/>
          <w:sz w:val="24"/>
          <w:szCs w:val="24"/>
        </w:rPr>
        <w:t>Diez</w:t>
      </w:r>
      <w:proofErr w:type="spellEnd"/>
      <w:r w:rsidRPr="002864A0">
        <w:rPr>
          <w:rFonts w:ascii="Book Antiqua" w:hAnsi="Book Antiqua" w:cs="Calibri"/>
          <w:sz w:val="24"/>
          <w:szCs w:val="24"/>
        </w:rPr>
        <w:t xml:space="preserve">-Perez A, </w:t>
      </w:r>
      <w:proofErr w:type="spellStart"/>
      <w:r w:rsidRPr="002864A0">
        <w:rPr>
          <w:rFonts w:ascii="Book Antiqua" w:hAnsi="Book Antiqua" w:cs="Calibri"/>
          <w:sz w:val="24"/>
          <w:szCs w:val="24"/>
        </w:rPr>
        <w:t>Reginster</w:t>
      </w:r>
      <w:proofErr w:type="spellEnd"/>
      <w:r w:rsidRPr="002864A0">
        <w:rPr>
          <w:rFonts w:ascii="Book Antiqua" w:hAnsi="Book Antiqua" w:cs="Calibri"/>
          <w:sz w:val="24"/>
          <w:szCs w:val="24"/>
        </w:rPr>
        <w:t xml:space="preserve"> JY; ESCEO Task Force. The role of dietary protein and vitamin D in maintaining musculoskeletal health in postmenopausal women: a consensus statement from the European Society for Clinical and Economic Aspects of Osteoporosis and Osteoarthritis (ESCEO). </w:t>
      </w:r>
      <w:proofErr w:type="spellStart"/>
      <w:r w:rsidRPr="002864A0">
        <w:rPr>
          <w:rFonts w:ascii="Book Antiqua" w:hAnsi="Book Antiqua" w:cs="Calibri"/>
          <w:i/>
          <w:iCs/>
          <w:sz w:val="24"/>
          <w:szCs w:val="24"/>
        </w:rPr>
        <w:t>Maturitas</w:t>
      </w:r>
      <w:proofErr w:type="spellEnd"/>
      <w:r w:rsidRPr="002864A0">
        <w:rPr>
          <w:rFonts w:ascii="Book Antiqua" w:hAnsi="Book Antiqua" w:cs="Calibri"/>
          <w:sz w:val="24"/>
          <w:szCs w:val="24"/>
        </w:rPr>
        <w:t xml:space="preserve"> 2014; </w:t>
      </w:r>
      <w:r w:rsidRPr="002864A0">
        <w:rPr>
          <w:rFonts w:ascii="Book Antiqua" w:hAnsi="Book Antiqua" w:cs="Calibri"/>
          <w:b/>
          <w:bCs/>
          <w:sz w:val="24"/>
          <w:szCs w:val="24"/>
        </w:rPr>
        <w:t>79</w:t>
      </w:r>
      <w:r w:rsidRPr="002864A0">
        <w:rPr>
          <w:rFonts w:ascii="Book Antiqua" w:hAnsi="Book Antiqua" w:cs="Calibri"/>
          <w:sz w:val="24"/>
          <w:szCs w:val="24"/>
        </w:rPr>
        <w:t>: 122-132 [PMID: 25082206 DOI: 10.1016/j.maturitas.2014.07.005]</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19 </w:t>
      </w:r>
      <w:r w:rsidRPr="002864A0">
        <w:rPr>
          <w:rFonts w:ascii="Book Antiqua" w:hAnsi="Book Antiqua" w:cs="Calibri"/>
          <w:b/>
          <w:bCs/>
          <w:sz w:val="24"/>
          <w:szCs w:val="24"/>
        </w:rPr>
        <w:t>Zhen D</w:t>
      </w:r>
      <w:r w:rsidRPr="002864A0">
        <w:rPr>
          <w:rFonts w:ascii="Book Antiqua" w:hAnsi="Book Antiqua" w:cs="Calibri"/>
          <w:sz w:val="24"/>
          <w:szCs w:val="24"/>
        </w:rPr>
        <w:t xml:space="preserve">, Liu L, Guan C, Zhao N, Tang X. High prevalence of vitamin D deficiency among middle-aged and elderly individuals in northwestern China: its relationship to osteoporosis and lifestyle factors. </w:t>
      </w:r>
      <w:r w:rsidRPr="002864A0">
        <w:rPr>
          <w:rFonts w:ascii="Book Antiqua" w:hAnsi="Book Antiqua" w:cs="Calibri"/>
          <w:i/>
          <w:iCs/>
          <w:sz w:val="24"/>
          <w:szCs w:val="24"/>
        </w:rPr>
        <w:t>Bone</w:t>
      </w:r>
      <w:r w:rsidRPr="002864A0">
        <w:rPr>
          <w:rFonts w:ascii="Book Antiqua" w:hAnsi="Book Antiqua" w:cs="Calibri"/>
          <w:sz w:val="24"/>
          <w:szCs w:val="24"/>
        </w:rPr>
        <w:t xml:space="preserve"> 2015; </w:t>
      </w:r>
      <w:r w:rsidRPr="002864A0">
        <w:rPr>
          <w:rFonts w:ascii="Book Antiqua" w:hAnsi="Book Antiqua" w:cs="Calibri"/>
          <w:b/>
          <w:bCs/>
          <w:sz w:val="24"/>
          <w:szCs w:val="24"/>
        </w:rPr>
        <w:t>71</w:t>
      </w:r>
      <w:r w:rsidRPr="002864A0">
        <w:rPr>
          <w:rFonts w:ascii="Book Antiqua" w:hAnsi="Book Antiqua" w:cs="Calibri"/>
          <w:sz w:val="24"/>
          <w:szCs w:val="24"/>
        </w:rPr>
        <w:t>: 1-6 [PMID: 25284157 DOI: 10.1016/j.bone.2014.09.024]</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20 </w:t>
      </w:r>
      <w:r w:rsidRPr="002864A0">
        <w:rPr>
          <w:rFonts w:ascii="Book Antiqua" w:hAnsi="Book Antiqua" w:cs="Calibri"/>
          <w:b/>
          <w:bCs/>
          <w:sz w:val="24"/>
          <w:szCs w:val="24"/>
        </w:rPr>
        <w:t>Tang BM</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Eslick</w:t>
      </w:r>
      <w:proofErr w:type="spellEnd"/>
      <w:r w:rsidRPr="002864A0">
        <w:rPr>
          <w:rFonts w:ascii="Book Antiqua" w:hAnsi="Book Antiqua" w:cs="Calibri"/>
          <w:sz w:val="24"/>
          <w:szCs w:val="24"/>
        </w:rPr>
        <w:t xml:space="preserve"> GD, </w:t>
      </w:r>
      <w:proofErr w:type="spellStart"/>
      <w:r w:rsidRPr="002864A0">
        <w:rPr>
          <w:rFonts w:ascii="Book Antiqua" w:hAnsi="Book Antiqua" w:cs="Calibri"/>
          <w:sz w:val="24"/>
          <w:szCs w:val="24"/>
        </w:rPr>
        <w:t>Nowson</w:t>
      </w:r>
      <w:proofErr w:type="spellEnd"/>
      <w:r w:rsidRPr="002864A0">
        <w:rPr>
          <w:rFonts w:ascii="Book Antiqua" w:hAnsi="Book Antiqua" w:cs="Calibri"/>
          <w:sz w:val="24"/>
          <w:szCs w:val="24"/>
        </w:rPr>
        <w:t xml:space="preserve"> C, Smith C, </w:t>
      </w:r>
      <w:proofErr w:type="spellStart"/>
      <w:r w:rsidRPr="002864A0">
        <w:rPr>
          <w:rFonts w:ascii="Book Antiqua" w:hAnsi="Book Antiqua" w:cs="Calibri"/>
          <w:sz w:val="24"/>
          <w:szCs w:val="24"/>
        </w:rPr>
        <w:t>Bensoussan</w:t>
      </w:r>
      <w:proofErr w:type="spellEnd"/>
      <w:r w:rsidRPr="002864A0">
        <w:rPr>
          <w:rFonts w:ascii="Book Antiqua" w:hAnsi="Book Antiqua" w:cs="Calibri"/>
          <w:sz w:val="24"/>
          <w:szCs w:val="24"/>
        </w:rPr>
        <w:t xml:space="preserve"> A. Use of calcium or calcium in combination with vitamin D supplementation to prevent fractures and bone loss in people aged 50 years and older: a meta-analysis. </w:t>
      </w:r>
      <w:r w:rsidRPr="002864A0">
        <w:rPr>
          <w:rFonts w:ascii="Book Antiqua" w:hAnsi="Book Antiqua" w:cs="Calibri"/>
          <w:i/>
          <w:iCs/>
          <w:sz w:val="24"/>
          <w:szCs w:val="24"/>
        </w:rPr>
        <w:t>Lancet</w:t>
      </w:r>
      <w:r w:rsidRPr="002864A0">
        <w:rPr>
          <w:rFonts w:ascii="Book Antiqua" w:hAnsi="Book Antiqua" w:cs="Calibri"/>
          <w:sz w:val="24"/>
          <w:szCs w:val="24"/>
        </w:rPr>
        <w:t xml:space="preserve"> 2007; </w:t>
      </w:r>
      <w:r w:rsidRPr="002864A0">
        <w:rPr>
          <w:rFonts w:ascii="Book Antiqua" w:hAnsi="Book Antiqua" w:cs="Calibri"/>
          <w:b/>
          <w:bCs/>
          <w:sz w:val="24"/>
          <w:szCs w:val="24"/>
        </w:rPr>
        <w:t>370</w:t>
      </w:r>
      <w:r w:rsidRPr="002864A0">
        <w:rPr>
          <w:rFonts w:ascii="Book Antiqua" w:hAnsi="Book Antiqua" w:cs="Calibri"/>
          <w:sz w:val="24"/>
          <w:szCs w:val="24"/>
        </w:rPr>
        <w:t>: 657-666 [PMID: 17720017 DOI: 10.1016/s0140-6736(07)61342-7]</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21 </w:t>
      </w:r>
      <w:proofErr w:type="spellStart"/>
      <w:r w:rsidRPr="002864A0">
        <w:rPr>
          <w:rFonts w:ascii="Book Antiqua" w:hAnsi="Book Antiqua" w:cs="Calibri"/>
          <w:b/>
          <w:bCs/>
          <w:sz w:val="24"/>
          <w:szCs w:val="24"/>
        </w:rPr>
        <w:t>Avenell</w:t>
      </w:r>
      <w:proofErr w:type="spellEnd"/>
      <w:r w:rsidRPr="002864A0">
        <w:rPr>
          <w:rFonts w:ascii="Book Antiqua" w:hAnsi="Book Antiqua" w:cs="Calibri"/>
          <w:b/>
          <w:bCs/>
          <w:sz w:val="24"/>
          <w:szCs w:val="24"/>
        </w:rPr>
        <w:t xml:space="preserve"> A</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Mak</w:t>
      </w:r>
      <w:proofErr w:type="spellEnd"/>
      <w:r w:rsidRPr="002864A0">
        <w:rPr>
          <w:rFonts w:ascii="Book Antiqua" w:hAnsi="Book Antiqua" w:cs="Calibri"/>
          <w:sz w:val="24"/>
          <w:szCs w:val="24"/>
        </w:rPr>
        <w:t xml:space="preserve"> JC, O'Connell D. Vitamin D and vitamin D analogues for preventing fractures in post-menopausal women and older men.</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Cochrane Database </w:t>
      </w:r>
      <w:proofErr w:type="spellStart"/>
      <w:r w:rsidRPr="002864A0">
        <w:rPr>
          <w:rFonts w:ascii="Book Antiqua" w:hAnsi="Book Antiqua" w:cs="Calibri"/>
          <w:i/>
          <w:iCs/>
          <w:sz w:val="24"/>
          <w:szCs w:val="24"/>
        </w:rPr>
        <w:t>Syst</w:t>
      </w:r>
      <w:proofErr w:type="spellEnd"/>
      <w:r w:rsidRPr="002864A0">
        <w:rPr>
          <w:rFonts w:ascii="Book Antiqua" w:hAnsi="Book Antiqua" w:cs="Calibri"/>
          <w:i/>
          <w:iCs/>
          <w:sz w:val="24"/>
          <w:szCs w:val="24"/>
        </w:rPr>
        <w:t xml:space="preserve"> Rev</w:t>
      </w:r>
      <w:r w:rsidRPr="002864A0">
        <w:rPr>
          <w:rFonts w:ascii="Book Antiqua" w:hAnsi="Book Antiqua" w:cs="Calibri"/>
          <w:sz w:val="24"/>
          <w:szCs w:val="24"/>
        </w:rPr>
        <w:t xml:space="preserve"> 2014; CD000227 [PMID: 24729336 DOI: 10.1002/14651858.CD000227.pub4]</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22 </w:t>
      </w:r>
      <w:r w:rsidRPr="002864A0">
        <w:rPr>
          <w:rFonts w:ascii="Book Antiqua" w:hAnsi="Book Antiqua" w:cs="Calibri"/>
          <w:b/>
          <w:bCs/>
          <w:sz w:val="24"/>
          <w:szCs w:val="24"/>
        </w:rPr>
        <w:t>Weaver CM</w:t>
      </w:r>
      <w:r w:rsidRPr="002864A0">
        <w:rPr>
          <w:rFonts w:ascii="Book Antiqua" w:hAnsi="Book Antiqua" w:cs="Calibri"/>
          <w:sz w:val="24"/>
          <w:szCs w:val="24"/>
        </w:rPr>
        <w:t xml:space="preserve">, Alexander DD, </w:t>
      </w:r>
      <w:proofErr w:type="spellStart"/>
      <w:r w:rsidRPr="002864A0">
        <w:rPr>
          <w:rFonts w:ascii="Book Antiqua" w:hAnsi="Book Antiqua" w:cs="Calibri"/>
          <w:sz w:val="24"/>
          <w:szCs w:val="24"/>
        </w:rPr>
        <w:t>Boushey</w:t>
      </w:r>
      <w:proofErr w:type="spellEnd"/>
      <w:r w:rsidRPr="002864A0">
        <w:rPr>
          <w:rFonts w:ascii="Book Antiqua" w:hAnsi="Book Antiqua" w:cs="Calibri"/>
          <w:sz w:val="24"/>
          <w:szCs w:val="24"/>
        </w:rPr>
        <w:t xml:space="preserve"> CJ, Dawson-Hughes B, </w:t>
      </w:r>
      <w:proofErr w:type="spellStart"/>
      <w:r w:rsidRPr="002864A0">
        <w:rPr>
          <w:rFonts w:ascii="Book Antiqua" w:hAnsi="Book Antiqua" w:cs="Calibri"/>
          <w:sz w:val="24"/>
          <w:szCs w:val="24"/>
        </w:rPr>
        <w:t>Lappe</w:t>
      </w:r>
      <w:proofErr w:type="spellEnd"/>
      <w:r w:rsidRPr="002864A0">
        <w:rPr>
          <w:rFonts w:ascii="Book Antiqua" w:hAnsi="Book Antiqua" w:cs="Calibri"/>
          <w:sz w:val="24"/>
          <w:szCs w:val="24"/>
        </w:rPr>
        <w:t xml:space="preserve"> JM, </w:t>
      </w:r>
      <w:proofErr w:type="spellStart"/>
      <w:r w:rsidRPr="002864A0">
        <w:rPr>
          <w:rFonts w:ascii="Book Antiqua" w:hAnsi="Book Antiqua" w:cs="Calibri"/>
          <w:sz w:val="24"/>
          <w:szCs w:val="24"/>
        </w:rPr>
        <w:t>LeBoff</w:t>
      </w:r>
      <w:proofErr w:type="spellEnd"/>
      <w:r w:rsidRPr="002864A0">
        <w:rPr>
          <w:rFonts w:ascii="Book Antiqua" w:hAnsi="Book Antiqua" w:cs="Calibri"/>
          <w:sz w:val="24"/>
          <w:szCs w:val="24"/>
        </w:rPr>
        <w:t xml:space="preserve"> MS, Liu S, Looker AC, Wallace TC, Wang DD. Calcium plus vitamin D supplementation and risk of fractures: an updated meta-analysis from the National Osteoporosis Foundation. </w:t>
      </w:r>
      <w:proofErr w:type="spellStart"/>
      <w:r w:rsidRPr="002864A0">
        <w:rPr>
          <w:rFonts w:ascii="Book Antiqua" w:hAnsi="Book Antiqua" w:cs="Calibri"/>
          <w:i/>
          <w:iCs/>
          <w:sz w:val="24"/>
          <w:szCs w:val="24"/>
        </w:rPr>
        <w:t>Osteoporos</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Int</w:t>
      </w:r>
      <w:proofErr w:type="spellEnd"/>
      <w:r w:rsidRPr="002864A0">
        <w:rPr>
          <w:rFonts w:ascii="Book Antiqua" w:hAnsi="Book Antiqua" w:cs="Calibri"/>
          <w:sz w:val="24"/>
          <w:szCs w:val="24"/>
        </w:rPr>
        <w:t xml:space="preserve"> 2016; </w:t>
      </w:r>
      <w:r w:rsidRPr="002864A0">
        <w:rPr>
          <w:rFonts w:ascii="Book Antiqua" w:hAnsi="Book Antiqua" w:cs="Calibri"/>
          <w:b/>
          <w:bCs/>
          <w:sz w:val="24"/>
          <w:szCs w:val="24"/>
        </w:rPr>
        <w:t>27</w:t>
      </w:r>
      <w:r w:rsidRPr="002864A0">
        <w:rPr>
          <w:rFonts w:ascii="Book Antiqua" w:hAnsi="Book Antiqua" w:cs="Calibri"/>
          <w:sz w:val="24"/>
          <w:szCs w:val="24"/>
        </w:rPr>
        <w:t>: 367-376 [PMID: 26510847 DOI: 10.1007/s00198-015-3386-5]</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23 </w:t>
      </w:r>
      <w:r w:rsidRPr="002864A0">
        <w:rPr>
          <w:rFonts w:ascii="Book Antiqua" w:hAnsi="Book Antiqua" w:cs="Calibri"/>
          <w:b/>
          <w:bCs/>
          <w:sz w:val="24"/>
          <w:szCs w:val="24"/>
        </w:rPr>
        <w:t>Tarantino U</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Iolascon</w:t>
      </w:r>
      <w:proofErr w:type="spellEnd"/>
      <w:r w:rsidRPr="002864A0">
        <w:rPr>
          <w:rFonts w:ascii="Book Antiqua" w:hAnsi="Book Antiqua" w:cs="Calibri"/>
          <w:sz w:val="24"/>
          <w:szCs w:val="24"/>
        </w:rPr>
        <w:t xml:space="preserve"> G, </w:t>
      </w:r>
      <w:proofErr w:type="spellStart"/>
      <w:r w:rsidRPr="002864A0">
        <w:rPr>
          <w:rFonts w:ascii="Book Antiqua" w:hAnsi="Book Antiqua" w:cs="Calibri"/>
          <w:sz w:val="24"/>
          <w:szCs w:val="24"/>
        </w:rPr>
        <w:t>Cianferotti</w:t>
      </w:r>
      <w:proofErr w:type="spellEnd"/>
      <w:r w:rsidRPr="002864A0">
        <w:rPr>
          <w:rFonts w:ascii="Book Antiqua" w:hAnsi="Book Antiqua" w:cs="Calibri"/>
          <w:sz w:val="24"/>
          <w:szCs w:val="24"/>
        </w:rPr>
        <w:t xml:space="preserve"> L, </w:t>
      </w:r>
      <w:proofErr w:type="spellStart"/>
      <w:r w:rsidRPr="002864A0">
        <w:rPr>
          <w:rFonts w:ascii="Book Antiqua" w:hAnsi="Book Antiqua" w:cs="Calibri"/>
          <w:sz w:val="24"/>
          <w:szCs w:val="24"/>
        </w:rPr>
        <w:t>Masi</w:t>
      </w:r>
      <w:proofErr w:type="spellEnd"/>
      <w:r w:rsidRPr="002864A0">
        <w:rPr>
          <w:rFonts w:ascii="Book Antiqua" w:hAnsi="Book Antiqua" w:cs="Calibri"/>
          <w:sz w:val="24"/>
          <w:szCs w:val="24"/>
        </w:rPr>
        <w:t xml:space="preserve"> L, </w:t>
      </w:r>
      <w:proofErr w:type="spellStart"/>
      <w:r w:rsidRPr="002864A0">
        <w:rPr>
          <w:rFonts w:ascii="Book Antiqua" w:hAnsi="Book Antiqua" w:cs="Calibri"/>
          <w:sz w:val="24"/>
          <w:szCs w:val="24"/>
        </w:rPr>
        <w:t>Marcucci</w:t>
      </w:r>
      <w:proofErr w:type="spellEnd"/>
      <w:r w:rsidRPr="002864A0">
        <w:rPr>
          <w:rFonts w:ascii="Book Antiqua" w:hAnsi="Book Antiqua" w:cs="Calibri"/>
          <w:sz w:val="24"/>
          <w:szCs w:val="24"/>
        </w:rPr>
        <w:t xml:space="preserve"> G, </w:t>
      </w:r>
      <w:proofErr w:type="spellStart"/>
      <w:r w:rsidRPr="002864A0">
        <w:rPr>
          <w:rFonts w:ascii="Book Antiqua" w:hAnsi="Book Antiqua" w:cs="Calibri"/>
          <w:sz w:val="24"/>
          <w:szCs w:val="24"/>
        </w:rPr>
        <w:t>Giusti</w:t>
      </w:r>
      <w:proofErr w:type="spellEnd"/>
      <w:r w:rsidRPr="002864A0">
        <w:rPr>
          <w:rFonts w:ascii="Book Antiqua" w:hAnsi="Book Antiqua" w:cs="Calibri"/>
          <w:sz w:val="24"/>
          <w:szCs w:val="24"/>
        </w:rPr>
        <w:t xml:space="preserve"> F, Marini F, </w:t>
      </w:r>
      <w:proofErr w:type="spellStart"/>
      <w:r w:rsidRPr="002864A0">
        <w:rPr>
          <w:rFonts w:ascii="Book Antiqua" w:hAnsi="Book Antiqua" w:cs="Calibri"/>
          <w:sz w:val="24"/>
          <w:szCs w:val="24"/>
        </w:rPr>
        <w:t>Parri</w:t>
      </w:r>
      <w:proofErr w:type="spellEnd"/>
      <w:r w:rsidRPr="002864A0">
        <w:rPr>
          <w:rFonts w:ascii="Book Antiqua" w:hAnsi="Book Antiqua" w:cs="Calibri"/>
          <w:sz w:val="24"/>
          <w:szCs w:val="24"/>
        </w:rPr>
        <w:t xml:space="preserve"> S, </w:t>
      </w:r>
      <w:proofErr w:type="spellStart"/>
      <w:r w:rsidRPr="002864A0">
        <w:rPr>
          <w:rFonts w:ascii="Book Antiqua" w:hAnsi="Book Antiqua" w:cs="Calibri"/>
          <w:sz w:val="24"/>
          <w:szCs w:val="24"/>
        </w:rPr>
        <w:t>Feola</w:t>
      </w:r>
      <w:proofErr w:type="spellEnd"/>
      <w:r w:rsidRPr="002864A0">
        <w:rPr>
          <w:rFonts w:ascii="Book Antiqua" w:hAnsi="Book Antiqua" w:cs="Calibri"/>
          <w:sz w:val="24"/>
          <w:szCs w:val="24"/>
        </w:rPr>
        <w:t xml:space="preserve"> M, Rao C, </w:t>
      </w:r>
      <w:proofErr w:type="spellStart"/>
      <w:r w:rsidRPr="002864A0">
        <w:rPr>
          <w:rFonts w:ascii="Book Antiqua" w:hAnsi="Book Antiqua" w:cs="Calibri"/>
          <w:sz w:val="24"/>
          <w:szCs w:val="24"/>
        </w:rPr>
        <w:t>Piccirilli</w:t>
      </w:r>
      <w:proofErr w:type="spellEnd"/>
      <w:r w:rsidRPr="002864A0">
        <w:rPr>
          <w:rFonts w:ascii="Book Antiqua" w:hAnsi="Book Antiqua" w:cs="Calibri"/>
          <w:sz w:val="24"/>
          <w:szCs w:val="24"/>
        </w:rPr>
        <w:t xml:space="preserve"> E, Zanetti EB, </w:t>
      </w:r>
      <w:proofErr w:type="spellStart"/>
      <w:r w:rsidRPr="002864A0">
        <w:rPr>
          <w:rFonts w:ascii="Book Antiqua" w:hAnsi="Book Antiqua" w:cs="Calibri"/>
          <w:sz w:val="24"/>
          <w:szCs w:val="24"/>
        </w:rPr>
        <w:t>Cittadini</w:t>
      </w:r>
      <w:proofErr w:type="spellEnd"/>
      <w:r w:rsidRPr="002864A0">
        <w:rPr>
          <w:rFonts w:ascii="Book Antiqua" w:hAnsi="Book Antiqua" w:cs="Calibri"/>
          <w:sz w:val="24"/>
          <w:szCs w:val="24"/>
        </w:rPr>
        <w:t xml:space="preserve"> N, Alvaro R, Moretti A, Calafiore D, Toro G, </w:t>
      </w:r>
      <w:proofErr w:type="spellStart"/>
      <w:r w:rsidRPr="002864A0">
        <w:rPr>
          <w:rFonts w:ascii="Book Antiqua" w:hAnsi="Book Antiqua" w:cs="Calibri"/>
          <w:sz w:val="24"/>
          <w:szCs w:val="24"/>
        </w:rPr>
        <w:t>Gimigliano</w:t>
      </w:r>
      <w:proofErr w:type="spellEnd"/>
      <w:r w:rsidRPr="002864A0">
        <w:rPr>
          <w:rFonts w:ascii="Book Antiqua" w:hAnsi="Book Antiqua" w:cs="Calibri"/>
          <w:sz w:val="24"/>
          <w:szCs w:val="24"/>
        </w:rPr>
        <w:t xml:space="preserve"> F, </w:t>
      </w:r>
      <w:proofErr w:type="spellStart"/>
      <w:r w:rsidRPr="002864A0">
        <w:rPr>
          <w:rFonts w:ascii="Book Antiqua" w:hAnsi="Book Antiqua" w:cs="Calibri"/>
          <w:sz w:val="24"/>
          <w:szCs w:val="24"/>
        </w:rPr>
        <w:t>Resmini</w:t>
      </w:r>
      <w:proofErr w:type="spellEnd"/>
      <w:r w:rsidRPr="002864A0">
        <w:rPr>
          <w:rFonts w:ascii="Book Antiqua" w:hAnsi="Book Antiqua" w:cs="Calibri"/>
          <w:sz w:val="24"/>
          <w:szCs w:val="24"/>
        </w:rPr>
        <w:t xml:space="preserve"> G, Brandi ML. Clinical guidelines for the prevention and treatment of osteoporosis: summary statements and recommendations from the Italian Society for </w:t>
      </w:r>
      <w:proofErr w:type="spellStart"/>
      <w:r w:rsidRPr="002864A0">
        <w:rPr>
          <w:rFonts w:ascii="Book Antiqua" w:hAnsi="Book Antiqua" w:cs="Calibri"/>
          <w:sz w:val="24"/>
          <w:szCs w:val="24"/>
        </w:rPr>
        <w:t>Orthopaedics</w:t>
      </w:r>
      <w:proofErr w:type="spellEnd"/>
      <w:r w:rsidRPr="002864A0">
        <w:rPr>
          <w:rFonts w:ascii="Book Antiqua" w:hAnsi="Book Antiqua" w:cs="Calibri"/>
          <w:sz w:val="24"/>
          <w:szCs w:val="24"/>
        </w:rPr>
        <w:t xml:space="preserve"> and Traumatology. </w:t>
      </w:r>
      <w:r w:rsidRPr="002864A0">
        <w:rPr>
          <w:rFonts w:ascii="Book Antiqua" w:hAnsi="Book Antiqua" w:cs="Calibri"/>
          <w:i/>
          <w:iCs/>
          <w:sz w:val="24"/>
          <w:szCs w:val="24"/>
        </w:rPr>
        <w:t xml:space="preserve">J </w:t>
      </w:r>
      <w:proofErr w:type="spellStart"/>
      <w:r w:rsidRPr="002864A0">
        <w:rPr>
          <w:rFonts w:ascii="Book Antiqua" w:hAnsi="Book Antiqua" w:cs="Calibri"/>
          <w:i/>
          <w:iCs/>
          <w:sz w:val="24"/>
          <w:szCs w:val="24"/>
        </w:rPr>
        <w:t>Orthop</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Traumatol</w:t>
      </w:r>
      <w:proofErr w:type="spellEnd"/>
      <w:r w:rsidRPr="002864A0">
        <w:rPr>
          <w:rFonts w:ascii="Book Antiqua" w:hAnsi="Book Antiqua" w:cs="Calibri"/>
          <w:sz w:val="24"/>
          <w:szCs w:val="24"/>
        </w:rPr>
        <w:t xml:space="preserve"> 2017; </w:t>
      </w:r>
      <w:r w:rsidRPr="002864A0">
        <w:rPr>
          <w:rFonts w:ascii="Book Antiqua" w:hAnsi="Book Antiqua" w:cs="Calibri"/>
          <w:b/>
          <w:bCs/>
          <w:sz w:val="24"/>
          <w:szCs w:val="24"/>
        </w:rPr>
        <w:t>18</w:t>
      </w:r>
      <w:r w:rsidRPr="002864A0">
        <w:rPr>
          <w:rFonts w:ascii="Book Antiqua" w:hAnsi="Book Antiqua" w:cs="Calibri"/>
          <w:sz w:val="24"/>
          <w:szCs w:val="24"/>
        </w:rPr>
        <w:t>: 3-36 [PMID: 29058226 DOI: 10.1007/s10195-017-0474-7]</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24 </w:t>
      </w:r>
      <w:proofErr w:type="spellStart"/>
      <w:r w:rsidRPr="002864A0">
        <w:rPr>
          <w:rFonts w:ascii="Book Antiqua" w:hAnsi="Book Antiqua" w:cs="Calibri"/>
          <w:b/>
          <w:bCs/>
          <w:sz w:val="24"/>
          <w:szCs w:val="24"/>
        </w:rPr>
        <w:t>Compston</w:t>
      </w:r>
      <w:proofErr w:type="spellEnd"/>
      <w:r w:rsidRPr="002864A0">
        <w:rPr>
          <w:rFonts w:ascii="Book Antiqua" w:hAnsi="Book Antiqua" w:cs="Calibri"/>
          <w:b/>
          <w:bCs/>
          <w:sz w:val="24"/>
          <w:szCs w:val="24"/>
        </w:rPr>
        <w:t xml:space="preserve"> J</w:t>
      </w:r>
      <w:r w:rsidRPr="002864A0">
        <w:rPr>
          <w:rFonts w:ascii="Book Antiqua" w:hAnsi="Book Antiqua" w:cs="Calibri"/>
          <w:sz w:val="24"/>
          <w:szCs w:val="24"/>
        </w:rPr>
        <w:t xml:space="preserve">, Cooper A, Cooper C, </w:t>
      </w:r>
      <w:proofErr w:type="spellStart"/>
      <w:r w:rsidRPr="002864A0">
        <w:rPr>
          <w:rFonts w:ascii="Book Antiqua" w:hAnsi="Book Antiqua" w:cs="Calibri"/>
          <w:sz w:val="24"/>
          <w:szCs w:val="24"/>
        </w:rPr>
        <w:t>Gittoes</w:t>
      </w:r>
      <w:proofErr w:type="spellEnd"/>
      <w:r w:rsidRPr="002864A0">
        <w:rPr>
          <w:rFonts w:ascii="Book Antiqua" w:hAnsi="Book Antiqua" w:cs="Calibri"/>
          <w:sz w:val="24"/>
          <w:szCs w:val="24"/>
        </w:rPr>
        <w:t xml:space="preserve"> N, Gregson C, Harvey N, Hope S, </w:t>
      </w:r>
      <w:proofErr w:type="spellStart"/>
      <w:r w:rsidRPr="002864A0">
        <w:rPr>
          <w:rFonts w:ascii="Book Antiqua" w:hAnsi="Book Antiqua" w:cs="Calibri"/>
          <w:sz w:val="24"/>
          <w:szCs w:val="24"/>
        </w:rPr>
        <w:t>Kanis</w:t>
      </w:r>
      <w:proofErr w:type="spellEnd"/>
      <w:r w:rsidRPr="002864A0">
        <w:rPr>
          <w:rFonts w:ascii="Book Antiqua" w:hAnsi="Book Antiqua" w:cs="Calibri"/>
          <w:sz w:val="24"/>
          <w:szCs w:val="24"/>
        </w:rPr>
        <w:t xml:space="preserve"> JA, McCloskey EV, Poole KES, Reid DM, Selby P, Thompson F, Thurston A, Vine N; National Osteoporosis Guideline Group (NOGG). </w:t>
      </w:r>
      <w:proofErr w:type="gramStart"/>
      <w:r w:rsidRPr="002864A0">
        <w:rPr>
          <w:rFonts w:ascii="Book Antiqua" w:hAnsi="Book Antiqua" w:cs="Calibri"/>
          <w:sz w:val="24"/>
          <w:szCs w:val="24"/>
        </w:rPr>
        <w:t>UK clinical guideline for the prevention and treatment of osteoporosis.</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Arch </w:t>
      </w:r>
      <w:proofErr w:type="spellStart"/>
      <w:r w:rsidRPr="002864A0">
        <w:rPr>
          <w:rFonts w:ascii="Book Antiqua" w:hAnsi="Book Antiqua" w:cs="Calibri"/>
          <w:i/>
          <w:iCs/>
          <w:sz w:val="24"/>
          <w:szCs w:val="24"/>
        </w:rPr>
        <w:t>Osteoporos</w:t>
      </w:r>
      <w:proofErr w:type="spellEnd"/>
      <w:r w:rsidRPr="002864A0">
        <w:rPr>
          <w:rFonts w:ascii="Book Antiqua" w:hAnsi="Book Antiqua" w:cs="Calibri"/>
          <w:sz w:val="24"/>
          <w:szCs w:val="24"/>
        </w:rPr>
        <w:t xml:space="preserve"> 2017; </w:t>
      </w:r>
      <w:r w:rsidRPr="002864A0">
        <w:rPr>
          <w:rFonts w:ascii="Book Antiqua" w:hAnsi="Book Antiqua" w:cs="Calibri"/>
          <w:b/>
          <w:bCs/>
          <w:sz w:val="24"/>
          <w:szCs w:val="24"/>
        </w:rPr>
        <w:t>12</w:t>
      </w:r>
      <w:r w:rsidRPr="002864A0">
        <w:rPr>
          <w:rFonts w:ascii="Book Antiqua" w:hAnsi="Book Antiqua" w:cs="Calibri"/>
          <w:sz w:val="24"/>
          <w:szCs w:val="24"/>
        </w:rPr>
        <w:t>: 43 [PMID: 28425085 DOI: 10.1007/s11657-017-0324-5]</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25 </w:t>
      </w:r>
      <w:r w:rsidRPr="002864A0">
        <w:rPr>
          <w:rFonts w:ascii="Book Antiqua" w:hAnsi="Book Antiqua" w:cs="Calibri"/>
          <w:b/>
          <w:bCs/>
          <w:sz w:val="24"/>
          <w:szCs w:val="24"/>
        </w:rPr>
        <w:t>Al-Saleh Y</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Sulimani</w:t>
      </w:r>
      <w:proofErr w:type="spellEnd"/>
      <w:r w:rsidRPr="002864A0">
        <w:rPr>
          <w:rFonts w:ascii="Book Antiqua" w:hAnsi="Book Antiqua" w:cs="Calibri"/>
          <w:sz w:val="24"/>
          <w:szCs w:val="24"/>
        </w:rPr>
        <w:t xml:space="preserve"> R, </w:t>
      </w:r>
      <w:proofErr w:type="spellStart"/>
      <w:r w:rsidRPr="002864A0">
        <w:rPr>
          <w:rFonts w:ascii="Book Antiqua" w:hAnsi="Book Antiqua" w:cs="Calibri"/>
          <w:sz w:val="24"/>
          <w:szCs w:val="24"/>
        </w:rPr>
        <w:t>Sabico</w:t>
      </w:r>
      <w:proofErr w:type="spellEnd"/>
      <w:r w:rsidRPr="002864A0">
        <w:rPr>
          <w:rFonts w:ascii="Book Antiqua" w:hAnsi="Book Antiqua" w:cs="Calibri"/>
          <w:sz w:val="24"/>
          <w:szCs w:val="24"/>
        </w:rPr>
        <w:t xml:space="preserve"> S, </w:t>
      </w:r>
      <w:proofErr w:type="spellStart"/>
      <w:r w:rsidRPr="002864A0">
        <w:rPr>
          <w:rFonts w:ascii="Book Antiqua" w:hAnsi="Book Antiqua" w:cs="Calibri"/>
          <w:sz w:val="24"/>
          <w:szCs w:val="24"/>
        </w:rPr>
        <w:t>Raef</w:t>
      </w:r>
      <w:proofErr w:type="spellEnd"/>
      <w:r w:rsidRPr="002864A0">
        <w:rPr>
          <w:rFonts w:ascii="Book Antiqua" w:hAnsi="Book Antiqua" w:cs="Calibri"/>
          <w:sz w:val="24"/>
          <w:szCs w:val="24"/>
        </w:rPr>
        <w:t xml:space="preserve"> H, </w:t>
      </w:r>
      <w:proofErr w:type="spellStart"/>
      <w:r w:rsidRPr="002864A0">
        <w:rPr>
          <w:rFonts w:ascii="Book Antiqua" w:hAnsi="Book Antiqua" w:cs="Calibri"/>
          <w:sz w:val="24"/>
          <w:szCs w:val="24"/>
        </w:rPr>
        <w:t>Fouda</w:t>
      </w:r>
      <w:proofErr w:type="spellEnd"/>
      <w:r w:rsidRPr="002864A0">
        <w:rPr>
          <w:rFonts w:ascii="Book Antiqua" w:hAnsi="Book Antiqua" w:cs="Calibri"/>
          <w:sz w:val="24"/>
          <w:szCs w:val="24"/>
        </w:rPr>
        <w:t xml:space="preserve"> M, </w:t>
      </w:r>
      <w:proofErr w:type="spellStart"/>
      <w:r w:rsidRPr="002864A0">
        <w:rPr>
          <w:rFonts w:ascii="Book Antiqua" w:hAnsi="Book Antiqua" w:cs="Calibri"/>
          <w:sz w:val="24"/>
          <w:szCs w:val="24"/>
        </w:rPr>
        <w:t>Alshahrani</w:t>
      </w:r>
      <w:proofErr w:type="spellEnd"/>
      <w:r w:rsidRPr="002864A0">
        <w:rPr>
          <w:rFonts w:ascii="Book Antiqua" w:hAnsi="Book Antiqua" w:cs="Calibri"/>
          <w:sz w:val="24"/>
          <w:szCs w:val="24"/>
        </w:rPr>
        <w:t xml:space="preserve"> F, Al Shaker M, Al </w:t>
      </w:r>
      <w:proofErr w:type="spellStart"/>
      <w:r w:rsidRPr="002864A0">
        <w:rPr>
          <w:rFonts w:ascii="Book Antiqua" w:hAnsi="Book Antiqua" w:cs="Calibri"/>
          <w:sz w:val="24"/>
          <w:szCs w:val="24"/>
        </w:rPr>
        <w:t>Wahabi</w:t>
      </w:r>
      <w:proofErr w:type="spellEnd"/>
      <w:r w:rsidRPr="002864A0">
        <w:rPr>
          <w:rFonts w:ascii="Book Antiqua" w:hAnsi="Book Antiqua" w:cs="Calibri"/>
          <w:sz w:val="24"/>
          <w:szCs w:val="24"/>
        </w:rPr>
        <w:t xml:space="preserve"> B, Sadat-Ali M, Al </w:t>
      </w:r>
      <w:proofErr w:type="spellStart"/>
      <w:r w:rsidRPr="002864A0">
        <w:rPr>
          <w:rFonts w:ascii="Book Antiqua" w:hAnsi="Book Antiqua" w:cs="Calibri"/>
          <w:sz w:val="24"/>
          <w:szCs w:val="24"/>
        </w:rPr>
        <w:t>Rayes</w:t>
      </w:r>
      <w:proofErr w:type="spellEnd"/>
      <w:r w:rsidRPr="002864A0">
        <w:rPr>
          <w:rFonts w:ascii="Book Antiqua" w:hAnsi="Book Antiqua" w:cs="Calibri"/>
          <w:sz w:val="24"/>
          <w:szCs w:val="24"/>
        </w:rPr>
        <w:t xml:space="preserve"> H, Al </w:t>
      </w:r>
      <w:proofErr w:type="spellStart"/>
      <w:r w:rsidRPr="002864A0">
        <w:rPr>
          <w:rFonts w:ascii="Book Antiqua" w:hAnsi="Book Antiqua" w:cs="Calibri"/>
          <w:sz w:val="24"/>
          <w:szCs w:val="24"/>
        </w:rPr>
        <w:t>Aidarous</w:t>
      </w:r>
      <w:proofErr w:type="spellEnd"/>
      <w:r w:rsidRPr="002864A0">
        <w:rPr>
          <w:rFonts w:ascii="Book Antiqua" w:hAnsi="Book Antiqua" w:cs="Calibri"/>
          <w:sz w:val="24"/>
          <w:szCs w:val="24"/>
        </w:rPr>
        <w:t xml:space="preserve"> S, Saleh S, Al </w:t>
      </w:r>
      <w:proofErr w:type="spellStart"/>
      <w:r w:rsidRPr="002864A0">
        <w:rPr>
          <w:rFonts w:ascii="Book Antiqua" w:hAnsi="Book Antiqua" w:cs="Calibri"/>
          <w:sz w:val="24"/>
          <w:szCs w:val="24"/>
        </w:rPr>
        <w:t>Ayoubi</w:t>
      </w:r>
      <w:proofErr w:type="spellEnd"/>
      <w:r w:rsidRPr="002864A0">
        <w:rPr>
          <w:rFonts w:ascii="Book Antiqua" w:hAnsi="Book Antiqua" w:cs="Calibri"/>
          <w:sz w:val="24"/>
          <w:szCs w:val="24"/>
        </w:rPr>
        <w:t xml:space="preserve"> F, Al-</w:t>
      </w:r>
      <w:proofErr w:type="spellStart"/>
      <w:r w:rsidRPr="002864A0">
        <w:rPr>
          <w:rFonts w:ascii="Book Antiqua" w:hAnsi="Book Antiqua" w:cs="Calibri"/>
          <w:sz w:val="24"/>
          <w:szCs w:val="24"/>
        </w:rPr>
        <w:t>Daghri</w:t>
      </w:r>
      <w:proofErr w:type="spellEnd"/>
      <w:r w:rsidRPr="002864A0">
        <w:rPr>
          <w:rFonts w:ascii="Book Antiqua" w:hAnsi="Book Antiqua" w:cs="Calibri"/>
          <w:sz w:val="24"/>
          <w:szCs w:val="24"/>
        </w:rPr>
        <w:t xml:space="preserve"> NM. 2015 Guidelines for Osteoporosis in Saudi Arabia: Recommendations from the Saudi Osteoporosis Society. </w:t>
      </w:r>
      <w:r w:rsidRPr="002864A0">
        <w:rPr>
          <w:rFonts w:ascii="Book Antiqua" w:hAnsi="Book Antiqua" w:cs="Calibri"/>
          <w:i/>
          <w:iCs/>
          <w:sz w:val="24"/>
          <w:szCs w:val="24"/>
        </w:rPr>
        <w:t>Ann Saudi Med</w:t>
      </w:r>
      <w:r w:rsidRPr="002864A0">
        <w:rPr>
          <w:rFonts w:ascii="Book Antiqua" w:hAnsi="Book Antiqua" w:cs="Calibri"/>
          <w:sz w:val="24"/>
          <w:szCs w:val="24"/>
        </w:rPr>
        <w:t xml:space="preserve"> 2015; </w:t>
      </w:r>
      <w:r w:rsidRPr="002864A0">
        <w:rPr>
          <w:rFonts w:ascii="Book Antiqua" w:hAnsi="Book Antiqua" w:cs="Calibri"/>
          <w:b/>
          <w:bCs/>
          <w:sz w:val="24"/>
          <w:szCs w:val="24"/>
        </w:rPr>
        <w:t>35</w:t>
      </w:r>
      <w:r w:rsidRPr="002864A0">
        <w:rPr>
          <w:rFonts w:ascii="Book Antiqua" w:hAnsi="Book Antiqua" w:cs="Calibri"/>
          <w:sz w:val="24"/>
          <w:szCs w:val="24"/>
        </w:rPr>
        <w:t>: 1-12 [PMID: 26142931 DOI: 10.5144/0256-4947.2015.1]</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26 </w:t>
      </w:r>
      <w:r w:rsidRPr="002864A0">
        <w:rPr>
          <w:rFonts w:ascii="Book Antiqua" w:hAnsi="Book Antiqua" w:cs="Calibri"/>
          <w:b/>
          <w:bCs/>
          <w:sz w:val="24"/>
          <w:szCs w:val="24"/>
        </w:rPr>
        <w:t>Al-</w:t>
      </w:r>
      <w:proofErr w:type="spellStart"/>
      <w:r w:rsidRPr="002864A0">
        <w:rPr>
          <w:rFonts w:ascii="Book Antiqua" w:hAnsi="Book Antiqua" w:cs="Calibri"/>
          <w:b/>
          <w:bCs/>
          <w:sz w:val="24"/>
          <w:szCs w:val="24"/>
        </w:rPr>
        <w:t>Daghri</w:t>
      </w:r>
      <w:proofErr w:type="spellEnd"/>
      <w:r w:rsidRPr="002864A0">
        <w:rPr>
          <w:rFonts w:ascii="Book Antiqua" w:hAnsi="Book Antiqua" w:cs="Calibri"/>
          <w:b/>
          <w:bCs/>
          <w:sz w:val="24"/>
          <w:szCs w:val="24"/>
        </w:rPr>
        <w:t xml:space="preserve"> NM</w:t>
      </w:r>
      <w:r w:rsidRPr="002864A0">
        <w:rPr>
          <w:rFonts w:ascii="Book Antiqua" w:hAnsi="Book Antiqua" w:cs="Calibri"/>
          <w:sz w:val="24"/>
          <w:szCs w:val="24"/>
        </w:rPr>
        <w:t xml:space="preserve">, Al-Saleh Y, </w:t>
      </w:r>
      <w:proofErr w:type="spellStart"/>
      <w:r w:rsidRPr="002864A0">
        <w:rPr>
          <w:rFonts w:ascii="Book Antiqua" w:hAnsi="Book Antiqua" w:cs="Calibri"/>
          <w:sz w:val="24"/>
          <w:szCs w:val="24"/>
        </w:rPr>
        <w:t>Aljohani</w:t>
      </w:r>
      <w:proofErr w:type="spellEnd"/>
      <w:r w:rsidRPr="002864A0">
        <w:rPr>
          <w:rFonts w:ascii="Book Antiqua" w:hAnsi="Book Antiqua" w:cs="Calibri"/>
          <w:sz w:val="24"/>
          <w:szCs w:val="24"/>
        </w:rPr>
        <w:t xml:space="preserve"> N, </w:t>
      </w:r>
      <w:proofErr w:type="spellStart"/>
      <w:r w:rsidRPr="002864A0">
        <w:rPr>
          <w:rFonts w:ascii="Book Antiqua" w:hAnsi="Book Antiqua" w:cs="Calibri"/>
          <w:sz w:val="24"/>
          <w:szCs w:val="24"/>
        </w:rPr>
        <w:t>Sulimani</w:t>
      </w:r>
      <w:proofErr w:type="spellEnd"/>
      <w:r w:rsidRPr="002864A0">
        <w:rPr>
          <w:rFonts w:ascii="Book Antiqua" w:hAnsi="Book Antiqua" w:cs="Calibri"/>
          <w:sz w:val="24"/>
          <w:szCs w:val="24"/>
        </w:rPr>
        <w:t xml:space="preserve"> R, Al-Othman AM, </w:t>
      </w:r>
      <w:proofErr w:type="spellStart"/>
      <w:r w:rsidRPr="002864A0">
        <w:rPr>
          <w:rFonts w:ascii="Book Antiqua" w:hAnsi="Book Antiqua" w:cs="Calibri"/>
          <w:sz w:val="24"/>
          <w:szCs w:val="24"/>
        </w:rPr>
        <w:t>Alfawaz</w:t>
      </w:r>
      <w:proofErr w:type="spellEnd"/>
      <w:r w:rsidRPr="002864A0">
        <w:rPr>
          <w:rFonts w:ascii="Book Antiqua" w:hAnsi="Book Antiqua" w:cs="Calibri"/>
          <w:sz w:val="24"/>
          <w:szCs w:val="24"/>
        </w:rPr>
        <w:t xml:space="preserve"> H, </w:t>
      </w:r>
      <w:proofErr w:type="spellStart"/>
      <w:r w:rsidRPr="002864A0">
        <w:rPr>
          <w:rFonts w:ascii="Book Antiqua" w:hAnsi="Book Antiqua" w:cs="Calibri"/>
          <w:sz w:val="24"/>
          <w:szCs w:val="24"/>
        </w:rPr>
        <w:t>Fouda</w:t>
      </w:r>
      <w:proofErr w:type="spellEnd"/>
      <w:r w:rsidRPr="002864A0">
        <w:rPr>
          <w:rFonts w:ascii="Book Antiqua" w:hAnsi="Book Antiqua" w:cs="Calibri"/>
          <w:sz w:val="24"/>
          <w:szCs w:val="24"/>
        </w:rPr>
        <w:t xml:space="preserve"> M, Al-</w:t>
      </w:r>
      <w:proofErr w:type="spellStart"/>
      <w:r w:rsidRPr="002864A0">
        <w:rPr>
          <w:rFonts w:ascii="Book Antiqua" w:hAnsi="Book Antiqua" w:cs="Calibri"/>
          <w:sz w:val="24"/>
          <w:szCs w:val="24"/>
        </w:rPr>
        <w:t>Amri</w:t>
      </w:r>
      <w:proofErr w:type="spellEnd"/>
      <w:r w:rsidRPr="002864A0">
        <w:rPr>
          <w:rFonts w:ascii="Book Antiqua" w:hAnsi="Book Antiqua" w:cs="Calibri"/>
          <w:sz w:val="24"/>
          <w:szCs w:val="24"/>
        </w:rPr>
        <w:t xml:space="preserve"> F, </w:t>
      </w:r>
      <w:proofErr w:type="spellStart"/>
      <w:r w:rsidRPr="002864A0">
        <w:rPr>
          <w:rFonts w:ascii="Book Antiqua" w:hAnsi="Book Antiqua" w:cs="Calibri"/>
          <w:sz w:val="24"/>
          <w:szCs w:val="24"/>
        </w:rPr>
        <w:t>Shahrani</w:t>
      </w:r>
      <w:proofErr w:type="spellEnd"/>
      <w:r w:rsidRPr="002864A0">
        <w:rPr>
          <w:rFonts w:ascii="Book Antiqua" w:hAnsi="Book Antiqua" w:cs="Calibri"/>
          <w:sz w:val="24"/>
          <w:szCs w:val="24"/>
        </w:rPr>
        <w:t xml:space="preserve"> A, </w:t>
      </w:r>
      <w:proofErr w:type="spellStart"/>
      <w:r w:rsidRPr="002864A0">
        <w:rPr>
          <w:rFonts w:ascii="Book Antiqua" w:hAnsi="Book Antiqua" w:cs="Calibri"/>
          <w:sz w:val="24"/>
          <w:szCs w:val="24"/>
        </w:rPr>
        <w:t>Alharbi</w:t>
      </w:r>
      <w:proofErr w:type="spellEnd"/>
      <w:r w:rsidRPr="002864A0">
        <w:rPr>
          <w:rFonts w:ascii="Book Antiqua" w:hAnsi="Book Antiqua" w:cs="Calibri"/>
          <w:sz w:val="24"/>
          <w:szCs w:val="24"/>
        </w:rPr>
        <w:t xml:space="preserve"> M, </w:t>
      </w:r>
      <w:proofErr w:type="spellStart"/>
      <w:r w:rsidRPr="002864A0">
        <w:rPr>
          <w:rFonts w:ascii="Book Antiqua" w:hAnsi="Book Antiqua" w:cs="Calibri"/>
          <w:sz w:val="24"/>
          <w:szCs w:val="24"/>
        </w:rPr>
        <w:t>Alshahrani</w:t>
      </w:r>
      <w:proofErr w:type="spellEnd"/>
      <w:r w:rsidRPr="002864A0">
        <w:rPr>
          <w:rFonts w:ascii="Book Antiqua" w:hAnsi="Book Antiqua" w:cs="Calibri"/>
          <w:sz w:val="24"/>
          <w:szCs w:val="24"/>
        </w:rPr>
        <w:t xml:space="preserve"> F, </w:t>
      </w:r>
      <w:proofErr w:type="spellStart"/>
      <w:r w:rsidRPr="002864A0">
        <w:rPr>
          <w:rFonts w:ascii="Book Antiqua" w:hAnsi="Book Antiqua" w:cs="Calibri"/>
          <w:sz w:val="24"/>
          <w:szCs w:val="24"/>
        </w:rPr>
        <w:t>Tamimi</w:t>
      </w:r>
      <w:proofErr w:type="spellEnd"/>
      <w:r w:rsidRPr="002864A0">
        <w:rPr>
          <w:rFonts w:ascii="Book Antiqua" w:hAnsi="Book Antiqua" w:cs="Calibri"/>
          <w:sz w:val="24"/>
          <w:szCs w:val="24"/>
        </w:rPr>
        <w:t xml:space="preserve"> W, </w:t>
      </w:r>
      <w:proofErr w:type="spellStart"/>
      <w:r w:rsidRPr="002864A0">
        <w:rPr>
          <w:rFonts w:ascii="Book Antiqua" w:hAnsi="Book Antiqua" w:cs="Calibri"/>
          <w:sz w:val="24"/>
          <w:szCs w:val="24"/>
        </w:rPr>
        <w:t>Sabico</w:t>
      </w:r>
      <w:proofErr w:type="spellEnd"/>
      <w:r w:rsidRPr="002864A0">
        <w:rPr>
          <w:rFonts w:ascii="Book Antiqua" w:hAnsi="Book Antiqua" w:cs="Calibri"/>
          <w:sz w:val="24"/>
          <w:szCs w:val="24"/>
        </w:rPr>
        <w:t xml:space="preserve"> S, Rizzoli R, </w:t>
      </w:r>
      <w:proofErr w:type="spellStart"/>
      <w:r w:rsidRPr="002864A0">
        <w:rPr>
          <w:rFonts w:ascii="Book Antiqua" w:hAnsi="Book Antiqua" w:cs="Calibri"/>
          <w:sz w:val="24"/>
          <w:szCs w:val="24"/>
        </w:rPr>
        <w:t>Reginster</w:t>
      </w:r>
      <w:proofErr w:type="spellEnd"/>
      <w:r w:rsidRPr="002864A0">
        <w:rPr>
          <w:rFonts w:ascii="Book Antiqua" w:hAnsi="Book Antiqua" w:cs="Calibri"/>
          <w:sz w:val="24"/>
          <w:szCs w:val="24"/>
        </w:rPr>
        <w:t xml:space="preserve"> JY. Vitamin D status correction in Saudi Arabia: an experts' consensus under the auspices of the European Society for Clinical and Economic Aspects of Osteoporosis, Osteoarthritis, and Musculoskeletal Diseases (ESCEO). </w:t>
      </w:r>
      <w:r w:rsidRPr="002864A0">
        <w:rPr>
          <w:rFonts w:ascii="Book Antiqua" w:hAnsi="Book Antiqua" w:cs="Calibri"/>
          <w:i/>
          <w:iCs/>
          <w:sz w:val="24"/>
          <w:szCs w:val="24"/>
        </w:rPr>
        <w:t xml:space="preserve">Arch </w:t>
      </w:r>
      <w:proofErr w:type="spellStart"/>
      <w:r w:rsidRPr="002864A0">
        <w:rPr>
          <w:rFonts w:ascii="Book Antiqua" w:hAnsi="Book Antiqua" w:cs="Calibri"/>
          <w:i/>
          <w:iCs/>
          <w:sz w:val="24"/>
          <w:szCs w:val="24"/>
        </w:rPr>
        <w:t>Osteoporos</w:t>
      </w:r>
      <w:proofErr w:type="spellEnd"/>
      <w:r w:rsidRPr="002864A0">
        <w:rPr>
          <w:rFonts w:ascii="Book Antiqua" w:hAnsi="Book Antiqua" w:cs="Calibri"/>
          <w:sz w:val="24"/>
          <w:szCs w:val="24"/>
        </w:rPr>
        <w:t xml:space="preserve"> 2017; </w:t>
      </w:r>
      <w:r w:rsidRPr="002864A0">
        <w:rPr>
          <w:rFonts w:ascii="Book Antiqua" w:hAnsi="Book Antiqua" w:cs="Calibri"/>
          <w:b/>
          <w:bCs/>
          <w:sz w:val="24"/>
          <w:szCs w:val="24"/>
        </w:rPr>
        <w:t>12</w:t>
      </w:r>
      <w:r w:rsidRPr="002864A0">
        <w:rPr>
          <w:rFonts w:ascii="Book Antiqua" w:hAnsi="Book Antiqua" w:cs="Calibri"/>
          <w:sz w:val="24"/>
          <w:szCs w:val="24"/>
        </w:rPr>
        <w:t>: 1 [PMID: 28004295 DOI: 10.1007/s11657-016-0295-y]</w:t>
      </w:r>
    </w:p>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rPr>
        <w:t xml:space="preserve">27 </w:t>
      </w:r>
      <w:proofErr w:type="spellStart"/>
      <w:r w:rsidRPr="002864A0">
        <w:rPr>
          <w:rFonts w:ascii="Book Antiqua" w:hAnsi="Book Antiqua" w:cs="Calibri"/>
          <w:b/>
          <w:bCs/>
          <w:sz w:val="24"/>
          <w:szCs w:val="24"/>
        </w:rPr>
        <w:t>Erem</w:t>
      </w:r>
      <w:proofErr w:type="spellEnd"/>
      <w:r w:rsidRPr="002864A0">
        <w:rPr>
          <w:rFonts w:ascii="Book Antiqua" w:hAnsi="Book Antiqua" w:cs="Calibri"/>
          <w:b/>
          <w:bCs/>
          <w:sz w:val="24"/>
          <w:szCs w:val="24"/>
        </w:rPr>
        <w:t xml:space="preserve"> S</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Atfi</w:t>
      </w:r>
      <w:proofErr w:type="spellEnd"/>
      <w:r w:rsidRPr="002864A0">
        <w:rPr>
          <w:rFonts w:ascii="Book Antiqua" w:hAnsi="Book Antiqua" w:cs="Calibri"/>
          <w:sz w:val="24"/>
          <w:szCs w:val="24"/>
        </w:rPr>
        <w:t xml:space="preserve"> A, </w:t>
      </w:r>
      <w:proofErr w:type="spellStart"/>
      <w:r w:rsidRPr="002864A0">
        <w:rPr>
          <w:rFonts w:ascii="Book Antiqua" w:hAnsi="Book Antiqua" w:cs="Calibri"/>
          <w:sz w:val="24"/>
          <w:szCs w:val="24"/>
        </w:rPr>
        <w:t>Razzaque</w:t>
      </w:r>
      <w:proofErr w:type="spellEnd"/>
      <w:r w:rsidRPr="002864A0">
        <w:rPr>
          <w:rFonts w:ascii="Book Antiqua" w:hAnsi="Book Antiqua" w:cs="Calibri"/>
          <w:sz w:val="24"/>
          <w:szCs w:val="24"/>
        </w:rPr>
        <w:t xml:space="preserve"> MS. Anabolic effects of vitamin D and magnesium in aging bone.</w:t>
      </w:r>
      <w:proofErr w:type="gramEnd"/>
      <w:r w:rsidRPr="002864A0">
        <w:rPr>
          <w:rFonts w:ascii="Book Antiqua" w:hAnsi="Book Antiqua" w:cs="Calibri"/>
          <w:sz w:val="24"/>
          <w:szCs w:val="24"/>
        </w:rPr>
        <w:t xml:space="preserve"> </w:t>
      </w:r>
      <w:r w:rsidRPr="002864A0">
        <w:rPr>
          <w:rFonts w:ascii="Book Antiqua" w:hAnsi="Book Antiqua" w:cs="Calibri"/>
          <w:i/>
          <w:iCs/>
          <w:sz w:val="24"/>
          <w:szCs w:val="24"/>
        </w:rPr>
        <w:t xml:space="preserve">J Steroid </w:t>
      </w:r>
      <w:proofErr w:type="spellStart"/>
      <w:r w:rsidRPr="002864A0">
        <w:rPr>
          <w:rFonts w:ascii="Book Antiqua" w:hAnsi="Book Antiqua" w:cs="Calibri"/>
          <w:i/>
          <w:iCs/>
          <w:sz w:val="24"/>
          <w:szCs w:val="24"/>
        </w:rPr>
        <w:t>Biochem</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Mol</w:t>
      </w:r>
      <w:proofErr w:type="spellEnd"/>
      <w:r w:rsidRPr="002864A0">
        <w:rPr>
          <w:rFonts w:ascii="Book Antiqua" w:hAnsi="Book Antiqua" w:cs="Calibri"/>
          <w:i/>
          <w:iCs/>
          <w:sz w:val="24"/>
          <w:szCs w:val="24"/>
        </w:rPr>
        <w:t xml:space="preserve"> </w:t>
      </w:r>
      <w:proofErr w:type="spellStart"/>
      <w:r w:rsidRPr="002864A0">
        <w:rPr>
          <w:rFonts w:ascii="Book Antiqua" w:hAnsi="Book Antiqua" w:cs="Calibri"/>
          <w:i/>
          <w:iCs/>
          <w:sz w:val="24"/>
          <w:szCs w:val="24"/>
        </w:rPr>
        <w:t>Biol</w:t>
      </w:r>
      <w:proofErr w:type="spellEnd"/>
      <w:r w:rsidRPr="002864A0">
        <w:rPr>
          <w:rFonts w:ascii="Book Antiqua" w:hAnsi="Book Antiqua" w:cs="Calibri"/>
          <w:sz w:val="24"/>
          <w:szCs w:val="24"/>
        </w:rPr>
        <w:t xml:space="preserve"> 2019; </w:t>
      </w:r>
      <w:r w:rsidRPr="002864A0">
        <w:rPr>
          <w:rFonts w:ascii="Book Antiqua" w:hAnsi="Book Antiqua" w:cs="Calibri"/>
          <w:b/>
          <w:bCs/>
          <w:sz w:val="24"/>
          <w:szCs w:val="24"/>
        </w:rPr>
        <w:t>193</w:t>
      </w:r>
      <w:r w:rsidRPr="002864A0">
        <w:rPr>
          <w:rFonts w:ascii="Book Antiqua" w:hAnsi="Book Antiqua" w:cs="Calibri"/>
          <w:sz w:val="24"/>
          <w:szCs w:val="24"/>
        </w:rPr>
        <w:t>: 105400 [PMID: 31175968 DOI: 10.1016/j.jsbmb.2019.105400]</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28 </w:t>
      </w:r>
      <w:r w:rsidRPr="002864A0">
        <w:rPr>
          <w:rFonts w:ascii="Book Antiqua" w:hAnsi="Book Antiqua" w:cs="Calibri"/>
          <w:b/>
          <w:bCs/>
          <w:sz w:val="24"/>
          <w:szCs w:val="24"/>
        </w:rPr>
        <w:t>Schulz K</w:t>
      </w:r>
      <w:r w:rsidRPr="002864A0">
        <w:rPr>
          <w:rFonts w:ascii="Book Antiqua" w:hAnsi="Book Antiqua" w:cs="Calibri"/>
          <w:sz w:val="24"/>
          <w:szCs w:val="24"/>
        </w:rPr>
        <w:t xml:space="preserve">, </w:t>
      </w:r>
      <w:proofErr w:type="spellStart"/>
      <w:r w:rsidRPr="002864A0">
        <w:rPr>
          <w:rFonts w:ascii="Book Antiqua" w:hAnsi="Book Antiqua" w:cs="Calibri"/>
          <w:sz w:val="24"/>
          <w:szCs w:val="24"/>
        </w:rPr>
        <w:t>Kalscheuer</w:t>
      </w:r>
      <w:proofErr w:type="spellEnd"/>
      <w:r w:rsidRPr="002864A0">
        <w:rPr>
          <w:rFonts w:ascii="Book Antiqua" w:hAnsi="Book Antiqua" w:cs="Calibri"/>
          <w:sz w:val="24"/>
          <w:szCs w:val="24"/>
        </w:rPr>
        <w:t xml:space="preserve"> H, </w:t>
      </w:r>
      <w:proofErr w:type="spellStart"/>
      <w:r w:rsidRPr="002864A0">
        <w:rPr>
          <w:rFonts w:ascii="Book Antiqua" w:hAnsi="Book Antiqua" w:cs="Calibri"/>
          <w:sz w:val="24"/>
          <w:szCs w:val="24"/>
        </w:rPr>
        <w:t>Lehnert</w:t>
      </w:r>
      <w:proofErr w:type="spellEnd"/>
      <w:r w:rsidRPr="002864A0">
        <w:rPr>
          <w:rFonts w:ascii="Book Antiqua" w:hAnsi="Book Antiqua" w:cs="Calibri"/>
          <w:sz w:val="24"/>
          <w:szCs w:val="24"/>
        </w:rPr>
        <w:t xml:space="preserve"> H. Personalized Therapy </w:t>
      </w:r>
      <w:proofErr w:type="gramStart"/>
      <w:r w:rsidRPr="002864A0">
        <w:rPr>
          <w:rFonts w:ascii="Book Antiqua" w:hAnsi="Book Antiqua" w:cs="Calibri"/>
          <w:sz w:val="24"/>
          <w:szCs w:val="24"/>
        </w:rPr>
        <w:t>In</w:t>
      </w:r>
      <w:proofErr w:type="gramEnd"/>
      <w:r w:rsidRPr="002864A0">
        <w:rPr>
          <w:rFonts w:ascii="Book Antiqua" w:hAnsi="Book Antiqua" w:cs="Calibri"/>
          <w:sz w:val="24"/>
          <w:szCs w:val="24"/>
        </w:rPr>
        <w:t xml:space="preserve"> Osteoporosis. </w:t>
      </w:r>
      <w:proofErr w:type="spellStart"/>
      <w:r w:rsidRPr="002864A0">
        <w:rPr>
          <w:rFonts w:ascii="Book Antiqua" w:hAnsi="Book Antiqua" w:cs="Calibri"/>
          <w:i/>
          <w:iCs/>
          <w:sz w:val="24"/>
          <w:szCs w:val="24"/>
        </w:rPr>
        <w:t>Dtsch</w:t>
      </w:r>
      <w:proofErr w:type="spellEnd"/>
      <w:r w:rsidRPr="002864A0">
        <w:rPr>
          <w:rFonts w:ascii="Book Antiqua" w:hAnsi="Book Antiqua" w:cs="Calibri"/>
          <w:i/>
          <w:iCs/>
          <w:sz w:val="24"/>
          <w:szCs w:val="24"/>
        </w:rPr>
        <w:t xml:space="preserve"> Med </w:t>
      </w:r>
      <w:proofErr w:type="spellStart"/>
      <w:r w:rsidRPr="002864A0">
        <w:rPr>
          <w:rFonts w:ascii="Book Antiqua" w:hAnsi="Book Antiqua" w:cs="Calibri"/>
          <w:i/>
          <w:iCs/>
          <w:sz w:val="24"/>
          <w:szCs w:val="24"/>
        </w:rPr>
        <w:t>Wochenschr</w:t>
      </w:r>
      <w:proofErr w:type="spellEnd"/>
      <w:r w:rsidRPr="002864A0">
        <w:rPr>
          <w:rFonts w:ascii="Book Antiqua" w:hAnsi="Book Antiqua" w:cs="Calibri"/>
          <w:sz w:val="24"/>
          <w:szCs w:val="24"/>
        </w:rPr>
        <w:t xml:space="preserve"> 2019; </w:t>
      </w:r>
      <w:r w:rsidRPr="002864A0">
        <w:rPr>
          <w:rFonts w:ascii="Book Antiqua" w:hAnsi="Book Antiqua" w:cs="Calibri"/>
          <w:b/>
          <w:bCs/>
          <w:sz w:val="24"/>
          <w:szCs w:val="24"/>
        </w:rPr>
        <w:t>144</w:t>
      </w:r>
      <w:r w:rsidRPr="002864A0">
        <w:rPr>
          <w:rFonts w:ascii="Book Antiqua" w:hAnsi="Book Antiqua" w:cs="Calibri"/>
          <w:sz w:val="24"/>
          <w:szCs w:val="24"/>
        </w:rPr>
        <w:t>: 1111-1119 [PMID: 31416102 DOI: 10.1055/a-0841-8336]</w:t>
      </w: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cs="Calibri"/>
          <w:sz w:val="24"/>
          <w:szCs w:val="24"/>
        </w:rPr>
        <w:br w:type="page"/>
      </w:r>
      <w:r w:rsidRPr="002864A0">
        <w:rPr>
          <w:rFonts w:ascii="Book Antiqua" w:hAnsi="Book Antiqua"/>
          <w:b/>
          <w:bCs/>
          <w:sz w:val="24"/>
          <w:szCs w:val="24"/>
        </w:rPr>
        <w:t>Footnotes</w:t>
      </w: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b/>
          <w:color w:val="000000"/>
          <w:sz w:val="24"/>
          <w:szCs w:val="24"/>
        </w:rPr>
        <w:t>Institutional review board statement</w:t>
      </w:r>
      <w:r w:rsidRPr="002864A0">
        <w:rPr>
          <w:rFonts w:ascii="Book Antiqua" w:hAnsi="Book Antiqua"/>
          <w:b/>
          <w:bCs/>
          <w:iCs/>
          <w:sz w:val="24"/>
          <w:szCs w:val="24"/>
        </w:rPr>
        <w:t xml:space="preserve">: </w:t>
      </w:r>
      <w:r w:rsidRPr="002864A0">
        <w:rPr>
          <w:rFonts w:ascii="Book Antiqua" w:hAnsi="Book Antiqua"/>
          <w:sz w:val="24"/>
          <w:szCs w:val="24"/>
        </w:rPr>
        <w:t>The study was approved by the ethics committee of Qinghai Provincial People’s Hospital.</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b/>
          <w:color w:val="000000"/>
          <w:sz w:val="24"/>
          <w:szCs w:val="24"/>
        </w:rPr>
        <w:t>Informed consent statement</w:t>
      </w:r>
      <w:r w:rsidRPr="002864A0">
        <w:rPr>
          <w:rFonts w:ascii="Book Antiqua" w:hAnsi="Book Antiqua"/>
          <w:b/>
          <w:bCs/>
          <w:iCs/>
          <w:sz w:val="24"/>
          <w:szCs w:val="24"/>
        </w:rPr>
        <w:t>:</w:t>
      </w:r>
      <w:r w:rsidRPr="002864A0">
        <w:rPr>
          <w:rFonts w:ascii="Book Antiqua" w:hAnsi="Book Antiqua"/>
          <w:b/>
          <w:bCs/>
          <w:sz w:val="24"/>
          <w:szCs w:val="24"/>
        </w:rPr>
        <w:t xml:space="preserve"> </w:t>
      </w:r>
      <w:r w:rsidRPr="002864A0">
        <w:rPr>
          <w:rFonts w:ascii="Book Antiqua" w:hAnsi="Book Antiqua"/>
          <w:sz w:val="24"/>
          <w:szCs w:val="24"/>
        </w:rPr>
        <w:t>All patients gave informed consent.</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b/>
          <w:color w:val="000000"/>
          <w:sz w:val="24"/>
          <w:szCs w:val="24"/>
        </w:rPr>
        <w:t>Conflict-of-interest statement</w:t>
      </w:r>
      <w:r w:rsidRPr="002864A0">
        <w:rPr>
          <w:rFonts w:ascii="Book Antiqua" w:hAnsi="Book Antiqua" w:cs="TimesNewRomanPS-BoldItalicMT"/>
          <w:b/>
          <w:bCs/>
          <w:iCs/>
          <w:sz w:val="24"/>
          <w:szCs w:val="24"/>
        </w:rPr>
        <w:t>:</w:t>
      </w:r>
      <w:r w:rsidRPr="002864A0">
        <w:rPr>
          <w:rFonts w:ascii="Book Antiqua" w:hAnsi="Book Antiqua"/>
          <w:sz w:val="24"/>
          <w:szCs w:val="24"/>
          <w:lang w:eastAsia="fr-FR"/>
        </w:rPr>
        <w:t xml:space="preserve"> </w:t>
      </w:r>
      <w:r w:rsidRPr="002864A0">
        <w:rPr>
          <w:rFonts w:ascii="Book Antiqua" w:hAnsi="Book Antiqua"/>
          <w:sz w:val="24"/>
          <w:szCs w:val="24"/>
        </w:rPr>
        <w:t>No benefits in any form have been received or will be received from a commercial party related directly or indirectly to the subject of this article.</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cs="TimesNewRomanPS-BoldItalicMT"/>
          <w:b/>
          <w:bCs/>
          <w:iCs/>
          <w:sz w:val="24"/>
          <w:szCs w:val="24"/>
        </w:rPr>
        <w:t>Data sharing</w:t>
      </w:r>
      <w:r w:rsidRPr="002864A0">
        <w:rPr>
          <w:rFonts w:ascii="Book Antiqua" w:hAnsi="Book Antiqua"/>
          <w:b/>
          <w:color w:val="000000"/>
          <w:sz w:val="24"/>
          <w:szCs w:val="24"/>
        </w:rPr>
        <w:t xml:space="preserve"> statement</w:t>
      </w:r>
      <w:r w:rsidRPr="002864A0">
        <w:rPr>
          <w:rFonts w:ascii="Book Antiqua" w:hAnsi="Book Antiqua" w:cs="TimesNewRomanPS-BoldItalicMT"/>
          <w:b/>
          <w:bCs/>
          <w:iCs/>
          <w:sz w:val="24"/>
          <w:szCs w:val="24"/>
        </w:rPr>
        <w:t xml:space="preserve">: </w:t>
      </w:r>
      <w:r w:rsidRPr="002864A0">
        <w:rPr>
          <w:rFonts w:ascii="Book Antiqua" w:hAnsi="Book Antiqua"/>
          <w:sz w:val="24"/>
          <w:szCs w:val="24"/>
        </w:rPr>
        <w:t xml:space="preserve">Technical appendix, statistical code, and dataset available from the corresponding author at </w:t>
      </w:r>
      <w:hyperlink r:id="rId7" w:history="1">
        <w:r w:rsidRPr="002864A0">
          <w:rPr>
            <w:rStyle w:val="a7"/>
            <w:rFonts w:ascii="Book Antiqua" w:hAnsi="Book Antiqua"/>
            <w:color w:val="auto"/>
            <w:sz w:val="24"/>
            <w:szCs w:val="24"/>
          </w:rPr>
          <w:t>1461519537@qq.com</w:t>
        </w:r>
      </w:hyperlink>
      <w:r w:rsidRPr="002864A0">
        <w:rPr>
          <w:rFonts w:ascii="Book Antiqua" w:hAnsi="Book Antiqua"/>
          <w:sz w:val="24"/>
          <w:szCs w:val="24"/>
        </w:rPr>
        <w:t>.</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tabs>
          <w:tab w:val="left" w:pos="9000"/>
        </w:tabs>
        <w:adjustRightInd w:val="0"/>
        <w:snapToGrid w:val="0"/>
        <w:spacing w:line="360" w:lineRule="auto"/>
        <w:rPr>
          <w:rFonts w:ascii="Book Antiqua" w:hAnsi="Book Antiqua"/>
          <w:bCs/>
          <w:sz w:val="24"/>
          <w:szCs w:val="24"/>
        </w:rPr>
      </w:pPr>
      <w:r w:rsidRPr="002864A0">
        <w:rPr>
          <w:rFonts w:ascii="Book Antiqua" w:hAnsi="Book Antiqua"/>
          <w:b/>
          <w:sz w:val="24"/>
          <w:szCs w:val="24"/>
        </w:rPr>
        <w:t>STROBE Statement:</w:t>
      </w:r>
      <w:r w:rsidR="00F27761" w:rsidRPr="002864A0">
        <w:rPr>
          <w:rFonts w:ascii="Book Antiqua" w:hAnsi="Book Antiqua"/>
          <w:b/>
          <w:sz w:val="24"/>
          <w:szCs w:val="24"/>
        </w:rPr>
        <w:t xml:space="preserve"> </w:t>
      </w:r>
      <w:r w:rsidR="00F27761" w:rsidRPr="002864A0">
        <w:rPr>
          <w:rFonts w:ascii="Book Antiqua" w:hAnsi="Book Antiqua"/>
          <w:bCs/>
          <w:sz w:val="24"/>
          <w:szCs w:val="24"/>
        </w:rPr>
        <w:t>The authors have read the STROBE Statement—checklist of items, and the manuscript was prepared and revised according to the STROBE Statement—checklist of items.</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sz w:val="24"/>
          <w:szCs w:val="24"/>
        </w:rPr>
      </w:pPr>
      <w:r w:rsidRPr="002864A0">
        <w:rPr>
          <w:rFonts w:ascii="Book Antiqua" w:hAnsi="Book Antiqua"/>
          <w:b/>
          <w:color w:val="000000"/>
          <w:sz w:val="24"/>
          <w:szCs w:val="24"/>
        </w:rPr>
        <w:t>Open-Access:</w:t>
      </w:r>
      <w:r w:rsidRPr="002864A0">
        <w:rPr>
          <w:rFonts w:ascii="Book Antiqua" w:hAnsi="Book Antiqua"/>
          <w:color w:val="000000"/>
          <w:sz w:val="24"/>
          <w:szCs w:val="24"/>
        </w:rPr>
        <w:t xml:space="preserve"> This article is an open-access </w:t>
      </w:r>
      <w:r w:rsidRPr="002864A0">
        <w:rPr>
          <w:rFonts w:ascii="Book Antiqua" w:hAnsi="Book Antiqua"/>
          <w:sz w:val="24"/>
          <w:szCs w:val="24"/>
        </w:rPr>
        <w:t xml:space="preserve">article that was selected </w:t>
      </w:r>
      <w:r w:rsidRPr="002864A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864A0">
        <w:rPr>
          <w:rFonts w:ascii="Book Antiqua" w:hAnsi="Book Antiqua"/>
          <w:color w:val="000000"/>
          <w:sz w:val="24"/>
          <w:szCs w:val="24"/>
        </w:rPr>
        <w:t>NonCommercial</w:t>
      </w:r>
      <w:proofErr w:type="spellEnd"/>
      <w:r w:rsidRPr="002864A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D590A" w:rsidRPr="002864A0" w:rsidRDefault="009D590A" w:rsidP="002864A0">
      <w:pPr>
        <w:adjustRightInd w:val="0"/>
        <w:snapToGrid w:val="0"/>
        <w:spacing w:line="360" w:lineRule="auto"/>
        <w:rPr>
          <w:rFonts w:ascii="Book Antiqua" w:hAnsi="Book Antiqua"/>
          <w:b/>
          <w:bCs/>
          <w:color w:val="000000"/>
          <w:sz w:val="24"/>
          <w:szCs w:val="24"/>
        </w:rPr>
      </w:pPr>
    </w:p>
    <w:p w:rsidR="009D590A" w:rsidRPr="002864A0" w:rsidRDefault="009D590A" w:rsidP="002864A0">
      <w:pPr>
        <w:adjustRightInd w:val="0"/>
        <w:snapToGrid w:val="0"/>
        <w:spacing w:line="360" w:lineRule="auto"/>
        <w:rPr>
          <w:rFonts w:ascii="Book Antiqua" w:hAnsi="Book Antiqua"/>
          <w:b/>
          <w:bCs/>
          <w:color w:val="000000"/>
          <w:sz w:val="24"/>
          <w:szCs w:val="24"/>
        </w:rPr>
      </w:pPr>
      <w:r w:rsidRPr="002864A0">
        <w:rPr>
          <w:rFonts w:ascii="Book Antiqua" w:hAnsi="Book Antiqua"/>
          <w:b/>
          <w:bCs/>
          <w:color w:val="000000"/>
          <w:sz w:val="24"/>
          <w:szCs w:val="24"/>
          <w:lang w:eastAsia="pl-PL"/>
        </w:rPr>
        <w:t>Manuscript source:</w:t>
      </w:r>
      <w:r w:rsidRPr="002864A0">
        <w:rPr>
          <w:rFonts w:ascii="Book Antiqua" w:hAnsi="Book Antiqua"/>
          <w:b/>
          <w:bCs/>
          <w:color w:val="000000"/>
          <w:sz w:val="24"/>
          <w:szCs w:val="24"/>
        </w:rPr>
        <w:t xml:space="preserve"> </w:t>
      </w:r>
      <w:r w:rsidRPr="002864A0">
        <w:rPr>
          <w:rFonts w:ascii="Book Antiqua" w:hAnsi="Book Antiqua"/>
          <w:bCs/>
          <w:color w:val="000000"/>
          <w:sz w:val="24"/>
          <w:szCs w:val="24"/>
          <w:lang w:eastAsia="pl-PL"/>
        </w:rPr>
        <w:t>Unsolicited</w:t>
      </w:r>
      <w:r w:rsidR="00F27761" w:rsidRPr="002864A0">
        <w:rPr>
          <w:rFonts w:ascii="Book Antiqua" w:hAnsi="Book Antiqua"/>
          <w:bCs/>
          <w:color w:val="000000"/>
          <w:sz w:val="24"/>
          <w:szCs w:val="24"/>
          <w:lang w:eastAsia="pl-PL"/>
        </w:rPr>
        <w:t xml:space="preserve"> </w:t>
      </w:r>
      <w:r w:rsidRPr="002864A0">
        <w:rPr>
          <w:rFonts w:ascii="Book Antiqua" w:hAnsi="Book Antiqua"/>
          <w:bCs/>
          <w:color w:val="000000"/>
          <w:sz w:val="24"/>
          <w:szCs w:val="24"/>
          <w:lang w:eastAsia="pl-PL"/>
        </w:rPr>
        <w:t>manuscript</w:t>
      </w:r>
    </w:p>
    <w:p w:rsidR="009D590A" w:rsidRPr="002864A0" w:rsidRDefault="009D590A" w:rsidP="002864A0">
      <w:pPr>
        <w:adjustRightInd w:val="0"/>
        <w:snapToGrid w:val="0"/>
        <w:spacing w:line="360" w:lineRule="auto"/>
        <w:rPr>
          <w:rFonts w:ascii="Book Antiqua" w:hAnsi="Book Antiqua"/>
          <w:b/>
          <w:sz w:val="24"/>
          <w:szCs w:val="24"/>
        </w:rPr>
      </w:pP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 xml:space="preserve">Peer-review started: </w:t>
      </w:r>
      <w:r w:rsidRPr="002864A0">
        <w:rPr>
          <w:rFonts w:ascii="Book Antiqua" w:hAnsi="Book Antiqua"/>
          <w:sz w:val="24"/>
          <w:szCs w:val="24"/>
        </w:rPr>
        <w:t>January 2, 2020</w:t>
      </w: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 xml:space="preserve">First decision: </w:t>
      </w:r>
      <w:r w:rsidRPr="002864A0">
        <w:rPr>
          <w:rFonts w:ascii="Book Antiqua" w:hAnsi="Book Antiqua"/>
          <w:sz w:val="24"/>
          <w:szCs w:val="24"/>
        </w:rPr>
        <w:t>February 26, 2020</w:t>
      </w:r>
    </w:p>
    <w:p w:rsidR="009D590A" w:rsidRPr="002864A0" w:rsidRDefault="009D590A" w:rsidP="002864A0">
      <w:pPr>
        <w:adjustRightInd w:val="0"/>
        <w:snapToGrid w:val="0"/>
        <w:spacing w:line="360" w:lineRule="auto"/>
        <w:rPr>
          <w:rFonts w:ascii="Book Antiqua" w:hAnsi="Book Antiqua"/>
          <w:b/>
          <w:sz w:val="24"/>
          <w:szCs w:val="24"/>
        </w:rPr>
      </w:pPr>
      <w:r w:rsidRPr="002864A0">
        <w:rPr>
          <w:rFonts w:ascii="Book Antiqua" w:hAnsi="Book Antiqua"/>
          <w:b/>
          <w:sz w:val="24"/>
          <w:szCs w:val="24"/>
        </w:rPr>
        <w:t>Article in press:</w:t>
      </w:r>
      <w:r w:rsidR="000F3E37" w:rsidRPr="000F3E37">
        <w:rPr>
          <w:rFonts w:ascii="Book Antiqua" w:hAnsi="Book Antiqua"/>
          <w:bCs/>
          <w:sz w:val="24"/>
          <w:szCs w:val="24"/>
        </w:rPr>
        <w:t xml:space="preserve"> </w:t>
      </w:r>
      <w:r w:rsidR="000F3E37" w:rsidRPr="003A5F03">
        <w:rPr>
          <w:rFonts w:ascii="Book Antiqua" w:hAnsi="Book Antiqua"/>
          <w:bCs/>
          <w:sz w:val="24"/>
          <w:szCs w:val="24"/>
        </w:rPr>
        <w:t>May 1, 2020</w:t>
      </w:r>
    </w:p>
    <w:p w:rsidR="009D590A" w:rsidRPr="002864A0" w:rsidRDefault="009D590A" w:rsidP="002864A0">
      <w:pPr>
        <w:adjustRightInd w:val="0"/>
        <w:snapToGrid w:val="0"/>
        <w:spacing w:line="360" w:lineRule="auto"/>
        <w:rPr>
          <w:rFonts w:ascii="Book Antiqua" w:hAnsi="Book Antiqua"/>
          <w:b/>
          <w:sz w:val="24"/>
          <w:szCs w:val="24"/>
        </w:rPr>
      </w:pPr>
    </w:p>
    <w:p w:rsidR="009D590A" w:rsidRPr="002864A0" w:rsidRDefault="009D590A" w:rsidP="002864A0">
      <w:pPr>
        <w:adjustRightInd w:val="0"/>
        <w:snapToGrid w:val="0"/>
        <w:spacing w:line="360" w:lineRule="auto"/>
        <w:rPr>
          <w:rFonts w:ascii="Book Antiqua" w:eastAsia="微软雅黑" w:hAnsi="Book Antiqua" w:cs="宋体"/>
          <w:sz w:val="24"/>
          <w:szCs w:val="24"/>
        </w:rPr>
      </w:pPr>
      <w:r w:rsidRPr="002864A0">
        <w:rPr>
          <w:rFonts w:ascii="Book Antiqua" w:hAnsi="Book Antiqua" w:cs="宋体"/>
          <w:b/>
          <w:sz w:val="24"/>
          <w:szCs w:val="24"/>
        </w:rPr>
        <w:t xml:space="preserve">Specialty type: </w:t>
      </w:r>
      <w:r w:rsidRPr="002864A0">
        <w:rPr>
          <w:rFonts w:ascii="Book Antiqua" w:eastAsia="微软雅黑" w:hAnsi="Book Antiqua" w:cs="宋体"/>
          <w:sz w:val="24"/>
          <w:szCs w:val="24"/>
        </w:rPr>
        <w:t>Medicine, research and experimental</w:t>
      </w:r>
    </w:p>
    <w:p w:rsidR="009D590A" w:rsidRPr="002864A0" w:rsidRDefault="009D590A" w:rsidP="002864A0">
      <w:pPr>
        <w:adjustRightInd w:val="0"/>
        <w:snapToGrid w:val="0"/>
        <w:spacing w:line="360" w:lineRule="auto"/>
        <w:rPr>
          <w:rFonts w:ascii="Book Antiqua" w:hAnsi="Book Antiqua" w:cs="宋体"/>
          <w:sz w:val="24"/>
          <w:szCs w:val="24"/>
        </w:rPr>
      </w:pPr>
      <w:r w:rsidRPr="002864A0">
        <w:rPr>
          <w:rFonts w:ascii="Book Antiqua" w:hAnsi="Book Antiqua" w:cs="宋体"/>
          <w:b/>
          <w:sz w:val="24"/>
          <w:szCs w:val="24"/>
        </w:rPr>
        <w:t xml:space="preserve">Country/Territory of origin: </w:t>
      </w:r>
      <w:r w:rsidRPr="002864A0">
        <w:rPr>
          <w:rFonts w:ascii="Book Antiqua" w:hAnsi="Book Antiqua"/>
          <w:sz w:val="24"/>
          <w:szCs w:val="24"/>
          <w:lang w:eastAsia="fr-FR"/>
        </w:rPr>
        <w:t>China</w:t>
      </w:r>
    </w:p>
    <w:p w:rsidR="009D590A" w:rsidRPr="002864A0" w:rsidRDefault="009D590A" w:rsidP="002864A0">
      <w:pPr>
        <w:adjustRightInd w:val="0"/>
        <w:snapToGrid w:val="0"/>
        <w:spacing w:line="360" w:lineRule="auto"/>
        <w:rPr>
          <w:rFonts w:ascii="Book Antiqua" w:hAnsi="Book Antiqua" w:cs="宋体"/>
          <w:b/>
          <w:sz w:val="24"/>
          <w:szCs w:val="24"/>
        </w:rPr>
      </w:pPr>
      <w:r w:rsidRPr="002864A0">
        <w:rPr>
          <w:rFonts w:ascii="Book Antiqua" w:hAnsi="Book Antiqua" w:cs="宋体"/>
          <w:b/>
          <w:sz w:val="24"/>
          <w:szCs w:val="24"/>
        </w:rPr>
        <w:t>Peer-review report’s scientific quality classification</w:t>
      </w:r>
    </w:p>
    <w:p w:rsidR="009D590A" w:rsidRPr="002864A0" w:rsidRDefault="009D590A" w:rsidP="002864A0">
      <w:pPr>
        <w:adjustRightInd w:val="0"/>
        <w:snapToGrid w:val="0"/>
        <w:spacing w:line="360" w:lineRule="auto"/>
        <w:rPr>
          <w:rFonts w:ascii="Book Antiqua" w:hAnsi="Book Antiqua" w:cs="宋体"/>
          <w:sz w:val="24"/>
          <w:szCs w:val="24"/>
        </w:rPr>
      </w:pPr>
      <w:r w:rsidRPr="002864A0">
        <w:rPr>
          <w:rFonts w:ascii="Book Antiqua" w:hAnsi="Book Antiqua" w:cs="宋体"/>
          <w:sz w:val="24"/>
          <w:szCs w:val="24"/>
        </w:rPr>
        <w:t>Grade </w:t>
      </w:r>
      <w:proofErr w:type="gramStart"/>
      <w:r w:rsidRPr="002864A0">
        <w:rPr>
          <w:rFonts w:ascii="Book Antiqua" w:hAnsi="Book Antiqua" w:cs="宋体"/>
          <w:sz w:val="24"/>
          <w:szCs w:val="24"/>
        </w:rPr>
        <w:t>A</w:t>
      </w:r>
      <w:proofErr w:type="gramEnd"/>
      <w:r w:rsidRPr="002864A0">
        <w:rPr>
          <w:rFonts w:ascii="Book Antiqua" w:hAnsi="Book Antiqua" w:cs="宋体"/>
          <w:sz w:val="24"/>
          <w:szCs w:val="24"/>
        </w:rPr>
        <w:t> (Excellent): 0</w:t>
      </w:r>
    </w:p>
    <w:p w:rsidR="009D590A" w:rsidRPr="002864A0" w:rsidRDefault="009D590A" w:rsidP="002864A0">
      <w:pPr>
        <w:adjustRightInd w:val="0"/>
        <w:snapToGrid w:val="0"/>
        <w:spacing w:line="360" w:lineRule="auto"/>
        <w:rPr>
          <w:rFonts w:ascii="Book Antiqua" w:hAnsi="Book Antiqua" w:cs="宋体"/>
          <w:sz w:val="24"/>
          <w:szCs w:val="24"/>
        </w:rPr>
      </w:pPr>
      <w:r w:rsidRPr="002864A0">
        <w:rPr>
          <w:rFonts w:ascii="Book Antiqua" w:hAnsi="Book Antiqua" w:cs="宋体"/>
          <w:sz w:val="24"/>
          <w:szCs w:val="24"/>
        </w:rPr>
        <w:t>Grade B (Very good): B, B</w:t>
      </w:r>
    </w:p>
    <w:p w:rsidR="009D590A" w:rsidRPr="002864A0" w:rsidRDefault="009D590A" w:rsidP="002864A0">
      <w:pPr>
        <w:adjustRightInd w:val="0"/>
        <w:snapToGrid w:val="0"/>
        <w:spacing w:line="360" w:lineRule="auto"/>
        <w:rPr>
          <w:rFonts w:ascii="Book Antiqua" w:hAnsi="Book Antiqua" w:cs="宋体"/>
          <w:sz w:val="24"/>
          <w:szCs w:val="24"/>
        </w:rPr>
      </w:pPr>
      <w:r w:rsidRPr="002864A0">
        <w:rPr>
          <w:rFonts w:ascii="Book Antiqua" w:hAnsi="Book Antiqua" w:cs="宋体"/>
          <w:sz w:val="24"/>
          <w:szCs w:val="24"/>
        </w:rPr>
        <w:t>Grade C (Good): 0</w:t>
      </w:r>
    </w:p>
    <w:p w:rsidR="009D590A" w:rsidRPr="002864A0" w:rsidRDefault="009D590A" w:rsidP="002864A0">
      <w:pPr>
        <w:adjustRightInd w:val="0"/>
        <w:snapToGrid w:val="0"/>
        <w:spacing w:line="360" w:lineRule="auto"/>
        <w:rPr>
          <w:rFonts w:ascii="Book Antiqua" w:hAnsi="Book Antiqua" w:cs="宋体"/>
          <w:sz w:val="24"/>
          <w:szCs w:val="24"/>
        </w:rPr>
      </w:pPr>
      <w:r w:rsidRPr="002864A0">
        <w:rPr>
          <w:rFonts w:ascii="Book Antiqua" w:hAnsi="Book Antiqua" w:cs="宋体"/>
          <w:sz w:val="24"/>
          <w:szCs w:val="24"/>
        </w:rPr>
        <w:t>Grade D (Fair): 0</w:t>
      </w:r>
    </w:p>
    <w:p w:rsidR="009D590A" w:rsidRPr="002864A0" w:rsidRDefault="009D590A" w:rsidP="002864A0">
      <w:pPr>
        <w:adjustRightInd w:val="0"/>
        <w:snapToGrid w:val="0"/>
        <w:spacing w:line="360" w:lineRule="auto"/>
        <w:rPr>
          <w:rFonts w:ascii="Book Antiqua" w:eastAsia="等线" w:hAnsi="Book Antiqua"/>
          <w:sz w:val="24"/>
          <w:szCs w:val="24"/>
          <w:lang w:val="hu-HU"/>
        </w:rPr>
      </w:pPr>
      <w:r w:rsidRPr="002864A0">
        <w:rPr>
          <w:rFonts w:ascii="Book Antiqua" w:hAnsi="Book Antiqua" w:cs="宋体"/>
          <w:sz w:val="24"/>
          <w:szCs w:val="24"/>
        </w:rPr>
        <w:t>Grade E (Poor): 0</w:t>
      </w:r>
    </w:p>
    <w:p w:rsidR="009D590A" w:rsidRPr="002864A0" w:rsidRDefault="009D590A" w:rsidP="002864A0">
      <w:pPr>
        <w:adjustRightInd w:val="0"/>
        <w:snapToGrid w:val="0"/>
        <w:spacing w:line="360" w:lineRule="auto"/>
        <w:ind w:right="361"/>
        <w:rPr>
          <w:rFonts w:ascii="Book Antiqua" w:hAnsi="Book Antiqua"/>
          <w:sz w:val="24"/>
          <w:szCs w:val="24"/>
        </w:rPr>
      </w:pPr>
    </w:p>
    <w:p w:rsidR="009D590A" w:rsidRPr="002864A0" w:rsidRDefault="009D590A" w:rsidP="002864A0">
      <w:pPr>
        <w:pStyle w:val="Style11"/>
        <w:adjustRightInd w:val="0"/>
        <w:snapToGrid w:val="0"/>
        <w:spacing w:after="0" w:line="360" w:lineRule="auto"/>
        <w:ind w:left="0" w:right="361"/>
        <w:contextualSpacing w:val="0"/>
        <w:jc w:val="both"/>
        <w:rPr>
          <w:rFonts w:ascii="Book Antiqua" w:hAnsi="Book Antiqua"/>
          <w:b/>
          <w:bCs/>
          <w:sz w:val="24"/>
          <w:szCs w:val="24"/>
          <w:lang w:val="en-US" w:eastAsia="zh-CN"/>
        </w:rPr>
      </w:pPr>
      <w:r w:rsidRPr="002864A0">
        <w:rPr>
          <w:rStyle w:val="a3"/>
          <w:rFonts w:ascii="Book Antiqua" w:hAnsi="Book Antiqua" w:cs="Arial"/>
          <w:bCs w:val="0"/>
          <w:sz w:val="24"/>
          <w:szCs w:val="24"/>
          <w:lang w:val="en-US" w:eastAsia="zh-CN"/>
        </w:rPr>
        <w:t>P-Reviewer:</w:t>
      </w:r>
      <w:r w:rsidRPr="002864A0">
        <w:rPr>
          <w:rFonts w:ascii="Book Antiqua" w:hAnsi="Book Antiqua"/>
          <w:bCs/>
          <w:sz w:val="24"/>
          <w:szCs w:val="24"/>
          <w:lang w:val="en-US"/>
        </w:rPr>
        <w:t xml:space="preserve"> </w:t>
      </w:r>
      <w:proofErr w:type="spellStart"/>
      <w:r w:rsidRPr="002864A0">
        <w:rPr>
          <w:rFonts w:ascii="Book Antiqua" w:hAnsi="Book Antiqua"/>
          <w:bCs/>
          <w:sz w:val="24"/>
          <w:szCs w:val="24"/>
          <w:lang w:val="en-US"/>
        </w:rPr>
        <w:t>Poturoglu</w:t>
      </w:r>
      <w:proofErr w:type="spellEnd"/>
      <w:r w:rsidRPr="002864A0">
        <w:rPr>
          <w:rFonts w:ascii="Book Antiqua" w:hAnsi="Book Antiqua"/>
          <w:bCs/>
          <w:sz w:val="24"/>
          <w:szCs w:val="24"/>
          <w:lang w:val="en-US"/>
        </w:rPr>
        <w:t xml:space="preserve"> S, Yu C</w:t>
      </w:r>
      <w:r w:rsidRPr="002864A0">
        <w:rPr>
          <w:rFonts w:ascii="Book Antiqua" w:hAnsi="Book Antiqua"/>
          <w:bCs/>
          <w:sz w:val="24"/>
          <w:szCs w:val="24"/>
          <w:lang w:val="en-US" w:eastAsia="zh-CN"/>
        </w:rPr>
        <w:t xml:space="preserve"> </w:t>
      </w:r>
      <w:r w:rsidRPr="002864A0">
        <w:rPr>
          <w:rFonts w:ascii="Book Antiqua" w:hAnsi="Book Antiqua"/>
          <w:b/>
          <w:bCs/>
          <w:sz w:val="24"/>
          <w:szCs w:val="24"/>
          <w:lang w:val="en-US"/>
        </w:rPr>
        <w:t>S-Editor</w:t>
      </w:r>
      <w:r w:rsidRPr="002864A0">
        <w:rPr>
          <w:rFonts w:ascii="Book Antiqua" w:hAnsi="Book Antiqua"/>
          <w:b/>
          <w:bCs/>
          <w:sz w:val="24"/>
          <w:szCs w:val="24"/>
          <w:lang w:val="en-US" w:eastAsia="zh-CN"/>
        </w:rPr>
        <w:t>:</w:t>
      </w:r>
      <w:r w:rsidRPr="002864A0">
        <w:rPr>
          <w:rFonts w:ascii="Book Antiqua" w:hAnsi="Book Antiqua"/>
          <w:bCs/>
          <w:sz w:val="24"/>
          <w:szCs w:val="24"/>
          <w:lang w:val="en-US"/>
        </w:rPr>
        <w:t xml:space="preserve"> </w:t>
      </w:r>
      <w:r w:rsidRPr="002864A0">
        <w:rPr>
          <w:rFonts w:ascii="Book Antiqua" w:hAnsi="Book Antiqua"/>
          <w:bCs/>
          <w:sz w:val="24"/>
          <w:szCs w:val="24"/>
          <w:lang w:val="en-US" w:eastAsia="zh-CN"/>
        </w:rPr>
        <w:t>Tang JZ</w:t>
      </w:r>
      <w:r w:rsidRPr="002864A0">
        <w:rPr>
          <w:rFonts w:ascii="Book Antiqua" w:hAnsi="Book Antiqua"/>
          <w:b/>
          <w:bCs/>
          <w:sz w:val="24"/>
          <w:szCs w:val="24"/>
          <w:lang w:val="en-US"/>
        </w:rPr>
        <w:t xml:space="preserve"> L-Editor</w:t>
      </w:r>
      <w:r w:rsidRPr="002864A0">
        <w:rPr>
          <w:rFonts w:ascii="Book Antiqua" w:hAnsi="Book Antiqua"/>
          <w:b/>
          <w:bCs/>
          <w:sz w:val="24"/>
          <w:szCs w:val="24"/>
          <w:lang w:val="en-US" w:eastAsia="zh-CN"/>
        </w:rPr>
        <w:t>:</w:t>
      </w:r>
      <w:r w:rsidRPr="002864A0">
        <w:rPr>
          <w:rFonts w:ascii="Book Antiqua" w:hAnsi="Book Antiqua"/>
          <w:b/>
          <w:bCs/>
          <w:sz w:val="24"/>
          <w:szCs w:val="24"/>
          <w:lang w:val="en-US"/>
        </w:rPr>
        <w:t xml:space="preserve"> </w:t>
      </w:r>
      <w:r w:rsidR="005D7828">
        <w:rPr>
          <w:rFonts w:ascii="Book Antiqua" w:hAnsi="Book Antiqua"/>
          <w:bCs/>
          <w:sz w:val="24"/>
          <w:szCs w:val="24"/>
          <w:lang w:val="en-US"/>
        </w:rPr>
        <w:t xml:space="preserve">Webster JR </w:t>
      </w:r>
      <w:r w:rsidRPr="002864A0">
        <w:rPr>
          <w:rFonts w:ascii="Book Antiqua" w:hAnsi="Book Antiqua"/>
          <w:b/>
          <w:bCs/>
          <w:sz w:val="24"/>
          <w:szCs w:val="24"/>
          <w:lang w:val="en-US"/>
        </w:rPr>
        <w:t>E-Editor</w:t>
      </w:r>
      <w:r w:rsidRPr="002864A0">
        <w:rPr>
          <w:rFonts w:ascii="Book Antiqua" w:hAnsi="Book Antiqua"/>
          <w:b/>
          <w:bCs/>
          <w:sz w:val="24"/>
          <w:szCs w:val="24"/>
          <w:lang w:val="en-US" w:eastAsia="zh-CN"/>
        </w:rPr>
        <w:t>:</w:t>
      </w:r>
      <w:r w:rsidR="000F3E37" w:rsidRPr="000F3E37">
        <w:rPr>
          <w:rFonts w:ascii="Book Antiqua" w:hAnsi="Book Antiqua" w:hint="eastAsia"/>
          <w:sz w:val="20"/>
          <w:szCs w:val="20"/>
        </w:rPr>
        <w:t xml:space="preserve"> </w:t>
      </w:r>
      <w:r w:rsidR="000F3E37" w:rsidRPr="004A6118">
        <w:rPr>
          <w:rFonts w:ascii="Book Antiqua" w:hAnsi="Book Antiqua" w:hint="eastAsia"/>
          <w:sz w:val="20"/>
          <w:szCs w:val="20"/>
        </w:rPr>
        <w:t>Qi LL</w:t>
      </w:r>
    </w:p>
    <w:p w:rsidR="009D590A" w:rsidRPr="002864A0" w:rsidRDefault="009D590A" w:rsidP="002864A0">
      <w:pPr>
        <w:adjustRightInd w:val="0"/>
        <w:snapToGrid w:val="0"/>
        <w:spacing w:line="360" w:lineRule="auto"/>
        <w:rPr>
          <w:rFonts w:ascii="Book Antiqua" w:hAnsi="Book Antiqua"/>
          <w:sz w:val="24"/>
          <w:szCs w:val="24"/>
        </w:rPr>
      </w:pP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b/>
          <w:bCs/>
          <w:sz w:val="24"/>
          <w:szCs w:val="24"/>
        </w:rPr>
        <w:br w:type="page"/>
      </w:r>
      <w:r w:rsidRPr="002864A0">
        <w:rPr>
          <w:rFonts w:ascii="Book Antiqua" w:hAnsi="Book Antiqua"/>
          <w:b/>
          <w:sz w:val="24"/>
          <w:szCs w:val="24"/>
        </w:rPr>
        <w:t>Figure Legends</w:t>
      </w:r>
    </w:p>
    <w:p w:rsidR="009D590A" w:rsidRPr="002864A0" w:rsidRDefault="004B7A4D" w:rsidP="002864A0">
      <w:pPr>
        <w:adjustRightInd w:val="0"/>
        <w:snapToGrid w:val="0"/>
        <w:spacing w:line="360" w:lineRule="auto"/>
        <w:rPr>
          <w:rFonts w:ascii="Book Antiqua" w:hAnsi="Book Antiqua" w:cs="Calibri"/>
          <w:sz w:val="24"/>
          <w:szCs w:val="24"/>
        </w:rPr>
      </w:pPr>
      <w:r>
        <w:rPr>
          <w:rFonts w:ascii="Book Antiqua" w:hAnsi="Book Antiqua" w:cs="Calibri"/>
          <w:noProof/>
          <w:sz w:val="24"/>
          <w:szCs w:val="24"/>
        </w:rPr>
        <w:drawing>
          <wp:inline distT="0" distB="0" distL="0" distR="0">
            <wp:extent cx="4867910" cy="4710430"/>
            <wp:effectExtent l="0" t="0" r="889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pic:cNvPicPr>
                      <a:picLocks noChangeAspect="1" noChangeArrowheads="1"/>
                    </pic:cNvPicPr>
                  </pic:nvPicPr>
                  <pic:blipFill>
                    <a:blip r:embed="rId8" cstate="print">
                      <a:extLst>
                        <a:ext uri="{28A0092B-C50C-407E-A947-70E740481C1C}">
                          <a14:useLocalDpi xmlns:a14="http://schemas.microsoft.com/office/drawing/2010/main" val="0"/>
                        </a:ext>
                      </a:extLst>
                    </a:blip>
                    <a:srcRect l="18613" t="4436" r="31883" b="10136"/>
                    <a:stretch>
                      <a:fillRect/>
                    </a:stretch>
                  </pic:blipFill>
                  <pic:spPr bwMode="auto">
                    <a:xfrm>
                      <a:off x="0" y="0"/>
                      <a:ext cx="4867910" cy="4710430"/>
                    </a:xfrm>
                    <a:prstGeom prst="rect">
                      <a:avLst/>
                    </a:prstGeom>
                    <a:noFill/>
                    <a:ln>
                      <a:noFill/>
                    </a:ln>
                  </pic:spPr>
                </pic:pic>
              </a:graphicData>
            </a:graphic>
          </wp:inline>
        </w:drawing>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b/>
          <w:bCs/>
          <w:sz w:val="24"/>
          <w:szCs w:val="24"/>
        </w:rPr>
        <w:t xml:space="preserve">Figure 1 </w:t>
      </w:r>
      <w:proofErr w:type="gramStart"/>
      <w:r w:rsidRPr="002864A0">
        <w:rPr>
          <w:rFonts w:ascii="Book Antiqua" w:hAnsi="Book Antiqua" w:cs="Calibri"/>
          <w:b/>
          <w:bCs/>
          <w:sz w:val="24"/>
          <w:szCs w:val="24"/>
        </w:rPr>
        <w:t>The</w:t>
      </w:r>
      <w:proofErr w:type="gramEnd"/>
      <w:r w:rsidRPr="002864A0">
        <w:rPr>
          <w:rFonts w:ascii="Book Antiqua" w:hAnsi="Book Antiqua" w:cs="Calibri"/>
          <w:b/>
          <w:bCs/>
          <w:sz w:val="24"/>
          <w:szCs w:val="24"/>
        </w:rPr>
        <w:t xml:space="preserve"> diagnostic value of vitamin </w:t>
      </w:r>
      <w:r w:rsidR="005D7828">
        <w:rPr>
          <w:rFonts w:ascii="Book Antiqua" w:hAnsi="Book Antiqua" w:cs="Calibri"/>
          <w:b/>
          <w:bCs/>
          <w:sz w:val="24"/>
          <w:szCs w:val="24"/>
        </w:rPr>
        <w:t xml:space="preserve">D </w:t>
      </w:r>
      <w:r w:rsidRPr="002864A0">
        <w:rPr>
          <w:rFonts w:ascii="Book Antiqua" w:hAnsi="Book Antiqua" w:cs="Calibri"/>
          <w:b/>
          <w:bCs/>
          <w:sz w:val="24"/>
          <w:szCs w:val="24"/>
        </w:rPr>
        <w:t xml:space="preserve">concentration on bone mass. </w:t>
      </w:r>
      <w:r w:rsidRPr="002864A0">
        <w:rPr>
          <w:rFonts w:ascii="Book Antiqua" w:hAnsi="Book Antiqua" w:cs="Calibri"/>
          <w:sz w:val="24"/>
          <w:szCs w:val="24"/>
        </w:rPr>
        <w:t>BMD: Bone mineral density.</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br w:type="page"/>
        <w:t>Table 1 Comparison of the general data and vitamin D concentrations between the study and control groups</w:t>
      </w:r>
    </w:p>
    <w:tbl>
      <w:tblPr>
        <w:tblW w:w="7965" w:type="dxa"/>
        <w:jc w:val="center"/>
        <w:tblBorders>
          <w:top w:val="single" w:sz="4" w:space="0" w:color="auto"/>
          <w:bottom w:val="single" w:sz="4" w:space="0" w:color="auto"/>
        </w:tblBorders>
        <w:tblLayout w:type="fixed"/>
        <w:tblLook w:val="0000" w:firstRow="0" w:lastRow="0" w:firstColumn="0" w:lastColumn="0" w:noHBand="0" w:noVBand="0"/>
      </w:tblPr>
      <w:tblGrid>
        <w:gridCol w:w="1173"/>
        <w:gridCol w:w="1140"/>
        <w:gridCol w:w="1720"/>
        <w:gridCol w:w="1500"/>
        <w:gridCol w:w="2432"/>
      </w:tblGrid>
      <w:tr w:rsidR="009D590A" w:rsidRPr="002864A0">
        <w:trPr>
          <w:trHeight w:val="171"/>
          <w:jc w:val="center"/>
        </w:trPr>
        <w:tc>
          <w:tcPr>
            <w:tcW w:w="1172"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Group </w:t>
            </w:r>
          </w:p>
        </w:tc>
        <w:tc>
          <w:tcPr>
            <w:tcW w:w="114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n</w:t>
            </w:r>
          </w:p>
        </w:tc>
        <w:tc>
          <w:tcPr>
            <w:tcW w:w="172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Age (</w:t>
            </w:r>
            <w:proofErr w:type="spellStart"/>
            <w:r w:rsidRPr="002864A0">
              <w:rPr>
                <w:rFonts w:ascii="Book Antiqua" w:hAnsi="Book Antiqua" w:cs="Calibri"/>
                <w:b/>
                <w:bCs/>
                <w:sz w:val="24"/>
                <w:szCs w:val="24"/>
              </w:rPr>
              <w:t>yr</w:t>
            </w:r>
            <w:proofErr w:type="spellEnd"/>
            <w:r w:rsidRPr="002864A0">
              <w:rPr>
                <w:rFonts w:ascii="Book Antiqua" w:hAnsi="Book Antiqua" w:cs="Calibri"/>
                <w:b/>
                <w:bCs/>
                <w:sz w:val="24"/>
                <w:szCs w:val="24"/>
              </w:rPr>
              <w:t>)</w:t>
            </w:r>
          </w:p>
        </w:tc>
        <w:tc>
          <w:tcPr>
            <w:tcW w:w="150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Sex (M/F)</w:t>
            </w:r>
          </w:p>
        </w:tc>
        <w:tc>
          <w:tcPr>
            <w:tcW w:w="2432"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Vitamin D (ng/mL)</w:t>
            </w:r>
          </w:p>
        </w:tc>
      </w:tr>
      <w:tr w:rsidR="009D590A" w:rsidRPr="002864A0">
        <w:trPr>
          <w:jc w:val="center"/>
        </w:trPr>
        <w:tc>
          <w:tcPr>
            <w:tcW w:w="1172"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Study </w:t>
            </w:r>
          </w:p>
        </w:tc>
        <w:tc>
          <w:tcPr>
            <w:tcW w:w="114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184</w:t>
            </w:r>
          </w:p>
        </w:tc>
        <w:tc>
          <w:tcPr>
            <w:tcW w:w="172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57.62 ± 13.79</w:t>
            </w:r>
          </w:p>
        </w:tc>
        <w:tc>
          <w:tcPr>
            <w:tcW w:w="150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49/135</w:t>
            </w:r>
          </w:p>
        </w:tc>
        <w:tc>
          <w:tcPr>
            <w:tcW w:w="2432"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13.76±7.15</w:t>
            </w:r>
          </w:p>
        </w:tc>
      </w:tr>
      <w:tr w:rsidR="009D590A" w:rsidRPr="002864A0">
        <w:trPr>
          <w:jc w:val="center"/>
        </w:trPr>
        <w:tc>
          <w:tcPr>
            <w:tcW w:w="1172"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Control </w:t>
            </w:r>
          </w:p>
        </w:tc>
        <w:tc>
          <w:tcPr>
            <w:tcW w:w="114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104</w:t>
            </w:r>
          </w:p>
        </w:tc>
        <w:tc>
          <w:tcPr>
            <w:tcW w:w="172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56.52 ± 13.66</w:t>
            </w:r>
          </w:p>
        </w:tc>
        <w:tc>
          <w:tcPr>
            <w:tcW w:w="150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25/79</w:t>
            </w:r>
          </w:p>
        </w:tc>
        <w:tc>
          <w:tcPr>
            <w:tcW w:w="243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20.12±7.59</w:t>
            </w:r>
          </w:p>
        </w:tc>
      </w:tr>
      <w:tr w:rsidR="009D590A" w:rsidRPr="002864A0">
        <w:trPr>
          <w:jc w:val="center"/>
        </w:trPr>
        <w:tc>
          <w:tcPr>
            <w:tcW w:w="1172"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i/>
                <w:iCs/>
                <w:sz w:val="24"/>
                <w:szCs w:val="24"/>
              </w:rPr>
              <w:t xml:space="preserve">t </w:t>
            </w:r>
            <w:r w:rsidRPr="002864A0">
              <w:rPr>
                <w:rFonts w:ascii="Book Antiqua" w:hAnsi="Book Antiqua" w:cs="Calibri"/>
                <w:sz w:val="24"/>
                <w:szCs w:val="24"/>
              </w:rPr>
              <w:t>(</w:t>
            </w:r>
            <w:r w:rsidRPr="002864A0">
              <w:rPr>
                <w:rFonts w:ascii="Book Antiqua" w:hAnsi="Book Antiqua" w:cs="Calibri"/>
                <w:i/>
                <w:iCs/>
                <w:sz w:val="24"/>
                <w:szCs w:val="24"/>
              </w:rPr>
              <w:t>c</w:t>
            </w:r>
            <w:r w:rsidRPr="002864A0">
              <w:rPr>
                <w:rFonts w:ascii="Book Antiqua" w:hAnsi="Book Antiqua" w:cs="Calibri"/>
                <w:i/>
                <w:iCs/>
                <w:sz w:val="24"/>
                <w:szCs w:val="24"/>
                <w:vertAlign w:val="superscript"/>
              </w:rPr>
              <w:t>2</w:t>
            </w:r>
            <w:r w:rsidRPr="002864A0">
              <w:rPr>
                <w:rFonts w:ascii="Book Antiqua" w:hAnsi="Book Antiqua" w:cs="Calibri"/>
                <w:sz w:val="24"/>
                <w:szCs w:val="24"/>
              </w:rPr>
              <w:t>)</w:t>
            </w:r>
          </w:p>
        </w:tc>
        <w:tc>
          <w:tcPr>
            <w:tcW w:w="1140"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2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0.656</w:t>
            </w:r>
          </w:p>
        </w:tc>
        <w:tc>
          <w:tcPr>
            <w:tcW w:w="150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0.234</w:t>
            </w:r>
          </w:p>
        </w:tc>
        <w:tc>
          <w:tcPr>
            <w:tcW w:w="243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7.085</w:t>
            </w:r>
          </w:p>
        </w:tc>
      </w:tr>
      <w:tr w:rsidR="009D590A" w:rsidRPr="002864A0">
        <w:trPr>
          <w:trHeight w:val="129"/>
          <w:jc w:val="center"/>
        </w:trPr>
        <w:tc>
          <w:tcPr>
            <w:tcW w:w="1172"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i/>
                <w:iCs/>
                <w:sz w:val="24"/>
                <w:szCs w:val="24"/>
              </w:rPr>
              <w:t>P</w:t>
            </w:r>
            <w:r w:rsidR="00B138CC">
              <w:rPr>
                <w:rFonts w:ascii="Book Antiqua" w:hAnsi="Book Antiqua" w:cs="Calibri"/>
                <w:i/>
                <w:iCs/>
                <w:sz w:val="24"/>
                <w:szCs w:val="24"/>
              </w:rPr>
              <w:t xml:space="preserve"> </w:t>
            </w:r>
            <w:r w:rsidR="00B138CC" w:rsidRPr="00B138CC">
              <w:rPr>
                <w:rFonts w:ascii="Book Antiqua" w:hAnsi="Book Antiqua" w:cs="Calibri"/>
                <w:iCs/>
                <w:sz w:val="24"/>
                <w:szCs w:val="24"/>
              </w:rPr>
              <w:t>value</w:t>
            </w:r>
          </w:p>
        </w:tc>
        <w:tc>
          <w:tcPr>
            <w:tcW w:w="1140"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2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0.512</w:t>
            </w:r>
          </w:p>
        </w:tc>
        <w:tc>
          <w:tcPr>
            <w:tcW w:w="150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0.629</w:t>
            </w:r>
          </w:p>
        </w:tc>
        <w:tc>
          <w:tcPr>
            <w:tcW w:w="243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0.000</w:t>
            </w: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 M: Male; F: Female.</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Table 2 Comparison of the percentage of vitamin D concentration between the study and control groups</w:t>
      </w:r>
    </w:p>
    <w:tbl>
      <w:tblPr>
        <w:tblW w:w="8619" w:type="dxa"/>
        <w:jc w:val="center"/>
        <w:tblBorders>
          <w:top w:val="single" w:sz="4" w:space="0" w:color="auto"/>
          <w:bottom w:val="single" w:sz="4" w:space="0" w:color="auto"/>
        </w:tblBorders>
        <w:tblLayout w:type="fixed"/>
        <w:tblLook w:val="0000" w:firstRow="0" w:lastRow="0" w:firstColumn="0" w:lastColumn="0" w:noHBand="0" w:noVBand="0"/>
      </w:tblPr>
      <w:tblGrid>
        <w:gridCol w:w="1917"/>
        <w:gridCol w:w="2098"/>
        <w:gridCol w:w="2200"/>
        <w:gridCol w:w="986"/>
        <w:gridCol w:w="1418"/>
      </w:tblGrid>
      <w:tr w:rsidR="009D590A" w:rsidRPr="002864A0">
        <w:trPr>
          <w:trHeight w:val="171"/>
          <w:jc w:val="center"/>
        </w:trPr>
        <w:tc>
          <w:tcPr>
            <w:tcW w:w="1917"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Vitamin D level</w:t>
            </w:r>
          </w:p>
        </w:tc>
        <w:tc>
          <w:tcPr>
            <w:tcW w:w="2098"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Study group (</w:t>
            </w:r>
            <w:r w:rsidRPr="002864A0">
              <w:rPr>
                <w:rFonts w:ascii="Book Antiqua" w:hAnsi="Book Antiqua" w:cs="Calibri"/>
                <w:b/>
                <w:bCs/>
                <w:i/>
                <w:iCs/>
                <w:sz w:val="24"/>
                <w:szCs w:val="24"/>
              </w:rPr>
              <w:t>n</w:t>
            </w:r>
            <w:r w:rsidRPr="002864A0">
              <w:rPr>
                <w:rFonts w:ascii="Book Antiqua" w:hAnsi="Book Antiqua" w:cs="Calibri"/>
                <w:b/>
                <w:bCs/>
                <w:sz w:val="24"/>
                <w:szCs w:val="24"/>
              </w:rPr>
              <w:t xml:space="preserve"> = 184), </w:t>
            </w:r>
            <w:r w:rsidRPr="002864A0">
              <w:rPr>
                <w:rFonts w:ascii="Book Antiqua" w:hAnsi="Book Antiqua" w:cs="Calibri"/>
                <w:b/>
                <w:bCs/>
                <w:i/>
                <w:iCs/>
                <w:sz w:val="24"/>
                <w:szCs w:val="24"/>
              </w:rPr>
              <w:t xml:space="preserve">n </w:t>
            </w:r>
            <w:r w:rsidRPr="002864A0">
              <w:rPr>
                <w:rFonts w:ascii="Book Antiqua" w:hAnsi="Book Antiqua" w:cs="Calibri"/>
                <w:b/>
                <w:bCs/>
                <w:sz w:val="24"/>
                <w:szCs w:val="24"/>
              </w:rPr>
              <w:t>(%)</w:t>
            </w:r>
          </w:p>
        </w:tc>
        <w:tc>
          <w:tcPr>
            <w:tcW w:w="220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Control group (</w:t>
            </w:r>
            <w:r w:rsidRPr="002864A0">
              <w:rPr>
                <w:rFonts w:ascii="Book Antiqua" w:hAnsi="Book Antiqua" w:cs="Calibri"/>
                <w:b/>
                <w:bCs/>
                <w:i/>
                <w:iCs/>
                <w:sz w:val="24"/>
                <w:szCs w:val="24"/>
              </w:rPr>
              <w:t>n</w:t>
            </w:r>
            <w:r w:rsidRPr="002864A0">
              <w:rPr>
                <w:rFonts w:ascii="Book Antiqua" w:hAnsi="Book Antiqua" w:cs="Calibri"/>
                <w:b/>
                <w:bCs/>
                <w:sz w:val="24"/>
                <w:szCs w:val="24"/>
              </w:rPr>
              <w:t xml:space="preserve"> = 104), </w:t>
            </w:r>
            <w:r w:rsidRPr="002864A0">
              <w:rPr>
                <w:rFonts w:ascii="Book Antiqua" w:hAnsi="Book Antiqua" w:cs="Calibri"/>
                <w:b/>
                <w:bCs/>
                <w:i/>
                <w:iCs/>
                <w:sz w:val="24"/>
                <w:szCs w:val="24"/>
              </w:rPr>
              <w:t xml:space="preserve">n </w:t>
            </w:r>
            <w:r w:rsidRPr="002864A0">
              <w:rPr>
                <w:rFonts w:ascii="Book Antiqua" w:hAnsi="Book Antiqua" w:cs="Calibri"/>
                <w:b/>
                <w:bCs/>
                <w:sz w:val="24"/>
                <w:szCs w:val="24"/>
              </w:rPr>
              <w:t>(%)</w:t>
            </w:r>
          </w:p>
        </w:tc>
        <w:tc>
          <w:tcPr>
            <w:tcW w:w="986"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c</w:t>
            </w:r>
            <w:r w:rsidRPr="002864A0">
              <w:rPr>
                <w:rFonts w:ascii="Book Antiqua" w:hAnsi="Book Antiqua" w:cs="Calibri"/>
                <w:b/>
                <w:bCs/>
                <w:i/>
                <w:iCs/>
                <w:sz w:val="24"/>
                <w:szCs w:val="24"/>
                <w:vertAlign w:val="superscript"/>
              </w:rPr>
              <w:t>2</w:t>
            </w:r>
          </w:p>
        </w:tc>
        <w:tc>
          <w:tcPr>
            <w:tcW w:w="1418" w:type="dxa"/>
            <w:tcBorders>
              <w:top w:val="single" w:sz="4" w:space="0" w:color="auto"/>
              <w:bottom w:val="single" w:sz="4" w:space="0" w:color="auto"/>
            </w:tcBorders>
            <w:vAlign w:val="center"/>
          </w:tcPr>
          <w:p w:rsidR="009D590A" w:rsidRPr="002864A0" w:rsidRDefault="009D590A" w:rsidP="00B138CC">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P</w:t>
            </w:r>
            <w:r w:rsidR="00B138CC">
              <w:rPr>
                <w:rFonts w:ascii="Book Antiqua" w:hAnsi="Book Antiqua" w:cs="Calibri"/>
                <w:iCs/>
                <w:sz w:val="24"/>
                <w:szCs w:val="24"/>
              </w:rPr>
              <w:t xml:space="preserve"> </w:t>
            </w:r>
            <w:r w:rsidR="00B138CC" w:rsidRPr="00B138CC">
              <w:rPr>
                <w:rFonts w:ascii="Book Antiqua" w:hAnsi="Book Antiqua" w:cs="Calibri"/>
                <w:b/>
                <w:bCs/>
                <w:iCs/>
                <w:sz w:val="24"/>
                <w:szCs w:val="24"/>
              </w:rPr>
              <w:t>value</w:t>
            </w:r>
          </w:p>
        </w:tc>
      </w:tr>
      <w:tr w:rsidR="009D590A" w:rsidRPr="002864A0">
        <w:trPr>
          <w:jc w:val="center"/>
        </w:trPr>
        <w:tc>
          <w:tcPr>
            <w:tcW w:w="1917"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&lt; 10</w:t>
            </w:r>
          </w:p>
        </w:tc>
        <w:tc>
          <w:tcPr>
            <w:tcW w:w="2098"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 (29.9)</w:t>
            </w:r>
          </w:p>
        </w:tc>
        <w:tc>
          <w:tcPr>
            <w:tcW w:w="220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1 (1.0)</w:t>
            </w:r>
          </w:p>
        </w:tc>
        <w:tc>
          <w:tcPr>
            <w:tcW w:w="986"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35.502</w:t>
            </w:r>
          </w:p>
        </w:tc>
        <w:tc>
          <w:tcPr>
            <w:tcW w:w="1418"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91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10-20</w:t>
            </w:r>
          </w:p>
        </w:tc>
        <w:tc>
          <w:tcPr>
            <w:tcW w:w="209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99 (53.8)</w:t>
            </w:r>
          </w:p>
        </w:tc>
        <w:tc>
          <w:tcPr>
            <w:tcW w:w="220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60 (57.7)</w:t>
            </w:r>
          </w:p>
        </w:tc>
        <w:tc>
          <w:tcPr>
            <w:tcW w:w="98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0.406</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0.524</w:t>
            </w:r>
          </w:p>
        </w:tc>
      </w:tr>
      <w:tr w:rsidR="009D590A" w:rsidRPr="002864A0">
        <w:trPr>
          <w:jc w:val="center"/>
        </w:trPr>
        <w:tc>
          <w:tcPr>
            <w:tcW w:w="191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20-30</w:t>
            </w:r>
          </w:p>
        </w:tc>
        <w:tc>
          <w:tcPr>
            <w:tcW w:w="209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25 (13.6)</w:t>
            </w:r>
          </w:p>
        </w:tc>
        <w:tc>
          <w:tcPr>
            <w:tcW w:w="220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33 (31.7)</w:t>
            </w:r>
          </w:p>
        </w:tc>
        <w:tc>
          <w:tcPr>
            <w:tcW w:w="98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13.600</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91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30</w:t>
            </w:r>
          </w:p>
        </w:tc>
        <w:tc>
          <w:tcPr>
            <w:tcW w:w="209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 (2.7)</w:t>
            </w:r>
          </w:p>
        </w:tc>
        <w:tc>
          <w:tcPr>
            <w:tcW w:w="220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 (9.6)</w:t>
            </w:r>
          </w:p>
        </w:tc>
        <w:tc>
          <w:tcPr>
            <w:tcW w:w="98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6.404</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0.011</w:t>
            </w: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 </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 xml:space="preserve">Table 3 Comparison of vitamin D concentrations between </w:t>
      </w:r>
      <w:r w:rsidR="00F912FC">
        <w:rPr>
          <w:rFonts w:ascii="Book Antiqua" w:hAnsi="Book Antiqua" w:cs="Calibri"/>
          <w:b/>
          <w:bCs/>
          <w:sz w:val="24"/>
          <w:szCs w:val="24"/>
        </w:rPr>
        <w:t xml:space="preserve">the </w:t>
      </w:r>
      <w:r w:rsidRPr="002864A0">
        <w:rPr>
          <w:rFonts w:ascii="Book Antiqua" w:hAnsi="Book Antiqua" w:cs="Calibri"/>
          <w:b/>
          <w:bCs/>
          <w:sz w:val="24"/>
          <w:szCs w:val="24"/>
        </w:rPr>
        <w:t>normal bone mineral density group, reduced bone mineral density group, and osteoporosis group</w:t>
      </w:r>
    </w:p>
    <w:tbl>
      <w:tblPr>
        <w:tblW w:w="7964" w:type="dxa"/>
        <w:jc w:val="center"/>
        <w:tblBorders>
          <w:top w:val="single" w:sz="4" w:space="0" w:color="auto"/>
          <w:bottom w:val="single" w:sz="4" w:space="0" w:color="auto"/>
        </w:tblBorders>
        <w:tblLayout w:type="fixed"/>
        <w:tblLook w:val="0000" w:firstRow="0" w:lastRow="0" w:firstColumn="0" w:lastColumn="0" w:noHBand="0" w:noVBand="0"/>
      </w:tblPr>
      <w:tblGrid>
        <w:gridCol w:w="1497"/>
        <w:gridCol w:w="975"/>
        <w:gridCol w:w="1530"/>
        <w:gridCol w:w="1350"/>
        <w:gridCol w:w="2612"/>
      </w:tblGrid>
      <w:tr w:rsidR="009D590A" w:rsidRPr="002864A0">
        <w:trPr>
          <w:trHeight w:val="171"/>
          <w:jc w:val="center"/>
        </w:trPr>
        <w:tc>
          <w:tcPr>
            <w:tcW w:w="1497"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Group</w:t>
            </w:r>
          </w:p>
        </w:tc>
        <w:tc>
          <w:tcPr>
            <w:tcW w:w="975"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n</w:t>
            </w:r>
          </w:p>
        </w:tc>
        <w:tc>
          <w:tcPr>
            <w:tcW w:w="153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Age (</w:t>
            </w:r>
            <w:proofErr w:type="spellStart"/>
            <w:r w:rsidRPr="002864A0">
              <w:rPr>
                <w:rFonts w:ascii="Book Antiqua" w:hAnsi="Book Antiqua" w:cs="Calibri"/>
                <w:b/>
                <w:bCs/>
                <w:sz w:val="24"/>
                <w:szCs w:val="24"/>
              </w:rPr>
              <w:t>yr</w:t>
            </w:r>
            <w:proofErr w:type="spellEnd"/>
            <w:r w:rsidRPr="002864A0">
              <w:rPr>
                <w:rFonts w:ascii="Book Antiqua" w:hAnsi="Book Antiqua" w:cs="Calibri"/>
                <w:b/>
                <w:bCs/>
                <w:sz w:val="24"/>
                <w:szCs w:val="24"/>
              </w:rPr>
              <w:t>)</w:t>
            </w:r>
          </w:p>
        </w:tc>
        <w:tc>
          <w:tcPr>
            <w:tcW w:w="135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Sex (M/F)</w:t>
            </w:r>
          </w:p>
        </w:tc>
        <w:tc>
          <w:tcPr>
            <w:tcW w:w="2612"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Vitamin D (ng/mL)</w:t>
            </w:r>
          </w:p>
        </w:tc>
      </w:tr>
      <w:tr w:rsidR="009D590A" w:rsidRPr="002864A0">
        <w:trPr>
          <w:jc w:val="center"/>
        </w:trPr>
        <w:tc>
          <w:tcPr>
            <w:tcW w:w="1497"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Normal BMD</w:t>
            </w:r>
          </w:p>
        </w:tc>
        <w:tc>
          <w:tcPr>
            <w:tcW w:w="975"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w:t>
            </w:r>
          </w:p>
        </w:tc>
        <w:tc>
          <w:tcPr>
            <w:tcW w:w="153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49.18 ± 11.29</w:t>
            </w:r>
          </w:p>
        </w:tc>
        <w:tc>
          <w:tcPr>
            <w:tcW w:w="135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20/35</w:t>
            </w:r>
          </w:p>
        </w:tc>
        <w:tc>
          <w:tcPr>
            <w:tcW w:w="2612"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14.20 ± 7.48</w:t>
            </w:r>
          </w:p>
        </w:tc>
      </w:tr>
      <w:tr w:rsidR="009D590A" w:rsidRPr="002864A0">
        <w:trPr>
          <w:jc w:val="center"/>
        </w:trPr>
        <w:tc>
          <w:tcPr>
            <w:tcW w:w="1497"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Reduced BMD</w:t>
            </w:r>
          </w:p>
        </w:tc>
        <w:tc>
          <w:tcPr>
            <w:tcW w:w="97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74</w:t>
            </w:r>
          </w:p>
        </w:tc>
        <w:tc>
          <w:tcPr>
            <w:tcW w:w="153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62.29 ± 12.28</w:t>
            </w:r>
            <w:r w:rsidRPr="002864A0">
              <w:rPr>
                <w:rFonts w:ascii="Book Antiqua" w:hAnsi="Book Antiqua" w:cs="Calibri"/>
                <w:sz w:val="24"/>
                <w:szCs w:val="24"/>
                <w:vertAlign w:val="superscript"/>
              </w:rPr>
              <w:t>1</w:t>
            </w:r>
          </w:p>
        </w:tc>
        <w:tc>
          <w:tcPr>
            <w:tcW w:w="135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19/55</w:t>
            </w:r>
          </w:p>
        </w:tc>
        <w:tc>
          <w:tcPr>
            <w:tcW w:w="2612"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14.12 ± 6.71</w:t>
            </w:r>
          </w:p>
        </w:tc>
      </w:tr>
      <w:tr w:rsidR="009D590A" w:rsidRPr="002864A0">
        <w:trPr>
          <w:jc w:val="center"/>
        </w:trPr>
        <w:tc>
          <w:tcPr>
            <w:tcW w:w="1497"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Osteoporosis </w:t>
            </w:r>
          </w:p>
        </w:tc>
        <w:tc>
          <w:tcPr>
            <w:tcW w:w="97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w:t>
            </w:r>
          </w:p>
        </w:tc>
        <w:tc>
          <w:tcPr>
            <w:tcW w:w="153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67.48 ± 9.20</w:t>
            </w:r>
            <w:r w:rsidRPr="002864A0">
              <w:rPr>
                <w:rFonts w:ascii="Book Antiqua" w:hAnsi="Book Antiqua" w:cs="Calibri"/>
                <w:sz w:val="24"/>
                <w:szCs w:val="24"/>
                <w:vertAlign w:val="superscript"/>
              </w:rPr>
              <w:t>2</w:t>
            </w:r>
          </w:p>
        </w:tc>
        <w:tc>
          <w:tcPr>
            <w:tcW w:w="135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10/45</w:t>
            </w:r>
          </w:p>
        </w:tc>
        <w:tc>
          <w:tcPr>
            <w:tcW w:w="261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12.94 ± 7.00</w:t>
            </w:r>
            <w:r w:rsidRPr="002864A0">
              <w:rPr>
                <w:rFonts w:ascii="Book Antiqua" w:hAnsi="Book Antiqua" w:cs="Calibri"/>
                <w:sz w:val="24"/>
                <w:szCs w:val="24"/>
                <w:vertAlign w:val="superscript"/>
              </w:rPr>
              <w:t>2</w:t>
            </w:r>
          </w:p>
        </w:tc>
      </w:tr>
      <w:tr w:rsidR="009D590A" w:rsidRPr="002864A0">
        <w:trPr>
          <w:jc w:val="center"/>
        </w:trPr>
        <w:tc>
          <w:tcPr>
            <w:tcW w:w="1497"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i/>
                <w:iCs/>
                <w:sz w:val="24"/>
                <w:szCs w:val="24"/>
              </w:rPr>
              <w:t>F(c</w:t>
            </w:r>
            <w:r w:rsidRPr="002864A0">
              <w:rPr>
                <w:rFonts w:ascii="Book Antiqua" w:hAnsi="Book Antiqua" w:cs="Calibri"/>
                <w:i/>
                <w:iCs/>
                <w:sz w:val="24"/>
                <w:szCs w:val="24"/>
                <w:vertAlign w:val="superscript"/>
              </w:rPr>
              <w:t>2</w:t>
            </w:r>
            <w:r w:rsidRPr="002864A0">
              <w:rPr>
                <w:rFonts w:ascii="Book Antiqua" w:hAnsi="Book Antiqua" w:cs="Calibri"/>
                <w:i/>
                <w:iCs/>
                <w:sz w:val="24"/>
                <w:szCs w:val="24"/>
              </w:rPr>
              <w:t>)</w:t>
            </w:r>
          </w:p>
        </w:tc>
        <w:tc>
          <w:tcPr>
            <w:tcW w:w="97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c>
          <w:tcPr>
            <w:tcW w:w="153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2108.770</w:t>
            </w:r>
          </w:p>
        </w:tc>
        <w:tc>
          <w:tcPr>
            <w:tcW w:w="135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4.711</w:t>
            </w:r>
          </w:p>
        </w:tc>
        <w:tc>
          <w:tcPr>
            <w:tcW w:w="261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35.824</w:t>
            </w:r>
          </w:p>
        </w:tc>
      </w:tr>
      <w:tr w:rsidR="009D590A" w:rsidRPr="002864A0">
        <w:trPr>
          <w:trHeight w:val="129"/>
          <w:jc w:val="center"/>
        </w:trPr>
        <w:tc>
          <w:tcPr>
            <w:tcW w:w="1497"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i/>
                <w:iCs/>
                <w:sz w:val="24"/>
                <w:szCs w:val="24"/>
              </w:rPr>
              <w:t>P</w:t>
            </w:r>
            <w:r w:rsidR="00BB325D">
              <w:rPr>
                <w:rFonts w:ascii="Book Antiqua" w:hAnsi="Book Antiqua" w:cs="Calibri"/>
                <w:i/>
                <w:iCs/>
                <w:sz w:val="24"/>
                <w:szCs w:val="24"/>
              </w:rPr>
              <w:t xml:space="preserve"> </w:t>
            </w:r>
            <w:r w:rsidR="00BB325D" w:rsidRPr="00B138CC">
              <w:rPr>
                <w:rFonts w:ascii="Book Antiqua" w:hAnsi="Book Antiqua" w:cs="Calibri"/>
                <w:iCs/>
                <w:sz w:val="24"/>
                <w:szCs w:val="24"/>
              </w:rPr>
              <w:t>value</w:t>
            </w:r>
          </w:p>
        </w:tc>
        <w:tc>
          <w:tcPr>
            <w:tcW w:w="97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c>
          <w:tcPr>
            <w:tcW w:w="153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0.000</w:t>
            </w:r>
          </w:p>
        </w:tc>
        <w:tc>
          <w:tcPr>
            <w:tcW w:w="1350"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0.095</w:t>
            </w:r>
          </w:p>
        </w:tc>
        <w:tc>
          <w:tcPr>
            <w:tcW w:w="2612" w:type="dxa"/>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0.000</w:t>
            </w:r>
          </w:p>
        </w:tc>
      </w:tr>
    </w:tbl>
    <w:p w:rsidR="009D590A" w:rsidRPr="002864A0" w:rsidRDefault="009D590A" w:rsidP="002864A0">
      <w:pPr>
        <w:adjustRightInd w:val="0"/>
        <w:snapToGrid w:val="0"/>
        <w:spacing w:line="360" w:lineRule="auto"/>
        <w:rPr>
          <w:rFonts w:ascii="Book Antiqua" w:hAnsi="Book Antiqua" w:cs="Calibri"/>
          <w:sz w:val="24"/>
          <w:szCs w:val="24"/>
        </w:rPr>
      </w:pPr>
      <w:proofErr w:type="gramStart"/>
      <w:r w:rsidRPr="002864A0">
        <w:rPr>
          <w:rFonts w:ascii="Book Antiqua" w:hAnsi="Book Antiqua" w:cs="Calibri"/>
          <w:sz w:val="24"/>
          <w:szCs w:val="24"/>
          <w:vertAlign w:val="superscript"/>
        </w:rPr>
        <w:t>1</w:t>
      </w:r>
      <w:r w:rsidRPr="002864A0">
        <w:rPr>
          <w:rFonts w:ascii="Book Antiqua" w:hAnsi="Book Antiqua" w:cs="Calibri"/>
          <w:sz w:val="24"/>
          <w:szCs w:val="24"/>
        </w:rPr>
        <w:t xml:space="preserve">Compared with </w:t>
      </w:r>
      <w:r w:rsidR="00F912FC">
        <w:rPr>
          <w:rFonts w:ascii="Book Antiqua" w:hAnsi="Book Antiqua" w:cs="Calibri"/>
          <w:sz w:val="24"/>
          <w:szCs w:val="24"/>
        </w:rPr>
        <w:t xml:space="preserve">the </w:t>
      </w:r>
      <w:r w:rsidRPr="002864A0">
        <w:rPr>
          <w:rFonts w:ascii="Book Antiqua" w:hAnsi="Book Antiqua" w:cs="Calibri"/>
          <w:sz w:val="24"/>
          <w:szCs w:val="24"/>
        </w:rPr>
        <w:t xml:space="preserve">normal bone mineral density group, </w:t>
      </w:r>
      <w:r w:rsidRPr="002864A0">
        <w:rPr>
          <w:rFonts w:ascii="Book Antiqua" w:hAnsi="Book Antiqua" w:cs="Calibri"/>
          <w:i/>
          <w:iCs/>
          <w:sz w:val="24"/>
          <w:szCs w:val="24"/>
        </w:rPr>
        <w:t>P</w:t>
      </w:r>
      <w:r w:rsidRPr="002864A0">
        <w:rPr>
          <w:rFonts w:ascii="Book Antiqua" w:hAnsi="Book Antiqua" w:cs="Calibri"/>
          <w:sz w:val="24"/>
          <w:szCs w:val="24"/>
        </w:rPr>
        <w:t xml:space="preserve"> &lt; 0.05.</w:t>
      </w:r>
      <w:proofErr w:type="gramEnd"/>
      <w:r w:rsidRPr="002864A0">
        <w:rPr>
          <w:rFonts w:ascii="Book Antiqua" w:hAnsi="Book Antiqua" w:cs="Calibri"/>
          <w:sz w:val="24"/>
          <w:szCs w:val="24"/>
        </w:rPr>
        <w:t xml:space="preserve"> </w:t>
      </w:r>
      <w:proofErr w:type="gramStart"/>
      <w:r w:rsidRPr="002864A0">
        <w:rPr>
          <w:rFonts w:ascii="Book Antiqua" w:hAnsi="Book Antiqua" w:cs="Calibri"/>
          <w:sz w:val="24"/>
          <w:szCs w:val="24"/>
          <w:vertAlign w:val="superscript"/>
        </w:rPr>
        <w:t>2</w:t>
      </w:r>
      <w:r w:rsidRPr="002864A0">
        <w:rPr>
          <w:rFonts w:ascii="Book Antiqua" w:hAnsi="Book Antiqua" w:cs="Calibri"/>
          <w:sz w:val="24"/>
          <w:szCs w:val="24"/>
        </w:rPr>
        <w:t xml:space="preserve">Compared with </w:t>
      </w:r>
      <w:r w:rsidR="00F912FC">
        <w:rPr>
          <w:rFonts w:ascii="Book Antiqua" w:hAnsi="Book Antiqua" w:cs="Calibri"/>
          <w:sz w:val="24"/>
          <w:szCs w:val="24"/>
        </w:rPr>
        <w:t xml:space="preserve">the </w:t>
      </w:r>
      <w:r w:rsidRPr="002864A0">
        <w:rPr>
          <w:rFonts w:ascii="Book Antiqua" w:hAnsi="Book Antiqua" w:cs="Calibri"/>
          <w:sz w:val="24"/>
          <w:szCs w:val="24"/>
        </w:rPr>
        <w:t xml:space="preserve">reduced bone mineral density group, </w:t>
      </w:r>
      <w:r w:rsidRPr="002864A0">
        <w:rPr>
          <w:rFonts w:ascii="Book Antiqua" w:hAnsi="Book Antiqua" w:cs="Calibri"/>
          <w:i/>
          <w:iCs/>
          <w:sz w:val="24"/>
          <w:szCs w:val="24"/>
        </w:rPr>
        <w:t>P</w:t>
      </w:r>
      <w:r w:rsidRPr="002864A0">
        <w:rPr>
          <w:rFonts w:ascii="Book Antiqua" w:hAnsi="Book Antiqua" w:cs="Calibri"/>
          <w:sz w:val="24"/>
          <w:szCs w:val="24"/>
        </w:rPr>
        <w:t xml:space="preserve"> &lt; 0.05.</w:t>
      </w:r>
      <w:proofErr w:type="gramEnd"/>
      <w:r w:rsidRPr="002864A0">
        <w:rPr>
          <w:rFonts w:ascii="Book Antiqua" w:hAnsi="Book Antiqua" w:cs="Calibri"/>
          <w:sz w:val="24"/>
          <w:szCs w:val="24"/>
        </w:rPr>
        <w:t xml:space="preserve"> M: Male; F: Female; BMD: Bone mineral density.</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 xml:space="preserve">Table 4 </w:t>
      </w:r>
      <w:proofErr w:type="gramStart"/>
      <w:r w:rsidRPr="002864A0">
        <w:rPr>
          <w:rFonts w:ascii="Book Antiqua" w:hAnsi="Book Antiqua" w:cs="Calibri"/>
          <w:b/>
          <w:bCs/>
          <w:sz w:val="24"/>
          <w:szCs w:val="24"/>
        </w:rPr>
        <w:t>The</w:t>
      </w:r>
      <w:proofErr w:type="gramEnd"/>
      <w:r w:rsidRPr="002864A0">
        <w:rPr>
          <w:rFonts w:ascii="Book Antiqua" w:hAnsi="Book Antiqua" w:cs="Calibri"/>
          <w:b/>
          <w:bCs/>
          <w:sz w:val="24"/>
          <w:szCs w:val="24"/>
        </w:rPr>
        <w:t xml:space="preserve"> diagnostic value of vitamin </w:t>
      </w:r>
      <w:r w:rsidR="00F912FC">
        <w:rPr>
          <w:rFonts w:ascii="Book Antiqua" w:hAnsi="Book Antiqua" w:cs="Calibri"/>
          <w:b/>
          <w:bCs/>
          <w:sz w:val="24"/>
          <w:szCs w:val="24"/>
        </w:rPr>
        <w:t xml:space="preserve">D </w:t>
      </w:r>
      <w:r w:rsidRPr="002864A0">
        <w:rPr>
          <w:rFonts w:ascii="Book Antiqua" w:hAnsi="Book Antiqua" w:cs="Calibri"/>
          <w:b/>
          <w:bCs/>
          <w:sz w:val="24"/>
          <w:szCs w:val="24"/>
        </w:rPr>
        <w:t>concentration on bone mass reduction and osteoporosis</w:t>
      </w:r>
    </w:p>
    <w:tbl>
      <w:tblPr>
        <w:tblW w:w="7904" w:type="dxa"/>
        <w:jc w:val="center"/>
        <w:tblBorders>
          <w:top w:val="single" w:sz="4" w:space="0" w:color="auto"/>
          <w:bottom w:val="single" w:sz="4" w:space="0" w:color="auto"/>
        </w:tblBorders>
        <w:tblLayout w:type="fixed"/>
        <w:tblLook w:val="0000" w:firstRow="0" w:lastRow="0" w:firstColumn="0" w:lastColumn="0" w:noHBand="0" w:noVBand="0"/>
      </w:tblPr>
      <w:tblGrid>
        <w:gridCol w:w="1782"/>
        <w:gridCol w:w="833"/>
        <w:gridCol w:w="1574"/>
        <w:gridCol w:w="1071"/>
        <w:gridCol w:w="1060"/>
        <w:gridCol w:w="1584"/>
      </w:tblGrid>
      <w:tr w:rsidR="009D590A" w:rsidRPr="002864A0" w:rsidTr="0068049C">
        <w:trPr>
          <w:trHeight w:val="185"/>
          <w:jc w:val="center"/>
        </w:trPr>
        <w:tc>
          <w:tcPr>
            <w:tcW w:w="1782"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Group </w:t>
            </w:r>
          </w:p>
        </w:tc>
        <w:tc>
          <w:tcPr>
            <w:tcW w:w="833"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n</w:t>
            </w:r>
          </w:p>
        </w:tc>
        <w:tc>
          <w:tcPr>
            <w:tcW w:w="1574"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AUC</w:t>
            </w:r>
          </w:p>
        </w:tc>
        <w:tc>
          <w:tcPr>
            <w:tcW w:w="1071"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SD</w:t>
            </w:r>
          </w:p>
        </w:tc>
        <w:tc>
          <w:tcPr>
            <w:tcW w:w="106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P</w:t>
            </w:r>
            <w:r w:rsidR="00BB325D">
              <w:rPr>
                <w:rFonts w:ascii="Book Antiqua" w:hAnsi="Book Antiqua" w:cs="Calibri"/>
                <w:b/>
                <w:bCs/>
                <w:i/>
                <w:iCs/>
                <w:sz w:val="24"/>
                <w:szCs w:val="24"/>
              </w:rPr>
              <w:t xml:space="preserve"> </w:t>
            </w:r>
            <w:r w:rsidR="00BB325D" w:rsidRPr="00BB325D">
              <w:rPr>
                <w:rFonts w:ascii="Book Antiqua" w:hAnsi="Book Antiqua" w:cs="Calibri"/>
                <w:b/>
                <w:bCs/>
                <w:iCs/>
                <w:sz w:val="24"/>
                <w:szCs w:val="24"/>
              </w:rPr>
              <w:t>value</w:t>
            </w:r>
          </w:p>
        </w:tc>
        <w:tc>
          <w:tcPr>
            <w:tcW w:w="1584"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95%CI</w:t>
            </w:r>
          </w:p>
        </w:tc>
      </w:tr>
      <w:tr w:rsidR="009D590A" w:rsidRPr="002864A0" w:rsidTr="0068049C">
        <w:trPr>
          <w:trHeight w:val="185"/>
          <w:jc w:val="center"/>
        </w:trPr>
        <w:tc>
          <w:tcPr>
            <w:tcW w:w="1782"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Reduced BMD</w:t>
            </w:r>
          </w:p>
        </w:tc>
        <w:tc>
          <w:tcPr>
            <w:tcW w:w="833"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74</w:t>
            </w:r>
          </w:p>
        </w:tc>
        <w:tc>
          <w:tcPr>
            <w:tcW w:w="1574"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0.487</w:t>
            </w:r>
          </w:p>
        </w:tc>
        <w:tc>
          <w:tcPr>
            <w:tcW w:w="1071"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0.056</w:t>
            </w:r>
          </w:p>
        </w:tc>
        <w:tc>
          <w:tcPr>
            <w:tcW w:w="106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0.820</w:t>
            </w:r>
          </w:p>
        </w:tc>
        <w:tc>
          <w:tcPr>
            <w:tcW w:w="1584"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0.379-0.596</w:t>
            </w:r>
          </w:p>
        </w:tc>
      </w:tr>
      <w:tr w:rsidR="009D590A" w:rsidRPr="002864A0" w:rsidTr="0068049C">
        <w:trPr>
          <w:trHeight w:val="501"/>
          <w:jc w:val="center"/>
        </w:trPr>
        <w:tc>
          <w:tcPr>
            <w:tcW w:w="1782"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Osteoporosis </w:t>
            </w:r>
          </w:p>
        </w:tc>
        <w:tc>
          <w:tcPr>
            <w:tcW w:w="833"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w:t>
            </w:r>
          </w:p>
        </w:tc>
        <w:tc>
          <w:tcPr>
            <w:tcW w:w="1574"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0.417</w:t>
            </w:r>
          </w:p>
        </w:tc>
        <w:tc>
          <w:tcPr>
            <w:tcW w:w="1071"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0.055</w:t>
            </w:r>
          </w:p>
        </w:tc>
        <w:tc>
          <w:tcPr>
            <w:tcW w:w="106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0.134</w:t>
            </w:r>
          </w:p>
        </w:tc>
        <w:tc>
          <w:tcPr>
            <w:tcW w:w="1584"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0.309-0.525</w:t>
            </w: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CI: Confidence interval; BMD: Bone mineral density; AUC: Area under curve; SD: Standard deviation.</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Table 5 Relationship between age groups and bone mineral density in patients with chronic pain</w:t>
      </w:r>
    </w:p>
    <w:tbl>
      <w:tblPr>
        <w:tblW w:w="8376" w:type="dxa"/>
        <w:tblInd w:w="96" w:type="dxa"/>
        <w:tblBorders>
          <w:top w:val="single" w:sz="4" w:space="0" w:color="auto"/>
          <w:bottom w:val="single" w:sz="4" w:space="0" w:color="auto"/>
        </w:tblBorders>
        <w:tblLayout w:type="fixed"/>
        <w:tblLook w:val="0000" w:firstRow="0" w:lastRow="0" w:firstColumn="0" w:lastColumn="0" w:noHBand="0" w:noVBand="0"/>
      </w:tblPr>
      <w:tblGrid>
        <w:gridCol w:w="1145"/>
        <w:gridCol w:w="990"/>
        <w:gridCol w:w="1450"/>
        <w:gridCol w:w="1360"/>
        <w:gridCol w:w="1480"/>
        <w:gridCol w:w="910"/>
        <w:gridCol w:w="1041"/>
      </w:tblGrid>
      <w:tr w:rsidR="009D590A" w:rsidRPr="002864A0" w:rsidTr="001B5F8B">
        <w:trPr>
          <w:trHeight w:val="637"/>
        </w:trPr>
        <w:tc>
          <w:tcPr>
            <w:tcW w:w="1145"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Age group (</w:t>
            </w:r>
            <w:proofErr w:type="spellStart"/>
            <w:r w:rsidRPr="002864A0">
              <w:rPr>
                <w:rFonts w:ascii="Book Antiqua" w:hAnsi="Book Antiqua" w:cs="Calibri"/>
                <w:b/>
                <w:bCs/>
                <w:sz w:val="24"/>
                <w:szCs w:val="24"/>
              </w:rPr>
              <w:t>yr</w:t>
            </w:r>
            <w:proofErr w:type="spellEnd"/>
            <w:r w:rsidRPr="002864A0">
              <w:rPr>
                <w:rFonts w:ascii="Book Antiqua" w:hAnsi="Book Antiqua" w:cs="Calibri"/>
                <w:b/>
                <w:bCs/>
                <w:sz w:val="24"/>
                <w:szCs w:val="24"/>
              </w:rPr>
              <w:t>)</w:t>
            </w:r>
          </w:p>
        </w:tc>
        <w:tc>
          <w:tcPr>
            <w:tcW w:w="99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n</w:t>
            </w:r>
          </w:p>
        </w:tc>
        <w:tc>
          <w:tcPr>
            <w:tcW w:w="145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Normal BMD (%)</w:t>
            </w:r>
          </w:p>
        </w:tc>
        <w:tc>
          <w:tcPr>
            <w:tcW w:w="136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Reduced BMD (%)</w:t>
            </w:r>
          </w:p>
        </w:tc>
        <w:tc>
          <w:tcPr>
            <w:tcW w:w="148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Osteoporosis (%)</w:t>
            </w:r>
          </w:p>
        </w:tc>
        <w:tc>
          <w:tcPr>
            <w:tcW w:w="91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c</w:t>
            </w:r>
            <w:r w:rsidRPr="002864A0">
              <w:rPr>
                <w:rFonts w:ascii="Book Antiqua" w:hAnsi="Book Antiqua" w:cs="Calibri"/>
                <w:b/>
                <w:bCs/>
                <w:i/>
                <w:iCs/>
                <w:sz w:val="24"/>
                <w:szCs w:val="24"/>
                <w:vertAlign w:val="superscript"/>
              </w:rPr>
              <w:t>2</w:t>
            </w:r>
          </w:p>
        </w:tc>
        <w:tc>
          <w:tcPr>
            <w:tcW w:w="1041"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P</w:t>
            </w:r>
            <w:r w:rsidR="001B5F8B" w:rsidRPr="00BB325D">
              <w:rPr>
                <w:rFonts w:ascii="Book Antiqua" w:hAnsi="Book Antiqua" w:cs="Calibri"/>
                <w:b/>
                <w:bCs/>
                <w:iCs/>
                <w:sz w:val="24"/>
                <w:szCs w:val="24"/>
              </w:rPr>
              <w:t xml:space="preserve"> value</w:t>
            </w:r>
          </w:p>
        </w:tc>
      </w:tr>
      <w:tr w:rsidR="009D590A" w:rsidRPr="002864A0" w:rsidTr="001B5F8B">
        <w:trPr>
          <w:trHeight w:val="323"/>
        </w:trPr>
        <w:tc>
          <w:tcPr>
            <w:tcW w:w="1145"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&lt; 45</w:t>
            </w:r>
          </w:p>
        </w:tc>
        <w:tc>
          <w:tcPr>
            <w:tcW w:w="99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32</w:t>
            </w:r>
          </w:p>
        </w:tc>
        <w:tc>
          <w:tcPr>
            <w:tcW w:w="145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 (49.09)</w:t>
            </w:r>
          </w:p>
        </w:tc>
        <w:tc>
          <w:tcPr>
            <w:tcW w:w="136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 (5.41)</w:t>
            </w:r>
          </w:p>
        </w:tc>
        <w:tc>
          <w:tcPr>
            <w:tcW w:w="148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 (1.82)</w:t>
            </w:r>
          </w:p>
        </w:tc>
        <w:tc>
          <w:tcPr>
            <w:tcW w:w="910"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c>
          <w:tcPr>
            <w:tcW w:w="1041"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rsidTr="001B5F8B">
        <w:trPr>
          <w:trHeight w:val="313"/>
        </w:trPr>
        <w:tc>
          <w:tcPr>
            <w:tcW w:w="11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45-64</w:t>
            </w:r>
          </w:p>
        </w:tc>
        <w:tc>
          <w:tcPr>
            <w:tcW w:w="99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86</w:t>
            </w:r>
          </w:p>
        </w:tc>
        <w:tc>
          <w:tcPr>
            <w:tcW w:w="145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24 (43.63)</w:t>
            </w:r>
          </w:p>
        </w:tc>
        <w:tc>
          <w:tcPr>
            <w:tcW w:w="136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43 (58.11)</w:t>
            </w:r>
          </w:p>
        </w:tc>
        <w:tc>
          <w:tcPr>
            <w:tcW w:w="148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 (34.55)</w:t>
            </w:r>
          </w:p>
        </w:tc>
        <w:tc>
          <w:tcPr>
            <w:tcW w:w="91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58.933</w:t>
            </w:r>
          </w:p>
        </w:tc>
        <w:tc>
          <w:tcPr>
            <w:tcW w:w="1041"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rsidTr="001B5F8B">
        <w:trPr>
          <w:trHeight w:val="313"/>
        </w:trPr>
        <w:tc>
          <w:tcPr>
            <w:tcW w:w="11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65</w:t>
            </w:r>
          </w:p>
        </w:tc>
        <w:tc>
          <w:tcPr>
            <w:tcW w:w="99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66</w:t>
            </w:r>
          </w:p>
        </w:tc>
        <w:tc>
          <w:tcPr>
            <w:tcW w:w="145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 (7.27)</w:t>
            </w:r>
          </w:p>
        </w:tc>
        <w:tc>
          <w:tcPr>
            <w:tcW w:w="136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 (36.49)</w:t>
            </w:r>
          </w:p>
        </w:tc>
        <w:tc>
          <w:tcPr>
            <w:tcW w:w="148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35 (63.64)</w:t>
            </w:r>
          </w:p>
        </w:tc>
        <w:tc>
          <w:tcPr>
            <w:tcW w:w="91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c>
          <w:tcPr>
            <w:tcW w:w="1041"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rsidTr="001B5F8B">
        <w:trPr>
          <w:trHeight w:val="323"/>
        </w:trPr>
        <w:tc>
          <w:tcPr>
            <w:tcW w:w="11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Total</w:t>
            </w:r>
          </w:p>
        </w:tc>
        <w:tc>
          <w:tcPr>
            <w:tcW w:w="99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184</w:t>
            </w:r>
          </w:p>
        </w:tc>
        <w:tc>
          <w:tcPr>
            <w:tcW w:w="145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 (100)</w:t>
            </w:r>
          </w:p>
        </w:tc>
        <w:tc>
          <w:tcPr>
            <w:tcW w:w="136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74 (100)</w:t>
            </w:r>
          </w:p>
        </w:tc>
        <w:tc>
          <w:tcPr>
            <w:tcW w:w="148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 (100)</w:t>
            </w:r>
          </w:p>
        </w:tc>
        <w:tc>
          <w:tcPr>
            <w:tcW w:w="910"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c>
          <w:tcPr>
            <w:tcW w:w="1041"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BMD: Bone mineral density.</w:t>
      </w:r>
    </w:p>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Table 6 Comparison of vitamin D concentrations between different age groups in the study group</w:t>
      </w:r>
    </w:p>
    <w:tbl>
      <w:tblPr>
        <w:tblW w:w="6165" w:type="dxa"/>
        <w:jc w:val="center"/>
        <w:tblBorders>
          <w:top w:val="single" w:sz="4" w:space="0" w:color="auto"/>
          <w:bottom w:val="single" w:sz="4" w:space="0" w:color="auto"/>
        </w:tblBorders>
        <w:tblLayout w:type="fixed"/>
        <w:tblLook w:val="0000" w:firstRow="0" w:lastRow="0" w:firstColumn="0" w:lastColumn="0" w:noHBand="0" w:noVBand="0"/>
      </w:tblPr>
      <w:tblGrid>
        <w:gridCol w:w="1945"/>
        <w:gridCol w:w="1472"/>
        <w:gridCol w:w="2748"/>
      </w:tblGrid>
      <w:tr w:rsidR="009D590A" w:rsidRPr="002864A0">
        <w:trPr>
          <w:trHeight w:val="285"/>
          <w:jc w:val="center"/>
        </w:trPr>
        <w:tc>
          <w:tcPr>
            <w:tcW w:w="1945"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Age group (</w:t>
            </w:r>
            <w:proofErr w:type="spellStart"/>
            <w:r w:rsidRPr="002864A0">
              <w:rPr>
                <w:rFonts w:ascii="Book Antiqua" w:hAnsi="Book Antiqua" w:cs="Calibri"/>
                <w:b/>
                <w:bCs/>
                <w:sz w:val="24"/>
                <w:szCs w:val="24"/>
              </w:rPr>
              <w:t>yr</w:t>
            </w:r>
            <w:proofErr w:type="spellEnd"/>
            <w:r w:rsidRPr="002864A0">
              <w:rPr>
                <w:rFonts w:ascii="Book Antiqua" w:hAnsi="Book Antiqua" w:cs="Calibri"/>
                <w:b/>
                <w:bCs/>
                <w:sz w:val="24"/>
                <w:szCs w:val="24"/>
              </w:rPr>
              <w:t>)</w:t>
            </w:r>
          </w:p>
        </w:tc>
        <w:tc>
          <w:tcPr>
            <w:tcW w:w="1472"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n</w:t>
            </w:r>
          </w:p>
        </w:tc>
        <w:tc>
          <w:tcPr>
            <w:tcW w:w="2748"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Vitamin D (ng/mL)</w:t>
            </w:r>
          </w:p>
        </w:tc>
      </w:tr>
      <w:tr w:rsidR="009D590A" w:rsidRPr="002864A0">
        <w:trPr>
          <w:trHeight w:val="270"/>
          <w:jc w:val="center"/>
        </w:trPr>
        <w:tc>
          <w:tcPr>
            <w:tcW w:w="1945"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&lt; 45</w:t>
            </w:r>
          </w:p>
        </w:tc>
        <w:tc>
          <w:tcPr>
            <w:tcW w:w="1472"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32</w:t>
            </w:r>
          </w:p>
        </w:tc>
        <w:tc>
          <w:tcPr>
            <w:tcW w:w="2748" w:type="dxa"/>
            <w:tcBorders>
              <w:top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13.23 ± 5.58</w:t>
            </w:r>
          </w:p>
        </w:tc>
      </w:tr>
      <w:tr w:rsidR="009D590A" w:rsidRPr="002864A0">
        <w:trPr>
          <w:trHeight w:val="270"/>
          <w:jc w:val="center"/>
        </w:trPr>
        <w:tc>
          <w:tcPr>
            <w:tcW w:w="19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45-64</w:t>
            </w:r>
          </w:p>
        </w:tc>
        <w:tc>
          <w:tcPr>
            <w:tcW w:w="147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86</w:t>
            </w:r>
          </w:p>
        </w:tc>
        <w:tc>
          <w:tcPr>
            <w:tcW w:w="274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1.64 ± 7.06</w:t>
            </w:r>
          </w:p>
        </w:tc>
      </w:tr>
      <w:tr w:rsidR="009D590A" w:rsidRPr="002864A0">
        <w:trPr>
          <w:trHeight w:val="270"/>
          <w:jc w:val="center"/>
        </w:trPr>
        <w:tc>
          <w:tcPr>
            <w:tcW w:w="19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65</w:t>
            </w:r>
          </w:p>
        </w:tc>
        <w:tc>
          <w:tcPr>
            <w:tcW w:w="147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66</w:t>
            </w:r>
          </w:p>
        </w:tc>
        <w:tc>
          <w:tcPr>
            <w:tcW w:w="274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14.15 ± 8.00</w:t>
            </w:r>
          </w:p>
        </w:tc>
      </w:tr>
      <w:tr w:rsidR="009D590A" w:rsidRPr="002864A0">
        <w:trPr>
          <w:trHeight w:val="270"/>
          <w:jc w:val="center"/>
        </w:trPr>
        <w:tc>
          <w:tcPr>
            <w:tcW w:w="1945"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F</w:t>
            </w:r>
          </w:p>
        </w:tc>
        <w:tc>
          <w:tcPr>
            <w:tcW w:w="147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274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0.189</w:t>
            </w:r>
          </w:p>
        </w:tc>
      </w:tr>
      <w:tr w:rsidR="009D590A" w:rsidRPr="002864A0">
        <w:trPr>
          <w:trHeight w:val="270"/>
          <w:jc w:val="center"/>
        </w:trPr>
        <w:tc>
          <w:tcPr>
            <w:tcW w:w="1945" w:type="dxa"/>
            <w:vAlign w:val="center"/>
          </w:tcPr>
          <w:p w:rsidR="009D590A" w:rsidRPr="002864A0" w:rsidRDefault="009D590A" w:rsidP="002864A0">
            <w:pPr>
              <w:adjustRightInd w:val="0"/>
              <w:snapToGrid w:val="0"/>
              <w:spacing w:line="360" w:lineRule="auto"/>
              <w:rPr>
                <w:rFonts w:ascii="Book Antiqua" w:hAnsi="Book Antiqua" w:cs="Calibri"/>
                <w:i/>
                <w:iCs/>
                <w:sz w:val="24"/>
                <w:szCs w:val="24"/>
              </w:rPr>
            </w:pPr>
            <w:r w:rsidRPr="002864A0">
              <w:rPr>
                <w:rFonts w:ascii="Book Antiqua" w:hAnsi="Book Antiqua" w:cs="Calibri"/>
                <w:i/>
                <w:iCs/>
                <w:sz w:val="24"/>
                <w:szCs w:val="24"/>
              </w:rPr>
              <w:t>P</w:t>
            </w:r>
            <w:r w:rsidR="001367C5">
              <w:rPr>
                <w:rFonts w:ascii="Book Antiqua" w:hAnsi="Book Antiqua" w:cs="Calibri"/>
                <w:i/>
                <w:iCs/>
                <w:sz w:val="24"/>
                <w:szCs w:val="24"/>
              </w:rPr>
              <w:t xml:space="preserve"> </w:t>
            </w:r>
            <w:r w:rsidR="001367C5" w:rsidRPr="001367C5">
              <w:rPr>
                <w:rFonts w:ascii="Book Antiqua" w:hAnsi="Book Antiqua" w:cs="Calibri"/>
                <w:bCs/>
                <w:iCs/>
                <w:sz w:val="24"/>
                <w:szCs w:val="24"/>
              </w:rPr>
              <w:t>value</w:t>
            </w:r>
          </w:p>
        </w:tc>
        <w:tc>
          <w:tcPr>
            <w:tcW w:w="147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2748" w:type="dxa"/>
            <w:vAlign w:val="center"/>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0.28</w:t>
            </w: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 </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 xml:space="preserve">Table 7 Univariate analysis of various factors in </w:t>
      </w:r>
      <w:r w:rsidR="00F912FC">
        <w:rPr>
          <w:rFonts w:ascii="Book Antiqua" w:hAnsi="Book Antiqua" w:cs="Calibri"/>
          <w:b/>
          <w:bCs/>
          <w:sz w:val="24"/>
          <w:szCs w:val="24"/>
        </w:rPr>
        <w:t xml:space="preserve">the </w:t>
      </w:r>
      <w:r w:rsidRPr="002864A0">
        <w:rPr>
          <w:rFonts w:ascii="Book Antiqua" w:hAnsi="Book Antiqua" w:cs="Calibri"/>
          <w:b/>
          <w:bCs/>
          <w:sz w:val="24"/>
          <w:szCs w:val="24"/>
        </w:rPr>
        <w:t>normal and reduced bone mineral density groups of the study group</w:t>
      </w:r>
    </w:p>
    <w:tbl>
      <w:tblPr>
        <w:tblW w:w="7828" w:type="dxa"/>
        <w:jc w:val="center"/>
        <w:tblBorders>
          <w:top w:val="single" w:sz="4" w:space="0" w:color="auto"/>
          <w:bottom w:val="single" w:sz="4" w:space="0" w:color="auto"/>
        </w:tblBorders>
        <w:tblLayout w:type="fixed"/>
        <w:tblLook w:val="0000" w:firstRow="0" w:lastRow="0" w:firstColumn="0" w:lastColumn="0" w:noHBand="0" w:noVBand="0"/>
      </w:tblPr>
      <w:tblGrid>
        <w:gridCol w:w="1381"/>
        <w:gridCol w:w="1942"/>
        <w:gridCol w:w="1711"/>
        <w:gridCol w:w="1133"/>
        <w:gridCol w:w="1661"/>
      </w:tblGrid>
      <w:tr w:rsidR="009D590A" w:rsidRPr="002864A0">
        <w:trPr>
          <w:jc w:val="center"/>
        </w:trPr>
        <w:tc>
          <w:tcPr>
            <w:tcW w:w="1381"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Factor </w:t>
            </w:r>
          </w:p>
        </w:tc>
        <w:tc>
          <w:tcPr>
            <w:tcW w:w="1942"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Reduced BMD (%)</w:t>
            </w:r>
          </w:p>
        </w:tc>
        <w:tc>
          <w:tcPr>
            <w:tcW w:w="1711"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Normal BMD (%)</w:t>
            </w:r>
          </w:p>
        </w:tc>
        <w:tc>
          <w:tcPr>
            <w:tcW w:w="1133"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c</w:t>
            </w:r>
            <w:r w:rsidRPr="002864A0">
              <w:rPr>
                <w:rFonts w:ascii="Book Antiqua" w:hAnsi="Book Antiqua" w:cs="Calibri"/>
                <w:b/>
                <w:bCs/>
                <w:i/>
                <w:iCs/>
                <w:sz w:val="24"/>
                <w:szCs w:val="24"/>
                <w:vertAlign w:val="superscript"/>
              </w:rPr>
              <w:t>2</w:t>
            </w:r>
          </w:p>
        </w:tc>
        <w:tc>
          <w:tcPr>
            <w:tcW w:w="1661"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P</w:t>
            </w:r>
            <w:r w:rsidR="00DB6F34">
              <w:rPr>
                <w:rFonts w:ascii="Book Antiqua" w:hAnsi="Book Antiqua" w:cs="Calibri"/>
                <w:b/>
                <w:bCs/>
                <w:i/>
                <w:iCs/>
                <w:sz w:val="24"/>
                <w:szCs w:val="24"/>
              </w:rPr>
              <w:t xml:space="preserve"> </w:t>
            </w:r>
            <w:r w:rsidR="00DB6F34" w:rsidRPr="00BB325D">
              <w:rPr>
                <w:rFonts w:ascii="Book Antiqua" w:hAnsi="Book Antiqua" w:cs="Calibri"/>
                <w:b/>
                <w:bCs/>
                <w:iCs/>
                <w:sz w:val="24"/>
                <w:szCs w:val="24"/>
              </w:rPr>
              <w:t>value</w:t>
            </w:r>
          </w:p>
        </w:tc>
      </w:tr>
      <w:tr w:rsidR="009D590A" w:rsidRPr="002864A0">
        <w:trPr>
          <w:trHeight w:val="331"/>
          <w:jc w:val="center"/>
        </w:trPr>
        <w:tc>
          <w:tcPr>
            <w:tcW w:w="1381"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Age (</w:t>
            </w:r>
            <w:proofErr w:type="spellStart"/>
            <w:r w:rsidRPr="002864A0">
              <w:rPr>
                <w:rFonts w:ascii="Book Antiqua" w:hAnsi="Book Antiqua" w:cs="Calibri"/>
                <w:sz w:val="24"/>
                <w:szCs w:val="24"/>
              </w:rPr>
              <w:t>yr</w:t>
            </w:r>
            <w:proofErr w:type="spellEnd"/>
            <w:r w:rsidRPr="002864A0">
              <w:rPr>
                <w:rFonts w:ascii="Book Antiqua" w:hAnsi="Book Antiqua" w:cs="Calibri"/>
                <w:sz w:val="24"/>
                <w:szCs w:val="24"/>
              </w:rPr>
              <w:t>)</w:t>
            </w:r>
          </w:p>
        </w:tc>
        <w:tc>
          <w:tcPr>
            <w:tcW w:w="1942"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37.533</w:t>
            </w:r>
          </w:p>
        </w:tc>
        <w:tc>
          <w:tcPr>
            <w:tcW w:w="1661"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381"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45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45-64</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43</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24</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65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Sex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23.334</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M</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F</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35</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Ethnicity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8.407</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0.038</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Tibetan</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Han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60</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37</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Hui</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Others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BMI</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2.302</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0.512</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18.5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18.5-22.9</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33</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24-27</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22</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11</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28</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Occupation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0.144</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0.704</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Farmer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Non-farmer </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56</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Vitamin D</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1.323</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0.724</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10-20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32</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20-30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13</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trHeight w:val="378"/>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30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PTH</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7.503</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0.023</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15-65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43</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65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32</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Ca</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21.396</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2.2</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39</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26</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2.2-2.7</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17</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29</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2.7</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CE44E5" w:rsidRDefault="009D590A" w:rsidP="002864A0">
            <w:pPr>
              <w:adjustRightInd w:val="0"/>
              <w:snapToGrid w:val="0"/>
              <w:spacing w:line="360" w:lineRule="auto"/>
              <w:rPr>
                <w:rFonts w:ascii="Book Antiqua" w:hAnsi="Book Antiqua" w:cs="Calibri"/>
                <w:iCs/>
                <w:sz w:val="24"/>
                <w:szCs w:val="24"/>
              </w:rPr>
            </w:pPr>
            <w:r w:rsidRPr="00CE44E5">
              <w:rPr>
                <w:rFonts w:ascii="Book Antiqua" w:hAnsi="Book Antiqua" w:cs="Calibri"/>
                <w:iCs/>
                <w:sz w:val="24"/>
                <w:szCs w:val="24"/>
              </w:rPr>
              <w:t>P</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1.312</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0.519</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0.85</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0.85-1.51</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49</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1.51</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Altitude</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2.988</w:t>
            </w: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0.224</w:t>
            </w: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1500-2500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58</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40</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2500-3500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11</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381"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3500-5800</w:t>
            </w:r>
          </w:p>
        </w:tc>
        <w:tc>
          <w:tcPr>
            <w:tcW w:w="194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71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661" w:type="dxa"/>
          </w:tcPr>
          <w:p w:rsidR="009D590A" w:rsidRPr="002864A0" w:rsidRDefault="009D590A" w:rsidP="002864A0">
            <w:pPr>
              <w:adjustRightInd w:val="0"/>
              <w:snapToGrid w:val="0"/>
              <w:spacing w:line="360" w:lineRule="auto"/>
              <w:rPr>
                <w:rFonts w:ascii="Book Antiqua" w:hAnsi="Book Antiqua" w:cs="Calibri"/>
                <w:sz w:val="24"/>
                <w:szCs w:val="24"/>
              </w:rPr>
            </w:pP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BMD: Bone mineral density; PTH: Parathyroid hormone; BMI: Body mass index; M: Male; F: Female.</w:t>
      </w:r>
    </w:p>
    <w:p w:rsidR="009D590A" w:rsidRPr="002864A0" w:rsidRDefault="009D590A" w:rsidP="002864A0">
      <w:pPr>
        <w:adjustRightInd w:val="0"/>
        <w:snapToGrid w:val="0"/>
        <w:spacing w:line="360" w:lineRule="auto"/>
        <w:rPr>
          <w:rFonts w:ascii="Book Antiqua" w:hAnsi="Book Antiqua" w:cs="Calibri"/>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sz w:val="24"/>
          <w:szCs w:val="24"/>
        </w:rPr>
        <w:br w:type="page"/>
      </w:r>
      <w:r w:rsidRPr="002864A0">
        <w:rPr>
          <w:rFonts w:ascii="Book Antiqua" w:hAnsi="Book Antiqua" w:cs="Calibri"/>
          <w:b/>
          <w:bCs/>
          <w:sz w:val="24"/>
          <w:szCs w:val="24"/>
        </w:rPr>
        <w:t>Table 8</w:t>
      </w:r>
      <w:r w:rsidRPr="002864A0">
        <w:rPr>
          <w:rFonts w:ascii="Book Antiqua" w:hAnsi="Book Antiqua" w:cs="Calibri"/>
          <w:sz w:val="24"/>
          <w:szCs w:val="24"/>
        </w:rPr>
        <w:t xml:space="preserve"> </w:t>
      </w:r>
      <w:r w:rsidRPr="002864A0">
        <w:rPr>
          <w:rFonts w:ascii="Book Antiqua" w:hAnsi="Book Antiqua" w:cs="Calibri"/>
          <w:b/>
          <w:bCs/>
          <w:sz w:val="24"/>
          <w:szCs w:val="24"/>
        </w:rPr>
        <w:t xml:space="preserve">Binary logistic analysis of multiple factors for bone mass reduction </w:t>
      </w:r>
    </w:p>
    <w:tbl>
      <w:tblPr>
        <w:tblW w:w="9039" w:type="dxa"/>
        <w:tblBorders>
          <w:top w:val="single" w:sz="4" w:space="0" w:color="auto"/>
          <w:bottom w:val="single" w:sz="4" w:space="0" w:color="auto"/>
        </w:tblBorders>
        <w:tblLayout w:type="fixed"/>
        <w:tblLook w:val="0000" w:firstRow="0" w:lastRow="0" w:firstColumn="0" w:lastColumn="0" w:noHBand="0" w:noVBand="0"/>
      </w:tblPr>
      <w:tblGrid>
        <w:gridCol w:w="1101"/>
        <w:gridCol w:w="992"/>
        <w:gridCol w:w="1418"/>
        <w:gridCol w:w="970"/>
        <w:gridCol w:w="1045"/>
        <w:gridCol w:w="820"/>
        <w:gridCol w:w="1054"/>
        <w:gridCol w:w="1639"/>
      </w:tblGrid>
      <w:tr w:rsidR="009D590A" w:rsidRPr="002864A0">
        <w:tc>
          <w:tcPr>
            <w:tcW w:w="1101"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Factor</w:t>
            </w:r>
          </w:p>
        </w:tc>
        <w:tc>
          <w:tcPr>
            <w:tcW w:w="992"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 xml:space="preserve">B </w:t>
            </w:r>
            <w:r w:rsidRPr="002864A0">
              <w:rPr>
                <w:rFonts w:ascii="Book Antiqua" w:hAnsi="Book Antiqua" w:cs="Calibri"/>
                <w:b/>
                <w:bCs/>
                <w:sz w:val="24"/>
                <w:szCs w:val="24"/>
              </w:rPr>
              <w:t>value</w:t>
            </w:r>
            <w:r w:rsidRPr="002864A0">
              <w:rPr>
                <w:rFonts w:ascii="Book Antiqua" w:hAnsi="Book Antiqua" w:cs="Calibri"/>
                <w:b/>
                <w:bCs/>
                <w:i/>
                <w:iCs/>
                <w:sz w:val="24"/>
                <w:szCs w:val="24"/>
              </w:rPr>
              <w:t xml:space="preserve"> </w:t>
            </w:r>
          </w:p>
        </w:tc>
        <w:tc>
          <w:tcPr>
            <w:tcW w:w="1418"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SD (S.E.)</w:t>
            </w:r>
          </w:p>
        </w:tc>
        <w:tc>
          <w:tcPr>
            <w:tcW w:w="97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Wald</w:t>
            </w:r>
            <w:r w:rsidRPr="002864A0">
              <w:rPr>
                <w:rFonts w:ascii="Book Antiqua" w:hAnsi="Book Antiqua" w:cs="Calibri"/>
                <w:b/>
                <w:bCs/>
                <w:i/>
                <w:iCs/>
                <w:sz w:val="24"/>
                <w:szCs w:val="24"/>
              </w:rPr>
              <w:t xml:space="preserve"> </w:t>
            </w:r>
            <w:r w:rsidRPr="002864A0">
              <w:rPr>
                <w:rFonts w:ascii="Book Antiqua" w:hAnsi="Book Antiqua" w:cs="Calibri"/>
                <w:b/>
                <w:bCs/>
                <w:sz w:val="24"/>
                <w:szCs w:val="24"/>
              </w:rPr>
              <w:t>value</w:t>
            </w:r>
            <w:r w:rsidRPr="002864A0">
              <w:rPr>
                <w:rFonts w:ascii="Book Antiqua" w:hAnsi="Book Antiqua" w:cs="Calibri"/>
                <w:b/>
                <w:bCs/>
                <w:i/>
                <w:iCs/>
                <w:sz w:val="24"/>
                <w:szCs w:val="24"/>
              </w:rPr>
              <w:t xml:space="preserve"> </w:t>
            </w:r>
          </w:p>
        </w:tc>
        <w:tc>
          <w:tcPr>
            <w:tcW w:w="1045"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Variance </w:t>
            </w:r>
          </w:p>
        </w:tc>
        <w:tc>
          <w:tcPr>
            <w:tcW w:w="82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 xml:space="preserve">P </w:t>
            </w:r>
            <w:r w:rsidRPr="002864A0">
              <w:rPr>
                <w:rFonts w:ascii="Book Antiqua" w:hAnsi="Book Antiqua" w:cs="Calibri"/>
                <w:b/>
                <w:bCs/>
                <w:sz w:val="24"/>
                <w:szCs w:val="24"/>
              </w:rPr>
              <w:t>valu</w:t>
            </w:r>
            <w:r w:rsidRPr="002864A0">
              <w:rPr>
                <w:rFonts w:ascii="Book Antiqua" w:hAnsi="Book Antiqua" w:cs="Calibri"/>
                <w:b/>
                <w:bCs/>
                <w:i/>
                <w:iCs/>
                <w:sz w:val="24"/>
                <w:szCs w:val="24"/>
              </w:rPr>
              <w:t xml:space="preserve">e </w:t>
            </w:r>
          </w:p>
        </w:tc>
        <w:tc>
          <w:tcPr>
            <w:tcW w:w="1054"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OR value </w:t>
            </w:r>
          </w:p>
        </w:tc>
        <w:tc>
          <w:tcPr>
            <w:tcW w:w="1639"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OR, 95%CI</w:t>
            </w:r>
          </w:p>
        </w:tc>
      </w:tr>
      <w:tr w:rsidR="009D590A" w:rsidRPr="002864A0">
        <w:tc>
          <w:tcPr>
            <w:tcW w:w="1101"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Age </w:t>
            </w:r>
          </w:p>
        </w:tc>
        <w:tc>
          <w:tcPr>
            <w:tcW w:w="992"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2.670</w:t>
            </w:r>
          </w:p>
        </w:tc>
        <w:tc>
          <w:tcPr>
            <w:tcW w:w="1418"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0.473</w:t>
            </w:r>
          </w:p>
        </w:tc>
        <w:tc>
          <w:tcPr>
            <w:tcW w:w="97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31.868</w:t>
            </w:r>
          </w:p>
        </w:tc>
        <w:tc>
          <w:tcPr>
            <w:tcW w:w="1045"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14.440</w:t>
            </w:r>
          </w:p>
        </w:tc>
        <w:tc>
          <w:tcPr>
            <w:tcW w:w="1639"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5.714-36.488</w:t>
            </w:r>
          </w:p>
        </w:tc>
      </w:tr>
      <w:tr w:rsidR="009D590A" w:rsidRPr="002864A0">
        <w:tc>
          <w:tcPr>
            <w:tcW w:w="110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PTH</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2.210</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0.546</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16.387</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9.119</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3.127-26.592</w:t>
            </w:r>
          </w:p>
        </w:tc>
      </w:tr>
      <w:tr w:rsidR="009D590A" w:rsidRPr="002864A0">
        <w:tc>
          <w:tcPr>
            <w:tcW w:w="110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Ca</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0.717</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0.363</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3.906</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0.048</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2.048</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1.006-4.171</w:t>
            </w:r>
          </w:p>
        </w:tc>
      </w:tr>
      <w:tr w:rsidR="009D590A" w:rsidRPr="002864A0">
        <w:tc>
          <w:tcPr>
            <w:tcW w:w="1101"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constant</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-1.298</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2.135</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28.008</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p>
        </w:tc>
      </w:tr>
    </w:tbl>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 xml:space="preserve">PTH: Parathyroid hormone; SD: Standard deviation; OR: </w:t>
      </w:r>
      <w:r w:rsidR="00D16AE1" w:rsidRPr="002864A0">
        <w:rPr>
          <w:rFonts w:ascii="Book Antiqua" w:hAnsi="Book Antiqua" w:cs="Calibri"/>
          <w:sz w:val="24"/>
          <w:szCs w:val="24"/>
        </w:rPr>
        <w:t>Odds ratio</w:t>
      </w:r>
      <w:r w:rsidRPr="002864A0">
        <w:rPr>
          <w:rFonts w:ascii="Book Antiqua" w:hAnsi="Book Antiqua" w:cs="Calibri"/>
          <w:sz w:val="24"/>
          <w:szCs w:val="24"/>
        </w:rPr>
        <w:t>; S</w:t>
      </w:r>
      <w:r w:rsidR="00D16AE1" w:rsidRPr="002864A0">
        <w:rPr>
          <w:rFonts w:ascii="Book Antiqua" w:hAnsi="Book Antiqua" w:cs="Calibri"/>
          <w:sz w:val="24"/>
          <w:szCs w:val="24"/>
        </w:rPr>
        <w:t>.</w:t>
      </w:r>
      <w:r w:rsidRPr="002864A0">
        <w:rPr>
          <w:rFonts w:ascii="Book Antiqua" w:hAnsi="Book Antiqua" w:cs="Calibri"/>
          <w:sz w:val="24"/>
          <w:szCs w:val="24"/>
        </w:rPr>
        <w:t>E</w:t>
      </w:r>
      <w:r w:rsidR="00D16AE1" w:rsidRPr="002864A0">
        <w:rPr>
          <w:rFonts w:ascii="Book Antiqua" w:hAnsi="Book Antiqua" w:cs="Calibri"/>
          <w:sz w:val="24"/>
          <w:szCs w:val="24"/>
        </w:rPr>
        <w:t>.</w:t>
      </w:r>
      <w:r w:rsidRPr="002864A0">
        <w:rPr>
          <w:rFonts w:ascii="Book Antiqua" w:hAnsi="Book Antiqua" w:cs="Calibri"/>
          <w:sz w:val="24"/>
          <w:szCs w:val="24"/>
        </w:rPr>
        <w:t xml:space="preserve">: </w:t>
      </w:r>
      <w:r w:rsidR="00D16AE1" w:rsidRPr="002864A0">
        <w:rPr>
          <w:rFonts w:ascii="Book Antiqua" w:hAnsi="Book Antiqua" w:cs="Calibri"/>
          <w:sz w:val="24"/>
          <w:szCs w:val="24"/>
        </w:rPr>
        <w:t>Standard error</w:t>
      </w:r>
      <w:r w:rsidRPr="002864A0">
        <w:rPr>
          <w:rFonts w:ascii="Book Antiqua" w:hAnsi="Book Antiqua" w:cs="Calibri"/>
          <w:sz w:val="24"/>
          <w:szCs w:val="24"/>
        </w:rPr>
        <w:t>; CI: Confidence interval.</w:t>
      </w:r>
      <w:r w:rsidR="00D16AE1" w:rsidRPr="002864A0">
        <w:rPr>
          <w:rFonts w:ascii="Book Antiqua" w:hAnsi="Book Antiqua" w:cs="Calibri"/>
          <w:sz w:val="24"/>
          <w:szCs w:val="24"/>
        </w:rPr>
        <w:t xml:space="preserve"> </w:t>
      </w:r>
    </w:p>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br w:type="page"/>
        <w:t xml:space="preserve">Table 9 Univariate analysis of multiple factors in </w:t>
      </w:r>
      <w:r w:rsidR="00F912FC">
        <w:rPr>
          <w:rFonts w:ascii="Book Antiqua" w:hAnsi="Book Antiqua" w:cs="Calibri"/>
          <w:b/>
          <w:bCs/>
          <w:sz w:val="24"/>
          <w:szCs w:val="24"/>
        </w:rPr>
        <w:t xml:space="preserve">the </w:t>
      </w:r>
      <w:r w:rsidRPr="002864A0">
        <w:rPr>
          <w:rFonts w:ascii="Book Antiqua" w:hAnsi="Book Antiqua" w:cs="Calibri"/>
          <w:b/>
          <w:bCs/>
          <w:sz w:val="24"/>
          <w:szCs w:val="24"/>
        </w:rPr>
        <w:t xml:space="preserve">osteoporosis and normal bone mineral density subgroups of the study </w:t>
      </w:r>
      <w:r w:rsidR="00F912FC">
        <w:rPr>
          <w:rFonts w:ascii="Book Antiqua" w:hAnsi="Book Antiqua" w:cs="Calibri"/>
          <w:b/>
          <w:bCs/>
          <w:sz w:val="24"/>
          <w:szCs w:val="24"/>
        </w:rPr>
        <w:t>group</w:t>
      </w:r>
    </w:p>
    <w:tbl>
      <w:tblPr>
        <w:tblW w:w="8168" w:type="dxa"/>
        <w:jc w:val="center"/>
        <w:tblBorders>
          <w:top w:val="single" w:sz="4" w:space="0" w:color="auto"/>
          <w:bottom w:val="single" w:sz="4" w:space="0" w:color="auto"/>
        </w:tblBorders>
        <w:tblLayout w:type="fixed"/>
        <w:tblLook w:val="0000" w:firstRow="0" w:lastRow="0" w:firstColumn="0" w:lastColumn="0" w:noHBand="0" w:noVBand="0"/>
      </w:tblPr>
      <w:tblGrid>
        <w:gridCol w:w="1560"/>
        <w:gridCol w:w="2213"/>
        <w:gridCol w:w="1985"/>
        <w:gridCol w:w="1134"/>
        <w:gridCol w:w="1276"/>
      </w:tblGrid>
      <w:tr w:rsidR="009D590A" w:rsidRPr="002864A0">
        <w:trPr>
          <w:jc w:val="center"/>
        </w:trPr>
        <w:tc>
          <w:tcPr>
            <w:tcW w:w="1560"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Factor</w:t>
            </w:r>
          </w:p>
        </w:tc>
        <w:tc>
          <w:tcPr>
            <w:tcW w:w="2213"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Osteoporosis, (%)</w:t>
            </w:r>
          </w:p>
        </w:tc>
        <w:tc>
          <w:tcPr>
            <w:tcW w:w="1985"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Normal BMD (%)</w:t>
            </w:r>
          </w:p>
        </w:tc>
        <w:tc>
          <w:tcPr>
            <w:tcW w:w="1134"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c</w:t>
            </w:r>
            <w:r w:rsidRPr="002864A0">
              <w:rPr>
                <w:rFonts w:ascii="Book Antiqua" w:hAnsi="Book Antiqua" w:cs="Calibri"/>
                <w:b/>
                <w:bCs/>
                <w:i/>
                <w:iCs/>
                <w:sz w:val="24"/>
                <w:szCs w:val="24"/>
                <w:vertAlign w:val="superscript"/>
              </w:rPr>
              <w:t>2</w:t>
            </w:r>
          </w:p>
        </w:tc>
        <w:tc>
          <w:tcPr>
            <w:tcW w:w="1276" w:type="dxa"/>
            <w:tcBorders>
              <w:top w:val="single" w:sz="4" w:space="0" w:color="auto"/>
              <w:bottom w:val="single" w:sz="4" w:space="0" w:color="auto"/>
            </w:tcBorders>
            <w:vAlign w:val="center"/>
          </w:tcPr>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i/>
                <w:iCs/>
                <w:sz w:val="24"/>
                <w:szCs w:val="24"/>
              </w:rPr>
              <w:t>P</w:t>
            </w:r>
            <w:r w:rsidR="00274048" w:rsidRPr="00BB325D">
              <w:rPr>
                <w:rFonts w:ascii="Book Antiqua" w:hAnsi="Book Antiqua" w:cs="Calibri"/>
                <w:b/>
                <w:bCs/>
                <w:iCs/>
                <w:sz w:val="24"/>
                <w:szCs w:val="24"/>
              </w:rPr>
              <w:t xml:space="preserve"> value</w:t>
            </w:r>
          </w:p>
        </w:tc>
      </w:tr>
      <w:tr w:rsidR="009D590A" w:rsidRPr="002864A0">
        <w:trPr>
          <w:jc w:val="center"/>
        </w:trPr>
        <w:tc>
          <w:tcPr>
            <w:tcW w:w="156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Age (</w:t>
            </w:r>
            <w:proofErr w:type="spellStart"/>
            <w:r w:rsidRPr="002864A0">
              <w:rPr>
                <w:rFonts w:ascii="Book Antiqua" w:hAnsi="Book Antiqua" w:cs="Calibri"/>
                <w:sz w:val="24"/>
                <w:szCs w:val="24"/>
              </w:rPr>
              <w:t>yr</w:t>
            </w:r>
            <w:proofErr w:type="spellEnd"/>
            <w:r w:rsidRPr="002864A0">
              <w:rPr>
                <w:rFonts w:ascii="Book Antiqua" w:hAnsi="Book Antiqua" w:cs="Calibri"/>
                <w:sz w:val="24"/>
                <w:szCs w:val="24"/>
              </w:rPr>
              <w:t>)</w:t>
            </w:r>
          </w:p>
        </w:tc>
        <w:tc>
          <w:tcPr>
            <w:tcW w:w="2213"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49.365</w:t>
            </w:r>
          </w:p>
        </w:tc>
        <w:tc>
          <w:tcPr>
            <w:tcW w:w="1276"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r>
      <w:tr w:rsidR="009D590A" w:rsidRPr="002864A0">
        <w:trPr>
          <w:jc w:val="center"/>
        </w:trPr>
        <w:tc>
          <w:tcPr>
            <w:tcW w:w="1560"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45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45-64</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24</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vAlign w:val="center"/>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65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35</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Sex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4.583</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0.032</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M</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F</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45</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35</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Ethnicity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9.913</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0.019</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Tibetan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Han</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38</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37</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Hui</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Others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BMI</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0.777</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0.855</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18.5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18.5-23.9</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36</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33</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24-27</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11</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28</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Occupation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Farmer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1.294</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0.255</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xml:space="preserve">Non-farmer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45</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Vitamin D</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0.959</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0.811</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10-20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32</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20-30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trHeight w:val="378"/>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 30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PTH</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0.767</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0381</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15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15-65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43</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65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16</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Ca</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0.146</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0.703</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2.2</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28</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26</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2.2-2.7</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27</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29</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2.7</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892BAF" w:rsidRDefault="009D590A" w:rsidP="002864A0">
            <w:pPr>
              <w:adjustRightInd w:val="0"/>
              <w:snapToGrid w:val="0"/>
              <w:spacing w:line="360" w:lineRule="auto"/>
              <w:rPr>
                <w:rFonts w:ascii="Book Antiqua" w:hAnsi="Book Antiqua" w:cs="Calibri"/>
                <w:sz w:val="24"/>
                <w:szCs w:val="24"/>
              </w:rPr>
            </w:pPr>
            <w:r w:rsidRPr="00892BAF">
              <w:rPr>
                <w:rFonts w:ascii="Book Antiqua" w:hAnsi="Book Antiqua" w:cs="Calibri"/>
                <w:sz w:val="24"/>
                <w:szCs w:val="24"/>
              </w:rPr>
              <w:t>P</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1.942</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0.379</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&lt; 0.85</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7</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0.85-1.51</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46</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49</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trHeight w:val="300"/>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&gt; 1.51</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Altitude </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6.381</w:t>
            </w: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0.041</w:t>
            </w: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1500-2500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49</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40</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2500-3500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6</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11</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r w:rsidR="009D590A" w:rsidRPr="002864A0">
        <w:trPr>
          <w:jc w:val="center"/>
        </w:trPr>
        <w:tc>
          <w:tcPr>
            <w:tcW w:w="1560" w:type="dxa"/>
          </w:tcPr>
          <w:p w:rsidR="009D590A" w:rsidRPr="002864A0" w:rsidRDefault="009D590A" w:rsidP="002864A0">
            <w:pPr>
              <w:adjustRightInd w:val="0"/>
              <w:snapToGrid w:val="0"/>
              <w:spacing w:line="360" w:lineRule="auto"/>
              <w:ind w:leftChars="50" w:left="105"/>
              <w:rPr>
                <w:rFonts w:ascii="Book Antiqua" w:hAnsi="Book Antiqua" w:cs="Calibri"/>
                <w:sz w:val="24"/>
                <w:szCs w:val="24"/>
              </w:rPr>
            </w:pPr>
            <w:r w:rsidRPr="002864A0">
              <w:rPr>
                <w:rFonts w:ascii="Book Antiqua" w:hAnsi="Book Antiqua" w:cs="Calibri"/>
                <w:sz w:val="24"/>
                <w:szCs w:val="24"/>
              </w:rPr>
              <w:t>3500-5800</w:t>
            </w:r>
          </w:p>
        </w:tc>
        <w:tc>
          <w:tcPr>
            <w:tcW w:w="2213"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w:t>
            </w:r>
          </w:p>
        </w:tc>
        <w:tc>
          <w:tcPr>
            <w:tcW w:w="198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4</w:t>
            </w:r>
          </w:p>
        </w:tc>
        <w:tc>
          <w:tcPr>
            <w:tcW w:w="1134" w:type="dxa"/>
          </w:tcPr>
          <w:p w:rsidR="009D590A" w:rsidRPr="002864A0" w:rsidRDefault="009D590A" w:rsidP="002864A0">
            <w:pPr>
              <w:adjustRightInd w:val="0"/>
              <w:snapToGrid w:val="0"/>
              <w:spacing w:line="360" w:lineRule="auto"/>
              <w:rPr>
                <w:rFonts w:ascii="Book Antiqua" w:hAnsi="Book Antiqua" w:cs="Calibri"/>
                <w:sz w:val="24"/>
                <w:szCs w:val="24"/>
              </w:rPr>
            </w:pPr>
          </w:p>
        </w:tc>
        <w:tc>
          <w:tcPr>
            <w:tcW w:w="1276" w:type="dxa"/>
          </w:tcPr>
          <w:p w:rsidR="009D590A" w:rsidRPr="002864A0" w:rsidRDefault="009D590A" w:rsidP="002864A0">
            <w:pPr>
              <w:adjustRightInd w:val="0"/>
              <w:snapToGrid w:val="0"/>
              <w:spacing w:line="360" w:lineRule="auto"/>
              <w:rPr>
                <w:rFonts w:ascii="Book Antiqua" w:hAnsi="Book Antiqua" w:cs="Calibri"/>
                <w:sz w:val="24"/>
                <w:szCs w:val="24"/>
              </w:rPr>
            </w:pPr>
          </w:p>
        </w:tc>
      </w:tr>
    </w:tbl>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BMD: Bone mineral density; PTH: Parathyroid hormone; BMI: Body mass index; M: Male; F: Female.</w:t>
      </w:r>
    </w:p>
    <w:p w:rsidR="009D590A" w:rsidRPr="002864A0" w:rsidRDefault="009D590A" w:rsidP="002864A0">
      <w:pPr>
        <w:adjustRightInd w:val="0"/>
        <w:snapToGrid w:val="0"/>
        <w:spacing w:line="360" w:lineRule="auto"/>
        <w:rPr>
          <w:rFonts w:ascii="Book Antiqua" w:hAnsi="Book Antiqua" w:cs="Calibri"/>
          <w:b/>
          <w:bCs/>
          <w:sz w:val="24"/>
          <w:szCs w:val="24"/>
        </w:rPr>
      </w:pPr>
    </w:p>
    <w:p w:rsidR="009D590A" w:rsidRPr="002864A0" w:rsidRDefault="009D590A" w:rsidP="002864A0">
      <w:pPr>
        <w:adjustRightInd w:val="0"/>
        <w:snapToGrid w:val="0"/>
        <w:spacing w:line="360" w:lineRule="auto"/>
        <w:rPr>
          <w:rFonts w:ascii="Book Antiqua" w:hAnsi="Book Antiqua" w:cs="Calibri"/>
          <w:b/>
          <w:bCs/>
          <w:i/>
          <w:iCs/>
          <w:sz w:val="24"/>
          <w:szCs w:val="24"/>
        </w:rPr>
      </w:pPr>
      <w:r w:rsidRPr="002864A0">
        <w:rPr>
          <w:rFonts w:ascii="Book Antiqua" w:hAnsi="Book Antiqua" w:cs="Calibri"/>
          <w:b/>
          <w:bCs/>
          <w:sz w:val="24"/>
          <w:szCs w:val="24"/>
        </w:rPr>
        <w:br w:type="page"/>
        <w:t xml:space="preserve">Table 10 Binary logistic regression analysis of multiple factors for osteoporosis </w:t>
      </w:r>
    </w:p>
    <w:tbl>
      <w:tblPr>
        <w:tblW w:w="9215" w:type="dxa"/>
        <w:tblInd w:w="-176" w:type="dxa"/>
        <w:tblBorders>
          <w:top w:val="single" w:sz="4" w:space="0" w:color="auto"/>
          <w:bottom w:val="single" w:sz="4" w:space="0" w:color="auto"/>
        </w:tblBorders>
        <w:tblLayout w:type="fixed"/>
        <w:tblLook w:val="0000" w:firstRow="0" w:lastRow="0" w:firstColumn="0" w:lastColumn="0" w:noHBand="0" w:noVBand="0"/>
      </w:tblPr>
      <w:tblGrid>
        <w:gridCol w:w="1277"/>
        <w:gridCol w:w="992"/>
        <w:gridCol w:w="1418"/>
        <w:gridCol w:w="970"/>
        <w:gridCol w:w="1045"/>
        <w:gridCol w:w="820"/>
        <w:gridCol w:w="1054"/>
        <w:gridCol w:w="1639"/>
      </w:tblGrid>
      <w:tr w:rsidR="009D590A" w:rsidRPr="002864A0" w:rsidTr="00C81E1D">
        <w:tc>
          <w:tcPr>
            <w:tcW w:w="1277"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 xml:space="preserve">Factor </w:t>
            </w:r>
          </w:p>
        </w:tc>
        <w:tc>
          <w:tcPr>
            <w:tcW w:w="992"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 xml:space="preserve">B </w:t>
            </w:r>
            <w:r w:rsidRPr="002864A0">
              <w:rPr>
                <w:rFonts w:ascii="Book Antiqua" w:hAnsi="Book Antiqua" w:cs="Calibri"/>
                <w:b/>
                <w:bCs/>
                <w:sz w:val="24"/>
                <w:szCs w:val="24"/>
              </w:rPr>
              <w:t>value</w:t>
            </w:r>
          </w:p>
        </w:tc>
        <w:tc>
          <w:tcPr>
            <w:tcW w:w="1418"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SD (S.E.)</w:t>
            </w:r>
          </w:p>
        </w:tc>
        <w:tc>
          <w:tcPr>
            <w:tcW w:w="97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 xml:space="preserve">Wald </w:t>
            </w:r>
            <w:r w:rsidRPr="002864A0">
              <w:rPr>
                <w:rFonts w:ascii="Book Antiqua" w:hAnsi="Book Antiqua" w:cs="Calibri"/>
                <w:b/>
                <w:bCs/>
                <w:sz w:val="24"/>
                <w:szCs w:val="24"/>
              </w:rPr>
              <w:t>value</w:t>
            </w:r>
          </w:p>
        </w:tc>
        <w:tc>
          <w:tcPr>
            <w:tcW w:w="1045"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Variance</w:t>
            </w:r>
          </w:p>
        </w:tc>
        <w:tc>
          <w:tcPr>
            <w:tcW w:w="820"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i/>
                <w:iCs/>
                <w:sz w:val="24"/>
                <w:szCs w:val="24"/>
              </w:rPr>
              <w:t xml:space="preserve">P </w:t>
            </w:r>
            <w:r w:rsidRPr="002864A0">
              <w:rPr>
                <w:rFonts w:ascii="Book Antiqua" w:hAnsi="Book Antiqua" w:cs="Calibri"/>
                <w:b/>
                <w:bCs/>
                <w:sz w:val="24"/>
                <w:szCs w:val="24"/>
              </w:rPr>
              <w:t>value</w:t>
            </w:r>
          </w:p>
        </w:tc>
        <w:tc>
          <w:tcPr>
            <w:tcW w:w="1054"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OR value</w:t>
            </w:r>
          </w:p>
        </w:tc>
        <w:tc>
          <w:tcPr>
            <w:tcW w:w="1639" w:type="dxa"/>
            <w:tcBorders>
              <w:top w:val="single" w:sz="4" w:space="0" w:color="auto"/>
              <w:bottom w:val="single" w:sz="4" w:space="0" w:color="auto"/>
            </w:tcBorders>
          </w:tcPr>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b/>
                <w:bCs/>
                <w:sz w:val="24"/>
                <w:szCs w:val="24"/>
              </w:rPr>
              <w:t>OR 95%CI</w:t>
            </w:r>
          </w:p>
        </w:tc>
      </w:tr>
      <w:tr w:rsidR="009D590A" w:rsidRPr="002864A0" w:rsidTr="00C81E1D">
        <w:tc>
          <w:tcPr>
            <w:tcW w:w="1277"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Age </w:t>
            </w:r>
          </w:p>
        </w:tc>
        <w:tc>
          <w:tcPr>
            <w:tcW w:w="992"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3.976</w:t>
            </w:r>
          </w:p>
        </w:tc>
        <w:tc>
          <w:tcPr>
            <w:tcW w:w="1418"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0.846</w:t>
            </w:r>
          </w:p>
        </w:tc>
        <w:tc>
          <w:tcPr>
            <w:tcW w:w="97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22.062</w:t>
            </w:r>
          </w:p>
        </w:tc>
        <w:tc>
          <w:tcPr>
            <w:tcW w:w="1045"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53.305</w:t>
            </w:r>
          </w:p>
        </w:tc>
        <w:tc>
          <w:tcPr>
            <w:tcW w:w="1639" w:type="dxa"/>
            <w:tcBorders>
              <w:top w:val="single" w:sz="4" w:space="0" w:color="auto"/>
            </w:tcBorders>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10.144-280.095</w:t>
            </w:r>
          </w:p>
        </w:tc>
      </w:tr>
      <w:tr w:rsidR="009D590A" w:rsidRPr="002864A0" w:rsidTr="00C81E1D">
        <w:tc>
          <w:tcPr>
            <w:tcW w:w="127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Ethnicity </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1.262</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0.521</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5.871</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0.015</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5.531</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1.273-9.797</w:t>
            </w:r>
          </w:p>
        </w:tc>
      </w:tr>
      <w:tr w:rsidR="009D590A" w:rsidRPr="002864A0" w:rsidTr="00C81E1D">
        <w:tc>
          <w:tcPr>
            <w:tcW w:w="127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Altitude</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-2.049</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0.514</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15.871</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0.129</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0.047-0.353</w:t>
            </w:r>
          </w:p>
        </w:tc>
      </w:tr>
      <w:tr w:rsidR="009D590A" w:rsidRPr="002864A0" w:rsidTr="00C81E1D">
        <w:tc>
          <w:tcPr>
            <w:tcW w:w="1277"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 xml:space="preserve">Constant </w:t>
            </w:r>
          </w:p>
        </w:tc>
        <w:tc>
          <w:tcPr>
            <w:tcW w:w="992"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-8.343</w:t>
            </w:r>
          </w:p>
        </w:tc>
        <w:tc>
          <w:tcPr>
            <w:tcW w:w="1418"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2.141</w:t>
            </w:r>
          </w:p>
        </w:tc>
        <w:tc>
          <w:tcPr>
            <w:tcW w:w="97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15.186</w:t>
            </w:r>
          </w:p>
        </w:tc>
        <w:tc>
          <w:tcPr>
            <w:tcW w:w="1045"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1</w:t>
            </w:r>
          </w:p>
        </w:tc>
        <w:tc>
          <w:tcPr>
            <w:tcW w:w="820"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054" w:type="dxa"/>
          </w:tcPr>
          <w:p w:rsidR="009D590A" w:rsidRPr="002864A0" w:rsidRDefault="009D590A" w:rsidP="002864A0">
            <w:pPr>
              <w:adjustRightInd w:val="0"/>
              <w:snapToGrid w:val="0"/>
              <w:spacing w:line="360" w:lineRule="auto"/>
              <w:rPr>
                <w:rFonts w:ascii="Book Antiqua" w:hAnsi="Book Antiqua" w:cs="Calibri"/>
                <w:sz w:val="24"/>
                <w:szCs w:val="24"/>
              </w:rPr>
            </w:pPr>
            <w:r w:rsidRPr="002864A0">
              <w:rPr>
                <w:rFonts w:ascii="Book Antiqua" w:hAnsi="Book Antiqua" w:cs="Calibri"/>
                <w:sz w:val="24"/>
                <w:szCs w:val="24"/>
              </w:rPr>
              <w:t>0.000</w:t>
            </w:r>
          </w:p>
        </w:tc>
        <w:tc>
          <w:tcPr>
            <w:tcW w:w="1639" w:type="dxa"/>
          </w:tcPr>
          <w:p w:rsidR="009D590A" w:rsidRPr="002864A0" w:rsidRDefault="009D590A" w:rsidP="002864A0">
            <w:pPr>
              <w:adjustRightInd w:val="0"/>
              <w:snapToGrid w:val="0"/>
              <w:spacing w:line="360" w:lineRule="auto"/>
              <w:rPr>
                <w:rFonts w:ascii="Book Antiqua" w:hAnsi="Book Antiqua" w:cs="Calibri"/>
                <w:sz w:val="24"/>
                <w:szCs w:val="24"/>
              </w:rPr>
            </w:pPr>
          </w:p>
        </w:tc>
      </w:tr>
    </w:tbl>
    <w:p w:rsidR="009D590A" w:rsidRPr="002864A0" w:rsidRDefault="009D590A" w:rsidP="002864A0">
      <w:pPr>
        <w:adjustRightInd w:val="0"/>
        <w:snapToGrid w:val="0"/>
        <w:spacing w:line="360" w:lineRule="auto"/>
        <w:rPr>
          <w:rFonts w:ascii="Book Antiqua" w:hAnsi="Book Antiqua" w:cs="Calibri"/>
          <w:b/>
          <w:bCs/>
          <w:sz w:val="24"/>
          <w:szCs w:val="24"/>
        </w:rPr>
      </w:pPr>
      <w:r w:rsidRPr="002864A0">
        <w:rPr>
          <w:rFonts w:ascii="Book Antiqua" w:hAnsi="Book Antiqua" w:cs="Calibri"/>
          <w:sz w:val="24"/>
          <w:szCs w:val="24"/>
        </w:rPr>
        <w:t xml:space="preserve">SD: Standard deviation; OR: </w:t>
      </w:r>
      <w:r w:rsidR="00D16AE1" w:rsidRPr="002864A0">
        <w:rPr>
          <w:rFonts w:ascii="Book Antiqua" w:hAnsi="Book Antiqua" w:cs="Calibri"/>
          <w:sz w:val="24"/>
          <w:szCs w:val="24"/>
        </w:rPr>
        <w:t>Odds ratio</w:t>
      </w:r>
      <w:r w:rsidRPr="002864A0">
        <w:rPr>
          <w:rFonts w:ascii="Book Antiqua" w:hAnsi="Book Antiqua" w:cs="Calibri"/>
          <w:sz w:val="24"/>
          <w:szCs w:val="24"/>
        </w:rPr>
        <w:t xml:space="preserve">; S.E.: </w:t>
      </w:r>
      <w:r w:rsidR="00D16AE1" w:rsidRPr="002864A0">
        <w:rPr>
          <w:rFonts w:ascii="Book Antiqua" w:hAnsi="Book Antiqua" w:cs="Calibri"/>
          <w:sz w:val="24"/>
          <w:szCs w:val="24"/>
        </w:rPr>
        <w:t>Standard error</w:t>
      </w:r>
      <w:r w:rsidRPr="002864A0">
        <w:rPr>
          <w:rFonts w:ascii="Book Antiqua" w:hAnsi="Book Antiqua" w:cs="Calibri"/>
          <w:sz w:val="24"/>
          <w:szCs w:val="24"/>
        </w:rPr>
        <w:t>; CI: Confidence interval.</w:t>
      </w:r>
    </w:p>
    <w:p w:rsidR="009D590A" w:rsidRPr="002864A0" w:rsidRDefault="009D590A" w:rsidP="002864A0">
      <w:pPr>
        <w:adjustRightInd w:val="0"/>
        <w:snapToGrid w:val="0"/>
        <w:spacing w:line="360" w:lineRule="auto"/>
        <w:rPr>
          <w:rFonts w:ascii="Book Antiqua" w:hAnsi="Book Antiqua" w:cs="Calibri"/>
          <w:sz w:val="24"/>
          <w:szCs w:val="24"/>
        </w:rPr>
      </w:pPr>
    </w:p>
    <w:sectPr w:rsidR="009D590A" w:rsidRPr="002864A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74" w:rsidRDefault="00911374" w:rsidP="00686FDE">
      <w:r>
        <w:separator/>
      </w:r>
    </w:p>
  </w:endnote>
  <w:endnote w:type="continuationSeparator" w:id="0">
    <w:p w:rsidR="00911374" w:rsidRDefault="00911374" w:rsidP="0068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74" w:rsidRDefault="00911374" w:rsidP="00686FDE">
      <w:r>
        <w:separator/>
      </w:r>
    </w:p>
  </w:footnote>
  <w:footnote w:type="continuationSeparator" w:id="0">
    <w:p w:rsidR="00911374" w:rsidRDefault="00911374" w:rsidP="00686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3sDCxsDQxsDA3NDRV0lEKTi0uzszPAykwrgUA491Vii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z5p2tf5z2wx3ex0rl5rsrur2p2swassv5w&quot;&gt;My EndNote Library&lt;record-ids&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record-ids&gt;&lt;/item&gt;&lt;/Libraries&gt;"/>
  </w:docVars>
  <w:rsids>
    <w:rsidRoot w:val="00F90C64"/>
    <w:rsid w:val="000171B8"/>
    <w:rsid w:val="00017F15"/>
    <w:rsid w:val="0004535F"/>
    <w:rsid w:val="0007594E"/>
    <w:rsid w:val="000A78B2"/>
    <w:rsid w:val="000B4544"/>
    <w:rsid w:val="000D4AE3"/>
    <w:rsid w:val="000E4947"/>
    <w:rsid w:val="000E58FD"/>
    <w:rsid w:val="000F3E37"/>
    <w:rsid w:val="00107A8B"/>
    <w:rsid w:val="0012144D"/>
    <w:rsid w:val="001367C5"/>
    <w:rsid w:val="00141127"/>
    <w:rsid w:val="001442FE"/>
    <w:rsid w:val="00154D66"/>
    <w:rsid w:val="00155A0C"/>
    <w:rsid w:val="0017036A"/>
    <w:rsid w:val="00185852"/>
    <w:rsid w:val="00191A46"/>
    <w:rsid w:val="001923E9"/>
    <w:rsid w:val="0019611D"/>
    <w:rsid w:val="001B5F8B"/>
    <w:rsid w:val="001D0A3B"/>
    <w:rsid w:val="001D33B7"/>
    <w:rsid w:val="001D6CBF"/>
    <w:rsid w:val="001D6E8D"/>
    <w:rsid w:val="00207026"/>
    <w:rsid w:val="002142B5"/>
    <w:rsid w:val="00224687"/>
    <w:rsid w:val="0023741F"/>
    <w:rsid w:val="00241CE8"/>
    <w:rsid w:val="002423CF"/>
    <w:rsid w:val="00246E7E"/>
    <w:rsid w:val="00274048"/>
    <w:rsid w:val="002776C6"/>
    <w:rsid w:val="00280CA4"/>
    <w:rsid w:val="00281D5A"/>
    <w:rsid w:val="0028534E"/>
    <w:rsid w:val="002864A0"/>
    <w:rsid w:val="00295A0B"/>
    <w:rsid w:val="002A3AD9"/>
    <w:rsid w:val="002B255A"/>
    <w:rsid w:val="002B3988"/>
    <w:rsid w:val="002B50C3"/>
    <w:rsid w:val="002C27E3"/>
    <w:rsid w:val="002E1F4D"/>
    <w:rsid w:val="002E6D3A"/>
    <w:rsid w:val="002F159A"/>
    <w:rsid w:val="002F2FF5"/>
    <w:rsid w:val="00300987"/>
    <w:rsid w:val="00305370"/>
    <w:rsid w:val="0031238E"/>
    <w:rsid w:val="00347B28"/>
    <w:rsid w:val="003522B3"/>
    <w:rsid w:val="00377320"/>
    <w:rsid w:val="00396C76"/>
    <w:rsid w:val="003A5F03"/>
    <w:rsid w:val="003B1852"/>
    <w:rsid w:val="003C5CEB"/>
    <w:rsid w:val="003F02F2"/>
    <w:rsid w:val="004048CE"/>
    <w:rsid w:val="0041658E"/>
    <w:rsid w:val="00436161"/>
    <w:rsid w:val="00442B31"/>
    <w:rsid w:val="00445595"/>
    <w:rsid w:val="00445E38"/>
    <w:rsid w:val="00467334"/>
    <w:rsid w:val="00482B92"/>
    <w:rsid w:val="00492F2A"/>
    <w:rsid w:val="00494C52"/>
    <w:rsid w:val="0049544B"/>
    <w:rsid w:val="004B30CB"/>
    <w:rsid w:val="004B7A4D"/>
    <w:rsid w:val="004C5B41"/>
    <w:rsid w:val="004E2CF6"/>
    <w:rsid w:val="005042C7"/>
    <w:rsid w:val="00505191"/>
    <w:rsid w:val="005067F5"/>
    <w:rsid w:val="00516797"/>
    <w:rsid w:val="00523050"/>
    <w:rsid w:val="00545A0D"/>
    <w:rsid w:val="00560769"/>
    <w:rsid w:val="00586246"/>
    <w:rsid w:val="005953A6"/>
    <w:rsid w:val="00595711"/>
    <w:rsid w:val="005968F9"/>
    <w:rsid w:val="005B1185"/>
    <w:rsid w:val="005C1309"/>
    <w:rsid w:val="005C258F"/>
    <w:rsid w:val="005D0AC1"/>
    <w:rsid w:val="005D7828"/>
    <w:rsid w:val="005F19C4"/>
    <w:rsid w:val="005F359C"/>
    <w:rsid w:val="00605AC8"/>
    <w:rsid w:val="00620AAB"/>
    <w:rsid w:val="00626C04"/>
    <w:rsid w:val="00635256"/>
    <w:rsid w:val="00673189"/>
    <w:rsid w:val="0068049C"/>
    <w:rsid w:val="00686FDE"/>
    <w:rsid w:val="006B3DF9"/>
    <w:rsid w:val="006B45D6"/>
    <w:rsid w:val="006C29DF"/>
    <w:rsid w:val="006F25E0"/>
    <w:rsid w:val="00705F7D"/>
    <w:rsid w:val="007142BD"/>
    <w:rsid w:val="00714C57"/>
    <w:rsid w:val="00715A09"/>
    <w:rsid w:val="00717533"/>
    <w:rsid w:val="00733F54"/>
    <w:rsid w:val="007364D5"/>
    <w:rsid w:val="0076386D"/>
    <w:rsid w:val="0077103C"/>
    <w:rsid w:val="00791140"/>
    <w:rsid w:val="007B4125"/>
    <w:rsid w:val="007C61A7"/>
    <w:rsid w:val="007C6560"/>
    <w:rsid w:val="007D18A6"/>
    <w:rsid w:val="007E6E35"/>
    <w:rsid w:val="007F1F83"/>
    <w:rsid w:val="007F3AA6"/>
    <w:rsid w:val="007F5968"/>
    <w:rsid w:val="00806AC1"/>
    <w:rsid w:val="00813A20"/>
    <w:rsid w:val="0083422D"/>
    <w:rsid w:val="00892BAF"/>
    <w:rsid w:val="008943EA"/>
    <w:rsid w:val="00895F41"/>
    <w:rsid w:val="008C4584"/>
    <w:rsid w:val="008C48CB"/>
    <w:rsid w:val="008C6CF7"/>
    <w:rsid w:val="008D0198"/>
    <w:rsid w:val="008F14B2"/>
    <w:rsid w:val="008F61E3"/>
    <w:rsid w:val="009076F4"/>
    <w:rsid w:val="00911374"/>
    <w:rsid w:val="00922F0C"/>
    <w:rsid w:val="00950C18"/>
    <w:rsid w:val="00981F50"/>
    <w:rsid w:val="009842C2"/>
    <w:rsid w:val="00990671"/>
    <w:rsid w:val="00994889"/>
    <w:rsid w:val="009A0FE4"/>
    <w:rsid w:val="009A3F22"/>
    <w:rsid w:val="009A6B5D"/>
    <w:rsid w:val="009A7444"/>
    <w:rsid w:val="009D590A"/>
    <w:rsid w:val="009E3A9F"/>
    <w:rsid w:val="009F1684"/>
    <w:rsid w:val="00A03E79"/>
    <w:rsid w:val="00A05459"/>
    <w:rsid w:val="00A1300B"/>
    <w:rsid w:val="00A175A3"/>
    <w:rsid w:val="00A25792"/>
    <w:rsid w:val="00A25810"/>
    <w:rsid w:val="00A34358"/>
    <w:rsid w:val="00A54374"/>
    <w:rsid w:val="00A77515"/>
    <w:rsid w:val="00A80976"/>
    <w:rsid w:val="00A86C37"/>
    <w:rsid w:val="00A91B47"/>
    <w:rsid w:val="00AA4039"/>
    <w:rsid w:val="00AB0959"/>
    <w:rsid w:val="00AC1B5D"/>
    <w:rsid w:val="00AF2D9A"/>
    <w:rsid w:val="00B04A4E"/>
    <w:rsid w:val="00B059CF"/>
    <w:rsid w:val="00B11A7F"/>
    <w:rsid w:val="00B138CC"/>
    <w:rsid w:val="00B16163"/>
    <w:rsid w:val="00B513F1"/>
    <w:rsid w:val="00B57B36"/>
    <w:rsid w:val="00B81150"/>
    <w:rsid w:val="00BA08AD"/>
    <w:rsid w:val="00BA6926"/>
    <w:rsid w:val="00BB325D"/>
    <w:rsid w:val="00BB51F5"/>
    <w:rsid w:val="00BD0AF9"/>
    <w:rsid w:val="00BD465A"/>
    <w:rsid w:val="00BE3F5A"/>
    <w:rsid w:val="00BE4168"/>
    <w:rsid w:val="00BF3468"/>
    <w:rsid w:val="00BF6B9E"/>
    <w:rsid w:val="00C01F88"/>
    <w:rsid w:val="00C0465F"/>
    <w:rsid w:val="00C2617D"/>
    <w:rsid w:val="00C263AD"/>
    <w:rsid w:val="00C375E3"/>
    <w:rsid w:val="00C428B4"/>
    <w:rsid w:val="00C5045B"/>
    <w:rsid w:val="00C56FF9"/>
    <w:rsid w:val="00C63F2C"/>
    <w:rsid w:val="00C71A50"/>
    <w:rsid w:val="00C81E1D"/>
    <w:rsid w:val="00C83344"/>
    <w:rsid w:val="00CA3C26"/>
    <w:rsid w:val="00CE44E5"/>
    <w:rsid w:val="00CF356F"/>
    <w:rsid w:val="00D00074"/>
    <w:rsid w:val="00D1057F"/>
    <w:rsid w:val="00D16AE1"/>
    <w:rsid w:val="00D21C18"/>
    <w:rsid w:val="00D2283B"/>
    <w:rsid w:val="00D37406"/>
    <w:rsid w:val="00D40FD9"/>
    <w:rsid w:val="00D76DDE"/>
    <w:rsid w:val="00D8277B"/>
    <w:rsid w:val="00D9166C"/>
    <w:rsid w:val="00D965D1"/>
    <w:rsid w:val="00D96EF5"/>
    <w:rsid w:val="00DB3C9A"/>
    <w:rsid w:val="00DB519D"/>
    <w:rsid w:val="00DB6F34"/>
    <w:rsid w:val="00DE34A9"/>
    <w:rsid w:val="00DE49D6"/>
    <w:rsid w:val="00E02C7C"/>
    <w:rsid w:val="00E16CA7"/>
    <w:rsid w:val="00E171AF"/>
    <w:rsid w:val="00E2118E"/>
    <w:rsid w:val="00E243C8"/>
    <w:rsid w:val="00E32A27"/>
    <w:rsid w:val="00E6194F"/>
    <w:rsid w:val="00E624C2"/>
    <w:rsid w:val="00E669CC"/>
    <w:rsid w:val="00E87A2E"/>
    <w:rsid w:val="00EA0FE2"/>
    <w:rsid w:val="00EB6753"/>
    <w:rsid w:val="00EB7D67"/>
    <w:rsid w:val="00EC0B93"/>
    <w:rsid w:val="00ED04B7"/>
    <w:rsid w:val="00ED2E13"/>
    <w:rsid w:val="00EE296D"/>
    <w:rsid w:val="00EF404B"/>
    <w:rsid w:val="00F1040D"/>
    <w:rsid w:val="00F27761"/>
    <w:rsid w:val="00F8192E"/>
    <w:rsid w:val="00F90C64"/>
    <w:rsid w:val="00F912FC"/>
    <w:rsid w:val="00F96A2E"/>
    <w:rsid w:val="00FA31E6"/>
    <w:rsid w:val="00FA348C"/>
    <w:rsid w:val="00FB38D8"/>
    <w:rsid w:val="00FC6352"/>
    <w:rsid w:val="00FD7749"/>
    <w:rsid w:val="00FF3A53"/>
    <w:rsid w:val="01C87707"/>
    <w:rsid w:val="02DC6F67"/>
    <w:rsid w:val="072B5FD2"/>
    <w:rsid w:val="07CB20F4"/>
    <w:rsid w:val="0A805C1B"/>
    <w:rsid w:val="0C7A178E"/>
    <w:rsid w:val="0E2D0B2F"/>
    <w:rsid w:val="0F1908D1"/>
    <w:rsid w:val="0FC407CA"/>
    <w:rsid w:val="1091004A"/>
    <w:rsid w:val="11247F99"/>
    <w:rsid w:val="12FC6CC1"/>
    <w:rsid w:val="14ED09B4"/>
    <w:rsid w:val="15C81334"/>
    <w:rsid w:val="1A5D3B55"/>
    <w:rsid w:val="1AB377A6"/>
    <w:rsid w:val="248D01C2"/>
    <w:rsid w:val="2BB20C02"/>
    <w:rsid w:val="2BD231CA"/>
    <w:rsid w:val="2C24326B"/>
    <w:rsid w:val="2D783045"/>
    <w:rsid w:val="2E8F6978"/>
    <w:rsid w:val="2F345474"/>
    <w:rsid w:val="31EB6605"/>
    <w:rsid w:val="32857C03"/>
    <w:rsid w:val="332F6546"/>
    <w:rsid w:val="360A48E7"/>
    <w:rsid w:val="37B57FA3"/>
    <w:rsid w:val="393F223B"/>
    <w:rsid w:val="39D6548E"/>
    <w:rsid w:val="3D9E727A"/>
    <w:rsid w:val="40CE36C7"/>
    <w:rsid w:val="438F327D"/>
    <w:rsid w:val="451E6E2B"/>
    <w:rsid w:val="45A36BF5"/>
    <w:rsid w:val="46E71686"/>
    <w:rsid w:val="47A4512D"/>
    <w:rsid w:val="47CB694A"/>
    <w:rsid w:val="47F0493C"/>
    <w:rsid w:val="50C928C0"/>
    <w:rsid w:val="50E96D95"/>
    <w:rsid w:val="539D018E"/>
    <w:rsid w:val="59C554FA"/>
    <w:rsid w:val="5B635655"/>
    <w:rsid w:val="5D3A1DB2"/>
    <w:rsid w:val="60BD4471"/>
    <w:rsid w:val="61A20025"/>
    <w:rsid w:val="62796059"/>
    <w:rsid w:val="63564D9B"/>
    <w:rsid w:val="64361F88"/>
    <w:rsid w:val="643F7C3C"/>
    <w:rsid w:val="69C36346"/>
    <w:rsid w:val="6AFC3456"/>
    <w:rsid w:val="76152CC0"/>
    <w:rsid w:val="778E5E45"/>
    <w:rsid w:val="78B461E2"/>
    <w:rsid w:val="7C202012"/>
    <w:rsid w:val="7C7F20E5"/>
    <w:rsid w:val="7D09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Acronym" w:semiHidden="0"/>
    <w:lsdException w:name="HTML Cite" w:semiHidden="0"/>
    <w:lsdException w:name="HTML Code" w:semiHidden="0"/>
    <w:lsdException w:name="HTML Definition" w:semiHidden="0"/>
    <w:lsdException w:name="HTML Variable" w:semiHidden="0"/>
    <w:lsdException w:name="Normal Table" w:semiHidden="0" w:qFormat="1"/>
    <w:lsdException w:name="annotation subject" w:semiHidden="0"/>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g4">
    <w:name w:val="gb_g4"/>
    <w:rPr>
      <w:color w:val="FFFFFF"/>
    </w:rPr>
  </w:style>
  <w:style w:type="character" w:styleId="HTML">
    <w:name w:val="HTML Definition"/>
    <w:uiPriority w:val="99"/>
    <w:unhideWhenUsed/>
    <w:rPr>
      <w:i w:val="0"/>
    </w:rPr>
  </w:style>
  <w:style w:type="character" w:styleId="a3">
    <w:name w:val="Strong"/>
    <w:uiPriority w:val="22"/>
    <w:qFormat/>
    <w:rPr>
      <w:b/>
      <w:bCs/>
    </w:rPr>
  </w:style>
  <w:style w:type="character" w:customStyle="1" w:styleId="gbg">
    <w:name w:val="gb_g"/>
    <w:rPr>
      <w:color w:val="FFFFFF"/>
    </w:rPr>
  </w:style>
  <w:style w:type="character" w:styleId="HTML0">
    <w:name w:val="HTML Code"/>
    <w:uiPriority w:val="99"/>
    <w:unhideWhenUsed/>
    <w:rPr>
      <w:rFonts w:ascii="Courier New" w:hAnsi="Courier New"/>
      <w:i w:val="0"/>
      <w:sz w:val="20"/>
    </w:rPr>
  </w:style>
  <w:style w:type="character" w:styleId="a4">
    <w:name w:val="FollowedHyperlink"/>
    <w:uiPriority w:val="99"/>
    <w:unhideWhenUsed/>
    <w:rPr>
      <w:color w:val="666666"/>
      <w:u w:val="none"/>
    </w:rPr>
  </w:style>
  <w:style w:type="character" w:customStyle="1" w:styleId="gt-baf-base-sep">
    <w:name w:val="gt-baf-base-sep"/>
    <w:basedOn w:val="a0"/>
  </w:style>
  <w:style w:type="character" w:styleId="a5">
    <w:name w:val="annotation reference"/>
    <w:uiPriority w:val="99"/>
    <w:unhideWhenUsed/>
    <w:qFormat/>
    <w:rPr>
      <w:sz w:val="21"/>
      <w:szCs w:val="21"/>
    </w:rPr>
  </w:style>
  <w:style w:type="character" w:styleId="a6">
    <w:name w:val="Emphasis"/>
    <w:uiPriority w:val="20"/>
    <w:qFormat/>
    <w:rPr>
      <w:i/>
      <w:iCs/>
    </w:rPr>
  </w:style>
  <w:style w:type="character" w:customStyle="1" w:styleId="gbg2">
    <w:name w:val="gb_g2"/>
    <w:rPr>
      <w:color w:val="FFFFFF"/>
    </w:rPr>
  </w:style>
  <w:style w:type="character" w:styleId="HTML1">
    <w:name w:val="HTML Acronym"/>
    <w:uiPriority w:val="99"/>
    <w:unhideWhenUsed/>
    <w:rPr>
      <w:color w:val="FFFFFF"/>
      <w:spacing w:val="150"/>
      <w:sz w:val="21"/>
      <w:szCs w:val="21"/>
    </w:rPr>
  </w:style>
  <w:style w:type="character" w:styleId="HTML2">
    <w:name w:val="HTML Variable"/>
    <w:uiPriority w:val="99"/>
    <w:unhideWhenUsed/>
    <w:rPr>
      <w:i w:val="0"/>
    </w:rPr>
  </w:style>
  <w:style w:type="character" w:customStyle="1" w:styleId="gbg1">
    <w:name w:val="gb_g1"/>
    <w:rPr>
      <w:u w:val="none"/>
    </w:rPr>
  </w:style>
  <w:style w:type="character" w:styleId="a7">
    <w:name w:val="Hyperlink"/>
    <w:uiPriority w:val="99"/>
    <w:unhideWhenUsed/>
    <w:qFormat/>
    <w:rPr>
      <w:color w:val="666666"/>
      <w:u w:val="none"/>
    </w:rPr>
  </w:style>
  <w:style w:type="character" w:customStyle="1" w:styleId="gt-baf-pos">
    <w:name w:val="gt-baf-pos"/>
    <w:rPr>
      <w:color w:val="777777"/>
    </w:rPr>
  </w:style>
  <w:style w:type="character" w:styleId="HTML3">
    <w:name w:val="HTML Cite"/>
    <w:uiPriority w:val="99"/>
    <w:unhideWhenUsed/>
    <w:rPr>
      <w:i w:val="0"/>
    </w:rPr>
  </w:style>
  <w:style w:type="character" w:customStyle="1" w:styleId="A30">
    <w:name w:val="A3"/>
    <w:uiPriority w:val="99"/>
    <w:qFormat/>
    <w:rPr>
      <w:color w:val="000000"/>
      <w:sz w:val="15"/>
      <w:szCs w:val="15"/>
    </w:rPr>
  </w:style>
  <w:style w:type="character" w:customStyle="1" w:styleId="Char">
    <w:name w:val="脚注文本 Char"/>
    <w:link w:val="a8"/>
    <w:uiPriority w:val="99"/>
    <w:semiHidden/>
    <w:qFormat/>
    <w:rPr>
      <w:rFonts w:ascii="Tahoma" w:hAnsi="Tahoma"/>
      <w:sz w:val="18"/>
      <w:szCs w:val="18"/>
    </w:rPr>
  </w:style>
  <w:style w:type="character" w:customStyle="1" w:styleId="A60">
    <w:name w:val="A6"/>
    <w:uiPriority w:val="99"/>
    <w:qFormat/>
    <w:rPr>
      <w:color w:val="000000"/>
      <w:sz w:val="18"/>
      <w:szCs w:val="18"/>
    </w:rPr>
  </w:style>
  <w:style w:type="character" w:customStyle="1" w:styleId="Char0">
    <w:name w:val="批注主题 Char"/>
    <w:link w:val="a9"/>
    <w:uiPriority w:val="99"/>
    <w:semiHidden/>
    <w:rPr>
      <w:rFonts w:ascii="Calibri" w:hAnsi="Calibri"/>
      <w:b/>
      <w:bCs/>
      <w:kern w:val="2"/>
      <w:sz w:val="21"/>
      <w:szCs w:val="22"/>
    </w:rPr>
  </w:style>
  <w:style w:type="character" w:customStyle="1" w:styleId="Char1">
    <w:name w:val="批注文字 Char"/>
    <w:link w:val="aa"/>
    <w:uiPriority w:val="99"/>
    <w:semiHidden/>
    <w:rPr>
      <w:rFonts w:ascii="Calibri" w:hAnsi="Calibri"/>
      <w:kern w:val="2"/>
      <w:sz w:val="21"/>
      <w:szCs w:val="22"/>
    </w:rPr>
  </w:style>
  <w:style w:type="character" w:customStyle="1" w:styleId="15">
    <w:name w:val="15"/>
    <w:qFormat/>
    <w:rPr>
      <w:rFonts w:ascii="Times New Roman" w:hAnsi="Times New Roman" w:cs="Times New Roman" w:hint="default"/>
      <w:vertAlign w:val="superscript"/>
    </w:rPr>
  </w:style>
  <w:style w:type="character" w:customStyle="1" w:styleId="EndNoteBibliographyChar">
    <w:name w:val="EndNote Bibliography Char"/>
    <w:link w:val="EndNoteBibliography"/>
    <w:qFormat/>
    <w:rPr>
      <w:rFonts w:ascii="Calibri" w:hAnsi="Calibri" w:cs="Calibri"/>
      <w:kern w:val="2"/>
      <w:szCs w:val="22"/>
    </w:rPr>
  </w:style>
  <w:style w:type="character" w:customStyle="1" w:styleId="highlight">
    <w:name w:val="highlight"/>
    <w:basedOn w:val="a0"/>
    <w:qFormat/>
  </w:style>
  <w:style w:type="character" w:customStyle="1" w:styleId="Char2">
    <w:name w:val="页脚 Char"/>
    <w:link w:val="ab"/>
    <w:uiPriority w:val="99"/>
    <w:qFormat/>
    <w:rPr>
      <w:rFonts w:ascii="Tahoma" w:hAnsi="Tahoma"/>
      <w:sz w:val="18"/>
      <w:szCs w:val="18"/>
    </w:rPr>
  </w:style>
  <w:style w:type="character" w:customStyle="1" w:styleId="Char3">
    <w:name w:val="批注框文本 Char"/>
    <w:link w:val="ac"/>
    <w:uiPriority w:val="99"/>
    <w:semiHidden/>
    <w:qFormat/>
    <w:rPr>
      <w:sz w:val="18"/>
      <w:szCs w:val="18"/>
    </w:rPr>
  </w:style>
  <w:style w:type="character" w:customStyle="1" w:styleId="10">
    <w:name w:val="10"/>
    <w:qFormat/>
    <w:rPr>
      <w:rFonts w:ascii="Times New Roman" w:hAnsi="Times New Roman" w:cs="Times New Roman" w:hint="default"/>
    </w:rPr>
  </w:style>
  <w:style w:type="character" w:customStyle="1" w:styleId="ad">
    <w:name w:val="未处理的提及"/>
    <w:uiPriority w:val="99"/>
    <w:unhideWhenUsed/>
    <w:rPr>
      <w:color w:val="605E5C"/>
      <w:shd w:val="clear" w:color="auto" w:fill="E1DFDD"/>
    </w:rPr>
  </w:style>
  <w:style w:type="character" w:customStyle="1" w:styleId="high-light-bg5">
    <w:name w:val="high-light-bg5"/>
    <w:rPr>
      <w:shd w:val="clear" w:color="auto" w:fill="FEE972"/>
    </w:rPr>
  </w:style>
  <w:style w:type="character" w:customStyle="1" w:styleId="focus">
    <w:name w:val="focus"/>
    <w:basedOn w:val="a0"/>
  </w:style>
  <w:style w:type="character" w:customStyle="1" w:styleId="EndNoteBibliographyTitleChar">
    <w:name w:val="EndNote Bibliography Title Char"/>
    <w:link w:val="EndNoteBibliographyTitle"/>
    <w:qFormat/>
    <w:rPr>
      <w:rFonts w:ascii="Calibri" w:hAnsi="Calibri" w:cs="Calibri"/>
      <w:kern w:val="2"/>
      <w:szCs w:val="22"/>
    </w:rPr>
  </w:style>
  <w:style w:type="character" w:customStyle="1" w:styleId="Char4">
    <w:name w:val="页眉 Char"/>
    <w:link w:val="ae"/>
    <w:uiPriority w:val="99"/>
    <w:rPr>
      <w:rFonts w:ascii="Calibri" w:eastAsia="宋体" w:hAnsi="Calibri" w:cs="Times New Roman"/>
      <w:kern w:val="2"/>
      <w:sz w:val="18"/>
      <w:szCs w:val="18"/>
    </w:rPr>
  </w:style>
  <w:style w:type="character" w:customStyle="1" w:styleId="A70">
    <w:name w:val="A7"/>
    <w:uiPriority w:val="99"/>
    <w:qFormat/>
    <w:rPr>
      <w:rFonts w:cs="Franklin Gothic Book"/>
      <w:color w:val="000000"/>
      <w:sz w:val="18"/>
      <w:szCs w:val="18"/>
    </w:rPr>
  </w:style>
  <w:style w:type="character" w:customStyle="1" w:styleId="gbg3">
    <w:name w:val="gb_g3"/>
    <w:rPr>
      <w:u w:val="none"/>
    </w:rPr>
  </w:style>
  <w:style w:type="paragraph" w:styleId="aa">
    <w:name w:val="annotation text"/>
    <w:basedOn w:val="a"/>
    <w:link w:val="Char1"/>
    <w:uiPriority w:val="99"/>
    <w:unhideWhenUsed/>
    <w:pPr>
      <w:jc w:val="left"/>
    </w:pPr>
  </w:style>
  <w:style w:type="paragraph" w:styleId="a9">
    <w:name w:val="annotation subject"/>
    <w:basedOn w:val="aa"/>
    <w:next w:val="aa"/>
    <w:link w:val="Char0"/>
    <w:uiPriority w:val="99"/>
    <w:unhideWhenUsed/>
    <w:rPr>
      <w:b/>
      <w:bCs/>
    </w:rPr>
  </w:style>
  <w:style w:type="paragraph" w:styleId="af">
    <w:name w:val="Normal (Web)"/>
    <w:basedOn w:val="a"/>
    <w:uiPriority w:val="99"/>
    <w:unhideWhenUsed/>
    <w:qFormat/>
    <w:pPr>
      <w:widowControl/>
      <w:adjustRightInd w:val="0"/>
      <w:snapToGrid w:val="0"/>
      <w:spacing w:before="100" w:beforeAutospacing="1"/>
      <w:jc w:val="left"/>
    </w:pPr>
    <w:rPr>
      <w:rFonts w:ascii="Tahoma" w:hAnsi="Tahoma"/>
      <w:kern w:val="0"/>
      <w:sz w:val="24"/>
      <w:szCs w:val="24"/>
    </w:rPr>
  </w:style>
  <w:style w:type="paragraph" w:styleId="a8">
    <w:name w:val="footnote text"/>
    <w:basedOn w:val="a"/>
    <w:link w:val="Char"/>
    <w:uiPriority w:val="99"/>
    <w:unhideWhenUsed/>
    <w:qFormat/>
    <w:pPr>
      <w:widowControl/>
      <w:adjustRightInd w:val="0"/>
      <w:snapToGrid w:val="0"/>
      <w:spacing w:before="100" w:beforeAutospacing="1" w:after="200"/>
      <w:jc w:val="left"/>
    </w:pPr>
    <w:rPr>
      <w:rFonts w:ascii="Tahoma" w:hAnsi="Tahoma"/>
      <w:kern w:val="0"/>
      <w:sz w:val="18"/>
      <w:szCs w:val="18"/>
    </w:rPr>
  </w:style>
  <w:style w:type="paragraph" w:styleId="ae">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iPriority w:val="99"/>
    <w:unhideWhenUsed/>
    <w:qFormat/>
    <w:pPr>
      <w:widowControl/>
      <w:adjustRightInd w:val="0"/>
      <w:snapToGrid w:val="0"/>
      <w:spacing w:before="100" w:beforeAutospacing="1" w:after="200"/>
      <w:jc w:val="left"/>
    </w:pPr>
    <w:rPr>
      <w:rFonts w:ascii="Tahoma" w:hAnsi="Tahoma"/>
      <w:kern w:val="0"/>
      <w:sz w:val="18"/>
      <w:szCs w:val="18"/>
    </w:rPr>
  </w:style>
  <w:style w:type="paragraph" w:styleId="ac">
    <w:name w:val="Balloon Text"/>
    <w:basedOn w:val="a"/>
    <w:link w:val="Char3"/>
    <w:uiPriority w:val="99"/>
    <w:unhideWhenUsed/>
    <w:qFormat/>
    <w:rPr>
      <w:rFonts w:ascii="Times New Roman" w:hAnsi="Times New Roman"/>
      <w:kern w:val="0"/>
      <w:sz w:val="18"/>
      <w:szCs w:val="18"/>
    </w:rPr>
  </w:style>
  <w:style w:type="paragraph" w:customStyle="1" w:styleId="Style11">
    <w:name w:val="_Style 11"/>
    <w:basedOn w:val="a"/>
    <w:next w:val="af0"/>
    <w:uiPriority w:val="34"/>
    <w:qFormat/>
    <w:pPr>
      <w:widowControl/>
      <w:spacing w:after="200" w:line="276" w:lineRule="auto"/>
      <w:ind w:left="720"/>
      <w:contextualSpacing/>
      <w:jc w:val="left"/>
    </w:pPr>
    <w:rPr>
      <w:kern w:val="0"/>
      <w:sz w:val="22"/>
      <w:lang w:val="fr-FR" w:eastAsia="en-US"/>
    </w:rPr>
  </w:style>
  <w:style w:type="paragraph" w:styleId="af0">
    <w:name w:val="List Paragraph"/>
    <w:basedOn w:val="a"/>
    <w:uiPriority w:val="99"/>
    <w:qFormat/>
    <w:pPr>
      <w:ind w:firstLineChars="200" w:firstLine="420"/>
    </w:pPr>
  </w:style>
  <w:style w:type="paragraph" w:customStyle="1" w:styleId="Pa11">
    <w:name w:val="Pa11"/>
    <w:basedOn w:val="a"/>
    <w:next w:val="a"/>
    <w:uiPriority w:val="99"/>
    <w:qFormat/>
    <w:pPr>
      <w:autoSpaceDE w:val="0"/>
      <w:autoSpaceDN w:val="0"/>
      <w:adjustRightInd w:val="0"/>
      <w:spacing w:line="181" w:lineRule="atLeast"/>
      <w:jc w:val="left"/>
    </w:pPr>
    <w:rPr>
      <w:rFonts w:ascii="Times" w:eastAsia="Times" w:cs="Times"/>
      <w:kern w:val="0"/>
      <w:sz w:val="24"/>
      <w:szCs w:val="24"/>
    </w:rPr>
  </w:style>
  <w:style w:type="paragraph" w:customStyle="1" w:styleId="Pa13">
    <w:name w:val="Pa13"/>
    <w:basedOn w:val="a"/>
    <w:next w:val="a"/>
    <w:uiPriority w:val="99"/>
    <w:qFormat/>
    <w:pPr>
      <w:autoSpaceDE w:val="0"/>
      <w:autoSpaceDN w:val="0"/>
      <w:adjustRightInd w:val="0"/>
      <w:spacing w:line="181" w:lineRule="atLeast"/>
      <w:jc w:val="left"/>
    </w:pPr>
    <w:rPr>
      <w:rFonts w:ascii="Franklin Gothic Book" w:hAnsi="Franklin Gothic Book"/>
      <w:kern w:val="0"/>
      <w:sz w:val="24"/>
      <w:szCs w:val="24"/>
    </w:rPr>
  </w:style>
  <w:style w:type="paragraph" w:customStyle="1" w:styleId="Default">
    <w:name w:val="Default"/>
    <w:qFormat/>
    <w:pPr>
      <w:widowControl w:val="0"/>
      <w:autoSpaceDE w:val="0"/>
      <w:autoSpaceDN w:val="0"/>
      <w:adjustRightInd w:val="0"/>
    </w:pPr>
    <w:rPr>
      <w:rFonts w:ascii="Times" w:eastAsia="Times" w:cs="Times"/>
      <w:color w:val="000000"/>
      <w:sz w:val="24"/>
      <w:szCs w:val="24"/>
    </w:rPr>
  </w:style>
  <w:style w:type="paragraph" w:customStyle="1" w:styleId="EndNoteBibliographyTitle">
    <w:name w:val="EndNote Bibliography Title"/>
    <w:basedOn w:val="a"/>
    <w:link w:val="EndNoteBibliographyTitleChar"/>
    <w:qFormat/>
    <w:pPr>
      <w:jc w:val="center"/>
    </w:pPr>
    <w:rPr>
      <w:rFonts w:cs="Calibri"/>
      <w:sz w:val="20"/>
    </w:rPr>
  </w:style>
  <w:style w:type="paragraph" w:customStyle="1" w:styleId="EndNoteBibliography">
    <w:name w:val="EndNote Bibliography"/>
    <w:basedOn w:val="a"/>
    <w:link w:val="EndNoteBibliographyChar"/>
    <w:qFormat/>
    <w:pPr>
      <w:jc w:val="left"/>
    </w:pPr>
    <w:rPr>
      <w:rFonts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Acronym" w:semiHidden="0"/>
    <w:lsdException w:name="HTML Cite" w:semiHidden="0"/>
    <w:lsdException w:name="HTML Code" w:semiHidden="0"/>
    <w:lsdException w:name="HTML Definition" w:semiHidden="0"/>
    <w:lsdException w:name="HTML Variable" w:semiHidden="0"/>
    <w:lsdException w:name="Normal Table" w:semiHidden="0" w:qFormat="1"/>
    <w:lsdException w:name="annotation subject" w:semiHidden="0"/>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g4">
    <w:name w:val="gb_g4"/>
    <w:rPr>
      <w:color w:val="FFFFFF"/>
    </w:rPr>
  </w:style>
  <w:style w:type="character" w:styleId="HTML">
    <w:name w:val="HTML Definition"/>
    <w:uiPriority w:val="99"/>
    <w:unhideWhenUsed/>
    <w:rPr>
      <w:i w:val="0"/>
    </w:rPr>
  </w:style>
  <w:style w:type="character" w:styleId="a3">
    <w:name w:val="Strong"/>
    <w:uiPriority w:val="22"/>
    <w:qFormat/>
    <w:rPr>
      <w:b/>
      <w:bCs/>
    </w:rPr>
  </w:style>
  <w:style w:type="character" w:customStyle="1" w:styleId="gbg">
    <w:name w:val="gb_g"/>
    <w:rPr>
      <w:color w:val="FFFFFF"/>
    </w:rPr>
  </w:style>
  <w:style w:type="character" w:styleId="HTML0">
    <w:name w:val="HTML Code"/>
    <w:uiPriority w:val="99"/>
    <w:unhideWhenUsed/>
    <w:rPr>
      <w:rFonts w:ascii="Courier New" w:hAnsi="Courier New"/>
      <w:i w:val="0"/>
      <w:sz w:val="20"/>
    </w:rPr>
  </w:style>
  <w:style w:type="character" w:styleId="a4">
    <w:name w:val="FollowedHyperlink"/>
    <w:uiPriority w:val="99"/>
    <w:unhideWhenUsed/>
    <w:rPr>
      <w:color w:val="666666"/>
      <w:u w:val="none"/>
    </w:rPr>
  </w:style>
  <w:style w:type="character" w:customStyle="1" w:styleId="gt-baf-base-sep">
    <w:name w:val="gt-baf-base-sep"/>
    <w:basedOn w:val="a0"/>
  </w:style>
  <w:style w:type="character" w:styleId="a5">
    <w:name w:val="annotation reference"/>
    <w:uiPriority w:val="99"/>
    <w:unhideWhenUsed/>
    <w:qFormat/>
    <w:rPr>
      <w:sz w:val="21"/>
      <w:szCs w:val="21"/>
    </w:rPr>
  </w:style>
  <w:style w:type="character" w:styleId="a6">
    <w:name w:val="Emphasis"/>
    <w:uiPriority w:val="20"/>
    <w:qFormat/>
    <w:rPr>
      <w:i/>
      <w:iCs/>
    </w:rPr>
  </w:style>
  <w:style w:type="character" w:customStyle="1" w:styleId="gbg2">
    <w:name w:val="gb_g2"/>
    <w:rPr>
      <w:color w:val="FFFFFF"/>
    </w:rPr>
  </w:style>
  <w:style w:type="character" w:styleId="HTML1">
    <w:name w:val="HTML Acronym"/>
    <w:uiPriority w:val="99"/>
    <w:unhideWhenUsed/>
    <w:rPr>
      <w:color w:val="FFFFFF"/>
      <w:spacing w:val="150"/>
      <w:sz w:val="21"/>
      <w:szCs w:val="21"/>
    </w:rPr>
  </w:style>
  <w:style w:type="character" w:styleId="HTML2">
    <w:name w:val="HTML Variable"/>
    <w:uiPriority w:val="99"/>
    <w:unhideWhenUsed/>
    <w:rPr>
      <w:i w:val="0"/>
    </w:rPr>
  </w:style>
  <w:style w:type="character" w:customStyle="1" w:styleId="gbg1">
    <w:name w:val="gb_g1"/>
    <w:rPr>
      <w:u w:val="none"/>
    </w:rPr>
  </w:style>
  <w:style w:type="character" w:styleId="a7">
    <w:name w:val="Hyperlink"/>
    <w:uiPriority w:val="99"/>
    <w:unhideWhenUsed/>
    <w:qFormat/>
    <w:rPr>
      <w:color w:val="666666"/>
      <w:u w:val="none"/>
    </w:rPr>
  </w:style>
  <w:style w:type="character" w:customStyle="1" w:styleId="gt-baf-pos">
    <w:name w:val="gt-baf-pos"/>
    <w:rPr>
      <w:color w:val="777777"/>
    </w:rPr>
  </w:style>
  <w:style w:type="character" w:styleId="HTML3">
    <w:name w:val="HTML Cite"/>
    <w:uiPriority w:val="99"/>
    <w:unhideWhenUsed/>
    <w:rPr>
      <w:i w:val="0"/>
    </w:rPr>
  </w:style>
  <w:style w:type="character" w:customStyle="1" w:styleId="A30">
    <w:name w:val="A3"/>
    <w:uiPriority w:val="99"/>
    <w:qFormat/>
    <w:rPr>
      <w:color w:val="000000"/>
      <w:sz w:val="15"/>
      <w:szCs w:val="15"/>
    </w:rPr>
  </w:style>
  <w:style w:type="character" w:customStyle="1" w:styleId="Char">
    <w:name w:val="脚注文本 Char"/>
    <w:link w:val="a8"/>
    <w:uiPriority w:val="99"/>
    <w:semiHidden/>
    <w:qFormat/>
    <w:rPr>
      <w:rFonts w:ascii="Tahoma" w:hAnsi="Tahoma"/>
      <w:sz w:val="18"/>
      <w:szCs w:val="18"/>
    </w:rPr>
  </w:style>
  <w:style w:type="character" w:customStyle="1" w:styleId="A60">
    <w:name w:val="A6"/>
    <w:uiPriority w:val="99"/>
    <w:qFormat/>
    <w:rPr>
      <w:color w:val="000000"/>
      <w:sz w:val="18"/>
      <w:szCs w:val="18"/>
    </w:rPr>
  </w:style>
  <w:style w:type="character" w:customStyle="1" w:styleId="Char0">
    <w:name w:val="批注主题 Char"/>
    <w:link w:val="a9"/>
    <w:uiPriority w:val="99"/>
    <w:semiHidden/>
    <w:rPr>
      <w:rFonts w:ascii="Calibri" w:hAnsi="Calibri"/>
      <w:b/>
      <w:bCs/>
      <w:kern w:val="2"/>
      <w:sz w:val="21"/>
      <w:szCs w:val="22"/>
    </w:rPr>
  </w:style>
  <w:style w:type="character" w:customStyle="1" w:styleId="Char1">
    <w:name w:val="批注文字 Char"/>
    <w:link w:val="aa"/>
    <w:uiPriority w:val="99"/>
    <w:semiHidden/>
    <w:rPr>
      <w:rFonts w:ascii="Calibri" w:hAnsi="Calibri"/>
      <w:kern w:val="2"/>
      <w:sz w:val="21"/>
      <w:szCs w:val="22"/>
    </w:rPr>
  </w:style>
  <w:style w:type="character" w:customStyle="1" w:styleId="15">
    <w:name w:val="15"/>
    <w:qFormat/>
    <w:rPr>
      <w:rFonts w:ascii="Times New Roman" w:hAnsi="Times New Roman" w:cs="Times New Roman" w:hint="default"/>
      <w:vertAlign w:val="superscript"/>
    </w:rPr>
  </w:style>
  <w:style w:type="character" w:customStyle="1" w:styleId="EndNoteBibliographyChar">
    <w:name w:val="EndNote Bibliography Char"/>
    <w:link w:val="EndNoteBibliography"/>
    <w:qFormat/>
    <w:rPr>
      <w:rFonts w:ascii="Calibri" w:hAnsi="Calibri" w:cs="Calibri"/>
      <w:kern w:val="2"/>
      <w:szCs w:val="22"/>
    </w:rPr>
  </w:style>
  <w:style w:type="character" w:customStyle="1" w:styleId="highlight">
    <w:name w:val="highlight"/>
    <w:basedOn w:val="a0"/>
    <w:qFormat/>
  </w:style>
  <w:style w:type="character" w:customStyle="1" w:styleId="Char2">
    <w:name w:val="页脚 Char"/>
    <w:link w:val="ab"/>
    <w:uiPriority w:val="99"/>
    <w:qFormat/>
    <w:rPr>
      <w:rFonts w:ascii="Tahoma" w:hAnsi="Tahoma"/>
      <w:sz w:val="18"/>
      <w:szCs w:val="18"/>
    </w:rPr>
  </w:style>
  <w:style w:type="character" w:customStyle="1" w:styleId="Char3">
    <w:name w:val="批注框文本 Char"/>
    <w:link w:val="ac"/>
    <w:uiPriority w:val="99"/>
    <w:semiHidden/>
    <w:qFormat/>
    <w:rPr>
      <w:sz w:val="18"/>
      <w:szCs w:val="18"/>
    </w:rPr>
  </w:style>
  <w:style w:type="character" w:customStyle="1" w:styleId="10">
    <w:name w:val="10"/>
    <w:qFormat/>
    <w:rPr>
      <w:rFonts w:ascii="Times New Roman" w:hAnsi="Times New Roman" w:cs="Times New Roman" w:hint="default"/>
    </w:rPr>
  </w:style>
  <w:style w:type="character" w:customStyle="1" w:styleId="ad">
    <w:name w:val="未处理的提及"/>
    <w:uiPriority w:val="99"/>
    <w:unhideWhenUsed/>
    <w:rPr>
      <w:color w:val="605E5C"/>
      <w:shd w:val="clear" w:color="auto" w:fill="E1DFDD"/>
    </w:rPr>
  </w:style>
  <w:style w:type="character" w:customStyle="1" w:styleId="high-light-bg5">
    <w:name w:val="high-light-bg5"/>
    <w:rPr>
      <w:shd w:val="clear" w:color="auto" w:fill="FEE972"/>
    </w:rPr>
  </w:style>
  <w:style w:type="character" w:customStyle="1" w:styleId="focus">
    <w:name w:val="focus"/>
    <w:basedOn w:val="a0"/>
  </w:style>
  <w:style w:type="character" w:customStyle="1" w:styleId="EndNoteBibliographyTitleChar">
    <w:name w:val="EndNote Bibliography Title Char"/>
    <w:link w:val="EndNoteBibliographyTitle"/>
    <w:qFormat/>
    <w:rPr>
      <w:rFonts w:ascii="Calibri" w:hAnsi="Calibri" w:cs="Calibri"/>
      <w:kern w:val="2"/>
      <w:szCs w:val="22"/>
    </w:rPr>
  </w:style>
  <w:style w:type="character" w:customStyle="1" w:styleId="Char4">
    <w:name w:val="页眉 Char"/>
    <w:link w:val="ae"/>
    <w:uiPriority w:val="99"/>
    <w:rPr>
      <w:rFonts w:ascii="Calibri" w:eastAsia="宋体" w:hAnsi="Calibri" w:cs="Times New Roman"/>
      <w:kern w:val="2"/>
      <w:sz w:val="18"/>
      <w:szCs w:val="18"/>
    </w:rPr>
  </w:style>
  <w:style w:type="character" w:customStyle="1" w:styleId="A70">
    <w:name w:val="A7"/>
    <w:uiPriority w:val="99"/>
    <w:qFormat/>
    <w:rPr>
      <w:rFonts w:cs="Franklin Gothic Book"/>
      <w:color w:val="000000"/>
      <w:sz w:val="18"/>
      <w:szCs w:val="18"/>
    </w:rPr>
  </w:style>
  <w:style w:type="character" w:customStyle="1" w:styleId="gbg3">
    <w:name w:val="gb_g3"/>
    <w:rPr>
      <w:u w:val="none"/>
    </w:rPr>
  </w:style>
  <w:style w:type="paragraph" w:styleId="aa">
    <w:name w:val="annotation text"/>
    <w:basedOn w:val="a"/>
    <w:link w:val="Char1"/>
    <w:uiPriority w:val="99"/>
    <w:unhideWhenUsed/>
    <w:pPr>
      <w:jc w:val="left"/>
    </w:pPr>
  </w:style>
  <w:style w:type="paragraph" w:styleId="a9">
    <w:name w:val="annotation subject"/>
    <w:basedOn w:val="aa"/>
    <w:next w:val="aa"/>
    <w:link w:val="Char0"/>
    <w:uiPriority w:val="99"/>
    <w:unhideWhenUsed/>
    <w:rPr>
      <w:b/>
      <w:bCs/>
    </w:rPr>
  </w:style>
  <w:style w:type="paragraph" w:styleId="af">
    <w:name w:val="Normal (Web)"/>
    <w:basedOn w:val="a"/>
    <w:uiPriority w:val="99"/>
    <w:unhideWhenUsed/>
    <w:qFormat/>
    <w:pPr>
      <w:widowControl/>
      <w:adjustRightInd w:val="0"/>
      <w:snapToGrid w:val="0"/>
      <w:spacing w:before="100" w:beforeAutospacing="1"/>
      <w:jc w:val="left"/>
    </w:pPr>
    <w:rPr>
      <w:rFonts w:ascii="Tahoma" w:hAnsi="Tahoma"/>
      <w:kern w:val="0"/>
      <w:sz w:val="24"/>
      <w:szCs w:val="24"/>
    </w:rPr>
  </w:style>
  <w:style w:type="paragraph" w:styleId="a8">
    <w:name w:val="footnote text"/>
    <w:basedOn w:val="a"/>
    <w:link w:val="Char"/>
    <w:uiPriority w:val="99"/>
    <w:unhideWhenUsed/>
    <w:qFormat/>
    <w:pPr>
      <w:widowControl/>
      <w:adjustRightInd w:val="0"/>
      <w:snapToGrid w:val="0"/>
      <w:spacing w:before="100" w:beforeAutospacing="1" w:after="200"/>
      <w:jc w:val="left"/>
    </w:pPr>
    <w:rPr>
      <w:rFonts w:ascii="Tahoma" w:hAnsi="Tahoma"/>
      <w:kern w:val="0"/>
      <w:sz w:val="18"/>
      <w:szCs w:val="18"/>
    </w:rPr>
  </w:style>
  <w:style w:type="paragraph" w:styleId="ae">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iPriority w:val="99"/>
    <w:unhideWhenUsed/>
    <w:qFormat/>
    <w:pPr>
      <w:widowControl/>
      <w:adjustRightInd w:val="0"/>
      <w:snapToGrid w:val="0"/>
      <w:spacing w:before="100" w:beforeAutospacing="1" w:after="200"/>
      <w:jc w:val="left"/>
    </w:pPr>
    <w:rPr>
      <w:rFonts w:ascii="Tahoma" w:hAnsi="Tahoma"/>
      <w:kern w:val="0"/>
      <w:sz w:val="18"/>
      <w:szCs w:val="18"/>
    </w:rPr>
  </w:style>
  <w:style w:type="paragraph" w:styleId="ac">
    <w:name w:val="Balloon Text"/>
    <w:basedOn w:val="a"/>
    <w:link w:val="Char3"/>
    <w:uiPriority w:val="99"/>
    <w:unhideWhenUsed/>
    <w:qFormat/>
    <w:rPr>
      <w:rFonts w:ascii="Times New Roman" w:hAnsi="Times New Roman"/>
      <w:kern w:val="0"/>
      <w:sz w:val="18"/>
      <w:szCs w:val="18"/>
    </w:rPr>
  </w:style>
  <w:style w:type="paragraph" w:customStyle="1" w:styleId="Style11">
    <w:name w:val="_Style 11"/>
    <w:basedOn w:val="a"/>
    <w:next w:val="af0"/>
    <w:uiPriority w:val="34"/>
    <w:qFormat/>
    <w:pPr>
      <w:widowControl/>
      <w:spacing w:after="200" w:line="276" w:lineRule="auto"/>
      <w:ind w:left="720"/>
      <w:contextualSpacing/>
      <w:jc w:val="left"/>
    </w:pPr>
    <w:rPr>
      <w:kern w:val="0"/>
      <w:sz w:val="22"/>
      <w:lang w:val="fr-FR" w:eastAsia="en-US"/>
    </w:rPr>
  </w:style>
  <w:style w:type="paragraph" w:styleId="af0">
    <w:name w:val="List Paragraph"/>
    <w:basedOn w:val="a"/>
    <w:uiPriority w:val="99"/>
    <w:qFormat/>
    <w:pPr>
      <w:ind w:firstLineChars="200" w:firstLine="420"/>
    </w:pPr>
  </w:style>
  <w:style w:type="paragraph" w:customStyle="1" w:styleId="Pa11">
    <w:name w:val="Pa11"/>
    <w:basedOn w:val="a"/>
    <w:next w:val="a"/>
    <w:uiPriority w:val="99"/>
    <w:qFormat/>
    <w:pPr>
      <w:autoSpaceDE w:val="0"/>
      <w:autoSpaceDN w:val="0"/>
      <w:adjustRightInd w:val="0"/>
      <w:spacing w:line="181" w:lineRule="atLeast"/>
      <w:jc w:val="left"/>
    </w:pPr>
    <w:rPr>
      <w:rFonts w:ascii="Times" w:eastAsia="Times" w:cs="Times"/>
      <w:kern w:val="0"/>
      <w:sz w:val="24"/>
      <w:szCs w:val="24"/>
    </w:rPr>
  </w:style>
  <w:style w:type="paragraph" w:customStyle="1" w:styleId="Pa13">
    <w:name w:val="Pa13"/>
    <w:basedOn w:val="a"/>
    <w:next w:val="a"/>
    <w:uiPriority w:val="99"/>
    <w:qFormat/>
    <w:pPr>
      <w:autoSpaceDE w:val="0"/>
      <w:autoSpaceDN w:val="0"/>
      <w:adjustRightInd w:val="0"/>
      <w:spacing w:line="181" w:lineRule="atLeast"/>
      <w:jc w:val="left"/>
    </w:pPr>
    <w:rPr>
      <w:rFonts w:ascii="Franklin Gothic Book" w:hAnsi="Franklin Gothic Book"/>
      <w:kern w:val="0"/>
      <w:sz w:val="24"/>
      <w:szCs w:val="24"/>
    </w:rPr>
  </w:style>
  <w:style w:type="paragraph" w:customStyle="1" w:styleId="Default">
    <w:name w:val="Default"/>
    <w:qFormat/>
    <w:pPr>
      <w:widowControl w:val="0"/>
      <w:autoSpaceDE w:val="0"/>
      <w:autoSpaceDN w:val="0"/>
      <w:adjustRightInd w:val="0"/>
    </w:pPr>
    <w:rPr>
      <w:rFonts w:ascii="Times" w:eastAsia="Times" w:cs="Times"/>
      <w:color w:val="000000"/>
      <w:sz w:val="24"/>
      <w:szCs w:val="24"/>
    </w:rPr>
  </w:style>
  <w:style w:type="paragraph" w:customStyle="1" w:styleId="EndNoteBibliographyTitle">
    <w:name w:val="EndNote Bibliography Title"/>
    <w:basedOn w:val="a"/>
    <w:link w:val="EndNoteBibliographyTitleChar"/>
    <w:qFormat/>
    <w:pPr>
      <w:jc w:val="center"/>
    </w:pPr>
    <w:rPr>
      <w:rFonts w:cs="Calibri"/>
      <w:sz w:val="20"/>
    </w:rPr>
  </w:style>
  <w:style w:type="paragraph" w:customStyle="1" w:styleId="EndNoteBibliography">
    <w:name w:val="EndNote Bibliography"/>
    <w:basedOn w:val="a"/>
    <w:link w:val="EndNoteBibliographyChar"/>
    <w:qFormat/>
    <w:pPr>
      <w:jc w:val="left"/>
    </w:pPr>
    <w:rPr>
      <w:rFonts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461519537@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48277</CharactersWithSpaces>
  <SharedDoc>false</SharedDoc>
  <HLinks>
    <vt:vector size="6" baseType="variant">
      <vt:variant>
        <vt:i4>6619212</vt:i4>
      </vt:variant>
      <vt:variant>
        <vt:i4>88</vt:i4>
      </vt:variant>
      <vt:variant>
        <vt:i4>0</vt:i4>
      </vt:variant>
      <vt:variant>
        <vt:i4>5</vt:i4>
      </vt:variant>
      <vt:variant>
        <vt:lpwstr>mailto:1461519537@qq.com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张顺兴</dc:creator>
  <cp:lastModifiedBy>邢燕霞</cp:lastModifiedBy>
  <cp:revision>3</cp:revision>
  <dcterms:created xsi:type="dcterms:W3CDTF">2020-06-03T17:22:00Z</dcterms:created>
  <dcterms:modified xsi:type="dcterms:W3CDTF">2020-06-04T01:48:00Z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