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05" w:rsidRPr="00A37102" w:rsidRDefault="00DE6C05" w:rsidP="00B343A9">
      <w:pPr>
        <w:adjustRightInd w:val="0"/>
        <w:snapToGrid w:val="0"/>
        <w:spacing w:after="0" w:line="360" w:lineRule="auto"/>
        <w:jc w:val="both"/>
        <w:rPr>
          <w:rFonts w:ascii="Book Antiqua" w:hAnsi="Book Antiqua"/>
          <w:color w:val="000000"/>
          <w:sz w:val="24"/>
          <w:szCs w:val="24"/>
        </w:rPr>
      </w:pPr>
      <w:r w:rsidRPr="00A37102">
        <w:rPr>
          <w:rFonts w:ascii="Book Antiqua" w:hAnsi="Book Antiqua" w:cs="宋体"/>
          <w:b/>
          <w:color w:val="000000"/>
          <w:sz w:val="24"/>
          <w:szCs w:val="24"/>
        </w:rPr>
        <w:t xml:space="preserve">Name of journal: </w:t>
      </w:r>
      <w:bookmarkStart w:id="0" w:name="OLE_LINK718"/>
      <w:bookmarkStart w:id="1" w:name="OLE_LINK719"/>
      <w:r w:rsidRPr="00A37102">
        <w:rPr>
          <w:rFonts w:ascii="Book Antiqua" w:hAnsi="Book Antiqua" w:cs="宋体"/>
          <w:b/>
          <w:color w:val="000000"/>
          <w:sz w:val="24"/>
          <w:szCs w:val="24"/>
        </w:rPr>
        <w:t xml:space="preserve">World Journal of </w:t>
      </w:r>
      <w:bookmarkEnd w:id="0"/>
      <w:bookmarkEnd w:id="1"/>
      <w:r w:rsidRPr="00A37102">
        <w:rPr>
          <w:rFonts w:ascii="Book Antiqua" w:hAnsi="Book Antiqua"/>
          <w:b/>
          <w:color w:val="000000"/>
          <w:sz w:val="24"/>
          <w:szCs w:val="24"/>
        </w:rPr>
        <w:t xml:space="preserve">Gastroenterology </w:t>
      </w:r>
    </w:p>
    <w:p w:rsidR="00DE6C05" w:rsidRPr="00A37102" w:rsidRDefault="00DE6C05" w:rsidP="00B343A9">
      <w:pPr>
        <w:adjustRightInd w:val="0"/>
        <w:snapToGrid w:val="0"/>
        <w:spacing w:after="0" w:line="360" w:lineRule="auto"/>
        <w:jc w:val="both"/>
        <w:rPr>
          <w:rFonts w:ascii="Book Antiqua" w:hAnsi="Book Antiqua" w:cs="宋体"/>
          <w:b/>
          <w:color w:val="000000"/>
          <w:sz w:val="24"/>
          <w:szCs w:val="24"/>
          <w:lang w:eastAsia="zh-CN"/>
        </w:rPr>
      </w:pPr>
      <w:r w:rsidRPr="00A37102">
        <w:rPr>
          <w:rFonts w:ascii="Book Antiqua" w:hAnsi="Book Antiqua"/>
          <w:b/>
          <w:color w:val="000000"/>
          <w:sz w:val="24"/>
          <w:szCs w:val="24"/>
        </w:rPr>
        <w:t xml:space="preserve">ESPS Manuscript NO: </w:t>
      </w:r>
      <w:r w:rsidRPr="00A37102">
        <w:rPr>
          <w:rFonts w:ascii="Book Antiqua" w:hAnsi="Book Antiqua"/>
          <w:b/>
          <w:color w:val="000000"/>
          <w:sz w:val="24"/>
          <w:szCs w:val="24"/>
          <w:lang w:eastAsia="zh-CN"/>
        </w:rPr>
        <w:t>5336</w:t>
      </w:r>
    </w:p>
    <w:p w:rsidR="00DE6C05" w:rsidRPr="00A37102" w:rsidRDefault="00DE6C05" w:rsidP="00B343A9">
      <w:pPr>
        <w:suppressAutoHyphens/>
        <w:autoSpaceDE w:val="0"/>
        <w:autoSpaceDN w:val="0"/>
        <w:adjustRightInd w:val="0"/>
        <w:snapToGrid w:val="0"/>
        <w:spacing w:after="0" w:line="360" w:lineRule="auto"/>
        <w:jc w:val="both"/>
        <w:rPr>
          <w:rFonts w:ascii="Book Antiqua" w:eastAsia="华文细黑" w:hAnsi="Book Antiqua" w:cs="Tahoma"/>
          <w:b/>
          <w:color w:val="000000"/>
          <w:sz w:val="24"/>
          <w:szCs w:val="24"/>
        </w:rPr>
      </w:pPr>
      <w:bookmarkStart w:id="2" w:name="OLE_LINK1617"/>
      <w:bookmarkStart w:id="3" w:name="OLE_LINK1618"/>
      <w:r w:rsidRPr="00A37102">
        <w:rPr>
          <w:rFonts w:ascii="Book Antiqua" w:hAnsi="Book Antiqua"/>
          <w:b/>
          <w:color w:val="000000"/>
          <w:sz w:val="24"/>
          <w:szCs w:val="24"/>
        </w:rPr>
        <w:t>Columns:</w:t>
      </w:r>
      <w:bookmarkEnd w:id="2"/>
      <w:bookmarkEnd w:id="3"/>
      <w:r w:rsidRPr="00A37102">
        <w:rPr>
          <w:rFonts w:ascii="Book Antiqua" w:eastAsia="华文细黑" w:hAnsi="Book Antiqua" w:cs="Tahoma"/>
          <w:b/>
          <w:color w:val="000000"/>
          <w:sz w:val="24"/>
          <w:szCs w:val="24"/>
        </w:rPr>
        <w:t xml:space="preserve"> META-ANALYSIS</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b/>
          <w:color w:val="000000"/>
          <w:sz w:val="24"/>
          <w:szCs w:val="24"/>
          <w:rtl/>
          <w:lang w:eastAsia="zh-CN"/>
        </w:rPr>
      </w:pPr>
      <w:r w:rsidRPr="00A37102">
        <w:rPr>
          <w:rFonts w:ascii="Book Antiqua" w:hAnsi="Book Antiqua"/>
          <w:b/>
          <w:color w:val="000000"/>
          <w:sz w:val="24"/>
          <w:szCs w:val="24"/>
        </w:rPr>
        <w:t xml:space="preserve">Antiviral therapy in cytomegalovirus-positive ulcerative colitis: </w:t>
      </w:r>
      <w:r w:rsidRPr="00A37102">
        <w:rPr>
          <w:rFonts w:ascii="Book Antiqua" w:hAnsi="Book Antiqua"/>
          <w:b/>
          <w:caps/>
          <w:color w:val="000000"/>
          <w:sz w:val="24"/>
          <w:szCs w:val="24"/>
        </w:rPr>
        <w:t>a</w:t>
      </w:r>
      <w:r w:rsidRPr="00A37102">
        <w:rPr>
          <w:rFonts w:ascii="Book Antiqua" w:hAnsi="Book Antiqua"/>
          <w:b/>
          <w:color w:val="000000"/>
          <w:sz w:val="24"/>
          <w:szCs w:val="24"/>
        </w:rPr>
        <w:t xml:space="preserve"> systematic review and meta-analysis</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5E6895" w:rsidRDefault="00DE6C05" w:rsidP="00B343A9">
      <w:pPr>
        <w:spacing w:after="0" w:line="360" w:lineRule="auto"/>
        <w:jc w:val="both"/>
        <w:rPr>
          <w:rFonts w:ascii="Book Antiqua" w:hAnsi="Book Antiqua"/>
          <w:color w:val="000000"/>
          <w:sz w:val="24"/>
          <w:szCs w:val="24"/>
          <w:rtl/>
          <w:lang w:val="en-CA" w:eastAsia="zh-CN"/>
        </w:rPr>
      </w:pPr>
      <w:r w:rsidRPr="005E6895">
        <w:rPr>
          <w:rFonts w:ascii="Book Antiqua" w:hAnsi="Book Antiqua"/>
          <w:color w:val="000000"/>
          <w:sz w:val="24"/>
          <w:szCs w:val="24"/>
        </w:rPr>
        <w:t>Kopylov</w:t>
      </w:r>
      <w:r w:rsidRPr="005E6895">
        <w:rPr>
          <w:rFonts w:ascii="Book Antiqua" w:hAnsi="Book Antiqua"/>
          <w:color w:val="000000"/>
          <w:sz w:val="24"/>
          <w:szCs w:val="24"/>
          <w:lang w:val="en-CA" w:eastAsia="zh-CN"/>
        </w:rPr>
        <w:t xml:space="preserve"> </w:t>
      </w:r>
      <w:r w:rsidRPr="005E6895">
        <w:rPr>
          <w:rFonts w:ascii="Book Antiqua" w:hAnsi="Book Antiqua"/>
          <w:color w:val="000000"/>
          <w:sz w:val="24"/>
          <w:szCs w:val="24"/>
        </w:rPr>
        <w:t>U</w:t>
      </w:r>
      <w:r w:rsidRPr="005E6895">
        <w:rPr>
          <w:rFonts w:ascii="Book Antiqua" w:hAnsi="Book Antiqua"/>
          <w:color w:val="000000"/>
          <w:sz w:val="24"/>
          <w:szCs w:val="24"/>
          <w:lang w:val="en-CA" w:eastAsia="zh-CN"/>
        </w:rPr>
        <w:t xml:space="preserve"> </w:t>
      </w:r>
      <w:r w:rsidRPr="005E6895">
        <w:rPr>
          <w:rFonts w:ascii="Book Antiqua" w:hAnsi="Book Antiqua"/>
          <w:i/>
          <w:color w:val="000000"/>
          <w:sz w:val="24"/>
          <w:szCs w:val="24"/>
          <w:lang w:val="en-CA" w:eastAsia="zh-CN"/>
        </w:rPr>
        <w:t>et al</w:t>
      </w:r>
      <w:r w:rsidRPr="005E6895">
        <w:rPr>
          <w:rFonts w:ascii="Book Antiqua" w:hAnsi="Book Antiqua"/>
          <w:color w:val="000000"/>
          <w:sz w:val="24"/>
          <w:szCs w:val="24"/>
          <w:lang w:val="en-CA" w:eastAsia="zh-CN"/>
        </w:rPr>
        <w:t>. Antivirals in CMV-positive ulcerative colitis</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color w:val="000000"/>
          <w:sz w:val="24"/>
          <w:szCs w:val="24"/>
        </w:rPr>
        <w:t>U Kopylov, N Eliakim-Raz, A Szilagy, E Seidman, S Ben-Horin, LH Katz</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b/>
          <w:color w:val="000000"/>
          <w:sz w:val="24"/>
          <w:szCs w:val="24"/>
        </w:rPr>
        <w:t>Kopylov U</w:t>
      </w:r>
      <w:r w:rsidRPr="00A37102">
        <w:rPr>
          <w:rFonts w:ascii="Book Antiqua" w:hAnsi="Book Antiqua"/>
          <w:b/>
          <w:color w:val="000000"/>
          <w:sz w:val="24"/>
          <w:szCs w:val="24"/>
          <w:lang w:eastAsia="zh-CN"/>
        </w:rPr>
        <w:t xml:space="preserve">, </w:t>
      </w:r>
      <w:r w:rsidRPr="00A37102">
        <w:rPr>
          <w:rFonts w:ascii="Book Antiqua" w:hAnsi="Book Antiqua"/>
          <w:b/>
          <w:color w:val="000000"/>
          <w:sz w:val="24"/>
          <w:szCs w:val="24"/>
        </w:rPr>
        <w:t>Ben-Horin S</w:t>
      </w:r>
      <w:r w:rsidRPr="00A37102">
        <w:rPr>
          <w:rFonts w:ascii="Book Antiqua" w:hAnsi="Book Antiqua"/>
          <w:b/>
          <w:color w:val="000000"/>
          <w:sz w:val="24"/>
          <w:szCs w:val="24"/>
          <w:lang w:eastAsia="zh-CN"/>
        </w:rPr>
        <w:t xml:space="preserve">, </w:t>
      </w:r>
      <w:r w:rsidRPr="00A37102">
        <w:rPr>
          <w:rFonts w:ascii="Book Antiqua" w:hAnsi="Book Antiqua"/>
          <w:b/>
          <w:color w:val="000000"/>
          <w:sz w:val="24"/>
          <w:szCs w:val="24"/>
        </w:rPr>
        <w:t>Katz LH</w:t>
      </w:r>
      <w:r w:rsidRPr="00A37102">
        <w:rPr>
          <w:rFonts w:ascii="Book Antiqua" w:hAnsi="Book Antiqua"/>
          <w:b/>
          <w:color w:val="000000"/>
          <w:sz w:val="24"/>
          <w:szCs w:val="24"/>
          <w:lang w:eastAsia="zh-CN"/>
        </w:rPr>
        <w:t>,</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Department of Gastroenterology, Sheba Medical Center, Tel Hashomer, Ramat Gan</w:t>
      </w:r>
      <w:r w:rsidRPr="00A37102">
        <w:rPr>
          <w:rFonts w:ascii="Book Antiqua" w:hAnsi="Book Antiqua"/>
          <w:color w:val="000000"/>
          <w:sz w:val="24"/>
          <w:szCs w:val="24"/>
          <w:lang w:eastAsia="zh-CN"/>
        </w:rPr>
        <w:t xml:space="preserve"> 5262,</w:t>
      </w:r>
      <w:r w:rsidRPr="00A37102">
        <w:rPr>
          <w:rFonts w:ascii="Book Antiqua" w:hAnsi="Book Antiqua"/>
          <w:color w:val="000000"/>
          <w:sz w:val="24"/>
          <w:szCs w:val="24"/>
        </w:rPr>
        <w:t xml:space="preserve"> Israel</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b/>
          <w:color w:val="000000"/>
          <w:sz w:val="24"/>
          <w:szCs w:val="24"/>
        </w:rPr>
        <w:t>Kopylov U</w:t>
      </w:r>
      <w:r w:rsidRPr="00A37102">
        <w:rPr>
          <w:b/>
          <w:lang w:eastAsia="zh-CN"/>
        </w:rPr>
        <w:t xml:space="preserve">, </w:t>
      </w:r>
      <w:r w:rsidRPr="00A37102">
        <w:rPr>
          <w:rFonts w:ascii="Book Antiqua" w:hAnsi="Book Antiqua"/>
          <w:b/>
          <w:color w:val="000000"/>
          <w:sz w:val="24"/>
          <w:szCs w:val="24"/>
        </w:rPr>
        <w:t>Seidman E</w:t>
      </w:r>
      <w:r w:rsidRPr="00A37102">
        <w:rPr>
          <w:rFonts w:ascii="Book Antiqua" w:hAnsi="Book Antiqua"/>
          <w:b/>
          <w:color w:val="000000"/>
          <w:sz w:val="24"/>
          <w:szCs w:val="24"/>
          <w:lang w:eastAsia="zh-CN"/>
        </w:rPr>
        <w:t>,</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 xml:space="preserve">Division of Gastroenterology, McGill University Health Center, Montreal, Quebec </w:t>
      </w:r>
      <w:r w:rsidRPr="00A37102">
        <w:rPr>
          <w:rFonts w:ascii="Book Antiqua" w:hAnsi="Book Antiqua"/>
          <w:color w:val="000000"/>
          <w:sz w:val="24"/>
          <w:szCs w:val="24"/>
          <w:lang w:val="en-CA"/>
        </w:rPr>
        <w:t xml:space="preserve">H3G A14, </w:t>
      </w:r>
      <w:r w:rsidRPr="00A37102">
        <w:rPr>
          <w:rFonts w:ascii="Book Antiqua" w:hAnsi="Book Antiqua"/>
          <w:color w:val="000000"/>
          <w:sz w:val="24"/>
          <w:szCs w:val="24"/>
        </w:rPr>
        <w:t>Canada</w:t>
      </w:r>
    </w:p>
    <w:p w:rsidR="00DE6C05" w:rsidRPr="00A37102" w:rsidRDefault="00DE6C05" w:rsidP="00B343A9">
      <w:pPr>
        <w:spacing w:after="0" w:line="360" w:lineRule="auto"/>
        <w:jc w:val="both"/>
        <w:rPr>
          <w:lang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b/>
          <w:color w:val="000000"/>
          <w:sz w:val="24"/>
          <w:szCs w:val="24"/>
        </w:rPr>
        <w:t>Eliakim-Raz N</w:t>
      </w:r>
      <w:r w:rsidRPr="00A37102">
        <w:rPr>
          <w:rFonts w:ascii="Book Antiqua" w:hAnsi="Book Antiqua"/>
          <w:b/>
          <w:color w:val="000000"/>
          <w:sz w:val="24"/>
          <w:szCs w:val="24"/>
          <w:lang w:eastAsia="zh-CN"/>
        </w:rPr>
        <w:t>,</w:t>
      </w:r>
      <w:r w:rsidRPr="00A37102">
        <w:rPr>
          <w:rFonts w:ascii="Book Antiqua" w:hAnsi="Book Antiqua"/>
          <w:color w:val="000000"/>
          <w:sz w:val="24"/>
          <w:szCs w:val="24"/>
        </w:rPr>
        <w:t xml:space="preserve"> Department of Medicine E, Beilinson Hospital, Rabin Medical Center, Petach Tikva</w:t>
      </w:r>
      <w:r w:rsidRPr="00A37102">
        <w:rPr>
          <w:rFonts w:ascii="Book Antiqua" w:hAnsi="Book Antiqua"/>
          <w:color w:val="000000"/>
          <w:sz w:val="24"/>
          <w:szCs w:val="24"/>
          <w:lang w:eastAsia="zh-CN"/>
        </w:rPr>
        <w:t xml:space="preserve"> 49100, </w:t>
      </w:r>
      <w:r w:rsidRPr="00A37102">
        <w:rPr>
          <w:rFonts w:ascii="Book Antiqua" w:hAnsi="Book Antiqua"/>
          <w:color w:val="000000"/>
          <w:sz w:val="24"/>
          <w:szCs w:val="24"/>
        </w:rPr>
        <w:t>Israel</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b/>
          <w:color w:val="000000"/>
          <w:sz w:val="24"/>
          <w:szCs w:val="24"/>
        </w:rPr>
        <w:t>Szilagy A</w:t>
      </w:r>
      <w:r w:rsidRPr="00A37102">
        <w:rPr>
          <w:rFonts w:ascii="Book Antiqua" w:hAnsi="Book Antiqua"/>
          <w:b/>
          <w:color w:val="000000"/>
          <w:sz w:val="24"/>
          <w:szCs w:val="24"/>
          <w:lang w:eastAsia="zh-CN"/>
        </w:rPr>
        <w:t>,</w:t>
      </w:r>
      <w:r w:rsidRPr="00A37102">
        <w:rPr>
          <w:rFonts w:ascii="Book Antiqua" w:hAnsi="Book Antiqua"/>
          <w:color w:val="000000"/>
          <w:sz w:val="24"/>
          <w:szCs w:val="24"/>
        </w:rPr>
        <w:t xml:space="preserve"> Division of Gastroenterology, Jewish General Hospital, McGill University, Montreal, Quebec H3T 1E2, Canada</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b/>
          <w:color w:val="000000"/>
          <w:sz w:val="24"/>
          <w:szCs w:val="24"/>
        </w:rPr>
        <w:t>Kopylov U</w:t>
      </w:r>
      <w:r w:rsidRPr="00A37102">
        <w:rPr>
          <w:rFonts w:ascii="Book Antiqua" w:hAnsi="Book Antiqua"/>
          <w:b/>
          <w:color w:val="000000"/>
          <w:sz w:val="24"/>
          <w:szCs w:val="24"/>
          <w:lang w:eastAsia="zh-CN"/>
        </w:rPr>
        <w:t xml:space="preserve">, </w:t>
      </w:r>
      <w:r w:rsidRPr="00A37102">
        <w:rPr>
          <w:rFonts w:ascii="Book Antiqua" w:hAnsi="Book Antiqua"/>
          <w:b/>
          <w:color w:val="000000"/>
          <w:sz w:val="24"/>
          <w:szCs w:val="24"/>
        </w:rPr>
        <w:t>Ben-Horin S</w:t>
      </w:r>
      <w:r w:rsidRPr="00A37102">
        <w:rPr>
          <w:rFonts w:ascii="Book Antiqua" w:hAnsi="Book Antiqua"/>
          <w:b/>
          <w:color w:val="000000"/>
          <w:sz w:val="24"/>
          <w:szCs w:val="24"/>
          <w:lang w:eastAsia="zh-CN"/>
        </w:rPr>
        <w:t xml:space="preserve">, </w:t>
      </w:r>
      <w:r w:rsidRPr="00A37102">
        <w:rPr>
          <w:rFonts w:ascii="Book Antiqua" w:hAnsi="Book Antiqua"/>
          <w:b/>
          <w:color w:val="000000"/>
          <w:sz w:val="24"/>
          <w:szCs w:val="24"/>
        </w:rPr>
        <w:t>Katz LH</w:t>
      </w:r>
      <w:r w:rsidRPr="00A37102">
        <w:rPr>
          <w:rFonts w:ascii="Book Antiqua" w:hAnsi="Book Antiqua"/>
          <w:b/>
          <w:color w:val="000000"/>
          <w:sz w:val="24"/>
          <w:szCs w:val="24"/>
          <w:lang w:eastAsia="zh-CN"/>
        </w:rPr>
        <w:t xml:space="preserve">, </w:t>
      </w:r>
      <w:r w:rsidRPr="00A37102">
        <w:rPr>
          <w:rFonts w:ascii="Book Antiqua" w:hAnsi="Book Antiqua"/>
          <w:color w:val="000000"/>
          <w:sz w:val="24"/>
          <w:szCs w:val="24"/>
        </w:rPr>
        <w:t>Sackler School of Medicine, Tel-Aviv University, Ramat-Aviv, Tel-Aviv</w:t>
      </w:r>
      <w:r w:rsidRPr="00A37102">
        <w:rPr>
          <w:rFonts w:ascii="Book Antiqua" w:hAnsi="Book Antiqua"/>
          <w:color w:val="000000"/>
          <w:sz w:val="24"/>
          <w:szCs w:val="24"/>
          <w:lang w:eastAsia="zh-CN"/>
        </w:rPr>
        <w:t xml:space="preserve"> 69978, </w:t>
      </w:r>
      <w:r w:rsidRPr="00A37102">
        <w:rPr>
          <w:rFonts w:ascii="Book Antiqua" w:hAnsi="Book Antiqua"/>
          <w:color w:val="000000"/>
          <w:sz w:val="24"/>
          <w:szCs w:val="24"/>
        </w:rPr>
        <w:t>Israel</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b/>
          <w:color w:val="000000"/>
          <w:sz w:val="24"/>
          <w:szCs w:val="24"/>
        </w:rPr>
        <w:t>Author contributions:</w:t>
      </w:r>
      <w:r w:rsidRPr="00A37102">
        <w:rPr>
          <w:rFonts w:ascii="Book Antiqua" w:hAnsi="Book Antiqua"/>
          <w:b/>
          <w:color w:val="000000"/>
          <w:sz w:val="24"/>
          <w:szCs w:val="24"/>
          <w:lang w:eastAsia="zh-CN"/>
        </w:rPr>
        <w:t xml:space="preserve"> </w:t>
      </w:r>
      <w:r w:rsidRPr="00A37102">
        <w:rPr>
          <w:rFonts w:ascii="Book Antiqua" w:hAnsi="Book Antiqua"/>
          <w:color w:val="000000"/>
          <w:sz w:val="24"/>
          <w:szCs w:val="24"/>
        </w:rPr>
        <w:t>Kopylov U</w:t>
      </w:r>
      <w:r w:rsidRPr="00A37102">
        <w:rPr>
          <w:rFonts w:ascii="Book Antiqua" w:hAnsi="Book Antiqua"/>
          <w:color w:val="000000"/>
          <w:sz w:val="24"/>
          <w:szCs w:val="24"/>
          <w:lang w:val="en-CA"/>
        </w:rPr>
        <w:t xml:space="preserve"> design</w:t>
      </w:r>
      <w:r w:rsidRPr="00A37102">
        <w:rPr>
          <w:rFonts w:ascii="Book Antiqua" w:hAnsi="Book Antiqua"/>
          <w:color w:val="000000"/>
          <w:sz w:val="24"/>
          <w:szCs w:val="24"/>
          <w:lang w:val="en-CA" w:eastAsia="zh-CN"/>
        </w:rPr>
        <w:t>ed</w:t>
      </w:r>
      <w:r w:rsidRPr="00A37102">
        <w:rPr>
          <w:rFonts w:ascii="Book Antiqua" w:hAnsi="Book Antiqua"/>
          <w:color w:val="000000"/>
          <w:sz w:val="24"/>
          <w:szCs w:val="24"/>
          <w:lang w:val="en-CA"/>
        </w:rPr>
        <w:t xml:space="preserve"> </w:t>
      </w:r>
      <w:r w:rsidRPr="00A37102">
        <w:rPr>
          <w:rFonts w:ascii="Book Antiqua" w:hAnsi="Book Antiqua"/>
          <w:color w:val="000000"/>
          <w:sz w:val="24"/>
          <w:szCs w:val="24"/>
          <w:lang w:val="en-CA" w:eastAsia="zh-CN"/>
        </w:rPr>
        <w:t xml:space="preserve">the </w:t>
      </w:r>
      <w:r w:rsidRPr="00A37102">
        <w:rPr>
          <w:rFonts w:ascii="Book Antiqua" w:hAnsi="Book Antiqua"/>
          <w:color w:val="000000"/>
          <w:sz w:val="24"/>
          <w:szCs w:val="24"/>
          <w:lang w:val="en-CA"/>
        </w:rPr>
        <w:t xml:space="preserve">study, </w:t>
      </w:r>
      <w:bookmarkStart w:id="4" w:name="OLE_LINK1"/>
      <w:bookmarkStart w:id="5" w:name="OLE_LINK2"/>
      <w:r w:rsidRPr="00A37102">
        <w:rPr>
          <w:rFonts w:ascii="Book Antiqua" w:hAnsi="Book Antiqua"/>
          <w:color w:val="000000"/>
          <w:sz w:val="24"/>
          <w:szCs w:val="24"/>
          <w:lang w:val="en-CA" w:eastAsia="zh-CN"/>
        </w:rPr>
        <w:t xml:space="preserve">collected the </w:t>
      </w:r>
      <w:r w:rsidRPr="00A37102">
        <w:rPr>
          <w:rFonts w:ascii="Book Antiqua" w:hAnsi="Book Antiqua"/>
          <w:color w:val="000000"/>
          <w:sz w:val="24"/>
          <w:szCs w:val="24"/>
          <w:lang w:val="en-CA"/>
        </w:rPr>
        <w:t>data,</w:t>
      </w:r>
      <w:bookmarkEnd w:id="4"/>
      <w:bookmarkEnd w:id="5"/>
      <w:r w:rsidRPr="00A37102">
        <w:rPr>
          <w:rFonts w:ascii="Book Antiqua" w:hAnsi="Book Antiqua"/>
          <w:color w:val="000000"/>
          <w:sz w:val="24"/>
          <w:szCs w:val="24"/>
          <w:lang w:val="en-CA"/>
        </w:rPr>
        <w:t xml:space="preserve"> </w:t>
      </w:r>
      <w:r w:rsidRPr="00A37102">
        <w:rPr>
          <w:rFonts w:ascii="Book Antiqua" w:hAnsi="Book Antiqua"/>
          <w:color w:val="000000"/>
          <w:sz w:val="24"/>
          <w:szCs w:val="24"/>
          <w:lang w:val="en-CA" w:eastAsia="zh-CN"/>
        </w:rPr>
        <w:t xml:space="preserve">and </w:t>
      </w:r>
      <w:r w:rsidRPr="00A37102">
        <w:rPr>
          <w:rFonts w:ascii="Book Antiqua" w:hAnsi="Book Antiqua"/>
          <w:color w:val="000000"/>
          <w:sz w:val="24"/>
          <w:szCs w:val="24"/>
          <w:lang w:val="en-CA"/>
        </w:rPr>
        <w:t>draft</w:t>
      </w:r>
      <w:r w:rsidRPr="00A37102">
        <w:rPr>
          <w:rFonts w:ascii="Book Antiqua" w:hAnsi="Book Antiqua"/>
          <w:color w:val="000000"/>
          <w:sz w:val="24"/>
          <w:szCs w:val="24"/>
          <w:lang w:val="en-CA" w:eastAsia="zh-CN"/>
        </w:rPr>
        <w:t>ed</w:t>
      </w:r>
      <w:r w:rsidRPr="00A37102">
        <w:rPr>
          <w:rFonts w:ascii="Book Antiqua" w:hAnsi="Book Antiqua"/>
          <w:color w:val="000000"/>
          <w:sz w:val="24"/>
          <w:szCs w:val="24"/>
          <w:lang w:val="en-CA"/>
        </w:rPr>
        <w:t xml:space="preserve"> </w:t>
      </w:r>
      <w:r w:rsidRPr="00A37102">
        <w:rPr>
          <w:rFonts w:ascii="Book Antiqua" w:hAnsi="Book Antiqua"/>
          <w:color w:val="000000"/>
          <w:sz w:val="24"/>
          <w:szCs w:val="24"/>
          <w:lang w:val="en-CA" w:eastAsia="zh-CN"/>
        </w:rPr>
        <w:t xml:space="preserve">the </w:t>
      </w:r>
      <w:r w:rsidRPr="00A37102">
        <w:rPr>
          <w:rFonts w:ascii="Book Antiqua" w:hAnsi="Book Antiqua"/>
          <w:color w:val="000000"/>
          <w:sz w:val="24"/>
          <w:szCs w:val="24"/>
          <w:lang w:val="en-CA"/>
        </w:rPr>
        <w:t>manuscript</w:t>
      </w:r>
      <w:r w:rsidRPr="00A37102">
        <w:rPr>
          <w:rFonts w:ascii="Book Antiqua" w:hAnsi="Book Antiqua"/>
          <w:color w:val="000000"/>
          <w:sz w:val="24"/>
          <w:szCs w:val="24"/>
          <w:lang w:val="en-CA" w:eastAsia="zh-CN"/>
        </w:rPr>
        <w:t xml:space="preserve">; </w:t>
      </w:r>
      <w:r w:rsidRPr="00A37102">
        <w:rPr>
          <w:rFonts w:ascii="Book Antiqua" w:hAnsi="Book Antiqua"/>
          <w:color w:val="000000"/>
          <w:sz w:val="24"/>
          <w:szCs w:val="24"/>
        </w:rPr>
        <w:t>Eliakim-Raz N</w:t>
      </w:r>
      <w:r w:rsidRPr="00A37102">
        <w:rPr>
          <w:rFonts w:ascii="Book Antiqua" w:hAnsi="Book Antiqua"/>
          <w:color w:val="000000"/>
          <w:sz w:val="24"/>
          <w:szCs w:val="24"/>
          <w:lang w:eastAsia="zh-CN"/>
        </w:rPr>
        <w:t xml:space="preserve"> and </w:t>
      </w:r>
      <w:r w:rsidRPr="00A37102">
        <w:rPr>
          <w:rFonts w:ascii="Book Antiqua" w:hAnsi="Book Antiqua"/>
          <w:color w:val="000000"/>
          <w:sz w:val="24"/>
          <w:szCs w:val="24"/>
        </w:rPr>
        <w:t>Katz LH</w:t>
      </w:r>
      <w:r w:rsidRPr="00A37102">
        <w:rPr>
          <w:rFonts w:ascii="Book Antiqua" w:hAnsi="Book Antiqua"/>
          <w:color w:val="000000"/>
          <w:sz w:val="24"/>
          <w:szCs w:val="24"/>
          <w:lang w:val="en-CA" w:eastAsia="zh-CN"/>
        </w:rPr>
        <w:t xml:space="preserve"> collected </w:t>
      </w:r>
      <w:r w:rsidRPr="00A37102">
        <w:rPr>
          <w:rFonts w:ascii="Book Antiqua" w:hAnsi="Book Antiqua"/>
          <w:color w:val="000000"/>
          <w:sz w:val="24"/>
          <w:szCs w:val="24"/>
          <w:lang w:val="en-CA"/>
        </w:rPr>
        <w:t>and analyze</w:t>
      </w:r>
      <w:r w:rsidRPr="00A37102">
        <w:rPr>
          <w:rFonts w:ascii="Book Antiqua" w:hAnsi="Book Antiqua"/>
          <w:color w:val="000000"/>
          <w:sz w:val="24"/>
          <w:szCs w:val="24"/>
          <w:lang w:val="en-CA" w:eastAsia="zh-CN"/>
        </w:rPr>
        <w:t xml:space="preserve">d the </w:t>
      </w:r>
      <w:r w:rsidRPr="00A37102">
        <w:rPr>
          <w:rFonts w:ascii="Book Antiqua" w:hAnsi="Book Antiqua"/>
          <w:color w:val="000000"/>
          <w:sz w:val="24"/>
          <w:szCs w:val="24"/>
          <w:lang w:val="en-CA"/>
        </w:rPr>
        <w:t>data</w:t>
      </w:r>
      <w:r w:rsidRPr="00A37102">
        <w:rPr>
          <w:rFonts w:ascii="Book Antiqua" w:hAnsi="Book Antiqua"/>
          <w:color w:val="000000"/>
          <w:sz w:val="24"/>
          <w:szCs w:val="24"/>
          <w:lang w:val="en-CA" w:eastAsia="zh-CN"/>
        </w:rPr>
        <w:t xml:space="preserve">; </w:t>
      </w:r>
      <w:r w:rsidRPr="00A37102">
        <w:rPr>
          <w:rFonts w:ascii="Book Antiqua" w:hAnsi="Book Antiqua"/>
          <w:color w:val="000000"/>
          <w:sz w:val="24"/>
          <w:szCs w:val="24"/>
        </w:rPr>
        <w:t>Szilagy A</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Seidman E</w:t>
      </w:r>
      <w:r w:rsidRPr="00A37102">
        <w:rPr>
          <w:rFonts w:ascii="Book Antiqua" w:hAnsi="Book Antiqua"/>
          <w:color w:val="000000"/>
          <w:sz w:val="24"/>
          <w:szCs w:val="24"/>
          <w:lang w:eastAsia="zh-CN"/>
        </w:rPr>
        <w:t xml:space="preserve"> and </w:t>
      </w:r>
      <w:r w:rsidRPr="00A37102">
        <w:rPr>
          <w:rFonts w:ascii="Book Antiqua" w:hAnsi="Book Antiqua"/>
          <w:color w:val="000000"/>
          <w:sz w:val="24"/>
          <w:szCs w:val="24"/>
        </w:rPr>
        <w:t>Ben-Horin S</w:t>
      </w:r>
      <w:r w:rsidRPr="00A37102">
        <w:rPr>
          <w:rFonts w:ascii="Book Antiqua" w:hAnsi="Book Antiqua"/>
          <w:b/>
          <w:color w:val="000000"/>
          <w:sz w:val="24"/>
          <w:szCs w:val="24"/>
          <w:lang w:eastAsia="zh-CN"/>
        </w:rPr>
        <w:t xml:space="preserve"> </w:t>
      </w:r>
      <w:r w:rsidRPr="00A37102">
        <w:rPr>
          <w:rFonts w:ascii="Book Antiqua" w:hAnsi="Book Antiqua"/>
          <w:color w:val="000000"/>
          <w:sz w:val="24"/>
          <w:szCs w:val="24"/>
          <w:lang w:val="en-CA"/>
        </w:rPr>
        <w:t>design</w:t>
      </w:r>
      <w:r w:rsidRPr="00A37102">
        <w:rPr>
          <w:rFonts w:ascii="Book Antiqua" w:hAnsi="Book Antiqua"/>
          <w:color w:val="000000"/>
          <w:sz w:val="24"/>
          <w:szCs w:val="24"/>
          <w:lang w:val="en-CA" w:eastAsia="zh-CN"/>
        </w:rPr>
        <w:t>ed</w:t>
      </w:r>
      <w:r w:rsidRPr="00A37102">
        <w:rPr>
          <w:rFonts w:ascii="Book Antiqua" w:hAnsi="Book Antiqua"/>
          <w:color w:val="000000"/>
          <w:sz w:val="24"/>
          <w:szCs w:val="24"/>
          <w:lang w:val="en-CA"/>
        </w:rPr>
        <w:t xml:space="preserve"> </w:t>
      </w:r>
      <w:r w:rsidRPr="00A37102">
        <w:rPr>
          <w:rFonts w:ascii="Book Antiqua" w:hAnsi="Book Antiqua"/>
          <w:color w:val="000000"/>
          <w:sz w:val="24"/>
          <w:szCs w:val="24"/>
          <w:lang w:val="en-CA" w:eastAsia="zh-CN"/>
        </w:rPr>
        <w:t xml:space="preserve">the </w:t>
      </w:r>
      <w:r w:rsidRPr="00A37102">
        <w:rPr>
          <w:rFonts w:ascii="Book Antiqua" w:hAnsi="Book Antiqua"/>
          <w:color w:val="000000"/>
          <w:sz w:val="24"/>
          <w:szCs w:val="24"/>
          <w:lang w:val="en-CA"/>
        </w:rPr>
        <w:t>study</w:t>
      </w:r>
      <w:r w:rsidRPr="00A37102">
        <w:rPr>
          <w:rFonts w:ascii="Book Antiqua" w:hAnsi="Book Antiqua"/>
          <w:color w:val="000000"/>
          <w:sz w:val="24"/>
          <w:szCs w:val="24"/>
          <w:lang w:eastAsia="zh-CN"/>
        </w:rPr>
        <w:t xml:space="preserve"> and </w:t>
      </w:r>
      <w:r w:rsidRPr="00A37102">
        <w:rPr>
          <w:rFonts w:ascii="Book Antiqua" w:hAnsi="Book Antiqua"/>
          <w:color w:val="000000"/>
          <w:sz w:val="24"/>
          <w:szCs w:val="24"/>
          <w:lang w:val="en-CA"/>
        </w:rPr>
        <w:t>review</w:t>
      </w:r>
      <w:r w:rsidRPr="00A37102">
        <w:rPr>
          <w:rFonts w:ascii="Book Antiqua" w:hAnsi="Book Antiqua"/>
          <w:color w:val="000000"/>
          <w:sz w:val="24"/>
          <w:szCs w:val="24"/>
          <w:lang w:val="en-CA" w:eastAsia="zh-CN"/>
        </w:rPr>
        <w:t>ed</w:t>
      </w:r>
      <w:r w:rsidRPr="00A37102">
        <w:rPr>
          <w:rFonts w:ascii="Book Antiqua" w:hAnsi="Book Antiqua"/>
          <w:color w:val="000000"/>
          <w:sz w:val="24"/>
          <w:szCs w:val="24"/>
          <w:lang w:val="en-CA"/>
        </w:rPr>
        <w:t xml:space="preserve"> the manuscript</w:t>
      </w:r>
      <w:r w:rsidRPr="00A37102">
        <w:rPr>
          <w:rFonts w:ascii="Book Antiqua" w:hAnsi="Book Antiqua"/>
          <w:color w:val="000000"/>
          <w:sz w:val="24"/>
          <w:szCs w:val="24"/>
          <w:lang w:val="en-CA" w:eastAsia="zh-CN"/>
        </w:rPr>
        <w:t>.</w:t>
      </w:r>
    </w:p>
    <w:p w:rsidR="00DE6C05" w:rsidRPr="00A37102" w:rsidRDefault="00DE6C05" w:rsidP="00B343A9">
      <w:pPr>
        <w:spacing w:after="0" w:line="360" w:lineRule="auto"/>
        <w:jc w:val="both"/>
        <w:rPr>
          <w:rFonts w:ascii="Book Antiqua" w:hAnsi="Book Antiqua"/>
          <w:color w:val="000000"/>
          <w:sz w:val="24"/>
          <w:szCs w:val="24"/>
          <w:rtl/>
          <w:lang w:val="en-CA"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b/>
          <w:color w:val="000000"/>
          <w:sz w:val="24"/>
          <w:szCs w:val="24"/>
        </w:rPr>
        <w:t>Correspondence to:</w:t>
      </w:r>
      <w:r w:rsidRPr="00A37102">
        <w:rPr>
          <w:rFonts w:ascii="Book Antiqua" w:hAnsi="Book Antiqua"/>
          <w:b/>
          <w:color w:val="000000"/>
          <w:sz w:val="24"/>
          <w:szCs w:val="24"/>
          <w:lang w:eastAsia="zh-CN"/>
        </w:rPr>
        <w:t xml:space="preserve"> </w:t>
      </w:r>
      <w:r w:rsidRPr="00A37102">
        <w:rPr>
          <w:rFonts w:ascii="Book Antiqua" w:hAnsi="Book Antiqua"/>
          <w:b/>
          <w:color w:val="000000"/>
          <w:sz w:val="24"/>
          <w:szCs w:val="24"/>
        </w:rPr>
        <w:t>Dr</w:t>
      </w:r>
      <w:r w:rsidRPr="00A37102">
        <w:rPr>
          <w:rFonts w:ascii="Book Antiqua" w:hAnsi="Book Antiqua"/>
          <w:b/>
          <w:color w:val="000000"/>
          <w:sz w:val="24"/>
          <w:szCs w:val="24"/>
          <w:lang w:eastAsia="zh-CN"/>
        </w:rPr>
        <w:t>.</w:t>
      </w:r>
      <w:r w:rsidRPr="00A37102">
        <w:rPr>
          <w:rFonts w:ascii="Book Antiqua" w:hAnsi="Book Antiqua"/>
          <w:b/>
          <w:color w:val="000000"/>
          <w:sz w:val="24"/>
          <w:szCs w:val="24"/>
        </w:rPr>
        <w:t xml:space="preserve"> Uri Kopylov,</w:t>
      </w:r>
      <w:r w:rsidRPr="00A37102">
        <w:rPr>
          <w:rFonts w:ascii="Book Antiqua" w:hAnsi="Book Antiqua"/>
          <w:color w:val="000000"/>
          <w:sz w:val="24"/>
          <w:szCs w:val="24"/>
        </w:rPr>
        <w:t xml:space="preserve"> Division of Gastroenterology, McGill University Health Center, Montreal, 16</w:t>
      </w:r>
      <w:r w:rsidRPr="00A37102">
        <w:rPr>
          <w:rFonts w:ascii="Book Antiqua" w:hAnsi="Book Antiqua"/>
          <w:color w:val="000000"/>
          <w:sz w:val="24"/>
          <w:szCs w:val="24"/>
          <w:lang w:eastAsia="zh-CN"/>
        </w:rPr>
        <w:t>5</w:t>
      </w:r>
      <w:r w:rsidRPr="00A37102">
        <w:rPr>
          <w:rFonts w:ascii="Book Antiqua" w:hAnsi="Book Antiqua"/>
          <w:color w:val="000000"/>
          <w:sz w:val="24"/>
          <w:szCs w:val="24"/>
        </w:rPr>
        <w:t>0 Cedar Avenue, Quebec H3T 1E2, Canada</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ukopylov@gmail.com</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rtl/>
          <w:lang w:val="en-CA" w:eastAsia="zh-CN"/>
        </w:rPr>
      </w:pPr>
      <w:r w:rsidRPr="00A37102">
        <w:rPr>
          <w:rFonts w:ascii="Book Antiqua" w:hAnsi="Book Antiqua"/>
          <w:b/>
          <w:sz w:val="24"/>
        </w:rPr>
        <w:t>Telephone:</w:t>
      </w:r>
      <w:r w:rsidRPr="00A37102">
        <w:rPr>
          <w:rFonts w:ascii="Book Antiqua" w:hAnsi="Book Antiqua"/>
          <w:b/>
          <w:color w:val="000000"/>
          <w:sz w:val="24"/>
          <w:szCs w:val="24"/>
          <w:lang w:eastAsia="zh-CN"/>
        </w:rPr>
        <w:t xml:space="preserve"> </w:t>
      </w:r>
      <w:bookmarkStart w:id="6" w:name="OLE_LINK3"/>
      <w:bookmarkStart w:id="7" w:name="OLE_LINK4"/>
      <w:r w:rsidRPr="00A37102">
        <w:rPr>
          <w:rFonts w:ascii="Book Antiqua" w:hAnsi="Book Antiqua"/>
          <w:color w:val="000000"/>
          <w:sz w:val="24"/>
          <w:szCs w:val="24"/>
          <w:lang w:eastAsia="zh-CN"/>
        </w:rPr>
        <w:t>+</w:t>
      </w:r>
      <w:r w:rsidRPr="00A37102">
        <w:rPr>
          <w:rFonts w:ascii="Book Antiqua" w:hAnsi="Book Antiqua"/>
          <w:color w:val="000000"/>
          <w:sz w:val="24"/>
          <w:szCs w:val="24"/>
        </w:rPr>
        <w:t>1</w:t>
      </w:r>
      <w:bookmarkEnd w:id="6"/>
      <w:bookmarkEnd w:id="7"/>
      <w:r w:rsidRPr="00A37102">
        <w:rPr>
          <w:rFonts w:ascii="Book Antiqua" w:hAnsi="Book Antiqua"/>
          <w:color w:val="000000"/>
          <w:sz w:val="24"/>
          <w:szCs w:val="24"/>
        </w:rPr>
        <w:t>-514-3779356</w:t>
      </w:r>
      <w:r w:rsidRPr="00A37102">
        <w:rPr>
          <w:rFonts w:ascii="Book Antiqua" w:hAnsi="Book Antiqua"/>
          <w:color w:val="000000"/>
          <w:sz w:val="24"/>
          <w:szCs w:val="24"/>
          <w:lang w:eastAsia="zh-CN"/>
        </w:rPr>
        <w:t xml:space="preserve">   </w:t>
      </w:r>
      <w:r w:rsidRPr="00A37102">
        <w:rPr>
          <w:rFonts w:ascii="Book Antiqua" w:hAnsi="Book Antiqua"/>
          <w:b/>
          <w:sz w:val="24"/>
        </w:rPr>
        <w:t xml:space="preserve">Fax: </w:t>
      </w:r>
      <w:r w:rsidRPr="00A37102">
        <w:rPr>
          <w:rFonts w:ascii="Book Antiqua" w:hAnsi="Book Antiqua"/>
          <w:color w:val="000000"/>
          <w:sz w:val="24"/>
          <w:szCs w:val="24"/>
          <w:lang w:eastAsia="zh-CN"/>
        </w:rPr>
        <w:t>+</w:t>
      </w:r>
      <w:r w:rsidRPr="00A37102">
        <w:rPr>
          <w:rFonts w:ascii="Book Antiqua" w:hAnsi="Book Antiqua"/>
          <w:color w:val="000000"/>
          <w:sz w:val="24"/>
          <w:szCs w:val="24"/>
        </w:rPr>
        <w:t>1</w:t>
      </w:r>
      <w:r w:rsidRPr="00A37102">
        <w:rPr>
          <w:rFonts w:ascii="Book Antiqua" w:hAnsi="Book Antiqua"/>
          <w:color w:val="000000"/>
          <w:sz w:val="24"/>
          <w:szCs w:val="24"/>
          <w:lang w:eastAsia="zh-CN"/>
        </w:rPr>
        <w:t>-</w:t>
      </w:r>
      <w:hyperlink r:id="rId8" w:tgtFrame="_blank" w:history="1">
        <w:r w:rsidRPr="00A37102">
          <w:rPr>
            <w:rStyle w:val="a3"/>
            <w:rFonts w:ascii="Book Antiqua" w:hAnsi="Book Antiqua" w:cs="Arial"/>
            <w:color w:val="000000"/>
            <w:sz w:val="24"/>
            <w:szCs w:val="24"/>
            <w:u w:val="none"/>
          </w:rPr>
          <w:t>514-9348321</w:t>
        </w:r>
      </w:hyperlink>
    </w:p>
    <w:p w:rsidR="00DE6C05" w:rsidRPr="00A37102" w:rsidRDefault="00DE6C05" w:rsidP="00B343A9">
      <w:pPr>
        <w:spacing w:after="0" w:line="360" w:lineRule="auto"/>
        <w:jc w:val="both"/>
        <w:rPr>
          <w:rFonts w:ascii="Book Antiqua" w:hAnsi="Book Antiqua"/>
          <w:b/>
          <w:color w:val="000000"/>
          <w:sz w:val="24"/>
          <w:szCs w:val="24"/>
          <w:lang w:eastAsia="zh-CN"/>
        </w:rPr>
      </w:pPr>
      <w:r w:rsidRPr="00A37102">
        <w:rPr>
          <w:rFonts w:ascii="Book Antiqua" w:hAnsi="Book Antiqua"/>
          <w:b/>
          <w:color w:val="000000"/>
          <w:sz w:val="24"/>
          <w:szCs w:val="24"/>
        </w:rPr>
        <w:t xml:space="preserve">Received: </w:t>
      </w:r>
      <w:r w:rsidRPr="00A37102">
        <w:rPr>
          <w:rFonts w:ascii="Book Antiqua" w:hAnsi="Book Antiqua"/>
          <w:sz w:val="24"/>
        </w:rPr>
        <w:t>August</w:t>
      </w:r>
      <w:r w:rsidRPr="00A37102">
        <w:rPr>
          <w:rFonts w:ascii="Book Antiqua" w:hAnsi="Book Antiqua"/>
          <w:sz w:val="24"/>
          <w:lang w:eastAsia="zh-CN"/>
        </w:rPr>
        <w:t xml:space="preserve"> 30, 2013  </w:t>
      </w:r>
      <w:r w:rsidRPr="00A37102">
        <w:rPr>
          <w:rFonts w:ascii="Book Antiqua" w:hAnsi="Book Antiqua"/>
          <w:b/>
          <w:color w:val="000000"/>
          <w:sz w:val="24"/>
          <w:szCs w:val="24"/>
        </w:rPr>
        <w:t xml:space="preserve"> </w:t>
      </w:r>
      <w:r w:rsidRPr="00A37102">
        <w:rPr>
          <w:rFonts w:ascii="Book Antiqua" w:hAnsi="Book Antiqua"/>
          <w:b/>
          <w:color w:val="000000"/>
          <w:sz w:val="24"/>
          <w:szCs w:val="24"/>
          <w:lang w:eastAsia="zh-CN"/>
        </w:rPr>
        <w:t xml:space="preserve">  </w:t>
      </w:r>
      <w:r w:rsidRPr="00A37102">
        <w:rPr>
          <w:rFonts w:ascii="Book Antiqua" w:hAnsi="Book Antiqua"/>
          <w:b/>
          <w:color w:val="000000"/>
          <w:sz w:val="24"/>
          <w:szCs w:val="24"/>
        </w:rPr>
        <w:t xml:space="preserve">Revised: </w:t>
      </w:r>
      <w:r w:rsidRPr="00A37102">
        <w:rPr>
          <w:rFonts w:ascii="Book Antiqua" w:hAnsi="Book Antiqua"/>
          <w:sz w:val="24"/>
        </w:rPr>
        <w:t>December</w:t>
      </w:r>
      <w:r w:rsidRPr="00A37102">
        <w:rPr>
          <w:rFonts w:ascii="Book Antiqua" w:hAnsi="Book Antiqua"/>
          <w:sz w:val="24"/>
          <w:lang w:eastAsia="zh-CN"/>
        </w:rPr>
        <w:t xml:space="preserve"> 22, 2013</w:t>
      </w:r>
    </w:p>
    <w:p w:rsidR="00651CA8" w:rsidRPr="00647132" w:rsidRDefault="00DE6C05" w:rsidP="00651CA8">
      <w:pPr>
        <w:rPr>
          <w:rFonts w:ascii="Book Antiqua" w:hAnsi="Book Antiqua"/>
          <w:sz w:val="24"/>
          <w:szCs w:val="24"/>
        </w:rPr>
      </w:pPr>
      <w:r w:rsidRPr="00A37102">
        <w:rPr>
          <w:rFonts w:ascii="Book Antiqua" w:hAnsi="Book Antiqua"/>
          <w:b/>
          <w:color w:val="000000"/>
          <w:sz w:val="24"/>
          <w:szCs w:val="24"/>
        </w:rPr>
        <w:t>Accepted:</w:t>
      </w:r>
      <w:r w:rsidR="00651CA8" w:rsidRPr="00651CA8">
        <w:rPr>
          <w:rFonts w:ascii="Book Antiqua" w:hAnsi="Book Antiqua"/>
          <w:sz w:val="24"/>
          <w:szCs w:val="24"/>
        </w:rPr>
        <w:t xml:space="preserve"> </w:t>
      </w:r>
      <w:r w:rsidR="00651CA8" w:rsidRPr="00647132">
        <w:rPr>
          <w:rFonts w:ascii="Book Antiqua" w:hAnsi="Book Antiqua"/>
          <w:sz w:val="24"/>
          <w:szCs w:val="24"/>
        </w:rPr>
        <w:t>January 8, 2014</w:t>
      </w:r>
    </w:p>
    <w:p w:rsidR="00DE6C05" w:rsidRPr="00A37102" w:rsidRDefault="00DE6C05" w:rsidP="00B343A9">
      <w:pPr>
        <w:spacing w:after="0" w:line="360" w:lineRule="auto"/>
        <w:jc w:val="both"/>
        <w:rPr>
          <w:rFonts w:ascii="Book Antiqua" w:hAnsi="Book Antiqua"/>
          <w:b/>
          <w:color w:val="000000"/>
          <w:sz w:val="24"/>
          <w:szCs w:val="24"/>
          <w:lang w:eastAsia="zh-CN"/>
        </w:rPr>
      </w:pPr>
      <w:bookmarkStart w:id="8" w:name="_GoBack"/>
      <w:bookmarkEnd w:id="8"/>
    </w:p>
    <w:p w:rsidR="00DE6C05" w:rsidRPr="00A37102" w:rsidRDefault="00DE6C05" w:rsidP="00B343A9">
      <w:pPr>
        <w:spacing w:after="0" w:line="360" w:lineRule="auto"/>
        <w:jc w:val="both"/>
        <w:rPr>
          <w:rFonts w:ascii="Book Antiqua" w:hAnsi="Book Antiqua"/>
          <w:b/>
          <w:color w:val="000000"/>
          <w:sz w:val="24"/>
          <w:szCs w:val="24"/>
          <w:lang w:eastAsia="zh-CN"/>
        </w:rPr>
      </w:pPr>
      <w:r w:rsidRPr="00A37102">
        <w:rPr>
          <w:rFonts w:ascii="Book Antiqua" w:hAnsi="Book Antiqua"/>
          <w:b/>
          <w:color w:val="000000"/>
          <w:sz w:val="24"/>
          <w:szCs w:val="24"/>
        </w:rPr>
        <w:t>Published online:</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b/>
          <w:caps/>
          <w:color w:val="000000"/>
          <w:sz w:val="24"/>
          <w:szCs w:val="24"/>
          <w:rtl/>
        </w:rPr>
      </w:pPr>
      <w:r w:rsidRPr="00A37102">
        <w:rPr>
          <w:rFonts w:ascii="Book Antiqua" w:hAnsi="Book Antiqua"/>
          <w:b/>
          <w:caps/>
          <w:color w:val="000000"/>
          <w:sz w:val="24"/>
          <w:szCs w:val="24"/>
        </w:rPr>
        <w:t>A</w:t>
      </w:r>
      <w:r w:rsidRPr="00A37102">
        <w:rPr>
          <w:rFonts w:ascii="Book Antiqua" w:hAnsi="Book Antiqua"/>
          <w:b/>
          <w:color w:val="000000"/>
          <w:sz w:val="24"/>
          <w:szCs w:val="24"/>
        </w:rPr>
        <w:t>bstract</w:t>
      </w: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b/>
          <w:color w:val="000000"/>
          <w:sz w:val="24"/>
          <w:szCs w:val="24"/>
        </w:rPr>
        <w:t>AIM:</w:t>
      </w:r>
      <w:r w:rsidRPr="00A37102">
        <w:rPr>
          <w:rFonts w:ascii="Book Antiqua" w:hAnsi="Book Antiqua"/>
          <w:b/>
          <w:color w:val="000000"/>
          <w:sz w:val="24"/>
          <w:szCs w:val="24"/>
          <w:lang w:eastAsia="zh-CN"/>
        </w:rPr>
        <w:t xml:space="preserve"> </w:t>
      </w:r>
      <w:r w:rsidRPr="00A37102">
        <w:rPr>
          <w:rFonts w:ascii="Book Antiqua" w:hAnsi="Book Antiqua"/>
          <w:caps/>
          <w:color w:val="000000"/>
          <w:sz w:val="24"/>
          <w:szCs w:val="24"/>
        </w:rPr>
        <w:t>t</w:t>
      </w:r>
      <w:r w:rsidRPr="00A37102">
        <w:rPr>
          <w:rFonts w:ascii="Book Antiqua" w:hAnsi="Book Antiqua"/>
          <w:color w:val="000000"/>
          <w:sz w:val="24"/>
          <w:szCs w:val="24"/>
        </w:rPr>
        <w:t xml:space="preserve">o evaluate the impact of antiviral treatment on </w:t>
      </w:r>
      <w:bookmarkStart w:id="9" w:name="OLE_LINK17"/>
      <w:bookmarkStart w:id="10" w:name="OLE_LINK18"/>
      <w:r w:rsidRPr="00A37102">
        <w:rPr>
          <w:rFonts w:ascii="Book Antiqua" w:hAnsi="Book Antiqua"/>
          <w:color w:val="000000"/>
          <w:sz w:val="24"/>
          <w:szCs w:val="24"/>
        </w:rPr>
        <w:t>cytomegalovirus (CMV)</w:t>
      </w:r>
      <w:bookmarkEnd w:id="9"/>
      <w:bookmarkEnd w:id="10"/>
      <w:r w:rsidRPr="00A37102">
        <w:rPr>
          <w:rFonts w:ascii="Book Antiqua" w:hAnsi="Book Antiqua"/>
          <w:color w:val="000000"/>
          <w:sz w:val="24"/>
          <w:szCs w:val="24"/>
        </w:rPr>
        <w:t>-positive ulcerative colitis patients.</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b/>
          <w:color w:val="000000"/>
          <w:sz w:val="24"/>
          <w:szCs w:val="24"/>
        </w:rPr>
        <w:t>METHODS:</w:t>
      </w:r>
      <w:r w:rsidRPr="00A37102">
        <w:rPr>
          <w:rFonts w:ascii="Book Antiqua" w:hAnsi="Book Antiqua"/>
          <w:color w:val="000000"/>
          <w:sz w:val="24"/>
          <w:szCs w:val="24"/>
        </w:rPr>
        <w:t xml:space="preserve"> We performed a systematic review and meta-analysis (MA) of comparative cohort and case-control studies published between January 1966 and March 2013. Studies focusing on colectomy series and studies including only less than 3 patients in the treated or non-treated arm were excluded. The primary outcome was colectomy within 30 days of diagnosis. Secondary outcomes included colectomy during the follow-up period Subgroup analyses by method of detection of CMV, study design, risk of bias and country of origin were performed Quality of studies was evaluated according to modified New-Castle Ottawa Scale.</w:t>
      </w:r>
    </w:p>
    <w:p w:rsidR="00DE6C05" w:rsidRPr="00A37102" w:rsidRDefault="00DE6C05" w:rsidP="00B343A9">
      <w:pPr>
        <w:spacing w:after="0" w:line="360" w:lineRule="auto"/>
        <w:jc w:val="both"/>
        <w:rPr>
          <w:rFonts w:ascii="Book Antiqua" w:hAnsi="Book Antiqua"/>
          <w:b/>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b/>
          <w:color w:val="000000"/>
          <w:sz w:val="24"/>
          <w:szCs w:val="24"/>
        </w:rPr>
        <w:t>RESULTS:</w:t>
      </w:r>
      <w:r w:rsidRPr="00A37102">
        <w:rPr>
          <w:rFonts w:ascii="Book Antiqua" w:hAnsi="Book Antiqua"/>
          <w:color w:val="000000"/>
          <w:sz w:val="24"/>
          <w:szCs w:val="24"/>
        </w:rPr>
        <w:t xml:space="preserve"> A</w:t>
      </w:r>
      <w:r w:rsidRPr="00A37102">
        <w:rPr>
          <w:rFonts w:ascii="Book Antiqua" w:hAnsi="Book Antiqua"/>
          <w:color w:val="000000"/>
          <w:sz w:val="24"/>
          <w:szCs w:val="24"/>
          <w:lang w:val="en-CA"/>
        </w:rPr>
        <w:t>fter full-text review,</w:t>
      </w:r>
      <w:r>
        <w:rPr>
          <w:rFonts w:ascii="Book Antiqua" w:hAnsi="Book Antiqua"/>
          <w:color w:val="000000"/>
          <w:sz w:val="24"/>
          <w:szCs w:val="24"/>
          <w:lang w:val="en-CA"/>
        </w:rPr>
        <w:t xml:space="preserve"> </w:t>
      </w:r>
      <w:r w:rsidRPr="00A37102">
        <w:rPr>
          <w:rFonts w:ascii="Book Antiqua" w:hAnsi="Book Antiqua"/>
          <w:color w:val="000000"/>
          <w:sz w:val="24"/>
          <w:szCs w:val="24"/>
          <w:lang w:val="en-CA"/>
        </w:rPr>
        <w:t>n</w:t>
      </w:r>
      <w:r w:rsidRPr="00A37102">
        <w:rPr>
          <w:rFonts w:ascii="Book Antiqua" w:hAnsi="Book Antiqua"/>
          <w:color w:val="000000"/>
          <w:sz w:val="24"/>
          <w:szCs w:val="24"/>
        </w:rPr>
        <w:t>ine studies with a total of 176 patients were included in our MA. All the included studies were of low to moderate quality.</w:t>
      </w:r>
      <w:r>
        <w:rPr>
          <w:rFonts w:ascii="Book Antiqua" w:hAnsi="Book Antiqua"/>
          <w:color w:val="000000"/>
          <w:sz w:val="24"/>
          <w:szCs w:val="24"/>
        </w:rPr>
        <w:t xml:space="preserve"> </w:t>
      </w:r>
      <w:r w:rsidRPr="00A37102">
        <w:rPr>
          <w:rFonts w:ascii="Book Antiqua" w:hAnsi="Book Antiqua"/>
          <w:color w:val="000000"/>
          <w:sz w:val="24"/>
          <w:szCs w:val="24"/>
        </w:rPr>
        <w:t xml:space="preserve">Patients who have received antiviral treatment had a higher risk of 30-d colectomy </w:t>
      </w:r>
      <w:r w:rsidRPr="00A37102">
        <w:rPr>
          <w:rFonts w:ascii="Book Antiqua" w:hAnsi="Book Antiqua"/>
          <w:color w:val="000000"/>
          <w:sz w:val="24"/>
          <w:szCs w:val="24"/>
          <w:lang w:eastAsia="zh-CN"/>
        </w:rPr>
        <w:t>[</w:t>
      </w:r>
      <w:r w:rsidRPr="00A37102">
        <w:rPr>
          <w:rFonts w:ascii="Book Antiqua" w:hAnsi="Book Antiqua"/>
          <w:color w:val="000000"/>
          <w:sz w:val="24"/>
          <w:szCs w:val="24"/>
        </w:rPr>
        <w:t>odds ratio (OR)</w:t>
      </w:r>
      <w:r w:rsidRPr="00A37102">
        <w:rPr>
          <w:rFonts w:ascii="Book Antiqua" w:hAnsi="Book Antiqua"/>
          <w:color w:val="000000"/>
          <w:sz w:val="24"/>
          <w:szCs w:val="24"/>
          <w:lang w:eastAsia="zh-CN"/>
        </w:rPr>
        <w:t xml:space="preserve"> = </w:t>
      </w:r>
      <w:r w:rsidRPr="00A37102">
        <w:rPr>
          <w:rFonts w:ascii="Book Antiqua" w:hAnsi="Book Antiqua"/>
          <w:color w:val="000000"/>
          <w:sz w:val="24"/>
          <w:szCs w:val="24"/>
        </w:rPr>
        <w:t>2.40</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95%</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confidence intervals (CI)</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1.05-5.50</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i/>
          <w:color w:val="000000"/>
          <w:sz w:val="24"/>
          <w:szCs w:val="24"/>
        </w:rPr>
        <w:t>I</w:t>
      </w:r>
      <w:r w:rsidRPr="00A37102">
        <w:rPr>
          <w:rFonts w:ascii="Book Antiqua" w:hAnsi="Book Antiqua"/>
          <w:i/>
          <w:color w:val="000000"/>
          <w:sz w:val="24"/>
          <w:szCs w:val="24"/>
          <w:vertAlign w:val="superscript"/>
        </w:rPr>
        <w:t>2</w:t>
      </w:r>
      <w:r w:rsidRPr="00A37102">
        <w:rPr>
          <w:rFonts w:ascii="Book Antiqua" w:hAnsi="Book Antiqua"/>
          <w:i/>
          <w:color w:val="000000"/>
          <w:sz w:val="24"/>
          <w:szCs w:val="24"/>
          <w:vertAlign w:val="superscript"/>
          <w:lang w:eastAsia="zh-CN"/>
        </w:rPr>
        <w:t xml:space="preserve"> </w:t>
      </w:r>
      <w:r w:rsidRPr="00A37102">
        <w:rPr>
          <w:rFonts w:ascii="Book Antiqua" w:hAnsi="Book Antiqua"/>
          <w:color w:val="000000"/>
          <w:sz w:val="24"/>
          <w:szCs w:val="24"/>
        </w:rPr>
        <w:t>=</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37.2%</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A subgroup analysis including only patients in whom CMV diagnosis was based did not demonstrate a significant </w:t>
      </w:r>
      <w:r w:rsidRPr="00A37102">
        <w:rPr>
          <w:rFonts w:ascii="Book Antiqua" w:hAnsi="Book Antiqua"/>
          <w:color w:val="000000"/>
          <w:sz w:val="24"/>
          <w:szCs w:val="24"/>
        </w:rPr>
        <w:lastRenderedPageBreak/>
        <w:t>difference between the groups (</w:t>
      </w:r>
      <w:r w:rsidRPr="00A37102">
        <w:rPr>
          <w:rFonts w:ascii="Book Antiqua" w:hAnsi="Book Antiqua" w:cs="AdvP6975"/>
          <w:color w:val="000000"/>
          <w:sz w:val="24"/>
          <w:szCs w:val="24"/>
        </w:rPr>
        <w:t>OR</w:t>
      </w:r>
      <w:r w:rsidRPr="00A37102">
        <w:rPr>
          <w:rFonts w:ascii="Book Antiqua" w:hAnsi="Book Antiqua" w:cs="AdvP6975"/>
          <w:color w:val="000000"/>
          <w:sz w:val="24"/>
          <w:szCs w:val="24"/>
          <w:lang w:eastAsia="zh-CN"/>
        </w:rPr>
        <w:t xml:space="preserve"> = </w:t>
      </w:r>
      <w:r w:rsidRPr="00A37102">
        <w:rPr>
          <w:rFonts w:ascii="Book Antiqua" w:hAnsi="Book Antiqua" w:cs="AdvP6975"/>
          <w:color w:val="000000"/>
          <w:sz w:val="24"/>
          <w:szCs w:val="24"/>
        </w:rPr>
        <w:t>3.41</w:t>
      </w:r>
      <w:r w:rsidRPr="00A37102">
        <w:rPr>
          <w:rFonts w:ascii="Book Antiqua" w:hAnsi="Book Antiqua" w:cs="AdvP6975"/>
          <w:color w:val="000000"/>
          <w:sz w:val="24"/>
          <w:szCs w:val="24"/>
          <w:lang w:eastAsia="zh-CN"/>
        </w:rPr>
        <w:t>;</w:t>
      </w:r>
      <w:r w:rsidRPr="00A37102">
        <w:rPr>
          <w:rFonts w:ascii="Book Antiqua" w:hAnsi="Book Antiqua" w:cs="AdvP6975"/>
          <w:color w:val="000000"/>
          <w:sz w:val="24"/>
          <w:szCs w:val="24"/>
        </w:rPr>
        <w:t xml:space="preserve"> 95%CI</w:t>
      </w:r>
      <w:r w:rsidRPr="00A37102">
        <w:rPr>
          <w:rFonts w:ascii="Book Antiqua" w:hAnsi="Book Antiqua" w:cs="AdvP6975"/>
          <w:color w:val="000000"/>
          <w:sz w:val="24"/>
          <w:szCs w:val="24"/>
          <w:lang w:eastAsia="zh-CN"/>
        </w:rPr>
        <w:t>:</w:t>
      </w:r>
      <w:r w:rsidRPr="00A37102">
        <w:rPr>
          <w:rFonts w:ascii="Book Antiqua" w:hAnsi="Book Antiqua" w:cs="AdvP6975"/>
          <w:color w:val="000000"/>
          <w:sz w:val="24"/>
          <w:szCs w:val="24"/>
        </w:rPr>
        <w:t xml:space="preserve"> 0. 39-29.83</w:t>
      </w:r>
      <w:r w:rsidRPr="00A37102">
        <w:rPr>
          <w:rFonts w:ascii="Book Antiqua" w:hAnsi="Book Antiqua" w:cs="AdvP6975"/>
          <w:color w:val="000000"/>
          <w:sz w:val="24"/>
          <w:szCs w:val="24"/>
          <w:lang w:eastAsia="zh-CN"/>
        </w:rPr>
        <w:t>;</w:t>
      </w:r>
      <w:r w:rsidRPr="00A37102">
        <w:rPr>
          <w:rFonts w:ascii="Book Antiqua" w:hAnsi="Book Antiqua" w:cs="AdvP6975"/>
          <w:color w:val="000000"/>
          <w:sz w:val="24"/>
          <w:szCs w:val="24"/>
        </w:rPr>
        <w:t xml:space="preserve"> </w:t>
      </w:r>
      <w:r w:rsidRPr="00A37102">
        <w:rPr>
          <w:rFonts w:ascii="Book Antiqua" w:hAnsi="Book Antiqua" w:cs="AdvP6975"/>
          <w:i/>
          <w:color w:val="000000"/>
          <w:sz w:val="24"/>
          <w:szCs w:val="24"/>
        </w:rPr>
        <w:t>I</w:t>
      </w:r>
      <w:r w:rsidRPr="00A37102">
        <w:rPr>
          <w:rFonts w:ascii="Book Antiqua" w:hAnsi="Book Antiqua" w:cs="AdvP6975"/>
          <w:i/>
          <w:color w:val="000000"/>
          <w:sz w:val="24"/>
          <w:szCs w:val="24"/>
          <w:vertAlign w:val="superscript"/>
        </w:rPr>
        <w:t>2</w:t>
      </w:r>
      <w:r w:rsidRPr="00A37102">
        <w:rPr>
          <w:rFonts w:ascii="Book Antiqua" w:hAnsi="Book Antiqua" w:cs="AdvP6975"/>
          <w:i/>
          <w:color w:val="000000"/>
          <w:sz w:val="24"/>
          <w:szCs w:val="24"/>
          <w:vertAlign w:val="superscript"/>
          <w:lang w:eastAsia="zh-CN"/>
        </w:rPr>
        <w:t xml:space="preserve"> </w:t>
      </w:r>
      <w:r w:rsidRPr="00A37102">
        <w:rPr>
          <w:rFonts w:ascii="Book Antiqua" w:hAnsi="Book Antiqua" w:cs="AdvP6975"/>
          <w:color w:val="000000"/>
          <w:sz w:val="24"/>
          <w:szCs w:val="24"/>
        </w:rPr>
        <w:t>=</w:t>
      </w:r>
      <w:r w:rsidRPr="00A37102">
        <w:rPr>
          <w:rFonts w:ascii="Book Antiqua" w:hAnsi="Book Antiqua" w:cs="AdvP6975"/>
          <w:color w:val="000000"/>
          <w:sz w:val="24"/>
          <w:szCs w:val="24"/>
          <w:lang w:eastAsia="zh-CN"/>
        </w:rPr>
        <w:t xml:space="preserve"> </w:t>
      </w:r>
      <w:r w:rsidRPr="00A37102">
        <w:rPr>
          <w:rFonts w:ascii="Book Antiqua" w:hAnsi="Book Antiqua" w:cs="AdvP6975"/>
          <w:color w:val="000000"/>
          <w:sz w:val="24"/>
          <w:szCs w:val="24"/>
        </w:rPr>
        <w:t>56.9%).</w:t>
      </w:r>
      <w:r w:rsidRPr="00A37102">
        <w:rPr>
          <w:rFonts w:ascii="Book Antiqua" w:hAnsi="Book Antiqua"/>
          <w:color w:val="000000"/>
          <w:sz w:val="24"/>
          <w:szCs w:val="24"/>
        </w:rPr>
        <w:t xml:space="preserve"> Analysis of long-term colectomy rates was possible for 6 studies including 110 patients. No statistically significant difference was found between the treated and untreated groups (OR</w:t>
      </w:r>
      <w:r w:rsidRPr="00A37102">
        <w:rPr>
          <w:rFonts w:ascii="Book Antiqua" w:hAnsi="Book Antiqua"/>
          <w:color w:val="000000"/>
          <w:sz w:val="24"/>
          <w:szCs w:val="24"/>
          <w:lang w:eastAsia="zh-CN"/>
        </w:rPr>
        <w:t xml:space="preserve"> = </w:t>
      </w:r>
      <w:r w:rsidRPr="00A37102">
        <w:rPr>
          <w:rFonts w:ascii="Book Antiqua" w:hAnsi="Book Antiqua"/>
          <w:color w:val="000000"/>
          <w:sz w:val="24"/>
          <w:szCs w:val="24"/>
        </w:rPr>
        <w:t>1.71</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95%CI</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0.71-4.13</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6 studies, </w:t>
      </w:r>
      <w:r w:rsidRPr="00A37102">
        <w:rPr>
          <w:rFonts w:ascii="Book Antiqua" w:hAnsi="Book Antiqua"/>
          <w:i/>
          <w:color w:val="000000"/>
          <w:sz w:val="24"/>
          <w:szCs w:val="24"/>
        </w:rPr>
        <w:t>I</w:t>
      </w:r>
      <w:r w:rsidRPr="00A37102">
        <w:rPr>
          <w:rFonts w:ascii="Book Antiqua" w:hAnsi="Book Antiqua"/>
          <w:i/>
          <w:color w:val="000000"/>
          <w:sz w:val="24"/>
          <w:szCs w:val="24"/>
          <w:vertAlign w:val="superscript"/>
        </w:rPr>
        <w:t>2</w:t>
      </w:r>
      <w:r w:rsidRPr="00A37102">
        <w:rPr>
          <w:rFonts w:ascii="Book Antiqua" w:hAnsi="Book Antiqua"/>
          <w:color w:val="000000"/>
          <w:sz w:val="24"/>
          <w:szCs w:val="24"/>
          <w:vertAlign w:val="superscript"/>
          <w:lang w:eastAsia="zh-CN"/>
        </w:rPr>
        <w:t xml:space="preserve"> </w:t>
      </w:r>
      <w:r w:rsidRPr="00A37102">
        <w:rPr>
          <w:rFonts w:ascii="Book Antiqua" w:hAnsi="Book Antiqua"/>
          <w:color w:val="000000"/>
          <w:sz w:val="24"/>
          <w:szCs w:val="24"/>
        </w:rPr>
        <w:t>=</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0%). Analysis of mortality rate was not possible due to a very limited number of cases. Stratification of the outcomes by disease severity was not possible.</w:t>
      </w:r>
    </w:p>
    <w:p w:rsidR="00DE6C05" w:rsidRPr="00A37102" w:rsidRDefault="00DE6C05" w:rsidP="00B343A9">
      <w:pPr>
        <w:spacing w:after="0" w:line="360" w:lineRule="auto"/>
        <w:jc w:val="both"/>
        <w:rPr>
          <w:rFonts w:ascii="Book Antiqua" w:hAnsi="Book Antiqua"/>
          <w:b/>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b/>
          <w:color w:val="000000"/>
          <w:sz w:val="24"/>
          <w:szCs w:val="24"/>
        </w:rPr>
        <w:t>CONCLUSION:</w:t>
      </w:r>
      <w:r w:rsidRPr="00A37102">
        <w:rPr>
          <w:rFonts w:ascii="Book Antiqua" w:hAnsi="Book Antiqua"/>
          <w:color w:val="000000"/>
          <w:sz w:val="24"/>
          <w:szCs w:val="24"/>
        </w:rPr>
        <w:t xml:space="preserve"> No positive association between antiviral treatment and a favorable outcome was demonstrated. These findings should be interpreted cautiously due to primary studies’ quality and potential biases.</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C00CF">
      <w:pPr>
        <w:rPr>
          <w:rFonts w:ascii="Book Antiqua" w:hAnsi="Book Antiqua" w:cs="宋体"/>
          <w:color w:val="000000"/>
          <w:sz w:val="24"/>
        </w:rPr>
      </w:pPr>
      <w:r w:rsidRPr="00A37102">
        <w:rPr>
          <w:rFonts w:ascii="Book Antiqua" w:hAnsi="Book Antiqua" w:cs="Tahoma"/>
          <w:sz w:val="24"/>
          <w:lang w:eastAsia="ja-JP"/>
        </w:rPr>
        <w:t>©</w:t>
      </w:r>
      <w:r w:rsidRPr="00A37102">
        <w:rPr>
          <w:rFonts w:ascii="Book Antiqua" w:hAnsi="Book Antiqua" w:cs="Tahoma"/>
          <w:sz w:val="24"/>
        </w:rPr>
        <w:t xml:space="preserve"> </w:t>
      </w:r>
      <w:r w:rsidRPr="00A37102">
        <w:rPr>
          <w:rFonts w:ascii="Book Antiqua" w:hAnsi="Book Antiqua" w:cs="宋体"/>
          <w:color w:val="000000"/>
          <w:sz w:val="24"/>
        </w:rPr>
        <w:t>201</w:t>
      </w:r>
      <w:r>
        <w:rPr>
          <w:rFonts w:ascii="Book Antiqua" w:hAnsi="Book Antiqua" w:cs="宋体"/>
          <w:color w:val="000000"/>
          <w:sz w:val="24"/>
        </w:rPr>
        <w:t>4</w:t>
      </w:r>
      <w:r w:rsidRPr="00A37102">
        <w:rPr>
          <w:rFonts w:ascii="Book Antiqua" w:hAnsi="Book Antiqua" w:cs="宋体"/>
          <w:color w:val="000000"/>
          <w:sz w:val="24"/>
        </w:rPr>
        <w:t xml:space="preserve"> Baishideng Publishing Group Co., Limited. All rights reserved.</w:t>
      </w:r>
    </w:p>
    <w:p w:rsidR="00DE6C05" w:rsidRPr="00A37102" w:rsidRDefault="00DE6C05" w:rsidP="00B343A9">
      <w:pPr>
        <w:spacing w:after="0" w:line="360" w:lineRule="auto"/>
        <w:jc w:val="both"/>
        <w:rPr>
          <w:rFonts w:ascii="Book Antiqua" w:hAnsi="Book Antiqua"/>
          <w:b/>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b/>
          <w:color w:val="000000"/>
          <w:sz w:val="24"/>
          <w:szCs w:val="24"/>
        </w:rPr>
        <w:t>Key words:</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 xml:space="preserve">Ulcerative colitis; </w:t>
      </w:r>
      <w:r w:rsidRPr="00A37102">
        <w:rPr>
          <w:rFonts w:ascii="Book Antiqua" w:hAnsi="Book Antiqua"/>
          <w:caps/>
          <w:color w:val="000000"/>
          <w:sz w:val="24"/>
          <w:szCs w:val="24"/>
        </w:rPr>
        <w:t>c</w:t>
      </w:r>
      <w:r w:rsidRPr="00A37102">
        <w:rPr>
          <w:rFonts w:ascii="Book Antiqua" w:hAnsi="Book Antiqua"/>
          <w:color w:val="000000"/>
          <w:sz w:val="24"/>
          <w:szCs w:val="24"/>
        </w:rPr>
        <w:t xml:space="preserve">ytomegalovirus; </w:t>
      </w:r>
      <w:r w:rsidRPr="00A37102">
        <w:rPr>
          <w:rFonts w:ascii="Book Antiqua" w:hAnsi="Book Antiqua"/>
          <w:caps/>
          <w:color w:val="000000"/>
          <w:sz w:val="24"/>
          <w:szCs w:val="24"/>
        </w:rPr>
        <w:t>c</w:t>
      </w:r>
      <w:r w:rsidRPr="00A37102">
        <w:rPr>
          <w:rFonts w:ascii="Book Antiqua" w:hAnsi="Book Antiqua"/>
          <w:color w:val="000000"/>
          <w:sz w:val="24"/>
          <w:szCs w:val="24"/>
        </w:rPr>
        <w:t xml:space="preserve">olectomy; </w:t>
      </w:r>
      <w:r w:rsidRPr="00A37102">
        <w:rPr>
          <w:rFonts w:ascii="Book Antiqua" w:hAnsi="Book Antiqua"/>
          <w:caps/>
          <w:color w:val="000000"/>
          <w:sz w:val="24"/>
          <w:szCs w:val="24"/>
        </w:rPr>
        <w:t>a</w:t>
      </w:r>
      <w:r w:rsidRPr="00A37102">
        <w:rPr>
          <w:rFonts w:ascii="Book Antiqua" w:hAnsi="Book Antiqua"/>
          <w:color w:val="000000"/>
          <w:sz w:val="24"/>
          <w:szCs w:val="24"/>
        </w:rPr>
        <w:t xml:space="preserve">ntiviral treatment; </w:t>
      </w:r>
      <w:r w:rsidRPr="00A37102">
        <w:rPr>
          <w:rFonts w:ascii="Book Antiqua" w:hAnsi="Book Antiqua"/>
          <w:caps/>
          <w:color w:val="000000"/>
          <w:sz w:val="24"/>
          <w:szCs w:val="24"/>
        </w:rPr>
        <w:t>g</w:t>
      </w:r>
      <w:r w:rsidRPr="00A37102">
        <w:rPr>
          <w:rFonts w:ascii="Book Antiqua" w:hAnsi="Book Antiqua"/>
          <w:color w:val="000000"/>
          <w:sz w:val="24"/>
          <w:szCs w:val="24"/>
        </w:rPr>
        <w:t xml:space="preserve">ancyclovir; </w:t>
      </w:r>
      <w:r w:rsidRPr="00A37102">
        <w:rPr>
          <w:rFonts w:ascii="Book Antiqua" w:hAnsi="Book Antiqua"/>
          <w:caps/>
          <w:color w:val="000000"/>
          <w:sz w:val="24"/>
          <w:szCs w:val="24"/>
        </w:rPr>
        <w:t>f</w:t>
      </w:r>
      <w:r w:rsidRPr="00A37102">
        <w:rPr>
          <w:rFonts w:ascii="Book Antiqua" w:hAnsi="Book Antiqua"/>
          <w:color w:val="000000"/>
          <w:sz w:val="24"/>
          <w:szCs w:val="24"/>
        </w:rPr>
        <w:t>oscarnet</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eastAsia="Arial Unicode MS" w:hAnsi="Book Antiqua" w:cs="Arial Unicode MS"/>
          <w:b/>
          <w:color w:val="000000"/>
          <w:sz w:val="24"/>
          <w:szCs w:val="24"/>
        </w:rPr>
        <w:t xml:space="preserve">Core </w:t>
      </w:r>
      <w:r w:rsidRPr="00A37102">
        <w:rPr>
          <w:rFonts w:ascii="Book Antiqua" w:hAnsi="Book Antiqua" w:cs="Arial Unicode MS"/>
          <w:b/>
          <w:color w:val="000000"/>
          <w:sz w:val="24"/>
          <w:szCs w:val="24"/>
        </w:rPr>
        <w:t>tip</w:t>
      </w:r>
      <w:r w:rsidRPr="00A37102">
        <w:rPr>
          <w:rFonts w:ascii="Book Antiqua" w:eastAsia="Arial Unicode MS" w:hAnsi="Book Antiqua" w:cs="Arial Unicode MS"/>
          <w:b/>
          <w:color w:val="000000"/>
          <w:sz w:val="24"/>
          <w:szCs w:val="24"/>
        </w:rPr>
        <w:t>:</w:t>
      </w:r>
      <w:r w:rsidRPr="00A37102">
        <w:rPr>
          <w:rFonts w:ascii="Book Antiqua" w:eastAsia="Arial Unicode MS" w:hAnsi="Book Antiqua" w:cs="Arial Unicode MS"/>
          <w:b/>
          <w:color w:val="000000"/>
          <w:sz w:val="24"/>
          <w:szCs w:val="24"/>
          <w:lang w:eastAsia="zh-CN"/>
        </w:rPr>
        <w:t xml:space="preserve"> </w:t>
      </w:r>
      <w:r w:rsidRPr="00A37102">
        <w:rPr>
          <w:rFonts w:ascii="Book Antiqua" w:hAnsi="Book Antiqua"/>
          <w:color w:val="000000"/>
          <w:sz w:val="24"/>
          <w:szCs w:val="24"/>
        </w:rPr>
        <w:t>We have undertaken a meta-analysis of the existing literature in order to evaluate the impact of antiviral therapy on the outcome (colectomy rate) of ulcerative colitis patients with documented presence of cytomegalovirus. Nine studies of low to moderate quality with significant heterogeneity were included. Patients treated with antivirals did not have a better outcome in comparison to those who were not. These results should be interpreted with caution in view of low quality of the included studies and several potential biases. Additional high-quality studies are required to define the optimal diagnostic and therapeutic strategy for these patients</w:t>
      </w:r>
    </w:p>
    <w:p w:rsidR="00DE6C05" w:rsidRPr="00A37102" w:rsidRDefault="00DE6C05" w:rsidP="00B343A9">
      <w:pPr>
        <w:spacing w:after="0" w:line="360" w:lineRule="auto"/>
        <w:jc w:val="both"/>
        <w:rPr>
          <w:rFonts w:ascii="Book Antiqua" w:hAnsi="Book Antiqua"/>
          <w:color w:val="000000"/>
          <w:sz w:val="24"/>
          <w:szCs w:val="24"/>
          <w:lang w:val="pt-BR" w:eastAsia="zh-CN"/>
        </w:rPr>
      </w:pP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color w:val="000000"/>
          <w:sz w:val="24"/>
          <w:szCs w:val="24"/>
        </w:rPr>
        <w:t>Kopylov U, Eliakim-Raz N, Szilagy A, Seidman E, Ben-Horin S, Katz LH</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 xml:space="preserve">Antiviral therapy in cytomegalovirus-positive ulcerative colitis: </w:t>
      </w:r>
      <w:r w:rsidRPr="00A37102">
        <w:rPr>
          <w:rFonts w:ascii="Book Antiqua" w:hAnsi="Book Antiqua"/>
          <w:caps/>
          <w:color w:val="000000"/>
          <w:sz w:val="24"/>
          <w:szCs w:val="24"/>
        </w:rPr>
        <w:t>a</w:t>
      </w:r>
      <w:r w:rsidRPr="00A37102">
        <w:rPr>
          <w:rFonts w:ascii="Book Antiqua" w:hAnsi="Book Antiqua"/>
          <w:color w:val="000000"/>
          <w:sz w:val="24"/>
          <w:szCs w:val="24"/>
        </w:rPr>
        <w:t xml:space="preserve"> systematic review and meta-analysis</w:t>
      </w:r>
      <w:r w:rsidRPr="00A37102">
        <w:rPr>
          <w:rFonts w:ascii="Book Antiqua" w:hAnsi="Book Antiqua"/>
          <w:color w:val="000000"/>
          <w:sz w:val="24"/>
          <w:szCs w:val="24"/>
          <w:lang w:eastAsia="zh-CN"/>
        </w:rPr>
        <w:t xml:space="preserve">. </w:t>
      </w:r>
      <w:r w:rsidRPr="002E6684">
        <w:rPr>
          <w:rFonts w:ascii="Book Antiqua" w:hAnsi="Book Antiqua"/>
          <w:i/>
          <w:sz w:val="24"/>
        </w:rPr>
        <w:t>World J Gastroenterol</w:t>
      </w:r>
      <w:r w:rsidRPr="00A37102">
        <w:rPr>
          <w:rFonts w:ascii="Book Antiqua" w:hAnsi="Book Antiqua"/>
          <w:sz w:val="24"/>
        </w:rPr>
        <w:t xml:space="preserve"> 201</w:t>
      </w:r>
      <w:r>
        <w:rPr>
          <w:rFonts w:ascii="Book Antiqua" w:hAnsi="Book Antiqua"/>
          <w:sz w:val="24"/>
        </w:rPr>
        <w:t>4</w:t>
      </w:r>
      <w:r w:rsidRPr="00A37102">
        <w:rPr>
          <w:rFonts w:ascii="Book Antiqua" w:hAnsi="Book Antiqua"/>
          <w:sz w:val="24"/>
        </w:rPr>
        <w:t>;</w:t>
      </w:r>
    </w:p>
    <w:p w:rsidR="00DE6C05" w:rsidRPr="00A37102" w:rsidRDefault="00DE6C05" w:rsidP="00B343A9">
      <w:pPr>
        <w:spacing w:after="0" w:line="360" w:lineRule="auto"/>
        <w:jc w:val="both"/>
        <w:rPr>
          <w:rFonts w:ascii="Book Antiqua" w:hAnsi="Book Antiqua"/>
          <w:sz w:val="24"/>
        </w:rPr>
      </w:pPr>
      <w:r w:rsidRPr="00A37102">
        <w:rPr>
          <w:rFonts w:ascii="Book Antiqua" w:hAnsi="Book Antiqua"/>
          <w:b/>
          <w:sz w:val="24"/>
        </w:rPr>
        <w:t>Available from:</w:t>
      </w:r>
      <w:r w:rsidRPr="00A37102">
        <w:rPr>
          <w:rFonts w:ascii="Book Antiqua" w:hAnsi="Book Antiqua"/>
          <w:sz w:val="24"/>
        </w:rPr>
        <w:t xml:space="preserve"> URL: </w:t>
      </w:r>
    </w:p>
    <w:p w:rsidR="00DE6C05" w:rsidRPr="00A37102" w:rsidRDefault="00DE6C05" w:rsidP="00B343A9">
      <w:pPr>
        <w:spacing w:after="0" w:line="360" w:lineRule="auto"/>
        <w:jc w:val="both"/>
        <w:rPr>
          <w:rFonts w:ascii="Book Antiqua" w:hAnsi="Book Antiqua"/>
          <w:sz w:val="24"/>
          <w:lang w:val="pt-BR" w:eastAsia="zh-CN"/>
        </w:rPr>
      </w:pPr>
      <w:r w:rsidRPr="00A37102">
        <w:rPr>
          <w:rFonts w:ascii="Book Antiqua" w:hAnsi="Book Antiqua"/>
          <w:b/>
          <w:sz w:val="24"/>
          <w:lang w:val="pt-BR"/>
        </w:rPr>
        <w:lastRenderedPageBreak/>
        <w:t xml:space="preserve">DOI: </w:t>
      </w:r>
    </w:p>
    <w:p w:rsidR="00DE6C05" w:rsidRPr="00A37102" w:rsidRDefault="00DE6C05" w:rsidP="00B343A9">
      <w:pPr>
        <w:spacing w:after="0" w:line="360" w:lineRule="auto"/>
        <w:jc w:val="both"/>
        <w:rPr>
          <w:rFonts w:ascii="Book Antiqua" w:hAnsi="Book Antiqua"/>
          <w:color w:val="000000"/>
          <w:sz w:val="24"/>
          <w:szCs w:val="24"/>
          <w:lang w:val="pt-BR" w:eastAsia="zh-CN"/>
        </w:rPr>
      </w:pPr>
    </w:p>
    <w:p w:rsidR="00DE6C05" w:rsidRPr="00A37102" w:rsidRDefault="00DE6C05" w:rsidP="00B343A9">
      <w:pPr>
        <w:snapToGrid w:val="0"/>
        <w:spacing w:after="0" w:line="360" w:lineRule="auto"/>
        <w:jc w:val="both"/>
        <w:rPr>
          <w:rFonts w:ascii="Book Antiqua" w:hAnsi="Book Antiqua"/>
          <w:b/>
          <w:color w:val="000000"/>
          <w:sz w:val="24"/>
          <w:szCs w:val="24"/>
        </w:rPr>
      </w:pPr>
      <w:r w:rsidRPr="00A37102">
        <w:rPr>
          <w:rFonts w:ascii="Book Antiqua" w:hAnsi="Book Antiqua"/>
          <w:b/>
          <w:color w:val="000000"/>
          <w:sz w:val="24"/>
          <w:szCs w:val="24"/>
        </w:rPr>
        <w:t>INTRODUCTION</w:t>
      </w:r>
    </w:p>
    <w:p w:rsidR="00DE6C05" w:rsidRPr="00A37102" w:rsidRDefault="00DE6C05" w:rsidP="00B343A9">
      <w:pPr>
        <w:spacing w:after="0" w:line="360" w:lineRule="auto"/>
        <w:jc w:val="both"/>
        <w:textAlignment w:val="center"/>
        <w:rPr>
          <w:rFonts w:ascii="Book Antiqua" w:hAnsi="Book Antiqua"/>
          <w:color w:val="000000"/>
          <w:sz w:val="24"/>
          <w:szCs w:val="24"/>
        </w:rPr>
      </w:pPr>
      <w:r w:rsidRPr="00A37102">
        <w:rPr>
          <w:rFonts w:ascii="Book Antiqua" w:hAnsi="Book Antiqua"/>
          <w:color w:val="000000"/>
          <w:sz w:val="24"/>
          <w:szCs w:val="24"/>
        </w:rPr>
        <w:t>Cytomegalovirus (CMV) infections are very common in the general population</w:t>
      </w:r>
      <w:r w:rsidRPr="00A37102">
        <w:rPr>
          <w:rFonts w:ascii="Book Antiqua" w:hAnsi="Book Antiqua"/>
          <w:noProof/>
          <w:color w:val="000000"/>
          <w:sz w:val="24"/>
          <w:szCs w:val="24"/>
          <w:vertAlign w:val="superscript"/>
        </w:rPr>
        <w:t>[1]</w:t>
      </w:r>
      <w:r w:rsidRPr="00A37102">
        <w:rPr>
          <w:rFonts w:ascii="Book Antiqua" w:hAnsi="Book Antiqua"/>
          <w:color w:val="000000"/>
          <w:sz w:val="24"/>
          <w:szCs w:val="24"/>
        </w:rPr>
        <w:t>.</w:t>
      </w:r>
      <w:r w:rsidRPr="00A37102">
        <w:rPr>
          <w:rFonts w:ascii="Book Antiqua" w:eastAsia="Arial Unicode MS" w:hAnsi="Book Antiqua" w:cs="Arial Unicode MS"/>
          <w:color w:val="000000"/>
          <w:sz w:val="24"/>
          <w:szCs w:val="24"/>
        </w:rPr>
        <w:t xml:space="preserve"> </w:t>
      </w:r>
      <w:r w:rsidRPr="00A37102">
        <w:rPr>
          <w:rFonts w:ascii="Book Antiqua" w:hAnsi="Book Antiqua"/>
          <w:color w:val="000000"/>
          <w:sz w:val="24"/>
          <w:szCs w:val="24"/>
        </w:rPr>
        <w:t>The infection is usually clinically mild and often confused with other minor viral infections. Reported rates of CMV-IgG positivity, signifying past exposure to the virus, are as high as 100%, depending on the age and geographic location of the population studied</w:t>
      </w:r>
      <w:r w:rsidRPr="00A37102">
        <w:rPr>
          <w:rFonts w:ascii="Book Antiqua" w:hAnsi="Book Antiqua"/>
          <w:noProof/>
          <w:color w:val="000000"/>
          <w:sz w:val="24"/>
          <w:szCs w:val="24"/>
          <w:vertAlign w:val="superscript"/>
        </w:rPr>
        <w:t>[2]</w:t>
      </w:r>
      <w:r w:rsidRPr="00A37102">
        <w:rPr>
          <w:rFonts w:ascii="Book Antiqua" w:hAnsi="Book Antiqua"/>
          <w:color w:val="000000"/>
          <w:sz w:val="24"/>
          <w:szCs w:val="24"/>
        </w:rPr>
        <w:t xml:space="preserve">. Even though systemic CMV disease in the immunocompetent patients is extremely rare, primary CMV infection or reactivation may lead to disseminated disease or end-organ involvement in immunocompromised patients (post-solid organ transplantation, chemotherapy-treated, HIV, recipients of immunosuppressive drugs, </w:t>
      </w:r>
      <w:r w:rsidRPr="00A37102">
        <w:rPr>
          <w:rFonts w:ascii="Book Antiqua" w:hAnsi="Book Antiqua"/>
          <w:i/>
          <w:color w:val="000000"/>
          <w:sz w:val="24"/>
          <w:szCs w:val="24"/>
        </w:rPr>
        <w:t>etc.</w:t>
      </w:r>
      <w:r w:rsidRPr="00A37102">
        <w:rPr>
          <w:rFonts w:ascii="Book Antiqua" w:hAnsi="Book Antiqua"/>
          <w:color w:val="000000"/>
          <w:sz w:val="24"/>
          <w:szCs w:val="24"/>
        </w:rPr>
        <w:t>)</w:t>
      </w:r>
      <w:r w:rsidRPr="00A37102">
        <w:rPr>
          <w:rFonts w:ascii="Book Antiqua" w:hAnsi="Book Antiqua"/>
          <w:noProof/>
          <w:color w:val="000000"/>
          <w:sz w:val="24"/>
          <w:szCs w:val="24"/>
          <w:vertAlign w:val="superscript"/>
        </w:rPr>
        <w:t>[3]</w:t>
      </w:r>
      <w:r w:rsidRPr="00A37102">
        <w:rPr>
          <w:rFonts w:ascii="Book Antiqua" w:hAnsi="Book Antiqua"/>
          <w:color w:val="000000"/>
          <w:sz w:val="24"/>
          <w:szCs w:val="24"/>
        </w:rPr>
        <w:t>.</w:t>
      </w:r>
      <w:r w:rsidRPr="00A37102" w:rsidDel="00A37829">
        <w:rPr>
          <w:rFonts w:ascii="Book Antiqua" w:hAnsi="Book Antiqua"/>
          <w:color w:val="000000"/>
          <w:sz w:val="24"/>
          <w:szCs w:val="24"/>
        </w:rPr>
        <w:t xml:space="preserve"> </w:t>
      </w:r>
      <w:r w:rsidRPr="00A37102">
        <w:rPr>
          <w:rFonts w:ascii="Book Antiqua" w:hAnsi="Book Antiqua"/>
          <w:color w:val="000000"/>
          <w:sz w:val="24"/>
          <w:szCs w:val="24"/>
        </w:rPr>
        <w:t>CMV is the most common virus causing disease and death in solid organ transplant recipients (kidney, heart, liver, lung and pancreas)</w:t>
      </w:r>
      <w:r w:rsidRPr="00A37102">
        <w:rPr>
          <w:rFonts w:ascii="Book Antiqua" w:hAnsi="Book Antiqua"/>
          <w:noProof/>
          <w:color w:val="000000"/>
          <w:sz w:val="24"/>
          <w:szCs w:val="24"/>
          <w:vertAlign w:val="superscript"/>
        </w:rPr>
        <w:t>[4]</w:t>
      </w:r>
      <w:r w:rsidRPr="00A37102">
        <w:rPr>
          <w:rFonts w:ascii="Book Antiqua" w:hAnsi="Book Antiqua"/>
          <w:color w:val="000000"/>
          <w:sz w:val="24"/>
          <w:szCs w:val="24"/>
        </w:rPr>
        <w:t>.</w:t>
      </w:r>
    </w:p>
    <w:p w:rsidR="00DE6C05" w:rsidRPr="00A37102" w:rsidRDefault="00DE6C05" w:rsidP="0060177D">
      <w:pPr>
        <w:spacing w:after="0" w:line="360" w:lineRule="auto"/>
        <w:ind w:firstLineChars="200" w:firstLine="480"/>
        <w:jc w:val="both"/>
        <w:textAlignment w:val="center"/>
        <w:rPr>
          <w:rFonts w:ascii="Book Antiqua" w:hAnsi="Book Antiqua"/>
          <w:color w:val="000000"/>
          <w:sz w:val="24"/>
          <w:szCs w:val="24"/>
        </w:rPr>
      </w:pPr>
      <w:r w:rsidRPr="00A37102">
        <w:rPr>
          <w:rFonts w:ascii="Book Antiqua" w:hAnsi="Book Antiqua"/>
          <w:color w:val="000000"/>
          <w:sz w:val="24"/>
          <w:szCs w:val="24"/>
        </w:rPr>
        <w:t xml:space="preserve">The role of CMV infection in patients with </w:t>
      </w:r>
      <w:bookmarkStart w:id="11" w:name="OLE_LINK11"/>
      <w:bookmarkStart w:id="12" w:name="OLE_LINK12"/>
      <w:r w:rsidRPr="00A37102">
        <w:rPr>
          <w:rFonts w:ascii="Book Antiqua" w:hAnsi="Book Antiqua"/>
          <w:color w:val="000000"/>
          <w:sz w:val="24"/>
          <w:szCs w:val="24"/>
        </w:rPr>
        <w:t>inflammatory bowel disease (IBD)</w:t>
      </w:r>
      <w:bookmarkEnd w:id="11"/>
      <w:bookmarkEnd w:id="12"/>
      <w:r w:rsidRPr="00A37102">
        <w:rPr>
          <w:rFonts w:ascii="Book Antiqua" w:hAnsi="Book Antiqua"/>
          <w:color w:val="000000"/>
          <w:sz w:val="24"/>
          <w:szCs w:val="24"/>
        </w:rPr>
        <w:t xml:space="preserve"> is controversial. Although CMV has been specifically associated with refractory disease, the strength and nature of this association has been a subject of debate</w:t>
      </w:r>
      <w:r w:rsidRPr="00A37102">
        <w:rPr>
          <w:rFonts w:ascii="Book Antiqua" w:hAnsi="Book Antiqua"/>
          <w:noProof/>
          <w:color w:val="000000"/>
          <w:sz w:val="24"/>
          <w:szCs w:val="24"/>
          <w:vertAlign w:val="superscript"/>
        </w:rPr>
        <w:t>[5]</w:t>
      </w:r>
      <w:r w:rsidRPr="00A37102">
        <w:rPr>
          <w:rFonts w:ascii="Book Antiqua" w:hAnsi="Book Antiqua"/>
          <w:color w:val="000000"/>
          <w:sz w:val="24"/>
          <w:szCs w:val="24"/>
        </w:rPr>
        <w:t>. The detection of CMV in the colon is frequent in patients with acute severe ulcerative colitis (UC). CMV has been reported to be present in colonic tissue of 21</w:t>
      </w:r>
      <w:r w:rsidRPr="00A37102">
        <w:rPr>
          <w:rFonts w:ascii="Book Antiqua" w:hAnsi="Book Antiqua"/>
          <w:color w:val="000000"/>
          <w:sz w:val="24"/>
          <w:szCs w:val="24"/>
          <w:lang w:eastAsia="zh-CN"/>
        </w:rPr>
        <w:t>%</w:t>
      </w:r>
      <w:r w:rsidRPr="00A37102">
        <w:rPr>
          <w:rFonts w:ascii="Book Antiqua" w:hAnsi="Book Antiqua"/>
          <w:color w:val="000000"/>
          <w:sz w:val="24"/>
          <w:szCs w:val="24"/>
        </w:rPr>
        <w:t>–34% of all UC patients and in 33</w:t>
      </w:r>
      <w:r w:rsidRPr="00A37102">
        <w:rPr>
          <w:rFonts w:ascii="Book Antiqua" w:hAnsi="Book Antiqua"/>
          <w:color w:val="000000"/>
          <w:sz w:val="24"/>
          <w:szCs w:val="24"/>
          <w:lang w:eastAsia="zh-CN"/>
        </w:rPr>
        <w:t>%</w:t>
      </w:r>
      <w:r w:rsidRPr="00A37102">
        <w:rPr>
          <w:rFonts w:ascii="Book Antiqua" w:hAnsi="Book Antiqua"/>
          <w:color w:val="000000"/>
          <w:sz w:val="24"/>
          <w:szCs w:val="24"/>
        </w:rPr>
        <w:t>–36% of steroid refractory patients</w:t>
      </w:r>
      <w:r w:rsidRPr="00A37102">
        <w:rPr>
          <w:rFonts w:ascii="Book Antiqua" w:hAnsi="Book Antiqua"/>
          <w:noProof/>
          <w:color w:val="000000"/>
          <w:sz w:val="24"/>
          <w:szCs w:val="24"/>
          <w:vertAlign w:val="superscript"/>
        </w:rPr>
        <w:t>[6]</w:t>
      </w:r>
      <w:r w:rsidRPr="00A37102">
        <w:rPr>
          <w:rFonts w:ascii="Book Antiqua" w:hAnsi="Book Antiqua"/>
          <w:color w:val="000000"/>
          <w:sz w:val="24"/>
          <w:szCs w:val="24"/>
        </w:rPr>
        <w:t xml:space="preserve">. </w:t>
      </w:r>
    </w:p>
    <w:p w:rsidR="00DE6C05" w:rsidRPr="00A37102" w:rsidRDefault="00DE6C05" w:rsidP="0060177D">
      <w:pPr>
        <w:spacing w:after="0" w:line="360" w:lineRule="auto"/>
        <w:ind w:firstLineChars="200" w:firstLine="480"/>
        <w:jc w:val="both"/>
        <w:rPr>
          <w:rFonts w:ascii="Book Antiqua" w:hAnsi="Book Antiqua"/>
          <w:color w:val="000000"/>
          <w:sz w:val="24"/>
          <w:szCs w:val="24"/>
        </w:rPr>
      </w:pPr>
      <w:r w:rsidRPr="00A37102">
        <w:rPr>
          <w:rFonts w:ascii="Book Antiqua" w:hAnsi="Book Antiqua"/>
          <w:color w:val="000000"/>
          <w:sz w:val="24"/>
          <w:szCs w:val="24"/>
        </w:rPr>
        <w:t>The clinical significance of detecting CMV in UC remains debatable</w:t>
      </w:r>
      <w:r w:rsidRPr="00A37102">
        <w:rPr>
          <w:rFonts w:ascii="Book Antiqua" w:hAnsi="Book Antiqua"/>
          <w:noProof/>
          <w:color w:val="000000"/>
          <w:sz w:val="24"/>
          <w:szCs w:val="24"/>
          <w:vertAlign w:val="superscript"/>
        </w:rPr>
        <w:t>[7]</w:t>
      </w:r>
      <w:r w:rsidRPr="00A37102">
        <w:rPr>
          <w:rFonts w:ascii="Book Antiqua" w:hAnsi="Book Antiqua"/>
          <w:color w:val="000000"/>
          <w:sz w:val="24"/>
          <w:szCs w:val="24"/>
        </w:rPr>
        <w:t>. It has been suggested that intestinal CMV detection may be a marker of severe disease that is more likely to be refractory to corticosteroid and immunosuppressive therapy. Alternatively, CMV might only be an "innocent bystander", reflecting a remote infection of the involved mucosa, without significantly impacting on outcomes</w:t>
      </w:r>
      <w:r w:rsidRPr="00A37102">
        <w:rPr>
          <w:rFonts w:ascii="Book Antiqua" w:hAnsi="Book Antiqua"/>
          <w:noProof/>
          <w:color w:val="000000"/>
          <w:sz w:val="24"/>
          <w:szCs w:val="24"/>
          <w:vertAlign w:val="superscript"/>
        </w:rPr>
        <w:t>[2]</w:t>
      </w:r>
      <w:r w:rsidRPr="00A37102">
        <w:rPr>
          <w:rFonts w:ascii="Book Antiqua" w:hAnsi="Book Antiqua"/>
          <w:color w:val="000000"/>
          <w:sz w:val="24"/>
          <w:szCs w:val="24"/>
        </w:rPr>
        <w:t>. Conversely, CMV is often considered an undisputable</w:t>
      </w:r>
      <w:r w:rsidRPr="00A37102" w:rsidDel="002A75A6">
        <w:rPr>
          <w:rFonts w:ascii="Book Antiqua" w:hAnsi="Book Antiqua"/>
          <w:color w:val="000000"/>
          <w:sz w:val="24"/>
          <w:szCs w:val="24"/>
        </w:rPr>
        <w:t xml:space="preserve"> </w:t>
      </w:r>
      <w:r w:rsidRPr="00A37102">
        <w:rPr>
          <w:rFonts w:ascii="Book Antiqua" w:hAnsi="Book Antiqua"/>
          <w:color w:val="000000"/>
          <w:sz w:val="24"/>
          <w:szCs w:val="24"/>
        </w:rPr>
        <w:t>infection with potentially grave outcome. As such, the standard therapy for CMV infection in UC patients includes intravenous gancyclovir, with a possible switch to oral valgancyclovir upon improvement. Intravenous foscarnet is usually reserved for patients who do not tolerate or respond to gancyclovir</w:t>
      </w:r>
      <w:r w:rsidRPr="00A37102">
        <w:rPr>
          <w:rFonts w:ascii="Book Antiqua" w:hAnsi="Book Antiqua"/>
          <w:noProof/>
          <w:color w:val="000000"/>
          <w:sz w:val="24"/>
          <w:szCs w:val="24"/>
          <w:vertAlign w:val="superscript"/>
        </w:rPr>
        <w:t>[2]</w:t>
      </w:r>
      <w:r w:rsidRPr="00A37102">
        <w:rPr>
          <w:rFonts w:ascii="Book Antiqua" w:hAnsi="Book Antiqua"/>
          <w:color w:val="000000"/>
          <w:sz w:val="24"/>
          <w:szCs w:val="24"/>
        </w:rPr>
        <w:t xml:space="preserve">. </w:t>
      </w:r>
      <w:r w:rsidRPr="00A37102">
        <w:rPr>
          <w:rFonts w:ascii="Book Antiqua" w:hAnsi="Book Antiqua"/>
          <w:color w:val="000000"/>
          <w:sz w:val="24"/>
          <w:szCs w:val="24"/>
        </w:rPr>
        <w:lastRenderedPageBreak/>
        <w:t>However, prospective controlled trials to validate the clinical benefit of such treatment in IBD patients are still largely unavailable.</w:t>
      </w:r>
    </w:p>
    <w:p w:rsidR="00DE6C05" w:rsidRPr="00A37102" w:rsidRDefault="00DE6C05" w:rsidP="0060177D">
      <w:pPr>
        <w:spacing w:after="0" w:line="360" w:lineRule="auto"/>
        <w:ind w:firstLineChars="200" w:firstLine="480"/>
        <w:jc w:val="both"/>
        <w:rPr>
          <w:rFonts w:ascii="Book Antiqua" w:hAnsi="Book Antiqua"/>
          <w:color w:val="000000"/>
          <w:sz w:val="24"/>
          <w:szCs w:val="24"/>
        </w:rPr>
      </w:pPr>
      <w:r w:rsidRPr="00A37102">
        <w:rPr>
          <w:rFonts w:ascii="Book Antiqua" w:hAnsi="Book Antiqua"/>
          <w:color w:val="000000"/>
          <w:sz w:val="24"/>
          <w:szCs w:val="24"/>
        </w:rPr>
        <w:t>The aim of this study is to evaluate the impact of antiviral therapy on the outcome of CMV-positive UC patients using a systematic review and meta-analysis (MA) of the published studies pertaining to the subject.</w:t>
      </w:r>
    </w:p>
    <w:p w:rsidR="00DE6C05" w:rsidRPr="00A37102" w:rsidRDefault="00DE6C05" w:rsidP="00B343A9">
      <w:pPr>
        <w:spacing w:after="0" w:line="360" w:lineRule="auto"/>
        <w:jc w:val="both"/>
        <w:rPr>
          <w:rFonts w:ascii="Book Antiqua" w:hAnsi="Book Antiqua"/>
          <w:color w:val="000000"/>
          <w:sz w:val="24"/>
          <w:szCs w:val="24"/>
          <w:lang w:eastAsia="zh-CN"/>
        </w:rPr>
      </w:pPr>
    </w:p>
    <w:p w:rsidR="00DE6C05" w:rsidRPr="00A37102" w:rsidRDefault="00DE6C05" w:rsidP="00B343A9">
      <w:pPr>
        <w:spacing w:after="0" w:line="360" w:lineRule="auto"/>
        <w:jc w:val="both"/>
        <w:rPr>
          <w:rFonts w:ascii="Book Antiqua" w:hAnsi="Book Antiqua"/>
          <w:b/>
          <w:caps/>
          <w:color w:val="000000"/>
          <w:sz w:val="24"/>
          <w:szCs w:val="24"/>
          <w:lang w:eastAsia="zh-CN"/>
        </w:rPr>
      </w:pPr>
      <w:r w:rsidRPr="00A37102">
        <w:rPr>
          <w:rFonts w:ascii="Book Antiqua" w:hAnsi="Book Antiqua"/>
          <w:b/>
          <w:caps/>
          <w:color w:val="000000"/>
          <w:sz w:val="24"/>
          <w:szCs w:val="24"/>
        </w:rPr>
        <w:t>Materials and methods</w:t>
      </w:r>
    </w:p>
    <w:p w:rsidR="00DE6C05" w:rsidRPr="00A37102" w:rsidRDefault="00DE6C05" w:rsidP="00B343A9">
      <w:pPr>
        <w:spacing w:after="0" w:line="360" w:lineRule="auto"/>
        <w:jc w:val="both"/>
        <w:rPr>
          <w:rFonts w:ascii="Book Antiqua" w:hAnsi="Book Antiqua"/>
          <w:b/>
          <w:i/>
          <w:color w:val="000000"/>
          <w:sz w:val="24"/>
          <w:szCs w:val="24"/>
          <w:lang w:eastAsia="zh-CN"/>
        </w:rPr>
      </w:pPr>
      <w:r w:rsidRPr="00A37102">
        <w:rPr>
          <w:rFonts w:ascii="Book Antiqua" w:hAnsi="Book Antiqua"/>
          <w:b/>
          <w:i/>
          <w:color w:val="000000"/>
          <w:sz w:val="24"/>
          <w:szCs w:val="24"/>
        </w:rPr>
        <w:t>Search strategy</w:t>
      </w: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color w:val="000000"/>
          <w:sz w:val="24"/>
          <w:szCs w:val="24"/>
        </w:rPr>
        <w:t xml:space="preserve">We searched Pubmed, Embase and World of Science databases for articles published between 1966 and March 2013. In addition, we manually scanned the abstracts presented at the following medical conferences: DDW, UEGW, ECCO for the years 2004-2012. In our analysis, we have included studies published as full papers or conference abstracts. </w:t>
      </w:r>
    </w:p>
    <w:p w:rsidR="00DE6C05" w:rsidRPr="00A37102" w:rsidRDefault="00DE6C05" w:rsidP="0060177D">
      <w:pPr>
        <w:spacing w:after="0" w:line="360" w:lineRule="auto"/>
        <w:ind w:firstLineChars="200" w:firstLine="480"/>
        <w:jc w:val="both"/>
        <w:rPr>
          <w:rFonts w:ascii="Book Antiqua" w:hAnsi="Book Antiqua"/>
          <w:color w:val="000000"/>
          <w:sz w:val="24"/>
          <w:szCs w:val="24"/>
        </w:rPr>
      </w:pPr>
      <w:r w:rsidRPr="00A37102">
        <w:rPr>
          <w:rFonts w:ascii="Book Antiqua" w:hAnsi="Book Antiqua"/>
          <w:color w:val="000000"/>
          <w:sz w:val="24"/>
          <w:szCs w:val="24"/>
        </w:rPr>
        <w:t>The search strategy included the following search terms: “ulcerative colitis” or “inflammatory bowel disease” and “cytomegalovirus” or “CMV”. Their MESH terms were crossed. We manually scanned references of all included studies to identify additional relevant publications.</w:t>
      </w:r>
    </w:p>
    <w:p w:rsidR="00DE6C05" w:rsidRPr="00A37102" w:rsidRDefault="00DE6C05" w:rsidP="00B343A9">
      <w:pPr>
        <w:spacing w:after="0" w:line="360" w:lineRule="auto"/>
        <w:jc w:val="both"/>
        <w:rPr>
          <w:rFonts w:ascii="Book Antiqua" w:hAnsi="Book Antiqua"/>
          <w:b/>
          <w:i/>
          <w:color w:val="000000"/>
          <w:sz w:val="24"/>
          <w:szCs w:val="24"/>
          <w:lang w:eastAsia="zh-CN"/>
        </w:rPr>
      </w:pPr>
    </w:p>
    <w:p w:rsidR="00DE6C05" w:rsidRPr="00A37102" w:rsidRDefault="00DE6C05" w:rsidP="00B343A9">
      <w:pPr>
        <w:spacing w:after="0" w:line="360" w:lineRule="auto"/>
        <w:jc w:val="both"/>
        <w:rPr>
          <w:rFonts w:ascii="Book Antiqua" w:hAnsi="Book Antiqua"/>
          <w:b/>
          <w:i/>
          <w:color w:val="000000"/>
          <w:sz w:val="24"/>
          <w:szCs w:val="24"/>
          <w:lang w:eastAsia="zh-CN"/>
        </w:rPr>
      </w:pPr>
      <w:r w:rsidRPr="00A37102">
        <w:rPr>
          <w:rFonts w:ascii="Book Antiqua" w:hAnsi="Book Antiqua"/>
          <w:b/>
          <w:i/>
          <w:color w:val="000000"/>
          <w:sz w:val="24"/>
          <w:szCs w:val="24"/>
        </w:rPr>
        <w:t>Study selection</w:t>
      </w: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rPr>
      </w:pPr>
      <w:r w:rsidRPr="00A37102">
        <w:rPr>
          <w:rFonts w:ascii="Book Antiqua" w:hAnsi="Book Antiqua"/>
          <w:color w:val="000000"/>
          <w:sz w:val="24"/>
          <w:szCs w:val="24"/>
        </w:rPr>
        <w:t xml:space="preserve">We included prospective and retrospective cohort studies comparing outcomes of treated and untreated CMV- positive UC patients. </w:t>
      </w:r>
    </w:p>
    <w:p w:rsidR="00DE6C05" w:rsidRPr="00A37102" w:rsidRDefault="00DE6C05" w:rsidP="0060177D">
      <w:pPr>
        <w:autoSpaceDE w:val="0"/>
        <w:autoSpaceDN w:val="0"/>
        <w:adjustRightInd w:val="0"/>
        <w:spacing w:after="0" w:line="360" w:lineRule="auto"/>
        <w:ind w:firstLineChars="200" w:firstLine="480"/>
        <w:jc w:val="both"/>
        <w:rPr>
          <w:rFonts w:ascii="Book Antiqua" w:hAnsi="Book Antiqua"/>
          <w:color w:val="000000"/>
          <w:sz w:val="24"/>
          <w:szCs w:val="24"/>
          <w:lang w:eastAsia="zh-CN"/>
        </w:rPr>
      </w:pPr>
      <w:r w:rsidRPr="00A37102">
        <w:rPr>
          <w:rFonts w:ascii="Book Antiqua" w:hAnsi="Book Antiqua"/>
          <w:color w:val="000000"/>
          <w:sz w:val="24"/>
          <w:szCs w:val="24"/>
        </w:rPr>
        <w:t>The following types of studies were excluded:</w:t>
      </w:r>
      <w:r w:rsidRPr="00A37102">
        <w:rPr>
          <w:rFonts w:ascii="Book Antiqua" w:hAnsi="Book Antiqua"/>
          <w:color w:val="000000"/>
          <w:sz w:val="24"/>
          <w:szCs w:val="24"/>
          <w:lang w:eastAsia="zh-CN"/>
        </w:rPr>
        <w:t xml:space="preserve"> (1) </w:t>
      </w:r>
      <w:r w:rsidRPr="00A37102">
        <w:rPr>
          <w:rFonts w:ascii="Book Antiqua" w:hAnsi="Book Antiqua"/>
          <w:color w:val="000000"/>
          <w:sz w:val="24"/>
          <w:szCs w:val="24"/>
        </w:rPr>
        <w:t>Studies including less than 4 patients in one or more of the arms (treated and non treated patients)</w:t>
      </w:r>
      <w:r w:rsidRPr="00A37102">
        <w:rPr>
          <w:rFonts w:ascii="Book Antiqua" w:hAnsi="Book Antiqua"/>
          <w:color w:val="000000"/>
          <w:sz w:val="24"/>
          <w:szCs w:val="24"/>
          <w:lang w:eastAsia="zh-CN"/>
        </w:rPr>
        <w:t xml:space="preserve">; (2) </w:t>
      </w:r>
      <w:r w:rsidRPr="00A37102">
        <w:rPr>
          <w:rFonts w:ascii="Book Antiqua" w:hAnsi="Book Antiqua"/>
          <w:color w:val="000000"/>
          <w:sz w:val="24"/>
          <w:szCs w:val="24"/>
        </w:rPr>
        <w:t>Studies pertaining exclusively to CD patients. For studies involving mixed cohorts (CD and UC), we analyzed only the UC data. If this was not possible, we contacted the first and last author of the study and requested that they provide the relevant data. If no response was received, the study was excluded from analysis</w:t>
      </w:r>
      <w:r w:rsidRPr="00A37102">
        <w:rPr>
          <w:rFonts w:ascii="Book Antiqua" w:hAnsi="Book Antiqua"/>
          <w:color w:val="000000"/>
          <w:sz w:val="24"/>
          <w:szCs w:val="24"/>
          <w:lang w:eastAsia="zh-CN"/>
        </w:rPr>
        <w:t xml:space="preserve">; (3) </w:t>
      </w:r>
      <w:r w:rsidRPr="00A37102">
        <w:rPr>
          <w:rFonts w:ascii="Book Antiqua" w:hAnsi="Book Antiqua"/>
          <w:color w:val="000000"/>
          <w:sz w:val="24"/>
          <w:szCs w:val="24"/>
        </w:rPr>
        <w:t>Studies describing antiviral treatment with an antiviral agent other than gancyclovir, valgancyclovir or foscarnet were also excluded</w:t>
      </w:r>
      <w:r w:rsidRPr="00A37102">
        <w:rPr>
          <w:rFonts w:ascii="Book Antiqua" w:hAnsi="Book Antiqua"/>
          <w:color w:val="000000"/>
          <w:sz w:val="24"/>
          <w:szCs w:val="24"/>
          <w:lang w:eastAsia="zh-CN"/>
        </w:rPr>
        <w:t xml:space="preserve">; and (4) </w:t>
      </w:r>
      <w:r w:rsidRPr="00A37102">
        <w:rPr>
          <w:rFonts w:ascii="Book Antiqua" w:hAnsi="Book Antiqua"/>
          <w:color w:val="000000"/>
          <w:sz w:val="24"/>
          <w:szCs w:val="24"/>
        </w:rPr>
        <w:t xml:space="preserve">Series exclusively reporting colectomy data, </w:t>
      </w:r>
      <w:r w:rsidRPr="00A37102">
        <w:rPr>
          <w:rFonts w:ascii="Book Antiqua" w:hAnsi="Book Antiqua"/>
          <w:i/>
          <w:color w:val="000000"/>
          <w:sz w:val="24"/>
          <w:szCs w:val="24"/>
        </w:rPr>
        <w:t>i.e.</w:t>
      </w:r>
      <w:r w:rsidRPr="00A37102">
        <w:rPr>
          <w:rFonts w:ascii="Book Antiqua" w:hAnsi="Book Antiqua"/>
          <w:color w:val="000000"/>
          <w:sz w:val="24"/>
          <w:szCs w:val="24"/>
        </w:rPr>
        <w:t xml:space="preserve"> </w:t>
      </w:r>
      <w:r w:rsidRPr="00A37102">
        <w:rPr>
          <w:rFonts w:ascii="Book Antiqua" w:hAnsi="Book Antiqua"/>
          <w:color w:val="000000"/>
          <w:sz w:val="24"/>
          <w:szCs w:val="24"/>
        </w:rPr>
        <w:lastRenderedPageBreak/>
        <w:t>only patients who reached the outcome of colectomy, were included. Patients were excluded from the analysis if they underwent colectomy before gancyclovir treatment was considered or the results of CMV assessment were available.</w:t>
      </w: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lang w:eastAsia="zh-CN"/>
        </w:rPr>
      </w:pPr>
    </w:p>
    <w:p w:rsidR="00DE6C05" w:rsidRPr="00A37102" w:rsidRDefault="00DE6C05" w:rsidP="00B343A9">
      <w:pPr>
        <w:autoSpaceDE w:val="0"/>
        <w:autoSpaceDN w:val="0"/>
        <w:adjustRightInd w:val="0"/>
        <w:spacing w:after="0" w:line="360" w:lineRule="auto"/>
        <w:jc w:val="both"/>
        <w:rPr>
          <w:rFonts w:ascii="Book Antiqua" w:hAnsi="Book Antiqua"/>
          <w:b/>
          <w:i/>
          <w:color w:val="000000"/>
          <w:sz w:val="24"/>
          <w:szCs w:val="24"/>
          <w:lang w:eastAsia="zh-CN"/>
        </w:rPr>
      </w:pPr>
      <w:r w:rsidRPr="00A37102">
        <w:rPr>
          <w:rFonts w:ascii="Book Antiqua" w:hAnsi="Book Antiqua"/>
          <w:b/>
          <w:i/>
          <w:color w:val="000000"/>
          <w:sz w:val="24"/>
          <w:szCs w:val="24"/>
        </w:rPr>
        <w:t>Outcome measures</w:t>
      </w: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color w:val="000000"/>
          <w:sz w:val="24"/>
          <w:szCs w:val="24"/>
        </w:rPr>
        <w:t xml:space="preserve">The primary outcome assessed was the rate of colectomy during the hospitalization period or within 30 d of diagnosis. Secondary outcomes was colectomy rate for the available follow-up duration (3 mo since the index hospitalization) </w:t>
      </w:r>
    </w:p>
    <w:p w:rsidR="00DE6C05" w:rsidRPr="00A37102" w:rsidRDefault="00DE6C05" w:rsidP="0060177D">
      <w:pPr>
        <w:spacing w:after="0" w:line="360" w:lineRule="auto"/>
        <w:ind w:firstLineChars="200" w:firstLine="480"/>
        <w:jc w:val="both"/>
        <w:rPr>
          <w:rFonts w:ascii="Book Antiqua" w:hAnsi="Book Antiqua"/>
          <w:color w:val="000000"/>
          <w:sz w:val="24"/>
          <w:szCs w:val="24"/>
          <w:lang w:eastAsia="zh-CN"/>
        </w:rPr>
      </w:pPr>
      <w:r w:rsidRPr="00A37102">
        <w:rPr>
          <w:rFonts w:ascii="Book Antiqua" w:hAnsi="Book Antiqua"/>
          <w:color w:val="000000"/>
          <w:sz w:val="24"/>
          <w:szCs w:val="24"/>
        </w:rPr>
        <w:t>Subgroup analysis was done according to the method of CMV diagnosis, study design</w:t>
      </w:r>
      <w:r w:rsidRPr="00A37102">
        <w:rPr>
          <w:rFonts w:ascii="Book Antiqua" w:hAnsi="Book Antiqua"/>
          <w:color w:val="000000"/>
          <w:sz w:val="24"/>
          <w:szCs w:val="24"/>
          <w:lang w:val="en-CA"/>
        </w:rPr>
        <w:t xml:space="preserve">, study location </w:t>
      </w:r>
      <w:r w:rsidRPr="00A37102">
        <w:rPr>
          <w:rFonts w:ascii="Book Antiqua" w:hAnsi="Book Antiqua"/>
          <w:color w:val="000000"/>
          <w:sz w:val="24"/>
          <w:szCs w:val="24"/>
        </w:rPr>
        <w:t xml:space="preserve">and quality of studies, based on </w:t>
      </w:r>
      <w:r w:rsidRPr="00A37102">
        <w:rPr>
          <w:rFonts w:ascii="Book Antiqua" w:hAnsi="Book Antiqua" w:cs="Times-Roman"/>
          <w:color w:val="000000"/>
          <w:sz w:val="24"/>
          <w:szCs w:val="24"/>
        </w:rPr>
        <w:t>Newcastle Ottawa Scale (see below)</w:t>
      </w:r>
      <w:r w:rsidRPr="00A37102">
        <w:rPr>
          <w:rFonts w:ascii="Book Antiqua" w:hAnsi="Book Antiqua"/>
          <w:color w:val="000000"/>
          <w:sz w:val="24"/>
          <w:szCs w:val="24"/>
        </w:rPr>
        <w:t>.</w:t>
      </w:r>
    </w:p>
    <w:p w:rsidR="00DE6C05" w:rsidRPr="00A37102" w:rsidRDefault="00DE6C05" w:rsidP="0060177D">
      <w:pPr>
        <w:spacing w:after="0" w:line="360" w:lineRule="auto"/>
        <w:jc w:val="both"/>
        <w:rPr>
          <w:rFonts w:ascii="Book Antiqua" w:hAnsi="Book Antiqua"/>
          <w:color w:val="000000"/>
          <w:sz w:val="24"/>
          <w:szCs w:val="24"/>
          <w:lang w:eastAsia="zh-CN"/>
        </w:rPr>
      </w:pPr>
      <w:r w:rsidRPr="00A37102">
        <w:rPr>
          <w:rFonts w:ascii="Book Antiqua" w:hAnsi="Book Antiqua"/>
          <w:color w:val="000000"/>
          <w:sz w:val="24"/>
          <w:szCs w:val="24"/>
        </w:rPr>
        <w:t>Data extraction and quality of data assessment</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 xml:space="preserve">Two reviewers (UK, NE) independently applied inclusion criteria, selected the studies, and extracted data, outcomes and quality. In cases with disagreement between the two reviewers, the issues were resolved by discussion. Authors of studies were contacted if clarification was needed. The following data were collected: </w:t>
      </w:r>
      <w:r w:rsidRPr="00A37102">
        <w:rPr>
          <w:rFonts w:ascii="Book Antiqua" w:hAnsi="Book Antiqua" w:cs="AdvP6975"/>
          <w:color w:val="000000"/>
          <w:sz w:val="24"/>
          <w:szCs w:val="24"/>
        </w:rPr>
        <w:t>period and location of the studies, year of publication, inclusion criteria for participants in each study, demographic and disease characteristics of the included patients, method of diagnosis of CMV colitis, details of anti-inflammatory treatment preceding the diagnosis of CMV, type, duration and dose of the antiviral treatment, and outcome measures as mentioned above.</w:t>
      </w:r>
    </w:p>
    <w:p w:rsidR="00DE6C05" w:rsidRPr="00A37102" w:rsidRDefault="00DE6C05" w:rsidP="002C3569">
      <w:pPr>
        <w:autoSpaceDE w:val="0"/>
        <w:autoSpaceDN w:val="0"/>
        <w:adjustRightInd w:val="0"/>
        <w:spacing w:after="0" w:line="360" w:lineRule="auto"/>
        <w:ind w:firstLineChars="200" w:firstLine="480"/>
        <w:jc w:val="both"/>
        <w:rPr>
          <w:rFonts w:ascii="Book Antiqua" w:hAnsi="Book Antiqua" w:cs="Times-Roman"/>
          <w:color w:val="000000"/>
          <w:sz w:val="24"/>
          <w:szCs w:val="24"/>
        </w:rPr>
      </w:pPr>
      <w:r w:rsidRPr="00A37102">
        <w:rPr>
          <w:rFonts w:ascii="Book Antiqua" w:hAnsi="Book Antiqua" w:cs="Times-Roman"/>
          <w:color w:val="000000"/>
          <w:sz w:val="24"/>
          <w:szCs w:val="24"/>
        </w:rPr>
        <w:t xml:space="preserve">Quality of studies was assessed using the Newcastle Ottawa Scale (NOS), modified for this review. The quality of the included studies was evaluated based on questions regarding the selection and comparability of the cohort (treated and non-treated CMV-infected UC patients) and the outcome of the study. A higher score indicates higher methodological quality. We defined high-quality studies as mean total points </w:t>
      </w:r>
      <w:r w:rsidRPr="00A37102">
        <w:rPr>
          <w:rFonts w:ascii="Book Antiqua" w:hAnsi="Book Antiqua" w:cs="Calibri"/>
          <w:color w:val="000000"/>
          <w:sz w:val="24"/>
          <w:szCs w:val="24"/>
        </w:rPr>
        <w:t>≥</w:t>
      </w:r>
      <w:r w:rsidRPr="00A37102">
        <w:rPr>
          <w:rFonts w:ascii="Book Antiqua" w:hAnsi="Book Antiqua" w:cs="Calibri"/>
          <w:color w:val="000000"/>
          <w:sz w:val="24"/>
          <w:szCs w:val="24"/>
          <w:lang w:eastAsia="zh-CN"/>
        </w:rPr>
        <w:t xml:space="preserve"> </w:t>
      </w:r>
      <w:r w:rsidRPr="00A37102">
        <w:rPr>
          <w:rFonts w:ascii="Book Antiqua" w:hAnsi="Book Antiqua" w:cs="Times-Roman"/>
          <w:color w:val="000000"/>
          <w:sz w:val="24"/>
          <w:szCs w:val="24"/>
        </w:rPr>
        <w:t xml:space="preserve">5; low quality as </w:t>
      </w:r>
      <w:r w:rsidRPr="00A37102">
        <w:rPr>
          <w:rFonts w:ascii="Book Antiqua" w:hAnsi="Book Antiqua" w:cs="Calibri"/>
          <w:color w:val="000000"/>
          <w:sz w:val="24"/>
          <w:szCs w:val="24"/>
        </w:rPr>
        <w:t>&lt;</w:t>
      </w:r>
      <w:r w:rsidRPr="00A37102">
        <w:rPr>
          <w:rFonts w:ascii="Book Antiqua" w:hAnsi="Book Antiqua" w:cs="Calibri"/>
          <w:color w:val="000000"/>
          <w:sz w:val="24"/>
          <w:szCs w:val="24"/>
          <w:lang w:eastAsia="zh-CN"/>
        </w:rPr>
        <w:t xml:space="preserve"> </w:t>
      </w:r>
      <w:r w:rsidRPr="00A37102">
        <w:rPr>
          <w:rFonts w:ascii="Book Antiqua" w:hAnsi="Book Antiqua" w:cs="Times-Roman"/>
          <w:color w:val="000000"/>
          <w:sz w:val="24"/>
          <w:szCs w:val="24"/>
        </w:rPr>
        <w:t>4, and moderate, between those values.</w:t>
      </w:r>
    </w:p>
    <w:p w:rsidR="00DE6C05" w:rsidRPr="00A37102" w:rsidRDefault="00DE6C05" w:rsidP="00B343A9">
      <w:pPr>
        <w:spacing w:after="0" w:line="360" w:lineRule="auto"/>
        <w:jc w:val="both"/>
        <w:rPr>
          <w:rFonts w:ascii="Book Antiqua" w:hAnsi="Book Antiqua"/>
          <w:color w:val="000000"/>
          <w:sz w:val="24"/>
          <w:szCs w:val="24"/>
        </w:rPr>
      </w:pPr>
    </w:p>
    <w:p w:rsidR="00DE6C05" w:rsidRPr="00A37102" w:rsidRDefault="00DE6C05" w:rsidP="00B343A9">
      <w:pPr>
        <w:spacing w:after="0" w:line="360" w:lineRule="auto"/>
        <w:jc w:val="both"/>
        <w:rPr>
          <w:rFonts w:ascii="Book Antiqua" w:hAnsi="Book Antiqua"/>
          <w:b/>
          <w:i/>
          <w:color w:val="000000"/>
          <w:sz w:val="24"/>
          <w:szCs w:val="24"/>
          <w:lang w:eastAsia="zh-CN"/>
        </w:rPr>
      </w:pPr>
      <w:r w:rsidRPr="00A37102">
        <w:rPr>
          <w:rFonts w:ascii="Book Antiqua" w:hAnsi="Book Antiqua"/>
          <w:b/>
          <w:i/>
          <w:color w:val="000000"/>
          <w:sz w:val="24"/>
          <w:szCs w:val="24"/>
        </w:rPr>
        <w:t>Statistical analysis</w:t>
      </w: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color w:val="000000"/>
          <w:sz w:val="24"/>
          <w:szCs w:val="24"/>
        </w:rPr>
        <w:lastRenderedPageBreak/>
        <w:t xml:space="preserve">Study results were expressed as odds ratio (OR) with </w:t>
      </w:r>
      <w:r w:rsidRPr="00A37102">
        <w:rPr>
          <w:rFonts w:ascii="Book Antiqua" w:hAnsi="Book Antiqua"/>
          <w:color w:val="000000"/>
          <w:sz w:val="24"/>
          <w:szCs w:val="24"/>
          <w:lang w:eastAsia="zh-CN"/>
        </w:rPr>
        <w:t>95%</w:t>
      </w:r>
      <w:r w:rsidRPr="00A37102">
        <w:rPr>
          <w:rFonts w:ascii="Book Antiqua" w:hAnsi="Book Antiqua"/>
          <w:color w:val="000000"/>
          <w:sz w:val="24"/>
          <w:szCs w:val="24"/>
        </w:rPr>
        <w:t xml:space="preserve"> confidence intervals (CI).We used a fixed-effect model to pool results. We assessed heterogeneity using the </w:t>
      </w:r>
      <w:r w:rsidRPr="00A37102">
        <w:rPr>
          <w:rFonts w:ascii="Book Antiqua" w:hAnsi="Book Antiqua"/>
          <w:i/>
          <w:color w:val="000000"/>
          <w:sz w:val="24"/>
          <w:szCs w:val="24"/>
        </w:rPr>
        <w:t>χ</w:t>
      </w:r>
      <w:r w:rsidRPr="00A37102">
        <w:rPr>
          <w:rFonts w:ascii="Book Antiqua" w:hAnsi="Book Antiqua"/>
          <w:i/>
          <w:color w:val="000000"/>
          <w:sz w:val="24"/>
          <w:szCs w:val="24"/>
          <w:vertAlign w:val="superscript"/>
        </w:rPr>
        <w:t>2</w:t>
      </w:r>
      <w:r w:rsidRPr="00A37102">
        <w:rPr>
          <w:rFonts w:ascii="Book Antiqua" w:hAnsi="Book Antiqua"/>
          <w:color w:val="000000"/>
          <w:sz w:val="24"/>
          <w:szCs w:val="24"/>
          <w:rtl/>
        </w:rPr>
        <w:t>-</w:t>
      </w:r>
      <w:r w:rsidRPr="00A37102">
        <w:rPr>
          <w:rFonts w:ascii="Book Antiqua" w:hAnsi="Book Antiqua"/>
          <w:color w:val="000000"/>
          <w:sz w:val="24"/>
          <w:szCs w:val="24"/>
        </w:rPr>
        <w:t xml:space="preserve">test of heterogeneity and the </w:t>
      </w:r>
      <w:r w:rsidRPr="00A37102">
        <w:rPr>
          <w:rFonts w:ascii="Book Antiqua" w:hAnsi="Book Antiqua"/>
          <w:i/>
          <w:iCs/>
          <w:color w:val="000000"/>
          <w:sz w:val="24"/>
          <w:szCs w:val="24"/>
        </w:rPr>
        <w:t>I</w:t>
      </w:r>
      <w:r w:rsidRPr="00A37102">
        <w:rPr>
          <w:rFonts w:ascii="Book Antiqua" w:hAnsi="Book Antiqua"/>
          <w:color w:val="000000"/>
          <w:sz w:val="24"/>
          <w:szCs w:val="24"/>
          <w:vertAlign w:val="superscript"/>
        </w:rPr>
        <w:t>2</w:t>
      </w:r>
      <w:r w:rsidRPr="00A37102">
        <w:rPr>
          <w:rFonts w:ascii="Book Antiqua" w:hAnsi="Book Antiqua"/>
          <w:color w:val="000000"/>
          <w:sz w:val="24"/>
          <w:szCs w:val="24"/>
        </w:rPr>
        <w:t xml:space="preserve"> measure of inconsistency</w:t>
      </w:r>
      <w:r w:rsidRPr="00A37102">
        <w:rPr>
          <w:rFonts w:ascii="Book Antiqua" w:hAnsi="Book Antiqua"/>
          <w:color w:val="000000"/>
          <w:sz w:val="24"/>
          <w:szCs w:val="24"/>
          <w:rtl/>
        </w:rPr>
        <w:t>.</w:t>
      </w:r>
      <w:r w:rsidRPr="00A37102">
        <w:rPr>
          <w:rFonts w:ascii="Book Antiqua" w:hAnsi="Book Antiqua"/>
          <w:color w:val="000000"/>
          <w:sz w:val="24"/>
          <w:szCs w:val="24"/>
        </w:rPr>
        <w:t xml:space="preserve"> If significant heterogeneity had a </w:t>
      </w:r>
      <w:r w:rsidRPr="00A37102">
        <w:rPr>
          <w:rFonts w:ascii="Book Antiqua" w:hAnsi="Book Antiqua"/>
          <w:i/>
          <w:color w:val="000000"/>
          <w:sz w:val="24"/>
          <w:szCs w:val="24"/>
        </w:rPr>
        <w:t>χ</w:t>
      </w:r>
      <w:r w:rsidRPr="00A37102">
        <w:rPr>
          <w:rFonts w:ascii="Book Antiqua" w:hAnsi="Book Antiqua"/>
          <w:i/>
          <w:color w:val="000000"/>
          <w:sz w:val="24"/>
          <w:szCs w:val="24"/>
          <w:vertAlign w:val="superscript"/>
        </w:rPr>
        <w:t>2</w:t>
      </w:r>
      <w:r w:rsidRPr="00A37102">
        <w:rPr>
          <w:rFonts w:ascii="Book Antiqua" w:hAnsi="Book Antiqua"/>
          <w:color w:val="000000"/>
          <w:sz w:val="24"/>
          <w:szCs w:val="24"/>
        </w:rPr>
        <w:t xml:space="preserve">-test p value &lt; 0.1 or an </w:t>
      </w:r>
      <w:r w:rsidRPr="00A37102">
        <w:rPr>
          <w:rFonts w:ascii="Book Antiqua" w:hAnsi="Book Antiqua"/>
          <w:i/>
          <w:iCs/>
          <w:color w:val="000000"/>
          <w:sz w:val="24"/>
          <w:szCs w:val="24"/>
        </w:rPr>
        <w:t>I</w:t>
      </w:r>
      <w:r w:rsidRPr="00A37102">
        <w:rPr>
          <w:rFonts w:ascii="Book Antiqua" w:hAnsi="Book Antiqua"/>
          <w:color w:val="000000"/>
          <w:sz w:val="24"/>
          <w:szCs w:val="24"/>
          <w:vertAlign w:val="superscript"/>
        </w:rPr>
        <w:t>2</w:t>
      </w:r>
      <w:r w:rsidRPr="00A37102">
        <w:rPr>
          <w:rFonts w:ascii="Book Antiqua" w:hAnsi="Book Antiqua"/>
          <w:color w:val="000000"/>
          <w:sz w:val="24"/>
          <w:szCs w:val="24"/>
        </w:rPr>
        <w:t xml:space="preserve"> measure &gt; 50% we conducted a random effects meta-analysis. Sensitivity analysis was done without the less qualified studies or the study which showed the most significant difference, with the same statistical methods. Analyses were performed using RevMan 4.2 (Review Manager </w:t>
      </w:r>
      <w:r w:rsidRPr="00A37102">
        <w:rPr>
          <w:rFonts w:ascii="Book Antiqua" w:hAnsi="Book Antiqua"/>
          <w:color w:val="000000"/>
          <w:sz w:val="24"/>
          <w:szCs w:val="24"/>
          <w:rtl/>
        </w:rPr>
        <w:t>]</w:t>
      </w:r>
      <w:r w:rsidRPr="00A37102">
        <w:rPr>
          <w:rFonts w:ascii="Book Antiqua" w:hAnsi="Book Antiqua"/>
          <w:color w:val="000000"/>
          <w:sz w:val="24"/>
          <w:szCs w:val="24"/>
        </w:rPr>
        <w:t>computer program] Version 4.2 for Windows, Copenhagen</w:t>
      </w:r>
      <w:r w:rsidRPr="00A37102">
        <w:rPr>
          <w:rFonts w:ascii="Book Antiqua" w:hAnsi="Book Antiqua"/>
          <w:color w:val="000000"/>
          <w:sz w:val="24"/>
          <w:szCs w:val="24"/>
          <w:rtl/>
        </w:rPr>
        <w:t>:</w:t>
      </w:r>
      <w:r w:rsidRPr="00A37102">
        <w:rPr>
          <w:rFonts w:ascii="Book Antiqua" w:hAnsi="Book Antiqua"/>
          <w:color w:val="000000"/>
          <w:sz w:val="24"/>
          <w:szCs w:val="24"/>
        </w:rPr>
        <w:t xml:space="preserve"> The Nordic Cochrane Centre, The Cochrane Collaboration</w:t>
      </w:r>
      <w:r w:rsidRPr="00A37102">
        <w:rPr>
          <w:rFonts w:ascii="Book Antiqua" w:hAnsi="Book Antiqua"/>
          <w:color w:val="000000"/>
          <w:sz w:val="24"/>
          <w:szCs w:val="24"/>
          <w:rtl/>
        </w:rPr>
        <w:t>,</w:t>
      </w:r>
      <w:r w:rsidRPr="00A37102">
        <w:rPr>
          <w:rFonts w:ascii="Book Antiqua" w:hAnsi="Book Antiqua"/>
          <w:color w:val="000000"/>
          <w:sz w:val="24"/>
          <w:szCs w:val="24"/>
        </w:rPr>
        <w:t xml:space="preserve"> 2003). </w:t>
      </w:r>
    </w:p>
    <w:p w:rsidR="00DE6C05" w:rsidRPr="00A37102" w:rsidRDefault="00DE6C05" w:rsidP="00B343A9">
      <w:pPr>
        <w:spacing w:after="0" w:line="360" w:lineRule="auto"/>
        <w:jc w:val="both"/>
        <w:rPr>
          <w:rFonts w:ascii="Book Antiqua" w:hAnsi="Book Antiqua"/>
          <w:color w:val="000000"/>
          <w:sz w:val="24"/>
          <w:szCs w:val="24"/>
        </w:rPr>
      </w:pPr>
    </w:p>
    <w:p w:rsidR="00DE6C05" w:rsidRPr="00A37102" w:rsidRDefault="00DE6C05" w:rsidP="00B343A9">
      <w:pPr>
        <w:snapToGrid w:val="0"/>
        <w:spacing w:after="0" w:line="360" w:lineRule="auto"/>
        <w:jc w:val="both"/>
        <w:rPr>
          <w:rFonts w:ascii="Book Antiqua" w:eastAsia="Batang" w:hAnsi="Book Antiqua"/>
          <w:b/>
          <w:bCs/>
          <w:color w:val="000000"/>
          <w:sz w:val="24"/>
          <w:szCs w:val="24"/>
          <w:lang w:eastAsia="zh-CN"/>
        </w:rPr>
      </w:pPr>
      <w:r w:rsidRPr="00A37102">
        <w:rPr>
          <w:rFonts w:ascii="Book Antiqua" w:eastAsia="Batang" w:hAnsi="Book Antiqua"/>
          <w:b/>
          <w:bCs/>
          <w:color w:val="000000"/>
          <w:sz w:val="24"/>
          <w:szCs w:val="24"/>
        </w:rPr>
        <w:t>RESULTS</w:t>
      </w:r>
    </w:p>
    <w:p w:rsidR="00DE6C05" w:rsidRPr="00A37102" w:rsidRDefault="00DE6C05" w:rsidP="00B343A9">
      <w:pPr>
        <w:autoSpaceDE w:val="0"/>
        <w:autoSpaceDN w:val="0"/>
        <w:adjustRightInd w:val="0"/>
        <w:spacing w:after="0" w:line="360" w:lineRule="auto"/>
        <w:jc w:val="both"/>
        <w:rPr>
          <w:rFonts w:ascii="Book Antiqua" w:eastAsia="Batang" w:hAnsi="Book Antiqua" w:cs="Times-Roman"/>
          <w:color w:val="000000"/>
          <w:sz w:val="24"/>
          <w:szCs w:val="24"/>
          <w:lang w:eastAsia="ko-KR" w:bidi="ar-SA"/>
        </w:rPr>
      </w:pPr>
      <w:r w:rsidRPr="00A37102">
        <w:rPr>
          <w:rFonts w:ascii="Book Antiqua" w:hAnsi="Book Antiqua"/>
          <w:color w:val="000000"/>
          <w:sz w:val="24"/>
          <w:szCs w:val="24"/>
        </w:rPr>
        <w:t xml:space="preserve">Our search yielded 448 studies. After title and abstract scanning 397 of them were excluded. An additional </w:t>
      </w:r>
      <w:r w:rsidRPr="00A37102">
        <w:rPr>
          <w:rFonts w:ascii="Book Antiqua" w:hAnsi="Book Antiqua"/>
          <w:color w:val="000000"/>
          <w:sz w:val="24"/>
          <w:szCs w:val="24"/>
          <w:lang w:eastAsia="zh-CN"/>
        </w:rPr>
        <w:t>42</w:t>
      </w:r>
      <w:r w:rsidRPr="00A37102">
        <w:rPr>
          <w:rFonts w:ascii="Book Antiqua" w:hAnsi="Book Antiqua"/>
          <w:color w:val="000000"/>
          <w:sz w:val="24"/>
          <w:szCs w:val="24"/>
        </w:rPr>
        <w:t xml:space="preserve"> studies were excluded after full-text review (figure 1). </w:t>
      </w:r>
      <w:r w:rsidRPr="00A37102">
        <w:rPr>
          <w:rFonts w:ascii="Book Antiqua" w:hAnsi="Book Antiqua" w:cs="AdvP6975"/>
          <w:color w:val="000000"/>
          <w:sz w:val="24"/>
          <w:szCs w:val="24"/>
        </w:rPr>
        <w:t>A total of 9 studies</w:t>
      </w:r>
      <w:r w:rsidRPr="00A37102">
        <w:rPr>
          <w:rFonts w:ascii="Book Antiqua" w:hAnsi="Book Antiqua" w:cs="AdvP6975"/>
          <w:noProof/>
          <w:color w:val="000000"/>
          <w:sz w:val="24"/>
          <w:szCs w:val="24"/>
          <w:vertAlign w:val="superscript"/>
        </w:rPr>
        <w:t>[8-16]</w:t>
      </w:r>
      <w:r w:rsidRPr="00A37102">
        <w:rPr>
          <w:rFonts w:ascii="Book Antiqua" w:hAnsi="Book Antiqua" w:cs="AdvP6975"/>
          <w:color w:val="000000"/>
          <w:sz w:val="24"/>
          <w:szCs w:val="24"/>
        </w:rPr>
        <w:t xml:space="preserve"> </w:t>
      </w:r>
      <w:r w:rsidRPr="00A37102">
        <w:rPr>
          <w:rFonts w:ascii="Book Antiqua" w:hAnsi="Book Antiqua"/>
          <w:color w:val="000000"/>
          <w:sz w:val="24"/>
          <w:szCs w:val="24"/>
        </w:rPr>
        <w:t>were included in our systematic review and MA, with data available for 176 patients . Table 1 shows the characterist</w:t>
      </w:r>
      <w:r w:rsidRPr="00A37102">
        <w:rPr>
          <w:rFonts w:ascii="Book Antiqua" w:eastAsia="Batang" w:hAnsi="Book Antiqua" w:cs="Times-Roman"/>
          <w:color w:val="000000"/>
          <w:sz w:val="24"/>
          <w:szCs w:val="24"/>
          <w:lang w:eastAsia="ko-KR" w:bidi="ar-SA"/>
        </w:rPr>
        <w:t xml:space="preserve">ics of the included studies. </w:t>
      </w:r>
    </w:p>
    <w:p w:rsidR="00DE6C05" w:rsidRPr="00A37102" w:rsidRDefault="00DE6C05" w:rsidP="001C3E4C">
      <w:pPr>
        <w:autoSpaceDE w:val="0"/>
        <w:autoSpaceDN w:val="0"/>
        <w:adjustRightInd w:val="0"/>
        <w:spacing w:after="0" w:line="360" w:lineRule="auto"/>
        <w:ind w:firstLineChars="200" w:firstLine="480"/>
        <w:jc w:val="both"/>
        <w:rPr>
          <w:rFonts w:ascii="Book Antiqua" w:eastAsia="Batang" w:hAnsi="Book Antiqua" w:cs="Times-Roman"/>
          <w:color w:val="000000"/>
          <w:sz w:val="24"/>
          <w:szCs w:val="24"/>
          <w:lang w:eastAsia="ko-KR" w:bidi="ar-SA"/>
        </w:rPr>
      </w:pPr>
      <w:r w:rsidRPr="00A37102">
        <w:rPr>
          <w:rFonts w:ascii="Book Antiqua" w:eastAsia="Batang" w:hAnsi="Book Antiqua" w:cs="Times-Roman"/>
          <w:color w:val="000000"/>
          <w:sz w:val="24"/>
          <w:szCs w:val="24"/>
          <w:lang w:eastAsia="ko-KR" w:bidi="ar-SA"/>
        </w:rPr>
        <w:t>All studies collected data on patients admitted between</w:t>
      </w:r>
      <w:r w:rsidRPr="00A37102">
        <w:rPr>
          <w:rFonts w:ascii="Book Antiqua" w:hAnsi="Book Antiqua" w:cs="Times-Roman"/>
          <w:color w:val="000000"/>
          <w:sz w:val="24"/>
          <w:szCs w:val="24"/>
          <w:lang w:eastAsia="zh-CN" w:bidi="ar-SA"/>
        </w:rPr>
        <w:t xml:space="preserve"> </w:t>
      </w:r>
      <w:r w:rsidRPr="00A37102">
        <w:rPr>
          <w:rFonts w:ascii="Book Antiqua" w:eastAsia="Batang" w:hAnsi="Book Antiqua" w:cs="Times-Roman"/>
          <w:color w:val="000000"/>
          <w:sz w:val="24"/>
          <w:szCs w:val="24"/>
          <w:lang w:eastAsia="ko-KR" w:bidi="ar-SA"/>
        </w:rPr>
        <w:t>1990-2011 and published between 2010 and 2013. Four studies were conducted in Europe</w:t>
      </w:r>
      <w:r w:rsidRPr="00A37102">
        <w:rPr>
          <w:rFonts w:ascii="Book Antiqua" w:eastAsia="Batang" w:hAnsi="Book Antiqua" w:cs="Times-Roman"/>
          <w:noProof/>
          <w:color w:val="000000"/>
          <w:sz w:val="24"/>
          <w:szCs w:val="24"/>
          <w:vertAlign w:val="superscript"/>
          <w:lang w:eastAsia="ko-KR" w:bidi="ar-SA"/>
        </w:rPr>
        <w:t>[9,10,13,17]</w:t>
      </w:r>
      <w:r w:rsidRPr="00A37102">
        <w:rPr>
          <w:rFonts w:ascii="Book Antiqua" w:eastAsia="Batang" w:hAnsi="Book Antiqua" w:cs="Times-Roman"/>
          <w:color w:val="000000"/>
          <w:sz w:val="24"/>
          <w:szCs w:val="24"/>
          <w:lang w:eastAsia="ko-KR" w:bidi="ar-SA"/>
        </w:rPr>
        <w:t>, two in Japan</w:t>
      </w:r>
      <w:r w:rsidRPr="00A37102">
        <w:rPr>
          <w:rFonts w:ascii="Book Antiqua" w:eastAsia="Batang" w:hAnsi="Book Antiqua" w:cs="Times-Roman"/>
          <w:noProof/>
          <w:color w:val="000000"/>
          <w:sz w:val="24"/>
          <w:szCs w:val="24"/>
          <w:vertAlign w:val="superscript"/>
          <w:lang w:eastAsia="ko-KR" w:bidi="ar-SA"/>
        </w:rPr>
        <w:t>[8,15]</w:t>
      </w:r>
      <w:r w:rsidRPr="00A37102">
        <w:rPr>
          <w:rFonts w:ascii="Book Antiqua" w:eastAsia="Batang" w:hAnsi="Book Antiqua" w:cs="Times-Roman"/>
          <w:color w:val="000000"/>
          <w:sz w:val="24"/>
          <w:szCs w:val="24"/>
          <w:lang w:eastAsia="ko-KR" w:bidi="ar-SA"/>
        </w:rPr>
        <w:t xml:space="preserve"> and the others in Canada</w:t>
      </w:r>
      <w:r w:rsidRPr="00A37102">
        <w:rPr>
          <w:rFonts w:ascii="Book Antiqua" w:eastAsia="Batang" w:hAnsi="Book Antiqua" w:cs="Times-Roman"/>
          <w:noProof/>
          <w:color w:val="000000"/>
          <w:sz w:val="24"/>
          <w:szCs w:val="24"/>
          <w:vertAlign w:val="superscript"/>
          <w:lang w:eastAsia="ko-KR" w:bidi="ar-SA"/>
        </w:rPr>
        <w:t>[14]</w:t>
      </w:r>
      <w:r w:rsidRPr="00A37102">
        <w:rPr>
          <w:rFonts w:ascii="Book Antiqua" w:eastAsia="Batang" w:hAnsi="Book Antiqua" w:cs="Times-Roman"/>
          <w:color w:val="000000"/>
          <w:sz w:val="24"/>
          <w:szCs w:val="24"/>
          <w:lang w:eastAsia="ko-KR" w:bidi="ar-SA"/>
        </w:rPr>
        <w:t>, Korea</w:t>
      </w:r>
      <w:r w:rsidRPr="00A37102">
        <w:rPr>
          <w:rFonts w:ascii="Book Antiqua" w:eastAsia="Batang" w:hAnsi="Book Antiqua" w:cs="Times-Roman"/>
          <w:noProof/>
          <w:color w:val="000000"/>
          <w:sz w:val="24"/>
          <w:szCs w:val="24"/>
          <w:vertAlign w:val="superscript"/>
          <w:lang w:eastAsia="ko-KR" w:bidi="ar-SA"/>
        </w:rPr>
        <w:t>[12]</w:t>
      </w:r>
      <w:r w:rsidRPr="00A37102">
        <w:rPr>
          <w:rFonts w:ascii="Book Antiqua" w:eastAsia="Batang" w:hAnsi="Book Antiqua" w:cs="Times-Roman"/>
          <w:color w:val="000000"/>
          <w:sz w:val="24"/>
          <w:szCs w:val="24"/>
          <w:lang w:eastAsia="ko-KR" w:bidi="ar-SA"/>
        </w:rPr>
        <w:t xml:space="preserve"> and Israel</w:t>
      </w:r>
      <w:r w:rsidRPr="00A37102">
        <w:rPr>
          <w:rFonts w:ascii="Book Antiqua" w:eastAsia="Batang" w:hAnsi="Book Antiqua" w:cs="Times-Roman"/>
          <w:noProof/>
          <w:color w:val="000000"/>
          <w:sz w:val="24"/>
          <w:szCs w:val="24"/>
          <w:vertAlign w:val="superscript"/>
          <w:lang w:eastAsia="ko-KR" w:bidi="ar-SA"/>
        </w:rPr>
        <w:t>[16]</w:t>
      </w:r>
      <w:r w:rsidRPr="00A37102">
        <w:rPr>
          <w:rFonts w:ascii="Book Antiqua" w:eastAsia="Batang" w:hAnsi="Book Antiqua" w:cs="Times-Roman"/>
          <w:color w:val="000000"/>
          <w:sz w:val="24"/>
          <w:szCs w:val="24"/>
          <w:lang w:eastAsia="ko-KR" w:bidi="ar-SA"/>
        </w:rPr>
        <w:t>. Six studies were published as ull text articles</w:t>
      </w:r>
      <w:r w:rsidRPr="00A37102">
        <w:rPr>
          <w:rFonts w:ascii="Book Antiqua" w:eastAsia="Batang" w:hAnsi="Book Antiqua" w:cs="Times-Roman"/>
          <w:noProof/>
          <w:color w:val="000000"/>
          <w:sz w:val="24"/>
          <w:szCs w:val="24"/>
          <w:vertAlign w:val="superscript"/>
          <w:lang w:eastAsia="ko-KR" w:bidi="ar-SA"/>
        </w:rPr>
        <w:t>[8,12</w:t>
      </w:r>
      <w:r w:rsidRPr="00A37102">
        <w:rPr>
          <w:rFonts w:ascii="Book Antiqua" w:hAnsi="Book Antiqua" w:cs="Times-Roman"/>
          <w:noProof/>
          <w:color w:val="000000"/>
          <w:sz w:val="24"/>
          <w:szCs w:val="24"/>
          <w:vertAlign w:val="superscript"/>
          <w:lang w:eastAsia="zh-CN" w:bidi="ar-SA"/>
        </w:rPr>
        <w:t>-</w:t>
      </w:r>
      <w:r w:rsidRPr="00A37102">
        <w:rPr>
          <w:rFonts w:ascii="Book Antiqua" w:eastAsia="Batang" w:hAnsi="Book Antiqua" w:cs="Times-Roman"/>
          <w:noProof/>
          <w:color w:val="000000"/>
          <w:sz w:val="24"/>
          <w:szCs w:val="24"/>
          <w:vertAlign w:val="superscript"/>
          <w:lang w:eastAsia="ko-KR" w:bidi="ar-SA"/>
        </w:rPr>
        <w:t>14,16,17]</w:t>
      </w:r>
      <w:r w:rsidRPr="00A37102">
        <w:rPr>
          <w:rFonts w:ascii="Book Antiqua" w:eastAsia="Batang" w:hAnsi="Book Antiqua" w:cs="Times-Roman"/>
          <w:color w:val="000000"/>
          <w:sz w:val="24"/>
          <w:szCs w:val="24"/>
          <w:lang w:eastAsia="ko-KR" w:bidi="ar-SA"/>
        </w:rPr>
        <w:t xml:space="preserve"> and three</w:t>
      </w:r>
      <w:r w:rsidRPr="00A37102">
        <w:rPr>
          <w:rFonts w:ascii="Book Antiqua" w:eastAsia="Batang" w:hAnsi="Book Antiqua" w:cs="Times-Roman"/>
          <w:noProof/>
          <w:color w:val="000000"/>
          <w:sz w:val="24"/>
          <w:szCs w:val="24"/>
          <w:vertAlign w:val="superscript"/>
          <w:lang w:eastAsia="ko-KR" w:bidi="ar-SA"/>
        </w:rPr>
        <w:t>[9,10,15]</w:t>
      </w:r>
      <w:r w:rsidRPr="00A37102">
        <w:rPr>
          <w:rFonts w:ascii="Book Antiqua" w:eastAsia="Batang" w:hAnsi="Book Antiqua" w:cs="Times-Roman"/>
          <w:color w:val="000000"/>
          <w:sz w:val="24"/>
          <w:szCs w:val="24"/>
          <w:lang w:eastAsia="ko-KR" w:bidi="ar-SA"/>
        </w:rPr>
        <w:t xml:space="preserve"> as conference abstracts. Duration of follow-up ranged between 1 to 40 mo. Four studies</w:t>
      </w:r>
      <w:r w:rsidRPr="00A37102">
        <w:rPr>
          <w:rFonts w:ascii="Book Antiqua" w:eastAsia="Batang" w:hAnsi="Book Antiqua" w:cs="Times-Roman"/>
          <w:noProof/>
          <w:color w:val="000000"/>
          <w:sz w:val="24"/>
          <w:szCs w:val="24"/>
          <w:vertAlign w:val="superscript"/>
          <w:lang w:eastAsia="ko-KR" w:bidi="ar-SA"/>
        </w:rPr>
        <w:t>[8,12,13,17]</w:t>
      </w:r>
      <w:r w:rsidRPr="00A37102">
        <w:rPr>
          <w:rFonts w:ascii="Book Antiqua" w:eastAsia="Batang" w:hAnsi="Book Antiqua" w:cs="Times-Roman"/>
          <w:color w:val="000000"/>
          <w:sz w:val="24"/>
          <w:szCs w:val="24"/>
          <w:lang w:eastAsia="ko-KR" w:bidi="ar-SA"/>
        </w:rPr>
        <w:t xml:space="preserve"> were prospective and five</w:t>
      </w:r>
      <w:r w:rsidRPr="00A37102">
        <w:rPr>
          <w:rFonts w:ascii="Book Antiqua" w:eastAsia="Batang" w:hAnsi="Book Antiqua" w:cs="Times-Roman"/>
          <w:noProof/>
          <w:color w:val="000000"/>
          <w:sz w:val="24"/>
          <w:szCs w:val="24"/>
          <w:vertAlign w:val="superscript"/>
          <w:lang w:eastAsia="ko-KR" w:bidi="ar-SA"/>
        </w:rPr>
        <w:t>[9,10,14-16]</w:t>
      </w:r>
      <w:r w:rsidRPr="00A37102">
        <w:rPr>
          <w:rFonts w:ascii="Book Antiqua" w:eastAsia="Batang" w:hAnsi="Book Antiqua" w:cs="Times-Roman"/>
          <w:color w:val="000000"/>
          <w:sz w:val="24"/>
          <w:szCs w:val="24"/>
          <w:lang w:eastAsia="ko-KR" w:bidi="ar-SA"/>
        </w:rPr>
        <w:t xml:space="preserve"> retrospective. In four studies, the primary objective was to compare the outcome of patients treated with antivirals to the outcome of patients who did not receive antiviral therapy</w:t>
      </w:r>
      <w:r w:rsidRPr="00A37102">
        <w:rPr>
          <w:rFonts w:ascii="Book Antiqua" w:eastAsia="Batang" w:hAnsi="Book Antiqua" w:cs="Times-Roman"/>
          <w:noProof/>
          <w:color w:val="000000"/>
          <w:sz w:val="24"/>
          <w:szCs w:val="24"/>
          <w:vertAlign w:val="superscript"/>
          <w:lang w:eastAsia="ko-KR" w:bidi="ar-SA"/>
        </w:rPr>
        <w:t>[9,12,15,16]</w:t>
      </w:r>
      <w:r w:rsidRPr="00A37102">
        <w:rPr>
          <w:rFonts w:ascii="Book Antiqua" w:eastAsia="Batang" w:hAnsi="Book Antiqua" w:cs="Times-Roman"/>
          <w:color w:val="000000"/>
          <w:sz w:val="24"/>
          <w:szCs w:val="24"/>
          <w:lang w:eastAsia="ko-KR" w:bidi="ar-SA"/>
        </w:rPr>
        <w:t xml:space="preserve">. The quality of the included studies was determined according to the modified Newcastle Ottawa Scale (table 2). The overall quality of the studies was moderate–low; no study met the criteria for high quality. </w:t>
      </w:r>
    </w:p>
    <w:p w:rsidR="00DE6C05" w:rsidRPr="00A37102" w:rsidRDefault="00DE6C05" w:rsidP="00B343A9">
      <w:pPr>
        <w:autoSpaceDE w:val="0"/>
        <w:autoSpaceDN w:val="0"/>
        <w:adjustRightInd w:val="0"/>
        <w:spacing w:after="0" w:line="360" w:lineRule="auto"/>
        <w:jc w:val="both"/>
        <w:rPr>
          <w:rFonts w:ascii="Book Antiqua" w:eastAsia="Batang" w:hAnsi="Book Antiqua" w:cs="Times-Roman"/>
          <w:color w:val="000000"/>
          <w:sz w:val="24"/>
          <w:szCs w:val="24"/>
          <w:lang w:eastAsia="ko-KR" w:bidi="ar-SA"/>
        </w:rPr>
      </w:pPr>
    </w:p>
    <w:p w:rsidR="00DE6C05" w:rsidRPr="00A37102" w:rsidRDefault="00DE6C05" w:rsidP="00B343A9">
      <w:pPr>
        <w:autoSpaceDE w:val="0"/>
        <w:autoSpaceDN w:val="0"/>
        <w:adjustRightInd w:val="0"/>
        <w:spacing w:after="0" w:line="360" w:lineRule="auto"/>
        <w:jc w:val="both"/>
        <w:rPr>
          <w:rFonts w:ascii="Book Antiqua" w:hAnsi="Book Antiqua" w:cs="AdvP6975"/>
          <w:b/>
          <w:i/>
          <w:color w:val="000000"/>
          <w:sz w:val="24"/>
          <w:szCs w:val="24"/>
          <w:lang w:eastAsia="zh-CN"/>
        </w:rPr>
      </w:pPr>
      <w:r w:rsidRPr="00A37102">
        <w:rPr>
          <w:rFonts w:ascii="Book Antiqua" w:hAnsi="Book Antiqua" w:cs="AdvP6975"/>
          <w:b/>
          <w:i/>
          <w:color w:val="000000"/>
          <w:sz w:val="24"/>
          <w:szCs w:val="24"/>
        </w:rPr>
        <w:t>Outcomes</w:t>
      </w:r>
    </w:p>
    <w:p w:rsidR="00DE6C05" w:rsidRPr="00A37102" w:rsidRDefault="00DE6C05" w:rsidP="00B343A9">
      <w:pPr>
        <w:autoSpaceDE w:val="0"/>
        <w:autoSpaceDN w:val="0"/>
        <w:adjustRightInd w:val="0"/>
        <w:spacing w:after="0" w:line="360" w:lineRule="auto"/>
        <w:jc w:val="both"/>
        <w:rPr>
          <w:rFonts w:ascii="Book Antiqua" w:eastAsia="Times New Roman" w:hAnsi="Book Antiqua" w:cs="AdvP6975"/>
          <w:color w:val="000000"/>
          <w:sz w:val="24"/>
          <w:szCs w:val="24"/>
        </w:rPr>
      </w:pPr>
      <w:r w:rsidRPr="00A37102">
        <w:rPr>
          <w:rFonts w:ascii="Book Antiqua" w:eastAsia="Times New Roman" w:hAnsi="Book Antiqua" w:cs="AdvP6975"/>
          <w:color w:val="000000"/>
          <w:sz w:val="24"/>
          <w:szCs w:val="24"/>
        </w:rPr>
        <w:t>Analysis of colectomy rates during hospitalization was possible for all included studies</w:t>
      </w:r>
      <w:r w:rsidRPr="00A37102">
        <w:rPr>
          <w:rFonts w:ascii="Book Antiqua" w:eastAsia="Times New Roman" w:hAnsi="Book Antiqua" w:cs="AdvP6975"/>
          <w:noProof/>
          <w:color w:val="000000"/>
          <w:sz w:val="24"/>
          <w:szCs w:val="24"/>
          <w:vertAlign w:val="superscript"/>
        </w:rPr>
        <w:t>[8-16]</w:t>
      </w:r>
      <w:r w:rsidRPr="00A37102">
        <w:rPr>
          <w:rFonts w:ascii="Book Antiqua" w:eastAsia="Times New Roman" w:hAnsi="Book Antiqua" w:cs="AdvP6975"/>
          <w:color w:val="000000"/>
          <w:sz w:val="24"/>
          <w:szCs w:val="24"/>
        </w:rPr>
        <w:t xml:space="preserve"> (figure 2) and for all patients (70 treated, 106 controls). Patients who had </w:t>
      </w:r>
      <w:r w:rsidRPr="00A37102">
        <w:rPr>
          <w:rFonts w:ascii="Book Antiqua" w:eastAsia="Times New Roman" w:hAnsi="Book Antiqua" w:cs="AdvP6975"/>
          <w:color w:val="000000"/>
          <w:sz w:val="24"/>
          <w:szCs w:val="24"/>
        </w:rPr>
        <w:lastRenderedPageBreak/>
        <w:t>received antiviral treatment had a higher risk of requiring a subsequent colectomy (OR</w:t>
      </w:r>
      <w:r w:rsidRPr="00A37102">
        <w:rPr>
          <w:rFonts w:ascii="Book Antiqua" w:hAnsi="Book Antiqua" w:cs="AdvP6975"/>
          <w:color w:val="000000"/>
          <w:sz w:val="24"/>
          <w:szCs w:val="24"/>
          <w:lang w:eastAsia="zh-CN"/>
        </w:rPr>
        <w:t xml:space="preserve"> = </w:t>
      </w:r>
      <w:r w:rsidRPr="00A37102">
        <w:rPr>
          <w:rFonts w:ascii="Book Antiqua" w:eastAsia="Times New Roman" w:hAnsi="Book Antiqua" w:cs="AdvP6975"/>
          <w:color w:val="000000"/>
          <w:sz w:val="24"/>
          <w:szCs w:val="24"/>
        </w:rPr>
        <w:t>2.40</w:t>
      </w:r>
      <w:r w:rsidRPr="00A37102">
        <w:rPr>
          <w:rFonts w:ascii="Book Antiqua" w:hAnsi="Book Antiqua" w:cs="AdvP6975"/>
          <w:color w:val="000000"/>
          <w:sz w:val="24"/>
          <w:szCs w:val="24"/>
          <w:lang w:eastAsia="zh-CN"/>
        </w:rPr>
        <w:t>;</w:t>
      </w:r>
      <w:r w:rsidRPr="00A37102">
        <w:rPr>
          <w:rFonts w:ascii="Book Antiqua" w:eastAsia="Times New Roman" w:hAnsi="Book Antiqua" w:cs="AdvP6975"/>
          <w:color w:val="000000"/>
          <w:sz w:val="24"/>
          <w:szCs w:val="24"/>
        </w:rPr>
        <w:t xml:space="preserve"> 95%CI</w:t>
      </w:r>
      <w:r w:rsidRPr="00A37102">
        <w:rPr>
          <w:rFonts w:ascii="Book Antiqua" w:hAnsi="Book Antiqua" w:cs="AdvP6975"/>
          <w:color w:val="000000"/>
          <w:sz w:val="24"/>
          <w:szCs w:val="24"/>
          <w:lang w:eastAsia="zh-CN"/>
        </w:rPr>
        <w:t>:</w:t>
      </w:r>
      <w:r w:rsidRPr="00A37102">
        <w:rPr>
          <w:rFonts w:ascii="Book Antiqua" w:eastAsia="Times New Roman" w:hAnsi="Book Antiqua" w:cs="AdvP6975"/>
          <w:color w:val="000000"/>
          <w:sz w:val="24"/>
          <w:szCs w:val="24"/>
        </w:rPr>
        <w:t xml:space="preserve"> 1.05-5.50</w:t>
      </w:r>
      <w:r w:rsidRPr="00A37102">
        <w:rPr>
          <w:rFonts w:ascii="Book Antiqua" w:hAnsi="Book Antiqua" w:cs="AdvP6975"/>
          <w:color w:val="000000"/>
          <w:sz w:val="24"/>
          <w:szCs w:val="24"/>
          <w:lang w:eastAsia="zh-CN"/>
        </w:rPr>
        <w:t>;</w:t>
      </w:r>
      <w:r w:rsidRPr="00A37102">
        <w:rPr>
          <w:rFonts w:ascii="Book Antiqua" w:eastAsia="Times New Roman" w:hAnsi="Book Antiqua" w:cs="AdvP6975"/>
          <w:color w:val="000000"/>
          <w:sz w:val="24"/>
          <w:szCs w:val="24"/>
        </w:rPr>
        <w:t xml:space="preserve"> </w:t>
      </w:r>
      <w:r w:rsidRPr="00A37102">
        <w:rPr>
          <w:rFonts w:ascii="Book Antiqua" w:eastAsia="Times New Roman" w:hAnsi="Book Antiqua" w:cs="AdvP6975"/>
          <w:i/>
          <w:color w:val="000000"/>
          <w:sz w:val="24"/>
          <w:szCs w:val="24"/>
        </w:rPr>
        <w:t>I</w:t>
      </w:r>
      <w:r w:rsidRPr="00A37102">
        <w:rPr>
          <w:rFonts w:ascii="Book Antiqua" w:eastAsia="Times New Roman" w:hAnsi="Book Antiqua" w:cs="AdvP6975"/>
          <w:i/>
          <w:color w:val="000000"/>
          <w:sz w:val="24"/>
          <w:szCs w:val="24"/>
          <w:vertAlign w:val="superscript"/>
        </w:rPr>
        <w:t>2</w:t>
      </w:r>
      <w:r w:rsidRPr="00A37102">
        <w:rPr>
          <w:rFonts w:ascii="Book Antiqua" w:hAnsi="Book Antiqua" w:cs="AdvP6975"/>
          <w:i/>
          <w:color w:val="000000"/>
          <w:sz w:val="24"/>
          <w:szCs w:val="24"/>
          <w:vertAlign w:val="superscript"/>
          <w:lang w:eastAsia="zh-CN"/>
        </w:rPr>
        <w:t xml:space="preserve"> </w:t>
      </w:r>
      <w:r w:rsidRPr="00A37102">
        <w:rPr>
          <w:rFonts w:ascii="Book Antiqua" w:eastAsia="Times New Roman" w:hAnsi="Book Antiqua" w:cs="AdvP6975"/>
          <w:color w:val="000000"/>
          <w:sz w:val="24"/>
          <w:szCs w:val="24"/>
        </w:rPr>
        <w:t>=</w:t>
      </w:r>
      <w:r w:rsidRPr="00A37102">
        <w:rPr>
          <w:rFonts w:ascii="Book Antiqua" w:hAnsi="Book Antiqua" w:cs="AdvP6975"/>
          <w:color w:val="000000"/>
          <w:sz w:val="24"/>
          <w:szCs w:val="24"/>
          <w:lang w:eastAsia="zh-CN"/>
        </w:rPr>
        <w:t xml:space="preserve"> </w:t>
      </w:r>
      <w:r w:rsidRPr="00A37102">
        <w:rPr>
          <w:rFonts w:ascii="Book Antiqua" w:eastAsia="Times New Roman" w:hAnsi="Book Antiqua" w:cs="AdvP6975"/>
          <w:color w:val="000000"/>
          <w:sz w:val="24"/>
          <w:szCs w:val="24"/>
        </w:rPr>
        <w:t>37.2%). Subgroup analysis including only patients in whom CMV diagnosis was based on immunohistochemistry (IHC) staining showed the same trend, with much wider CI (OR</w:t>
      </w:r>
      <w:r w:rsidRPr="00A37102">
        <w:rPr>
          <w:rFonts w:ascii="Book Antiqua" w:hAnsi="Book Antiqua" w:cs="AdvP6975"/>
          <w:color w:val="000000"/>
          <w:sz w:val="24"/>
          <w:szCs w:val="24"/>
          <w:lang w:eastAsia="zh-CN"/>
        </w:rPr>
        <w:t xml:space="preserve"> = </w:t>
      </w:r>
      <w:r w:rsidRPr="00A37102">
        <w:rPr>
          <w:rFonts w:ascii="Book Antiqua" w:eastAsia="Times New Roman" w:hAnsi="Book Antiqua" w:cs="AdvP6975"/>
          <w:color w:val="000000"/>
          <w:sz w:val="24"/>
          <w:szCs w:val="24"/>
        </w:rPr>
        <w:t>3.41</w:t>
      </w:r>
      <w:r w:rsidRPr="00A37102">
        <w:rPr>
          <w:rFonts w:ascii="Book Antiqua" w:hAnsi="Book Antiqua" w:cs="AdvP6975"/>
          <w:color w:val="000000"/>
          <w:sz w:val="24"/>
          <w:szCs w:val="24"/>
          <w:lang w:eastAsia="zh-CN"/>
        </w:rPr>
        <w:t>;</w:t>
      </w:r>
      <w:r w:rsidRPr="00A37102">
        <w:rPr>
          <w:rFonts w:ascii="Book Antiqua" w:eastAsia="Times New Roman" w:hAnsi="Book Antiqua" w:cs="AdvP6975"/>
          <w:color w:val="000000"/>
          <w:sz w:val="24"/>
          <w:szCs w:val="24"/>
        </w:rPr>
        <w:t xml:space="preserve"> 95%CI</w:t>
      </w:r>
      <w:r w:rsidRPr="00A37102">
        <w:rPr>
          <w:rFonts w:ascii="Book Antiqua" w:hAnsi="Book Antiqua" w:cs="AdvP6975"/>
          <w:color w:val="000000"/>
          <w:sz w:val="24"/>
          <w:szCs w:val="24"/>
          <w:lang w:eastAsia="zh-CN"/>
        </w:rPr>
        <w:t xml:space="preserve">: </w:t>
      </w:r>
      <w:r w:rsidRPr="00A37102">
        <w:rPr>
          <w:rFonts w:ascii="Book Antiqua" w:eastAsia="Times New Roman" w:hAnsi="Book Antiqua" w:cs="AdvP6975"/>
          <w:color w:val="000000"/>
          <w:sz w:val="24"/>
          <w:szCs w:val="24"/>
        </w:rPr>
        <w:t>0.</w:t>
      </w:r>
      <w:r w:rsidRPr="00A37102" w:rsidDel="00913963">
        <w:rPr>
          <w:rFonts w:ascii="Book Antiqua" w:eastAsia="Times New Roman" w:hAnsi="Book Antiqua" w:cs="AdvP6975"/>
          <w:color w:val="000000"/>
          <w:sz w:val="24"/>
          <w:szCs w:val="24"/>
        </w:rPr>
        <w:t xml:space="preserve"> </w:t>
      </w:r>
      <w:r w:rsidRPr="00A37102">
        <w:rPr>
          <w:rFonts w:ascii="Book Antiqua" w:eastAsia="Times New Roman" w:hAnsi="Book Antiqua" w:cs="AdvP6975"/>
          <w:color w:val="000000"/>
          <w:sz w:val="24"/>
          <w:szCs w:val="24"/>
        </w:rPr>
        <w:t>39-29.83</w:t>
      </w:r>
      <w:r w:rsidRPr="00A37102">
        <w:rPr>
          <w:rFonts w:ascii="Book Antiqua" w:hAnsi="Book Antiqua" w:cs="AdvP6975"/>
          <w:color w:val="000000"/>
          <w:sz w:val="24"/>
          <w:szCs w:val="24"/>
          <w:lang w:eastAsia="zh-CN"/>
        </w:rPr>
        <w:t>;</w:t>
      </w:r>
      <w:r w:rsidRPr="00A37102">
        <w:rPr>
          <w:rFonts w:ascii="Book Antiqua" w:eastAsia="Times New Roman" w:hAnsi="Book Antiqua" w:cs="AdvP6975"/>
          <w:color w:val="000000"/>
          <w:sz w:val="24"/>
          <w:szCs w:val="24"/>
        </w:rPr>
        <w:t xml:space="preserve"> 5 studies, Random effect, </w:t>
      </w:r>
      <w:r w:rsidRPr="00A37102">
        <w:rPr>
          <w:rFonts w:ascii="Book Antiqua" w:eastAsia="Times New Roman" w:hAnsi="Book Antiqua" w:cs="AdvP6975"/>
          <w:i/>
          <w:color w:val="000000"/>
          <w:sz w:val="24"/>
          <w:szCs w:val="24"/>
        </w:rPr>
        <w:t>I</w:t>
      </w:r>
      <w:r w:rsidRPr="00A37102">
        <w:rPr>
          <w:rFonts w:ascii="Book Antiqua" w:eastAsia="Times New Roman" w:hAnsi="Book Antiqua" w:cs="AdvP6975"/>
          <w:i/>
          <w:color w:val="000000"/>
          <w:sz w:val="24"/>
          <w:szCs w:val="24"/>
          <w:vertAlign w:val="superscript"/>
        </w:rPr>
        <w:t>2</w:t>
      </w:r>
      <w:r w:rsidRPr="00A37102">
        <w:rPr>
          <w:rFonts w:ascii="Book Antiqua" w:hAnsi="Book Antiqua" w:cs="AdvP6975"/>
          <w:i/>
          <w:color w:val="000000"/>
          <w:sz w:val="24"/>
          <w:szCs w:val="24"/>
          <w:vertAlign w:val="superscript"/>
          <w:lang w:eastAsia="zh-CN"/>
        </w:rPr>
        <w:t xml:space="preserve"> </w:t>
      </w:r>
      <w:r w:rsidRPr="00A37102">
        <w:rPr>
          <w:rFonts w:ascii="Book Antiqua" w:eastAsia="Times New Roman" w:hAnsi="Book Antiqua" w:cs="AdvP6975"/>
          <w:color w:val="000000"/>
          <w:sz w:val="24"/>
          <w:szCs w:val="24"/>
        </w:rPr>
        <w:t>=</w:t>
      </w:r>
      <w:r w:rsidRPr="00A37102">
        <w:rPr>
          <w:rFonts w:ascii="Book Antiqua" w:hAnsi="Book Antiqua" w:cs="AdvP6975"/>
          <w:color w:val="000000"/>
          <w:sz w:val="24"/>
          <w:szCs w:val="24"/>
          <w:lang w:eastAsia="zh-CN"/>
        </w:rPr>
        <w:t xml:space="preserve"> </w:t>
      </w:r>
      <w:r w:rsidRPr="00A37102">
        <w:rPr>
          <w:rFonts w:ascii="Book Antiqua" w:eastAsia="Times New Roman" w:hAnsi="Book Antiqua" w:cs="AdvP6975"/>
          <w:color w:val="000000"/>
          <w:sz w:val="24"/>
          <w:szCs w:val="24"/>
        </w:rPr>
        <w:t>56.9%). Subgroup analyses using only the prospective studies (</w:t>
      </w:r>
      <w:r w:rsidRPr="00A37102">
        <w:rPr>
          <w:rFonts w:ascii="Book Antiqua" w:eastAsia="Times New Roman" w:hAnsi="Book Antiqua" w:cs="AdvP6975"/>
          <w:i/>
          <w:color w:val="000000"/>
          <w:sz w:val="24"/>
          <w:szCs w:val="24"/>
        </w:rPr>
        <w:t>n</w:t>
      </w:r>
      <w:r w:rsidRPr="00A37102">
        <w:rPr>
          <w:rFonts w:ascii="Book Antiqua" w:hAnsi="Book Antiqua" w:cs="AdvP6975"/>
          <w:color w:val="000000"/>
          <w:sz w:val="24"/>
          <w:szCs w:val="24"/>
          <w:lang w:eastAsia="zh-CN"/>
        </w:rPr>
        <w:t xml:space="preserve"> </w:t>
      </w:r>
      <w:r w:rsidRPr="00A37102">
        <w:rPr>
          <w:rFonts w:ascii="Book Antiqua" w:eastAsia="Times New Roman" w:hAnsi="Book Antiqua" w:cs="AdvP6975"/>
          <w:color w:val="000000"/>
          <w:sz w:val="24"/>
          <w:szCs w:val="24"/>
        </w:rPr>
        <w:t>=</w:t>
      </w:r>
      <w:r w:rsidRPr="00A37102">
        <w:rPr>
          <w:rFonts w:ascii="Book Antiqua" w:hAnsi="Book Antiqua" w:cs="AdvP6975"/>
          <w:color w:val="000000"/>
          <w:sz w:val="24"/>
          <w:szCs w:val="24"/>
          <w:lang w:eastAsia="zh-CN"/>
        </w:rPr>
        <w:t xml:space="preserve"> </w:t>
      </w:r>
      <w:r w:rsidRPr="00A37102">
        <w:rPr>
          <w:rFonts w:ascii="Book Antiqua" w:eastAsia="Times New Roman" w:hAnsi="Book Antiqua" w:cs="AdvP6975"/>
          <w:color w:val="000000"/>
          <w:sz w:val="24"/>
          <w:szCs w:val="24"/>
        </w:rPr>
        <w:t>4) or studies with moderate (</w:t>
      </w:r>
      <w:r w:rsidRPr="00A37102">
        <w:rPr>
          <w:rFonts w:ascii="Book Antiqua" w:eastAsia="Times New Roman" w:hAnsi="Book Antiqua" w:cs="AdvP6975"/>
          <w:i/>
          <w:color w:val="000000"/>
          <w:sz w:val="24"/>
          <w:szCs w:val="24"/>
        </w:rPr>
        <w:t>n</w:t>
      </w:r>
      <w:r w:rsidRPr="00A37102">
        <w:rPr>
          <w:rFonts w:ascii="Book Antiqua" w:hAnsi="Book Antiqua" w:cs="AdvP6975"/>
          <w:color w:val="000000"/>
          <w:sz w:val="24"/>
          <w:szCs w:val="24"/>
          <w:lang w:eastAsia="zh-CN"/>
        </w:rPr>
        <w:t xml:space="preserve"> </w:t>
      </w:r>
      <w:r w:rsidRPr="00A37102">
        <w:rPr>
          <w:rFonts w:ascii="Book Antiqua" w:eastAsia="Times New Roman" w:hAnsi="Book Antiqua" w:cs="AdvP6975"/>
          <w:color w:val="000000"/>
          <w:sz w:val="24"/>
          <w:szCs w:val="24"/>
        </w:rPr>
        <w:t>=</w:t>
      </w:r>
      <w:r w:rsidRPr="00A37102">
        <w:rPr>
          <w:rFonts w:ascii="Book Antiqua" w:hAnsi="Book Antiqua" w:cs="AdvP6975"/>
          <w:color w:val="000000"/>
          <w:sz w:val="24"/>
          <w:szCs w:val="24"/>
          <w:lang w:eastAsia="zh-CN"/>
        </w:rPr>
        <w:t xml:space="preserve"> </w:t>
      </w:r>
      <w:r w:rsidRPr="00A37102">
        <w:rPr>
          <w:rFonts w:ascii="Book Antiqua" w:eastAsia="Times New Roman" w:hAnsi="Book Antiqua" w:cs="AdvP6975"/>
          <w:color w:val="000000"/>
          <w:sz w:val="24"/>
          <w:szCs w:val="24"/>
        </w:rPr>
        <w:t xml:space="preserve">3) </w:t>
      </w:r>
      <w:r w:rsidRPr="00A37102">
        <w:rPr>
          <w:rFonts w:ascii="Book Antiqua" w:eastAsia="Times New Roman" w:hAnsi="Book Antiqua" w:cs="AdvP6975"/>
          <w:i/>
          <w:color w:val="000000"/>
          <w:sz w:val="24"/>
          <w:szCs w:val="24"/>
        </w:rPr>
        <w:t>vs</w:t>
      </w:r>
      <w:r w:rsidRPr="00A37102">
        <w:rPr>
          <w:rFonts w:ascii="Book Antiqua" w:eastAsia="Times New Roman" w:hAnsi="Book Antiqua" w:cs="AdvP6975"/>
          <w:color w:val="000000"/>
          <w:sz w:val="24"/>
          <w:szCs w:val="24"/>
        </w:rPr>
        <w:t xml:space="preserve"> high risk of bias (</w:t>
      </w:r>
      <w:r w:rsidRPr="00A37102">
        <w:rPr>
          <w:rFonts w:ascii="Book Antiqua" w:eastAsia="Times New Roman" w:hAnsi="Book Antiqua" w:cs="AdvP6975"/>
          <w:i/>
          <w:color w:val="000000"/>
          <w:sz w:val="24"/>
          <w:szCs w:val="24"/>
        </w:rPr>
        <w:t>n</w:t>
      </w:r>
      <w:r w:rsidRPr="00A37102">
        <w:rPr>
          <w:rFonts w:ascii="Book Antiqua" w:hAnsi="Book Antiqua" w:cs="AdvP6975"/>
          <w:color w:val="000000"/>
          <w:sz w:val="24"/>
          <w:szCs w:val="24"/>
          <w:lang w:eastAsia="zh-CN"/>
        </w:rPr>
        <w:t xml:space="preserve"> </w:t>
      </w:r>
      <w:r w:rsidRPr="00A37102">
        <w:rPr>
          <w:rFonts w:ascii="Book Antiqua" w:eastAsia="Times New Roman" w:hAnsi="Book Antiqua" w:cs="AdvP6975"/>
          <w:color w:val="000000"/>
          <w:sz w:val="24"/>
          <w:szCs w:val="24"/>
        </w:rPr>
        <w:t>=</w:t>
      </w:r>
      <w:r w:rsidRPr="00A37102">
        <w:rPr>
          <w:rFonts w:ascii="Book Antiqua" w:hAnsi="Book Antiqua" w:cs="AdvP6975"/>
          <w:color w:val="000000"/>
          <w:sz w:val="24"/>
          <w:szCs w:val="24"/>
          <w:lang w:eastAsia="zh-CN"/>
        </w:rPr>
        <w:t xml:space="preserve"> </w:t>
      </w:r>
      <w:r w:rsidRPr="00A37102">
        <w:rPr>
          <w:rFonts w:ascii="Book Antiqua" w:eastAsia="Times New Roman" w:hAnsi="Book Antiqua" w:cs="AdvP6975"/>
          <w:color w:val="000000"/>
          <w:sz w:val="24"/>
          <w:szCs w:val="24"/>
        </w:rPr>
        <w:t>6) showed the same trend, but without reaching statistical significance because of small group size and wide CI. We performed an additional subgroup analysis, comparing studies conducted in Europe</w:t>
      </w:r>
      <w:r w:rsidRPr="00A37102">
        <w:rPr>
          <w:rFonts w:ascii="Book Antiqua" w:eastAsia="Batang" w:hAnsi="Book Antiqua" w:cs="Times-Roman"/>
          <w:noProof/>
          <w:color w:val="000000"/>
          <w:sz w:val="24"/>
          <w:szCs w:val="24"/>
          <w:vertAlign w:val="superscript"/>
          <w:lang w:eastAsia="ko-KR" w:bidi="ar-SA"/>
        </w:rPr>
        <w:t>[9,10,13,17]</w:t>
      </w:r>
      <w:r w:rsidRPr="00A37102">
        <w:rPr>
          <w:rFonts w:ascii="Book Antiqua" w:eastAsia="Times New Roman" w:hAnsi="Book Antiqua"/>
          <w:color w:val="000000"/>
          <w:sz w:val="24"/>
          <w:szCs w:val="24"/>
        </w:rPr>
        <w:t xml:space="preserve"> to those taken place in Asia</w:t>
      </w:r>
      <w:r w:rsidRPr="00A37102">
        <w:rPr>
          <w:rFonts w:ascii="Book Antiqua" w:hAnsi="Book Antiqua"/>
          <w:color w:val="000000"/>
          <w:sz w:val="24"/>
          <w:szCs w:val="24"/>
          <w:vertAlign w:val="superscript"/>
          <w:lang w:eastAsia="zh-CN"/>
        </w:rPr>
        <w:t>[</w:t>
      </w:r>
      <w:r w:rsidRPr="00A37102">
        <w:rPr>
          <w:rFonts w:ascii="Book Antiqua" w:eastAsia="Times New Roman" w:hAnsi="Book Antiqua"/>
          <w:color w:val="000000"/>
          <w:sz w:val="24"/>
          <w:szCs w:val="24"/>
          <w:vertAlign w:val="superscript"/>
        </w:rPr>
        <w:t>8,12,15</w:t>
      </w:r>
      <w:r w:rsidRPr="00A37102">
        <w:rPr>
          <w:rFonts w:ascii="Book Antiqua" w:hAnsi="Book Antiqua"/>
          <w:color w:val="000000"/>
          <w:sz w:val="24"/>
          <w:szCs w:val="24"/>
          <w:vertAlign w:val="superscript"/>
          <w:lang w:eastAsia="zh-CN"/>
        </w:rPr>
        <w:t>]</w:t>
      </w:r>
      <w:r w:rsidRPr="00A37102">
        <w:rPr>
          <w:rFonts w:ascii="Book Antiqua" w:eastAsia="Times New Roman" w:hAnsi="Book Antiqua"/>
          <w:color w:val="000000"/>
          <w:sz w:val="24"/>
          <w:szCs w:val="24"/>
        </w:rPr>
        <w:t xml:space="preserve"> (omitting the Canadian and Israeli studies). No case of colectomy during hospitalization was reported among the non treated group in the Asian studies, therefore, patients who received antivirals underwent more colectomies than the non treated patients in the Asian studies. In the European studies no difference was recorded between the two groups (OR</w:t>
      </w:r>
      <w:r w:rsidRPr="00A37102">
        <w:rPr>
          <w:rFonts w:ascii="Book Antiqua" w:hAnsi="Book Antiqua"/>
          <w:color w:val="000000"/>
          <w:sz w:val="24"/>
          <w:szCs w:val="24"/>
          <w:lang w:eastAsia="zh-CN"/>
        </w:rPr>
        <w:t xml:space="preserve"> = </w:t>
      </w:r>
      <w:r w:rsidRPr="00A37102">
        <w:rPr>
          <w:rFonts w:ascii="Book Antiqua" w:eastAsia="Times New Roman" w:hAnsi="Book Antiqua"/>
          <w:color w:val="000000"/>
          <w:sz w:val="24"/>
          <w:szCs w:val="24"/>
        </w:rPr>
        <w:t>19.85</w:t>
      </w:r>
      <w:r w:rsidRPr="00A37102">
        <w:rPr>
          <w:rFonts w:ascii="Book Antiqua" w:hAnsi="Book Antiqua"/>
          <w:color w:val="000000"/>
          <w:sz w:val="24"/>
          <w:szCs w:val="24"/>
          <w:lang w:eastAsia="zh-CN"/>
        </w:rPr>
        <w:t>;</w:t>
      </w:r>
      <w:r w:rsidRPr="00A37102">
        <w:rPr>
          <w:rFonts w:ascii="Book Antiqua" w:eastAsia="Times New Roman" w:hAnsi="Book Antiqua"/>
          <w:color w:val="000000"/>
          <w:sz w:val="24"/>
          <w:szCs w:val="24"/>
        </w:rPr>
        <w:t xml:space="preserve"> 95%CI</w:t>
      </w:r>
      <w:r w:rsidRPr="00A37102">
        <w:rPr>
          <w:rFonts w:ascii="Book Antiqua" w:hAnsi="Book Antiqua"/>
          <w:color w:val="000000"/>
          <w:sz w:val="24"/>
          <w:szCs w:val="24"/>
          <w:lang w:eastAsia="zh-CN"/>
        </w:rPr>
        <w:t>:</w:t>
      </w:r>
      <w:r w:rsidRPr="00A37102">
        <w:rPr>
          <w:rFonts w:ascii="Book Antiqua" w:eastAsia="Times New Roman" w:hAnsi="Book Antiqua"/>
          <w:color w:val="000000"/>
          <w:sz w:val="24"/>
          <w:szCs w:val="24"/>
        </w:rPr>
        <w:t xml:space="preserve"> 1.94-203.61</w:t>
      </w:r>
      <w:r w:rsidRPr="00A37102">
        <w:rPr>
          <w:rFonts w:ascii="Book Antiqua" w:hAnsi="Book Antiqua"/>
          <w:color w:val="000000"/>
          <w:sz w:val="24"/>
          <w:szCs w:val="24"/>
          <w:lang w:eastAsia="zh-CN"/>
        </w:rPr>
        <w:t>;</w:t>
      </w:r>
      <w:r w:rsidRPr="00A37102">
        <w:rPr>
          <w:rFonts w:ascii="Book Antiqua" w:eastAsia="Times New Roman" w:hAnsi="Book Antiqua"/>
          <w:color w:val="000000"/>
          <w:sz w:val="24"/>
          <w:szCs w:val="24"/>
        </w:rPr>
        <w:t xml:space="preserve"> and OR</w:t>
      </w:r>
      <w:r w:rsidRPr="00A37102">
        <w:rPr>
          <w:rFonts w:ascii="Book Antiqua" w:hAnsi="Book Antiqua"/>
          <w:color w:val="000000"/>
          <w:sz w:val="24"/>
          <w:szCs w:val="24"/>
          <w:lang w:eastAsia="zh-CN"/>
        </w:rPr>
        <w:t xml:space="preserve"> = </w:t>
      </w:r>
      <w:r w:rsidRPr="00A37102">
        <w:rPr>
          <w:rFonts w:ascii="Book Antiqua" w:eastAsia="Times New Roman" w:hAnsi="Book Antiqua"/>
          <w:color w:val="000000"/>
          <w:sz w:val="24"/>
          <w:szCs w:val="24"/>
        </w:rPr>
        <w:t>0.81</w:t>
      </w:r>
      <w:r w:rsidRPr="00A37102">
        <w:rPr>
          <w:rFonts w:ascii="Book Antiqua" w:hAnsi="Book Antiqua"/>
          <w:color w:val="000000"/>
          <w:sz w:val="24"/>
          <w:szCs w:val="24"/>
          <w:lang w:eastAsia="zh-CN"/>
        </w:rPr>
        <w:t>;</w:t>
      </w:r>
      <w:r w:rsidRPr="00A37102">
        <w:rPr>
          <w:rFonts w:ascii="Book Antiqua" w:eastAsia="Times New Roman" w:hAnsi="Book Antiqua"/>
          <w:color w:val="000000"/>
          <w:sz w:val="24"/>
          <w:szCs w:val="24"/>
        </w:rPr>
        <w:t xml:space="preserve"> 95%CI</w:t>
      </w:r>
      <w:r w:rsidRPr="00A37102">
        <w:rPr>
          <w:rFonts w:ascii="Book Antiqua" w:hAnsi="Book Antiqua"/>
          <w:color w:val="000000"/>
          <w:sz w:val="24"/>
          <w:szCs w:val="24"/>
          <w:lang w:eastAsia="zh-CN"/>
        </w:rPr>
        <w:t xml:space="preserve">: </w:t>
      </w:r>
      <w:r w:rsidRPr="00A37102">
        <w:rPr>
          <w:rFonts w:ascii="Book Antiqua" w:eastAsia="Times New Roman" w:hAnsi="Book Antiqua"/>
          <w:color w:val="000000"/>
          <w:sz w:val="24"/>
          <w:szCs w:val="24"/>
        </w:rPr>
        <w:t xml:space="preserve">0.24-2.79 for studies taken in Asia and in Europe, respectively). </w:t>
      </w: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lang w:eastAsia="zh-CN"/>
        </w:rPr>
      </w:pPr>
    </w:p>
    <w:p w:rsidR="00DE6C05" w:rsidRPr="00A37102" w:rsidRDefault="00DE6C05" w:rsidP="00B343A9">
      <w:pPr>
        <w:snapToGrid w:val="0"/>
        <w:spacing w:after="0" w:line="360" w:lineRule="auto"/>
        <w:jc w:val="both"/>
        <w:rPr>
          <w:rFonts w:ascii="Book Antiqua" w:hAnsi="Book Antiqua"/>
          <w:bCs/>
          <w:color w:val="000000"/>
          <w:sz w:val="24"/>
          <w:szCs w:val="24"/>
        </w:rPr>
      </w:pPr>
      <w:r w:rsidRPr="00A37102">
        <w:rPr>
          <w:rFonts w:ascii="Book Antiqua" w:hAnsi="Book Antiqua"/>
          <w:b/>
          <w:bCs/>
          <w:color w:val="000000"/>
          <w:sz w:val="24"/>
          <w:szCs w:val="24"/>
        </w:rPr>
        <w:t>DISCUSSION</w:t>
      </w: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color w:val="000000"/>
          <w:sz w:val="24"/>
          <w:szCs w:val="24"/>
        </w:rPr>
        <w:t>In this systematic review and MA, we have attempted to compare the outcome of CMV-positive UC patients who were treated with antivirals to that of untreated patients. We did not observe a favorable effect of antiviral therapy for either the primary (short-term colectomy rate) or the secondary (long-term colectomy rate) outcomes. In fact, the patients who had not been treated had a significantly lower risk of a short-term colectomy, and a trend towards improved long-term outcome. However, these results should be interpreted cautiously in view of important confounders and biases that are discussed in detail below.</w:t>
      </w:r>
    </w:p>
    <w:p w:rsidR="00DE6C05" w:rsidRPr="00A37102" w:rsidRDefault="00DE6C05" w:rsidP="00821B20">
      <w:pPr>
        <w:spacing w:after="0" w:line="360" w:lineRule="auto"/>
        <w:ind w:firstLineChars="200" w:firstLine="480"/>
        <w:jc w:val="both"/>
        <w:rPr>
          <w:rFonts w:ascii="Book Antiqua" w:hAnsi="Book Antiqua"/>
          <w:color w:val="000000"/>
          <w:sz w:val="24"/>
          <w:szCs w:val="24"/>
        </w:rPr>
      </w:pPr>
      <w:r w:rsidRPr="00A37102">
        <w:rPr>
          <w:rFonts w:ascii="Book Antiqua" w:hAnsi="Book Antiqua"/>
          <w:color w:val="000000"/>
          <w:sz w:val="24"/>
          <w:szCs w:val="24"/>
        </w:rPr>
        <w:t>Although CMV infection in IBD patients is frequently described, the vast majority of the studies pertaining to the outcome of this condition are case-reports and case series</w:t>
      </w:r>
      <w:r w:rsidRPr="00A37102">
        <w:rPr>
          <w:rFonts w:ascii="Book Antiqua" w:hAnsi="Book Antiqua"/>
          <w:noProof/>
          <w:color w:val="000000"/>
          <w:sz w:val="24"/>
          <w:szCs w:val="24"/>
          <w:vertAlign w:val="superscript"/>
        </w:rPr>
        <w:t>[18]</w:t>
      </w:r>
      <w:r w:rsidRPr="00A37102">
        <w:rPr>
          <w:rFonts w:ascii="Book Antiqua" w:hAnsi="Book Antiqua"/>
          <w:color w:val="000000"/>
          <w:sz w:val="24"/>
          <w:szCs w:val="24"/>
        </w:rPr>
        <w:t xml:space="preserve">. Very few prospective studies evaluating the outcomes of such cases have been published, and none employed a randomized blinded design. The true pathological and clinical consequences of the presence of CMV in the colonic tissue in patients with </w:t>
      </w:r>
      <w:r w:rsidRPr="00A37102">
        <w:rPr>
          <w:rFonts w:ascii="Book Antiqua" w:hAnsi="Book Antiqua"/>
          <w:color w:val="000000"/>
          <w:sz w:val="24"/>
          <w:szCs w:val="24"/>
        </w:rPr>
        <w:lastRenderedPageBreak/>
        <w:t xml:space="preserve">ulcerative colitis have been debated for many years, since the initial report by Powell </w:t>
      </w:r>
      <w:r w:rsidRPr="00A37102">
        <w:rPr>
          <w:rFonts w:ascii="Book Antiqua" w:hAnsi="Book Antiqua"/>
          <w:i/>
          <w:color w:val="000000"/>
          <w:sz w:val="24"/>
          <w:szCs w:val="24"/>
        </w:rPr>
        <w:t>et al</w:t>
      </w:r>
      <w:r w:rsidRPr="00A37102">
        <w:rPr>
          <w:rFonts w:ascii="Book Antiqua" w:hAnsi="Book Antiqua"/>
          <w:noProof/>
          <w:color w:val="000000"/>
          <w:sz w:val="24"/>
          <w:szCs w:val="24"/>
          <w:vertAlign w:val="superscript"/>
        </w:rPr>
        <w:t>[19]</w:t>
      </w:r>
      <w:r w:rsidRPr="00A37102">
        <w:rPr>
          <w:rFonts w:ascii="Book Antiqua" w:hAnsi="Book Antiqua"/>
          <w:color w:val="000000"/>
          <w:sz w:val="24"/>
          <w:szCs w:val="24"/>
        </w:rPr>
        <w:t>. Although evidence of CMV infection in the inflamed colonic mucosa of IBD patients is quite common, particularly in steroid-resistant patients</w:t>
      </w:r>
      <w:r w:rsidRPr="00A37102">
        <w:rPr>
          <w:rFonts w:ascii="Book Antiqua" w:hAnsi="Book Antiqua"/>
          <w:noProof/>
          <w:color w:val="000000"/>
          <w:sz w:val="24"/>
          <w:szCs w:val="24"/>
          <w:vertAlign w:val="superscript"/>
        </w:rPr>
        <w:t>[20,21]</w:t>
      </w:r>
      <w:r w:rsidRPr="00A37102">
        <w:rPr>
          <w:rFonts w:ascii="Book Antiqua" w:hAnsi="Book Antiqua"/>
          <w:color w:val="000000"/>
          <w:sz w:val="24"/>
          <w:szCs w:val="24"/>
        </w:rPr>
        <w:t>, the actual clinical significance of this finding remains unclear. CMV is trophic for inflamed and replicating tissue, and commonly affects immunosuppressed patients</w:t>
      </w:r>
      <w:r w:rsidRPr="00A37102">
        <w:rPr>
          <w:rFonts w:ascii="Book Antiqua" w:hAnsi="Book Antiqua"/>
          <w:noProof/>
          <w:color w:val="000000"/>
          <w:sz w:val="24"/>
          <w:szCs w:val="24"/>
          <w:vertAlign w:val="superscript"/>
        </w:rPr>
        <w:t>[6,7]</w:t>
      </w:r>
      <w:r w:rsidRPr="00A37102">
        <w:rPr>
          <w:rFonts w:ascii="Book Antiqua" w:hAnsi="Book Antiqua"/>
          <w:color w:val="000000"/>
          <w:sz w:val="24"/>
          <w:szCs w:val="24"/>
        </w:rPr>
        <w:t>. Evidence of viral shedding and replication is often found in IBD patients, almost exclusively in the inflamed mucosa</w:t>
      </w:r>
      <w:r w:rsidRPr="00A37102">
        <w:rPr>
          <w:rFonts w:ascii="Book Antiqua" w:hAnsi="Book Antiqua"/>
          <w:noProof/>
          <w:color w:val="000000"/>
          <w:sz w:val="24"/>
          <w:szCs w:val="24"/>
          <w:vertAlign w:val="superscript"/>
        </w:rPr>
        <w:t>[2]</w:t>
      </w:r>
      <w:r w:rsidRPr="00A37102">
        <w:rPr>
          <w:rFonts w:ascii="Book Antiqua" w:hAnsi="Book Antiqua"/>
          <w:color w:val="000000"/>
          <w:sz w:val="24"/>
          <w:szCs w:val="24"/>
        </w:rPr>
        <w:t>. However, the virus has been shown to disappear from the colonic tissue of UC patients without the administration of antiviral therapy</w:t>
      </w:r>
      <w:r w:rsidRPr="00A37102">
        <w:rPr>
          <w:rFonts w:ascii="Book Antiqua" w:hAnsi="Book Antiqua"/>
          <w:noProof/>
          <w:color w:val="000000"/>
          <w:sz w:val="24"/>
          <w:szCs w:val="24"/>
          <w:vertAlign w:val="superscript"/>
        </w:rPr>
        <w:t>[22]</w:t>
      </w:r>
      <w:r w:rsidRPr="00A37102">
        <w:rPr>
          <w:rFonts w:ascii="Book Antiqua" w:hAnsi="Book Antiqua"/>
          <w:color w:val="000000"/>
          <w:sz w:val="24"/>
          <w:szCs w:val="24"/>
        </w:rPr>
        <w:t>. We will try to address some of the more important controversies on the subject of CMV colitis that are the focus of the present study.</w:t>
      </w:r>
    </w:p>
    <w:p w:rsidR="00DE6C05" w:rsidRPr="00A37102" w:rsidRDefault="00DE6C05" w:rsidP="00821B20">
      <w:pPr>
        <w:spacing w:after="0" w:line="360" w:lineRule="auto"/>
        <w:ind w:firstLineChars="200" w:firstLine="480"/>
        <w:jc w:val="both"/>
        <w:rPr>
          <w:rFonts w:ascii="Book Antiqua" w:hAnsi="Book Antiqua"/>
          <w:color w:val="000000"/>
          <w:sz w:val="24"/>
          <w:szCs w:val="24"/>
        </w:rPr>
      </w:pPr>
      <w:r w:rsidRPr="00A37102">
        <w:rPr>
          <w:rFonts w:ascii="Book Antiqua" w:hAnsi="Book Antiqua"/>
          <w:color w:val="000000"/>
          <w:sz w:val="24"/>
          <w:szCs w:val="24"/>
        </w:rPr>
        <w:t>The first issue is the method of diagnosis of CMV infection. Several diagnostic techniques have been described for UC patients. In the past, viral culture was considered a “gold standard” technique for detection of CMV. However, this technique is not sufficiently sensitive and is cumbersome. CMV serology is usually uninformative, as positive CMV IGG is very common. However, a positive CMV IgM is indicative of acute infection</w:t>
      </w:r>
      <w:r w:rsidRPr="00A37102">
        <w:rPr>
          <w:rFonts w:ascii="Book Antiqua" w:hAnsi="Book Antiqua"/>
          <w:noProof/>
          <w:color w:val="000000"/>
          <w:sz w:val="24"/>
          <w:szCs w:val="24"/>
          <w:vertAlign w:val="superscript"/>
        </w:rPr>
        <w:t>[1]</w:t>
      </w:r>
      <w:r w:rsidRPr="00A37102">
        <w:rPr>
          <w:rFonts w:ascii="Book Antiqua" w:hAnsi="Book Antiqua"/>
          <w:color w:val="000000"/>
          <w:sz w:val="24"/>
          <w:szCs w:val="24"/>
        </w:rPr>
        <w:t>, and the risk of CMV infection in patients negative for both IgG and IgM is extremely low</w:t>
      </w:r>
      <w:r w:rsidRPr="00A37102">
        <w:rPr>
          <w:rFonts w:ascii="Book Antiqua" w:hAnsi="Book Antiqua"/>
          <w:noProof/>
          <w:color w:val="000000"/>
          <w:sz w:val="24"/>
          <w:szCs w:val="24"/>
          <w:vertAlign w:val="superscript"/>
        </w:rPr>
        <w:t>[23]</w:t>
      </w:r>
      <w:r w:rsidRPr="00A37102">
        <w:rPr>
          <w:rFonts w:ascii="Book Antiqua" w:hAnsi="Book Antiqua"/>
          <w:color w:val="000000"/>
          <w:sz w:val="24"/>
          <w:szCs w:val="24"/>
        </w:rPr>
        <w:t>. None of the studies included in this MA used positive serology as a sole criterion for definition of CMV infection or colitis. Viral particles (pp65 antigen) can be detected in fluid specimens. However, this technique is susceptible to subjective interpretation and can be positive without evidence of colitis</w:t>
      </w:r>
      <w:r w:rsidRPr="00A37102">
        <w:rPr>
          <w:rFonts w:ascii="Book Antiqua" w:hAnsi="Book Antiqua"/>
          <w:noProof/>
          <w:color w:val="000000"/>
          <w:sz w:val="24"/>
          <w:szCs w:val="24"/>
          <w:vertAlign w:val="superscript"/>
        </w:rPr>
        <w:t>[6,24]</w:t>
      </w:r>
      <w:r w:rsidRPr="00A37102">
        <w:rPr>
          <w:rFonts w:ascii="Book Antiqua" w:hAnsi="Book Antiqua"/>
          <w:color w:val="000000"/>
          <w:sz w:val="24"/>
          <w:szCs w:val="24"/>
        </w:rPr>
        <w:t>. Only one of the studies included in this systematic review employed pp65 antigenemia as an indicator of a need for antiviral therapy, along with positive immunohistochemistry</w:t>
      </w:r>
      <w:r w:rsidRPr="00A37102">
        <w:rPr>
          <w:rFonts w:ascii="Book Antiqua" w:hAnsi="Book Antiqua"/>
          <w:noProof/>
          <w:color w:val="000000"/>
          <w:sz w:val="24"/>
          <w:szCs w:val="24"/>
          <w:vertAlign w:val="superscript"/>
        </w:rPr>
        <w:t>[11]</w:t>
      </w:r>
      <w:r w:rsidRPr="00A37102">
        <w:rPr>
          <w:rFonts w:ascii="Book Antiqua" w:hAnsi="Book Antiqua"/>
          <w:color w:val="000000"/>
          <w:sz w:val="24"/>
          <w:szCs w:val="24"/>
        </w:rPr>
        <w:t>. CMV antigenemia testing has generally been replaced by viral DNA detection. CMV DNA can be identified by PCR with a sensitivity of 65%–100% and specificity of 40%–92%</w:t>
      </w:r>
      <w:r w:rsidRPr="00A37102">
        <w:rPr>
          <w:rFonts w:ascii="Book Antiqua" w:hAnsi="Book Antiqua"/>
          <w:noProof/>
          <w:color w:val="000000"/>
          <w:sz w:val="24"/>
          <w:szCs w:val="24"/>
          <w:vertAlign w:val="superscript"/>
        </w:rPr>
        <w:t>[2]</w:t>
      </w:r>
      <w:r w:rsidRPr="00A37102">
        <w:rPr>
          <w:rFonts w:ascii="Book Antiqua" w:hAnsi="Book Antiqua"/>
          <w:color w:val="000000"/>
          <w:sz w:val="24"/>
          <w:szCs w:val="24"/>
        </w:rPr>
        <w:t>. PCR can be positive in patients without colonic involvement, and a correlation with histologic CMV disease has not been universally reported</w:t>
      </w:r>
      <w:r w:rsidRPr="00A37102">
        <w:rPr>
          <w:rFonts w:ascii="Book Antiqua" w:hAnsi="Book Antiqua"/>
          <w:noProof/>
          <w:color w:val="000000"/>
          <w:sz w:val="24"/>
          <w:szCs w:val="24"/>
          <w:vertAlign w:val="superscript"/>
        </w:rPr>
        <w:t>[6,22,25]</w:t>
      </w:r>
      <w:r w:rsidRPr="00A37102">
        <w:rPr>
          <w:rFonts w:ascii="Book Antiqua" w:hAnsi="Book Antiqua"/>
          <w:color w:val="000000"/>
          <w:sz w:val="24"/>
          <w:szCs w:val="24"/>
        </w:rPr>
        <w:t xml:space="preserve">.The presence of CMV in colonic tissue can also be detected by histological methods </w:t>
      </w:r>
      <w:r w:rsidRPr="00A37102">
        <w:rPr>
          <w:rFonts w:ascii="Book Antiqua" w:hAnsi="Book Antiqua"/>
          <w:color w:val="000000"/>
          <w:sz w:val="24"/>
          <w:szCs w:val="24"/>
          <w:lang w:eastAsia="zh-CN"/>
        </w:rPr>
        <w:t>[</w:t>
      </w:r>
      <w:r w:rsidRPr="00A37102">
        <w:rPr>
          <w:rFonts w:ascii="Book Antiqua" w:hAnsi="Book Antiqua"/>
          <w:color w:val="000000"/>
          <w:sz w:val="24"/>
          <w:szCs w:val="24"/>
        </w:rPr>
        <w:t>hematoxylin-eosin staining (HE), IHC</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(figure 3), as well as PCR. Earlier reports have included steroid-resistant patients with evidence of CMV-induced cytopathic damage on HE staining </w:t>
      </w:r>
      <w:r w:rsidRPr="00A37102">
        <w:rPr>
          <w:rFonts w:ascii="Book Antiqua" w:hAnsi="Book Antiqua"/>
          <w:color w:val="000000"/>
          <w:sz w:val="24"/>
          <w:szCs w:val="24"/>
        </w:rPr>
        <w:lastRenderedPageBreak/>
        <w:t>(“inclusion bodies”)</w:t>
      </w:r>
      <w:r w:rsidRPr="00A37102">
        <w:rPr>
          <w:rFonts w:ascii="Book Antiqua" w:hAnsi="Book Antiqua"/>
          <w:noProof/>
          <w:color w:val="000000"/>
          <w:sz w:val="24"/>
          <w:szCs w:val="24"/>
          <w:vertAlign w:val="superscript"/>
        </w:rPr>
        <w:t>[20,26,27]</w:t>
      </w:r>
      <w:r w:rsidRPr="00A37102">
        <w:rPr>
          <w:rFonts w:ascii="Book Antiqua" w:hAnsi="Book Antiqua"/>
          <w:color w:val="000000"/>
          <w:sz w:val="24"/>
          <w:szCs w:val="24"/>
        </w:rPr>
        <w:t>. These patients usually had a severe disease and high rates of</w:t>
      </w:r>
      <w:r w:rsidRPr="00A37102" w:rsidDel="00731F86">
        <w:rPr>
          <w:rFonts w:ascii="Book Antiqua" w:hAnsi="Book Antiqua"/>
          <w:color w:val="000000"/>
          <w:sz w:val="24"/>
          <w:szCs w:val="24"/>
        </w:rPr>
        <w:t xml:space="preserve"> </w:t>
      </w:r>
      <w:r w:rsidRPr="00A37102">
        <w:rPr>
          <w:rFonts w:ascii="Book Antiqua" w:hAnsi="Book Antiqua"/>
          <w:color w:val="000000"/>
          <w:sz w:val="24"/>
          <w:szCs w:val="24"/>
        </w:rPr>
        <w:t>colectomy (up to 67%)</w:t>
      </w:r>
      <w:r w:rsidRPr="00A37102">
        <w:rPr>
          <w:rFonts w:ascii="Book Antiqua" w:hAnsi="Book Antiqua"/>
          <w:noProof/>
          <w:color w:val="000000"/>
          <w:sz w:val="24"/>
          <w:szCs w:val="24"/>
          <w:vertAlign w:val="superscript"/>
        </w:rPr>
        <w:t>[21,26,28]</w:t>
      </w:r>
      <w:r w:rsidRPr="00A37102">
        <w:rPr>
          <w:rFonts w:ascii="Book Antiqua" w:hAnsi="Book Antiqua"/>
          <w:color w:val="000000"/>
          <w:sz w:val="24"/>
          <w:szCs w:val="24"/>
        </w:rPr>
        <w:t>. The detection of inclusion bodies on HE staining is clinically relevant</w:t>
      </w:r>
      <w:r w:rsidRPr="00A37102">
        <w:rPr>
          <w:rFonts w:ascii="Book Antiqua" w:hAnsi="Book Antiqua"/>
          <w:noProof/>
          <w:color w:val="000000"/>
          <w:sz w:val="24"/>
          <w:szCs w:val="24"/>
          <w:vertAlign w:val="superscript"/>
        </w:rPr>
        <w:t>[6]</w:t>
      </w:r>
      <w:r w:rsidRPr="00A37102">
        <w:rPr>
          <w:rFonts w:ascii="Book Antiqua" w:hAnsi="Book Antiqua"/>
          <w:color w:val="000000"/>
          <w:sz w:val="24"/>
          <w:szCs w:val="24"/>
        </w:rPr>
        <w:t xml:space="preserve"> and implies ongoing destruction of the colonic epithelial cells by the virus. Unfortunately, this technique has low sensitivity (10</w:t>
      </w:r>
      <w:r w:rsidRPr="00A37102">
        <w:rPr>
          <w:rFonts w:ascii="Book Antiqua" w:hAnsi="Book Antiqua"/>
          <w:color w:val="000000"/>
          <w:sz w:val="24"/>
          <w:szCs w:val="24"/>
          <w:lang w:eastAsia="zh-CN"/>
        </w:rPr>
        <w:t>%</w:t>
      </w:r>
      <w:r w:rsidRPr="00A37102">
        <w:rPr>
          <w:rFonts w:ascii="Book Antiqua" w:hAnsi="Book Antiqua"/>
          <w:color w:val="000000"/>
          <w:sz w:val="24"/>
          <w:szCs w:val="24"/>
        </w:rPr>
        <w:t>-87%)</w:t>
      </w:r>
      <w:r w:rsidRPr="00A37102">
        <w:rPr>
          <w:rFonts w:ascii="Book Antiqua" w:hAnsi="Book Antiqua"/>
          <w:noProof/>
          <w:color w:val="000000"/>
          <w:sz w:val="24"/>
          <w:szCs w:val="24"/>
          <w:vertAlign w:val="superscript"/>
        </w:rPr>
        <w:t>[2]</w:t>
      </w:r>
      <w:r w:rsidRPr="00A37102">
        <w:rPr>
          <w:rFonts w:ascii="Book Antiqua" w:hAnsi="Book Antiqua"/>
          <w:color w:val="000000"/>
          <w:sz w:val="24"/>
          <w:szCs w:val="24"/>
        </w:rPr>
        <w:t>. Immunohistochemistry with a monoclonal antibody targeting the early CMV antigen has been reported to improve the diagnostic sensitivity to 78</w:t>
      </w:r>
      <w:r w:rsidRPr="00A37102">
        <w:rPr>
          <w:rFonts w:ascii="Book Antiqua" w:hAnsi="Book Antiqua"/>
          <w:color w:val="000000"/>
          <w:sz w:val="24"/>
          <w:szCs w:val="24"/>
          <w:lang w:eastAsia="zh-CN"/>
        </w:rPr>
        <w:t>%</w:t>
      </w:r>
      <w:r w:rsidRPr="00A37102">
        <w:rPr>
          <w:rFonts w:ascii="Book Antiqua" w:hAnsi="Book Antiqua"/>
          <w:color w:val="000000"/>
          <w:sz w:val="24"/>
          <w:szCs w:val="24"/>
        </w:rPr>
        <w:t>-93%</w:t>
      </w:r>
      <w:r w:rsidRPr="00A37102">
        <w:rPr>
          <w:rFonts w:ascii="Book Antiqua" w:hAnsi="Book Antiqua"/>
          <w:noProof/>
          <w:color w:val="000000"/>
          <w:sz w:val="24"/>
          <w:szCs w:val="24"/>
          <w:vertAlign w:val="superscript"/>
        </w:rPr>
        <w:t>[2,29]</w:t>
      </w:r>
      <w:r w:rsidRPr="00A37102">
        <w:rPr>
          <w:rFonts w:ascii="Book Antiqua" w:hAnsi="Book Antiqua"/>
          <w:color w:val="000000"/>
          <w:sz w:val="24"/>
          <w:szCs w:val="24"/>
        </w:rPr>
        <w:t>. Current ECCO guidelines recommend the combination of HE staining and IHC for detection of CMV infection in patients with a flare-up of UC</w:t>
      </w:r>
      <w:r w:rsidRPr="00A37102">
        <w:rPr>
          <w:rFonts w:ascii="Book Antiqua" w:hAnsi="Book Antiqua"/>
          <w:noProof/>
          <w:color w:val="000000"/>
          <w:sz w:val="24"/>
          <w:szCs w:val="24"/>
          <w:vertAlign w:val="superscript"/>
        </w:rPr>
        <w:t>[30]</w:t>
      </w:r>
      <w:r w:rsidRPr="00A37102">
        <w:rPr>
          <w:rFonts w:ascii="Book Antiqua" w:hAnsi="Book Antiqua"/>
          <w:color w:val="000000"/>
          <w:sz w:val="24"/>
          <w:szCs w:val="24"/>
        </w:rPr>
        <w:t>. Detection of CMV DNA in the colonic tissue by PCR is highly sensitive, but in the absence of histological evidence of tissue damage possibly represents a remote or latent infection or a low-key viral replication of unclear significance</w:t>
      </w:r>
      <w:r w:rsidRPr="00A37102">
        <w:rPr>
          <w:rFonts w:ascii="Book Antiqua" w:hAnsi="Book Antiqua"/>
          <w:noProof/>
          <w:color w:val="000000"/>
          <w:sz w:val="24"/>
          <w:szCs w:val="24"/>
          <w:vertAlign w:val="superscript"/>
        </w:rPr>
        <w:t>[2]</w:t>
      </w:r>
      <w:r w:rsidRPr="00A37102">
        <w:rPr>
          <w:rFonts w:ascii="Book Antiqua" w:hAnsi="Book Antiqua"/>
          <w:color w:val="000000"/>
          <w:sz w:val="24"/>
          <w:szCs w:val="24"/>
        </w:rPr>
        <w:t>. Recently, reports have been published</w:t>
      </w:r>
      <w:r w:rsidRPr="00A37102">
        <w:rPr>
          <w:rFonts w:ascii="Book Antiqua" w:hAnsi="Book Antiqua"/>
          <w:noProof/>
          <w:color w:val="000000"/>
          <w:sz w:val="24"/>
          <w:szCs w:val="24"/>
          <w:vertAlign w:val="superscript"/>
        </w:rPr>
        <w:t>[13,25]</w:t>
      </w:r>
      <w:r w:rsidRPr="00A37102">
        <w:rPr>
          <w:rFonts w:ascii="Book Antiqua" w:hAnsi="Book Antiqua"/>
          <w:color w:val="000000"/>
          <w:sz w:val="24"/>
          <w:szCs w:val="24"/>
        </w:rPr>
        <w:t xml:space="preserve"> utilizing a quantitative cut-off for a number of CMV particles detected by real-time PCR. </w:t>
      </w:r>
    </w:p>
    <w:p w:rsidR="00DE6C05" w:rsidRPr="00A37102" w:rsidRDefault="00DE6C05" w:rsidP="00AC20B2">
      <w:pPr>
        <w:spacing w:after="0" w:line="360" w:lineRule="auto"/>
        <w:ind w:firstLineChars="200" w:firstLine="480"/>
        <w:jc w:val="both"/>
        <w:rPr>
          <w:rFonts w:ascii="Book Antiqua" w:hAnsi="Book Antiqua"/>
          <w:color w:val="000000"/>
          <w:sz w:val="24"/>
          <w:szCs w:val="24"/>
        </w:rPr>
      </w:pPr>
      <w:r w:rsidRPr="00A37102">
        <w:rPr>
          <w:rFonts w:ascii="Book Antiqua" w:hAnsi="Book Antiqua"/>
          <w:color w:val="000000"/>
          <w:sz w:val="24"/>
          <w:szCs w:val="24"/>
        </w:rPr>
        <w:t>Despite the available evidence, the question as to what test truly defines CMV disease in the colon and thus signifies the need for treatment remains unanswered. There was significant heterogeneity in the definition of CMV among the studies included in this MA. Five</w:t>
      </w:r>
      <w:r w:rsidRPr="00A37102">
        <w:rPr>
          <w:rFonts w:ascii="Book Antiqua" w:hAnsi="Book Antiqua"/>
          <w:noProof/>
          <w:color w:val="000000"/>
          <w:sz w:val="24"/>
          <w:szCs w:val="24"/>
          <w:vertAlign w:val="superscript"/>
        </w:rPr>
        <w:t>[9,10,14-16]</w:t>
      </w:r>
      <w:r w:rsidRPr="00A37102">
        <w:rPr>
          <w:rFonts w:ascii="Book Antiqua" w:hAnsi="Book Antiqua"/>
          <w:color w:val="000000"/>
          <w:sz w:val="24"/>
          <w:szCs w:val="24"/>
        </w:rPr>
        <w:t xml:space="preserve"> defined CMV colitis by presence of a positive IHC staining for CMV. Two studies</w:t>
      </w:r>
      <w:r w:rsidRPr="00A37102">
        <w:rPr>
          <w:rFonts w:ascii="Book Antiqua" w:hAnsi="Book Antiqua"/>
          <w:noProof/>
          <w:color w:val="000000"/>
          <w:sz w:val="24"/>
          <w:szCs w:val="24"/>
          <w:vertAlign w:val="superscript"/>
        </w:rPr>
        <w:t>[8,13]</w:t>
      </w:r>
      <w:r w:rsidRPr="00A37102">
        <w:rPr>
          <w:rFonts w:ascii="Book Antiqua" w:hAnsi="Book Antiqua"/>
          <w:color w:val="000000"/>
          <w:sz w:val="24"/>
          <w:szCs w:val="24"/>
        </w:rPr>
        <w:t xml:space="preserve"> included IHC/HE –negative patients who were positive for CMV in colonic tissue using PCR. Two additional studies</w:t>
      </w:r>
      <w:r w:rsidRPr="00A37102">
        <w:rPr>
          <w:rFonts w:ascii="Book Antiqua" w:hAnsi="Book Antiqua"/>
          <w:noProof/>
          <w:color w:val="000000"/>
          <w:sz w:val="24"/>
          <w:szCs w:val="24"/>
          <w:vertAlign w:val="superscript"/>
        </w:rPr>
        <w:t>[11,12]</w:t>
      </w:r>
      <w:r w:rsidRPr="00A37102">
        <w:rPr>
          <w:rFonts w:ascii="Book Antiqua" w:hAnsi="Book Antiqua"/>
          <w:color w:val="000000"/>
          <w:sz w:val="24"/>
          <w:szCs w:val="24"/>
        </w:rPr>
        <w:t xml:space="preserve"> employed a combination of several techniques to define CMV positivity. A subgroup analysis of studies including only IHC-positive patients did not demonstrate a significant difference in the outcome between the groups (</w:t>
      </w:r>
      <w:r w:rsidRPr="00A37102">
        <w:rPr>
          <w:rFonts w:ascii="Book Antiqua" w:hAnsi="Book Antiqua" w:cs="AdvP6975"/>
          <w:color w:val="000000"/>
          <w:sz w:val="24"/>
          <w:szCs w:val="24"/>
        </w:rPr>
        <w:t>OR</w:t>
      </w:r>
      <w:r w:rsidRPr="00A37102">
        <w:rPr>
          <w:rFonts w:ascii="Book Antiqua" w:hAnsi="Book Antiqua" w:cs="AdvP6975"/>
          <w:color w:val="000000"/>
          <w:sz w:val="24"/>
          <w:szCs w:val="24"/>
          <w:lang w:eastAsia="zh-CN"/>
        </w:rPr>
        <w:t xml:space="preserve"> =</w:t>
      </w:r>
      <w:r w:rsidRPr="00A37102">
        <w:rPr>
          <w:rFonts w:ascii="Book Antiqua" w:hAnsi="Book Antiqua" w:cs="AdvP6975"/>
          <w:color w:val="000000"/>
          <w:sz w:val="24"/>
          <w:szCs w:val="24"/>
        </w:rPr>
        <w:t xml:space="preserve"> 3.41</w:t>
      </w:r>
      <w:r w:rsidRPr="00A37102">
        <w:rPr>
          <w:rFonts w:ascii="Book Antiqua" w:hAnsi="Book Antiqua" w:cs="AdvP6975"/>
          <w:color w:val="000000"/>
          <w:sz w:val="24"/>
          <w:szCs w:val="24"/>
          <w:lang w:eastAsia="zh-CN"/>
        </w:rPr>
        <w:t>;</w:t>
      </w:r>
      <w:r w:rsidRPr="00A37102">
        <w:rPr>
          <w:rFonts w:ascii="Book Antiqua" w:hAnsi="Book Antiqua" w:cs="AdvP6975"/>
          <w:color w:val="000000"/>
          <w:sz w:val="24"/>
          <w:szCs w:val="24"/>
        </w:rPr>
        <w:t xml:space="preserve"> 95%CI</w:t>
      </w:r>
      <w:r w:rsidRPr="00A37102">
        <w:rPr>
          <w:rFonts w:ascii="Book Antiqua" w:hAnsi="Book Antiqua" w:cs="AdvP6975"/>
          <w:color w:val="000000"/>
          <w:sz w:val="24"/>
          <w:szCs w:val="24"/>
          <w:lang w:eastAsia="zh-CN"/>
        </w:rPr>
        <w:t>:</w:t>
      </w:r>
      <w:r w:rsidRPr="00A37102">
        <w:rPr>
          <w:rFonts w:ascii="Book Antiqua" w:hAnsi="Book Antiqua" w:cs="AdvP6975"/>
          <w:color w:val="000000"/>
          <w:sz w:val="24"/>
          <w:szCs w:val="24"/>
        </w:rPr>
        <w:t xml:space="preserve"> 0.</w:t>
      </w:r>
      <w:r w:rsidRPr="00A37102" w:rsidDel="00913963">
        <w:rPr>
          <w:rFonts w:ascii="Book Antiqua" w:hAnsi="Book Antiqua" w:cs="AdvP6975"/>
          <w:color w:val="000000"/>
          <w:sz w:val="24"/>
          <w:szCs w:val="24"/>
        </w:rPr>
        <w:t xml:space="preserve"> </w:t>
      </w:r>
      <w:r w:rsidRPr="00A37102">
        <w:rPr>
          <w:rFonts w:ascii="Book Antiqua" w:hAnsi="Book Antiqua" w:cs="AdvP6975"/>
          <w:color w:val="000000"/>
          <w:sz w:val="24"/>
          <w:szCs w:val="24"/>
        </w:rPr>
        <w:t>39-29.83, 5 studies</w:t>
      </w:r>
      <w:r w:rsidRPr="00A37102">
        <w:rPr>
          <w:rFonts w:ascii="Book Antiqua" w:hAnsi="Book Antiqua"/>
          <w:color w:val="000000"/>
          <w:sz w:val="24"/>
          <w:szCs w:val="24"/>
        </w:rPr>
        <w:t xml:space="preserve">). </w:t>
      </w: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color w:val="000000"/>
          <w:sz w:val="24"/>
          <w:szCs w:val="24"/>
        </w:rPr>
        <w:t>The standard treatment recommended for CMV colitis employs intravenous gancyclovir (5 mg/kg intravenously every 12 h for 2–3 wk) with a possible switch to oral gancyclovir (1g</w:t>
      </w:r>
      <w:r w:rsidRPr="00A37102">
        <w:rPr>
          <w:rFonts w:ascii="Book Antiqua" w:hAnsi="Book Antiqua"/>
          <w:color w:val="000000"/>
          <w:sz w:val="24"/>
          <w:szCs w:val="24"/>
          <w:lang w:eastAsia="zh-CN"/>
        </w:rPr>
        <w:t>/</w:t>
      </w:r>
      <w:r w:rsidRPr="00A37102">
        <w:rPr>
          <w:rFonts w:ascii="Book Antiqua" w:hAnsi="Book Antiqua"/>
          <w:color w:val="000000"/>
          <w:sz w:val="24"/>
          <w:szCs w:val="24"/>
        </w:rPr>
        <w:t>8 h) after clinical improvement for the reminder of the course</w:t>
      </w:r>
      <w:r w:rsidRPr="00A37102">
        <w:rPr>
          <w:rFonts w:ascii="Book Antiqua" w:hAnsi="Book Antiqua"/>
          <w:noProof/>
          <w:color w:val="000000"/>
          <w:sz w:val="24"/>
          <w:szCs w:val="24"/>
          <w:vertAlign w:val="superscript"/>
        </w:rPr>
        <w:t>[2]</w:t>
      </w:r>
      <w:r w:rsidRPr="00A37102">
        <w:rPr>
          <w:rFonts w:ascii="Book Antiqua" w:hAnsi="Book Antiqua"/>
          <w:color w:val="000000"/>
          <w:sz w:val="24"/>
          <w:szCs w:val="24"/>
        </w:rPr>
        <w:t>. These recommendations are not based on experience in IBD, but are derived from data in organ transplant patients</w:t>
      </w:r>
      <w:r w:rsidRPr="00A37102">
        <w:rPr>
          <w:rFonts w:ascii="Book Antiqua" w:hAnsi="Book Antiqua"/>
          <w:noProof/>
          <w:color w:val="000000"/>
          <w:sz w:val="24"/>
          <w:szCs w:val="24"/>
          <w:vertAlign w:val="superscript"/>
        </w:rPr>
        <w:t>[31]</w:t>
      </w:r>
      <w:r w:rsidRPr="00A37102">
        <w:rPr>
          <w:rFonts w:ascii="Book Antiqua" w:hAnsi="Book Antiqua"/>
          <w:color w:val="000000"/>
          <w:sz w:val="24"/>
          <w:szCs w:val="24"/>
        </w:rPr>
        <w:t xml:space="preserve">. The vast majority of patients in the included studies were initially treated intravenously, usually with gancyclovir, or with foscarnet in gancyclovir-resistant cases. The duration of the intravenous treatment and whether the patients were eventually switched to oral valgancyclovir were not available for majority </w:t>
      </w:r>
      <w:r w:rsidRPr="00A37102">
        <w:rPr>
          <w:rFonts w:ascii="Book Antiqua" w:hAnsi="Book Antiqua"/>
          <w:color w:val="000000"/>
          <w:sz w:val="24"/>
          <w:szCs w:val="24"/>
        </w:rPr>
        <w:lastRenderedPageBreak/>
        <w:t>of the studies. Importantly, administration of both gancyclovir and foscarnet is associated with significant adverse effects (for gancyclovir- bone marrow depression, headaches, somnolence, psychosis, abnormal liver function, fever, and rash; for foscarnet- nephrotoxicity and severe electrolyte abnormalities</w:t>
      </w:r>
      <w:r w:rsidRPr="00A37102">
        <w:rPr>
          <w:rFonts w:ascii="Book Antiqua" w:hAnsi="Book Antiqua"/>
          <w:noProof/>
          <w:color w:val="000000"/>
          <w:sz w:val="24"/>
          <w:szCs w:val="24"/>
          <w:vertAlign w:val="superscript"/>
        </w:rPr>
        <w:t>[2]</w:t>
      </w:r>
      <w:r w:rsidRPr="00A37102">
        <w:rPr>
          <w:rFonts w:ascii="Book Antiqua" w:hAnsi="Book Antiqua"/>
          <w:color w:val="000000"/>
          <w:sz w:val="24"/>
          <w:szCs w:val="24"/>
        </w:rPr>
        <w:t>. These adverse effects were not clearly reported in the majority of the included studies. Two of the studies</w:t>
      </w:r>
      <w:r w:rsidRPr="00A37102">
        <w:rPr>
          <w:rFonts w:ascii="Book Antiqua" w:hAnsi="Book Antiqua"/>
          <w:noProof/>
          <w:color w:val="000000"/>
          <w:sz w:val="24"/>
          <w:szCs w:val="24"/>
          <w:vertAlign w:val="superscript"/>
        </w:rPr>
        <w:t>[9,16]</w:t>
      </w:r>
      <w:r w:rsidRPr="00A37102">
        <w:rPr>
          <w:rFonts w:ascii="Book Antiqua" w:hAnsi="Book Antiqua"/>
          <w:color w:val="000000"/>
          <w:sz w:val="24"/>
          <w:szCs w:val="24"/>
        </w:rPr>
        <w:t xml:space="preserve"> included a total of 3 patients initially treated with oral valgancyclovir. An additional important question that we could not address due to very limited data was whether anti-inflammatory treatment should be stopped when antiviral treatment is instituted. </w:t>
      </w: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color w:val="000000"/>
          <w:sz w:val="24"/>
          <w:szCs w:val="24"/>
        </w:rPr>
        <w:t>The included studies were heterogeneous with regards to the severity of disease, as well as the clinical severity score employed (</w:t>
      </w:r>
      <w:r w:rsidRPr="00A37102">
        <w:rPr>
          <w:rFonts w:ascii="Book Antiqua" w:hAnsi="Book Antiqua"/>
          <w:color w:val="000000"/>
          <w:sz w:val="24"/>
          <w:szCs w:val="24"/>
          <w:lang w:eastAsia="zh-CN"/>
        </w:rPr>
        <w:t>t</w:t>
      </w:r>
      <w:r w:rsidRPr="00A37102">
        <w:rPr>
          <w:rFonts w:ascii="Book Antiqua" w:hAnsi="Book Antiqua"/>
          <w:color w:val="000000"/>
          <w:sz w:val="24"/>
          <w:szCs w:val="24"/>
        </w:rPr>
        <w:t>able 1). Most of the studies included patients with at least moderate colitis, although the scoring system employed was not uniform. In addition, it was not possible to extract data pertaining to individual patient severity categories in order to determine whether severity of underlying disease affected the outcome, as might be expected. The same is true with regards to anti-inflammatory medications used by the patients and the proportion of steroid resistant patients, which could have served as a surrogate marker of severity and the degree of immune suppression. One study</w:t>
      </w:r>
      <w:r w:rsidRPr="00A37102">
        <w:rPr>
          <w:rFonts w:ascii="Book Antiqua" w:hAnsi="Book Antiqua"/>
          <w:noProof/>
          <w:color w:val="000000"/>
          <w:sz w:val="24"/>
          <w:szCs w:val="24"/>
          <w:vertAlign w:val="superscript"/>
        </w:rPr>
        <w:t>[13]</w:t>
      </w:r>
      <w:r w:rsidRPr="00A37102">
        <w:rPr>
          <w:rFonts w:ascii="Book Antiqua" w:hAnsi="Book Antiqua"/>
          <w:color w:val="000000"/>
          <w:sz w:val="24"/>
          <w:szCs w:val="24"/>
        </w:rPr>
        <w:t xml:space="preserve"> included only steroid resistant patients who had failed a rescue medication (infliximab or cyclosporine), while other studies included patients with a wide variety of anti-inflammatory medications. Most of the included studies did not describe a clear strategy supporting the decision to institute or withhold antiviral therapy. Omiya</w:t>
      </w:r>
      <w:r w:rsidRPr="00A37102">
        <w:rPr>
          <w:rFonts w:ascii="Book Antiqua" w:hAnsi="Book Antiqua"/>
          <w:i/>
          <w:color w:val="000000"/>
          <w:sz w:val="24"/>
          <w:szCs w:val="24"/>
        </w:rPr>
        <w:t xml:space="preserve"> et al</w:t>
      </w:r>
      <w:r w:rsidRPr="00A37102">
        <w:rPr>
          <w:rFonts w:ascii="Book Antiqua" w:hAnsi="Book Antiqua"/>
          <w:noProof/>
          <w:color w:val="000000"/>
          <w:sz w:val="24"/>
          <w:szCs w:val="24"/>
          <w:vertAlign w:val="superscript"/>
        </w:rPr>
        <w:t>[8]</w:t>
      </w:r>
      <w:r w:rsidRPr="00A37102">
        <w:rPr>
          <w:rFonts w:ascii="Book Antiqua" w:hAnsi="Book Antiqua"/>
          <w:color w:val="000000"/>
          <w:sz w:val="24"/>
          <w:szCs w:val="24"/>
        </w:rPr>
        <w:t xml:space="preserve"> administered antiviral treatment only to patients with ulcers &gt; 10 mm on colonoscopy. Kim</w:t>
      </w:r>
      <w:r w:rsidRPr="00A37102">
        <w:rPr>
          <w:rFonts w:ascii="Book Antiqua" w:hAnsi="Book Antiqua"/>
          <w:i/>
          <w:color w:val="000000"/>
          <w:sz w:val="24"/>
          <w:szCs w:val="24"/>
        </w:rPr>
        <w:t xml:space="preserve"> et al</w:t>
      </w:r>
      <w:r w:rsidRPr="00A37102">
        <w:rPr>
          <w:rFonts w:ascii="Book Antiqua" w:hAnsi="Book Antiqua"/>
          <w:noProof/>
          <w:color w:val="000000"/>
          <w:sz w:val="24"/>
          <w:szCs w:val="24"/>
          <w:vertAlign w:val="superscript"/>
        </w:rPr>
        <w:t>[12]</w:t>
      </w:r>
      <w:r w:rsidRPr="00A37102">
        <w:rPr>
          <w:rFonts w:ascii="Book Antiqua" w:hAnsi="Book Antiqua"/>
          <w:color w:val="000000"/>
          <w:sz w:val="24"/>
          <w:szCs w:val="24"/>
        </w:rPr>
        <w:t xml:space="preserve"> treated only steroid resistant patients, with steroid-responsive patients having excellent outcome without antiviral treatment. Criscuoli </w:t>
      </w:r>
      <w:r w:rsidRPr="00A37102">
        <w:rPr>
          <w:rFonts w:ascii="Book Antiqua" w:hAnsi="Book Antiqua"/>
          <w:i/>
          <w:color w:val="000000"/>
          <w:sz w:val="24"/>
          <w:szCs w:val="24"/>
        </w:rPr>
        <w:t>et al</w:t>
      </w:r>
      <w:r w:rsidRPr="00A37102">
        <w:rPr>
          <w:rFonts w:ascii="Book Antiqua" w:hAnsi="Book Antiqua"/>
          <w:noProof/>
          <w:color w:val="000000"/>
          <w:sz w:val="24"/>
          <w:szCs w:val="24"/>
          <w:vertAlign w:val="superscript"/>
        </w:rPr>
        <w:t>[1</w:t>
      </w:r>
      <w:r w:rsidRPr="00A37102">
        <w:rPr>
          <w:rFonts w:ascii="Book Antiqua" w:hAnsi="Book Antiqua"/>
          <w:noProof/>
          <w:color w:val="000000"/>
          <w:sz w:val="24"/>
          <w:szCs w:val="24"/>
          <w:vertAlign w:val="superscript"/>
          <w:lang w:eastAsia="zh-CN"/>
        </w:rPr>
        <w:t>7</w:t>
      </w:r>
      <w:r w:rsidRPr="00A37102">
        <w:rPr>
          <w:rFonts w:ascii="Book Antiqua" w:hAnsi="Book Antiqua"/>
          <w:noProof/>
          <w:color w:val="000000"/>
          <w:sz w:val="24"/>
          <w:szCs w:val="24"/>
          <w:vertAlign w:val="superscript"/>
        </w:rPr>
        <w:t>]</w:t>
      </w:r>
      <w:r w:rsidRPr="00A37102">
        <w:rPr>
          <w:rFonts w:ascii="Book Antiqua" w:hAnsi="Book Antiqua"/>
          <w:color w:val="000000"/>
          <w:sz w:val="24"/>
          <w:szCs w:val="24"/>
        </w:rPr>
        <w:t xml:space="preserve"> based the decision to treat on a combination of positive IHC and pp65 antigenemia. Roblin </w:t>
      </w:r>
      <w:r w:rsidRPr="00A37102">
        <w:rPr>
          <w:rFonts w:ascii="Book Antiqua" w:hAnsi="Book Antiqua"/>
          <w:i/>
          <w:color w:val="000000"/>
          <w:sz w:val="24"/>
          <w:szCs w:val="24"/>
        </w:rPr>
        <w:t>et al</w:t>
      </w:r>
      <w:r w:rsidRPr="00A37102">
        <w:rPr>
          <w:rFonts w:ascii="Book Antiqua" w:hAnsi="Book Antiqua"/>
          <w:noProof/>
          <w:color w:val="000000"/>
          <w:sz w:val="24"/>
          <w:szCs w:val="24"/>
          <w:vertAlign w:val="superscript"/>
        </w:rPr>
        <w:t>[13]</w:t>
      </w:r>
      <w:r w:rsidRPr="00A37102">
        <w:rPr>
          <w:rFonts w:ascii="Book Antiqua" w:hAnsi="Book Antiqua"/>
          <w:color w:val="000000"/>
          <w:sz w:val="24"/>
          <w:szCs w:val="24"/>
        </w:rPr>
        <w:t xml:space="preserve"> treated only steroid-resistant patients who were not improved after rescue infliximab or cyclosporine therapy. The rest of the studies treated all CMV- positive patients; however, it appears that patients who quickly responded to anti-inflammatory treatment after hospitalization were less likely to be treated with antivirals and have a favorable outcome without antivirals. On the contrary, patients </w:t>
      </w:r>
      <w:r w:rsidRPr="00A37102">
        <w:rPr>
          <w:rFonts w:ascii="Book Antiqua" w:hAnsi="Book Antiqua"/>
          <w:color w:val="000000"/>
          <w:sz w:val="24"/>
          <w:szCs w:val="24"/>
        </w:rPr>
        <w:lastRenderedPageBreak/>
        <w:t xml:space="preserve">with a very severe clinical presentation were frequently operated early in the course of the hospitalization, in many cases before their CMV status was established. </w:t>
      </w:r>
    </w:p>
    <w:p w:rsidR="00DE6C05" w:rsidRPr="00A37102" w:rsidRDefault="00DE6C05" w:rsidP="007F0568">
      <w:pPr>
        <w:spacing w:after="0" w:line="360" w:lineRule="auto"/>
        <w:ind w:firstLineChars="200" w:firstLine="480"/>
        <w:jc w:val="both"/>
        <w:rPr>
          <w:rFonts w:ascii="Book Antiqua" w:hAnsi="Book Antiqua"/>
          <w:color w:val="000000"/>
          <w:sz w:val="24"/>
          <w:szCs w:val="24"/>
        </w:rPr>
      </w:pPr>
      <w:r w:rsidRPr="00A37102">
        <w:rPr>
          <w:rFonts w:ascii="Book Antiqua" w:hAnsi="Book Antiqua"/>
          <w:color w:val="000000"/>
          <w:sz w:val="24"/>
          <w:szCs w:val="24"/>
        </w:rPr>
        <w:t>There are several important drawbacks to our study. The main weakness was the quality of the included studies. None of the included studies was randomized controlled trial. Only 4 of the studies had a prospective design. The total number of patients included in the analysis is small, reflecting a lack of well-designed large studies. The most significant drawback stems from inability to stratify the patients by disease severity, along with an inherent selection bias that resulted in administration of the antiviral therapy to the sicker patients in the majority of the studies. In addition, the definition of CMV infection differed significantly. We have attempted to overcome this heterogeneity in diagnostic criteria by performing a subgroup analysis of studies with a histological definition of CMV colitis. Mortality (2 patients overall) was reported in only 2 of the included studies, precluding any analysis of the impact of antiviral treatment on mortality.</w:t>
      </w:r>
    </w:p>
    <w:p w:rsidR="00DE6C05" w:rsidRPr="00A37102" w:rsidRDefault="00DE6C05" w:rsidP="007F0568">
      <w:pPr>
        <w:spacing w:after="0" w:line="360" w:lineRule="auto"/>
        <w:ind w:firstLineChars="200" w:firstLine="480"/>
        <w:jc w:val="both"/>
        <w:rPr>
          <w:rFonts w:ascii="Book Antiqua" w:hAnsi="Book Antiqua"/>
          <w:color w:val="000000"/>
          <w:sz w:val="24"/>
          <w:szCs w:val="24"/>
        </w:rPr>
      </w:pPr>
      <w:r w:rsidRPr="00A37102">
        <w:rPr>
          <w:rFonts w:ascii="Book Antiqua" w:hAnsi="Book Antiqua"/>
          <w:color w:val="000000"/>
          <w:sz w:val="24"/>
          <w:szCs w:val="24"/>
        </w:rPr>
        <w:t>Our MA has several strengths.</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We employed a stringent inclusion strategy aimed at minimizing selection and publication bias. Primarily, we excluded exclusive colectomy series, as they naturally included only patients who had reached the primary outcome (colectomy). In addition, we excluded the patients in whom the diagnosis of CMV was only available after colectomy, as these patients had never had a chance to receive the treatment. In order to minimize reporting bias, we excluded studies that did not compare patients with and without antiviral therapy, or included 3 or less patients in each arm, as these studies were likely to be biased towards one of the strategies.</w:t>
      </w:r>
    </w:p>
    <w:p w:rsidR="00DE6C05" w:rsidRPr="00A37102" w:rsidRDefault="00DE6C05" w:rsidP="007F0568">
      <w:pPr>
        <w:spacing w:after="0" w:line="360" w:lineRule="auto"/>
        <w:ind w:firstLineChars="200" w:firstLine="480"/>
        <w:jc w:val="both"/>
        <w:rPr>
          <w:rFonts w:ascii="Book Antiqua" w:hAnsi="Book Antiqua"/>
          <w:color w:val="000000"/>
          <w:sz w:val="24"/>
          <w:szCs w:val="24"/>
        </w:rPr>
      </w:pPr>
      <w:r w:rsidRPr="00A37102">
        <w:rPr>
          <w:rFonts w:ascii="Book Antiqua" w:hAnsi="Book Antiqua"/>
          <w:color w:val="000000"/>
          <w:sz w:val="24"/>
          <w:szCs w:val="24"/>
        </w:rPr>
        <w:t xml:space="preserve">In summary, our MA did not demonstrate a benefit of antiviral therapy in CMV-positive patients with UC. The results were not changed if the analysis was restricted to studies using histological (IHC/HE) criteria for diagnosis of CMV. Based on the available literature, we are suggesting an algorithm for management of CMV-positive (as demonstrated by HE/IHC staining) patients hospitalized for UC exacerbation , stratified by clinical response to initial anti-inflammatory treatment (figure 4). To the best of our knowledge, this is the first attempt to perform a systematic analysis of the </w:t>
      </w:r>
      <w:r w:rsidRPr="00A37102">
        <w:rPr>
          <w:rFonts w:ascii="Book Antiqua" w:hAnsi="Book Antiqua"/>
          <w:color w:val="000000"/>
          <w:sz w:val="24"/>
          <w:szCs w:val="24"/>
        </w:rPr>
        <w:lastRenderedPageBreak/>
        <w:t xml:space="preserve">multiple studies published on the subject. While the results are hampered by the weakness of the included studies, they do indicate the heterogeneity of this challenging patient cohort, showing that at least some patients with CMV probably do not require antiviral therapy. Thus, these findings underscore the dire need for prospective studies employing stringent clinical,,endoscopic and virologic measures to identify the subgroups of patients who are likely to benefit from antiviral therapy, versus those who recuperate without this intervention. Such a study should also aim to establish the optimal dose and duration of treatment and the clinical benefit of withholding anti-inflammatory agents. </w:t>
      </w:r>
    </w:p>
    <w:p w:rsidR="00DE6C05" w:rsidRPr="00A37102" w:rsidRDefault="00DE6C05" w:rsidP="00B343A9">
      <w:pPr>
        <w:snapToGrid w:val="0"/>
        <w:spacing w:after="0" w:line="360" w:lineRule="auto"/>
        <w:jc w:val="both"/>
        <w:rPr>
          <w:rFonts w:ascii="Book Antiqua" w:hAnsi="Book Antiqua"/>
          <w:color w:val="000000"/>
          <w:sz w:val="24"/>
          <w:szCs w:val="24"/>
          <w:lang w:eastAsia="zh-CN"/>
        </w:rPr>
      </w:pPr>
    </w:p>
    <w:p w:rsidR="00DE6C05" w:rsidRPr="00A37102" w:rsidRDefault="00DE6C05" w:rsidP="00B343A9">
      <w:pPr>
        <w:snapToGrid w:val="0"/>
        <w:spacing w:after="0" w:line="360" w:lineRule="auto"/>
        <w:jc w:val="both"/>
        <w:rPr>
          <w:rFonts w:ascii="Book Antiqua" w:hAnsi="Book Antiqua"/>
          <w:b/>
          <w:bCs/>
          <w:color w:val="000000"/>
          <w:sz w:val="24"/>
          <w:szCs w:val="24"/>
        </w:rPr>
      </w:pPr>
      <w:r w:rsidRPr="00A37102">
        <w:rPr>
          <w:rFonts w:ascii="Book Antiqua" w:hAnsi="Book Antiqua"/>
          <w:b/>
          <w:bCs/>
          <w:color w:val="000000"/>
          <w:sz w:val="24"/>
          <w:szCs w:val="24"/>
        </w:rPr>
        <w:t>COMMENTS</w:t>
      </w:r>
    </w:p>
    <w:p w:rsidR="00DE6C05" w:rsidRPr="00A37102" w:rsidRDefault="00DE6C05" w:rsidP="00B343A9">
      <w:pPr>
        <w:snapToGrid w:val="0"/>
        <w:spacing w:after="0" w:line="360" w:lineRule="auto"/>
        <w:jc w:val="both"/>
        <w:rPr>
          <w:rFonts w:ascii="Book Antiqua" w:hAnsi="Book Antiqua"/>
          <w:b/>
          <w:bCs/>
          <w:i/>
          <w:color w:val="000000"/>
          <w:sz w:val="24"/>
          <w:szCs w:val="24"/>
        </w:rPr>
      </w:pPr>
      <w:r w:rsidRPr="00A37102">
        <w:rPr>
          <w:rFonts w:ascii="Book Antiqua" w:hAnsi="Book Antiqua"/>
          <w:b/>
          <w:bCs/>
          <w:i/>
          <w:color w:val="000000"/>
          <w:sz w:val="24"/>
          <w:szCs w:val="24"/>
        </w:rPr>
        <w:t>Background</w:t>
      </w:r>
    </w:p>
    <w:p w:rsidR="00DE6C05" w:rsidRPr="00A37102" w:rsidRDefault="00DE6C05" w:rsidP="00B343A9">
      <w:pPr>
        <w:snapToGrid w:val="0"/>
        <w:spacing w:after="0" w:line="360" w:lineRule="auto"/>
        <w:jc w:val="both"/>
        <w:rPr>
          <w:rFonts w:ascii="Book Antiqua" w:hAnsi="Book Antiqua"/>
          <w:bCs/>
          <w:color w:val="000000"/>
          <w:sz w:val="24"/>
          <w:szCs w:val="24"/>
          <w:lang w:eastAsia="zh-CN"/>
        </w:rPr>
      </w:pPr>
      <w:r w:rsidRPr="00A37102">
        <w:rPr>
          <w:rFonts w:ascii="Book Antiqua" w:hAnsi="Book Antiqua"/>
          <w:bCs/>
          <w:color w:val="000000"/>
          <w:sz w:val="24"/>
          <w:szCs w:val="24"/>
        </w:rPr>
        <w:t>Cytomegalovirus</w:t>
      </w:r>
      <w:r>
        <w:rPr>
          <w:rFonts w:ascii="Book Antiqua" w:hAnsi="Book Antiqua"/>
          <w:bCs/>
          <w:color w:val="000000"/>
          <w:sz w:val="24"/>
          <w:szCs w:val="24"/>
        </w:rPr>
        <w:t xml:space="preserve"> </w:t>
      </w:r>
      <w:r w:rsidRPr="00A37102">
        <w:rPr>
          <w:rFonts w:ascii="Book Antiqua" w:hAnsi="Book Antiqua"/>
          <w:bCs/>
          <w:color w:val="000000"/>
          <w:sz w:val="24"/>
          <w:szCs w:val="24"/>
        </w:rPr>
        <w:t>(CMV) is a very common infection endemic almost ubiquitously. In immunocompromised patients CMV infection ca</w:t>
      </w:r>
      <w:r w:rsidRPr="00A37102">
        <w:rPr>
          <w:rFonts w:ascii="Book Antiqua" w:hAnsi="Book Antiqua"/>
          <w:bCs/>
          <w:color w:val="000000"/>
          <w:sz w:val="24"/>
          <w:szCs w:val="24"/>
          <w:lang w:eastAsia="zh-CN"/>
        </w:rPr>
        <w:t>n</w:t>
      </w:r>
      <w:r w:rsidRPr="00A37102">
        <w:rPr>
          <w:rFonts w:ascii="Book Antiqua" w:hAnsi="Book Antiqua"/>
          <w:bCs/>
          <w:color w:val="000000"/>
          <w:sz w:val="24"/>
          <w:szCs w:val="24"/>
        </w:rPr>
        <w:t xml:space="preserve"> be associated with severe end-organ and systemic infection. CMV presence is frequently detected in the mucosa of patients investigated for exhacerbation of ulcerative colitis (UC). However, the impact of CMV infection on the prognosis of UC patients is unclear, and the impact of antiviral therapy on the outcome of these patients has not been well established.</w:t>
      </w:r>
    </w:p>
    <w:p w:rsidR="00DE6C05" w:rsidRPr="00A37102" w:rsidRDefault="00DE6C05" w:rsidP="00B343A9">
      <w:pPr>
        <w:snapToGrid w:val="0"/>
        <w:spacing w:after="0" w:line="360" w:lineRule="auto"/>
        <w:jc w:val="both"/>
        <w:rPr>
          <w:rFonts w:ascii="Book Antiqua" w:hAnsi="Book Antiqua"/>
          <w:bCs/>
          <w:color w:val="000000"/>
          <w:sz w:val="24"/>
          <w:szCs w:val="24"/>
          <w:lang w:eastAsia="zh-CN"/>
        </w:rPr>
      </w:pPr>
    </w:p>
    <w:p w:rsidR="00DE6C05" w:rsidRPr="00A37102" w:rsidRDefault="00DE6C05" w:rsidP="00B343A9">
      <w:pPr>
        <w:snapToGrid w:val="0"/>
        <w:spacing w:after="0" w:line="360" w:lineRule="auto"/>
        <w:jc w:val="both"/>
        <w:rPr>
          <w:rFonts w:ascii="Book Antiqua" w:hAnsi="Book Antiqua"/>
          <w:b/>
          <w:bCs/>
          <w:i/>
          <w:color w:val="000000"/>
          <w:sz w:val="24"/>
          <w:szCs w:val="24"/>
        </w:rPr>
      </w:pPr>
      <w:r w:rsidRPr="00A37102">
        <w:rPr>
          <w:rFonts w:ascii="Book Antiqua" w:hAnsi="Book Antiqua"/>
          <w:b/>
          <w:bCs/>
          <w:i/>
          <w:color w:val="000000"/>
          <w:sz w:val="24"/>
          <w:szCs w:val="24"/>
        </w:rPr>
        <w:t>Research frontiers</w:t>
      </w:r>
    </w:p>
    <w:p w:rsidR="00DE6C05" w:rsidRPr="00A37102" w:rsidRDefault="00DE6C05" w:rsidP="00B343A9">
      <w:pPr>
        <w:snapToGrid w:val="0"/>
        <w:spacing w:after="0" w:line="360" w:lineRule="auto"/>
        <w:jc w:val="both"/>
        <w:rPr>
          <w:rFonts w:ascii="Book Antiqua" w:hAnsi="Book Antiqua"/>
          <w:bCs/>
          <w:color w:val="000000"/>
          <w:sz w:val="24"/>
          <w:szCs w:val="24"/>
        </w:rPr>
      </w:pPr>
      <w:r w:rsidRPr="00A37102">
        <w:rPr>
          <w:rFonts w:ascii="Book Antiqua" w:hAnsi="Book Antiqua"/>
          <w:bCs/>
          <w:color w:val="000000"/>
          <w:sz w:val="24"/>
          <w:szCs w:val="24"/>
        </w:rPr>
        <w:t>Multiple studies describing the outcome of CMV-positive UC patients had been published in the last twenty years. However, a vast majority of these publications are case series or small case-controlled studies with heterogenous patients cohorts. In this study, we aimed to evaluate the impact of antiviral therapy on the outcome of CMV-positive UC patients using a metaanalysis of the currently available literature.</w:t>
      </w:r>
    </w:p>
    <w:p w:rsidR="00DE6C05" w:rsidRPr="00A37102" w:rsidRDefault="00DE6C05" w:rsidP="00B343A9">
      <w:pPr>
        <w:snapToGrid w:val="0"/>
        <w:spacing w:after="0" w:line="360" w:lineRule="auto"/>
        <w:jc w:val="both"/>
        <w:rPr>
          <w:rFonts w:ascii="Book Antiqua" w:hAnsi="Book Antiqua"/>
          <w:color w:val="000000"/>
          <w:sz w:val="24"/>
          <w:szCs w:val="24"/>
        </w:rPr>
      </w:pPr>
    </w:p>
    <w:p w:rsidR="00DE6C05" w:rsidRPr="00A37102" w:rsidRDefault="00DE6C05" w:rsidP="00B343A9">
      <w:pPr>
        <w:snapToGrid w:val="0"/>
        <w:spacing w:after="0" w:line="360" w:lineRule="auto"/>
        <w:jc w:val="both"/>
        <w:rPr>
          <w:rFonts w:ascii="Book Antiqua" w:hAnsi="Book Antiqua"/>
          <w:b/>
          <w:bCs/>
          <w:i/>
          <w:color w:val="000000"/>
          <w:sz w:val="24"/>
          <w:szCs w:val="24"/>
        </w:rPr>
      </w:pPr>
      <w:r w:rsidRPr="00A37102">
        <w:rPr>
          <w:rFonts w:ascii="Book Antiqua" w:hAnsi="Book Antiqua"/>
          <w:b/>
          <w:bCs/>
          <w:i/>
          <w:color w:val="000000"/>
          <w:sz w:val="24"/>
          <w:szCs w:val="24"/>
        </w:rPr>
        <w:t>Innovations and breakthroughs</w:t>
      </w:r>
    </w:p>
    <w:p w:rsidR="00DE6C05" w:rsidRPr="00A37102" w:rsidRDefault="00DE6C05" w:rsidP="00B343A9">
      <w:pPr>
        <w:snapToGrid w:val="0"/>
        <w:spacing w:after="0" w:line="360" w:lineRule="auto"/>
        <w:jc w:val="both"/>
        <w:rPr>
          <w:rFonts w:ascii="Book Antiqua" w:hAnsi="Book Antiqua"/>
          <w:color w:val="000000"/>
          <w:sz w:val="24"/>
          <w:szCs w:val="24"/>
        </w:rPr>
      </w:pPr>
      <w:r>
        <w:rPr>
          <w:rFonts w:ascii="Book Antiqua" w:hAnsi="Book Antiqua"/>
          <w:bCs/>
          <w:color w:val="000000"/>
          <w:sz w:val="24"/>
          <w:szCs w:val="24"/>
        </w:rPr>
        <w:t>The authors</w:t>
      </w:r>
      <w:r w:rsidRPr="00A37102">
        <w:rPr>
          <w:rFonts w:ascii="Book Antiqua" w:hAnsi="Book Antiqua"/>
          <w:bCs/>
          <w:color w:val="000000"/>
          <w:sz w:val="24"/>
          <w:szCs w:val="24"/>
        </w:rPr>
        <w:t xml:space="preserve"> did not demonstrate a positive impact of antiviral therapy with gancyclovir on either a short-term (colectomy within 30 d) or long-term (colectomy for the duration </w:t>
      </w:r>
      <w:r w:rsidRPr="00A37102">
        <w:rPr>
          <w:rFonts w:ascii="Book Antiqua" w:hAnsi="Book Antiqua"/>
          <w:bCs/>
          <w:color w:val="000000"/>
          <w:sz w:val="24"/>
          <w:szCs w:val="24"/>
        </w:rPr>
        <w:lastRenderedPageBreak/>
        <w:t xml:space="preserve">of follow-up) outcomes. These results should be addressed with caution due to a low quality of the included studies and important potential biases. </w:t>
      </w:r>
      <w:r>
        <w:rPr>
          <w:rFonts w:ascii="Book Antiqua" w:hAnsi="Book Antiqua"/>
          <w:bCs/>
          <w:color w:val="000000"/>
          <w:sz w:val="24"/>
          <w:szCs w:val="24"/>
        </w:rPr>
        <w:t>The</w:t>
      </w:r>
      <w:r w:rsidRPr="00A37102">
        <w:rPr>
          <w:rFonts w:ascii="Book Antiqua" w:hAnsi="Book Antiqua"/>
          <w:bCs/>
          <w:color w:val="000000"/>
          <w:sz w:val="24"/>
          <w:szCs w:val="24"/>
        </w:rPr>
        <w:t xml:space="preserve"> results underline a significant hetrogenity of theis population, that potentially includes both patie ts with mild disease who do not necessarily require antiviral therapy along with severy ill patients refractory to several lines of anti-inflammatory treatment. </w:t>
      </w:r>
      <w:r>
        <w:rPr>
          <w:rFonts w:ascii="Book Antiqua" w:hAnsi="Book Antiqua"/>
          <w:bCs/>
          <w:color w:val="000000"/>
          <w:sz w:val="24"/>
          <w:szCs w:val="24"/>
        </w:rPr>
        <w:t>This</w:t>
      </w:r>
      <w:r w:rsidRPr="00A37102">
        <w:rPr>
          <w:rFonts w:ascii="Book Antiqua" w:hAnsi="Book Antiqua"/>
          <w:bCs/>
          <w:color w:val="000000"/>
          <w:sz w:val="24"/>
          <w:szCs w:val="24"/>
        </w:rPr>
        <w:t xml:space="preserve"> study was underpowered to detect the impact of the disease severity on the outcome of</w:t>
      </w:r>
      <w:r w:rsidRPr="00A37102">
        <w:rPr>
          <w:rFonts w:ascii="Book Antiqua" w:hAnsi="Book Antiqua"/>
          <w:bCs/>
          <w:color w:val="000000"/>
          <w:sz w:val="24"/>
          <w:szCs w:val="24"/>
          <w:lang w:eastAsia="zh-CN"/>
        </w:rPr>
        <w:t xml:space="preserve"> </w:t>
      </w:r>
      <w:r w:rsidRPr="00A37102">
        <w:rPr>
          <w:rFonts w:ascii="Book Antiqua" w:hAnsi="Book Antiqua"/>
          <w:bCs/>
          <w:color w:val="000000"/>
          <w:sz w:val="24"/>
          <w:szCs w:val="24"/>
        </w:rPr>
        <w:t>these patient.</w:t>
      </w:r>
    </w:p>
    <w:p w:rsidR="00DE6C05" w:rsidRPr="00A37102" w:rsidRDefault="00DE6C05" w:rsidP="00B343A9">
      <w:pPr>
        <w:snapToGrid w:val="0"/>
        <w:spacing w:after="0" w:line="360" w:lineRule="auto"/>
        <w:jc w:val="both"/>
        <w:rPr>
          <w:rFonts w:ascii="Book Antiqua" w:hAnsi="Book Antiqua"/>
          <w:color w:val="000000"/>
          <w:sz w:val="24"/>
          <w:szCs w:val="24"/>
        </w:rPr>
      </w:pPr>
    </w:p>
    <w:p w:rsidR="00DE6C05" w:rsidRPr="00A37102" w:rsidRDefault="00DE6C05" w:rsidP="00B343A9">
      <w:pPr>
        <w:snapToGrid w:val="0"/>
        <w:spacing w:after="0" w:line="360" w:lineRule="auto"/>
        <w:jc w:val="both"/>
        <w:rPr>
          <w:rFonts w:ascii="Book Antiqua" w:hAnsi="Book Antiqua"/>
          <w:b/>
          <w:bCs/>
          <w:i/>
          <w:color w:val="000000"/>
          <w:sz w:val="24"/>
          <w:szCs w:val="24"/>
        </w:rPr>
      </w:pPr>
      <w:r w:rsidRPr="00A37102">
        <w:rPr>
          <w:rFonts w:ascii="Book Antiqua" w:hAnsi="Book Antiqua"/>
          <w:b/>
          <w:bCs/>
          <w:i/>
          <w:color w:val="000000"/>
          <w:sz w:val="24"/>
          <w:szCs w:val="24"/>
        </w:rPr>
        <w:t xml:space="preserve">Applications </w:t>
      </w:r>
    </w:p>
    <w:p w:rsidR="00DE6C05" w:rsidRPr="00A37102" w:rsidRDefault="00DE6C05" w:rsidP="00B343A9">
      <w:pPr>
        <w:snapToGrid w:val="0"/>
        <w:spacing w:after="0" w:line="360" w:lineRule="auto"/>
        <w:jc w:val="both"/>
        <w:rPr>
          <w:rFonts w:ascii="Book Antiqua" w:hAnsi="Book Antiqua"/>
          <w:bCs/>
          <w:color w:val="000000"/>
          <w:sz w:val="24"/>
          <w:szCs w:val="24"/>
        </w:rPr>
      </w:pPr>
      <w:r>
        <w:rPr>
          <w:rFonts w:ascii="Book Antiqua" w:hAnsi="Book Antiqua"/>
          <w:bCs/>
          <w:color w:val="000000"/>
          <w:sz w:val="24"/>
          <w:szCs w:val="24"/>
        </w:rPr>
        <w:t>The</w:t>
      </w:r>
      <w:r w:rsidRPr="00A37102">
        <w:rPr>
          <w:rFonts w:ascii="Book Antiqua" w:hAnsi="Book Antiqua"/>
          <w:bCs/>
          <w:color w:val="000000"/>
          <w:sz w:val="24"/>
          <w:szCs w:val="24"/>
        </w:rPr>
        <w:t xml:space="preserve"> results point out that not all of these patients benefit from antiviral therapy, and it is quite possible that patients with good initial response to conventional antiviral treatment may do well on this treatment alone.</w:t>
      </w:r>
      <w:r w:rsidRPr="00A37102">
        <w:rPr>
          <w:rFonts w:ascii="Book Antiqua" w:hAnsi="Book Antiqua"/>
          <w:bCs/>
          <w:color w:val="000000"/>
          <w:sz w:val="24"/>
          <w:szCs w:val="24"/>
          <w:lang w:eastAsia="zh-CN"/>
        </w:rPr>
        <w:t xml:space="preserve"> </w:t>
      </w:r>
      <w:r w:rsidRPr="00A37102">
        <w:rPr>
          <w:rFonts w:ascii="Book Antiqua" w:hAnsi="Book Antiqua"/>
          <w:bCs/>
          <w:color w:val="000000"/>
          <w:sz w:val="24"/>
          <w:szCs w:val="24"/>
        </w:rPr>
        <w:t>Well designed</w:t>
      </w:r>
      <w:r w:rsidRPr="00A37102">
        <w:rPr>
          <w:rFonts w:ascii="Book Antiqua" w:hAnsi="Book Antiqua"/>
          <w:bCs/>
          <w:color w:val="000000"/>
          <w:sz w:val="24"/>
          <w:szCs w:val="24"/>
          <w:lang w:eastAsia="zh-CN"/>
        </w:rPr>
        <w:t xml:space="preserve"> </w:t>
      </w:r>
      <w:r w:rsidRPr="00A37102">
        <w:rPr>
          <w:rFonts w:ascii="Book Antiqua" w:hAnsi="Book Antiqua"/>
          <w:bCs/>
          <w:color w:val="000000"/>
          <w:sz w:val="24"/>
          <w:szCs w:val="24"/>
        </w:rPr>
        <w:t>randomized controlled studies with stringent disease and outcome definitions are required in order to delineate the optimal treatment strategy for CMV-positive UC patients, and to define the patient subgroups that benefit from such treatment.</w:t>
      </w:r>
    </w:p>
    <w:p w:rsidR="00DE6C05" w:rsidRPr="00A37102" w:rsidRDefault="00DE6C05" w:rsidP="00B343A9">
      <w:pPr>
        <w:snapToGrid w:val="0"/>
        <w:spacing w:after="0" w:line="360" w:lineRule="auto"/>
        <w:jc w:val="both"/>
        <w:rPr>
          <w:rFonts w:ascii="Book Antiqua" w:hAnsi="Book Antiqua"/>
          <w:b/>
          <w:bCs/>
          <w:color w:val="000000"/>
          <w:sz w:val="24"/>
          <w:szCs w:val="24"/>
          <w:lang w:eastAsia="zh-CN"/>
        </w:rPr>
      </w:pPr>
    </w:p>
    <w:p w:rsidR="00DE6C05" w:rsidRPr="00A37102" w:rsidRDefault="00DE6C05" w:rsidP="00B343A9">
      <w:pPr>
        <w:snapToGrid w:val="0"/>
        <w:spacing w:after="0" w:line="360" w:lineRule="auto"/>
        <w:jc w:val="both"/>
        <w:rPr>
          <w:rFonts w:ascii="Book Antiqua" w:hAnsi="Book Antiqua"/>
          <w:b/>
          <w:bCs/>
          <w:i/>
          <w:color w:val="000000"/>
          <w:sz w:val="24"/>
          <w:szCs w:val="24"/>
          <w:lang w:eastAsia="zh-CN"/>
        </w:rPr>
      </w:pPr>
      <w:r w:rsidRPr="00A37102">
        <w:rPr>
          <w:rFonts w:ascii="Book Antiqua" w:hAnsi="Book Antiqua"/>
          <w:b/>
          <w:bCs/>
          <w:i/>
          <w:color w:val="000000"/>
          <w:sz w:val="24"/>
          <w:szCs w:val="24"/>
        </w:rPr>
        <w:t>Terminology</w:t>
      </w:r>
    </w:p>
    <w:p w:rsidR="00DE6C05" w:rsidRPr="00A37102" w:rsidRDefault="00DE6C05" w:rsidP="00B343A9">
      <w:pPr>
        <w:snapToGrid w:val="0"/>
        <w:spacing w:after="0" w:line="360" w:lineRule="auto"/>
        <w:jc w:val="both"/>
        <w:rPr>
          <w:rFonts w:ascii="Book Antiqua" w:hAnsi="Book Antiqua"/>
          <w:bCs/>
          <w:color w:val="000000"/>
          <w:sz w:val="24"/>
          <w:szCs w:val="24"/>
        </w:rPr>
      </w:pPr>
      <w:r w:rsidRPr="00A37102">
        <w:rPr>
          <w:rFonts w:ascii="Book Antiqua" w:hAnsi="Book Antiqua"/>
          <w:bCs/>
          <w:color w:val="000000"/>
          <w:sz w:val="24"/>
          <w:szCs w:val="24"/>
        </w:rPr>
        <w:t>Cytomegalovirus</w:t>
      </w:r>
      <w:r w:rsidRPr="00A37102">
        <w:rPr>
          <w:rFonts w:ascii="Book Antiqua" w:hAnsi="Book Antiqua"/>
          <w:bCs/>
          <w:color w:val="000000"/>
          <w:sz w:val="24"/>
          <w:szCs w:val="24"/>
          <w:lang w:eastAsia="zh-CN"/>
        </w:rPr>
        <w:t xml:space="preserve"> </w:t>
      </w:r>
      <w:r w:rsidRPr="00A37102">
        <w:rPr>
          <w:rFonts w:ascii="Book Antiqua" w:hAnsi="Book Antiqua"/>
          <w:bCs/>
          <w:color w:val="000000"/>
          <w:sz w:val="24"/>
          <w:szCs w:val="24"/>
        </w:rPr>
        <w:t>- a very common virus that is rarely associated with significant morbidity in healthy individuals, but may be associated with severe complications in immunocompromised patients. It is commonly treated with intravenous gancyclovir</w:t>
      </w:r>
    </w:p>
    <w:p w:rsidR="00DE6C05" w:rsidRPr="00A37102" w:rsidRDefault="00DE6C05" w:rsidP="00B343A9">
      <w:pPr>
        <w:snapToGrid w:val="0"/>
        <w:spacing w:after="0" w:line="360" w:lineRule="auto"/>
        <w:jc w:val="both"/>
        <w:rPr>
          <w:rFonts w:ascii="Book Antiqua" w:hAnsi="Book Antiqua"/>
          <w:color w:val="000000"/>
          <w:sz w:val="24"/>
          <w:szCs w:val="24"/>
        </w:rPr>
      </w:pPr>
    </w:p>
    <w:p w:rsidR="00DE6C05" w:rsidRPr="00A37102" w:rsidRDefault="00DE6C05" w:rsidP="00B343A9">
      <w:pPr>
        <w:spacing w:after="0" w:line="360" w:lineRule="auto"/>
        <w:jc w:val="both"/>
        <w:rPr>
          <w:rFonts w:ascii="Book Antiqua" w:hAnsi="Book Antiqua"/>
          <w:b/>
          <w:i/>
          <w:color w:val="000000"/>
          <w:sz w:val="24"/>
          <w:szCs w:val="24"/>
        </w:rPr>
      </w:pPr>
      <w:r w:rsidRPr="00A37102">
        <w:rPr>
          <w:rFonts w:ascii="Book Antiqua" w:hAnsi="Book Antiqua"/>
          <w:b/>
          <w:i/>
          <w:color w:val="000000"/>
          <w:sz w:val="24"/>
          <w:szCs w:val="24"/>
        </w:rPr>
        <w:t xml:space="preserve">Peer review </w:t>
      </w: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color w:val="000000"/>
          <w:sz w:val="24"/>
          <w:szCs w:val="24"/>
        </w:rPr>
        <w:t>This is an interesting paper on one of the controversial issues in inflammatory bowel disease (IBD)</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literature on whether to treat or not and under which conditions CMV infection in patients with IBD. The methodology and analysis is technically solid, however a cautious interpretation due to a heavy selection bias is required.</w:t>
      </w: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lang w:eastAsia="zh-CN"/>
        </w:rPr>
      </w:pP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lang w:eastAsia="zh-CN"/>
        </w:rPr>
      </w:pPr>
      <w:r w:rsidRPr="00A37102">
        <w:rPr>
          <w:rFonts w:ascii="Book Antiqua" w:hAnsi="Book Antiqua"/>
          <w:b/>
          <w:color w:val="000000"/>
          <w:sz w:val="24"/>
          <w:szCs w:val="24"/>
        </w:rPr>
        <w:t>REFERENCES</w:t>
      </w:r>
      <w:r w:rsidRPr="00A37102" w:rsidDel="00B17E95">
        <w:rPr>
          <w:rFonts w:ascii="Book Antiqua" w:hAnsi="Book Antiqua"/>
          <w:color w:val="000000"/>
          <w:sz w:val="24"/>
          <w:szCs w:val="24"/>
        </w:rPr>
        <w:t xml:space="preserve"> </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lastRenderedPageBreak/>
        <w:t>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de la Hoz RE</w:t>
      </w:r>
      <w:r w:rsidRPr="0099239E">
        <w:rPr>
          <w:rFonts w:ascii="Book Antiqua" w:hAnsi="Book Antiqua" w:cs="宋体"/>
          <w:color w:val="000000"/>
          <w:sz w:val="24"/>
          <w:szCs w:val="24"/>
        </w:rPr>
        <w:t>, Stephens G, Sherlock C. Diagnosis and treatment approaches of CMV infections in adult patients.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J Clin Virol</w:t>
      </w:r>
      <w:r w:rsidRPr="00A37102">
        <w:rPr>
          <w:rFonts w:ascii="Book Antiqua" w:hAnsi="Book Antiqua" w:cs="宋体"/>
          <w:color w:val="000000"/>
          <w:sz w:val="24"/>
          <w:szCs w:val="24"/>
        </w:rPr>
        <w:t> </w:t>
      </w:r>
      <w:r w:rsidRPr="0099239E">
        <w:rPr>
          <w:rFonts w:ascii="Book Antiqua" w:hAnsi="Book Antiqua" w:cs="宋体"/>
          <w:color w:val="000000"/>
          <w:sz w:val="24"/>
          <w:szCs w:val="24"/>
        </w:rPr>
        <w:t>2002;</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 xml:space="preserve">25 </w:t>
      </w:r>
      <w:r w:rsidRPr="0099239E">
        <w:rPr>
          <w:rFonts w:ascii="Book Antiqua" w:hAnsi="Book Antiqua" w:cs="宋体"/>
          <w:bCs/>
          <w:color w:val="000000"/>
          <w:sz w:val="24"/>
          <w:szCs w:val="24"/>
        </w:rPr>
        <w:t>Suppl 2</w:t>
      </w:r>
      <w:r w:rsidRPr="0099239E">
        <w:rPr>
          <w:rFonts w:ascii="Book Antiqua" w:hAnsi="Book Antiqua" w:cs="宋体"/>
          <w:color w:val="000000"/>
          <w:sz w:val="24"/>
          <w:szCs w:val="24"/>
        </w:rPr>
        <w:t>: S1-12 [PMID: 12361752 DOI: 10.1016/s1386-6532(02)00091-4]</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Lawlor G</w:t>
      </w:r>
      <w:r w:rsidRPr="0099239E">
        <w:rPr>
          <w:rFonts w:ascii="Book Antiqua" w:hAnsi="Book Antiqua" w:cs="宋体"/>
          <w:color w:val="000000"/>
          <w:sz w:val="24"/>
          <w:szCs w:val="24"/>
        </w:rPr>
        <w:t>, Moss AC. Cytomegalovirus in inflammatory bowel disease: pathogen or innocent bystander?</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Inflamm Bowel Dis</w:t>
      </w:r>
      <w:r w:rsidRPr="00A37102">
        <w:rPr>
          <w:rFonts w:ascii="Book Antiqua" w:hAnsi="Book Antiqua" w:cs="宋体"/>
          <w:color w:val="000000"/>
          <w:sz w:val="24"/>
          <w:szCs w:val="24"/>
        </w:rPr>
        <w:t> </w:t>
      </w:r>
      <w:r w:rsidRPr="0099239E">
        <w:rPr>
          <w:rFonts w:ascii="Book Antiqua" w:hAnsi="Book Antiqua" w:cs="宋体"/>
          <w:color w:val="000000"/>
          <w:sz w:val="24"/>
          <w:szCs w:val="24"/>
        </w:rPr>
        <w:t>2010;</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16</w:t>
      </w:r>
      <w:r w:rsidRPr="0099239E">
        <w:rPr>
          <w:rFonts w:ascii="Book Antiqua" w:hAnsi="Book Antiqua" w:cs="宋体"/>
          <w:color w:val="000000"/>
          <w:sz w:val="24"/>
          <w:szCs w:val="24"/>
        </w:rPr>
        <w:t>: 1620-1627 [PMID: 20232408 DOI: 10.1002/ibd.21275]</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3</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Manuel O</w:t>
      </w:r>
      <w:r w:rsidRPr="0099239E">
        <w:rPr>
          <w:rFonts w:ascii="Book Antiqua" w:hAnsi="Book Antiqua" w:cs="宋体"/>
          <w:color w:val="000000"/>
          <w:sz w:val="24"/>
          <w:szCs w:val="24"/>
        </w:rPr>
        <w:t>, Perrottet N, Pascual M. Valganciclovir to prevent or treat cytomegalovirus disease in organ transplantation.</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Expert Rev Anti Infect Ther</w:t>
      </w:r>
      <w:r w:rsidRPr="00A37102">
        <w:rPr>
          <w:rFonts w:ascii="Book Antiqua" w:hAnsi="Book Antiqua" w:cs="宋体"/>
          <w:color w:val="000000"/>
          <w:sz w:val="24"/>
          <w:szCs w:val="24"/>
        </w:rPr>
        <w:t> </w:t>
      </w:r>
      <w:r w:rsidRPr="0099239E">
        <w:rPr>
          <w:rFonts w:ascii="Book Antiqua" w:hAnsi="Book Antiqua" w:cs="宋体"/>
          <w:color w:val="000000"/>
          <w:sz w:val="24"/>
          <w:szCs w:val="24"/>
        </w:rPr>
        <w:t>2011;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9</w:t>
      </w:r>
      <w:r w:rsidRPr="0099239E">
        <w:rPr>
          <w:rFonts w:ascii="Book Antiqua" w:hAnsi="Book Antiqua" w:cs="宋体"/>
          <w:color w:val="000000"/>
          <w:sz w:val="24"/>
          <w:szCs w:val="24"/>
        </w:rPr>
        <w:t>: 955-965 [PMID: 22029513 DOI: 10.1586/eri.11.116]</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4</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Hodson EM</w:t>
      </w:r>
      <w:r w:rsidRPr="0099239E">
        <w:rPr>
          <w:rFonts w:ascii="Book Antiqua" w:hAnsi="Book Antiqua" w:cs="宋体"/>
          <w:color w:val="000000"/>
          <w:sz w:val="24"/>
          <w:szCs w:val="24"/>
        </w:rPr>
        <w:t>, Ladhani M, Webster AC, Strippoli GF, Craig JC. Antiviral medications for preventing cytomegalovirus disease in solid organ transplant recipients.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Cochrane Database Syst Rev</w:t>
      </w:r>
      <w:r w:rsidRPr="00A37102">
        <w:rPr>
          <w:rFonts w:ascii="Book Antiqua" w:hAnsi="Book Antiqua" w:cs="宋体"/>
          <w:color w:val="000000"/>
          <w:sz w:val="24"/>
          <w:szCs w:val="24"/>
        </w:rPr>
        <w:t> </w:t>
      </w:r>
      <w:r w:rsidRPr="0099239E">
        <w:rPr>
          <w:rFonts w:ascii="Book Antiqua" w:hAnsi="Book Antiqua" w:cs="宋体"/>
          <w:color w:val="000000"/>
          <w:sz w:val="24"/>
          <w:szCs w:val="24"/>
        </w:rPr>
        <w:t>2013;</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2</w:t>
      </w:r>
      <w:r w:rsidRPr="0099239E">
        <w:rPr>
          <w:rFonts w:ascii="Book Antiqua" w:hAnsi="Book Antiqua" w:cs="宋体"/>
          <w:color w:val="000000"/>
          <w:sz w:val="24"/>
          <w:szCs w:val="24"/>
        </w:rPr>
        <w:t>: CD003774 [PMID: 23450543 DOI: 10.1002/14651858.CD003774.pub4]</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5</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Maher MM</w:t>
      </w:r>
      <w:r w:rsidRPr="0099239E">
        <w:rPr>
          <w:rFonts w:ascii="Book Antiqua" w:hAnsi="Book Antiqua" w:cs="宋体"/>
          <w:color w:val="000000"/>
          <w:sz w:val="24"/>
          <w:szCs w:val="24"/>
        </w:rPr>
        <w:t>, Nassar MI. Acute cytomegalovirus infection is a risk factor in refractory and complicated inflammatory bowel disease.</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Dig Dis Sci</w:t>
      </w:r>
      <w:r w:rsidRPr="00A37102">
        <w:rPr>
          <w:rFonts w:ascii="Book Antiqua" w:hAnsi="Book Antiqua" w:cs="宋体"/>
          <w:color w:val="000000"/>
          <w:sz w:val="24"/>
          <w:szCs w:val="24"/>
        </w:rPr>
        <w:t> </w:t>
      </w:r>
      <w:r w:rsidRPr="0099239E">
        <w:rPr>
          <w:rFonts w:ascii="Book Antiqua" w:hAnsi="Book Antiqua" w:cs="宋体"/>
          <w:color w:val="000000"/>
          <w:sz w:val="24"/>
          <w:szCs w:val="24"/>
        </w:rPr>
        <w:t>2009;</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54</w:t>
      </w:r>
      <w:r w:rsidRPr="0099239E">
        <w:rPr>
          <w:rFonts w:ascii="Book Antiqua" w:hAnsi="Book Antiqua" w:cs="宋体"/>
          <w:color w:val="000000"/>
          <w:sz w:val="24"/>
          <w:szCs w:val="24"/>
        </w:rPr>
        <w:t>: 2456-2462 [PMID: 19093204 DOI: 10.1007/s10620-008-0639-6]</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6</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Kandiel A</w:t>
      </w:r>
      <w:r w:rsidRPr="0099239E">
        <w:rPr>
          <w:rFonts w:ascii="Book Antiqua" w:hAnsi="Book Antiqua" w:cs="宋体"/>
          <w:color w:val="000000"/>
          <w:sz w:val="24"/>
          <w:szCs w:val="24"/>
        </w:rPr>
        <w:t>, Lashner B. Cytomegalovirus colitis complicating inflammatory bowel disease.</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Am J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2006;</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101</w:t>
      </w:r>
      <w:r w:rsidRPr="0099239E">
        <w:rPr>
          <w:rFonts w:ascii="Book Antiqua" w:hAnsi="Book Antiqua" w:cs="宋体"/>
          <w:color w:val="000000"/>
          <w:sz w:val="24"/>
          <w:szCs w:val="24"/>
        </w:rPr>
        <w:t>: 2857-2865 [PMID: 17026558 DOI: AJG869]</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7</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Hommes DW</w:t>
      </w:r>
      <w:r w:rsidRPr="0099239E">
        <w:rPr>
          <w:rFonts w:ascii="Book Antiqua" w:hAnsi="Book Antiqua" w:cs="宋体"/>
          <w:color w:val="000000"/>
          <w:sz w:val="24"/>
          <w:szCs w:val="24"/>
        </w:rPr>
        <w:t>, Sterringa G, van Deventer SJ, Tytgat GN, Weel J. The pathogenicity of cytomegalovirus in inflammatory bowel disease: a systematic review and evidence-based recommendations for future research.</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Inflamm Bowel Dis</w:t>
      </w:r>
      <w:r w:rsidRPr="00A37102">
        <w:rPr>
          <w:rFonts w:ascii="Book Antiqua" w:hAnsi="Book Antiqua" w:cs="宋体"/>
          <w:color w:val="000000"/>
          <w:sz w:val="24"/>
          <w:szCs w:val="24"/>
        </w:rPr>
        <w:t> </w:t>
      </w:r>
      <w:r w:rsidRPr="0099239E">
        <w:rPr>
          <w:rFonts w:ascii="Book Antiqua" w:hAnsi="Book Antiqua" w:cs="宋体"/>
          <w:color w:val="000000"/>
          <w:sz w:val="24"/>
          <w:szCs w:val="24"/>
        </w:rPr>
        <w:t>2004;</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10</w:t>
      </w:r>
      <w:r w:rsidRPr="0099239E">
        <w:rPr>
          <w:rFonts w:ascii="Book Antiqua" w:hAnsi="Book Antiqua" w:cs="宋体"/>
          <w:color w:val="000000"/>
          <w:sz w:val="24"/>
          <w:szCs w:val="24"/>
        </w:rPr>
        <w:t>: 245-250 [PMID: 15290919 DOI: 10.1097/00054725-200405000-00011]</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8</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Omiya M</w:t>
      </w:r>
      <w:r w:rsidRPr="0099239E">
        <w:rPr>
          <w:rFonts w:ascii="Book Antiqua" w:hAnsi="Book Antiqua" w:cs="宋体"/>
          <w:color w:val="000000"/>
          <w:sz w:val="24"/>
          <w:szCs w:val="24"/>
        </w:rPr>
        <w:t>, Matsushita M, Tanaka T, Kawamata S, Okazaki K. The absence of large ulcer predicts latent cytomegalovirus infection in ulcerative colitis with positive mucosal viral assay.</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Intern Med</w:t>
      </w:r>
      <w:r w:rsidRPr="00A37102">
        <w:rPr>
          <w:rFonts w:ascii="Book Antiqua" w:hAnsi="Book Antiqua" w:cs="宋体"/>
          <w:color w:val="000000"/>
          <w:sz w:val="24"/>
          <w:szCs w:val="24"/>
        </w:rPr>
        <w:t> </w:t>
      </w:r>
      <w:r w:rsidRPr="0099239E">
        <w:rPr>
          <w:rFonts w:ascii="Book Antiqua" w:hAnsi="Book Antiqua" w:cs="宋体"/>
          <w:color w:val="000000"/>
          <w:sz w:val="24"/>
          <w:szCs w:val="24"/>
        </w:rPr>
        <w:t>2010;</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49</w:t>
      </w:r>
      <w:r w:rsidRPr="0099239E">
        <w:rPr>
          <w:rFonts w:ascii="Book Antiqua" w:hAnsi="Book Antiqua" w:cs="宋体"/>
          <w:color w:val="000000"/>
          <w:sz w:val="24"/>
          <w:szCs w:val="24"/>
        </w:rPr>
        <w:t>: 2277-2282 [PMID: 21048360 DOI: JST.JSTAGE/internalmedicine/49.3657]</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 xml:space="preserve">9 </w:t>
      </w:r>
      <w:r w:rsidRPr="0099239E">
        <w:rPr>
          <w:rFonts w:ascii="Book Antiqua" w:hAnsi="Book Antiqua" w:cs="宋体"/>
          <w:b/>
          <w:color w:val="000000"/>
          <w:sz w:val="24"/>
          <w:szCs w:val="24"/>
        </w:rPr>
        <w:t>Zeki SS</w:t>
      </w:r>
      <w:r w:rsidRPr="0099239E">
        <w:rPr>
          <w:rFonts w:ascii="Book Antiqua" w:hAnsi="Book Antiqua" w:cs="宋体"/>
          <w:color w:val="000000"/>
          <w:sz w:val="24"/>
          <w:szCs w:val="24"/>
        </w:rPr>
        <w:t xml:space="preserve">, Kodati S, Jordan A, Hansi N, Thomas-Gibson S, Nightingale JM. </w:t>
      </w:r>
      <w:bookmarkStart w:id="13" w:name="OLE_LINK7"/>
      <w:bookmarkStart w:id="14" w:name="OLE_LINK8"/>
      <w:r w:rsidRPr="0099239E">
        <w:rPr>
          <w:rFonts w:ascii="Book Antiqua" w:hAnsi="Book Antiqua" w:cs="宋体"/>
          <w:color w:val="000000"/>
          <w:sz w:val="24"/>
          <w:szCs w:val="24"/>
        </w:rPr>
        <w:t xml:space="preserve">T1322 Colectomy Rates for Patients Treated for CMV Disease in the Context of Ulcerative </w:t>
      </w:r>
      <w:r w:rsidRPr="0099239E">
        <w:rPr>
          <w:rFonts w:ascii="Book Antiqua" w:hAnsi="Book Antiqua" w:cs="宋体"/>
          <w:color w:val="000000"/>
          <w:sz w:val="24"/>
          <w:szCs w:val="24"/>
        </w:rPr>
        <w:lastRenderedPageBreak/>
        <w:t>Colitis do Not Differ From Those Who are Not Treated for CMV Disease.</w:t>
      </w:r>
      <w:bookmarkEnd w:id="13"/>
      <w:bookmarkEnd w:id="14"/>
      <w:r w:rsidRPr="0099239E">
        <w:rPr>
          <w:rFonts w:ascii="Book Antiqua" w:hAnsi="Book Antiqua" w:cs="宋体"/>
          <w:color w:val="000000"/>
          <w:sz w:val="24"/>
          <w:szCs w:val="24"/>
        </w:rPr>
        <w:t xml:space="preserve"> </w:t>
      </w:r>
      <w:bookmarkStart w:id="15" w:name="OLE_LINK9"/>
      <w:bookmarkStart w:id="16" w:name="OLE_LINK10"/>
      <w:r w:rsidRPr="0099239E">
        <w:rPr>
          <w:rFonts w:ascii="Book Antiqua" w:hAnsi="Book Antiqua" w:cs="宋体"/>
          <w:i/>
          <w:color w:val="000000"/>
          <w:sz w:val="24"/>
          <w:szCs w:val="24"/>
        </w:rPr>
        <w:t>Gastroenterology</w:t>
      </w:r>
      <w:r w:rsidRPr="0099239E">
        <w:rPr>
          <w:rFonts w:ascii="Book Antiqua" w:hAnsi="Book Antiqua" w:cs="宋体"/>
          <w:color w:val="000000"/>
          <w:sz w:val="24"/>
          <w:szCs w:val="24"/>
        </w:rPr>
        <w:t xml:space="preserve"> </w:t>
      </w:r>
      <w:bookmarkEnd w:id="15"/>
      <w:bookmarkEnd w:id="16"/>
      <w:r w:rsidRPr="0099239E">
        <w:rPr>
          <w:rFonts w:ascii="Book Antiqua" w:hAnsi="Book Antiqua" w:cs="宋体"/>
          <w:color w:val="000000"/>
          <w:sz w:val="24"/>
          <w:szCs w:val="24"/>
        </w:rPr>
        <w:t xml:space="preserve">2010; </w:t>
      </w:r>
      <w:r w:rsidRPr="0099239E">
        <w:rPr>
          <w:rFonts w:ascii="Book Antiqua" w:hAnsi="Book Antiqua" w:cs="宋体"/>
          <w:b/>
          <w:color w:val="000000"/>
          <w:sz w:val="24"/>
          <w:szCs w:val="24"/>
        </w:rPr>
        <w:t>138</w:t>
      </w:r>
      <w:r w:rsidRPr="0099239E">
        <w:rPr>
          <w:rFonts w:ascii="Book Antiqua" w:hAnsi="Book Antiqua" w:cs="宋体"/>
          <w:color w:val="000000"/>
          <w:sz w:val="24"/>
          <w:szCs w:val="24"/>
        </w:rPr>
        <w:t>: S-537 [DOI: 10.1016/S0016-5085(10)62475-4]</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 xml:space="preserve">10 </w:t>
      </w:r>
      <w:r w:rsidRPr="0099239E">
        <w:rPr>
          <w:rFonts w:ascii="Book Antiqua" w:hAnsi="Book Antiqua" w:cs="宋体"/>
          <w:b/>
          <w:color w:val="000000"/>
          <w:sz w:val="24"/>
          <w:szCs w:val="24"/>
        </w:rPr>
        <w:t>Maconi G</w:t>
      </w:r>
      <w:r w:rsidRPr="0099239E">
        <w:rPr>
          <w:rFonts w:ascii="Book Antiqua" w:hAnsi="Book Antiqua" w:cs="宋体"/>
          <w:color w:val="000000"/>
          <w:sz w:val="24"/>
          <w:szCs w:val="24"/>
        </w:rPr>
        <w:t xml:space="preserve">, Lombardini M, Ardizzone S, Cassinotti A, de Franchis R. Outcome of Cytomegalovirus (CMV) Colitis in Inflammatory Bowel Disease (IBD). A Retrospective Study. </w:t>
      </w:r>
      <w:r w:rsidRPr="0099239E">
        <w:rPr>
          <w:rFonts w:ascii="Book Antiqua" w:hAnsi="Book Antiqua" w:cs="宋体"/>
          <w:i/>
          <w:color w:val="000000"/>
          <w:sz w:val="24"/>
          <w:szCs w:val="24"/>
        </w:rPr>
        <w:t>Gastroenterology</w:t>
      </w:r>
      <w:r w:rsidRPr="00A37102">
        <w:rPr>
          <w:rFonts w:ascii="Book Antiqua" w:hAnsi="Book Antiqua" w:cs="宋体"/>
          <w:color w:val="000000"/>
          <w:sz w:val="24"/>
          <w:szCs w:val="24"/>
        </w:rPr>
        <w:t xml:space="preserve"> 2011; </w:t>
      </w:r>
      <w:r w:rsidRPr="00A37102">
        <w:rPr>
          <w:rFonts w:ascii="Book Antiqua" w:hAnsi="Book Antiqua" w:cs="宋体"/>
          <w:b/>
          <w:color w:val="000000"/>
          <w:sz w:val="24"/>
          <w:szCs w:val="24"/>
        </w:rPr>
        <w:t>140</w:t>
      </w:r>
      <w:r w:rsidRPr="0099239E">
        <w:rPr>
          <w:rFonts w:ascii="Book Antiqua" w:hAnsi="Book Antiqua" w:cs="宋体"/>
          <w:color w:val="000000"/>
          <w:sz w:val="24"/>
          <w:szCs w:val="24"/>
        </w:rPr>
        <w:t>: S-589</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11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Minami M</w:t>
      </w:r>
      <w:r w:rsidRPr="0099239E">
        <w:rPr>
          <w:rFonts w:ascii="Book Antiqua" w:hAnsi="Book Antiqua" w:cs="宋体"/>
          <w:color w:val="000000"/>
          <w:sz w:val="24"/>
          <w:szCs w:val="24"/>
        </w:rPr>
        <w:t>, Ohta M, Ohkura T, Ando T, Ohmiya N, Niwa Y, Goto H. Cytomegalovirus infection in severe ulcerative colitis patients undergoing continuous intravenous cyclosporine treatment in Japan.</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World J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2007;</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13</w:t>
      </w:r>
      <w:r w:rsidRPr="0099239E">
        <w:rPr>
          <w:rFonts w:ascii="Book Antiqua" w:hAnsi="Book Antiqua" w:cs="宋体"/>
          <w:color w:val="000000"/>
          <w:sz w:val="24"/>
          <w:szCs w:val="24"/>
        </w:rPr>
        <w:t>: 754-760 [PMID: 17278199]</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12</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Kim YS</w:t>
      </w:r>
      <w:r w:rsidRPr="0099239E">
        <w:rPr>
          <w:rFonts w:ascii="Book Antiqua" w:hAnsi="Book Antiqua" w:cs="宋体"/>
          <w:color w:val="000000"/>
          <w:sz w:val="24"/>
          <w:szCs w:val="24"/>
        </w:rPr>
        <w:t>, Kim YH, Kim JS, Cheon JH, Ye BD, Jung SA, Park YS, Choi CH, Jang BI, Han DS, Yang SK, Kim WH. The prevalence and efficacy of ganciclovir on steroid-refractory ulcerative colitis with cytomegalovirus infection: a prospective multicenter study.</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J Clin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2012;</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46</w:t>
      </w:r>
      <w:r w:rsidRPr="0099239E">
        <w:rPr>
          <w:rFonts w:ascii="Book Antiqua" w:hAnsi="Book Antiqua" w:cs="宋体"/>
          <w:color w:val="000000"/>
          <w:sz w:val="24"/>
          <w:szCs w:val="24"/>
        </w:rPr>
        <w:t>: 51-56 [PMID: 21552140 DOI: 10.1097/MCG.0b013e3182160c9c]</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13</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Roblin X</w:t>
      </w:r>
      <w:r w:rsidRPr="0099239E">
        <w:rPr>
          <w:rFonts w:ascii="Book Antiqua" w:hAnsi="Book Antiqua" w:cs="宋体"/>
          <w:color w:val="000000"/>
          <w:sz w:val="24"/>
          <w:szCs w:val="24"/>
        </w:rPr>
        <w:t>, Pillet S, Oussalah A, Berthelot P, Del Tedesco E, Phelip JM, Chambonnière ML, Garraud O, Peyrin-Biroulet L, Pozzetto B. Cytomegalovirus load in inflamed intestinal tissue is predictive of resistance to immunosuppressive therapy in ulcerative colitis.</w:t>
      </w:r>
      <w:r w:rsidRPr="00A37102">
        <w:rPr>
          <w:rFonts w:ascii="Book Antiqua" w:hAnsi="Book Antiqua" w:cs="宋体"/>
          <w:color w:val="000000"/>
          <w:sz w:val="24"/>
          <w:szCs w:val="24"/>
        </w:rPr>
        <w:t xml:space="preserve"> </w:t>
      </w:r>
      <w:r w:rsidRPr="0099239E">
        <w:rPr>
          <w:rFonts w:ascii="Book Antiqua" w:hAnsi="Book Antiqua" w:cs="宋体"/>
          <w:i/>
          <w:iCs/>
          <w:color w:val="000000"/>
          <w:sz w:val="24"/>
          <w:szCs w:val="24"/>
        </w:rPr>
        <w:t>Am J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2011;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106</w:t>
      </w:r>
      <w:r w:rsidRPr="0099239E">
        <w:rPr>
          <w:rFonts w:ascii="Book Antiqua" w:hAnsi="Book Antiqua" w:cs="宋体"/>
          <w:color w:val="000000"/>
          <w:sz w:val="24"/>
          <w:szCs w:val="24"/>
        </w:rPr>
        <w:t>: 2001-2008 [PMID: 21788989 DOI: 10.1038/ajg.2011.202]</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14</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Al-Zafiri R</w:t>
      </w:r>
      <w:r w:rsidRPr="0099239E">
        <w:rPr>
          <w:rFonts w:ascii="Book Antiqua" w:hAnsi="Book Antiqua" w:cs="宋体"/>
          <w:color w:val="000000"/>
          <w:sz w:val="24"/>
          <w:szCs w:val="24"/>
        </w:rPr>
        <w:t>, Gologan A, Galiatsatos P, Szilagyi A. Cytomegalovirus complicating inflammatory bowel disease: a 10-year experience in a community-based, university-affiliated hospital.</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 xml:space="preserve">Gastroenterol Hepatol </w:t>
      </w:r>
      <w:r w:rsidRPr="0099239E">
        <w:rPr>
          <w:rFonts w:ascii="Book Antiqua" w:hAnsi="Book Antiqua" w:cs="宋体"/>
          <w:iCs/>
          <w:color w:val="000000"/>
          <w:sz w:val="24"/>
          <w:szCs w:val="24"/>
        </w:rPr>
        <w:t>(N Y)</w:t>
      </w:r>
      <w:r w:rsidRPr="00A37102">
        <w:rPr>
          <w:rFonts w:ascii="Book Antiqua" w:hAnsi="Book Antiqua" w:cs="宋体"/>
          <w:color w:val="000000"/>
          <w:sz w:val="24"/>
          <w:szCs w:val="24"/>
        </w:rPr>
        <w:t> </w:t>
      </w:r>
      <w:r w:rsidRPr="0099239E">
        <w:rPr>
          <w:rFonts w:ascii="Book Antiqua" w:hAnsi="Book Antiqua" w:cs="宋体"/>
          <w:color w:val="000000"/>
          <w:sz w:val="24"/>
          <w:szCs w:val="24"/>
        </w:rPr>
        <w:t>2012;</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8</w:t>
      </w:r>
      <w:r w:rsidRPr="0099239E">
        <w:rPr>
          <w:rFonts w:ascii="Book Antiqua" w:hAnsi="Book Antiqua" w:cs="宋体"/>
          <w:color w:val="000000"/>
          <w:sz w:val="24"/>
          <w:szCs w:val="24"/>
        </w:rPr>
        <w:t>: 230-239 [PMID: 22723754]</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 xml:space="preserve">15 </w:t>
      </w:r>
      <w:r w:rsidRPr="0099239E">
        <w:rPr>
          <w:rFonts w:ascii="Book Antiqua" w:hAnsi="Book Antiqua" w:cs="宋体"/>
          <w:b/>
          <w:color w:val="000000"/>
          <w:sz w:val="24"/>
          <w:szCs w:val="24"/>
        </w:rPr>
        <w:t>Maruyama Y</w:t>
      </w:r>
      <w:r w:rsidRPr="0099239E">
        <w:rPr>
          <w:rFonts w:ascii="Book Antiqua" w:hAnsi="Book Antiqua" w:cs="宋体"/>
          <w:color w:val="000000"/>
          <w:sz w:val="24"/>
          <w:szCs w:val="24"/>
        </w:rPr>
        <w:t xml:space="preserve">, Matsuoka K, Iwao Y, Yajima T, Inoue N, Hisamatsu T, Sujino T, Takabayashi K, Yoneno K, Mikami Y, Miyoshi J, Mizuno S, Kimura K, Kanai T, Ogata H, Mukai M, Hibi T. Sa1936 Anti-Viral Therapy is Not Necessarily Indicated in Ulcerative Colitis Patients With Cytomegalovirus Infection Detected by Immunohistochemistry. </w:t>
      </w:r>
      <w:r w:rsidRPr="0099239E">
        <w:rPr>
          <w:rFonts w:ascii="Book Antiqua" w:hAnsi="Book Antiqua" w:cs="宋体"/>
          <w:i/>
          <w:color w:val="000000"/>
          <w:sz w:val="24"/>
          <w:szCs w:val="24"/>
        </w:rPr>
        <w:t>Gastroenterology</w:t>
      </w:r>
      <w:r w:rsidRPr="00A37102">
        <w:rPr>
          <w:rFonts w:ascii="Book Antiqua" w:hAnsi="Book Antiqua" w:cs="宋体"/>
          <w:color w:val="000000"/>
          <w:sz w:val="24"/>
          <w:szCs w:val="24"/>
        </w:rPr>
        <w:t xml:space="preserve"> 2012; </w:t>
      </w:r>
      <w:r w:rsidRPr="00A37102">
        <w:rPr>
          <w:rFonts w:ascii="Book Antiqua" w:hAnsi="Book Antiqua" w:cs="宋体"/>
          <w:b/>
          <w:color w:val="000000"/>
          <w:sz w:val="24"/>
          <w:szCs w:val="24"/>
        </w:rPr>
        <w:t>142</w:t>
      </w:r>
      <w:r w:rsidRPr="0099239E">
        <w:rPr>
          <w:rFonts w:ascii="Book Antiqua" w:hAnsi="Book Antiqua" w:cs="宋体"/>
          <w:color w:val="000000"/>
          <w:sz w:val="24"/>
          <w:szCs w:val="24"/>
        </w:rPr>
        <w:t>: S-363</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16</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Kopylov U</w:t>
      </w:r>
      <w:r w:rsidRPr="0099239E">
        <w:rPr>
          <w:rFonts w:ascii="Book Antiqua" w:hAnsi="Book Antiqua" w:cs="宋体"/>
          <w:color w:val="000000"/>
          <w:sz w:val="24"/>
          <w:szCs w:val="24"/>
        </w:rPr>
        <w:t xml:space="preserve">, Sasson G, Geyshis B, Oikawa MT, Barshack I, Eliakim R, Ben-Horin S. Cytomegalovirus positive ulcerative colitis: A single center experience and literature </w:t>
      </w:r>
      <w:r w:rsidRPr="0099239E">
        <w:rPr>
          <w:rFonts w:ascii="Book Antiqua" w:hAnsi="Book Antiqua" w:cs="宋体"/>
          <w:color w:val="000000"/>
          <w:sz w:val="24"/>
          <w:szCs w:val="24"/>
        </w:rPr>
        <w:lastRenderedPageBreak/>
        <w:t>review.</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World J Gastrointest Pathophysiol</w:t>
      </w:r>
      <w:r w:rsidRPr="00A37102">
        <w:rPr>
          <w:rFonts w:ascii="Book Antiqua" w:hAnsi="Book Antiqua" w:cs="宋体"/>
          <w:color w:val="000000"/>
          <w:sz w:val="24"/>
          <w:szCs w:val="24"/>
        </w:rPr>
        <w:t> </w:t>
      </w:r>
      <w:r w:rsidRPr="0099239E">
        <w:rPr>
          <w:rFonts w:ascii="Book Antiqua" w:hAnsi="Book Antiqua" w:cs="宋体"/>
          <w:color w:val="000000"/>
          <w:sz w:val="24"/>
          <w:szCs w:val="24"/>
        </w:rPr>
        <w:t>2013;</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4</w:t>
      </w:r>
      <w:r w:rsidRPr="0099239E">
        <w:rPr>
          <w:rFonts w:ascii="Book Antiqua" w:hAnsi="Book Antiqua" w:cs="宋体"/>
          <w:color w:val="000000"/>
          <w:sz w:val="24"/>
          <w:szCs w:val="24"/>
        </w:rPr>
        <w:t>: 18-23 [PMID: 23596551 DOI: 10.4291/wjgp.v4.i1.18]</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17</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Criscuoli V</w:t>
      </w:r>
      <w:r w:rsidRPr="0099239E">
        <w:rPr>
          <w:rFonts w:ascii="Book Antiqua" w:hAnsi="Book Antiqua" w:cs="宋体"/>
          <w:color w:val="000000"/>
          <w:sz w:val="24"/>
          <w:szCs w:val="24"/>
        </w:rPr>
        <w:t>, Rizzuto MR, Montalbano L, Gallo E, Cottone M. Natural history of cytomegalovirus infection in a series of patients diagnosed with moderate-severe ulcerative colitis.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World J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2011;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17</w:t>
      </w:r>
      <w:r w:rsidRPr="0099239E">
        <w:rPr>
          <w:rFonts w:ascii="Book Antiqua" w:hAnsi="Book Antiqua" w:cs="宋体"/>
          <w:color w:val="000000"/>
          <w:sz w:val="24"/>
          <w:szCs w:val="24"/>
        </w:rPr>
        <w:t>: 633-638 [PMID: 21350712 DOI: 10.3748/wjg.v17.i5.633]</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18</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Drouin E</w:t>
      </w:r>
      <w:r w:rsidRPr="0099239E">
        <w:rPr>
          <w:rFonts w:ascii="Book Antiqua" w:hAnsi="Book Antiqua" w:cs="宋体"/>
          <w:color w:val="000000"/>
          <w:sz w:val="24"/>
          <w:szCs w:val="24"/>
        </w:rPr>
        <w:t>, Seidman E, Russo P, Deslandres C. Gastrointestinal cytomegalovirus infection complicating Crohn's disease in an adolescent without AIDS.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J Pediatr Gastroenterol Nutr</w:t>
      </w:r>
      <w:r w:rsidRPr="00A37102">
        <w:rPr>
          <w:rFonts w:ascii="Book Antiqua" w:hAnsi="Book Antiqua" w:cs="宋体"/>
          <w:color w:val="000000"/>
          <w:sz w:val="24"/>
          <w:szCs w:val="24"/>
        </w:rPr>
        <w:t> </w:t>
      </w:r>
      <w:r w:rsidRPr="0099239E">
        <w:rPr>
          <w:rFonts w:ascii="Book Antiqua" w:hAnsi="Book Antiqua" w:cs="宋体"/>
          <w:color w:val="000000"/>
          <w:sz w:val="24"/>
          <w:szCs w:val="24"/>
        </w:rPr>
        <w:t>1997;</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25</w:t>
      </w:r>
      <w:r w:rsidRPr="0099239E">
        <w:rPr>
          <w:rFonts w:ascii="Book Antiqua" w:hAnsi="Book Antiqua" w:cs="宋体"/>
          <w:color w:val="000000"/>
          <w:sz w:val="24"/>
          <w:szCs w:val="24"/>
        </w:rPr>
        <w:t>: 210-213 [PMID: 9252910]</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19</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POWELL RD</w:t>
      </w:r>
      <w:r w:rsidRPr="0099239E">
        <w:rPr>
          <w:rFonts w:ascii="Book Antiqua" w:hAnsi="Book Antiqua" w:cs="宋体"/>
          <w:color w:val="000000"/>
          <w:sz w:val="24"/>
          <w:szCs w:val="24"/>
        </w:rPr>
        <w:t>, WARNER NE, LEVINE RS, KIRSNER JB. Cytomegalic inclusion disease and ulcerative colitis; report of a case in a young adult.</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Am J Med</w:t>
      </w:r>
      <w:r w:rsidRPr="00A37102">
        <w:rPr>
          <w:rFonts w:ascii="Book Antiqua" w:hAnsi="Book Antiqua" w:cs="宋体"/>
          <w:color w:val="000000"/>
          <w:sz w:val="24"/>
          <w:szCs w:val="24"/>
        </w:rPr>
        <w:t> </w:t>
      </w:r>
      <w:r w:rsidRPr="0099239E">
        <w:rPr>
          <w:rFonts w:ascii="Book Antiqua" w:hAnsi="Book Antiqua" w:cs="宋体"/>
          <w:color w:val="000000"/>
          <w:sz w:val="24"/>
          <w:szCs w:val="24"/>
        </w:rPr>
        <w:t>1961;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30</w:t>
      </w:r>
      <w:r w:rsidRPr="0099239E">
        <w:rPr>
          <w:rFonts w:ascii="Book Antiqua" w:hAnsi="Book Antiqua" w:cs="宋体"/>
          <w:color w:val="000000"/>
          <w:sz w:val="24"/>
          <w:szCs w:val="24"/>
        </w:rPr>
        <w:t>: 334-340 [PMID: 13737621 DOI: 10.1016/0002-9343(61)90105-X]</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20</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Berk T</w:t>
      </w:r>
      <w:r w:rsidRPr="0099239E">
        <w:rPr>
          <w:rFonts w:ascii="Book Antiqua" w:hAnsi="Book Antiqua" w:cs="宋体"/>
          <w:color w:val="000000"/>
          <w:sz w:val="24"/>
          <w:szCs w:val="24"/>
        </w:rPr>
        <w:t>, Gordon SJ, Choi HY, Cooper HS. Cytomegalovirus infection of the colon: a possible role in exacerbations of inflammatory bowel disease.</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Am J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1985;</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80</w:t>
      </w:r>
      <w:r w:rsidRPr="0099239E">
        <w:rPr>
          <w:rFonts w:ascii="Book Antiqua" w:hAnsi="Book Antiqua" w:cs="宋体"/>
          <w:color w:val="000000"/>
          <w:sz w:val="24"/>
          <w:szCs w:val="24"/>
        </w:rPr>
        <w:t>: 355-360 [PMID: 2859801]</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Cottone M</w:t>
      </w:r>
      <w:r w:rsidRPr="0099239E">
        <w:rPr>
          <w:rFonts w:ascii="Book Antiqua" w:hAnsi="Book Antiqua" w:cs="宋体"/>
          <w:color w:val="000000"/>
          <w:sz w:val="24"/>
          <w:szCs w:val="24"/>
        </w:rPr>
        <w:t>, Pietrosi G, Martorana G, Casà A, Pecoraro G, Oliva L, Orlando A, Rosselli M, Rizzo A, Pagliaro L. Prevalence of cytomegalovirus infection in severe refractory ulcerative and Crohn's colitis.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Am J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2001;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96</w:t>
      </w:r>
      <w:r w:rsidRPr="0099239E">
        <w:rPr>
          <w:rFonts w:ascii="Book Antiqua" w:hAnsi="Book Antiqua" w:cs="宋体"/>
          <w:color w:val="000000"/>
          <w:sz w:val="24"/>
          <w:szCs w:val="24"/>
        </w:rPr>
        <w:t>: 773-775 [PMID: 11280549]</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22</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Matsuoka K</w:t>
      </w:r>
      <w:r w:rsidRPr="0099239E">
        <w:rPr>
          <w:rFonts w:ascii="Book Antiqua" w:hAnsi="Book Antiqua" w:cs="宋体"/>
          <w:color w:val="000000"/>
          <w:sz w:val="24"/>
          <w:szCs w:val="24"/>
        </w:rPr>
        <w:t>, Iwao Y, Mori T, Sakuraba A, Yajima T, Hisamatsu T, Okamoto S, Morohoshi Y, Izumiya M, Ichikawa H, Sato T, Inoue N, Ogata H, Hibi T. Cytomegalovirus is frequently reactivated and disappears without antiviral agents in ulcerative colitis patients.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Am J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2007;</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102</w:t>
      </w:r>
      <w:r w:rsidRPr="0099239E">
        <w:rPr>
          <w:rFonts w:ascii="Book Antiqua" w:hAnsi="Book Antiqua" w:cs="宋体"/>
          <w:color w:val="000000"/>
          <w:sz w:val="24"/>
          <w:szCs w:val="24"/>
        </w:rPr>
        <w:t xml:space="preserve">: 331-337 [PMID: 17156136 DOI: </w:t>
      </w:r>
      <w:r w:rsidRPr="00A37102">
        <w:rPr>
          <w:rFonts w:ascii="Book Antiqua" w:hAnsi="Book Antiqua" w:cs="宋体"/>
          <w:color w:val="000000"/>
          <w:sz w:val="24"/>
          <w:szCs w:val="24"/>
        </w:rPr>
        <w:t>10.1111/j.1572-0241.2006.00989.x</w:t>
      </w:r>
      <w:r w:rsidRPr="0099239E">
        <w:rPr>
          <w:rFonts w:ascii="Book Antiqua" w:hAnsi="Book Antiqua" w:cs="宋体"/>
          <w:color w:val="000000"/>
          <w:sz w:val="24"/>
          <w:szCs w:val="24"/>
        </w:rPr>
        <w:t>]</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23</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Osaki R</w:t>
      </w:r>
      <w:r w:rsidRPr="0099239E">
        <w:rPr>
          <w:rFonts w:ascii="Book Antiqua" w:hAnsi="Book Antiqua" w:cs="宋体"/>
          <w:color w:val="000000"/>
          <w:sz w:val="24"/>
          <w:szCs w:val="24"/>
        </w:rPr>
        <w:t>, Andoh A, Tsujikawa T, Ogawa A, Koizumi Y, Nakahara T, Hata K, Sasaki M, Saito Y, Fujiyama Y. Acute cytomegalovirus infection superimposed on corticosteroid-naïve ulcerative colitis.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Intern Med</w:t>
      </w:r>
      <w:r w:rsidRPr="00A37102">
        <w:rPr>
          <w:rFonts w:ascii="Book Antiqua" w:hAnsi="Book Antiqua" w:cs="宋体"/>
          <w:color w:val="000000"/>
          <w:sz w:val="24"/>
          <w:szCs w:val="24"/>
        </w:rPr>
        <w:t> </w:t>
      </w:r>
      <w:r w:rsidRPr="0099239E">
        <w:rPr>
          <w:rFonts w:ascii="Book Antiqua" w:hAnsi="Book Antiqua" w:cs="宋体"/>
          <w:color w:val="000000"/>
          <w:sz w:val="24"/>
          <w:szCs w:val="24"/>
        </w:rPr>
        <w:t>2008;</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47</w:t>
      </w:r>
      <w:r w:rsidRPr="0099239E">
        <w:rPr>
          <w:rFonts w:ascii="Book Antiqua" w:hAnsi="Book Antiqua" w:cs="宋体"/>
          <w:color w:val="000000"/>
          <w:sz w:val="24"/>
          <w:szCs w:val="24"/>
        </w:rPr>
        <w:t>: 1341-1344 [PMID: 18628583]</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24</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Yoda Y</w:t>
      </w:r>
      <w:r w:rsidRPr="0099239E">
        <w:rPr>
          <w:rFonts w:ascii="Book Antiqua" w:hAnsi="Book Antiqua" w:cs="宋体"/>
          <w:color w:val="000000"/>
          <w:sz w:val="24"/>
          <w:szCs w:val="24"/>
        </w:rPr>
        <w:t xml:space="preserve">, Hanaoka R, Ide H, Isozaki T, Matsunawa M, Yajima N, Shiozawa F, Miwa Y, Negishi M, Kasama T. Clinical evaluation of patients with inflammatory connective </w:t>
      </w:r>
      <w:r w:rsidRPr="0099239E">
        <w:rPr>
          <w:rFonts w:ascii="Book Antiqua" w:hAnsi="Book Antiqua" w:cs="宋体"/>
          <w:color w:val="000000"/>
          <w:sz w:val="24"/>
          <w:szCs w:val="24"/>
        </w:rPr>
        <w:lastRenderedPageBreak/>
        <w:t>tissue diseases complicated by cytomegalovirus antigenemia.</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Mod Rheumatol</w:t>
      </w:r>
      <w:r w:rsidRPr="00A37102">
        <w:rPr>
          <w:rFonts w:ascii="Book Antiqua" w:hAnsi="Book Antiqua" w:cs="宋体"/>
          <w:color w:val="000000"/>
          <w:sz w:val="24"/>
          <w:szCs w:val="24"/>
        </w:rPr>
        <w:t> </w:t>
      </w:r>
      <w:r w:rsidRPr="0099239E">
        <w:rPr>
          <w:rFonts w:ascii="Book Antiqua" w:hAnsi="Book Antiqua" w:cs="宋体"/>
          <w:color w:val="000000"/>
          <w:sz w:val="24"/>
          <w:szCs w:val="24"/>
        </w:rPr>
        <w:t>2006;</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16</w:t>
      </w:r>
      <w:r w:rsidRPr="0099239E">
        <w:rPr>
          <w:rFonts w:ascii="Book Antiqua" w:hAnsi="Book Antiqua" w:cs="宋体"/>
          <w:color w:val="000000"/>
          <w:sz w:val="24"/>
          <w:szCs w:val="24"/>
        </w:rPr>
        <w:t>: 137-142 [PMID: 16767551 DOI: 10.1007/s10165-006-0470-x]</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25</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Yoshino T</w:t>
      </w:r>
      <w:r w:rsidRPr="0099239E">
        <w:rPr>
          <w:rFonts w:ascii="Book Antiqua" w:hAnsi="Book Antiqua" w:cs="宋体"/>
          <w:color w:val="000000"/>
          <w:sz w:val="24"/>
          <w:szCs w:val="24"/>
        </w:rPr>
        <w:t>, Nakase H, Ueno S, Uza N, Inoue S, Mikami S, Matsuura M, Ohmori K, Sakurai T, Nagayama S, Hasegawa S, Sakai Y, Chiba T. Usefulness of quantitative real-time PCR assay for early detection of cytomegalovirus infection in patients with ulcerative colitis refractory to immunosuppressive therapies.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Inflamm Bowel Dis</w:t>
      </w:r>
      <w:r w:rsidRPr="00A37102">
        <w:rPr>
          <w:rFonts w:ascii="Book Antiqua" w:hAnsi="Book Antiqua" w:cs="宋体"/>
          <w:color w:val="000000"/>
          <w:sz w:val="24"/>
          <w:szCs w:val="24"/>
        </w:rPr>
        <w:t> </w:t>
      </w:r>
      <w:r w:rsidRPr="0099239E">
        <w:rPr>
          <w:rFonts w:ascii="Book Antiqua" w:hAnsi="Book Antiqua" w:cs="宋体"/>
          <w:color w:val="000000"/>
          <w:sz w:val="24"/>
          <w:szCs w:val="24"/>
        </w:rPr>
        <w:t>2007;</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13</w:t>
      </w:r>
      <w:r w:rsidRPr="0099239E">
        <w:rPr>
          <w:rFonts w:ascii="Book Antiqua" w:hAnsi="Book Antiqua" w:cs="宋体"/>
          <w:color w:val="000000"/>
          <w:sz w:val="24"/>
          <w:szCs w:val="24"/>
        </w:rPr>
        <w:t>: 1516-1521 [PMID: 17828781 DOI: 10.1002/ibd.20253]</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26</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Begos DG</w:t>
      </w:r>
      <w:r w:rsidRPr="0099239E">
        <w:rPr>
          <w:rFonts w:ascii="Book Antiqua" w:hAnsi="Book Antiqua" w:cs="宋体"/>
          <w:color w:val="000000"/>
          <w:sz w:val="24"/>
          <w:szCs w:val="24"/>
        </w:rPr>
        <w:t>, Rappaport R, Jain D. Cytomegalovirus infection masquerading as an ulcerative colitis flare-up: case report and review of the literature.</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Yale J Biol Med</w:t>
      </w:r>
      <w:r w:rsidRPr="00A37102">
        <w:rPr>
          <w:rFonts w:ascii="Book Antiqua" w:hAnsi="Book Antiqua" w:cs="宋体"/>
          <w:color w:val="000000"/>
          <w:sz w:val="24"/>
          <w:szCs w:val="24"/>
        </w:rPr>
        <w:t> 1996</w:t>
      </w:r>
      <w:r w:rsidRPr="0099239E">
        <w:rPr>
          <w:rFonts w:ascii="Book Antiqua" w:hAnsi="Book Antiqua" w:cs="宋体"/>
          <w:color w:val="000000"/>
          <w:sz w:val="24"/>
          <w:szCs w:val="24"/>
        </w:rPr>
        <w:t>;</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69</w:t>
      </w:r>
      <w:r w:rsidRPr="0099239E">
        <w:rPr>
          <w:rFonts w:ascii="Book Antiqua" w:hAnsi="Book Antiqua" w:cs="宋体"/>
          <w:color w:val="000000"/>
          <w:sz w:val="24"/>
          <w:szCs w:val="24"/>
        </w:rPr>
        <w:t>: 323-328 [PMID: 9273986]</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27</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Loftus EV</w:t>
      </w:r>
      <w:r w:rsidRPr="0099239E">
        <w:rPr>
          <w:rFonts w:ascii="Book Antiqua" w:hAnsi="Book Antiqua" w:cs="宋体"/>
          <w:color w:val="000000"/>
          <w:sz w:val="24"/>
          <w:szCs w:val="24"/>
        </w:rPr>
        <w:t>, Alexander GL, Carpenter HA. Cytomegalovirus as an exacerbating factor in ulcerative colitis.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J Clin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1994;</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19</w:t>
      </w:r>
      <w:r w:rsidRPr="0099239E">
        <w:rPr>
          <w:rFonts w:ascii="Book Antiqua" w:hAnsi="Book Antiqua" w:cs="宋体"/>
          <w:color w:val="000000"/>
          <w:sz w:val="24"/>
          <w:szCs w:val="24"/>
        </w:rPr>
        <w:t>: 306-309 [PMID: 7876511 DOI: 10.1097/00004836-199412000-00010]</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28</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Papadakis KA</w:t>
      </w:r>
      <w:r w:rsidRPr="0099239E">
        <w:rPr>
          <w:rFonts w:ascii="Book Antiqua" w:hAnsi="Book Antiqua" w:cs="宋体"/>
          <w:color w:val="000000"/>
          <w:sz w:val="24"/>
          <w:szCs w:val="24"/>
        </w:rPr>
        <w:t>, Tung JK, Binder SW, Kam LY, Abreu MT, Targan SR, Vasiliauskas EA. Outcome of cytomegalovirus infections in patients with inflammatory bowel disease.</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Am J Gastroenterol</w:t>
      </w:r>
      <w:r w:rsidRPr="00A37102">
        <w:rPr>
          <w:rFonts w:ascii="Book Antiqua" w:hAnsi="Book Antiqua" w:cs="宋体"/>
          <w:color w:val="000000"/>
          <w:sz w:val="24"/>
          <w:szCs w:val="24"/>
        </w:rPr>
        <w:t> </w:t>
      </w:r>
      <w:r w:rsidRPr="0099239E">
        <w:rPr>
          <w:rFonts w:ascii="Book Antiqua" w:hAnsi="Book Antiqua" w:cs="宋体"/>
          <w:color w:val="000000"/>
          <w:sz w:val="24"/>
          <w:szCs w:val="24"/>
        </w:rPr>
        <w:t>2001;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96</w:t>
      </w:r>
      <w:r w:rsidRPr="0099239E">
        <w:rPr>
          <w:rFonts w:ascii="Book Antiqua" w:hAnsi="Book Antiqua" w:cs="宋体"/>
          <w:color w:val="000000"/>
          <w:sz w:val="24"/>
          <w:szCs w:val="24"/>
        </w:rPr>
        <w:t>: 2137-2142 [PMID: 11467645 DOI: 10.1111/j.1572-0241.2001.03949.x]</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29</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Kambham N</w:t>
      </w:r>
      <w:r w:rsidRPr="0099239E">
        <w:rPr>
          <w:rFonts w:ascii="Book Antiqua" w:hAnsi="Book Antiqua" w:cs="宋体"/>
          <w:color w:val="000000"/>
          <w:sz w:val="24"/>
          <w:szCs w:val="24"/>
        </w:rPr>
        <w:t>, Vij R, Cartwright CA, Longacre T. Cytomegalovirus infection in steroid-refractory ulcerative colitis: a case-control study.</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Am J Surg Pathol</w:t>
      </w:r>
      <w:r w:rsidRPr="00A37102">
        <w:rPr>
          <w:rFonts w:ascii="Book Antiqua" w:hAnsi="Book Antiqua" w:cs="宋体"/>
          <w:color w:val="000000"/>
          <w:sz w:val="24"/>
          <w:szCs w:val="24"/>
        </w:rPr>
        <w:t> </w:t>
      </w:r>
      <w:r w:rsidRPr="0099239E">
        <w:rPr>
          <w:rFonts w:ascii="Book Antiqua" w:hAnsi="Book Antiqua" w:cs="宋体"/>
          <w:color w:val="000000"/>
          <w:sz w:val="24"/>
          <w:szCs w:val="24"/>
        </w:rPr>
        <w:t>2004;</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28</w:t>
      </w:r>
      <w:r w:rsidRPr="0099239E">
        <w:rPr>
          <w:rFonts w:ascii="Book Antiqua" w:hAnsi="Book Antiqua" w:cs="宋体"/>
          <w:color w:val="000000"/>
          <w:sz w:val="24"/>
          <w:szCs w:val="24"/>
        </w:rPr>
        <w:t>: 365-373 [PMID: 15104299 DOI: 10.1097/00000478-200403000-00009]</w:t>
      </w:r>
    </w:p>
    <w:p w:rsidR="00DE6C05" w:rsidRPr="0099239E" w:rsidRDefault="00DE6C05" w:rsidP="00B343A9">
      <w:pPr>
        <w:spacing w:after="0" w:line="360" w:lineRule="auto"/>
        <w:jc w:val="both"/>
        <w:rPr>
          <w:rFonts w:ascii="Book Antiqua" w:hAnsi="Book Antiqua" w:cs="宋体"/>
          <w:color w:val="000000"/>
          <w:sz w:val="24"/>
          <w:szCs w:val="24"/>
        </w:rPr>
      </w:pPr>
      <w:r w:rsidRPr="0099239E">
        <w:rPr>
          <w:rFonts w:ascii="Book Antiqua" w:hAnsi="Book Antiqua" w:cs="宋体"/>
          <w:color w:val="000000"/>
          <w:sz w:val="24"/>
          <w:szCs w:val="24"/>
        </w:rPr>
        <w:t>30</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Rahier JF</w:t>
      </w:r>
      <w:r w:rsidRPr="0099239E">
        <w:rPr>
          <w:rFonts w:ascii="Book Antiqua" w:hAnsi="Book Antiqua" w:cs="宋体"/>
          <w:color w:val="000000"/>
          <w:sz w:val="24"/>
          <w:szCs w:val="24"/>
        </w:rPr>
        <w:t>, Ben-Horin S, Chowers Y, Conlon C, De Munter P, D'Haens G, Domènech E, Eliakim R, Eser A, Frater J, Gassull M, Giladi M, Kaser A, Lémann M, Moreels T, Moschen A, Pollok R, Reinisch W, Schunter M, Stange EF, Tilg H, Van Assche G, Viget N, Vucelic B, Walsh A, Weiss G, Yazdanpanah Y, Zabana Y, Travis SP, Colombel JF. European evidence-based Consensus on the prevention, diagnosis and management of opportunistic infections in inflammatory bowel disease.</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J Crohns Colitis</w:t>
      </w:r>
      <w:r w:rsidRPr="00A37102">
        <w:rPr>
          <w:rFonts w:ascii="Book Antiqua" w:hAnsi="Book Antiqua" w:cs="宋体"/>
          <w:color w:val="000000"/>
          <w:sz w:val="24"/>
          <w:szCs w:val="24"/>
        </w:rPr>
        <w:t> </w:t>
      </w:r>
      <w:r w:rsidRPr="0099239E">
        <w:rPr>
          <w:rFonts w:ascii="Book Antiqua" w:hAnsi="Book Antiqua" w:cs="宋体"/>
          <w:color w:val="000000"/>
          <w:sz w:val="24"/>
          <w:szCs w:val="24"/>
        </w:rPr>
        <w:t>2009;</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3</w:t>
      </w:r>
      <w:r w:rsidRPr="0099239E">
        <w:rPr>
          <w:rFonts w:ascii="Book Antiqua" w:hAnsi="Book Antiqua" w:cs="宋体"/>
          <w:color w:val="000000"/>
          <w:sz w:val="24"/>
          <w:szCs w:val="24"/>
        </w:rPr>
        <w:t>: 47-91 [PMID: 21172250 DOI: 10.1016/j.crohns.2009.02.010]</w:t>
      </w:r>
    </w:p>
    <w:p w:rsidR="00DE6C05" w:rsidRPr="00A37102" w:rsidRDefault="00DE6C05" w:rsidP="00B343A9">
      <w:pPr>
        <w:spacing w:after="0" w:line="360" w:lineRule="auto"/>
        <w:jc w:val="both"/>
        <w:rPr>
          <w:rFonts w:ascii="Book Antiqua" w:hAnsi="Book Antiqua" w:cs="宋体"/>
          <w:color w:val="000000"/>
          <w:sz w:val="24"/>
          <w:szCs w:val="24"/>
          <w:lang w:eastAsia="zh-CN"/>
        </w:rPr>
      </w:pPr>
      <w:r w:rsidRPr="0099239E">
        <w:rPr>
          <w:rFonts w:ascii="Book Antiqua" w:hAnsi="Book Antiqua" w:cs="宋体"/>
          <w:color w:val="000000"/>
          <w:sz w:val="24"/>
          <w:szCs w:val="24"/>
        </w:rPr>
        <w:t>31</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Rowshani AT</w:t>
      </w:r>
      <w:r w:rsidRPr="0099239E">
        <w:rPr>
          <w:rFonts w:ascii="Book Antiqua" w:hAnsi="Book Antiqua" w:cs="宋体"/>
          <w:color w:val="000000"/>
          <w:sz w:val="24"/>
          <w:szCs w:val="24"/>
        </w:rPr>
        <w:t xml:space="preserve">, Bemelman FJ, van Leeuwen EM, van Lier RA, ten Berge IJ. Clinical and immunologic aspects of cytomegalovirus infection in solid organ transplant </w:t>
      </w:r>
      <w:r w:rsidRPr="0099239E">
        <w:rPr>
          <w:rFonts w:ascii="Book Antiqua" w:hAnsi="Book Antiqua" w:cs="宋体"/>
          <w:color w:val="000000"/>
          <w:sz w:val="24"/>
          <w:szCs w:val="24"/>
        </w:rPr>
        <w:lastRenderedPageBreak/>
        <w:t>recipients.</w:t>
      </w:r>
      <w:r w:rsidRPr="00A37102">
        <w:rPr>
          <w:rFonts w:ascii="Book Antiqua" w:hAnsi="Book Antiqua" w:cs="宋体"/>
          <w:color w:val="000000"/>
          <w:sz w:val="24"/>
          <w:szCs w:val="24"/>
        </w:rPr>
        <w:t> </w:t>
      </w:r>
      <w:r w:rsidRPr="0099239E">
        <w:rPr>
          <w:rFonts w:ascii="Book Antiqua" w:hAnsi="Book Antiqua" w:cs="宋体"/>
          <w:i/>
          <w:iCs/>
          <w:color w:val="000000"/>
          <w:sz w:val="24"/>
          <w:szCs w:val="24"/>
        </w:rPr>
        <w:t>Transplantation</w:t>
      </w:r>
      <w:r w:rsidRPr="00A37102">
        <w:rPr>
          <w:rFonts w:ascii="Book Antiqua" w:hAnsi="Book Antiqua" w:cs="宋体"/>
          <w:color w:val="000000"/>
          <w:sz w:val="24"/>
          <w:szCs w:val="24"/>
        </w:rPr>
        <w:t> </w:t>
      </w:r>
      <w:r w:rsidRPr="0099239E">
        <w:rPr>
          <w:rFonts w:ascii="Book Antiqua" w:hAnsi="Book Antiqua" w:cs="宋体"/>
          <w:color w:val="000000"/>
          <w:sz w:val="24"/>
          <w:szCs w:val="24"/>
        </w:rPr>
        <w:t>2005;</w:t>
      </w:r>
      <w:r w:rsidRPr="00A37102">
        <w:rPr>
          <w:rFonts w:ascii="Book Antiqua" w:hAnsi="Book Antiqua" w:cs="宋体"/>
          <w:color w:val="000000"/>
          <w:sz w:val="24"/>
          <w:szCs w:val="24"/>
        </w:rPr>
        <w:t> </w:t>
      </w:r>
      <w:r w:rsidRPr="0099239E">
        <w:rPr>
          <w:rFonts w:ascii="Book Antiqua" w:hAnsi="Book Antiqua" w:cs="宋体"/>
          <w:b/>
          <w:bCs/>
          <w:color w:val="000000"/>
          <w:sz w:val="24"/>
          <w:szCs w:val="24"/>
        </w:rPr>
        <w:t>79</w:t>
      </w:r>
      <w:r w:rsidRPr="0099239E">
        <w:rPr>
          <w:rFonts w:ascii="Book Antiqua" w:hAnsi="Book Antiqua" w:cs="宋体"/>
          <w:color w:val="000000"/>
          <w:sz w:val="24"/>
          <w:szCs w:val="24"/>
        </w:rPr>
        <w:t>: 381-386 [PMID: 15729162 DOI: 10.1097/01.TP.0000148239.00384.F0]</w:t>
      </w:r>
    </w:p>
    <w:p w:rsidR="00DE6C05" w:rsidRPr="00A37102" w:rsidRDefault="00DE6C05" w:rsidP="00E7225E">
      <w:pPr>
        <w:spacing w:after="0" w:line="360" w:lineRule="auto"/>
        <w:jc w:val="right"/>
        <w:rPr>
          <w:rFonts w:ascii="Book Antiqua" w:hAnsi="Book Antiqua"/>
          <w:color w:val="000000"/>
          <w:sz w:val="24"/>
          <w:szCs w:val="24"/>
          <w:lang w:eastAsia="zh-CN"/>
        </w:rPr>
      </w:pPr>
      <w:r w:rsidRPr="00A37102">
        <w:rPr>
          <w:rFonts w:ascii="Book Antiqua" w:hAnsi="Book Antiqua"/>
          <w:b/>
          <w:bCs/>
          <w:color w:val="000000"/>
          <w:sz w:val="24"/>
          <w:szCs w:val="24"/>
        </w:rPr>
        <w:t>P-Reviewer</w:t>
      </w:r>
      <w:r w:rsidRPr="00A37102">
        <w:rPr>
          <w:rFonts w:ascii="Book Antiqua" w:hAnsi="Book Antiqua"/>
          <w:b/>
          <w:bCs/>
          <w:color w:val="000000"/>
          <w:sz w:val="24"/>
          <w:szCs w:val="24"/>
          <w:lang w:eastAsia="zh-CN"/>
        </w:rPr>
        <w:t>s:</w:t>
      </w:r>
      <w:r w:rsidRPr="00A37102">
        <w:rPr>
          <w:rFonts w:ascii="Book Antiqua" w:hAnsi="Book Antiqua"/>
          <w:b/>
          <w:bCs/>
          <w:color w:val="000000"/>
          <w:sz w:val="24"/>
          <w:szCs w:val="24"/>
        </w:rPr>
        <w:t xml:space="preserve"> </w:t>
      </w:r>
      <w:r w:rsidRPr="00A37102">
        <w:rPr>
          <w:rFonts w:ascii="Book Antiqua" w:hAnsi="Book Antiqua"/>
          <w:bCs/>
          <w:color w:val="000000"/>
          <w:sz w:val="24"/>
          <w:szCs w:val="24"/>
        </w:rPr>
        <w:t>Abraham</w:t>
      </w:r>
      <w:r w:rsidRPr="00A37102">
        <w:rPr>
          <w:rFonts w:ascii="Book Antiqua" w:hAnsi="Book Antiqua"/>
          <w:bCs/>
          <w:color w:val="000000"/>
          <w:sz w:val="24"/>
          <w:szCs w:val="24"/>
          <w:lang w:eastAsia="zh-CN"/>
        </w:rPr>
        <w:t xml:space="preserve"> </w:t>
      </w:r>
      <w:r w:rsidRPr="00A37102">
        <w:rPr>
          <w:rFonts w:ascii="Book Antiqua" w:hAnsi="Book Antiqua"/>
          <w:bCs/>
          <w:color w:val="000000"/>
          <w:sz w:val="24"/>
          <w:szCs w:val="24"/>
        </w:rPr>
        <w:t>P</w:t>
      </w:r>
      <w:r w:rsidRPr="00A37102">
        <w:rPr>
          <w:rFonts w:ascii="Book Antiqua" w:hAnsi="Book Antiqua"/>
          <w:bCs/>
          <w:color w:val="000000"/>
          <w:sz w:val="24"/>
          <w:szCs w:val="24"/>
          <w:lang w:eastAsia="zh-CN"/>
        </w:rPr>
        <w:t xml:space="preserve">, Ali T, Fazel M, Lakatos PL, Taxonera C </w:t>
      </w:r>
      <w:r w:rsidRPr="00A37102">
        <w:rPr>
          <w:rFonts w:ascii="Book Antiqua" w:hAnsi="Book Antiqua"/>
          <w:b/>
          <w:bCs/>
          <w:color w:val="000000"/>
          <w:sz w:val="24"/>
          <w:szCs w:val="24"/>
        </w:rPr>
        <w:t>S-Editor</w:t>
      </w:r>
      <w:r w:rsidRPr="00A37102">
        <w:rPr>
          <w:rFonts w:ascii="Book Antiqua" w:hAnsi="Book Antiqua"/>
          <w:b/>
          <w:bCs/>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olor w:val="000000"/>
          <w:sz w:val="24"/>
          <w:szCs w:val="24"/>
          <w:lang w:eastAsia="zh-CN"/>
        </w:rPr>
        <w:t xml:space="preserve">Ma YJ </w:t>
      </w:r>
    </w:p>
    <w:p w:rsidR="00DE6C05" w:rsidRPr="00A37102" w:rsidRDefault="00DE6C05" w:rsidP="00E7225E">
      <w:pPr>
        <w:spacing w:after="0" w:line="360" w:lineRule="auto"/>
        <w:jc w:val="right"/>
        <w:rPr>
          <w:rFonts w:ascii="Book Antiqua" w:hAnsi="Book Antiqua"/>
          <w:color w:val="000000"/>
          <w:sz w:val="24"/>
          <w:szCs w:val="24"/>
          <w:lang w:eastAsia="zh-CN"/>
        </w:rPr>
      </w:pPr>
      <w:r w:rsidRPr="00A37102">
        <w:rPr>
          <w:rFonts w:ascii="Book Antiqua" w:hAnsi="Book Antiqua"/>
          <w:b/>
          <w:bCs/>
          <w:color w:val="000000"/>
          <w:sz w:val="24"/>
          <w:szCs w:val="24"/>
        </w:rPr>
        <w:t>L-Editor</w:t>
      </w:r>
      <w:r w:rsidRPr="00A37102">
        <w:rPr>
          <w:rFonts w:ascii="Book Antiqua" w:hAnsi="Book Antiqua"/>
          <w:b/>
          <w:bCs/>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b/>
          <w:bCs/>
          <w:color w:val="000000"/>
          <w:sz w:val="24"/>
          <w:szCs w:val="24"/>
        </w:rPr>
        <w:t>E-Editor</w:t>
      </w:r>
      <w:r w:rsidRPr="00A37102">
        <w:rPr>
          <w:rFonts w:ascii="Book Antiqua" w:hAnsi="Book Antiqua"/>
          <w:b/>
          <w:bCs/>
          <w:color w:val="000000"/>
          <w:sz w:val="24"/>
          <w:szCs w:val="24"/>
          <w:lang w:eastAsia="zh-CN"/>
        </w:rPr>
        <w:t>:</w:t>
      </w:r>
    </w:p>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color w:val="000000"/>
          <w:sz w:val="24"/>
          <w:szCs w:val="24"/>
          <w:lang w:eastAsia="zh-CN"/>
        </w:rPr>
        <w:br w:type="page"/>
      </w:r>
    </w:p>
    <w:p w:rsidR="00DE6C05" w:rsidRPr="00A37102" w:rsidRDefault="00DE6C05" w:rsidP="00B343A9">
      <w:pPr>
        <w:spacing w:after="0" w:line="360" w:lineRule="auto"/>
        <w:jc w:val="both"/>
        <w:rPr>
          <w:rFonts w:ascii="Book Antiqua" w:hAnsi="Book Antiqua"/>
          <w:b/>
          <w:color w:val="000000"/>
          <w:sz w:val="24"/>
          <w:szCs w:val="24"/>
          <w:lang w:eastAsia="zh-CN"/>
        </w:rPr>
      </w:pPr>
      <w:r w:rsidRPr="00A37102">
        <w:rPr>
          <w:rFonts w:ascii="Book Antiqua" w:hAnsi="Book Antiqua"/>
          <w:b/>
          <w:color w:val="000000"/>
          <w:sz w:val="24"/>
          <w:szCs w:val="24"/>
        </w:rPr>
        <w:t xml:space="preserve">Table 1 Characteristics of the included studies and patients on </w:t>
      </w:r>
      <w:r w:rsidRPr="00A37102">
        <w:rPr>
          <w:rFonts w:ascii="Book Antiqua" w:hAnsi="Book Antiqua"/>
          <w:b/>
          <w:bCs/>
          <w:color w:val="000000"/>
          <w:sz w:val="24"/>
          <w:szCs w:val="24"/>
        </w:rPr>
        <w:t>cytomegalovirus</w:t>
      </w:r>
      <w:r w:rsidRPr="00A37102">
        <w:rPr>
          <w:rFonts w:ascii="Book Antiqua" w:hAnsi="Book Antiqua"/>
          <w:b/>
          <w:color w:val="000000"/>
          <w:sz w:val="24"/>
          <w:szCs w:val="24"/>
        </w:rPr>
        <w:t xml:space="preserve"> in ulcerative colitis</w:t>
      </w:r>
    </w:p>
    <w:tbl>
      <w:tblPr>
        <w:tblW w:w="1126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720"/>
        <w:gridCol w:w="810"/>
        <w:gridCol w:w="720"/>
        <w:gridCol w:w="478"/>
        <w:gridCol w:w="422"/>
        <w:gridCol w:w="1100"/>
        <w:gridCol w:w="790"/>
        <w:gridCol w:w="900"/>
        <w:gridCol w:w="720"/>
        <w:gridCol w:w="810"/>
        <w:gridCol w:w="540"/>
        <w:gridCol w:w="649"/>
        <w:gridCol w:w="810"/>
        <w:gridCol w:w="810"/>
      </w:tblGrid>
      <w:tr w:rsidR="00DE6C05" w:rsidRPr="003811B5" w:rsidTr="00D274E1">
        <w:tc>
          <w:tcPr>
            <w:tcW w:w="990" w:type="dxa"/>
          </w:tcPr>
          <w:p w:rsidR="00DE6C05" w:rsidRPr="003811B5" w:rsidRDefault="00DE6C05" w:rsidP="00B343A9">
            <w:pPr>
              <w:spacing w:after="0" w:line="360" w:lineRule="auto"/>
              <w:jc w:val="both"/>
              <w:rPr>
                <w:rFonts w:ascii="Book Antiqua" w:hAnsi="Book Antiqua"/>
                <w:b/>
                <w:color w:val="000000"/>
                <w:sz w:val="24"/>
                <w:szCs w:val="24"/>
                <w:lang w:eastAsia="zh-CN"/>
              </w:rPr>
            </w:pPr>
            <w:r w:rsidRPr="003811B5">
              <w:rPr>
                <w:rFonts w:ascii="Book Antiqua" w:hAnsi="Book Antiqua"/>
                <w:b/>
                <w:color w:val="000000"/>
                <w:sz w:val="24"/>
                <w:szCs w:val="24"/>
                <w:lang w:eastAsia="zh-CN"/>
              </w:rPr>
              <w:t>Ref.</w:t>
            </w:r>
          </w:p>
        </w:tc>
        <w:tc>
          <w:tcPr>
            <w:tcW w:w="720" w:type="dxa"/>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Year of publication</w:t>
            </w:r>
          </w:p>
        </w:tc>
        <w:tc>
          <w:tcPr>
            <w:tcW w:w="810" w:type="dxa"/>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 xml:space="preserve">Type </w:t>
            </w:r>
          </w:p>
        </w:tc>
        <w:tc>
          <w:tcPr>
            <w:tcW w:w="720" w:type="dxa"/>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Design</w:t>
            </w:r>
          </w:p>
        </w:tc>
        <w:tc>
          <w:tcPr>
            <w:tcW w:w="900" w:type="dxa"/>
            <w:gridSpan w:val="2"/>
          </w:tcPr>
          <w:p w:rsidR="00DE6C05" w:rsidRPr="003811B5" w:rsidRDefault="00DE6C05" w:rsidP="00B343A9">
            <w:pPr>
              <w:spacing w:after="0" w:line="360" w:lineRule="auto"/>
              <w:jc w:val="both"/>
              <w:rPr>
                <w:rFonts w:ascii="Book Antiqua" w:hAnsi="Book Antiqua"/>
                <w:b/>
                <w:i/>
                <w:color w:val="000000"/>
                <w:sz w:val="24"/>
                <w:szCs w:val="24"/>
                <w:lang w:eastAsia="zh-CN"/>
              </w:rPr>
            </w:pPr>
            <w:r w:rsidRPr="003811B5">
              <w:rPr>
                <w:rFonts w:ascii="Book Antiqua" w:hAnsi="Book Antiqua"/>
                <w:b/>
                <w:i/>
                <w:color w:val="000000"/>
                <w:sz w:val="24"/>
                <w:szCs w:val="24"/>
                <w:lang w:eastAsia="zh-CN"/>
              </w:rPr>
              <w:t>n</w:t>
            </w:r>
          </w:p>
        </w:tc>
        <w:tc>
          <w:tcPr>
            <w:tcW w:w="1100" w:type="dxa"/>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Included patients</w:t>
            </w:r>
          </w:p>
        </w:tc>
        <w:tc>
          <w:tcPr>
            <w:tcW w:w="790" w:type="dxa"/>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Severity criteria</w:t>
            </w:r>
          </w:p>
        </w:tc>
        <w:tc>
          <w:tcPr>
            <w:tcW w:w="900" w:type="dxa"/>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 xml:space="preserve">Method of diagnosis </w:t>
            </w:r>
          </w:p>
        </w:tc>
        <w:tc>
          <w:tcPr>
            <w:tcW w:w="720" w:type="dxa"/>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Anti-viral tx</w:t>
            </w:r>
          </w:p>
        </w:tc>
        <w:tc>
          <w:tcPr>
            <w:tcW w:w="810" w:type="dxa"/>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Follow-up (mo)</w:t>
            </w:r>
          </w:p>
        </w:tc>
        <w:tc>
          <w:tcPr>
            <w:tcW w:w="1189" w:type="dxa"/>
            <w:gridSpan w:val="2"/>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Short-term colectomy rate</w:t>
            </w:r>
          </w:p>
        </w:tc>
        <w:tc>
          <w:tcPr>
            <w:tcW w:w="1620" w:type="dxa"/>
            <w:gridSpan w:val="2"/>
          </w:tcPr>
          <w:p w:rsidR="00DE6C05" w:rsidRPr="003811B5" w:rsidRDefault="00DE6C05" w:rsidP="00B343A9">
            <w:pPr>
              <w:spacing w:after="0" w:line="360" w:lineRule="auto"/>
              <w:jc w:val="both"/>
              <w:rPr>
                <w:rFonts w:ascii="Book Antiqua" w:hAnsi="Book Antiqua"/>
                <w:b/>
                <w:color w:val="000000"/>
                <w:sz w:val="24"/>
                <w:szCs w:val="24"/>
              </w:rPr>
            </w:pPr>
            <w:r w:rsidRPr="003811B5">
              <w:rPr>
                <w:rFonts w:ascii="Book Antiqua" w:hAnsi="Book Antiqua"/>
                <w:b/>
                <w:color w:val="000000"/>
                <w:sz w:val="24"/>
                <w:szCs w:val="24"/>
              </w:rPr>
              <w:t>Long-term colectomy rate</w:t>
            </w:r>
          </w:p>
        </w:tc>
      </w:tr>
      <w:tr w:rsidR="00DE6C05" w:rsidRPr="003811B5" w:rsidTr="00D274E1">
        <w:tc>
          <w:tcPr>
            <w:tcW w:w="990" w:type="dxa"/>
          </w:tcPr>
          <w:p w:rsidR="00DE6C05" w:rsidRPr="003811B5" w:rsidRDefault="00DE6C05" w:rsidP="00B343A9">
            <w:pPr>
              <w:spacing w:after="0" w:line="360" w:lineRule="auto"/>
              <w:jc w:val="both"/>
              <w:rPr>
                <w:rFonts w:ascii="Book Antiqua" w:hAnsi="Book Antiqua"/>
                <w:color w:val="000000"/>
                <w:sz w:val="24"/>
                <w:szCs w:val="24"/>
              </w:rPr>
            </w:pPr>
          </w:p>
        </w:tc>
        <w:tc>
          <w:tcPr>
            <w:tcW w:w="720" w:type="dxa"/>
          </w:tcPr>
          <w:p w:rsidR="00DE6C05" w:rsidRPr="003811B5" w:rsidRDefault="00DE6C05" w:rsidP="00B343A9">
            <w:pPr>
              <w:spacing w:after="0" w:line="360" w:lineRule="auto"/>
              <w:jc w:val="both"/>
              <w:rPr>
                <w:rFonts w:ascii="Book Antiqua" w:hAnsi="Book Antiqua"/>
                <w:color w:val="000000"/>
                <w:sz w:val="24"/>
                <w:szCs w:val="24"/>
              </w:rPr>
            </w:pPr>
          </w:p>
        </w:tc>
        <w:tc>
          <w:tcPr>
            <w:tcW w:w="810" w:type="dxa"/>
          </w:tcPr>
          <w:p w:rsidR="00DE6C05" w:rsidRPr="003811B5" w:rsidRDefault="00DE6C05" w:rsidP="00B343A9">
            <w:pPr>
              <w:spacing w:after="0" w:line="360" w:lineRule="auto"/>
              <w:jc w:val="both"/>
              <w:rPr>
                <w:rFonts w:ascii="Book Antiqua" w:hAnsi="Book Antiqua"/>
                <w:color w:val="000000"/>
                <w:sz w:val="24"/>
                <w:szCs w:val="24"/>
              </w:rPr>
            </w:pPr>
          </w:p>
        </w:tc>
        <w:tc>
          <w:tcPr>
            <w:tcW w:w="720" w:type="dxa"/>
          </w:tcPr>
          <w:p w:rsidR="00DE6C05" w:rsidRPr="003811B5" w:rsidRDefault="00DE6C05" w:rsidP="00B343A9">
            <w:pPr>
              <w:spacing w:after="0" w:line="360" w:lineRule="auto"/>
              <w:jc w:val="both"/>
              <w:rPr>
                <w:rFonts w:ascii="Book Antiqua" w:hAnsi="Book Antiqua"/>
                <w:color w:val="000000"/>
                <w:sz w:val="24"/>
                <w:szCs w:val="24"/>
              </w:rPr>
            </w:pP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TX</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C</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p>
        </w:tc>
        <w:tc>
          <w:tcPr>
            <w:tcW w:w="790" w:type="dxa"/>
          </w:tcPr>
          <w:p w:rsidR="00DE6C05" w:rsidRPr="003811B5" w:rsidRDefault="00DE6C05" w:rsidP="00B343A9">
            <w:pPr>
              <w:spacing w:after="0" w:line="360" w:lineRule="auto"/>
              <w:jc w:val="both"/>
              <w:rPr>
                <w:rFonts w:ascii="Book Antiqua" w:hAnsi="Book Antiqua"/>
                <w:color w:val="000000"/>
                <w:sz w:val="24"/>
                <w:szCs w:val="24"/>
              </w:rPr>
            </w:pPr>
          </w:p>
        </w:tc>
        <w:tc>
          <w:tcPr>
            <w:tcW w:w="900" w:type="dxa"/>
          </w:tcPr>
          <w:p w:rsidR="00DE6C05" w:rsidRPr="003811B5" w:rsidRDefault="00DE6C05" w:rsidP="00B343A9">
            <w:pPr>
              <w:spacing w:after="0" w:line="360" w:lineRule="auto"/>
              <w:jc w:val="both"/>
              <w:rPr>
                <w:rFonts w:ascii="Book Antiqua" w:hAnsi="Book Antiqua"/>
                <w:color w:val="000000"/>
                <w:sz w:val="24"/>
                <w:szCs w:val="24"/>
              </w:rPr>
            </w:pPr>
          </w:p>
        </w:tc>
        <w:tc>
          <w:tcPr>
            <w:tcW w:w="720" w:type="dxa"/>
          </w:tcPr>
          <w:p w:rsidR="00DE6C05" w:rsidRPr="003811B5" w:rsidRDefault="00DE6C05" w:rsidP="00B343A9">
            <w:pPr>
              <w:spacing w:after="0" w:line="360" w:lineRule="auto"/>
              <w:jc w:val="both"/>
              <w:rPr>
                <w:rFonts w:ascii="Book Antiqua" w:hAnsi="Book Antiqua"/>
                <w:color w:val="000000"/>
                <w:sz w:val="24"/>
                <w:szCs w:val="24"/>
              </w:rPr>
            </w:pPr>
          </w:p>
        </w:tc>
        <w:tc>
          <w:tcPr>
            <w:tcW w:w="810" w:type="dxa"/>
          </w:tcPr>
          <w:p w:rsidR="00DE6C05" w:rsidRPr="003811B5" w:rsidRDefault="00DE6C05" w:rsidP="00B343A9">
            <w:pPr>
              <w:spacing w:after="0" w:line="360" w:lineRule="auto"/>
              <w:jc w:val="both"/>
              <w:rPr>
                <w:rFonts w:ascii="Book Antiqua" w:hAnsi="Book Antiqua"/>
                <w:color w:val="000000"/>
                <w:sz w:val="24"/>
                <w:szCs w:val="24"/>
              </w:rPr>
            </w:pP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TX</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C</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TX</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C</w:t>
            </w:r>
          </w:p>
        </w:tc>
      </w:tr>
      <w:tr w:rsidR="00DE6C05" w:rsidRPr="003811B5" w:rsidTr="00D274E1">
        <w:tc>
          <w:tcPr>
            <w:tcW w:w="990" w:type="dxa"/>
          </w:tcPr>
          <w:p w:rsidR="00DE6C05" w:rsidRPr="003811B5" w:rsidRDefault="00DE6C05" w:rsidP="00B343A9">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Omiya</w:t>
            </w:r>
            <w:bookmarkStart w:id="17" w:name="OLE_LINK13"/>
            <w:bookmarkStart w:id="18" w:name="OLE_LINK14"/>
            <w:r w:rsidRPr="003811B5">
              <w:rPr>
                <w:rFonts w:ascii="Book Antiqua" w:hAnsi="Book Antiqua"/>
                <w:i/>
                <w:color w:val="000000"/>
                <w:sz w:val="24"/>
                <w:szCs w:val="24"/>
                <w:lang w:eastAsia="zh-CN"/>
              </w:rPr>
              <w:t>et al</w:t>
            </w:r>
            <w:bookmarkEnd w:id="17"/>
            <w:bookmarkEnd w:id="18"/>
            <w:r w:rsidRPr="003811B5">
              <w:rPr>
                <w:rFonts w:ascii="Book Antiqua" w:hAnsi="Book Antiqua"/>
                <w:noProof/>
                <w:color w:val="000000"/>
                <w:sz w:val="24"/>
                <w:szCs w:val="24"/>
                <w:vertAlign w:val="superscript"/>
              </w:rPr>
              <w:t>[8]</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2010</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Full</w:t>
            </w:r>
          </w:p>
        </w:tc>
        <w:tc>
          <w:tcPr>
            <w:tcW w:w="720" w:type="dxa"/>
          </w:tcPr>
          <w:p w:rsidR="00DE6C05" w:rsidRPr="003811B5" w:rsidRDefault="00DE6C05" w:rsidP="00D665CD">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P</w:t>
            </w:r>
            <w:r w:rsidRPr="003811B5">
              <w:rPr>
                <w:rFonts w:ascii="Book Antiqua" w:hAnsi="Book Antiqua"/>
                <w:color w:val="000000"/>
                <w:sz w:val="24"/>
                <w:szCs w:val="24"/>
                <w:vertAlign w:val="superscript"/>
                <w:lang w:eastAsia="zh-CN"/>
              </w:rPr>
              <w:t>1</w:t>
            </w: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10</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10</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Moderate to severe UC</w:t>
            </w:r>
          </w:p>
        </w:tc>
        <w:tc>
          <w:tcPr>
            <w:tcW w:w="7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Seo’s score</w:t>
            </w:r>
          </w:p>
        </w:tc>
        <w:tc>
          <w:tcPr>
            <w:tcW w:w="9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Tissue PCR (IHC/HE -)</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GCV</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12</w:t>
            </w: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0/10</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0/10</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3/10</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0/10</w:t>
            </w:r>
          </w:p>
        </w:tc>
      </w:tr>
      <w:tr w:rsidR="00DE6C05" w:rsidRPr="003811B5" w:rsidTr="00D274E1">
        <w:tc>
          <w:tcPr>
            <w:tcW w:w="990" w:type="dxa"/>
          </w:tcPr>
          <w:p w:rsidR="00DE6C05" w:rsidRPr="003811B5" w:rsidRDefault="00DE6C05" w:rsidP="00D96FFE">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Zeki</w:t>
            </w:r>
            <w:r w:rsidRPr="003811B5">
              <w:rPr>
                <w:rFonts w:ascii="Book Antiqua" w:hAnsi="Book Antiqua"/>
                <w:color w:val="000000"/>
                <w:sz w:val="24"/>
                <w:szCs w:val="24"/>
                <w:lang w:eastAsia="zh-CN"/>
              </w:rPr>
              <w:t xml:space="preserve"> </w:t>
            </w:r>
            <w:r w:rsidRPr="003811B5">
              <w:rPr>
                <w:rFonts w:ascii="Book Antiqua" w:hAnsi="Book Antiqua"/>
                <w:i/>
                <w:color w:val="000000"/>
                <w:sz w:val="24"/>
                <w:szCs w:val="24"/>
                <w:lang w:eastAsia="zh-CN"/>
              </w:rPr>
              <w:t>et al</w:t>
            </w:r>
            <w:r w:rsidRPr="003811B5">
              <w:rPr>
                <w:rFonts w:ascii="Book Antiqua" w:hAnsi="Book Antiqua"/>
                <w:noProof/>
                <w:color w:val="000000"/>
                <w:sz w:val="24"/>
                <w:szCs w:val="24"/>
                <w:vertAlign w:val="superscript"/>
              </w:rPr>
              <w:t>[9]</w:t>
            </w:r>
            <w:r w:rsidRPr="003811B5">
              <w:rPr>
                <w:rFonts w:ascii="Book Antiqua" w:hAnsi="Book Antiqua"/>
                <w:noProof/>
                <w:color w:val="000000"/>
                <w:sz w:val="24"/>
                <w:szCs w:val="24"/>
                <w:vertAlign w:val="superscript"/>
                <w:lang w:eastAsia="zh-CN"/>
              </w:rPr>
              <w:t>1</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2010</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Abstract</w:t>
            </w:r>
          </w:p>
        </w:tc>
        <w:tc>
          <w:tcPr>
            <w:tcW w:w="720" w:type="dxa"/>
          </w:tcPr>
          <w:p w:rsidR="00DE6C05" w:rsidRPr="003811B5" w:rsidRDefault="00DE6C05" w:rsidP="00C33E6D">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R</w:t>
            </w:r>
            <w:r w:rsidRPr="003811B5">
              <w:rPr>
                <w:rFonts w:ascii="Book Antiqua" w:hAnsi="Book Antiqua"/>
                <w:color w:val="000000"/>
                <w:sz w:val="24"/>
                <w:szCs w:val="24"/>
                <w:vertAlign w:val="superscript"/>
                <w:lang w:eastAsia="zh-CN"/>
              </w:rPr>
              <w:t>2</w:t>
            </w: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7</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10</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UC (no severity data)</w:t>
            </w:r>
          </w:p>
        </w:tc>
        <w:tc>
          <w:tcPr>
            <w:tcW w:w="7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NA</w:t>
            </w:r>
          </w:p>
        </w:tc>
        <w:tc>
          <w:tcPr>
            <w:tcW w:w="9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HE/IHC+</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GCV-5,</w:t>
            </w:r>
          </w:p>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VGCV-2</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 xml:space="preserve">12 </w:t>
            </w: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4/7</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7/10</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4/7</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7/10</w:t>
            </w:r>
          </w:p>
        </w:tc>
      </w:tr>
      <w:tr w:rsidR="00DE6C05" w:rsidRPr="003811B5" w:rsidTr="00D274E1">
        <w:tc>
          <w:tcPr>
            <w:tcW w:w="990" w:type="dxa"/>
          </w:tcPr>
          <w:p w:rsidR="00DE6C05" w:rsidRPr="003811B5" w:rsidRDefault="00DE6C05" w:rsidP="00B343A9">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 xml:space="preserve">Maconi </w:t>
            </w:r>
            <w:r w:rsidRPr="003811B5">
              <w:rPr>
                <w:rFonts w:ascii="Book Antiqua" w:hAnsi="Book Antiqua"/>
                <w:i/>
                <w:color w:val="000000"/>
                <w:sz w:val="24"/>
                <w:szCs w:val="24"/>
                <w:lang w:eastAsia="zh-CN"/>
              </w:rPr>
              <w:t>et al</w:t>
            </w:r>
            <w:r w:rsidRPr="003811B5">
              <w:rPr>
                <w:rFonts w:ascii="Book Antiqua" w:hAnsi="Book Antiqua"/>
                <w:noProof/>
                <w:color w:val="000000"/>
                <w:sz w:val="24"/>
                <w:szCs w:val="24"/>
                <w:vertAlign w:val="superscript"/>
              </w:rPr>
              <w:t>[10]</w:t>
            </w:r>
            <w:r w:rsidRPr="003811B5">
              <w:rPr>
                <w:rFonts w:ascii="Book Antiqua" w:hAnsi="Book Antiqua"/>
                <w:noProof/>
                <w:color w:val="000000"/>
                <w:sz w:val="24"/>
                <w:szCs w:val="24"/>
                <w:vertAlign w:val="superscript"/>
                <w:lang w:eastAsia="zh-CN"/>
              </w:rPr>
              <w:t>3</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2011</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Abstract</w:t>
            </w:r>
          </w:p>
        </w:tc>
        <w:tc>
          <w:tcPr>
            <w:tcW w:w="720" w:type="dxa"/>
          </w:tcPr>
          <w:p w:rsidR="00DE6C05" w:rsidRPr="003811B5" w:rsidRDefault="00DE6C05" w:rsidP="00CD3016">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R</w:t>
            </w:r>
            <w:r w:rsidRPr="003811B5">
              <w:rPr>
                <w:rFonts w:ascii="Book Antiqua" w:hAnsi="Book Antiqua"/>
                <w:color w:val="000000"/>
                <w:sz w:val="24"/>
                <w:szCs w:val="24"/>
                <w:vertAlign w:val="superscript"/>
                <w:lang w:eastAsia="zh-CN"/>
              </w:rPr>
              <w:t>2</w:t>
            </w: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6</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14</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Moderate to severe UC</w:t>
            </w:r>
          </w:p>
        </w:tc>
        <w:tc>
          <w:tcPr>
            <w:tcW w:w="7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Mayo /Baron score</w:t>
            </w:r>
          </w:p>
        </w:tc>
        <w:tc>
          <w:tcPr>
            <w:tcW w:w="9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HE/IHC+</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GCV</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12</w:t>
            </w: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0/6</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0/14</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0/6</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2/13</w:t>
            </w:r>
          </w:p>
        </w:tc>
      </w:tr>
      <w:tr w:rsidR="00DE6C05" w:rsidRPr="003811B5" w:rsidTr="00D274E1">
        <w:tc>
          <w:tcPr>
            <w:tcW w:w="9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Criscuoli</w:t>
            </w:r>
            <w:r w:rsidRPr="003811B5">
              <w:rPr>
                <w:rFonts w:ascii="Book Antiqua" w:hAnsi="Book Antiqua"/>
                <w:color w:val="000000"/>
                <w:sz w:val="24"/>
                <w:szCs w:val="24"/>
                <w:lang w:eastAsia="zh-CN"/>
              </w:rPr>
              <w:t xml:space="preserve"> </w:t>
            </w:r>
            <w:r w:rsidRPr="003811B5">
              <w:rPr>
                <w:rFonts w:ascii="Book Antiqua" w:hAnsi="Book Antiqua"/>
                <w:i/>
                <w:color w:val="000000"/>
                <w:sz w:val="24"/>
                <w:szCs w:val="24"/>
                <w:lang w:eastAsia="zh-CN"/>
              </w:rPr>
              <w:t>et al</w:t>
            </w:r>
            <w:r w:rsidRPr="003811B5">
              <w:rPr>
                <w:rFonts w:ascii="Book Antiqua" w:hAnsi="Book Antiqua"/>
                <w:noProof/>
                <w:color w:val="000000"/>
                <w:sz w:val="24"/>
                <w:szCs w:val="24"/>
                <w:vertAlign w:val="superscript"/>
              </w:rPr>
              <w:t>[17]</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2011</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Full</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P</w:t>
            </w:r>
            <w:r w:rsidRPr="003811B5">
              <w:rPr>
                <w:rFonts w:ascii="Book Antiqua" w:hAnsi="Book Antiqua"/>
                <w:color w:val="000000"/>
                <w:sz w:val="24"/>
                <w:szCs w:val="24"/>
                <w:vertAlign w:val="superscript"/>
                <w:lang w:eastAsia="zh-CN"/>
              </w:rPr>
              <w:t>1</w:t>
            </w: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7</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21</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Moderate to severe UC</w:t>
            </w:r>
          </w:p>
        </w:tc>
        <w:tc>
          <w:tcPr>
            <w:tcW w:w="7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Truelove/Witts</w:t>
            </w:r>
          </w:p>
        </w:tc>
        <w:tc>
          <w:tcPr>
            <w:tcW w:w="9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IHC +, pp65+</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GCV-5 FC-2</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12</w:t>
            </w: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2/7</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4/21</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2/7</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4/18</w:t>
            </w:r>
          </w:p>
        </w:tc>
      </w:tr>
      <w:tr w:rsidR="00DE6C05" w:rsidRPr="003811B5" w:rsidTr="00D274E1">
        <w:tc>
          <w:tcPr>
            <w:tcW w:w="9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lastRenderedPageBreak/>
              <w:t>Kim</w:t>
            </w:r>
            <w:r w:rsidRPr="003811B5">
              <w:rPr>
                <w:rFonts w:ascii="Book Antiqua" w:hAnsi="Book Antiqua"/>
                <w:color w:val="000000"/>
                <w:sz w:val="24"/>
                <w:szCs w:val="24"/>
                <w:lang w:eastAsia="zh-CN"/>
              </w:rPr>
              <w:t xml:space="preserve"> </w:t>
            </w:r>
            <w:r w:rsidRPr="003811B5">
              <w:rPr>
                <w:rFonts w:ascii="Book Antiqua" w:hAnsi="Book Antiqua"/>
                <w:i/>
                <w:color w:val="000000"/>
                <w:sz w:val="24"/>
                <w:szCs w:val="24"/>
                <w:lang w:eastAsia="zh-CN"/>
              </w:rPr>
              <w:t>et al</w:t>
            </w:r>
            <w:r w:rsidRPr="003811B5">
              <w:rPr>
                <w:rFonts w:ascii="Book Antiqua" w:hAnsi="Book Antiqua"/>
                <w:noProof/>
                <w:color w:val="000000"/>
                <w:sz w:val="24"/>
                <w:szCs w:val="24"/>
                <w:vertAlign w:val="superscript"/>
              </w:rPr>
              <w:t>[12]</w:t>
            </w:r>
          </w:p>
        </w:tc>
        <w:tc>
          <w:tcPr>
            <w:tcW w:w="720" w:type="dxa"/>
          </w:tcPr>
          <w:p w:rsidR="00DE6C05" w:rsidRPr="003811B5" w:rsidRDefault="00DE6C05" w:rsidP="00F06EAD">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201</w:t>
            </w:r>
            <w:r w:rsidRPr="003811B5">
              <w:rPr>
                <w:rFonts w:ascii="Book Antiqua" w:hAnsi="Book Antiqua"/>
                <w:color w:val="000000"/>
                <w:sz w:val="24"/>
                <w:szCs w:val="24"/>
                <w:lang w:eastAsia="zh-CN"/>
              </w:rPr>
              <w:t>2</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Full</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P</w:t>
            </w:r>
            <w:r w:rsidRPr="003811B5">
              <w:rPr>
                <w:rFonts w:ascii="Book Antiqua" w:hAnsi="Book Antiqua"/>
                <w:color w:val="000000"/>
                <w:sz w:val="24"/>
                <w:szCs w:val="24"/>
                <w:vertAlign w:val="superscript"/>
                <w:lang w:eastAsia="zh-CN"/>
              </w:rPr>
              <w:t>1</w:t>
            </w: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14</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17</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Moderate to severe UC</w:t>
            </w:r>
          </w:p>
        </w:tc>
        <w:tc>
          <w:tcPr>
            <w:tcW w:w="7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Mayo/Baron score</w:t>
            </w:r>
          </w:p>
        </w:tc>
        <w:tc>
          <w:tcPr>
            <w:tcW w:w="9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HE/IHC/PCR+</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GCV</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hospitalization</w:t>
            </w: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3/14</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0/17</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w:t>
            </w:r>
            <w:r w:rsidRPr="003811B5">
              <w:rPr>
                <w:rFonts w:ascii="Book Antiqua" w:hAnsi="Book Antiqua"/>
                <w:caps/>
                <w:color w:val="000000"/>
                <w:sz w:val="24"/>
                <w:szCs w:val="24"/>
              </w:rPr>
              <w:t>a</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NA</w:t>
            </w:r>
          </w:p>
        </w:tc>
      </w:tr>
      <w:tr w:rsidR="00DE6C05" w:rsidRPr="003811B5" w:rsidTr="00D274E1">
        <w:tc>
          <w:tcPr>
            <w:tcW w:w="990" w:type="dxa"/>
          </w:tcPr>
          <w:p w:rsidR="00DE6C05" w:rsidRPr="003811B5" w:rsidRDefault="00DE6C05" w:rsidP="00B343A9">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Roblin</w:t>
            </w:r>
            <w:r w:rsidRPr="003811B5">
              <w:rPr>
                <w:rFonts w:ascii="Book Antiqua" w:hAnsi="Book Antiqua"/>
                <w:i/>
                <w:color w:val="000000"/>
                <w:sz w:val="24"/>
                <w:szCs w:val="24"/>
                <w:lang w:eastAsia="zh-CN"/>
              </w:rPr>
              <w:t>et al</w:t>
            </w:r>
            <w:r w:rsidRPr="003811B5">
              <w:rPr>
                <w:rFonts w:ascii="Book Antiqua" w:hAnsi="Book Antiqua"/>
                <w:noProof/>
                <w:color w:val="000000"/>
                <w:sz w:val="24"/>
                <w:szCs w:val="24"/>
                <w:vertAlign w:val="superscript"/>
              </w:rPr>
              <w:t>[13]</w:t>
            </w:r>
            <w:r w:rsidRPr="003811B5">
              <w:rPr>
                <w:rFonts w:ascii="Book Antiqua" w:hAnsi="Book Antiqua"/>
                <w:noProof/>
                <w:color w:val="000000"/>
                <w:sz w:val="24"/>
                <w:szCs w:val="24"/>
                <w:vertAlign w:val="superscript"/>
                <w:lang w:eastAsia="zh-CN"/>
              </w:rPr>
              <w:t>3</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2011</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Full</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P</w:t>
            </w:r>
            <w:r w:rsidRPr="003811B5">
              <w:rPr>
                <w:rFonts w:ascii="Book Antiqua" w:hAnsi="Book Antiqua"/>
                <w:color w:val="000000"/>
                <w:sz w:val="24"/>
                <w:szCs w:val="24"/>
                <w:vertAlign w:val="superscript"/>
                <w:lang w:eastAsia="zh-CN"/>
              </w:rPr>
              <w:t>1</w:t>
            </w: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8</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8</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Moderate to severe UC, failure of CS +rescue therapy (IFX/CSA)</w:t>
            </w:r>
          </w:p>
        </w:tc>
        <w:tc>
          <w:tcPr>
            <w:tcW w:w="7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Mayo</w:t>
            </w:r>
          </w:p>
        </w:tc>
        <w:tc>
          <w:tcPr>
            <w:tcW w:w="9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 xml:space="preserve">qPCR, IHC/HE- </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GCV</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10</w:t>
            </w: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1/8</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2/8</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3/8</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2/8</w:t>
            </w:r>
          </w:p>
        </w:tc>
      </w:tr>
      <w:tr w:rsidR="00DE6C05" w:rsidRPr="003811B5" w:rsidTr="00D274E1">
        <w:tc>
          <w:tcPr>
            <w:tcW w:w="990" w:type="dxa"/>
          </w:tcPr>
          <w:p w:rsidR="00DE6C05" w:rsidRPr="003811B5" w:rsidRDefault="00DE6C05" w:rsidP="00B343A9">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Al-Zafiri</w:t>
            </w:r>
            <w:r w:rsidRPr="003811B5">
              <w:rPr>
                <w:rFonts w:ascii="Book Antiqua" w:hAnsi="Book Antiqua"/>
                <w:color w:val="000000"/>
                <w:sz w:val="24"/>
                <w:szCs w:val="24"/>
                <w:lang w:eastAsia="zh-CN"/>
              </w:rPr>
              <w:t xml:space="preserve"> </w:t>
            </w:r>
            <w:r w:rsidRPr="003811B5">
              <w:rPr>
                <w:rFonts w:ascii="Book Antiqua" w:hAnsi="Book Antiqua"/>
                <w:i/>
                <w:color w:val="000000"/>
                <w:sz w:val="24"/>
                <w:szCs w:val="24"/>
                <w:lang w:eastAsia="zh-CN"/>
              </w:rPr>
              <w:t>et al</w:t>
            </w:r>
            <w:r w:rsidRPr="003811B5">
              <w:rPr>
                <w:rFonts w:ascii="Book Antiqua" w:hAnsi="Book Antiqua"/>
                <w:noProof/>
                <w:color w:val="000000"/>
                <w:sz w:val="24"/>
                <w:szCs w:val="24"/>
                <w:vertAlign w:val="superscript"/>
              </w:rPr>
              <w:t>[14]</w:t>
            </w:r>
            <w:r w:rsidRPr="003811B5">
              <w:rPr>
                <w:rFonts w:ascii="Book Antiqua" w:hAnsi="Book Antiqua"/>
                <w:noProof/>
                <w:color w:val="000000"/>
                <w:sz w:val="24"/>
                <w:szCs w:val="24"/>
                <w:vertAlign w:val="superscript"/>
                <w:lang w:eastAsia="zh-CN"/>
              </w:rPr>
              <w:t>3</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2012</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Full</w:t>
            </w:r>
          </w:p>
        </w:tc>
        <w:tc>
          <w:tcPr>
            <w:tcW w:w="720" w:type="dxa"/>
          </w:tcPr>
          <w:p w:rsidR="00DE6C05" w:rsidRPr="003811B5" w:rsidRDefault="00DE6C05" w:rsidP="00CD3016">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R</w:t>
            </w:r>
            <w:r w:rsidRPr="003811B5">
              <w:rPr>
                <w:rFonts w:ascii="Book Antiqua" w:hAnsi="Book Antiqua"/>
                <w:color w:val="000000"/>
                <w:sz w:val="24"/>
                <w:szCs w:val="24"/>
                <w:vertAlign w:val="superscript"/>
                <w:lang w:eastAsia="zh-CN"/>
              </w:rPr>
              <w:t>2</w:t>
            </w: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7</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8</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Hospitalized UC</w:t>
            </w:r>
          </w:p>
        </w:tc>
        <w:tc>
          <w:tcPr>
            <w:tcW w:w="7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NA</w:t>
            </w:r>
          </w:p>
        </w:tc>
        <w:tc>
          <w:tcPr>
            <w:tcW w:w="9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IHC/HE+</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GCV</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hospitalization</w:t>
            </w: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3/7</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0/8</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NA</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NA</w:t>
            </w:r>
          </w:p>
        </w:tc>
      </w:tr>
      <w:tr w:rsidR="00DE6C05" w:rsidRPr="003811B5" w:rsidTr="00D274E1">
        <w:tc>
          <w:tcPr>
            <w:tcW w:w="990" w:type="dxa"/>
          </w:tcPr>
          <w:p w:rsidR="00DE6C05" w:rsidRPr="003811B5" w:rsidRDefault="00DE6C05" w:rsidP="00B343A9">
            <w:pPr>
              <w:spacing w:after="0" w:line="360" w:lineRule="auto"/>
              <w:jc w:val="both"/>
              <w:rPr>
                <w:rFonts w:ascii="Book Antiqua" w:hAnsi="Book Antiqua"/>
                <w:color w:val="000000"/>
                <w:sz w:val="24"/>
                <w:szCs w:val="24"/>
              </w:rPr>
            </w:pPr>
            <w:r w:rsidRPr="0099239E">
              <w:rPr>
                <w:rFonts w:ascii="Book Antiqua" w:hAnsi="Book Antiqua" w:cs="宋体"/>
                <w:color w:val="000000"/>
                <w:sz w:val="24"/>
                <w:szCs w:val="24"/>
              </w:rPr>
              <w:t>Maruyama</w:t>
            </w:r>
            <w:r w:rsidRPr="003811B5">
              <w:rPr>
                <w:rFonts w:ascii="Book Antiqua" w:hAnsi="Book Antiqua"/>
                <w:color w:val="000000"/>
                <w:sz w:val="24"/>
                <w:szCs w:val="24"/>
                <w:lang w:eastAsia="zh-CN"/>
              </w:rPr>
              <w:t xml:space="preserve"> </w:t>
            </w:r>
            <w:r w:rsidRPr="003811B5">
              <w:rPr>
                <w:rFonts w:ascii="Book Antiqua" w:hAnsi="Book Antiqua"/>
                <w:i/>
                <w:color w:val="000000"/>
                <w:sz w:val="24"/>
                <w:szCs w:val="24"/>
                <w:lang w:eastAsia="zh-CN"/>
              </w:rPr>
              <w:t>et al</w:t>
            </w:r>
            <w:r w:rsidRPr="003811B5">
              <w:rPr>
                <w:rFonts w:ascii="Book Antiqua" w:hAnsi="Book Antiqua"/>
                <w:noProof/>
                <w:color w:val="000000"/>
                <w:sz w:val="24"/>
                <w:szCs w:val="24"/>
                <w:vertAlign w:val="superscript"/>
              </w:rPr>
              <w:t>[15]</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2012</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Abstract</w:t>
            </w:r>
          </w:p>
        </w:tc>
        <w:tc>
          <w:tcPr>
            <w:tcW w:w="720" w:type="dxa"/>
          </w:tcPr>
          <w:p w:rsidR="00DE6C05" w:rsidRPr="003811B5" w:rsidRDefault="00DE6C05" w:rsidP="00CD3016">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R</w:t>
            </w:r>
            <w:r w:rsidRPr="003811B5">
              <w:rPr>
                <w:rFonts w:ascii="Book Antiqua" w:hAnsi="Book Antiqua"/>
                <w:color w:val="000000"/>
                <w:sz w:val="24"/>
                <w:szCs w:val="24"/>
                <w:vertAlign w:val="superscript"/>
                <w:lang w:eastAsia="zh-CN"/>
              </w:rPr>
              <w:t>2</w:t>
            </w: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4</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12</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Moderate to severe UC</w:t>
            </w:r>
          </w:p>
        </w:tc>
        <w:tc>
          <w:tcPr>
            <w:tcW w:w="7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NA</w:t>
            </w:r>
          </w:p>
        </w:tc>
        <w:tc>
          <w:tcPr>
            <w:tcW w:w="9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IHC/HE+</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GCV</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Hospitalization</w:t>
            </w: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3/4</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0/12</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NA</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NA</w:t>
            </w:r>
          </w:p>
        </w:tc>
      </w:tr>
      <w:tr w:rsidR="00DE6C05" w:rsidRPr="003811B5" w:rsidTr="00D274E1">
        <w:tc>
          <w:tcPr>
            <w:tcW w:w="9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Kopylov</w:t>
            </w:r>
            <w:r w:rsidRPr="003811B5">
              <w:rPr>
                <w:rFonts w:ascii="Book Antiqua" w:hAnsi="Book Antiqua"/>
                <w:noProof/>
                <w:color w:val="000000"/>
                <w:sz w:val="24"/>
                <w:szCs w:val="24"/>
                <w:vertAlign w:val="superscript"/>
              </w:rPr>
              <w:t>[16]</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2013</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Full</w:t>
            </w:r>
          </w:p>
        </w:tc>
        <w:tc>
          <w:tcPr>
            <w:tcW w:w="720" w:type="dxa"/>
          </w:tcPr>
          <w:p w:rsidR="00DE6C05" w:rsidRPr="003811B5" w:rsidRDefault="00DE6C05" w:rsidP="00CD3016">
            <w:pPr>
              <w:spacing w:after="0" w:line="360" w:lineRule="auto"/>
              <w:jc w:val="both"/>
              <w:rPr>
                <w:rFonts w:ascii="Book Antiqua" w:hAnsi="Book Antiqua"/>
                <w:color w:val="000000"/>
                <w:sz w:val="24"/>
                <w:szCs w:val="24"/>
                <w:lang w:eastAsia="zh-CN"/>
              </w:rPr>
            </w:pPr>
            <w:r w:rsidRPr="003811B5">
              <w:rPr>
                <w:rFonts w:ascii="Book Antiqua" w:hAnsi="Book Antiqua"/>
                <w:color w:val="000000"/>
                <w:sz w:val="24"/>
                <w:szCs w:val="24"/>
              </w:rPr>
              <w:t>R</w:t>
            </w:r>
            <w:r w:rsidRPr="003811B5">
              <w:rPr>
                <w:rFonts w:ascii="Book Antiqua" w:hAnsi="Book Antiqua"/>
                <w:color w:val="000000"/>
                <w:sz w:val="24"/>
                <w:szCs w:val="24"/>
                <w:vertAlign w:val="superscript"/>
                <w:lang w:eastAsia="zh-CN"/>
              </w:rPr>
              <w:t>2</w:t>
            </w:r>
          </w:p>
        </w:tc>
        <w:tc>
          <w:tcPr>
            <w:tcW w:w="47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7</w:t>
            </w:r>
          </w:p>
        </w:tc>
        <w:tc>
          <w:tcPr>
            <w:tcW w:w="422"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6</w:t>
            </w:r>
          </w:p>
        </w:tc>
        <w:tc>
          <w:tcPr>
            <w:tcW w:w="11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UC</w:t>
            </w:r>
          </w:p>
        </w:tc>
        <w:tc>
          <w:tcPr>
            <w:tcW w:w="79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NA</w:t>
            </w:r>
          </w:p>
        </w:tc>
        <w:tc>
          <w:tcPr>
            <w:tcW w:w="90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IHC/HE+</w:t>
            </w:r>
          </w:p>
        </w:tc>
        <w:tc>
          <w:tcPr>
            <w:tcW w:w="72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GCV-6 VGCV-1</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13</w:t>
            </w:r>
          </w:p>
        </w:tc>
        <w:tc>
          <w:tcPr>
            <w:tcW w:w="54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1/7</w:t>
            </w:r>
          </w:p>
        </w:tc>
        <w:tc>
          <w:tcPr>
            <w:tcW w:w="649"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0/6</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3/7</w:t>
            </w:r>
          </w:p>
        </w:tc>
        <w:tc>
          <w:tcPr>
            <w:tcW w:w="810"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0/6</w:t>
            </w:r>
          </w:p>
        </w:tc>
      </w:tr>
    </w:tbl>
    <w:p w:rsidR="00DE6C05" w:rsidRPr="00A37102"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color w:val="000000"/>
          <w:sz w:val="24"/>
          <w:szCs w:val="24"/>
        </w:rPr>
        <w:t>TX</w:t>
      </w:r>
      <w:r w:rsidRPr="00A37102">
        <w:rPr>
          <w:rFonts w:ascii="Book Antiqua" w:hAnsi="Book Antiqua"/>
          <w:color w:val="000000"/>
          <w:sz w:val="24"/>
          <w:szCs w:val="24"/>
          <w:lang w:eastAsia="zh-CN"/>
        </w:rPr>
        <w:t xml:space="preserve">: </w:t>
      </w:r>
      <w:r w:rsidRPr="00A37102">
        <w:rPr>
          <w:rFonts w:ascii="Book Antiqua" w:hAnsi="Book Antiqua"/>
          <w:caps/>
          <w:color w:val="000000"/>
          <w:sz w:val="24"/>
          <w:szCs w:val="24"/>
        </w:rPr>
        <w:t>p</w:t>
      </w:r>
      <w:r w:rsidRPr="00A37102">
        <w:rPr>
          <w:rFonts w:ascii="Book Antiqua" w:hAnsi="Book Antiqua"/>
          <w:color w:val="000000"/>
          <w:sz w:val="24"/>
          <w:szCs w:val="24"/>
        </w:rPr>
        <w:t>atients treated with antivirals</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C</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p</w:t>
      </w:r>
      <w:r w:rsidRPr="00A37102">
        <w:rPr>
          <w:rFonts w:ascii="Book Antiqua" w:hAnsi="Book Antiqua"/>
          <w:color w:val="000000"/>
          <w:sz w:val="24"/>
          <w:szCs w:val="24"/>
        </w:rPr>
        <w:t>atients who did not receive antivirals; P</w:t>
      </w:r>
      <w:r w:rsidRPr="00A37102">
        <w:rPr>
          <w:rFonts w:ascii="Book Antiqua" w:hAnsi="Book Antiqua"/>
          <w:color w:val="000000"/>
          <w:sz w:val="24"/>
          <w:szCs w:val="24"/>
          <w:vertAlign w:val="superscript"/>
          <w:lang w:eastAsia="zh-CN"/>
        </w:rPr>
        <w:t>1</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p</w:t>
      </w:r>
      <w:r w:rsidRPr="00A37102">
        <w:rPr>
          <w:rFonts w:ascii="Book Antiqua" w:hAnsi="Book Antiqua"/>
          <w:color w:val="000000"/>
          <w:sz w:val="24"/>
          <w:szCs w:val="24"/>
        </w:rPr>
        <w:t>rospective design; R</w:t>
      </w:r>
      <w:r w:rsidRPr="00A37102">
        <w:rPr>
          <w:rFonts w:ascii="Book Antiqua" w:hAnsi="Book Antiqua"/>
          <w:color w:val="000000"/>
          <w:sz w:val="24"/>
          <w:szCs w:val="24"/>
          <w:vertAlign w:val="superscript"/>
          <w:lang w:eastAsia="zh-CN"/>
        </w:rPr>
        <w:t>2</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r</w:t>
      </w:r>
      <w:r w:rsidRPr="00A37102">
        <w:rPr>
          <w:rFonts w:ascii="Book Antiqua" w:hAnsi="Book Antiqua"/>
          <w:color w:val="000000"/>
          <w:sz w:val="24"/>
          <w:szCs w:val="24"/>
        </w:rPr>
        <w:t>etrospective design</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vertAlign w:val="superscript"/>
          <w:lang w:eastAsia="zh-CN"/>
        </w:rPr>
        <w:t>3</w:t>
      </w:r>
      <w:r w:rsidRPr="00A37102">
        <w:rPr>
          <w:rFonts w:ascii="Book Antiqua" w:hAnsi="Book Antiqua"/>
          <w:color w:val="000000"/>
          <w:sz w:val="24"/>
          <w:szCs w:val="24"/>
          <w:lang w:eastAsia="zh-CN"/>
        </w:rPr>
        <w:t>S</w:t>
      </w:r>
      <w:r w:rsidRPr="00A37102">
        <w:rPr>
          <w:rFonts w:ascii="Book Antiqua" w:hAnsi="Book Antiqua"/>
          <w:color w:val="000000"/>
          <w:sz w:val="24"/>
          <w:szCs w:val="24"/>
        </w:rPr>
        <w:t>ome of the data was obtained through personal communication</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PCR</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p</w:t>
      </w:r>
      <w:r w:rsidRPr="00A37102">
        <w:rPr>
          <w:rFonts w:ascii="Book Antiqua" w:hAnsi="Book Antiqua"/>
          <w:color w:val="000000"/>
          <w:sz w:val="24"/>
          <w:szCs w:val="24"/>
        </w:rPr>
        <w:t>olymerase chain reaction</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qPCR</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q</w:t>
      </w:r>
      <w:r w:rsidRPr="00A37102">
        <w:rPr>
          <w:rFonts w:ascii="Book Antiqua" w:hAnsi="Book Antiqua"/>
          <w:color w:val="000000"/>
          <w:sz w:val="24"/>
          <w:szCs w:val="24"/>
        </w:rPr>
        <w:t xml:space="preserve">uantitative PCR; </w:t>
      </w:r>
      <w:bookmarkStart w:id="19" w:name="OLE_LINK19"/>
      <w:bookmarkStart w:id="20" w:name="OLE_LINK20"/>
      <w:r w:rsidRPr="00A37102">
        <w:rPr>
          <w:rFonts w:ascii="Book Antiqua" w:hAnsi="Book Antiqua"/>
          <w:color w:val="000000"/>
          <w:sz w:val="24"/>
          <w:szCs w:val="24"/>
        </w:rPr>
        <w:lastRenderedPageBreak/>
        <w:t>IHC</w:t>
      </w:r>
      <w:r w:rsidRPr="00A37102">
        <w:rPr>
          <w:rFonts w:ascii="Book Antiqua" w:hAnsi="Book Antiqua"/>
          <w:color w:val="000000"/>
          <w:sz w:val="24"/>
          <w:szCs w:val="24"/>
          <w:lang w:eastAsia="zh-CN"/>
        </w:rPr>
        <w:t xml:space="preserve">: </w:t>
      </w:r>
      <w:r w:rsidRPr="00A37102">
        <w:rPr>
          <w:rFonts w:ascii="Book Antiqua" w:hAnsi="Book Antiqua"/>
          <w:caps/>
          <w:color w:val="000000"/>
          <w:sz w:val="24"/>
          <w:szCs w:val="24"/>
        </w:rPr>
        <w:t>i</w:t>
      </w:r>
      <w:r w:rsidRPr="00A37102">
        <w:rPr>
          <w:rFonts w:ascii="Book Antiqua" w:hAnsi="Book Antiqua"/>
          <w:color w:val="000000"/>
          <w:sz w:val="24"/>
          <w:szCs w:val="24"/>
        </w:rPr>
        <w:t>mmunohistochemistry; HE</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h</w:t>
      </w:r>
      <w:r w:rsidRPr="00A37102">
        <w:rPr>
          <w:rFonts w:ascii="Book Antiqua" w:hAnsi="Book Antiqua"/>
          <w:color w:val="000000"/>
          <w:sz w:val="24"/>
          <w:szCs w:val="24"/>
        </w:rPr>
        <w:t>ematoxylin-eosin staining;</w:t>
      </w:r>
      <w:bookmarkEnd w:id="19"/>
      <w:bookmarkEnd w:id="20"/>
      <w:r w:rsidRPr="00A37102">
        <w:rPr>
          <w:rFonts w:ascii="Book Antiqua" w:hAnsi="Book Antiqua"/>
          <w:color w:val="000000"/>
          <w:sz w:val="24"/>
          <w:szCs w:val="24"/>
        </w:rPr>
        <w:t xml:space="preserve"> pp65</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a</w:t>
      </w:r>
      <w:r w:rsidRPr="00A37102">
        <w:rPr>
          <w:rFonts w:ascii="Book Antiqua" w:hAnsi="Book Antiqua"/>
          <w:color w:val="000000"/>
          <w:sz w:val="24"/>
          <w:szCs w:val="24"/>
        </w:rPr>
        <w:t>ntigenemia; GCV</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g</w:t>
      </w:r>
      <w:r w:rsidRPr="00A37102">
        <w:rPr>
          <w:rFonts w:ascii="Book Antiqua" w:hAnsi="Book Antiqua"/>
          <w:color w:val="000000"/>
          <w:sz w:val="24"/>
          <w:szCs w:val="24"/>
        </w:rPr>
        <w:t>ancyclovir; VGCV</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v</w:t>
      </w:r>
      <w:r w:rsidRPr="00A37102">
        <w:rPr>
          <w:rFonts w:ascii="Book Antiqua" w:hAnsi="Book Antiqua"/>
          <w:color w:val="000000"/>
          <w:sz w:val="24"/>
          <w:szCs w:val="24"/>
        </w:rPr>
        <w:t>algancyclovir; FC</w:t>
      </w:r>
      <w:r w:rsidRPr="00A37102">
        <w:rPr>
          <w:rFonts w:ascii="Book Antiqua" w:hAnsi="Book Antiqua"/>
          <w:color w:val="000000"/>
          <w:sz w:val="24"/>
          <w:szCs w:val="24"/>
          <w:lang w:eastAsia="zh-CN"/>
        </w:rPr>
        <w:t xml:space="preserve">: </w:t>
      </w:r>
      <w:r w:rsidRPr="00A37102">
        <w:rPr>
          <w:rFonts w:ascii="Book Antiqua" w:hAnsi="Book Antiqua"/>
          <w:caps/>
          <w:color w:val="000000"/>
          <w:sz w:val="24"/>
          <w:szCs w:val="24"/>
        </w:rPr>
        <w:t>f</w:t>
      </w:r>
      <w:r w:rsidRPr="00A37102">
        <w:rPr>
          <w:rFonts w:ascii="Book Antiqua" w:hAnsi="Book Antiqua"/>
          <w:color w:val="000000"/>
          <w:sz w:val="24"/>
          <w:szCs w:val="24"/>
        </w:rPr>
        <w:t>oscarnet. Short –term outcome- during the initial hospitalization or within 30 d</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of the diagnosis; long-term outcome- &gt;</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3 mo after the initial hospitalization.</w:t>
      </w: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color w:val="000000"/>
          <w:sz w:val="24"/>
          <w:szCs w:val="24"/>
        </w:rPr>
        <w:br w:type="page"/>
      </w:r>
      <w:r w:rsidRPr="00A37102">
        <w:rPr>
          <w:rFonts w:ascii="Book Antiqua" w:hAnsi="Book Antiqua"/>
          <w:color w:val="000000"/>
          <w:sz w:val="24"/>
          <w:szCs w:val="24"/>
        </w:rPr>
        <w:lastRenderedPageBreak/>
        <w:t xml:space="preserve"> </w:t>
      </w:r>
    </w:p>
    <w:p w:rsidR="00DE6C05" w:rsidRPr="00A37102" w:rsidRDefault="00DE6C05" w:rsidP="00B343A9">
      <w:pPr>
        <w:spacing w:after="0" w:line="360" w:lineRule="auto"/>
        <w:jc w:val="both"/>
        <w:rPr>
          <w:rFonts w:ascii="Book Antiqua" w:hAnsi="Book Antiqua"/>
          <w:b/>
          <w:color w:val="000000"/>
          <w:sz w:val="24"/>
          <w:szCs w:val="24"/>
          <w:rtl/>
        </w:rPr>
      </w:pPr>
      <w:r w:rsidRPr="00A37102">
        <w:rPr>
          <w:rFonts w:ascii="Book Antiqua" w:hAnsi="Book Antiqua"/>
          <w:b/>
          <w:color w:val="000000"/>
          <w:sz w:val="24"/>
          <w:szCs w:val="24"/>
        </w:rPr>
        <w:t xml:space="preserve">Table 2 Quality of studies on </w:t>
      </w:r>
      <w:r w:rsidRPr="00A37102">
        <w:rPr>
          <w:rFonts w:ascii="Book Antiqua" w:hAnsi="Book Antiqua"/>
          <w:b/>
          <w:bCs/>
          <w:color w:val="000000"/>
          <w:sz w:val="24"/>
          <w:szCs w:val="24"/>
        </w:rPr>
        <w:t>cytomegalovirus</w:t>
      </w:r>
      <w:r w:rsidRPr="00A37102">
        <w:rPr>
          <w:rFonts w:ascii="Book Antiqua" w:hAnsi="Book Antiqua"/>
          <w:b/>
          <w:color w:val="000000"/>
          <w:sz w:val="24"/>
          <w:szCs w:val="24"/>
        </w:rPr>
        <w:t xml:space="preserve"> in ulcerative colitis assessed according to modified New-Castle Ottawa Scale</w:t>
      </w:r>
    </w:p>
    <w:p w:rsidR="00DE6C05" w:rsidRPr="00A37102" w:rsidRDefault="00DE6C05" w:rsidP="00B343A9">
      <w:pPr>
        <w:spacing w:after="0" w:line="360" w:lineRule="auto"/>
        <w:jc w:val="both"/>
        <w:rPr>
          <w:rFonts w:ascii="Book Antiqua" w:hAnsi="Book Antiqua"/>
          <w:color w:val="000000"/>
          <w:sz w:val="24"/>
          <w:szCs w:val="24"/>
          <w:rtl/>
        </w:rPr>
      </w:pPr>
    </w:p>
    <w:tbl>
      <w:tblPr>
        <w:tblW w:w="0" w:type="auto"/>
        <w:jc w:val="right"/>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134"/>
        <w:gridCol w:w="1559"/>
        <w:gridCol w:w="1276"/>
        <w:gridCol w:w="1701"/>
      </w:tblGrid>
      <w:tr w:rsidR="00DE6C05" w:rsidRPr="003811B5" w:rsidTr="00D274E1">
        <w:trPr>
          <w:jc w:val="right"/>
        </w:trPr>
        <w:tc>
          <w:tcPr>
            <w:tcW w:w="1418" w:type="dxa"/>
          </w:tcPr>
          <w:p w:rsidR="00DE6C05" w:rsidRPr="003811B5" w:rsidRDefault="00DE6C05" w:rsidP="00B343A9">
            <w:pPr>
              <w:spacing w:after="0" w:line="360" w:lineRule="auto"/>
              <w:jc w:val="both"/>
              <w:rPr>
                <w:b/>
                <w:color w:val="000000"/>
                <w:sz w:val="24"/>
                <w:szCs w:val="24"/>
                <w:rtl/>
              </w:rPr>
            </w:pPr>
            <w:r w:rsidRPr="003811B5">
              <w:rPr>
                <w:rFonts w:ascii="Book Antiqua" w:hAnsi="Book Antiqua"/>
                <w:b/>
                <w:color w:val="000000"/>
                <w:sz w:val="24"/>
                <w:szCs w:val="24"/>
              </w:rPr>
              <w:t xml:space="preserve">Total </w:t>
            </w:r>
          </w:p>
        </w:tc>
        <w:tc>
          <w:tcPr>
            <w:tcW w:w="1134" w:type="dxa"/>
          </w:tcPr>
          <w:p w:rsidR="00DE6C05" w:rsidRPr="003811B5" w:rsidRDefault="00DE6C05" w:rsidP="00B343A9">
            <w:pPr>
              <w:spacing w:after="0" w:line="360" w:lineRule="auto"/>
              <w:jc w:val="both"/>
              <w:rPr>
                <w:b/>
                <w:color w:val="000000"/>
                <w:sz w:val="24"/>
                <w:szCs w:val="24"/>
                <w:rtl/>
              </w:rPr>
            </w:pPr>
            <w:r w:rsidRPr="003811B5">
              <w:rPr>
                <w:rFonts w:ascii="Book Antiqua" w:hAnsi="Book Antiqua"/>
                <w:b/>
                <w:color w:val="000000"/>
                <w:sz w:val="24"/>
                <w:szCs w:val="24"/>
              </w:rPr>
              <w:t>Outcome</w:t>
            </w:r>
          </w:p>
        </w:tc>
        <w:tc>
          <w:tcPr>
            <w:tcW w:w="1559" w:type="dxa"/>
          </w:tcPr>
          <w:p w:rsidR="00DE6C05" w:rsidRPr="003811B5" w:rsidRDefault="00DE6C05" w:rsidP="00B343A9">
            <w:pPr>
              <w:spacing w:after="0" w:line="360" w:lineRule="auto"/>
              <w:jc w:val="both"/>
              <w:rPr>
                <w:b/>
                <w:color w:val="000000"/>
                <w:sz w:val="24"/>
                <w:szCs w:val="24"/>
                <w:rtl/>
              </w:rPr>
            </w:pPr>
            <w:r w:rsidRPr="003811B5">
              <w:rPr>
                <w:rFonts w:ascii="Book Antiqua" w:hAnsi="Book Antiqua"/>
                <w:b/>
                <w:color w:val="000000"/>
                <w:sz w:val="24"/>
                <w:szCs w:val="24"/>
              </w:rPr>
              <w:t>Comparability</w:t>
            </w:r>
          </w:p>
        </w:tc>
        <w:tc>
          <w:tcPr>
            <w:tcW w:w="1276" w:type="dxa"/>
          </w:tcPr>
          <w:p w:rsidR="00DE6C05" w:rsidRPr="003811B5" w:rsidRDefault="00DE6C05" w:rsidP="00B343A9">
            <w:pPr>
              <w:spacing w:after="0" w:line="360" w:lineRule="auto"/>
              <w:jc w:val="both"/>
              <w:rPr>
                <w:b/>
                <w:color w:val="000000"/>
                <w:sz w:val="24"/>
                <w:szCs w:val="24"/>
                <w:rtl/>
              </w:rPr>
            </w:pPr>
            <w:r w:rsidRPr="003811B5">
              <w:rPr>
                <w:rFonts w:ascii="Book Antiqua" w:hAnsi="Book Antiqua"/>
                <w:b/>
                <w:color w:val="000000"/>
                <w:sz w:val="24"/>
                <w:szCs w:val="24"/>
              </w:rPr>
              <w:t>Selection</w:t>
            </w:r>
          </w:p>
        </w:tc>
        <w:tc>
          <w:tcPr>
            <w:tcW w:w="1701" w:type="dxa"/>
          </w:tcPr>
          <w:p w:rsidR="00DE6C05" w:rsidRPr="003811B5" w:rsidRDefault="00DE6C05" w:rsidP="00B343A9">
            <w:pPr>
              <w:spacing w:after="0" w:line="360" w:lineRule="auto"/>
              <w:jc w:val="both"/>
              <w:rPr>
                <w:b/>
                <w:color w:val="000000"/>
                <w:sz w:val="24"/>
                <w:szCs w:val="24"/>
                <w:rtl/>
                <w:lang w:eastAsia="zh-CN"/>
              </w:rPr>
            </w:pPr>
            <w:r w:rsidRPr="003811B5">
              <w:rPr>
                <w:rFonts w:ascii="Book Antiqua" w:hAnsi="Book Antiqua"/>
                <w:b/>
                <w:color w:val="000000"/>
                <w:sz w:val="24"/>
                <w:szCs w:val="24"/>
                <w:lang w:eastAsia="zh-CN"/>
              </w:rPr>
              <w:t>Ref.</w:t>
            </w:r>
          </w:p>
        </w:tc>
      </w:tr>
      <w:tr w:rsidR="00DE6C05" w:rsidRPr="003811B5" w:rsidTr="00D274E1">
        <w:trPr>
          <w:jc w:val="right"/>
        </w:trPr>
        <w:tc>
          <w:tcPr>
            <w:tcW w:w="1418"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1</w:t>
            </w:r>
          </w:p>
        </w:tc>
        <w:tc>
          <w:tcPr>
            <w:tcW w:w="1134" w:type="dxa"/>
          </w:tcPr>
          <w:p w:rsidR="00DE6C05" w:rsidRPr="003811B5" w:rsidRDefault="00DE6C05" w:rsidP="00B343A9">
            <w:pPr>
              <w:spacing w:after="0" w:line="360" w:lineRule="auto"/>
              <w:jc w:val="both"/>
              <w:rPr>
                <w:color w:val="000000"/>
                <w:sz w:val="24"/>
                <w:szCs w:val="24"/>
                <w:rtl/>
              </w:rPr>
            </w:pPr>
          </w:p>
        </w:tc>
        <w:tc>
          <w:tcPr>
            <w:tcW w:w="1559" w:type="dxa"/>
          </w:tcPr>
          <w:p w:rsidR="00DE6C05" w:rsidRPr="003811B5" w:rsidRDefault="00DE6C05" w:rsidP="00B343A9">
            <w:pPr>
              <w:spacing w:after="0" w:line="360" w:lineRule="auto"/>
              <w:jc w:val="both"/>
              <w:rPr>
                <w:color w:val="000000"/>
                <w:sz w:val="24"/>
                <w:szCs w:val="24"/>
                <w:rtl/>
              </w:rPr>
            </w:pPr>
          </w:p>
        </w:tc>
        <w:tc>
          <w:tcPr>
            <w:tcW w:w="1276"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701"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 xml:space="preserve">Al-Zafiri </w:t>
            </w:r>
            <w:r w:rsidRPr="003811B5">
              <w:rPr>
                <w:rFonts w:ascii="Book Antiqua" w:hAnsi="Book Antiqua"/>
                <w:i/>
                <w:color w:val="000000"/>
                <w:sz w:val="24"/>
                <w:szCs w:val="24"/>
                <w:lang w:eastAsia="zh-CN"/>
              </w:rPr>
              <w:t>et al</w:t>
            </w:r>
            <w:r w:rsidRPr="003811B5">
              <w:rPr>
                <w:rFonts w:ascii="Book Antiqua" w:hAnsi="Book Antiqua"/>
                <w:color w:val="000000"/>
                <w:sz w:val="24"/>
                <w:szCs w:val="24"/>
                <w:vertAlign w:val="superscript"/>
                <w:lang w:eastAsia="zh-CN"/>
              </w:rPr>
              <w:t>[14]</w:t>
            </w:r>
            <w:r w:rsidRPr="003811B5">
              <w:rPr>
                <w:rFonts w:ascii="Book Antiqua" w:hAnsi="Book Antiqua"/>
                <w:color w:val="000000"/>
                <w:sz w:val="24"/>
                <w:szCs w:val="24"/>
                <w:lang w:eastAsia="zh-CN"/>
              </w:rPr>
              <w:t>,</w:t>
            </w:r>
            <w:r w:rsidRPr="003811B5">
              <w:rPr>
                <w:rFonts w:ascii="Book Antiqua" w:hAnsi="Book Antiqua"/>
                <w:color w:val="000000"/>
                <w:sz w:val="24"/>
                <w:szCs w:val="24"/>
              </w:rPr>
              <w:t>2012</w:t>
            </w:r>
          </w:p>
        </w:tc>
      </w:tr>
      <w:tr w:rsidR="00DE6C05" w:rsidRPr="003811B5" w:rsidTr="00D274E1">
        <w:trPr>
          <w:jc w:val="right"/>
        </w:trPr>
        <w:tc>
          <w:tcPr>
            <w:tcW w:w="1418"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3</w:t>
            </w:r>
          </w:p>
        </w:tc>
        <w:tc>
          <w:tcPr>
            <w:tcW w:w="1134"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559" w:type="dxa"/>
          </w:tcPr>
          <w:p w:rsidR="00DE6C05" w:rsidRPr="003811B5" w:rsidRDefault="00DE6C05" w:rsidP="00B343A9">
            <w:pPr>
              <w:spacing w:after="0" w:line="360" w:lineRule="auto"/>
              <w:jc w:val="both"/>
              <w:rPr>
                <w:color w:val="000000"/>
                <w:sz w:val="24"/>
                <w:szCs w:val="24"/>
                <w:rtl/>
              </w:rPr>
            </w:pPr>
          </w:p>
        </w:tc>
        <w:tc>
          <w:tcPr>
            <w:tcW w:w="1276"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r w:rsidRPr="003811B5">
              <w:rPr>
                <w:rFonts w:ascii="Book Antiqua" w:hAnsi="Book Antiqua"/>
                <w:color w:val="000000"/>
                <w:sz w:val="24"/>
                <w:szCs w:val="24"/>
              </w:rPr>
              <w:sym w:font="Wingdings" w:char="F0AB"/>
            </w:r>
          </w:p>
        </w:tc>
        <w:tc>
          <w:tcPr>
            <w:tcW w:w="1701"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 xml:space="preserve">Criscuoli </w:t>
            </w:r>
            <w:r w:rsidRPr="003811B5">
              <w:rPr>
                <w:rFonts w:ascii="Book Antiqua" w:hAnsi="Book Antiqua"/>
                <w:i/>
                <w:color w:val="000000"/>
                <w:sz w:val="24"/>
                <w:szCs w:val="24"/>
                <w:lang w:eastAsia="zh-CN"/>
              </w:rPr>
              <w:t>et al</w:t>
            </w:r>
            <w:r w:rsidRPr="003811B5">
              <w:rPr>
                <w:rFonts w:ascii="Book Antiqua" w:hAnsi="Book Antiqua"/>
                <w:color w:val="000000"/>
                <w:sz w:val="24"/>
                <w:szCs w:val="24"/>
                <w:vertAlign w:val="superscript"/>
                <w:lang w:eastAsia="zh-CN"/>
              </w:rPr>
              <w:t>[14]</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2011</w:t>
            </w:r>
          </w:p>
        </w:tc>
      </w:tr>
      <w:tr w:rsidR="00DE6C05" w:rsidRPr="003811B5" w:rsidTr="00D274E1">
        <w:trPr>
          <w:jc w:val="right"/>
        </w:trPr>
        <w:tc>
          <w:tcPr>
            <w:tcW w:w="1418"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4</w:t>
            </w:r>
          </w:p>
        </w:tc>
        <w:tc>
          <w:tcPr>
            <w:tcW w:w="1134"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559"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276"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r w:rsidRPr="003811B5">
              <w:rPr>
                <w:rFonts w:ascii="Book Antiqua" w:hAnsi="Book Antiqua"/>
                <w:color w:val="000000"/>
                <w:sz w:val="24"/>
                <w:szCs w:val="24"/>
              </w:rPr>
              <w:sym w:font="Wingdings" w:char="F0AB"/>
            </w:r>
          </w:p>
        </w:tc>
        <w:tc>
          <w:tcPr>
            <w:tcW w:w="1701" w:type="dxa"/>
          </w:tcPr>
          <w:p w:rsidR="00DE6C05" w:rsidRPr="003811B5" w:rsidRDefault="00DE6C05" w:rsidP="00F06EAD">
            <w:pPr>
              <w:spacing w:after="0" w:line="360" w:lineRule="auto"/>
              <w:jc w:val="both"/>
              <w:rPr>
                <w:color w:val="000000"/>
                <w:sz w:val="24"/>
                <w:szCs w:val="24"/>
                <w:rtl/>
                <w:lang w:eastAsia="zh-CN"/>
              </w:rPr>
            </w:pPr>
            <w:r w:rsidRPr="003811B5">
              <w:rPr>
                <w:rFonts w:ascii="Book Antiqua" w:hAnsi="Book Antiqua"/>
                <w:color w:val="000000"/>
                <w:sz w:val="24"/>
                <w:szCs w:val="24"/>
              </w:rPr>
              <w:t xml:space="preserve">Kim </w:t>
            </w:r>
            <w:r w:rsidRPr="003811B5">
              <w:rPr>
                <w:rFonts w:ascii="Book Antiqua" w:hAnsi="Book Antiqua"/>
                <w:i/>
                <w:color w:val="000000"/>
                <w:sz w:val="24"/>
                <w:szCs w:val="24"/>
                <w:lang w:eastAsia="zh-CN"/>
              </w:rPr>
              <w:t>et al</w:t>
            </w:r>
            <w:r w:rsidRPr="003811B5">
              <w:rPr>
                <w:rFonts w:ascii="Book Antiqua" w:hAnsi="Book Antiqua"/>
                <w:color w:val="000000"/>
                <w:sz w:val="24"/>
                <w:szCs w:val="24"/>
                <w:vertAlign w:val="superscript"/>
                <w:lang w:eastAsia="zh-CN"/>
              </w:rPr>
              <w:t>[12]</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201</w:t>
            </w:r>
            <w:r w:rsidRPr="003811B5">
              <w:rPr>
                <w:rFonts w:ascii="Book Antiqua" w:hAnsi="Book Antiqua"/>
                <w:color w:val="000000"/>
                <w:sz w:val="24"/>
                <w:szCs w:val="24"/>
                <w:lang w:eastAsia="zh-CN"/>
              </w:rPr>
              <w:t>2</w:t>
            </w:r>
          </w:p>
        </w:tc>
      </w:tr>
      <w:tr w:rsidR="00DE6C05" w:rsidRPr="003811B5" w:rsidTr="00D274E1">
        <w:trPr>
          <w:jc w:val="right"/>
        </w:trPr>
        <w:tc>
          <w:tcPr>
            <w:tcW w:w="1418"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1</w:t>
            </w:r>
          </w:p>
        </w:tc>
        <w:tc>
          <w:tcPr>
            <w:tcW w:w="1134" w:type="dxa"/>
          </w:tcPr>
          <w:p w:rsidR="00DE6C05" w:rsidRPr="003811B5" w:rsidRDefault="00DE6C05" w:rsidP="00B343A9">
            <w:pPr>
              <w:spacing w:after="0" w:line="360" w:lineRule="auto"/>
              <w:jc w:val="both"/>
              <w:rPr>
                <w:color w:val="000000"/>
                <w:sz w:val="24"/>
                <w:szCs w:val="24"/>
                <w:rtl/>
              </w:rPr>
            </w:pPr>
          </w:p>
        </w:tc>
        <w:tc>
          <w:tcPr>
            <w:tcW w:w="1559" w:type="dxa"/>
          </w:tcPr>
          <w:p w:rsidR="00DE6C05" w:rsidRPr="003811B5" w:rsidRDefault="00DE6C05" w:rsidP="00B343A9">
            <w:pPr>
              <w:spacing w:after="0" w:line="360" w:lineRule="auto"/>
              <w:jc w:val="both"/>
              <w:rPr>
                <w:color w:val="000000"/>
                <w:sz w:val="24"/>
                <w:szCs w:val="24"/>
                <w:rtl/>
              </w:rPr>
            </w:pPr>
          </w:p>
        </w:tc>
        <w:tc>
          <w:tcPr>
            <w:tcW w:w="1276"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701" w:type="dxa"/>
          </w:tcPr>
          <w:p w:rsidR="00DE6C05" w:rsidRPr="003811B5" w:rsidRDefault="00DE6C05" w:rsidP="00C4489C">
            <w:pPr>
              <w:spacing w:after="0" w:line="360" w:lineRule="auto"/>
              <w:jc w:val="both"/>
              <w:rPr>
                <w:color w:val="000000"/>
                <w:sz w:val="24"/>
                <w:szCs w:val="24"/>
                <w:rtl/>
              </w:rPr>
            </w:pPr>
            <w:r w:rsidRPr="003811B5">
              <w:rPr>
                <w:rFonts w:ascii="Book Antiqua" w:hAnsi="Book Antiqua"/>
                <w:color w:val="000000"/>
                <w:sz w:val="24"/>
                <w:szCs w:val="24"/>
              </w:rPr>
              <w:t xml:space="preserve">Kopylov </w:t>
            </w:r>
            <w:r w:rsidRPr="003811B5">
              <w:rPr>
                <w:rFonts w:ascii="Book Antiqua" w:hAnsi="Book Antiqua"/>
                <w:i/>
                <w:color w:val="000000"/>
                <w:sz w:val="24"/>
                <w:szCs w:val="24"/>
                <w:lang w:eastAsia="zh-CN"/>
              </w:rPr>
              <w:t>et al</w:t>
            </w:r>
            <w:r w:rsidRPr="003811B5">
              <w:rPr>
                <w:rFonts w:ascii="Book Antiqua" w:hAnsi="Book Antiqua"/>
                <w:color w:val="000000"/>
                <w:sz w:val="24"/>
                <w:szCs w:val="24"/>
                <w:vertAlign w:val="superscript"/>
                <w:lang w:eastAsia="zh-CN"/>
              </w:rPr>
              <w:t>[16]</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2013</w:t>
            </w:r>
          </w:p>
        </w:tc>
      </w:tr>
      <w:tr w:rsidR="00DE6C05" w:rsidRPr="003811B5" w:rsidTr="00D274E1">
        <w:trPr>
          <w:jc w:val="right"/>
        </w:trPr>
        <w:tc>
          <w:tcPr>
            <w:tcW w:w="1418"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3</w:t>
            </w:r>
          </w:p>
        </w:tc>
        <w:tc>
          <w:tcPr>
            <w:tcW w:w="1134" w:type="dxa"/>
          </w:tcPr>
          <w:p w:rsidR="00DE6C05" w:rsidRPr="003811B5" w:rsidRDefault="00DE6C05" w:rsidP="00B343A9">
            <w:pPr>
              <w:spacing w:after="0" w:line="360" w:lineRule="auto"/>
              <w:jc w:val="both"/>
              <w:rPr>
                <w:color w:val="000000"/>
                <w:sz w:val="24"/>
                <w:szCs w:val="24"/>
                <w:rtl/>
              </w:rPr>
            </w:pPr>
          </w:p>
        </w:tc>
        <w:tc>
          <w:tcPr>
            <w:tcW w:w="1559"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276"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r w:rsidRPr="003811B5">
              <w:rPr>
                <w:rFonts w:ascii="Book Antiqua" w:hAnsi="Book Antiqua"/>
                <w:color w:val="000000"/>
                <w:sz w:val="24"/>
                <w:szCs w:val="24"/>
              </w:rPr>
              <w:sym w:font="Wingdings" w:char="F0AB"/>
            </w:r>
          </w:p>
        </w:tc>
        <w:tc>
          <w:tcPr>
            <w:tcW w:w="1701" w:type="dxa"/>
          </w:tcPr>
          <w:p w:rsidR="00DE6C05" w:rsidRPr="003811B5" w:rsidRDefault="00DE6C05" w:rsidP="00C4489C">
            <w:pPr>
              <w:spacing w:after="0" w:line="360" w:lineRule="auto"/>
              <w:jc w:val="both"/>
              <w:rPr>
                <w:color w:val="000000"/>
                <w:sz w:val="24"/>
                <w:szCs w:val="24"/>
                <w:rtl/>
              </w:rPr>
            </w:pPr>
            <w:r w:rsidRPr="003811B5">
              <w:rPr>
                <w:rFonts w:ascii="Book Antiqua" w:hAnsi="Book Antiqua"/>
                <w:color w:val="000000"/>
                <w:sz w:val="24"/>
                <w:szCs w:val="24"/>
              </w:rPr>
              <w:t xml:space="preserve">Maconi </w:t>
            </w:r>
            <w:r w:rsidRPr="003811B5">
              <w:rPr>
                <w:rFonts w:ascii="Book Antiqua" w:hAnsi="Book Antiqua"/>
                <w:i/>
                <w:color w:val="000000"/>
                <w:sz w:val="24"/>
                <w:szCs w:val="24"/>
                <w:lang w:eastAsia="zh-CN"/>
              </w:rPr>
              <w:t>et al</w:t>
            </w:r>
            <w:r w:rsidRPr="003811B5">
              <w:rPr>
                <w:rFonts w:ascii="Book Antiqua" w:hAnsi="Book Antiqua"/>
                <w:color w:val="000000"/>
                <w:sz w:val="24"/>
                <w:szCs w:val="24"/>
                <w:vertAlign w:val="superscript"/>
                <w:lang w:eastAsia="zh-CN"/>
              </w:rPr>
              <w:t>[10]</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2011</w:t>
            </w:r>
          </w:p>
        </w:tc>
      </w:tr>
      <w:tr w:rsidR="00DE6C05" w:rsidRPr="003811B5" w:rsidTr="00D274E1">
        <w:trPr>
          <w:jc w:val="right"/>
        </w:trPr>
        <w:tc>
          <w:tcPr>
            <w:tcW w:w="1418"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3</w:t>
            </w:r>
          </w:p>
        </w:tc>
        <w:tc>
          <w:tcPr>
            <w:tcW w:w="1134" w:type="dxa"/>
          </w:tcPr>
          <w:p w:rsidR="00DE6C05" w:rsidRPr="003811B5" w:rsidRDefault="00DE6C05" w:rsidP="00B343A9">
            <w:pPr>
              <w:spacing w:after="0" w:line="360" w:lineRule="auto"/>
              <w:jc w:val="both"/>
              <w:rPr>
                <w:color w:val="000000"/>
                <w:sz w:val="24"/>
                <w:szCs w:val="24"/>
                <w:rtl/>
              </w:rPr>
            </w:pPr>
          </w:p>
        </w:tc>
        <w:tc>
          <w:tcPr>
            <w:tcW w:w="1559"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276"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r w:rsidRPr="003811B5">
              <w:rPr>
                <w:rFonts w:ascii="Book Antiqua" w:hAnsi="Book Antiqua"/>
                <w:color w:val="000000"/>
                <w:sz w:val="24"/>
                <w:szCs w:val="24"/>
              </w:rPr>
              <w:sym w:font="Wingdings" w:char="F0AB"/>
            </w:r>
          </w:p>
        </w:tc>
        <w:tc>
          <w:tcPr>
            <w:tcW w:w="1701" w:type="dxa"/>
          </w:tcPr>
          <w:p w:rsidR="00DE6C05" w:rsidRPr="003811B5" w:rsidRDefault="00DE6C05" w:rsidP="00C4489C">
            <w:pPr>
              <w:spacing w:after="0" w:line="360" w:lineRule="auto"/>
              <w:jc w:val="both"/>
              <w:rPr>
                <w:color w:val="000000"/>
                <w:sz w:val="24"/>
                <w:szCs w:val="24"/>
                <w:rtl/>
              </w:rPr>
            </w:pPr>
            <w:r w:rsidRPr="003811B5">
              <w:rPr>
                <w:rFonts w:ascii="Book Antiqua" w:hAnsi="Book Antiqua"/>
                <w:color w:val="000000"/>
                <w:sz w:val="24"/>
                <w:szCs w:val="24"/>
              </w:rPr>
              <w:t xml:space="preserve">Maruyama </w:t>
            </w:r>
            <w:r w:rsidRPr="003811B5">
              <w:rPr>
                <w:rFonts w:ascii="Book Antiqua" w:hAnsi="Book Antiqua"/>
                <w:i/>
                <w:color w:val="000000"/>
                <w:sz w:val="24"/>
                <w:szCs w:val="24"/>
                <w:lang w:eastAsia="zh-CN"/>
              </w:rPr>
              <w:t>et al</w:t>
            </w:r>
            <w:r w:rsidRPr="003811B5">
              <w:rPr>
                <w:rFonts w:ascii="Book Antiqua" w:hAnsi="Book Antiqua"/>
                <w:color w:val="000000"/>
                <w:sz w:val="24"/>
                <w:szCs w:val="24"/>
                <w:vertAlign w:val="superscript"/>
                <w:lang w:eastAsia="zh-CN"/>
              </w:rPr>
              <w:t>[15]</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2012</w:t>
            </w:r>
          </w:p>
        </w:tc>
      </w:tr>
      <w:tr w:rsidR="00DE6C05" w:rsidRPr="003811B5" w:rsidTr="00D274E1">
        <w:trPr>
          <w:jc w:val="right"/>
        </w:trPr>
        <w:tc>
          <w:tcPr>
            <w:tcW w:w="1418"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4</w:t>
            </w:r>
          </w:p>
        </w:tc>
        <w:tc>
          <w:tcPr>
            <w:tcW w:w="1134"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559"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276"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r w:rsidRPr="003811B5">
              <w:rPr>
                <w:rFonts w:ascii="Book Antiqua" w:hAnsi="Book Antiqua"/>
                <w:color w:val="000000"/>
                <w:sz w:val="24"/>
                <w:szCs w:val="24"/>
              </w:rPr>
              <w:sym w:font="Wingdings" w:char="F0AB"/>
            </w:r>
          </w:p>
        </w:tc>
        <w:tc>
          <w:tcPr>
            <w:tcW w:w="1701" w:type="dxa"/>
          </w:tcPr>
          <w:p w:rsidR="00DE6C05" w:rsidRPr="003811B5" w:rsidRDefault="00DE6C05" w:rsidP="00C4489C">
            <w:pPr>
              <w:spacing w:after="0" w:line="360" w:lineRule="auto"/>
              <w:jc w:val="both"/>
              <w:rPr>
                <w:color w:val="000000"/>
                <w:sz w:val="24"/>
                <w:szCs w:val="24"/>
                <w:rtl/>
              </w:rPr>
            </w:pPr>
            <w:r w:rsidRPr="003811B5">
              <w:rPr>
                <w:rFonts w:ascii="Book Antiqua" w:hAnsi="Book Antiqua"/>
                <w:color w:val="000000"/>
                <w:sz w:val="24"/>
                <w:szCs w:val="24"/>
              </w:rPr>
              <w:t xml:space="preserve">Omiya </w:t>
            </w:r>
            <w:r w:rsidRPr="003811B5">
              <w:rPr>
                <w:rFonts w:ascii="Book Antiqua" w:hAnsi="Book Antiqua"/>
                <w:i/>
                <w:color w:val="000000"/>
                <w:sz w:val="24"/>
                <w:szCs w:val="24"/>
                <w:lang w:eastAsia="zh-CN"/>
              </w:rPr>
              <w:t>et al</w:t>
            </w:r>
            <w:r w:rsidRPr="003811B5">
              <w:rPr>
                <w:rFonts w:ascii="Book Antiqua" w:hAnsi="Book Antiqua"/>
                <w:color w:val="000000"/>
                <w:sz w:val="24"/>
                <w:szCs w:val="24"/>
                <w:vertAlign w:val="superscript"/>
                <w:lang w:eastAsia="zh-CN"/>
              </w:rPr>
              <w:t>[8]</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2010</w:t>
            </w:r>
          </w:p>
        </w:tc>
      </w:tr>
      <w:tr w:rsidR="00DE6C05" w:rsidRPr="003811B5" w:rsidTr="00D274E1">
        <w:trPr>
          <w:jc w:val="right"/>
        </w:trPr>
        <w:tc>
          <w:tcPr>
            <w:tcW w:w="1418"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4</w:t>
            </w:r>
          </w:p>
        </w:tc>
        <w:tc>
          <w:tcPr>
            <w:tcW w:w="1134"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p>
        </w:tc>
        <w:tc>
          <w:tcPr>
            <w:tcW w:w="1559" w:type="dxa"/>
          </w:tcPr>
          <w:p w:rsidR="00DE6C05" w:rsidRPr="003811B5" w:rsidRDefault="00DE6C05" w:rsidP="00B343A9">
            <w:pPr>
              <w:spacing w:after="0" w:line="360" w:lineRule="auto"/>
              <w:jc w:val="both"/>
              <w:rPr>
                <w:color w:val="000000"/>
                <w:sz w:val="24"/>
                <w:szCs w:val="24"/>
                <w:rtl/>
              </w:rPr>
            </w:pPr>
          </w:p>
        </w:tc>
        <w:tc>
          <w:tcPr>
            <w:tcW w:w="1276"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sym w:font="Wingdings" w:char="F0AB"/>
            </w:r>
            <w:r w:rsidRPr="003811B5">
              <w:rPr>
                <w:rFonts w:ascii="Book Antiqua" w:hAnsi="Book Antiqua"/>
                <w:color w:val="000000"/>
                <w:sz w:val="24"/>
                <w:szCs w:val="24"/>
              </w:rPr>
              <w:sym w:font="Wingdings" w:char="F0AB"/>
            </w:r>
            <w:r w:rsidRPr="003811B5">
              <w:rPr>
                <w:rFonts w:ascii="Book Antiqua" w:hAnsi="Book Antiqua"/>
                <w:color w:val="000000"/>
                <w:sz w:val="24"/>
                <w:szCs w:val="24"/>
              </w:rPr>
              <w:sym w:font="Wingdings" w:char="F0AB"/>
            </w:r>
          </w:p>
        </w:tc>
        <w:tc>
          <w:tcPr>
            <w:tcW w:w="1701" w:type="dxa"/>
          </w:tcPr>
          <w:p w:rsidR="00DE6C05" w:rsidRPr="003811B5" w:rsidRDefault="00DE6C05" w:rsidP="00C4489C">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 xml:space="preserve">Roblin </w:t>
            </w:r>
            <w:r w:rsidRPr="003811B5">
              <w:rPr>
                <w:rFonts w:ascii="Book Antiqua" w:hAnsi="Book Antiqua"/>
                <w:i/>
                <w:color w:val="000000"/>
                <w:sz w:val="24"/>
                <w:szCs w:val="24"/>
                <w:lang w:eastAsia="zh-CN"/>
              </w:rPr>
              <w:t>et al</w:t>
            </w:r>
            <w:r w:rsidRPr="003811B5">
              <w:rPr>
                <w:rFonts w:ascii="Book Antiqua" w:hAnsi="Book Antiqua"/>
                <w:color w:val="000000"/>
                <w:sz w:val="24"/>
                <w:szCs w:val="24"/>
                <w:vertAlign w:val="superscript"/>
                <w:lang w:eastAsia="zh-CN"/>
              </w:rPr>
              <w:t>[13]</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2011</w:t>
            </w:r>
          </w:p>
        </w:tc>
      </w:tr>
      <w:tr w:rsidR="00DE6C05" w:rsidRPr="003811B5" w:rsidTr="00D274E1">
        <w:trPr>
          <w:jc w:val="right"/>
        </w:trPr>
        <w:tc>
          <w:tcPr>
            <w:tcW w:w="1418"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1</w:t>
            </w:r>
          </w:p>
        </w:tc>
        <w:tc>
          <w:tcPr>
            <w:tcW w:w="1134" w:type="dxa"/>
          </w:tcPr>
          <w:p w:rsidR="00DE6C05" w:rsidRPr="003811B5" w:rsidRDefault="00DE6C05" w:rsidP="00B343A9">
            <w:pPr>
              <w:spacing w:after="0" w:line="360" w:lineRule="auto"/>
              <w:jc w:val="both"/>
              <w:rPr>
                <w:rFonts w:ascii="Book Antiqua" w:hAnsi="Book Antiqua"/>
                <w:color w:val="000000"/>
                <w:sz w:val="24"/>
                <w:szCs w:val="24"/>
              </w:rPr>
            </w:pPr>
          </w:p>
        </w:tc>
        <w:tc>
          <w:tcPr>
            <w:tcW w:w="1559" w:type="dxa"/>
          </w:tcPr>
          <w:p w:rsidR="00DE6C05" w:rsidRPr="003811B5" w:rsidRDefault="00DE6C05" w:rsidP="00B343A9">
            <w:pPr>
              <w:spacing w:after="0" w:line="360" w:lineRule="auto"/>
              <w:jc w:val="both"/>
              <w:rPr>
                <w:color w:val="000000"/>
                <w:sz w:val="24"/>
                <w:szCs w:val="24"/>
                <w:rtl/>
              </w:rPr>
            </w:pPr>
          </w:p>
        </w:tc>
        <w:tc>
          <w:tcPr>
            <w:tcW w:w="1276"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sym w:font="Wingdings" w:char="F0AB"/>
            </w:r>
          </w:p>
        </w:tc>
        <w:tc>
          <w:tcPr>
            <w:tcW w:w="1701" w:type="dxa"/>
          </w:tcPr>
          <w:p w:rsidR="00DE6C05" w:rsidRPr="003811B5" w:rsidRDefault="00DE6C05" w:rsidP="00C4489C">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 xml:space="preserve">Zeki </w:t>
            </w:r>
            <w:r w:rsidRPr="003811B5">
              <w:rPr>
                <w:rFonts w:ascii="Book Antiqua" w:hAnsi="Book Antiqua"/>
                <w:i/>
                <w:color w:val="000000"/>
                <w:sz w:val="24"/>
                <w:szCs w:val="24"/>
                <w:lang w:eastAsia="zh-CN"/>
              </w:rPr>
              <w:t>et al</w:t>
            </w:r>
            <w:r w:rsidRPr="003811B5">
              <w:rPr>
                <w:rFonts w:ascii="Book Antiqua" w:hAnsi="Book Antiqua"/>
                <w:color w:val="000000"/>
                <w:sz w:val="24"/>
                <w:szCs w:val="24"/>
                <w:vertAlign w:val="superscript"/>
                <w:lang w:eastAsia="zh-CN"/>
              </w:rPr>
              <w:t>[9]</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2010</w:t>
            </w:r>
          </w:p>
        </w:tc>
      </w:tr>
      <w:tr w:rsidR="00DE6C05" w:rsidRPr="003811B5" w:rsidTr="00D274E1">
        <w:trPr>
          <w:jc w:val="right"/>
        </w:trPr>
        <w:tc>
          <w:tcPr>
            <w:tcW w:w="1418"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24/54 (44.4%)</w:t>
            </w:r>
          </w:p>
        </w:tc>
        <w:tc>
          <w:tcPr>
            <w:tcW w:w="1134"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4/9 (44.4%)</w:t>
            </w:r>
          </w:p>
        </w:tc>
        <w:tc>
          <w:tcPr>
            <w:tcW w:w="1559"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4/18</w:t>
            </w:r>
            <w:r w:rsidRPr="003811B5">
              <w:rPr>
                <w:rFonts w:ascii="Book Antiqua" w:hAnsi="Book Antiqua"/>
                <w:color w:val="000000"/>
                <w:sz w:val="24"/>
                <w:szCs w:val="24"/>
                <w:lang w:eastAsia="zh-CN"/>
              </w:rPr>
              <w:t xml:space="preserve"> </w:t>
            </w:r>
            <w:r w:rsidRPr="003811B5">
              <w:rPr>
                <w:rFonts w:ascii="Book Antiqua" w:hAnsi="Book Antiqua"/>
                <w:color w:val="000000"/>
                <w:sz w:val="24"/>
                <w:szCs w:val="24"/>
              </w:rPr>
              <w:t>(22.2%)</w:t>
            </w:r>
          </w:p>
        </w:tc>
        <w:tc>
          <w:tcPr>
            <w:tcW w:w="1276" w:type="dxa"/>
          </w:tcPr>
          <w:p w:rsidR="00DE6C05" w:rsidRPr="003811B5" w:rsidRDefault="00DE6C05" w:rsidP="00B343A9">
            <w:pPr>
              <w:spacing w:after="0" w:line="360" w:lineRule="auto"/>
              <w:jc w:val="both"/>
              <w:rPr>
                <w:color w:val="000000"/>
                <w:sz w:val="24"/>
                <w:szCs w:val="24"/>
                <w:rtl/>
              </w:rPr>
            </w:pPr>
            <w:r w:rsidRPr="003811B5">
              <w:rPr>
                <w:rFonts w:ascii="Book Antiqua" w:hAnsi="Book Antiqua"/>
                <w:color w:val="000000"/>
                <w:sz w:val="24"/>
                <w:szCs w:val="24"/>
              </w:rPr>
              <w:t>16/27 (59.3%)</w:t>
            </w:r>
          </w:p>
        </w:tc>
        <w:tc>
          <w:tcPr>
            <w:tcW w:w="1701" w:type="dxa"/>
          </w:tcPr>
          <w:p w:rsidR="00DE6C05" w:rsidRPr="003811B5" w:rsidRDefault="00DE6C05" w:rsidP="00B343A9">
            <w:pPr>
              <w:spacing w:after="0" w:line="360" w:lineRule="auto"/>
              <w:jc w:val="both"/>
              <w:rPr>
                <w:rFonts w:ascii="Book Antiqua" w:hAnsi="Book Antiqua"/>
                <w:color w:val="000000"/>
                <w:sz w:val="24"/>
                <w:szCs w:val="24"/>
              </w:rPr>
            </w:pPr>
            <w:r w:rsidRPr="003811B5">
              <w:rPr>
                <w:rFonts w:ascii="Book Antiqua" w:hAnsi="Book Antiqua"/>
                <w:color w:val="000000"/>
                <w:sz w:val="24"/>
                <w:szCs w:val="24"/>
              </w:rPr>
              <w:t>Total</w:t>
            </w:r>
          </w:p>
        </w:tc>
      </w:tr>
    </w:tbl>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color w:val="000000"/>
          <w:sz w:val="24"/>
          <w:szCs w:val="24"/>
        </w:rPr>
        <w:t xml:space="preserve"> </w:t>
      </w:r>
    </w:p>
    <w:p w:rsidR="00DE6C05" w:rsidRPr="00A37102" w:rsidRDefault="00DE6C05" w:rsidP="00B343A9">
      <w:pPr>
        <w:spacing w:after="0" w:line="360" w:lineRule="auto"/>
        <w:jc w:val="both"/>
        <w:rPr>
          <w:rFonts w:ascii="Book Antiqua" w:hAnsi="Book Antiqua"/>
          <w:color w:val="000000"/>
          <w:sz w:val="24"/>
          <w:szCs w:val="24"/>
        </w:rPr>
      </w:pPr>
      <w:r w:rsidRPr="00A37102">
        <w:rPr>
          <w:rFonts w:ascii="Book Antiqua" w:hAnsi="Book Antiqua"/>
          <w:caps/>
          <w:color w:val="000000"/>
          <w:sz w:val="24"/>
          <w:szCs w:val="24"/>
        </w:rPr>
        <w:t>i</w:t>
      </w:r>
      <w:r w:rsidRPr="00A37102">
        <w:rPr>
          <w:rFonts w:ascii="Book Antiqua" w:hAnsi="Book Antiqua"/>
          <w:color w:val="000000"/>
          <w:sz w:val="24"/>
          <w:szCs w:val="24"/>
        </w:rPr>
        <w:t>n each category, a number of points from 1 (minimal) to 3 (maximal) are attributed by each reviewer. The total score represents a sum of the points achieved at every category.</w:t>
      </w:r>
    </w:p>
    <w:p w:rsidR="00DE6C05" w:rsidRPr="00A37102" w:rsidRDefault="00DE6C05" w:rsidP="00B343A9">
      <w:pPr>
        <w:spacing w:after="0" w:line="360" w:lineRule="auto"/>
        <w:jc w:val="both"/>
        <w:rPr>
          <w:rFonts w:ascii="Book Antiqua" w:hAnsi="Book Antiqua"/>
          <w:color w:val="000000"/>
          <w:sz w:val="24"/>
          <w:szCs w:val="24"/>
        </w:rPr>
      </w:pPr>
    </w:p>
    <w:p w:rsidR="00DE6C05" w:rsidRPr="00A37102" w:rsidRDefault="00DE6C05" w:rsidP="00B343A9">
      <w:pPr>
        <w:spacing w:after="0" w:line="360" w:lineRule="auto"/>
        <w:jc w:val="both"/>
        <w:rPr>
          <w:rFonts w:ascii="Book Antiqua" w:hAnsi="Book Antiqua"/>
          <w:b/>
          <w:color w:val="000000"/>
          <w:sz w:val="24"/>
          <w:szCs w:val="24"/>
          <w:lang w:eastAsia="zh-CN"/>
        </w:rPr>
      </w:pPr>
      <w:r w:rsidRPr="00A37102">
        <w:rPr>
          <w:rFonts w:ascii="Book Antiqua" w:hAnsi="Book Antiqua"/>
          <w:b/>
          <w:color w:val="000000"/>
          <w:sz w:val="24"/>
          <w:szCs w:val="24"/>
        </w:rPr>
        <w:t xml:space="preserve">Figure 1 </w:t>
      </w:r>
      <w:r w:rsidRPr="00A37102">
        <w:rPr>
          <w:rFonts w:ascii="Book Antiqua" w:hAnsi="Book Antiqua"/>
          <w:color w:val="000000"/>
          <w:sz w:val="24"/>
          <w:szCs w:val="24"/>
        </w:rPr>
        <w:t>S</w:t>
      </w:r>
      <w:r w:rsidRPr="00A37102">
        <w:rPr>
          <w:rFonts w:ascii="Book Antiqua" w:hAnsi="Book Antiqua"/>
          <w:b/>
          <w:color w:val="000000"/>
          <w:sz w:val="24"/>
          <w:szCs w:val="24"/>
        </w:rPr>
        <w:t xml:space="preserve">election of studies on </w:t>
      </w:r>
      <w:r w:rsidRPr="00A37102">
        <w:rPr>
          <w:rFonts w:ascii="Book Antiqua" w:hAnsi="Book Antiqua"/>
          <w:b/>
          <w:bCs/>
          <w:color w:val="000000"/>
          <w:sz w:val="24"/>
          <w:szCs w:val="24"/>
        </w:rPr>
        <w:t>cytomegalovirus</w:t>
      </w:r>
      <w:r w:rsidRPr="00A37102">
        <w:rPr>
          <w:rFonts w:ascii="Book Antiqua" w:hAnsi="Book Antiqua"/>
          <w:b/>
          <w:color w:val="000000"/>
          <w:sz w:val="24"/>
          <w:szCs w:val="24"/>
        </w:rPr>
        <w:t xml:space="preserve"> infection complicating ulcerative colitis</w:t>
      </w:r>
      <w:r w:rsidRPr="00A37102">
        <w:rPr>
          <w:rFonts w:ascii="Book Antiqua" w:hAnsi="Book Antiqua"/>
          <w:b/>
          <w:color w:val="000000"/>
          <w:sz w:val="24"/>
          <w:szCs w:val="24"/>
          <w:lang w:eastAsia="zh-CN"/>
        </w:rPr>
        <w:t>.</w:t>
      </w:r>
    </w:p>
    <w:p w:rsidR="00DE6C05" w:rsidRPr="00A37102" w:rsidRDefault="00DE6C05" w:rsidP="00B343A9">
      <w:pPr>
        <w:spacing w:after="0" w:line="360" w:lineRule="auto"/>
        <w:jc w:val="both"/>
        <w:rPr>
          <w:rFonts w:ascii="Book Antiqua" w:hAnsi="Book Antiqua"/>
          <w:b/>
          <w:color w:val="000000"/>
          <w:sz w:val="24"/>
          <w:szCs w:val="24"/>
          <w:lang w:eastAsia="zh-CN"/>
        </w:rPr>
      </w:pP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lang w:eastAsia="zh-CN"/>
        </w:rPr>
      </w:pPr>
      <w:r w:rsidRPr="00A37102">
        <w:rPr>
          <w:rFonts w:ascii="Book Antiqua" w:hAnsi="Book Antiqua"/>
          <w:b/>
          <w:color w:val="000000"/>
          <w:sz w:val="24"/>
          <w:szCs w:val="24"/>
        </w:rPr>
        <w:t xml:space="preserve">Figure 2: Colectomy rate in </w:t>
      </w:r>
      <w:r w:rsidRPr="00A37102">
        <w:rPr>
          <w:rFonts w:ascii="Book Antiqua" w:hAnsi="Book Antiqua"/>
          <w:b/>
          <w:bCs/>
          <w:color w:val="000000"/>
          <w:sz w:val="24"/>
          <w:szCs w:val="24"/>
        </w:rPr>
        <w:t>cytomegalovirus</w:t>
      </w:r>
      <w:r w:rsidRPr="00A37102">
        <w:rPr>
          <w:rFonts w:ascii="Book Antiqua" w:hAnsi="Book Antiqua"/>
          <w:b/>
          <w:color w:val="000000"/>
          <w:sz w:val="24"/>
          <w:szCs w:val="24"/>
        </w:rPr>
        <w:t xml:space="preserve"> infection complicating ulcerative colitis.</w:t>
      </w:r>
      <w:r w:rsidRPr="00A37102">
        <w:rPr>
          <w:rFonts w:ascii="Book Antiqua" w:hAnsi="Book Antiqua"/>
          <w:color w:val="000000"/>
          <w:sz w:val="24"/>
          <w:szCs w:val="24"/>
        </w:rPr>
        <w:t xml:space="preserve"> </w:t>
      </w:r>
      <w:r w:rsidRPr="00A37102">
        <w:rPr>
          <w:rFonts w:ascii="Book Antiqua" w:hAnsi="Book Antiqua"/>
          <w:color w:val="000000"/>
          <w:sz w:val="24"/>
          <w:szCs w:val="24"/>
          <w:lang w:eastAsia="zh-CN"/>
        </w:rPr>
        <w:t>A:</w:t>
      </w:r>
      <w:r w:rsidRPr="00A37102">
        <w:rPr>
          <w:rFonts w:ascii="Book Antiqua" w:hAnsi="Book Antiqua"/>
          <w:color w:val="000000"/>
          <w:sz w:val="24"/>
          <w:szCs w:val="24"/>
        </w:rPr>
        <w:t xml:space="preserve"> The rate of colectomy during hospitalization tended to be lower among the patients who did not receive antiviral treatment</w:t>
      </w:r>
      <w:r w:rsidRPr="00A37102">
        <w:rPr>
          <w:rFonts w:ascii="Book Antiqua" w:hAnsi="Book Antiqua"/>
          <w:color w:val="000000"/>
          <w:sz w:val="24"/>
          <w:szCs w:val="24"/>
          <w:lang w:eastAsia="zh-CN"/>
        </w:rPr>
        <w:t>; B:</w:t>
      </w:r>
      <w:r w:rsidRPr="00A37102">
        <w:rPr>
          <w:rFonts w:ascii="Book Antiqua" w:hAnsi="Book Antiqua"/>
          <w:color w:val="000000"/>
          <w:sz w:val="24"/>
          <w:szCs w:val="24"/>
        </w:rPr>
        <w:t xml:space="preserve"> No significant difference was found in the rate of colectomy during follow-up period. CI</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c</w:t>
      </w:r>
      <w:r w:rsidRPr="00A37102">
        <w:rPr>
          <w:rFonts w:ascii="Book Antiqua" w:hAnsi="Book Antiqua"/>
          <w:color w:val="000000"/>
          <w:sz w:val="24"/>
          <w:szCs w:val="24"/>
        </w:rPr>
        <w:t>onfidence interval; OR</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o</w:t>
      </w:r>
      <w:r w:rsidRPr="00A37102">
        <w:rPr>
          <w:rFonts w:ascii="Book Antiqua" w:hAnsi="Book Antiqua"/>
          <w:color w:val="000000"/>
          <w:sz w:val="24"/>
          <w:szCs w:val="24"/>
        </w:rPr>
        <w:t>dds ratio.</w:t>
      </w: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lang w:eastAsia="zh-CN"/>
        </w:rPr>
      </w:pP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lang w:eastAsia="zh-CN"/>
        </w:rPr>
      </w:pPr>
      <w:r w:rsidRPr="00A37102">
        <w:rPr>
          <w:rFonts w:ascii="Book Antiqua" w:hAnsi="Book Antiqua"/>
          <w:b/>
          <w:bCs/>
          <w:color w:val="000000"/>
          <w:sz w:val="24"/>
          <w:szCs w:val="24"/>
        </w:rPr>
        <w:t xml:space="preserve">Figure 3 </w:t>
      </w:r>
      <w:r w:rsidRPr="00A37102">
        <w:rPr>
          <w:rFonts w:ascii="Book Antiqua" w:hAnsi="Book Antiqua"/>
          <w:b/>
          <w:color w:val="000000"/>
          <w:sz w:val="24"/>
          <w:szCs w:val="24"/>
        </w:rPr>
        <w:t>Cytomegalovirus demonstrated on a colonic biopsy in a patient</w:t>
      </w:r>
      <w:r w:rsidRPr="00A37102">
        <w:rPr>
          <w:rFonts w:ascii="Book Antiqua" w:hAnsi="Book Antiqua"/>
          <w:b/>
          <w:color w:val="000000"/>
          <w:sz w:val="24"/>
          <w:szCs w:val="24"/>
          <w:lang w:eastAsia="zh-CN"/>
        </w:rPr>
        <w:t xml:space="preserve"> </w:t>
      </w:r>
      <w:r w:rsidRPr="00A37102">
        <w:rPr>
          <w:rFonts w:ascii="Book Antiqua" w:hAnsi="Book Antiqua"/>
          <w:b/>
          <w:color w:val="000000"/>
          <w:sz w:val="24"/>
          <w:szCs w:val="24"/>
        </w:rPr>
        <w:t xml:space="preserve">with ulcerative colitis (arrows). </w:t>
      </w:r>
      <w:r w:rsidRPr="00A37102">
        <w:rPr>
          <w:rFonts w:ascii="Book Antiqua" w:hAnsi="Book Antiqua"/>
          <w:color w:val="000000"/>
          <w:sz w:val="24"/>
          <w:szCs w:val="24"/>
        </w:rPr>
        <w:t>A: Hematoxylin eosin staining; B: Immunohistochemistry</w:t>
      </w:r>
      <w:r w:rsidRPr="00A37102">
        <w:rPr>
          <w:rFonts w:ascii="Book Antiqua" w:hAnsi="Book Antiqua"/>
          <w:color w:val="000000"/>
          <w:sz w:val="24"/>
          <w:szCs w:val="24"/>
          <w:lang w:val="en-CA" w:eastAsia="zh-CN"/>
        </w:rPr>
        <w:t xml:space="preserve">, </w:t>
      </w:r>
      <w:r w:rsidRPr="00A37102">
        <w:rPr>
          <w:rFonts w:ascii="Book Antiqua" w:hAnsi="Book Antiqua"/>
          <w:color w:val="000000"/>
          <w:sz w:val="24"/>
          <w:szCs w:val="24"/>
          <w:lang w:val="en-CA"/>
        </w:rPr>
        <w:t>adapted from</w:t>
      </w:r>
      <w:r w:rsidRPr="00A37102">
        <w:rPr>
          <w:rFonts w:ascii="Book Antiqua" w:hAnsi="Book Antiqua"/>
          <w:color w:val="000000"/>
          <w:sz w:val="24"/>
          <w:szCs w:val="24"/>
          <w:lang w:val="en-CA" w:eastAsia="zh-CN"/>
        </w:rPr>
        <w:t xml:space="preserve"> [16]</w:t>
      </w:r>
      <w:r w:rsidRPr="00A37102">
        <w:rPr>
          <w:rFonts w:ascii="Book Antiqua" w:hAnsi="Book Antiqua"/>
          <w:color w:val="000000"/>
          <w:sz w:val="24"/>
          <w:szCs w:val="24"/>
        </w:rPr>
        <w:t>.</w:t>
      </w: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lang w:eastAsia="zh-CN"/>
        </w:rPr>
      </w:pP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rtl/>
          <w:lang w:eastAsia="zh-CN"/>
        </w:rPr>
      </w:pPr>
      <w:r w:rsidRPr="00A37102">
        <w:rPr>
          <w:rFonts w:ascii="Book Antiqua" w:hAnsi="Book Antiqua"/>
          <w:b/>
          <w:bCs/>
          <w:color w:val="000000"/>
          <w:sz w:val="24"/>
          <w:szCs w:val="24"/>
        </w:rPr>
        <w:t>Figure 4</w:t>
      </w:r>
      <w:r w:rsidRPr="00A37102">
        <w:rPr>
          <w:rFonts w:ascii="Book Antiqua" w:hAnsi="Book Antiqua"/>
          <w:color w:val="000000"/>
          <w:sz w:val="24"/>
          <w:szCs w:val="24"/>
          <w:lang w:eastAsia="zh-CN"/>
        </w:rPr>
        <w:t xml:space="preserve"> </w:t>
      </w:r>
      <w:r w:rsidRPr="00A37102">
        <w:rPr>
          <w:rFonts w:ascii="Book Antiqua" w:hAnsi="Book Antiqua"/>
          <w:b/>
          <w:color w:val="000000"/>
          <w:sz w:val="24"/>
          <w:szCs w:val="24"/>
        </w:rPr>
        <w:t>Proposed algorithm for decision on initiation of antiviral therapy in a ulcerative colitis patient with histological evidence of cytomegalovirus in the colonic mucosa</w:t>
      </w:r>
      <w:r w:rsidRPr="00A37102">
        <w:rPr>
          <w:rFonts w:ascii="Book Antiqua" w:hAnsi="Book Antiqua"/>
          <w:b/>
          <w:color w:val="000000"/>
          <w:sz w:val="24"/>
          <w:szCs w:val="24"/>
          <w:lang w:eastAsia="zh-CN"/>
        </w:rPr>
        <w:t xml:space="preserve">. </w:t>
      </w:r>
      <w:r w:rsidRPr="00A37102">
        <w:rPr>
          <w:rFonts w:ascii="Book Antiqua" w:hAnsi="Book Antiqua"/>
          <w:color w:val="000000"/>
          <w:sz w:val="24"/>
          <w:szCs w:val="24"/>
          <w:vertAlign w:val="superscript"/>
          <w:lang w:eastAsia="zh-CN"/>
        </w:rPr>
        <w:t>1</w:t>
      </w:r>
      <w:r w:rsidRPr="00A37102">
        <w:rPr>
          <w:rFonts w:ascii="Book Antiqua" w:hAnsi="Book Antiqua"/>
          <w:caps/>
          <w:color w:val="000000"/>
          <w:sz w:val="24"/>
          <w:szCs w:val="24"/>
        </w:rPr>
        <w:t>u</w:t>
      </w:r>
      <w:r w:rsidRPr="00A37102">
        <w:rPr>
          <w:rFonts w:ascii="Book Antiqua" w:hAnsi="Book Antiqua"/>
          <w:color w:val="000000"/>
          <w:sz w:val="24"/>
          <w:szCs w:val="24"/>
        </w:rPr>
        <w:t>nclear whether antiviral treatment should be tapered/stopped</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 xml:space="preserve">UC </w:t>
      </w:r>
      <w:r w:rsidRPr="00A37102">
        <w:rPr>
          <w:rFonts w:ascii="Book Antiqua" w:hAnsi="Book Antiqua"/>
          <w:caps/>
          <w:color w:val="000000"/>
          <w:sz w:val="24"/>
          <w:szCs w:val="24"/>
        </w:rPr>
        <w:t>u</w:t>
      </w:r>
      <w:r w:rsidRPr="00A37102">
        <w:rPr>
          <w:rFonts w:ascii="Book Antiqua" w:hAnsi="Book Antiqua"/>
          <w:color w:val="000000"/>
          <w:sz w:val="24"/>
          <w:szCs w:val="24"/>
        </w:rPr>
        <w:t>lcerative colitis</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HE</w:t>
      </w:r>
      <w:r w:rsidRPr="00A37102">
        <w:rPr>
          <w:rFonts w:ascii="Book Antiqua" w:hAnsi="Book Antiqua"/>
          <w:color w:val="000000"/>
          <w:sz w:val="24"/>
          <w:szCs w:val="24"/>
          <w:lang w:eastAsia="zh-CN"/>
        </w:rPr>
        <w:t>:</w:t>
      </w:r>
      <w:r w:rsidRPr="00A37102">
        <w:rPr>
          <w:rFonts w:ascii="Book Antiqua" w:hAnsi="Book Antiqua"/>
          <w:color w:val="000000"/>
          <w:sz w:val="24"/>
          <w:szCs w:val="24"/>
        </w:rPr>
        <w:t xml:space="preserve"> </w:t>
      </w:r>
      <w:r w:rsidRPr="00A37102">
        <w:rPr>
          <w:rFonts w:ascii="Book Antiqua" w:hAnsi="Book Antiqua"/>
          <w:caps/>
          <w:color w:val="000000"/>
          <w:sz w:val="24"/>
          <w:szCs w:val="24"/>
        </w:rPr>
        <w:t>h</w:t>
      </w:r>
      <w:r w:rsidRPr="00A37102">
        <w:rPr>
          <w:rFonts w:ascii="Book Antiqua" w:hAnsi="Book Antiqua"/>
          <w:color w:val="000000"/>
          <w:sz w:val="24"/>
          <w:szCs w:val="24"/>
        </w:rPr>
        <w:t>ematoxylin-eosin staining;</w:t>
      </w:r>
      <w:r w:rsidRPr="00A37102">
        <w:rPr>
          <w:rFonts w:ascii="Book Antiqua" w:hAnsi="Book Antiqua"/>
          <w:color w:val="000000"/>
          <w:sz w:val="24"/>
          <w:szCs w:val="24"/>
          <w:lang w:eastAsia="zh-CN"/>
        </w:rPr>
        <w:t xml:space="preserve"> </w:t>
      </w:r>
      <w:r w:rsidRPr="00A37102">
        <w:rPr>
          <w:rFonts w:ascii="Book Antiqua" w:hAnsi="Book Antiqua"/>
          <w:color w:val="000000"/>
          <w:sz w:val="24"/>
          <w:szCs w:val="24"/>
        </w:rPr>
        <w:t>IHC</w:t>
      </w:r>
      <w:r w:rsidRPr="00A37102">
        <w:rPr>
          <w:rFonts w:ascii="Book Antiqua" w:hAnsi="Book Antiqua"/>
          <w:color w:val="000000"/>
          <w:sz w:val="24"/>
          <w:szCs w:val="24"/>
          <w:lang w:eastAsia="zh-CN"/>
        </w:rPr>
        <w:t xml:space="preserve">: </w:t>
      </w:r>
      <w:r w:rsidRPr="00A37102">
        <w:rPr>
          <w:rFonts w:ascii="Book Antiqua" w:hAnsi="Book Antiqua"/>
          <w:caps/>
          <w:color w:val="000000"/>
          <w:sz w:val="24"/>
          <w:szCs w:val="24"/>
        </w:rPr>
        <w:t>i</w:t>
      </w:r>
      <w:r w:rsidRPr="00A37102">
        <w:rPr>
          <w:rFonts w:ascii="Book Antiqua" w:hAnsi="Book Antiqua"/>
          <w:color w:val="000000"/>
          <w:sz w:val="24"/>
          <w:szCs w:val="24"/>
        </w:rPr>
        <w:t>mmunohistochemistry; CMV</w:t>
      </w:r>
      <w:r w:rsidRPr="00A37102">
        <w:rPr>
          <w:rFonts w:ascii="Book Antiqua" w:hAnsi="Book Antiqua"/>
          <w:color w:val="000000"/>
          <w:sz w:val="24"/>
          <w:szCs w:val="24"/>
          <w:lang w:eastAsia="zh-CN"/>
        </w:rPr>
        <w:t xml:space="preserve">: </w:t>
      </w:r>
      <w:r w:rsidRPr="00A37102">
        <w:rPr>
          <w:rFonts w:ascii="Book Antiqua" w:hAnsi="Book Antiqua"/>
          <w:caps/>
          <w:color w:val="000000"/>
          <w:sz w:val="24"/>
          <w:szCs w:val="24"/>
        </w:rPr>
        <w:t>c</w:t>
      </w:r>
      <w:r w:rsidRPr="00A37102">
        <w:rPr>
          <w:rFonts w:ascii="Book Antiqua" w:hAnsi="Book Antiqua"/>
          <w:color w:val="000000"/>
          <w:sz w:val="24"/>
          <w:szCs w:val="24"/>
        </w:rPr>
        <w:t>ytomegalovirus</w:t>
      </w:r>
      <w:r w:rsidRPr="00A37102">
        <w:rPr>
          <w:rFonts w:ascii="Book Antiqua" w:hAnsi="Book Antiqua"/>
          <w:color w:val="000000"/>
          <w:sz w:val="24"/>
          <w:szCs w:val="24"/>
          <w:lang w:eastAsia="zh-CN"/>
        </w:rPr>
        <w:t>.</w:t>
      </w: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rPr>
      </w:pPr>
      <w:r w:rsidRPr="00A37102">
        <w:rPr>
          <w:rFonts w:ascii="Book Antiqua" w:hAnsi="Book Antiqua"/>
          <w:color w:val="000000"/>
          <w:sz w:val="24"/>
          <w:szCs w:val="24"/>
        </w:rPr>
        <w:br w:type="page"/>
      </w:r>
    </w:p>
    <w:p w:rsidR="00DE6C05" w:rsidRPr="00A37102" w:rsidRDefault="00DE6C05" w:rsidP="00B343A9">
      <w:pPr>
        <w:autoSpaceDE w:val="0"/>
        <w:autoSpaceDN w:val="0"/>
        <w:adjustRightInd w:val="0"/>
        <w:spacing w:after="0" w:line="360" w:lineRule="auto"/>
        <w:jc w:val="both"/>
        <w:rPr>
          <w:rFonts w:ascii="Book Antiqua" w:hAnsi="Book Antiqua"/>
          <w:color w:val="000000"/>
          <w:sz w:val="24"/>
          <w:szCs w:val="24"/>
        </w:rPr>
      </w:pPr>
    </w:p>
    <w:p w:rsidR="00DE6C05" w:rsidRPr="00A37102" w:rsidRDefault="00DE6C05" w:rsidP="002D3ED4">
      <w:pPr>
        <w:spacing w:after="0" w:line="360" w:lineRule="auto"/>
        <w:jc w:val="both"/>
        <w:rPr>
          <w:noProof/>
          <w:lang w:eastAsia="en-CA"/>
        </w:rPr>
      </w:pPr>
      <w:r w:rsidRPr="00A37102">
        <w:rPr>
          <w:rFonts w:ascii="Book Antiqua" w:hAnsi="Book Antiqua"/>
          <w:b/>
          <w:bCs/>
          <w:color w:val="000000"/>
          <w:sz w:val="24"/>
          <w:szCs w:val="24"/>
        </w:rPr>
        <w:t>Figure 4</w:t>
      </w:r>
      <w:r w:rsidRPr="00A37102">
        <w:rPr>
          <w:rFonts w:ascii="Book Antiqua" w:hAnsi="Book Antiqua"/>
          <w:color w:val="000000"/>
          <w:sz w:val="24"/>
          <w:szCs w:val="24"/>
          <w:lang w:eastAsia="zh-CN"/>
        </w:rPr>
        <w:t xml:space="preserve"> </w:t>
      </w:r>
    </w:p>
    <w:p w:rsidR="00DE6C05" w:rsidRPr="00A37102" w:rsidRDefault="00BE56B0" w:rsidP="00B343A9">
      <w:pPr>
        <w:spacing w:after="0" w:line="360" w:lineRule="auto"/>
        <w:jc w:val="both"/>
        <w:rPr>
          <w:rFonts w:ascii="Book Antiqua" w:hAnsi="Book Antiqua"/>
          <w:color w:val="000000"/>
          <w:sz w:val="24"/>
          <w:szCs w:val="24"/>
          <w:lang w:eastAsia="zh-CN"/>
        </w:rPr>
      </w:pPr>
      <w:r>
        <w:rPr>
          <w:noProof/>
          <w:lang w:eastAsia="zh-CN" w:bidi="ar-SA"/>
        </w:rPr>
        <w:drawing>
          <wp:anchor distT="12192" distB="7372" distL="114300" distR="114300" simplePos="0" relativeHeight="251658240" behindDoc="0" locked="0" layoutInCell="1" allowOverlap="1">
            <wp:simplePos x="0" y="0"/>
            <wp:positionH relativeFrom="column">
              <wp:posOffset>-984885</wp:posOffset>
            </wp:positionH>
            <wp:positionV relativeFrom="paragraph">
              <wp:posOffset>152527</wp:posOffset>
            </wp:positionV>
            <wp:extent cx="7559040" cy="4954905"/>
            <wp:effectExtent l="0" t="0" r="0" b="17145"/>
            <wp:wrapNone/>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DE6C05" w:rsidRPr="002A3E24" w:rsidRDefault="00DE6C05" w:rsidP="00B343A9">
      <w:pPr>
        <w:spacing w:after="0" w:line="360" w:lineRule="auto"/>
        <w:jc w:val="both"/>
        <w:rPr>
          <w:rFonts w:ascii="Book Antiqua" w:hAnsi="Book Antiqua"/>
          <w:color w:val="000000"/>
          <w:sz w:val="24"/>
          <w:szCs w:val="24"/>
          <w:lang w:eastAsia="zh-CN"/>
        </w:rPr>
      </w:pPr>
      <w:r w:rsidRPr="00A37102">
        <w:rPr>
          <w:rFonts w:ascii="Book Antiqua" w:hAnsi="Book Antiqua"/>
          <w:color w:val="000000"/>
          <w:sz w:val="24"/>
          <w:szCs w:val="24"/>
          <w:lang w:eastAsia="zh-CN"/>
        </w:rPr>
        <w:fldChar w:fldCharType="begin"/>
      </w:r>
      <w:r w:rsidRPr="00A37102">
        <w:rPr>
          <w:rFonts w:ascii="Book Antiqua" w:hAnsi="Book Antiqua"/>
          <w:color w:val="000000"/>
          <w:sz w:val="24"/>
          <w:szCs w:val="24"/>
          <w:lang w:eastAsia="zh-CN"/>
        </w:rPr>
        <w:instrText xml:space="preserve"> ADDIN EN.REFLIST </w:instrText>
      </w:r>
      <w:r w:rsidRPr="00A37102">
        <w:rPr>
          <w:rFonts w:ascii="Book Antiqua" w:hAnsi="Book Antiqua"/>
          <w:color w:val="000000"/>
          <w:sz w:val="24"/>
          <w:szCs w:val="24"/>
          <w:lang w:eastAsia="zh-CN"/>
        </w:rPr>
        <w:fldChar w:fldCharType="end"/>
      </w:r>
    </w:p>
    <w:sectPr w:rsidR="00DE6C05" w:rsidRPr="002A3E24" w:rsidSect="00D274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30" w:rsidRDefault="00947030" w:rsidP="00916DAC">
      <w:pPr>
        <w:spacing w:after="0" w:line="240" w:lineRule="auto"/>
      </w:pPr>
      <w:r>
        <w:separator/>
      </w:r>
    </w:p>
  </w:endnote>
  <w:endnote w:type="continuationSeparator" w:id="0">
    <w:p w:rsidR="00947030" w:rsidRDefault="00947030" w:rsidP="009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dvP6975">
    <w:altName w:val="Times New Roman"/>
    <w:panose1 w:val="00000000000000000000"/>
    <w:charset w:val="B1"/>
    <w:family w:val="auto"/>
    <w:notTrueType/>
    <w:pitch w:val="default"/>
    <w:sig w:usb0="00000801" w:usb1="00000000" w:usb2="00000000" w:usb3="00000000" w:csb0="00000020" w:csb1="00000000"/>
  </w:font>
  <w:font w:name="Arial Unicode MS">
    <w:panose1 w:val="020B0604020202020204"/>
    <w:charset w:val="86"/>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30" w:rsidRDefault="00947030" w:rsidP="00916DAC">
      <w:pPr>
        <w:spacing w:after="0" w:line="240" w:lineRule="auto"/>
      </w:pPr>
      <w:r>
        <w:separator/>
      </w:r>
    </w:p>
  </w:footnote>
  <w:footnote w:type="continuationSeparator" w:id="0">
    <w:p w:rsidR="00947030" w:rsidRDefault="00947030" w:rsidP="00916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95A"/>
    <w:multiLevelType w:val="hybridMultilevel"/>
    <w:tmpl w:val="76201B30"/>
    <w:lvl w:ilvl="0" w:tplc="68BC5ED0">
      <w:start w:val="1"/>
      <w:numFmt w:val="decimal"/>
      <w:lvlText w:val="%1)"/>
      <w:lvlJc w:val="left"/>
      <w:pPr>
        <w:ind w:left="1080" w:hanging="360"/>
      </w:pPr>
      <w:rPr>
        <w:rFonts w:ascii="Book Antiqua" w:eastAsia="宋体" w:hAnsi="Book Antiqua"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9D5A89"/>
    <w:multiLevelType w:val="multilevel"/>
    <w:tmpl w:val="18A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239A0"/>
    <w:multiLevelType w:val="hybridMultilevel"/>
    <w:tmpl w:val="CA3A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C512B"/>
    <w:multiLevelType w:val="hybridMultilevel"/>
    <w:tmpl w:val="A0B26BFC"/>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3C64002B"/>
    <w:multiLevelType w:val="hybridMultilevel"/>
    <w:tmpl w:val="4726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06DB2"/>
    <w:multiLevelType w:val="hybridMultilevel"/>
    <w:tmpl w:val="359C3006"/>
    <w:lvl w:ilvl="0" w:tplc="B0D0AD8E">
      <w:start w:val="1"/>
      <w:numFmt w:val="bullet"/>
      <w:lvlText w:val="•"/>
      <w:lvlJc w:val="left"/>
      <w:pPr>
        <w:tabs>
          <w:tab w:val="num" w:pos="720"/>
        </w:tabs>
        <w:ind w:left="720" w:hanging="360"/>
      </w:pPr>
      <w:rPr>
        <w:rFonts w:ascii="Times New Roman" w:hAnsi="Times New Roman" w:hint="default"/>
      </w:rPr>
    </w:lvl>
    <w:lvl w:ilvl="1" w:tplc="D688CEB6">
      <w:start w:val="5606"/>
      <w:numFmt w:val="bullet"/>
      <w:lvlText w:val="•"/>
      <w:lvlJc w:val="left"/>
      <w:pPr>
        <w:tabs>
          <w:tab w:val="num" w:pos="1440"/>
        </w:tabs>
        <w:ind w:left="1440" w:hanging="360"/>
      </w:pPr>
      <w:rPr>
        <w:rFonts w:ascii="Times New Roman" w:hAnsi="Times New Roman" w:hint="default"/>
      </w:rPr>
    </w:lvl>
    <w:lvl w:ilvl="2" w:tplc="B7C8F57A">
      <w:start w:val="5606"/>
      <w:numFmt w:val="bullet"/>
      <w:lvlText w:val="•"/>
      <w:lvlJc w:val="left"/>
      <w:pPr>
        <w:tabs>
          <w:tab w:val="num" w:pos="2160"/>
        </w:tabs>
        <w:ind w:left="2160" w:hanging="360"/>
      </w:pPr>
      <w:rPr>
        <w:rFonts w:ascii="Times New Roman" w:hAnsi="Times New Roman" w:hint="default"/>
      </w:rPr>
    </w:lvl>
    <w:lvl w:ilvl="3" w:tplc="DD0A4E26">
      <w:start w:val="5606"/>
      <w:numFmt w:val="bullet"/>
      <w:lvlText w:val="•"/>
      <w:lvlJc w:val="left"/>
      <w:pPr>
        <w:tabs>
          <w:tab w:val="num" w:pos="2880"/>
        </w:tabs>
        <w:ind w:left="2880" w:hanging="360"/>
      </w:pPr>
      <w:rPr>
        <w:rFonts w:ascii="Times New Roman" w:hAnsi="Times New Roman" w:hint="default"/>
      </w:rPr>
    </w:lvl>
    <w:lvl w:ilvl="4" w:tplc="9BDCDD76" w:tentative="1">
      <w:start w:val="1"/>
      <w:numFmt w:val="bullet"/>
      <w:lvlText w:val="•"/>
      <w:lvlJc w:val="left"/>
      <w:pPr>
        <w:tabs>
          <w:tab w:val="num" w:pos="3600"/>
        </w:tabs>
        <w:ind w:left="3600" w:hanging="360"/>
      </w:pPr>
      <w:rPr>
        <w:rFonts w:ascii="Times New Roman" w:hAnsi="Times New Roman" w:hint="default"/>
      </w:rPr>
    </w:lvl>
    <w:lvl w:ilvl="5" w:tplc="AA889302" w:tentative="1">
      <w:start w:val="1"/>
      <w:numFmt w:val="bullet"/>
      <w:lvlText w:val="•"/>
      <w:lvlJc w:val="left"/>
      <w:pPr>
        <w:tabs>
          <w:tab w:val="num" w:pos="4320"/>
        </w:tabs>
        <w:ind w:left="4320" w:hanging="360"/>
      </w:pPr>
      <w:rPr>
        <w:rFonts w:ascii="Times New Roman" w:hAnsi="Times New Roman" w:hint="default"/>
      </w:rPr>
    </w:lvl>
    <w:lvl w:ilvl="6" w:tplc="273A1E26" w:tentative="1">
      <w:start w:val="1"/>
      <w:numFmt w:val="bullet"/>
      <w:lvlText w:val="•"/>
      <w:lvlJc w:val="left"/>
      <w:pPr>
        <w:tabs>
          <w:tab w:val="num" w:pos="5040"/>
        </w:tabs>
        <w:ind w:left="5040" w:hanging="360"/>
      </w:pPr>
      <w:rPr>
        <w:rFonts w:ascii="Times New Roman" w:hAnsi="Times New Roman" w:hint="default"/>
      </w:rPr>
    </w:lvl>
    <w:lvl w:ilvl="7" w:tplc="FD8EE0AA" w:tentative="1">
      <w:start w:val="1"/>
      <w:numFmt w:val="bullet"/>
      <w:lvlText w:val="•"/>
      <w:lvlJc w:val="left"/>
      <w:pPr>
        <w:tabs>
          <w:tab w:val="num" w:pos="5760"/>
        </w:tabs>
        <w:ind w:left="5760" w:hanging="360"/>
      </w:pPr>
      <w:rPr>
        <w:rFonts w:ascii="Times New Roman" w:hAnsi="Times New Roman" w:hint="default"/>
      </w:rPr>
    </w:lvl>
    <w:lvl w:ilvl="8" w:tplc="8E50405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C56EA5"/>
    <w:multiLevelType w:val="hybridMultilevel"/>
    <w:tmpl w:val="FAEE33DA"/>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75B209A3"/>
    <w:multiLevelType w:val="hybridMultilevel"/>
    <w:tmpl w:val="A7EE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tppew9ra20xa6e0vsnx2s5s05sxd2w0sesw&quot;&gt;infections review&lt;record-ids&gt;&lt;item&gt;552&lt;/item&gt;&lt;/record-ids&gt;&lt;/item&gt;&lt;/Libraries&gt;"/>
  </w:docVars>
  <w:rsids>
    <w:rsidRoot w:val="00D274E1"/>
    <w:rsid w:val="0000465A"/>
    <w:rsid w:val="00044519"/>
    <w:rsid w:val="00064006"/>
    <w:rsid w:val="000754FF"/>
    <w:rsid w:val="000A7233"/>
    <w:rsid w:val="000D5F97"/>
    <w:rsid w:val="000E64B6"/>
    <w:rsid w:val="00112B27"/>
    <w:rsid w:val="00135D6A"/>
    <w:rsid w:val="00136813"/>
    <w:rsid w:val="00187CED"/>
    <w:rsid w:val="001C3E4C"/>
    <w:rsid w:val="001F791E"/>
    <w:rsid w:val="00231A01"/>
    <w:rsid w:val="00281A2C"/>
    <w:rsid w:val="002A3E24"/>
    <w:rsid w:val="002A75A6"/>
    <w:rsid w:val="002C3569"/>
    <w:rsid w:val="002C4819"/>
    <w:rsid w:val="002D3ED4"/>
    <w:rsid w:val="002D6A94"/>
    <w:rsid w:val="002E391E"/>
    <w:rsid w:val="002E6684"/>
    <w:rsid w:val="002F4193"/>
    <w:rsid w:val="00300C03"/>
    <w:rsid w:val="00321CD8"/>
    <w:rsid w:val="003567FB"/>
    <w:rsid w:val="003778E1"/>
    <w:rsid w:val="003811B5"/>
    <w:rsid w:val="003B21AD"/>
    <w:rsid w:val="003D60B9"/>
    <w:rsid w:val="003D6DB7"/>
    <w:rsid w:val="00417CD6"/>
    <w:rsid w:val="0048554C"/>
    <w:rsid w:val="0049353C"/>
    <w:rsid w:val="004F6AD8"/>
    <w:rsid w:val="005024E2"/>
    <w:rsid w:val="005167DD"/>
    <w:rsid w:val="0052329A"/>
    <w:rsid w:val="00535058"/>
    <w:rsid w:val="005377BD"/>
    <w:rsid w:val="005545AF"/>
    <w:rsid w:val="005720EF"/>
    <w:rsid w:val="00572861"/>
    <w:rsid w:val="00594D8A"/>
    <w:rsid w:val="005A7B98"/>
    <w:rsid w:val="005B13CA"/>
    <w:rsid w:val="005C4D7D"/>
    <w:rsid w:val="005C7352"/>
    <w:rsid w:val="005E6895"/>
    <w:rsid w:val="005F07FD"/>
    <w:rsid w:val="0060177D"/>
    <w:rsid w:val="0061222E"/>
    <w:rsid w:val="006434EA"/>
    <w:rsid w:val="00651CA8"/>
    <w:rsid w:val="00661F40"/>
    <w:rsid w:val="00671A44"/>
    <w:rsid w:val="0067535E"/>
    <w:rsid w:val="006A1D2A"/>
    <w:rsid w:val="006E5E05"/>
    <w:rsid w:val="006F1382"/>
    <w:rsid w:val="00714C0B"/>
    <w:rsid w:val="00715384"/>
    <w:rsid w:val="00731F86"/>
    <w:rsid w:val="0074426A"/>
    <w:rsid w:val="0076288B"/>
    <w:rsid w:val="00763735"/>
    <w:rsid w:val="0078182B"/>
    <w:rsid w:val="007C7AB0"/>
    <w:rsid w:val="007E1B75"/>
    <w:rsid w:val="007F0568"/>
    <w:rsid w:val="00816551"/>
    <w:rsid w:val="00821B20"/>
    <w:rsid w:val="00832B99"/>
    <w:rsid w:val="008522B9"/>
    <w:rsid w:val="00866494"/>
    <w:rsid w:val="008903B4"/>
    <w:rsid w:val="00891826"/>
    <w:rsid w:val="008A4575"/>
    <w:rsid w:val="008F13A2"/>
    <w:rsid w:val="008F2EA2"/>
    <w:rsid w:val="00901EAF"/>
    <w:rsid w:val="00906FE8"/>
    <w:rsid w:val="009111D6"/>
    <w:rsid w:val="00913963"/>
    <w:rsid w:val="00916DAC"/>
    <w:rsid w:val="00922A3E"/>
    <w:rsid w:val="0092454E"/>
    <w:rsid w:val="00947030"/>
    <w:rsid w:val="0094737B"/>
    <w:rsid w:val="009513DE"/>
    <w:rsid w:val="0099239E"/>
    <w:rsid w:val="009A68B9"/>
    <w:rsid w:val="009B1B6D"/>
    <w:rsid w:val="009D2395"/>
    <w:rsid w:val="009E2039"/>
    <w:rsid w:val="009E33D8"/>
    <w:rsid w:val="009E593F"/>
    <w:rsid w:val="00A04AA4"/>
    <w:rsid w:val="00A06870"/>
    <w:rsid w:val="00A15E7E"/>
    <w:rsid w:val="00A2311B"/>
    <w:rsid w:val="00A24F28"/>
    <w:rsid w:val="00A308A3"/>
    <w:rsid w:val="00A37102"/>
    <w:rsid w:val="00A37829"/>
    <w:rsid w:val="00A41ED2"/>
    <w:rsid w:val="00A42C41"/>
    <w:rsid w:val="00A463CA"/>
    <w:rsid w:val="00A737D3"/>
    <w:rsid w:val="00A73D43"/>
    <w:rsid w:val="00AA42D3"/>
    <w:rsid w:val="00AB045E"/>
    <w:rsid w:val="00AC20B2"/>
    <w:rsid w:val="00AC67A3"/>
    <w:rsid w:val="00AF7A13"/>
    <w:rsid w:val="00B10FDD"/>
    <w:rsid w:val="00B17E95"/>
    <w:rsid w:val="00B3023A"/>
    <w:rsid w:val="00B343A9"/>
    <w:rsid w:val="00B465E2"/>
    <w:rsid w:val="00B55D4D"/>
    <w:rsid w:val="00B74150"/>
    <w:rsid w:val="00BC00CF"/>
    <w:rsid w:val="00BC3061"/>
    <w:rsid w:val="00BC39E9"/>
    <w:rsid w:val="00BE56B0"/>
    <w:rsid w:val="00BF3786"/>
    <w:rsid w:val="00C33E6D"/>
    <w:rsid w:val="00C4489C"/>
    <w:rsid w:val="00C566C5"/>
    <w:rsid w:val="00C66B4C"/>
    <w:rsid w:val="00C90CB4"/>
    <w:rsid w:val="00CA19AF"/>
    <w:rsid w:val="00CC6010"/>
    <w:rsid w:val="00CC7F2C"/>
    <w:rsid w:val="00CD3016"/>
    <w:rsid w:val="00CF38E7"/>
    <w:rsid w:val="00D01A2F"/>
    <w:rsid w:val="00D03859"/>
    <w:rsid w:val="00D03A20"/>
    <w:rsid w:val="00D274E1"/>
    <w:rsid w:val="00D34749"/>
    <w:rsid w:val="00D62AAD"/>
    <w:rsid w:val="00D665CD"/>
    <w:rsid w:val="00D80FDE"/>
    <w:rsid w:val="00D96FFE"/>
    <w:rsid w:val="00DE35C6"/>
    <w:rsid w:val="00DE6C05"/>
    <w:rsid w:val="00DF61D5"/>
    <w:rsid w:val="00E114A4"/>
    <w:rsid w:val="00E133A6"/>
    <w:rsid w:val="00E30FA7"/>
    <w:rsid w:val="00E40126"/>
    <w:rsid w:val="00E57B03"/>
    <w:rsid w:val="00E664E2"/>
    <w:rsid w:val="00E7225E"/>
    <w:rsid w:val="00EA037D"/>
    <w:rsid w:val="00EA3130"/>
    <w:rsid w:val="00EA463B"/>
    <w:rsid w:val="00EB6625"/>
    <w:rsid w:val="00EC2507"/>
    <w:rsid w:val="00ED5127"/>
    <w:rsid w:val="00EE5DDF"/>
    <w:rsid w:val="00EF1FD9"/>
    <w:rsid w:val="00EF2E7A"/>
    <w:rsid w:val="00F009D8"/>
    <w:rsid w:val="00F06EAD"/>
    <w:rsid w:val="00F22741"/>
    <w:rsid w:val="00F3446D"/>
    <w:rsid w:val="00F60B4D"/>
    <w:rsid w:val="00F73165"/>
    <w:rsid w:val="00F97510"/>
    <w:rsid w:val="00FA7043"/>
    <w:rsid w:val="00FB6142"/>
    <w:rsid w:val="00FC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1"/>
    <w:pPr>
      <w:spacing w:after="200" w:line="276" w:lineRule="auto"/>
    </w:pPr>
    <w:rPr>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274E1"/>
    <w:rPr>
      <w:rFonts w:cs="Times New Roman"/>
      <w:color w:val="0000FF"/>
      <w:u w:val="single"/>
    </w:rPr>
  </w:style>
  <w:style w:type="table" w:styleId="a4">
    <w:name w:val="Table Grid"/>
    <w:basedOn w:val="a1"/>
    <w:uiPriority w:val="99"/>
    <w:rsid w:val="00D274E1"/>
    <w:rPr>
      <w:kern w:val="0"/>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uiPriority w:val="99"/>
    <w:rsid w:val="00D274E1"/>
    <w:pPr>
      <w:spacing w:after="0"/>
      <w:jc w:val="center"/>
    </w:pPr>
    <w:rPr>
      <w:rFonts w:cs="Times New Roman"/>
      <w:noProof/>
      <w:sz w:val="20"/>
      <w:szCs w:val="20"/>
      <w:lang w:eastAsia="ko-KR"/>
    </w:rPr>
  </w:style>
  <w:style w:type="character" w:customStyle="1" w:styleId="EndNoteBibliographyTitleChar">
    <w:name w:val="EndNote Bibliography Title Char"/>
    <w:link w:val="EndNoteBibliographyTitle"/>
    <w:uiPriority w:val="99"/>
    <w:locked/>
    <w:rsid w:val="00D274E1"/>
    <w:rPr>
      <w:rFonts w:ascii="Calibri" w:hAnsi="Calibri"/>
      <w:noProof/>
      <w:sz w:val="20"/>
      <w:lang w:val="en-US" w:eastAsia="ko-KR"/>
    </w:rPr>
  </w:style>
  <w:style w:type="paragraph" w:customStyle="1" w:styleId="EndNoteBibliography">
    <w:name w:val="EndNote Bibliography"/>
    <w:basedOn w:val="a"/>
    <w:link w:val="EndNoteBibliographyChar"/>
    <w:uiPriority w:val="99"/>
    <w:rsid w:val="00D274E1"/>
    <w:pPr>
      <w:spacing w:line="240" w:lineRule="auto"/>
    </w:pPr>
    <w:rPr>
      <w:rFonts w:cs="Times New Roman"/>
      <w:noProof/>
      <w:sz w:val="20"/>
      <w:szCs w:val="20"/>
      <w:lang w:eastAsia="ko-KR"/>
    </w:rPr>
  </w:style>
  <w:style w:type="character" w:customStyle="1" w:styleId="EndNoteBibliographyChar">
    <w:name w:val="EndNote Bibliography Char"/>
    <w:link w:val="EndNoteBibliography"/>
    <w:uiPriority w:val="99"/>
    <w:locked/>
    <w:rsid w:val="00D274E1"/>
    <w:rPr>
      <w:rFonts w:ascii="Calibri" w:hAnsi="Calibri"/>
      <w:noProof/>
      <w:sz w:val="20"/>
      <w:lang w:val="en-US" w:eastAsia="ko-KR"/>
    </w:rPr>
  </w:style>
  <w:style w:type="character" w:styleId="a5">
    <w:name w:val="annotation reference"/>
    <w:basedOn w:val="a0"/>
    <w:uiPriority w:val="99"/>
    <w:semiHidden/>
    <w:rsid w:val="00D274E1"/>
    <w:rPr>
      <w:rFonts w:cs="Times New Roman"/>
      <w:sz w:val="16"/>
    </w:rPr>
  </w:style>
  <w:style w:type="paragraph" w:styleId="a6">
    <w:name w:val="annotation text"/>
    <w:basedOn w:val="a"/>
    <w:link w:val="Char"/>
    <w:uiPriority w:val="99"/>
    <w:semiHidden/>
    <w:rsid w:val="00D274E1"/>
    <w:pPr>
      <w:spacing w:line="240" w:lineRule="auto"/>
    </w:pPr>
    <w:rPr>
      <w:rFonts w:cs="Times New Roman"/>
      <w:sz w:val="20"/>
      <w:szCs w:val="20"/>
      <w:lang w:eastAsia="ja-JP"/>
    </w:rPr>
  </w:style>
  <w:style w:type="character" w:customStyle="1" w:styleId="Char">
    <w:name w:val="批注文字 Char"/>
    <w:basedOn w:val="a0"/>
    <w:link w:val="a6"/>
    <w:uiPriority w:val="99"/>
    <w:semiHidden/>
    <w:locked/>
    <w:rsid w:val="00D274E1"/>
    <w:rPr>
      <w:rFonts w:ascii="Calibri" w:eastAsia="宋体" w:hAnsi="Calibri" w:cs="Times New Roman"/>
      <w:sz w:val="20"/>
      <w:szCs w:val="20"/>
      <w:lang w:val="en-US" w:eastAsia="ja-JP" w:bidi="he-IL"/>
    </w:rPr>
  </w:style>
  <w:style w:type="paragraph" w:styleId="a7">
    <w:name w:val="annotation subject"/>
    <w:basedOn w:val="a6"/>
    <w:next w:val="a6"/>
    <w:link w:val="Char0"/>
    <w:uiPriority w:val="99"/>
    <w:semiHidden/>
    <w:rsid w:val="00D274E1"/>
    <w:rPr>
      <w:b/>
    </w:rPr>
  </w:style>
  <w:style w:type="character" w:customStyle="1" w:styleId="Char0">
    <w:name w:val="批注主题 Char"/>
    <w:basedOn w:val="Char"/>
    <w:link w:val="a7"/>
    <w:uiPriority w:val="99"/>
    <w:semiHidden/>
    <w:locked/>
    <w:rsid w:val="00D274E1"/>
    <w:rPr>
      <w:rFonts w:ascii="Calibri" w:eastAsia="宋体" w:hAnsi="Calibri" w:cs="Times New Roman"/>
      <w:b/>
      <w:sz w:val="20"/>
      <w:szCs w:val="20"/>
      <w:lang w:val="en-US" w:eastAsia="ja-JP" w:bidi="he-IL"/>
    </w:rPr>
  </w:style>
  <w:style w:type="paragraph" w:styleId="a8">
    <w:name w:val="Balloon Text"/>
    <w:basedOn w:val="a"/>
    <w:link w:val="Char1"/>
    <w:uiPriority w:val="99"/>
    <w:semiHidden/>
    <w:rsid w:val="00D274E1"/>
    <w:pPr>
      <w:spacing w:after="0" w:line="240" w:lineRule="auto"/>
    </w:pPr>
    <w:rPr>
      <w:rFonts w:ascii="Tahoma" w:hAnsi="Tahoma" w:cs="Times New Roman"/>
      <w:sz w:val="16"/>
      <w:szCs w:val="20"/>
      <w:lang w:eastAsia="ja-JP"/>
    </w:rPr>
  </w:style>
  <w:style w:type="character" w:customStyle="1" w:styleId="Char1">
    <w:name w:val="批注框文本 Char"/>
    <w:basedOn w:val="a0"/>
    <w:link w:val="a8"/>
    <w:uiPriority w:val="99"/>
    <w:semiHidden/>
    <w:locked/>
    <w:rsid w:val="00D274E1"/>
    <w:rPr>
      <w:rFonts w:ascii="Tahoma" w:eastAsia="宋体" w:hAnsi="Tahoma" w:cs="Times New Roman"/>
      <w:sz w:val="20"/>
      <w:szCs w:val="20"/>
      <w:lang w:val="en-US" w:eastAsia="ja-JP" w:bidi="he-IL"/>
    </w:rPr>
  </w:style>
  <w:style w:type="paragraph" w:styleId="a9">
    <w:name w:val="List Paragraph"/>
    <w:basedOn w:val="a"/>
    <w:uiPriority w:val="99"/>
    <w:qFormat/>
    <w:rsid w:val="00D274E1"/>
    <w:pPr>
      <w:ind w:left="720"/>
      <w:contextualSpacing/>
    </w:pPr>
  </w:style>
  <w:style w:type="paragraph" w:styleId="aa">
    <w:name w:val="header"/>
    <w:basedOn w:val="a"/>
    <w:link w:val="Char2"/>
    <w:uiPriority w:val="99"/>
    <w:rsid w:val="00916D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locked/>
    <w:rsid w:val="00916DAC"/>
    <w:rPr>
      <w:rFonts w:ascii="Calibri" w:hAnsi="Calibri" w:cs="Arial"/>
      <w:sz w:val="18"/>
      <w:szCs w:val="18"/>
      <w:lang w:val="en-US" w:bidi="he-IL"/>
    </w:rPr>
  </w:style>
  <w:style w:type="paragraph" w:styleId="ab">
    <w:name w:val="footer"/>
    <w:basedOn w:val="a"/>
    <w:link w:val="Char3"/>
    <w:uiPriority w:val="99"/>
    <w:rsid w:val="00916DAC"/>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locked/>
    <w:rsid w:val="00916DAC"/>
    <w:rPr>
      <w:rFonts w:ascii="Calibri" w:hAnsi="Calibri" w:cs="Arial"/>
      <w:sz w:val="18"/>
      <w:szCs w:val="18"/>
      <w:lang w:val="en-US" w:bidi="he-IL"/>
    </w:rPr>
  </w:style>
  <w:style w:type="paragraph" w:styleId="ac">
    <w:name w:val="Revision"/>
    <w:hidden/>
    <w:uiPriority w:val="99"/>
    <w:semiHidden/>
    <w:rsid w:val="00135D6A"/>
    <w:rPr>
      <w:kern w:val="0"/>
      <w:sz w:val="2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1"/>
    <w:pPr>
      <w:spacing w:after="200" w:line="276" w:lineRule="auto"/>
    </w:pPr>
    <w:rPr>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274E1"/>
    <w:rPr>
      <w:rFonts w:cs="Times New Roman"/>
      <w:color w:val="0000FF"/>
      <w:u w:val="single"/>
    </w:rPr>
  </w:style>
  <w:style w:type="table" w:styleId="a4">
    <w:name w:val="Table Grid"/>
    <w:basedOn w:val="a1"/>
    <w:uiPriority w:val="99"/>
    <w:rsid w:val="00D274E1"/>
    <w:rPr>
      <w:kern w:val="0"/>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uiPriority w:val="99"/>
    <w:rsid w:val="00D274E1"/>
    <w:pPr>
      <w:spacing w:after="0"/>
      <w:jc w:val="center"/>
    </w:pPr>
    <w:rPr>
      <w:rFonts w:cs="Times New Roman"/>
      <w:noProof/>
      <w:sz w:val="20"/>
      <w:szCs w:val="20"/>
      <w:lang w:eastAsia="ko-KR"/>
    </w:rPr>
  </w:style>
  <w:style w:type="character" w:customStyle="1" w:styleId="EndNoteBibliographyTitleChar">
    <w:name w:val="EndNote Bibliography Title Char"/>
    <w:link w:val="EndNoteBibliographyTitle"/>
    <w:uiPriority w:val="99"/>
    <w:locked/>
    <w:rsid w:val="00D274E1"/>
    <w:rPr>
      <w:rFonts w:ascii="Calibri" w:hAnsi="Calibri"/>
      <w:noProof/>
      <w:sz w:val="20"/>
      <w:lang w:val="en-US" w:eastAsia="ko-KR"/>
    </w:rPr>
  </w:style>
  <w:style w:type="paragraph" w:customStyle="1" w:styleId="EndNoteBibliography">
    <w:name w:val="EndNote Bibliography"/>
    <w:basedOn w:val="a"/>
    <w:link w:val="EndNoteBibliographyChar"/>
    <w:uiPriority w:val="99"/>
    <w:rsid w:val="00D274E1"/>
    <w:pPr>
      <w:spacing w:line="240" w:lineRule="auto"/>
    </w:pPr>
    <w:rPr>
      <w:rFonts w:cs="Times New Roman"/>
      <w:noProof/>
      <w:sz w:val="20"/>
      <w:szCs w:val="20"/>
      <w:lang w:eastAsia="ko-KR"/>
    </w:rPr>
  </w:style>
  <w:style w:type="character" w:customStyle="1" w:styleId="EndNoteBibliographyChar">
    <w:name w:val="EndNote Bibliography Char"/>
    <w:link w:val="EndNoteBibliography"/>
    <w:uiPriority w:val="99"/>
    <w:locked/>
    <w:rsid w:val="00D274E1"/>
    <w:rPr>
      <w:rFonts w:ascii="Calibri" w:hAnsi="Calibri"/>
      <w:noProof/>
      <w:sz w:val="20"/>
      <w:lang w:val="en-US" w:eastAsia="ko-KR"/>
    </w:rPr>
  </w:style>
  <w:style w:type="character" w:styleId="a5">
    <w:name w:val="annotation reference"/>
    <w:basedOn w:val="a0"/>
    <w:uiPriority w:val="99"/>
    <w:semiHidden/>
    <w:rsid w:val="00D274E1"/>
    <w:rPr>
      <w:rFonts w:cs="Times New Roman"/>
      <w:sz w:val="16"/>
    </w:rPr>
  </w:style>
  <w:style w:type="paragraph" w:styleId="a6">
    <w:name w:val="annotation text"/>
    <w:basedOn w:val="a"/>
    <w:link w:val="Char"/>
    <w:uiPriority w:val="99"/>
    <w:semiHidden/>
    <w:rsid w:val="00D274E1"/>
    <w:pPr>
      <w:spacing w:line="240" w:lineRule="auto"/>
    </w:pPr>
    <w:rPr>
      <w:rFonts w:cs="Times New Roman"/>
      <w:sz w:val="20"/>
      <w:szCs w:val="20"/>
      <w:lang w:eastAsia="ja-JP"/>
    </w:rPr>
  </w:style>
  <w:style w:type="character" w:customStyle="1" w:styleId="Char">
    <w:name w:val="批注文字 Char"/>
    <w:basedOn w:val="a0"/>
    <w:link w:val="a6"/>
    <w:uiPriority w:val="99"/>
    <w:semiHidden/>
    <w:locked/>
    <w:rsid w:val="00D274E1"/>
    <w:rPr>
      <w:rFonts w:ascii="Calibri" w:eastAsia="宋体" w:hAnsi="Calibri" w:cs="Times New Roman"/>
      <w:sz w:val="20"/>
      <w:szCs w:val="20"/>
      <w:lang w:val="en-US" w:eastAsia="ja-JP" w:bidi="he-IL"/>
    </w:rPr>
  </w:style>
  <w:style w:type="paragraph" w:styleId="a7">
    <w:name w:val="annotation subject"/>
    <w:basedOn w:val="a6"/>
    <w:next w:val="a6"/>
    <w:link w:val="Char0"/>
    <w:uiPriority w:val="99"/>
    <w:semiHidden/>
    <w:rsid w:val="00D274E1"/>
    <w:rPr>
      <w:b/>
    </w:rPr>
  </w:style>
  <w:style w:type="character" w:customStyle="1" w:styleId="Char0">
    <w:name w:val="批注主题 Char"/>
    <w:basedOn w:val="Char"/>
    <w:link w:val="a7"/>
    <w:uiPriority w:val="99"/>
    <w:semiHidden/>
    <w:locked/>
    <w:rsid w:val="00D274E1"/>
    <w:rPr>
      <w:rFonts w:ascii="Calibri" w:eastAsia="宋体" w:hAnsi="Calibri" w:cs="Times New Roman"/>
      <w:b/>
      <w:sz w:val="20"/>
      <w:szCs w:val="20"/>
      <w:lang w:val="en-US" w:eastAsia="ja-JP" w:bidi="he-IL"/>
    </w:rPr>
  </w:style>
  <w:style w:type="paragraph" w:styleId="a8">
    <w:name w:val="Balloon Text"/>
    <w:basedOn w:val="a"/>
    <w:link w:val="Char1"/>
    <w:uiPriority w:val="99"/>
    <w:semiHidden/>
    <w:rsid w:val="00D274E1"/>
    <w:pPr>
      <w:spacing w:after="0" w:line="240" w:lineRule="auto"/>
    </w:pPr>
    <w:rPr>
      <w:rFonts w:ascii="Tahoma" w:hAnsi="Tahoma" w:cs="Times New Roman"/>
      <w:sz w:val="16"/>
      <w:szCs w:val="20"/>
      <w:lang w:eastAsia="ja-JP"/>
    </w:rPr>
  </w:style>
  <w:style w:type="character" w:customStyle="1" w:styleId="Char1">
    <w:name w:val="批注框文本 Char"/>
    <w:basedOn w:val="a0"/>
    <w:link w:val="a8"/>
    <w:uiPriority w:val="99"/>
    <w:semiHidden/>
    <w:locked/>
    <w:rsid w:val="00D274E1"/>
    <w:rPr>
      <w:rFonts w:ascii="Tahoma" w:eastAsia="宋体" w:hAnsi="Tahoma" w:cs="Times New Roman"/>
      <w:sz w:val="20"/>
      <w:szCs w:val="20"/>
      <w:lang w:val="en-US" w:eastAsia="ja-JP" w:bidi="he-IL"/>
    </w:rPr>
  </w:style>
  <w:style w:type="paragraph" w:styleId="a9">
    <w:name w:val="List Paragraph"/>
    <w:basedOn w:val="a"/>
    <w:uiPriority w:val="99"/>
    <w:qFormat/>
    <w:rsid w:val="00D274E1"/>
    <w:pPr>
      <w:ind w:left="720"/>
      <w:contextualSpacing/>
    </w:pPr>
  </w:style>
  <w:style w:type="paragraph" w:styleId="aa">
    <w:name w:val="header"/>
    <w:basedOn w:val="a"/>
    <w:link w:val="Char2"/>
    <w:uiPriority w:val="99"/>
    <w:rsid w:val="00916D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locked/>
    <w:rsid w:val="00916DAC"/>
    <w:rPr>
      <w:rFonts w:ascii="Calibri" w:hAnsi="Calibri" w:cs="Arial"/>
      <w:sz w:val="18"/>
      <w:szCs w:val="18"/>
      <w:lang w:val="en-US" w:bidi="he-IL"/>
    </w:rPr>
  </w:style>
  <w:style w:type="paragraph" w:styleId="ab">
    <w:name w:val="footer"/>
    <w:basedOn w:val="a"/>
    <w:link w:val="Char3"/>
    <w:uiPriority w:val="99"/>
    <w:rsid w:val="00916DAC"/>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locked/>
    <w:rsid w:val="00916DAC"/>
    <w:rPr>
      <w:rFonts w:ascii="Calibri" w:hAnsi="Calibri" w:cs="Arial"/>
      <w:sz w:val="18"/>
      <w:szCs w:val="18"/>
      <w:lang w:val="en-US" w:bidi="he-IL"/>
    </w:rPr>
  </w:style>
  <w:style w:type="paragraph" w:styleId="ac">
    <w:name w:val="Revision"/>
    <w:hidden/>
    <w:uiPriority w:val="99"/>
    <w:semiHidden/>
    <w:rsid w:val="00135D6A"/>
    <w:rPr>
      <w:kern w:val="0"/>
      <w:sz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6113">
      <w:marLeft w:val="0"/>
      <w:marRight w:val="0"/>
      <w:marTop w:val="0"/>
      <w:marBottom w:val="0"/>
      <w:divBdr>
        <w:top w:val="none" w:sz="0" w:space="0" w:color="auto"/>
        <w:left w:val="none" w:sz="0" w:space="0" w:color="auto"/>
        <w:bottom w:val="none" w:sz="0" w:space="0" w:color="auto"/>
        <w:right w:val="none" w:sz="0" w:space="0" w:color="auto"/>
      </w:divBdr>
    </w:div>
    <w:div w:id="1082416116">
      <w:marLeft w:val="0"/>
      <w:marRight w:val="0"/>
      <w:marTop w:val="0"/>
      <w:marBottom w:val="0"/>
      <w:divBdr>
        <w:top w:val="none" w:sz="0" w:space="0" w:color="auto"/>
        <w:left w:val="none" w:sz="0" w:space="0" w:color="auto"/>
        <w:bottom w:val="none" w:sz="0" w:space="0" w:color="auto"/>
        <w:right w:val="none" w:sz="0" w:space="0" w:color="auto"/>
      </w:divBdr>
    </w:div>
    <w:div w:id="1082416118">
      <w:marLeft w:val="0"/>
      <w:marRight w:val="0"/>
      <w:marTop w:val="0"/>
      <w:marBottom w:val="0"/>
      <w:divBdr>
        <w:top w:val="none" w:sz="0" w:space="0" w:color="auto"/>
        <w:left w:val="none" w:sz="0" w:space="0" w:color="auto"/>
        <w:bottom w:val="none" w:sz="0" w:space="0" w:color="auto"/>
        <w:right w:val="none" w:sz="0" w:space="0" w:color="auto"/>
      </w:divBdr>
    </w:div>
    <w:div w:id="1082416121">
      <w:marLeft w:val="0"/>
      <w:marRight w:val="0"/>
      <w:marTop w:val="0"/>
      <w:marBottom w:val="0"/>
      <w:divBdr>
        <w:top w:val="none" w:sz="0" w:space="0" w:color="auto"/>
        <w:left w:val="none" w:sz="0" w:space="0" w:color="auto"/>
        <w:bottom w:val="none" w:sz="0" w:space="0" w:color="auto"/>
        <w:right w:val="none" w:sz="0" w:space="0" w:color="auto"/>
      </w:divBdr>
    </w:div>
    <w:div w:id="1082416122">
      <w:marLeft w:val="0"/>
      <w:marRight w:val="0"/>
      <w:marTop w:val="0"/>
      <w:marBottom w:val="0"/>
      <w:divBdr>
        <w:top w:val="none" w:sz="0" w:space="0" w:color="auto"/>
        <w:left w:val="none" w:sz="0" w:space="0" w:color="auto"/>
        <w:bottom w:val="none" w:sz="0" w:space="0" w:color="auto"/>
        <w:right w:val="none" w:sz="0" w:space="0" w:color="auto"/>
      </w:divBdr>
    </w:div>
    <w:div w:id="1082416124">
      <w:marLeft w:val="0"/>
      <w:marRight w:val="0"/>
      <w:marTop w:val="0"/>
      <w:marBottom w:val="0"/>
      <w:divBdr>
        <w:top w:val="none" w:sz="0" w:space="0" w:color="auto"/>
        <w:left w:val="none" w:sz="0" w:space="0" w:color="auto"/>
        <w:bottom w:val="none" w:sz="0" w:space="0" w:color="auto"/>
        <w:right w:val="none" w:sz="0" w:space="0" w:color="auto"/>
      </w:divBdr>
    </w:div>
    <w:div w:id="1082416126">
      <w:marLeft w:val="0"/>
      <w:marRight w:val="0"/>
      <w:marTop w:val="0"/>
      <w:marBottom w:val="0"/>
      <w:divBdr>
        <w:top w:val="none" w:sz="0" w:space="0" w:color="auto"/>
        <w:left w:val="none" w:sz="0" w:space="0" w:color="auto"/>
        <w:bottom w:val="none" w:sz="0" w:space="0" w:color="auto"/>
        <w:right w:val="none" w:sz="0" w:space="0" w:color="auto"/>
      </w:divBdr>
      <w:divsChild>
        <w:div w:id="1082416109">
          <w:marLeft w:val="2520"/>
          <w:marRight w:val="0"/>
          <w:marTop w:val="0"/>
          <w:marBottom w:val="0"/>
          <w:divBdr>
            <w:top w:val="none" w:sz="0" w:space="0" w:color="auto"/>
            <w:left w:val="none" w:sz="0" w:space="0" w:color="auto"/>
            <w:bottom w:val="none" w:sz="0" w:space="0" w:color="auto"/>
            <w:right w:val="none" w:sz="0" w:space="0" w:color="auto"/>
          </w:divBdr>
        </w:div>
        <w:div w:id="1082416110">
          <w:marLeft w:val="1166"/>
          <w:marRight w:val="0"/>
          <w:marTop w:val="0"/>
          <w:marBottom w:val="0"/>
          <w:divBdr>
            <w:top w:val="none" w:sz="0" w:space="0" w:color="auto"/>
            <w:left w:val="none" w:sz="0" w:space="0" w:color="auto"/>
            <w:bottom w:val="none" w:sz="0" w:space="0" w:color="auto"/>
            <w:right w:val="none" w:sz="0" w:space="0" w:color="auto"/>
          </w:divBdr>
        </w:div>
        <w:div w:id="1082416111">
          <w:marLeft w:val="547"/>
          <w:marRight w:val="0"/>
          <w:marTop w:val="0"/>
          <w:marBottom w:val="0"/>
          <w:divBdr>
            <w:top w:val="none" w:sz="0" w:space="0" w:color="auto"/>
            <w:left w:val="none" w:sz="0" w:space="0" w:color="auto"/>
            <w:bottom w:val="none" w:sz="0" w:space="0" w:color="auto"/>
            <w:right w:val="none" w:sz="0" w:space="0" w:color="auto"/>
          </w:divBdr>
        </w:div>
        <w:div w:id="1082416112">
          <w:marLeft w:val="1166"/>
          <w:marRight w:val="0"/>
          <w:marTop w:val="0"/>
          <w:marBottom w:val="0"/>
          <w:divBdr>
            <w:top w:val="none" w:sz="0" w:space="0" w:color="auto"/>
            <w:left w:val="none" w:sz="0" w:space="0" w:color="auto"/>
            <w:bottom w:val="none" w:sz="0" w:space="0" w:color="auto"/>
            <w:right w:val="none" w:sz="0" w:space="0" w:color="auto"/>
          </w:divBdr>
        </w:div>
        <w:div w:id="1082416114">
          <w:marLeft w:val="1166"/>
          <w:marRight w:val="0"/>
          <w:marTop w:val="0"/>
          <w:marBottom w:val="0"/>
          <w:divBdr>
            <w:top w:val="none" w:sz="0" w:space="0" w:color="auto"/>
            <w:left w:val="none" w:sz="0" w:space="0" w:color="auto"/>
            <w:bottom w:val="none" w:sz="0" w:space="0" w:color="auto"/>
            <w:right w:val="none" w:sz="0" w:space="0" w:color="auto"/>
          </w:divBdr>
        </w:div>
        <w:div w:id="1082416115">
          <w:marLeft w:val="1800"/>
          <w:marRight w:val="0"/>
          <w:marTop w:val="0"/>
          <w:marBottom w:val="0"/>
          <w:divBdr>
            <w:top w:val="none" w:sz="0" w:space="0" w:color="auto"/>
            <w:left w:val="none" w:sz="0" w:space="0" w:color="auto"/>
            <w:bottom w:val="none" w:sz="0" w:space="0" w:color="auto"/>
            <w:right w:val="none" w:sz="0" w:space="0" w:color="auto"/>
          </w:divBdr>
        </w:div>
        <w:div w:id="1082416117">
          <w:marLeft w:val="1166"/>
          <w:marRight w:val="0"/>
          <w:marTop w:val="0"/>
          <w:marBottom w:val="0"/>
          <w:divBdr>
            <w:top w:val="none" w:sz="0" w:space="0" w:color="auto"/>
            <w:left w:val="none" w:sz="0" w:space="0" w:color="auto"/>
            <w:bottom w:val="none" w:sz="0" w:space="0" w:color="auto"/>
            <w:right w:val="none" w:sz="0" w:space="0" w:color="auto"/>
          </w:divBdr>
        </w:div>
        <w:div w:id="1082416119">
          <w:marLeft w:val="1800"/>
          <w:marRight w:val="0"/>
          <w:marTop w:val="0"/>
          <w:marBottom w:val="0"/>
          <w:divBdr>
            <w:top w:val="none" w:sz="0" w:space="0" w:color="auto"/>
            <w:left w:val="none" w:sz="0" w:space="0" w:color="auto"/>
            <w:bottom w:val="none" w:sz="0" w:space="0" w:color="auto"/>
            <w:right w:val="none" w:sz="0" w:space="0" w:color="auto"/>
          </w:divBdr>
        </w:div>
        <w:div w:id="1082416120">
          <w:marLeft w:val="2520"/>
          <w:marRight w:val="0"/>
          <w:marTop w:val="0"/>
          <w:marBottom w:val="0"/>
          <w:divBdr>
            <w:top w:val="none" w:sz="0" w:space="0" w:color="auto"/>
            <w:left w:val="none" w:sz="0" w:space="0" w:color="auto"/>
            <w:bottom w:val="none" w:sz="0" w:space="0" w:color="auto"/>
            <w:right w:val="none" w:sz="0" w:space="0" w:color="auto"/>
          </w:divBdr>
        </w:div>
        <w:div w:id="1082416123">
          <w:marLeft w:val="2520"/>
          <w:marRight w:val="0"/>
          <w:marTop w:val="0"/>
          <w:marBottom w:val="0"/>
          <w:divBdr>
            <w:top w:val="none" w:sz="0" w:space="0" w:color="auto"/>
            <w:left w:val="none" w:sz="0" w:space="0" w:color="auto"/>
            <w:bottom w:val="none" w:sz="0" w:space="0" w:color="auto"/>
            <w:right w:val="none" w:sz="0" w:space="0" w:color="auto"/>
          </w:divBdr>
        </w:div>
        <w:div w:id="1082416125">
          <w:marLeft w:val="1800"/>
          <w:marRight w:val="0"/>
          <w:marTop w:val="0"/>
          <w:marBottom w:val="0"/>
          <w:divBdr>
            <w:top w:val="none" w:sz="0" w:space="0" w:color="auto"/>
            <w:left w:val="none" w:sz="0" w:space="0" w:color="auto"/>
            <w:bottom w:val="none" w:sz="0" w:space="0" w:color="auto"/>
            <w:right w:val="none" w:sz="0" w:space="0" w:color="auto"/>
          </w:divBdr>
        </w:div>
      </w:divsChild>
    </w:div>
    <w:div w:id="1082416127">
      <w:marLeft w:val="0"/>
      <w:marRight w:val="0"/>
      <w:marTop w:val="0"/>
      <w:marBottom w:val="0"/>
      <w:divBdr>
        <w:top w:val="none" w:sz="0" w:space="0" w:color="auto"/>
        <w:left w:val="none" w:sz="0" w:space="0" w:color="auto"/>
        <w:bottom w:val="none" w:sz="0" w:space="0" w:color="auto"/>
        <w:right w:val="none" w:sz="0" w:space="0" w:color="auto"/>
      </w:divBdr>
    </w:div>
    <w:div w:id="1082416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14-934-8321"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982B21-6D80-4268-8661-B57A097F449A}" type="doc">
      <dgm:prSet loTypeId="urn:microsoft.com/office/officeart/2005/8/layout/orgChart1" loCatId="hierarchy" qsTypeId="urn:microsoft.com/office/officeart/2005/8/quickstyle/simple1#1" qsCatId="simple" csTypeId="urn:microsoft.com/office/officeart/2005/8/colors/accent0_1" csCatId="mainScheme" phldr="1"/>
      <dgm:spPr/>
      <dgm:t>
        <a:bodyPr/>
        <a:lstStyle/>
        <a:p>
          <a:endParaRPr lang="en-CA"/>
        </a:p>
      </dgm:t>
    </dgm:pt>
    <dgm:pt modelId="{27BCBAFF-6EED-4896-AC09-33AD0756F19E}">
      <dgm:prSet phldrT="[Text]" custT="1"/>
      <dgm:spPr/>
      <dgm:t>
        <a:bodyPr/>
        <a:lstStyle/>
        <a:p>
          <a:r>
            <a:rPr lang="en-CA" sz="1000" baseline="0">
              <a:latin typeface="Book Antiqua" pitchFamily="18" charset="0"/>
            </a:rPr>
            <a:t>UC patient hospitalized for exacerbation</a:t>
          </a:r>
        </a:p>
      </dgm:t>
    </dgm:pt>
    <dgm:pt modelId="{13EECAB9-8EBF-4F3A-992A-5057BEBC25A8}" type="parTrans" cxnId="{17620570-25F2-4F13-B329-7C5981D684F8}">
      <dgm:prSet/>
      <dgm:spPr/>
      <dgm:t>
        <a:bodyPr/>
        <a:lstStyle/>
        <a:p>
          <a:endParaRPr lang="en-CA"/>
        </a:p>
      </dgm:t>
    </dgm:pt>
    <dgm:pt modelId="{9C158FE6-FEF2-4D9D-9A55-736B88561E3B}" type="sibTrans" cxnId="{17620570-25F2-4F13-B329-7C5981D684F8}">
      <dgm:prSet/>
      <dgm:spPr/>
      <dgm:t>
        <a:bodyPr/>
        <a:lstStyle/>
        <a:p>
          <a:endParaRPr lang="en-CA"/>
        </a:p>
      </dgm:t>
    </dgm:pt>
    <dgm:pt modelId="{2AB57615-1B32-4756-B834-A5152990D5B2}" type="asst">
      <dgm:prSet phldrT="[Text]" custT="1"/>
      <dgm:spPr/>
      <dgm:t>
        <a:bodyPr/>
        <a:lstStyle/>
        <a:p>
          <a:r>
            <a:rPr lang="en-CA" sz="1000" baseline="0">
              <a:latin typeface="Book Antiqua" pitchFamily="18" charset="0"/>
            </a:rPr>
            <a:t>Initiate anti-inflammatory treatment</a:t>
          </a:r>
        </a:p>
      </dgm:t>
    </dgm:pt>
    <dgm:pt modelId="{63FBFACE-0069-42D5-8521-A203F38AFB2A}" type="parTrans" cxnId="{B4EE9C4C-892D-43D6-9E1A-14E183D6C2BD}">
      <dgm:prSet/>
      <dgm:spPr/>
      <dgm:t>
        <a:bodyPr/>
        <a:lstStyle/>
        <a:p>
          <a:endParaRPr lang="en-CA" sz="1000" baseline="0">
            <a:latin typeface="Book Antiqua" pitchFamily="18" charset="0"/>
          </a:endParaRPr>
        </a:p>
      </dgm:t>
    </dgm:pt>
    <dgm:pt modelId="{1C4615A3-1614-46A1-BFA2-725E4BDFDF06}" type="sibTrans" cxnId="{B4EE9C4C-892D-43D6-9E1A-14E183D6C2BD}">
      <dgm:prSet/>
      <dgm:spPr/>
      <dgm:t>
        <a:bodyPr/>
        <a:lstStyle/>
        <a:p>
          <a:endParaRPr lang="en-CA"/>
        </a:p>
      </dgm:t>
    </dgm:pt>
    <dgm:pt modelId="{3E521ADB-129C-4252-9F37-7C3094BE0C8D}">
      <dgm:prSet phldrT="[Text]" custT="1"/>
      <dgm:spPr/>
      <dgm:t>
        <a:bodyPr/>
        <a:lstStyle/>
        <a:p>
          <a:r>
            <a:rPr lang="en-CA" sz="1000" baseline="0">
              <a:latin typeface="Book Antiqua" pitchFamily="18" charset="0"/>
            </a:rPr>
            <a:t>Negative for CMV</a:t>
          </a:r>
        </a:p>
      </dgm:t>
    </dgm:pt>
    <dgm:pt modelId="{413AD0C5-CB4E-4A65-BA41-134B4A989285}" type="parTrans" cxnId="{42EFDA49-41E4-48C0-95B5-692B9A2EDF2D}">
      <dgm:prSet/>
      <dgm:spPr/>
      <dgm:t>
        <a:bodyPr/>
        <a:lstStyle/>
        <a:p>
          <a:endParaRPr lang="en-CA" sz="1000" baseline="0">
            <a:latin typeface="Book Antiqua" pitchFamily="18" charset="0"/>
          </a:endParaRPr>
        </a:p>
      </dgm:t>
    </dgm:pt>
    <dgm:pt modelId="{7FC6DFE9-DBA9-4C92-A84A-76BD06C2CE39}" type="sibTrans" cxnId="{42EFDA49-41E4-48C0-95B5-692B9A2EDF2D}">
      <dgm:prSet/>
      <dgm:spPr/>
      <dgm:t>
        <a:bodyPr/>
        <a:lstStyle/>
        <a:p>
          <a:endParaRPr lang="en-CA"/>
        </a:p>
      </dgm:t>
    </dgm:pt>
    <dgm:pt modelId="{E56F32D3-C1E3-48D6-AEAE-398EC33BA028}">
      <dgm:prSet phldrT="[Text]" custT="1"/>
      <dgm:spPr/>
      <dgm:t>
        <a:bodyPr/>
        <a:lstStyle/>
        <a:p>
          <a:r>
            <a:rPr lang="en-CA" sz="1000" baseline="0">
              <a:latin typeface="Book Antiqua" pitchFamily="18" charset="0"/>
            </a:rPr>
            <a:t>IHC/CMV staining for CMV positive</a:t>
          </a:r>
        </a:p>
      </dgm:t>
    </dgm:pt>
    <dgm:pt modelId="{EB5416A6-2027-4C12-A220-3F0A1740B63A}" type="parTrans" cxnId="{12751055-3526-4086-A8AE-D78F53830C53}">
      <dgm:prSet/>
      <dgm:spPr/>
      <dgm:t>
        <a:bodyPr/>
        <a:lstStyle/>
        <a:p>
          <a:endParaRPr lang="en-CA" sz="1000" baseline="0">
            <a:latin typeface="Book Antiqua" pitchFamily="18" charset="0"/>
          </a:endParaRPr>
        </a:p>
      </dgm:t>
    </dgm:pt>
    <dgm:pt modelId="{2F752BBA-3CA8-4D47-9AAB-1E16790E1A24}" type="sibTrans" cxnId="{12751055-3526-4086-A8AE-D78F53830C53}">
      <dgm:prSet/>
      <dgm:spPr/>
      <dgm:t>
        <a:bodyPr/>
        <a:lstStyle/>
        <a:p>
          <a:endParaRPr lang="en-CA"/>
        </a:p>
      </dgm:t>
    </dgm:pt>
    <dgm:pt modelId="{0B6D2583-BB11-47C2-9BB1-C7DCFCA83E24}" type="asst">
      <dgm:prSet custT="1"/>
      <dgm:spPr/>
      <dgm:t>
        <a:bodyPr/>
        <a:lstStyle/>
        <a:p>
          <a:r>
            <a:rPr lang="en-CA" sz="1000" baseline="0">
              <a:latin typeface="Book Antiqua" pitchFamily="18" charset="0"/>
            </a:rPr>
            <a:t>Flexible signoidoscopy/colonoscopy with HE+IHC staining for CMV</a:t>
          </a:r>
        </a:p>
      </dgm:t>
    </dgm:pt>
    <dgm:pt modelId="{63541641-17A3-41FA-B431-7B65DAA28924}" type="parTrans" cxnId="{AE181996-08EF-4660-9E52-134FCFA6506C}">
      <dgm:prSet/>
      <dgm:spPr/>
      <dgm:t>
        <a:bodyPr/>
        <a:lstStyle/>
        <a:p>
          <a:endParaRPr lang="en-CA" sz="1000" baseline="0">
            <a:latin typeface="Book Antiqua" pitchFamily="18" charset="0"/>
          </a:endParaRPr>
        </a:p>
      </dgm:t>
    </dgm:pt>
    <dgm:pt modelId="{12803F0B-A9F2-43DE-96EA-495614AF967C}" type="sibTrans" cxnId="{AE181996-08EF-4660-9E52-134FCFA6506C}">
      <dgm:prSet/>
      <dgm:spPr/>
      <dgm:t>
        <a:bodyPr/>
        <a:lstStyle/>
        <a:p>
          <a:endParaRPr lang="en-CA"/>
        </a:p>
      </dgm:t>
    </dgm:pt>
    <dgm:pt modelId="{FB1FAFFB-4029-4430-8F73-33D377FB653B}">
      <dgm:prSet custT="1"/>
      <dgm:spPr/>
      <dgm:t>
        <a:bodyPr/>
        <a:lstStyle/>
        <a:p>
          <a:r>
            <a:rPr lang="en-CA" sz="1000" baseline="0">
              <a:latin typeface="Book Antiqua" pitchFamily="18" charset="0"/>
            </a:rPr>
            <a:t>Continue anti-inflammatory treatment</a:t>
          </a:r>
        </a:p>
      </dgm:t>
    </dgm:pt>
    <dgm:pt modelId="{3784A55A-AA70-4D68-B01D-413AC7BD42E0}" type="parTrans" cxnId="{F783F9CE-3C8C-43B6-B531-210BF284835C}">
      <dgm:prSet/>
      <dgm:spPr/>
      <dgm:t>
        <a:bodyPr/>
        <a:lstStyle/>
        <a:p>
          <a:endParaRPr lang="en-CA" sz="1000" baseline="0">
            <a:latin typeface="Book Antiqua" pitchFamily="18" charset="0"/>
          </a:endParaRPr>
        </a:p>
      </dgm:t>
    </dgm:pt>
    <dgm:pt modelId="{82B0E6C7-7AD3-41FF-8183-ABA132B7A5B3}" type="sibTrans" cxnId="{F783F9CE-3C8C-43B6-B531-210BF284835C}">
      <dgm:prSet/>
      <dgm:spPr/>
      <dgm:t>
        <a:bodyPr/>
        <a:lstStyle/>
        <a:p>
          <a:endParaRPr lang="en-CA"/>
        </a:p>
      </dgm:t>
    </dgm:pt>
    <dgm:pt modelId="{B9AE7D05-8142-4D40-8DDC-6D6AF4F99563}">
      <dgm:prSet custT="1"/>
      <dgm:spPr/>
      <dgm:t>
        <a:bodyPr/>
        <a:lstStyle/>
        <a:p>
          <a:r>
            <a:rPr lang="en-CA" sz="1000" baseline="0">
              <a:latin typeface="Book Antiqua" pitchFamily="18" charset="0"/>
            </a:rPr>
            <a:t>Improvement on anti-inflammatory treatment</a:t>
          </a:r>
        </a:p>
      </dgm:t>
    </dgm:pt>
    <dgm:pt modelId="{62E8AFC4-4219-48CF-90AA-FDA4EBB197CA}" type="parTrans" cxnId="{79054F19-BDD6-4261-8D8C-3DC21C60B11D}">
      <dgm:prSet/>
      <dgm:spPr/>
      <dgm:t>
        <a:bodyPr/>
        <a:lstStyle/>
        <a:p>
          <a:endParaRPr lang="en-CA" sz="1000" baseline="0">
            <a:latin typeface="Book Antiqua" pitchFamily="18" charset="0"/>
          </a:endParaRPr>
        </a:p>
      </dgm:t>
    </dgm:pt>
    <dgm:pt modelId="{9D7CBCE4-96E7-476C-A4E5-8A2B824AB019}" type="sibTrans" cxnId="{79054F19-BDD6-4261-8D8C-3DC21C60B11D}">
      <dgm:prSet/>
      <dgm:spPr/>
      <dgm:t>
        <a:bodyPr/>
        <a:lstStyle/>
        <a:p>
          <a:endParaRPr lang="en-CA"/>
        </a:p>
      </dgm:t>
    </dgm:pt>
    <dgm:pt modelId="{70EFAC69-BE8C-4486-A535-B14B82D74D44}">
      <dgm:prSet custT="1"/>
      <dgm:spPr/>
      <dgm:t>
        <a:bodyPr/>
        <a:lstStyle/>
        <a:p>
          <a:r>
            <a:rPr lang="en-CA" sz="1000" baseline="0">
              <a:latin typeface="Book Antiqua" pitchFamily="18" charset="0"/>
            </a:rPr>
            <a:t>Failure to improve on anti-inflammatory treatment</a:t>
          </a:r>
        </a:p>
      </dgm:t>
    </dgm:pt>
    <dgm:pt modelId="{40C5D610-C121-4089-8331-3E6B3FDB18EB}" type="parTrans" cxnId="{FD269E41-6120-4073-80C5-C785CE021055}">
      <dgm:prSet/>
      <dgm:spPr/>
      <dgm:t>
        <a:bodyPr/>
        <a:lstStyle/>
        <a:p>
          <a:endParaRPr lang="en-CA" sz="1000" baseline="0">
            <a:latin typeface="Book Antiqua" pitchFamily="18" charset="0"/>
          </a:endParaRPr>
        </a:p>
      </dgm:t>
    </dgm:pt>
    <dgm:pt modelId="{C2211E28-3366-40FA-BB85-88277F310133}" type="sibTrans" cxnId="{FD269E41-6120-4073-80C5-C785CE021055}">
      <dgm:prSet/>
      <dgm:spPr/>
      <dgm:t>
        <a:bodyPr/>
        <a:lstStyle/>
        <a:p>
          <a:endParaRPr lang="en-CA"/>
        </a:p>
      </dgm:t>
    </dgm:pt>
    <dgm:pt modelId="{018A1B5F-99E1-4E66-9DB8-81ED504E2574}">
      <dgm:prSet custT="1"/>
      <dgm:spPr/>
      <dgm:t>
        <a:bodyPr/>
        <a:lstStyle/>
        <a:p>
          <a:r>
            <a:rPr lang="en-CA" sz="1000" baseline="0">
              <a:latin typeface="Book Antiqua" pitchFamily="18" charset="0"/>
            </a:rPr>
            <a:t>Continue anti-inflammatory treatment</a:t>
          </a:r>
        </a:p>
        <a:p>
          <a:r>
            <a:rPr lang="en-CA" sz="1000" baseline="0">
              <a:latin typeface="Book Antiqua" pitchFamily="18" charset="0"/>
            </a:rPr>
            <a:t>Monitor closely</a:t>
          </a:r>
        </a:p>
      </dgm:t>
    </dgm:pt>
    <dgm:pt modelId="{EEFA3135-38F8-4EF9-88BE-5FEF18D32932}" type="parTrans" cxnId="{986C4785-3410-4966-AE8F-3DDA78C3F9F2}">
      <dgm:prSet/>
      <dgm:spPr/>
      <dgm:t>
        <a:bodyPr/>
        <a:lstStyle/>
        <a:p>
          <a:endParaRPr lang="en-CA" sz="1000" baseline="0">
            <a:latin typeface="Book Antiqua" pitchFamily="18" charset="0"/>
          </a:endParaRPr>
        </a:p>
      </dgm:t>
    </dgm:pt>
    <dgm:pt modelId="{59801533-5291-4C0F-93DC-EF1B8AA63365}" type="sibTrans" cxnId="{986C4785-3410-4966-AE8F-3DDA78C3F9F2}">
      <dgm:prSet/>
      <dgm:spPr/>
      <dgm:t>
        <a:bodyPr/>
        <a:lstStyle/>
        <a:p>
          <a:endParaRPr lang="en-CA"/>
        </a:p>
      </dgm:t>
    </dgm:pt>
    <dgm:pt modelId="{D9EA302C-266E-43EA-BD75-946A74C34164}">
      <dgm:prSet custT="1"/>
      <dgm:spPr/>
      <dgm:t>
        <a:bodyPr/>
        <a:lstStyle/>
        <a:p>
          <a:r>
            <a:rPr lang="en-CA" sz="1000" baseline="0">
              <a:latin typeface="Book Antiqua" pitchFamily="18" charset="0"/>
            </a:rPr>
            <a:t>Initiate antiviral</a:t>
          </a:r>
          <a:r>
            <a:rPr lang="en-CA" sz="1000" baseline="30000">
              <a:latin typeface="Book Antiqua" pitchFamily="18" charset="0"/>
            </a:rPr>
            <a:t>1</a:t>
          </a:r>
        </a:p>
        <a:p>
          <a:endParaRPr lang="en-CA" sz="1000" baseline="0">
            <a:latin typeface="Book Antiqua" pitchFamily="18" charset="0"/>
          </a:endParaRPr>
        </a:p>
      </dgm:t>
    </dgm:pt>
    <dgm:pt modelId="{247AABC9-FBED-4897-BB8D-CFC7272BC42E}" type="parTrans" cxnId="{66284D08-80D8-42BD-BB2A-F83FC96CD0F7}">
      <dgm:prSet/>
      <dgm:spPr/>
      <dgm:t>
        <a:bodyPr/>
        <a:lstStyle/>
        <a:p>
          <a:endParaRPr lang="en-CA" sz="1000" baseline="0">
            <a:latin typeface="Book Antiqua" pitchFamily="18" charset="0"/>
          </a:endParaRPr>
        </a:p>
      </dgm:t>
    </dgm:pt>
    <dgm:pt modelId="{B57F0E10-9980-48A3-9AC9-57503224A8AB}" type="sibTrans" cxnId="{66284D08-80D8-42BD-BB2A-F83FC96CD0F7}">
      <dgm:prSet/>
      <dgm:spPr/>
      <dgm:t>
        <a:bodyPr/>
        <a:lstStyle/>
        <a:p>
          <a:endParaRPr lang="en-CA"/>
        </a:p>
      </dgm:t>
    </dgm:pt>
    <dgm:pt modelId="{F36B1016-7E66-4EE1-B51B-CA7CC68025B2}" type="pres">
      <dgm:prSet presAssocID="{0F982B21-6D80-4268-8661-B57A097F449A}" presName="hierChild1" presStyleCnt="0">
        <dgm:presLayoutVars>
          <dgm:orgChart val="1"/>
          <dgm:chPref val="1"/>
          <dgm:dir/>
          <dgm:animOne val="branch"/>
          <dgm:animLvl val="lvl"/>
          <dgm:resizeHandles/>
        </dgm:presLayoutVars>
      </dgm:prSet>
      <dgm:spPr/>
      <dgm:t>
        <a:bodyPr/>
        <a:lstStyle/>
        <a:p>
          <a:endParaRPr lang="en-CA"/>
        </a:p>
      </dgm:t>
    </dgm:pt>
    <dgm:pt modelId="{CFF433F1-C05C-4A8E-B406-39361B09F3D8}" type="pres">
      <dgm:prSet presAssocID="{27BCBAFF-6EED-4896-AC09-33AD0756F19E}" presName="hierRoot1" presStyleCnt="0">
        <dgm:presLayoutVars>
          <dgm:hierBranch val="init"/>
        </dgm:presLayoutVars>
      </dgm:prSet>
      <dgm:spPr/>
    </dgm:pt>
    <dgm:pt modelId="{8727EC52-FC99-451C-BE49-6C3B83B96C4C}" type="pres">
      <dgm:prSet presAssocID="{27BCBAFF-6EED-4896-AC09-33AD0756F19E}" presName="rootComposite1" presStyleCnt="0"/>
      <dgm:spPr/>
    </dgm:pt>
    <dgm:pt modelId="{8C506296-282F-468A-B9F5-D113A0362FDC}" type="pres">
      <dgm:prSet presAssocID="{27BCBAFF-6EED-4896-AC09-33AD0756F19E}" presName="rootText1" presStyleLbl="node0" presStyleIdx="0" presStyleCnt="1">
        <dgm:presLayoutVars>
          <dgm:chPref val="3"/>
        </dgm:presLayoutVars>
      </dgm:prSet>
      <dgm:spPr/>
      <dgm:t>
        <a:bodyPr/>
        <a:lstStyle/>
        <a:p>
          <a:endParaRPr lang="en-CA"/>
        </a:p>
      </dgm:t>
    </dgm:pt>
    <dgm:pt modelId="{0F2A66AF-01B6-48CA-9115-7995A7084DA4}" type="pres">
      <dgm:prSet presAssocID="{27BCBAFF-6EED-4896-AC09-33AD0756F19E}" presName="rootConnector1" presStyleLbl="node1" presStyleIdx="0" presStyleCnt="0"/>
      <dgm:spPr/>
      <dgm:t>
        <a:bodyPr/>
        <a:lstStyle/>
        <a:p>
          <a:endParaRPr lang="en-CA"/>
        </a:p>
      </dgm:t>
    </dgm:pt>
    <dgm:pt modelId="{32CEE310-73FD-4C3C-A3CE-C8E7137DFF76}" type="pres">
      <dgm:prSet presAssocID="{27BCBAFF-6EED-4896-AC09-33AD0756F19E}" presName="hierChild2" presStyleCnt="0"/>
      <dgm:spPr/>
    </dgm:pt>
    <dgm:pt modelId="{6AC157CC-25FC-4691-8C48-1C33BBE06522}" type="pres">
      <dgm:prSet presAssocID="{413AD0C5-CB4E-4A65-BA41-134B4A989285}" presName="Name37" presStyleLbl="parChTrans1D2" presStyleIdx="0" presStyleCnt="4"/>
      <dgm:spPr/>
      <dgm:t>
        <a:bodyPr/>
        <a:lstStyle/>
        <a:p>
          <a:endParaRPr lang="en-CA"/>
        </a:p>
      </dgm:t>
    </dgm:pt>
    <dgm:pt modelId="{79BE5A1F-93D7-46A3-8672-737F53B3FC61}" type="pres">
      <dgm:prSet presAssocID="{3E521ADB-129C-4252-9F37-7C3094BE0C8D}" presName="hierRoot2" presStyleCnt="0">
        <dgm:presLayoutVars>
          <dgm:hierBranch val="hang"/>
        </dgm:presLayoutVars>
      </dgm:prSet>
      <dgm:spPr/>
    </dgm:pt>
    <dgm:pt modelId="{4A2022D0-42F6-4CE4-8D6A-DB2C04BA2465}" type="pres">
      <dgm:prSet presAssocID="{3E521ADB-129C-4252-9F37-7C3094BE0C8D}" presName="rootComposite" presStyleCnt="0"/>
      <dgm:spPr/>
    </dgm:pt>
    <dgm:pt modelId="{45A6DB55-9A31-4130-A67B-7DD7207A38E8}" type="pres">
      <dgm:prSet presAssocID="{3E521ADB-129C-4252-9F37-7C3094BE0C8D}" presName="rootText" presStyleLbl="node2" presStyleIdx="0" presStyleCnt="2">
        <dgm:presLayoutVars>
          <dgm:chPref val="3"/>
        </dgm:presLayoutVars>
      </dgm:prSet>
      <dgm:spPr/>
      <dgm:t>
        <a:bodyPr/>
        <a:lstStyle/>
        <a:p>
          <a:endParaRPr lang="en-CA"/>
        </a:p>
      </dgm:t>
    </dgm:pt>
    <dgm:pt modelId="{C8597A59-C746-4B9C-AAD1-132E99A2105E}" type="pres">
      <dgm:prSet presAssocID="{3E521ADB-129C-4252-9F37-7C3094BE0C8D}" presName="rootConnector" presStyleLbl="node2" presStyleIdx="0" presStyleCnt="2"/>
      <dgm:spPr/>
      <dgm:t>
        <a:bodyPr/>
        <a:lstStyle/>
        <a:p>
          <a:endParaRPr lang="en-CA"/>
        </a:p>
      </dgm:t>
    </dgm:pt>
    <dgm:pt modelId="{8EF112BE-2297-4F43-901F-DD09B7AFBAB7}" type="pres">
      <dgm:prSet presAssocID="{3E521ADB-129C-4252-9F37-7C3094BE0C8D}" presName="hierChild4" presStyleCnt="0"/>
      <dgm:spPr/>
    </dgm:pt>
    <dgm:pt modelId="{B11FB4CC-5B36-4726-BE9A-1E9938CD1368}" type="pres">
      <dgm:prSet presAssocID="{3784A55A-AA70-4D68-B01D-413AC7BD42E0}" presName="Name48" presStyleLbl="parChTrans1D3" presStyleIdx="0" presStyleCnt="3"/>
      <dgm:spPr/>
      <dgm:t>
        <a:bodyPr/>
        <a:lstStyle/>
        <a:p>
          <a:endParaRPr lang="en-CA"/>
        </a:p>
      </dgm:t>
    </dgm:pt>
    <dgm:pt modelId="{6AACEF65-2684-4B98-AF39-50CE222AACB7}" type="pres">
      <dgm:prSet presAssocID="{FB1FAFFB-4029-4430-8F73-33D377FB653B}" presName="hierRoot2" presStyleCnt="0">
        <dgm:presLayoutVars>
          <dgm:hierBranch val="l"/>
        </dgm:presLayoutVars>
      </dgm:prSet>
      <dgm:spPr/>
    </dgm:pt>
    <dgm:pt modelId="{C5976930-192A-4D7C-A0A6-D81DE18DEB66}" type="pres">
      <dgm:prSet presAssocID="{FB1FAFFB-4029-4430-8F73-33D377FB653B}" presName="rootComposite" presStyleCnt="0"/>
      <dgm:spPr/>
    </dgm:pt>
    <dgm:pt modelId="{EB6FE7BC-C328-4D44-A1F9-4DCB432EA9C2}" type="pres">
      <dgm:prSet presAssocID="{FB1FAFFB-4029-4430-8F73-33D377FB653B}" presName="rootText" presStyleLbl="node3" presStyleIdx="0" presStyleCnt="3">
        <dgm:presLayoutVars>
          <dgm:chPref val="3"/>
        </dgm:presLayoutVars>
      </dgm:prSet>
      <dgm:spPr/>
      <dgm:t>
        <a:bodyPr/>
        <a:lstStyle/>
        <a:p>
          <a:endParaRPr lang="en-CA"/>
        </a:p>
      </dgm:t>
    </dgm:pt>
    <dgm:pt modelId="{778BAF3F-3DF7-4034-A04C-ECF8F799B691}" type="pres">
      <dgm:prSet presAssocID="{FB1FAFFB-4029-4430-8F73-33D377FB653B}" presName="rootConnector" presStyleLbl="node3" presStyleIdx="0" presStyleCnt="3"/>
      <dgm:spPr/>
      <dgm:t>
        <a:bodyPr/>
        <a:lstStyle/>
        <a:p>
          <a:endParaRPr lang="en-CA"/>
        </a:p>
      </dgm:t>
    </dgm:pt>
    <dgm:pt modelId="{BB34AA33-6491-4682-8F0B-8D1EC20A55D5}" type="pres">
      <dgm:prSet presAssocID="{FB1FAFFB-4029-4430-8F73-33D377FB653B}" presName="hierChild4" presStyleCnt="0"/>
      <dgm:spPr/>
    </dgm:pt>
    <dgm:pt modelId="{025D8E61-AE5B-4799-BF9B-14BDC1155BFA}" type="pres">
      <dgm:prSet presAssocID="{FB1FAFFB-4029-4430-8F73-33D377FB653B}" presName="hierChild5" presStyleCnt="0"/>
      <dgm:spPr/>
    </dgm:pt>
    <dgm:pt modelId="{EAC39C66-D66A-410A-99CC-BE198DBB590E}" type="pres">
      <dgm:prSet presAssocID="{3E521ADB-129C-4252-9F37-7C3094BE0C8D}" presName="hierChild5" presStyleCnt="0"/>
      <dgm:spPr/>
    </dgm:pt>
    <dgm:pt modelId="{DC27EA10-C63C-4035-A72F-FD6E1AD12D77}" type="pres">
      <dgm:prSet presAssocID="{EB5416A6-2027-4C12-A220-3F0A1740B63A}" presName="Name37" presStyleLbl="parChTrans1D2" presStyleIdx="1" presStyleCnt="4"/>
      <dgm:spPr/>
      <dgm:t>
        <a:bodyPr/>
        <a:lstStyle/>
        <a:p>
          <a:endParaRPr lang="en-CA"/>
        </a:p>
      </dgm:t>
    </dgm:pt>
    <dgm:pt modelId="{4FD8EA27-26DD-4141-91B9-0123A93B62E5}" type="pres">
      <dgm:prSet presAssocID="{E56F32D3-C1E3-48D6-AEAE-398EC33BA028}" presName="hierRoot2" presStyleCnt="0">
        <dgm:presLayoutVars>
          <dgm:hierBranch val="init"/>
        </dgm:presLayoutVars>
      </dgm:prSet>
      <dgm:spPr/>
    </dgm:pt>
    <dgm:pt modelId="{CFC83112-B502-48C7-8A80-B24029105782}" type="pres">
      <dgm:prSet presAssocID="{E56F32D3-C1E3-48D6-AEAE-398EC33BA028}" presName="rootComposite" presStyleCnt="0"/>
      <dgm:spPr/>
    </dgm:pt>
    <dgm:pt modelId="{D5B3DF2D-CD39-4327-B3B7-623EE8854D5D}" type="pres">
      <dgm:prSet presAssocID="{E56F32D3-C1E3-48D6-AEAE-398EC33BA028}" presName="rootText" presStyleLbl="node2" presStyleIdx="1" presStyleCnt="2">
        <dgm:presLayoutVars>
          <dgm:chPref val="3"/>
        </dgm:presLayoutVars>
      </dgm:prSet>
      <dgm:spPr/>
      <dgm:t>
        <a:bodyPr/>
        <a:lstStyle/>
        <a:p>
          <a:endParaRPr lang="en-CA"/>
        </a:p>
      </dgm:t>
    </dgm:pt>
    <dgm:pt modelId="{5D3F0E4A-F28A-4EAC-9A77-520D1CA24F40}" type="pres">
      <dgm:prSet presAssocID="{E56F32D3-C1E3-48D6-AEAE-398EC33BA028}" presName="rootConnector" presStyleLbl="node2" presStyleIdx="1" presStyleCnt="2"/>
      <dgm:spPr/>
      <dgm:t>
        <a:bodyPr/>
        <a:lstStyle/>
        <a:p>
          <a:endParaRPr lang="en-CA"/>
        </a:p>
      </dgm:t>
    </dgm:pt>
    <dgm:pt modelId="{D0B0E984-EBB7-4632-882B-46B78630694B}" type="pres">
      <dgm:prSet presAssocID="{E56F32D3-C1E3-48D6-AEAE-398EC33BA028}" presName="hierChild4" presStyleCnt="0"/>
      <dgm:spPr/>
    </dgm:pt>
    <dgm:pt modelId="{1ACEBAD0-89A1-4BB4-BCB1-C52EA70BDA40}" type="pres">
      <dgm:prSet presAssocID="{62E8AFC4-4219-48CF-90AA-FDA4EBB197CA}" presName="Name37" presStyleLbl="parChTrans1D3" presStyleIdx="1" presStyleCnt="3"/>
      <dgm:spPr/>
      <dgm:t>
        <a:bodyPr/>
        <a:lstStyle/>
        <a:p>
          <a:endParaRPr lang="en-CA"/>
        </a:p>
      </dgm:t>
    </dgm:pt>
    <dgm:pt modelId="{9548172D-6654-4A21-A96A-5F8BD86BEB1B}" type="pres">
      <dgm:prSet presAssocID="{B9AE7D05-8142-4D40-8DDC-6D6AF4F99563}" presName="hierRoot2" presStyleCnt="0">
        <dgm:presLayoutVars>
          <dgm:hierBranch val="init"/>
        </dgm:presLayoutVars>
      </dgm:prSet>
      <dgm:spPr/>
    </dgm:pt>
    <dgm:pt modelId="{967A02CE-BE73-434E-9211-ED2685ADD6D6}" type="pres">
      <dgm:prSet presAssocID="{B9AE7D05-8142-4D40-8DDC-6D6AF4F99563}" presName="rootComposite" presStyleCnt="0"/>
      <dgm:spPr/>
    </dgm:pt>
    <dgm:pt modelId="{4F15253A-5C77-44A5-8724-E3CD3BE524A4}" type="pres">
      <dgm:prSet presAssocID="{B9AE7D05-8142-4D40-8DDC-6D6AF4F99563}" presName="rootText" presStyleLbl="node3" presStyleIdx="1" presStyleCnt="3">
        <dgm:presLayoutVars>
          <dgm:chPref val="3"/>
        </dgm:presLayoutVars>
      </dgm:prSet>
      <dgm:spPr/>
      <dgm:t>
        <a:bodyPr/>
        <a:lstStyle/>
        <a:p>
          <a:endParaRPr lang="en-CA"/>
        </a:p>
      </dgm:t>
    </dgm:pt>
    <dgm:pt modelId="{EB2BE8D8-4AB4-42C6-A81D-E9626DDC7B31}" type="pres">
      <dgm:prSet presAssocID="{B9AE7D05-8142-4D40-8DDC-6D6AF4F99563}" presName="rootConnector" presStyleLbl="node3" presStyleIdx="1" presStyleCnt="3"/>
      <dgm:spPr/>
      <dgm:t>
        <a:bodyPr/>
        <a:lstStyle/>
        <a:p>
          <a:endParaRPr lang="en-CA"/>
        </a:p>
      </dgm:t>
    </dgm:pt>
    <dgm:pt modelId="{AAD5696A-40EB-48E2-9A68-1C9E8B02D81D}" type="pres">
      <dgm:prSet presAssocID="{B9AE7D05-8142-4D40-8DDC-6D6AF4F99563}" presName="hierChild4" presStyleCnt="0"/>
      <dgm:spPr/>
    </dgm:pt>
    <dgm:pt modelId="{83949E27-664E-4E8C-A639-07B5CEF6BCA6}" type="pres">
      <dgm:prSet presAssocID="{EEFA3135-38F8-4EF9-88BE-5FEF18D32932}" presName="Name37" presStyleLbl="parChTrans1D4" presStyleIdx="0" presStyleCnt="2"/>
      <dgm:spPr/>
      <dgm:t>
        <a:bodyPr/>
        <a:lstStyle/>
        <a:p>
          <a:endParaRPr lang="en-CA"/>
        </a:p>
      </dgm:t>
    </dgm:pt>
    <dgm:pt modelId="{566E023B-BB0A-455F-BAA3-E1A47641239E}" type="pres">
      <dgm:prSet presAssocID="{018A1B5F-99E1-4E66-9DB8-81ED504E2574}" presName="hierRoot2" presStyleCnt="0">
        <dgm:presLayoutVars>
          <dgm:hierBranch/>
        </dgm:presLayoutVars>
      </dgm:prSet>
      <dgm:spPr/>
    </dgm:pt>
    <dgm:pt modelId="{64B10F36-08FC-4603-94BB-6C04E4014853}" type="pres">
      <dgm:prSet presAssocID="{018A1B5F-99E1-4E66-9DB8-81ED504E2574}" presName="rootComposite" presStyleCnt="0"/>
      <dgm:spPr/>
    </dgm:pt>
    <dgm:pt modelId="{BF78D975-43B2-41E6-AA06-B7699AA4F9F5}" type="pres">
      <dgm:prSet presAssocID="{018A1B5F-99E1-4E66-9DB8-81ED504E2574}" presName="rootText" presStyleLbl="node4" presStyleIdx="0" presStyleCnt="2">
        <dgm:presLayoutVars>
          <dgm:chPref val="3"/>
        </dgm:presLayoutVars>
      </dgm:prSet>
      <dgm:spPr/>
      <dgm:t>
        <a:bodyPr/>
        <a:lstStyle/>
        <a:p>
          <a:endParaRPr lang="en-CA"/>
        </a:p>
      </dgm:t>
    </dgm:pt>
    <dgm:pt modelId="{D241D4B2-CB8A-40DD-86E4-B3342FE84029}" type="pres">
      <dgm:prSet presAssocID="{018A1B5F-99E1-4E66-9DB8-81ED504E2574}" presName="rootConnector" presStyleLbl="node4" presStyleIdx="0" presStyleCnt="2"/>
      <dgm:spPr/>
      <dgm:t>
        <a:bodyPr/>
        <a:lstStyle/>
        <a:p>
          <a:endParaRPr lang="en-CA"/>
        </a:p>
      </dgm:t>
    </dgm:pt>
    <dgm:pt modelId="{EBDB7C02-3F87-47FE-8463-3A8EE2E85DAF}" type="pres">
      <dgm:prSet presAssocID="{018A1B5F-99E1-4E66-9DB8-81ED504E2574}" presName="hierChild4" presStyleCnt="0"/>
      <dgm:spPr/>
    </dgm:pt>
    <dgm:pt modelId="{75D94172-727C-43DF-B56A-2550E87B1F2B}" type="pres">
      <dgm:prSet presAssocID="{018A1B5F-99E1-4E66-9DB8-81ED504E2574}" presName="hierChild5" presStyleCnt="0"/>
      <dgm:spPr/>
    </dgm:pt>
    <dgm:pt modelId="{1B7697EC-FFCA-4B74-B539-E4298F889565}" type="pres">
      <dgm:prSet presAssocID="{B9AE7D05-8142-4D40-8DDC-6D6AF4F99563}" presName="hierChild5" presStyleCnt="0"/>
      <dgm:spPr/>
    </dgm:pt>
    <dgm:pt modelId="{EB2058CE-59D1-4CF4-B4C1-38A1F167E1E2}" type="pres">
      <dgm:prSet presAssocID="{40C5D610-C121-4089-8331-3E6B3FDB18EB}" presName="Name37" presStyleLbl="parChTrans1D3" presStyleIdx="2" presStyleCnt="3"/>
      <dgm:spPr/>
      <dgm:t>
        <a:bodyPr/>
        <a:lstStyle/>
        <a:p>
          <a:endParaRPr lang="en-CA"/>
        </a:p>
      </dgm:t>
    </dgm:pt>
    <dgm:pt modelId="{A75B6673-9023-4143-BCFA-3A60B2C52087}" type="pres">
      <dgm:prSet presAssocID="{70EFAC69-BE8C-4486-A535-B14B82D74D44}" presName="hierRoot2" presStyleCnt="0">
        <dgm:presLayoutVars>
          <dgm:hierBranch val="init"/>
        </dgm:presLayoutVars>
      </dgm:prSet>
      <dgm:spPr/>
    </dgm:pt>
    <dgm:pt modelId="{BF701ACE-86E0-4EE6-A8B2-AF578F8742D4}" type="pres">
      <dgm:prSet presAssocID="{70EFAC69-BE8C-4486-A535-B14B82D74D44}" presName="rootComposite" presStyleCnt="0"/>
      <dgm:spPr/>
    </dgm:pt>
    <dgm:pt modelId="{0C4DCD79-3DF4-4DE3-830E-06B6D7AF0285}" type="pres">
      <dgm:prSet presAssocID="{70EFAC69-BE8C-4486-A535-B14B82D74D44}" presName="rootText" presStyleLbl="node3" presStyleIdx="2" presStyleCnt="3">
        <dgm:presLayoutVars>
          <dgm:chPref val="3"/>
        </dgm:presLayoutVars>
      </dgm:prSet>
      <dgm:spPr/>
      <dgm:t>
        <a:bodyPr/>
        <a:lstStyle/>
        <a:p>
          <a:endParaRPr lang="en-CA"/>
        </a:p>
      </dgm:t>
    </dgm:pt>
    <dgm:pt modelId="{16296F78-C876-4655-BA96-ECC0410DFD2C}" type="pres">
      <dgm:prSet presAssocID="{70EFAC69-BE8C-4486-A535-B14B82D74D44}" presName="rootConnector" presStyleLbl="node3" presStyleIdx="2" presStyleCnt="3"/>
      <dgm:spPr/>
      <dgm:t>
        <a:bodyPr/>
        <a:lstStyle/>
        <a:p>
          <a:endParaRPr lang="en-CA"/>
        </a:p>
      </dgm:t>
    </dgm:pt>
    <dgm:pt modelId="{E69072B3-A60C-4079-B9AF-C0A5FB6FE82C}" type="pres">
      <dgm:prSet presAssocID="{70EFAC69-BE8C-4486-A535-B14B82D74D44}" presName="hierChild4" presStyleCnt="0"/>
      <dgm:spPr/>
    </dgm:pt>
    <dgm:pt modelId="{8C51C24D-78E4-4538-876E-16EE0D6D4570}" type="pres">
      <dgm:prSet presAssocID="{247AABC9-FBED-4897-BB8D-CFC7272BC42E}" presName="Name37" presStyleLbl="parChTrans1D4" presStyleIdx="1" presStyleCnt="2"/>
      <dgm:spPr/>
      <dgm:t>
        <a:bodyPr/>
        <a:lstStyle/>
        <a:p>
          <a:endParaRPr lang="en-CA"/>
        </a:p>
      </dgm:t>
    </dgm:pt>
    <dgm:pt modelId="{DEA40F29-3C39-440B-B948-BCF5102C81E2}" type="pres">
      <dgm:prSet presAssocID="{D9EA302C-266E-43EA-BD75-946A74C34164}" presName="hierRoot2" presStyleCnt="0">
        <dgm:presLayoutVars>
          <dgm:hierBranch val="init"/>
        </dgm:presLayoutVars>
      </dgm:prSet>
      <dgm:spPr/>
    </dgm:pt>
    <dgm:pt modelId="{DD313746-5472-475D-BB22-212075F63988}" type="pres">
      <dgm:prSet presAssocID="{D9EA302C-266E-43EA-BD75-946A74C34164}" presName="rootComposite" presStyleCnt="0"/>
      <dgm:spPr/>
    </dgm:pt>
    <dgm:pt modelId="{62A74795-BD2C-421D-BBAF-FB4E1C67D054}" type="pres">
      <dgm:prSet presAssocID="{D9EA302C-266E-43EA-BD75-946A74C34164}" presName="rootText" presStyleLbl="node4" presStyleIdx="1" presStyleCnt="2">
        <dgm:presLayoutVars>
          <dgm:chPref val="3"/>
        </dgm:presLayoutVars>
      </dgm:prSet>
      <dgm:spPr/>
      <dgm:t>
        <a:bodyPr/>
        <a:lstStyle/>
        <a:p>
          <a:endParaRPr lang="en-CA"/>
        </a:p>
      </dgm:t>
    </dgm:pt>
    <dgm:pt modelId="{ADCB532C-1B36-4272-9342-7228B499C661}" type="pres">
      <dgm:prSet presAssocID="{D9EA302C-266E-43EA-BD75-946A74C34164}" presName="rootConnector" presStyleLbl="node4" presStyleIdx="1" presStyleCnt="2"/>
      <dgm:spPr/>
      <dgm:t>
        <a:bodyPr/>
        <a:lstStyle/>
        <a:p>
          <a:endParaRPr lang="en-CA"/>
        </a:p>
      </dgm:t>
    </dgm:pt>
    <dgm:pt modelId="{FCC1125C-A46C-4E4A-9775-2211D5E04187}" type="pres">
      <dgm:prSet presAssocID="{D9EA302C-266E-43EA-BD75-946A74C34164}" presName="hierChild4" presStyleCnt="0"/>
      <dgm:spPr/>
    </dgm:pt>
    <dgm:pt modelId="{C5F89682-9D84-4CE8-B49D-FC56714C4EAA}" type="pres">
      <dgm:prSet presAssocID="{D9EA302C-266E-43EA-BD75-946A74C34164}" presName="hierChild5" presStyleCnt="0"/>
      <dgm:spPr/>
    </dgm:pt>
    <dgm:pt modelId="{87CB735A-F205-44A2-B84B-1B09D2387501}" type="pres">
      <dgm:prSet presAssocID="{70EFAC69-BE8C-4486-A535-B14B82D74D44}" presName="hierChild5" presStyleCnt="0"/>
      <dgm:spPr/>
    </dgm:pt>
    <dgm:pt modelId="{CA5A3E0B-FE00-4F67-8A6B-2AAF5D95E979}" type="pres">
      <dgm:prSet presAssocID="{E56F32D3-C1E3-48D6-AEAE-398EC33BA028}" presName="hierChild5" presStyleCnt="0"/>
      <dgm:spPr/>
    </dgm:pt>
    <dgm:pt modelId="{2C2541D6-9372-478D-91D8-8FB7536C5854}" type="pres">
      <dgm:prSet presAssocID="{27BCBAFF-6EED-4896-AC09-33AD0756F19E}" presName="hierChild3" presStyleCnt="0"/>
      <dgm:spPr/>
    </dgm:pt>
    <dgm:pt modelId="{9D1DC036-5D36-40C5-A524-17709997195D}" type="pres">
      <dgm:prSet presAssocID="{63FBFACE-0069-42D5-8521-A203F38AFB2A}" presName="Name111" presStyleLbl="parChTrans1D2" presStyleIdx="2" presStyleCnt="4"/>
      <dgm:spPr/>
      <dgm:t>
        <a:bodyPr/>
        <a:lstStyle/>
        <a:p>
          <a:endParaRPr lang="en-CA"/>
        </a:p>
      </dgm:t>
    </dgm:pt>
    <dgm:pt modelId="{8E63EA7F-192A-4F0F-B3BD-D19974075B64}" type="pres">
      <dgm:prSet presAssocID="{2AB57615-1B32-4756-B834-A5152990D5B2}" presName="hierRoot3" presStyleCnt="0">
        <dgm:presLayoutVars>
          <dgm:hierBranch val="init"/>
        </dgm:presLayoutVars>
      </dgm:prSet>
      <dgm:spPr/>
    </dgm:pt>
    <dgm:pt modelId="{3BCF37BE-869F-4547-A03C-C0B88A1B5C9D}" type="pres">
      <dgm:prSet presAssocID="{2AB57615-1B32-4756-B834-A5152990D5B2}" presName="rootComposite3" presStyleCnt="0"/>
      <dgm:spPr/>
    </dgm:pt>
    <dgm:pt modelId="{5022429C-7690-402F-94AB-B72E89DC10A9}" type="pres">
      <dgm:prSet presAssocID="{2AB57615-1B32-4756-B834-A5152990D5B2}" presName="rootText3" presStyleLbl="asst1" presStyleIdx="0" presStyleCnt="2">
        <dgm:presLayoutVars>
          <dgm:chPref val="3"/>
        </dgm:presLayoutVars>
      </dgm:prSet>
      <dgm:spPr/>
      <dgm:t>
        <a:bodyPr/>
        <a:lstStyle/>
        <a:p>
          <a:endParaRPr lang="en-CA"/>
        </a:p>
      </dgm:t>
    </dgm:pt>
    <dgm:pt modelId="{49830034-028F-4275-B60A-E3C990DF7198}" type="pres">
      <dgm:prSet presAssocID="{2AB57615-1B32-4756-B834-A5152990D5B2}" presName="rootConnector3" presStyleLbl="asst1" presStyleIdx="0" presStyleCnt="2"/>
      <dgm:spPr/>
      <dgm:t>
        <a:bodyPr/>
        <a:lstStyle/>
        <a:p>
          <a:endParaRPr lang="en-CA"/>
        </a:p>
      </dgm:t>
    </dgm:pt>
    <dgm:pt modelId="{8B2F5D03-513E-45CF-9068-AB31A9559BD5}" type="pres">
      <dgm:prSet presAssocID="{2AB57615-1B32-4756-B834-A5152990D5B2}" presName="hierChild6" presStyleCnt="0"/>
      <dgm:spPr/>
    </dgm:pt>
    <dgm:pt modelId="{A0CB89A6-A2B7-4177-85FD-38B4EB5169A0}" type="pres">
      <dgm:prSet presAssocID="{2AB57615-1B32-4756-B834-A5152990D5B2}" presName="hierChild7" presStyleCnt="0"/>
      <dgm:spPr/>
    </dgm:pt>
    <dgm:pt modelId="{4E17D5DC-7299-41A8-805A-B94B2B968917}" type="pres">
      <dgm:prSet presAssocID="{63541641-17A3-41FA-B431-7B65DAA28924}" presName="Name111" presStyleLbl="parChTrans1D2" presStyleIdx="3" presStyleCnt="4"/>
      <dgm:spPr/>
      <dgm:t>
        <a:bodyPr/>
        <a:lstStyle/>
        <a:p>
          <a:endParaRPr lang="en-CA"/>
        </a:p>
      </dgm:t>
    </dgm:pt>
    <dgm:pt modelId="{E65E3B2F-F949-4CE1-8B8D-B20888273BDE}" type="pres">
      <dgm:prSet presAssocID="{0B6D2583-BB11-47C2-9BB1-C7DCFCA83E24}" presName="hierRoot3" presStyleCnt="0">
        <dgm:presLayoutVars>
          <dgm:hierBranch val="init"/>
        </dgm:presLayoutVars>
      </dgm:prSet>
      <dgm:spPr/>
    </dgm:pt>
    <dgm:pt modelId="{2A2D9EC1-B3B3-468A-9C4C-655E5A68D67B}" type="pres">
      <dgm:prSet presAssocID="{0B6D2583-BB11-47C2-9BB1-C7DCFCA83E24}" presName="rootComposite3" presStyleCnt="0"/>
      <dgm:spPr/>
    </dgm:pt>
    <dgm:pt modelId="{E86F26D5-FFB7-47AD-AACB-A5F0AEA46C9D}" type="pres">
      <dgm:prSet presAssocID="{0B6D2583-BB11-47C2-9BB1-C7DCFCA83E24}" presName="rootText3" presStyleLbl="asst1" presStyleIdx="1" presStyleCnt="2">
        <dgm:presLayoutVars>
          <dgm:chPref val="3"/>
        </dgm:presLayoutVars>
      </dgm:prSet>
      <dgm:spPr/>
      <dgm:t>
        <a:bodyPr/>
        <a:lstStyle/>
        <a:p>
          <a:endParaRPr lang="en-CA"/>
        </a:p>
      </dgm:t>
    </dgm:pt>
    <dgm:pt modelId="{8B35F059-967C-4CE2-BD5D-43CE903D42D1}" type="pres">
      <dgm:prSet presAssocID="{0B6D2583-BB11-47C2-9BB1-C7DCFCA83E24}" presName="rootConnector3" presStyleLbl="asst1" presStyleIdx="1" presStyleCnt="2"/>
      <dgm:spPr/>
      <dgm:t>
        <a:bodyPr/>
        <a:lstStyle/>
        <a:p>
          <a:endParaRPr lang="en-CA"/>
        </a:p>
      </dgm:t>
    </dgm:pt>
    <dgm:pt modelId="{6DB306CC-66A0-4C57-8482-FDC6CEA4F23B}" type="pres">
      <dgm:prSet presAssocID="{0B6D2583-BB11-47C2-9BB1-C7DCFCA83E24}" presName="hierChild6" presStyleCnt="0"/>
      <dgm:spPr/>
    </dgm:pt>
    <dgm:pt modelId="{93AC7FD5-0937-4425-8AED-8F9A7D6D3D1B}" type="pres">
      <dgm:prSet presAssocID="{0B6D2583-BB11-47C2-9BB1-C7DCFCA83E24}" presName="hierChild7" presStyleCnt="0"/>
      <dgm:spPr/>
    </dgm:pt>
  </dgm:ptLst>
  <dgm:cxnLst>
    <dgm:cxn modelId="{36A905B6-2897-4A31-BCE1-09C7AFD1574B}" type="presOf" srcId="{0B6D2583-BB11-47C2-9BB1-C7DCFCA83E24}" destId="{E86F26D5-FFB7-47AD-AACB-A5F0AEA46C9D}" srcOrd="0" destOrd="0" presId="urn:microsoft.com/office/officeart/2005/8/layout/orgChart1"/>
    <dgm:cxn modelId="{42EFDA49-41E4-48C0-95B5-692B9A2EDF2D}" srcId="{27BCBAFF-6EED-4896-AC09-33AD0756F19E}" destId="{3E521ADB-129C-4252-9F37-7C3094BE0C8D}" srcOrd="1" destOrd="0" parTransId="{413AD0C5-CB4E-4A65-BA41-134B4A989285}" sibTransId="{7FC6DFE9-DBA9-4C92-A84A-76BD06C2CE39}"/>
    <dgm:cxn modelId="{986C4785-3410-4966-AE8F-3DDA78C3F9F2}" srcId="{B9AE7D05-8142-4D40-8DDC-6D6AF4F99563}" destId="{018A1B5F-99E1-4E66-9DB8-81ED504E2574}" srcOrd="0" destOrd="0" parTransId="{EEFA3135-38F8-4EF9-88BE-5FEF18D32932}" sibTransId="{59801533-5291-4C0F-93DC-EF1B8AA63365}"/>
    <dgm:cxn modelId="{ABCAC84F-F2A5-4911-81CD-2028D8CC4AC0}" type="presOf" srcId="{247AABC9-FBED-4897-BB8D-CFC7272BC42E}" destId="{8C51C24D-78E4-4538-876E-16EE0D6D4570}" srcOrd="0" destOrd="0" presId="urn:microsoft.com/office/officeart/2005/8/layout/orgChart1"/>
    <dgm:cxn modelId="{AE8739FD-A8CC-4D6F-A956-977E4BFB4B2F}" type="presOf" srcId="{2AB57615-1B32-4756-B834-A5152990D5B2}" destId="{5022429C-7690-402F-94AB-B72E89DC10A9}" srcOrd="0" destOrd="0" presId="urn:microsoft.com/office/officeart/2005/8/layout/orgChart1"/>
    <dgm:cxn modelId="{AECD8D42-07DD-4CC1-BE29-603EA9F8641C}" type="presOf" srcId="{27BCBAFF-6EED-4896-AC09-33AD0756F19E}" destId="{8C506296-282F-468A-B9F5-D113A0362FDC}" srcOrd="0" destOrd="0" presId="urn:microsoft.com/office/officeart/2005/8/layout/orgChart1"/>
    <dgm:cxn modelId="{64E0365D-661A-4A58-A5AC-70106CA7C785}" type="presOf" srcId="{70EFAC69-BE8C-4486-A535-B14B82D74D44}" destId="{16296F78-C876-4655-BA96-ECC0410DFD2C}" srcOrd="1" destOrd="0" presId="urn:microsoft.com/office/officeart/2005/8/layout/orgChart1"/>
    <dgm:cxn modelId="{F70AB310-FC81-4C8D-B31E-B073C0F49821}" type="presOf" srcId="{3E521ADB-129C-4252-9F37-7C3094BE0C8D}" destId="{45A6DB55-9A31-4130-A67B-7DD7207A38E8}" srcOrd="0" destOrd="0" presId="urn:microsoft.com/office/officeart/2005/8/layout/orgChart1"/>
    <dgm:cxn modelId="{8938DF87-72AD-4915-A46A-6C87EAFBC3A2}" type="presOf" srcId="{018A1B5F-99E1-4E66-9DB8-81ED504E2574}" destId="{D241D4B2-CB8A-40DD-86E4-B3342FE84029}" srcOrd="1" destOrd="0" presId="urn:microsoft.com/office/officeart/2005/8/layout/orgChart1"/>
    <dgm:cxn modelId="{019BA2B1-868F-4B45-A17B-CB79968B4811}" type="presOf" srcId="{0B6D2583-BB11-47C2-9BB1-C7DCFCA83E24}" destId="{8B35F059-967C-4CE2-BD5D-43CE903D42D1}" srcOrd="1" destOrd="0" presId="urn:microsoft.com/office/officeart/2005/8/layout/orgChart1"/>
    <dgm:cxn modelId="{12751055-3526-4086-A8AE-D78F53830C53}" srcId="{27BCBAFF-6EED-4896-AC09-33AD0756F19E}" destId="{E56F32D3-C1E3-48D6-AEAE-398EC33BA028}" srcOrd="2" destOrd="0" parTransId="{EB5416A6-2027-4C12-A220-3F0A1740B63A}" sibTransId="{2F752BBA-3CA8-4D47-9AAB-1E16790E1A24}"/>
    <dgm:cxn modelId="{EBB1ACE8-6D21-4647-93DA-D6306AF5FF45}" type="presOf" srcId="{40C5D610-C121-4089-8331-3E6B3FDB18EB}" destId="{EB2058CE-59D1-4CF4-B4C1-38A1F167E1E2}" srcOrd="0" destOrd="0" presId="urn:microsoft.com/office/officeart/2005/8/layout/orgChart1"/>
    <dgm:cxn modelId="{90A3DF7F-C303-4380-ACB4-89E0D4AFAF67}" type="presOf" srcId="{27BCBAFF-6EED-4896-AC09-33AD0756F19E}" destId="{0F2A66AF-01B6-48CA-9115-7995A7084DA4}" srcOrd="1" destOrd="0" presId="urn:microsoft.com/office/officeart/2005/8/layout/orgChart1"/>
    <dgm:cxn modelId="{A185A0DB-3C51-4358-8917-CB23F4FD5147}" type="presOf" srcId="{62E8AFC4-4219-48CF-90AA-FDA4EBB197CA}" destId="{1ACEBAD0-89A1-4BB4-BCB1-C52EA70BDA40}" srcOrd="0" destOrd="0" presId="urn:microsoft.com/office/officeart/2005/8/layout/orgChart1"/>
    <dgm:cxn modelId="{6022A4D3-1771-46B4-8107-0B8F3D37CAAD}" type="presOf" srcId="{E56F32D3-C1E3-48D6-AEAE-398EC33BA028}" destId="{5D3F0E4A-F28A-4EAC-9A77-520D1CA24F40}" srcOrd="1" destOrd="0" presId="urn:microsoft.com/office/officeart/2005/8/layout/orgChart1"/>
    <dgm:cxn modelId="{DF7AC699-7351-471C-B58E-73D0C447AA96}" type="presOf" srcId="{3784A55A-AA70-4D68-B01D-413AC7BD42E0}" destId="{B11FB4CC-5B36-4726-BE9A-1E9938CD1368}" srcOrd="0" destOrd="0" presId="urn:microsoft.com/office/officeart/2005/8/layout/orgChart1"/>
    <dgm:cxn modelId="{79054F19-BDD6-4261-8D8C-3DC21C60B11D}" srcId="{E56F32D3-C1E3-48D6-AEAE-398EC33BA028}" destId="{B9AE7D05-8142-4D40-8DDC-6D6AF4F99563}" srcOrd="0" destOrd="0" parTransId="{62E8AFC4-4219-48CF-90AA-FDA4EBB197CA}" sibTransId="{9D7CBCE4-96E7-476C-A4E5-8A2B824AB019}"/>
    <dgm:cxn modelId="{B4EE9C4C-892D-43D6-9E1A-14E183D6C2BD}" srcId="{27BCBAFF-6EED-4896-AC09-33AD0756F19E}" destId="{2AB57615-1B32-4756-B834-A5152990D5B2}" srcOrd="0" destOrd="0" parTransId="{63FBFACE-0069-42D5-8521-A203F38AFB2A}" sibTransId="{1C4615A3-1614-46A1-BFA2-725E4BDFDF06}"/>
    <dgm:cxn modelId="{FDD69648-CBE2-483D-9D60-A7046BF6EE25}" type="presOf" srcId="{EB5416A6-2027-4C12-A220-3F0A1740B63A}" destId="{DC27EA10-C63C-4035-A72F-FD6E1AD12D77}" srcOrd="0" destOrd="0" presId="urn:microsoft.com/office/officeart/2005/8/layout/orgChart1"/>
    <dgm:cxn modelId="{17620570-25F2-4F13-B329-7C5981D684F8}" srcId="{0F982B21-6D80-4268-8661-B57A097F449A}" destId="{27BCBAFF-6EED-4896-AC09-33AD0756F19E}" srcOrd="0" destOrd="0" parTransId="{13EECAB9-8EBF-4F3A-992A-5057BEBC25A8}" sibTransId="{9C158FE6-FEF2-4D9D-9A55-736B88561E3B}"/>
    <dgm:cxn modelId="{462913D3-24F7-4A95-8E24-62DAEBCF5C18}" type="presOf" srcId="{EEFA3135-38F8-4EF9-88BE-5FEF18D32932}" destId="{83949E27-664E-4E8C-A639-07B5CEF6BCA6}" srcOrd="0" destOrd="0" presId="urn:microsoft.com/office/officeart/2005/8/layout/orgChart1"/>
    <dgm:cxn modelId="{9FCE95A0-E236-4077-ABFB-6A7D24BEE29C}" type="presOf" srcId="{2AB57615-1B32-4756-B834-A5152990D5B2}" destId="{49830034-028F-4275-B60A-E3C990DF7198}" srcOrd="1" destOrd="0" presId="urn:microsoft.com/office/officeart/2005/8/layout/orgChart1"/>
    <dgm:cxn modelId="{45222FDE-737E-4882-AEE8-383357AC8357}" type="presOf" srcId="{B9AE7D05-8142-4D40-8DDC-6D6AF4F99563}" destId="{4F15253A-5C77-44A5-8724-E3CD3BE524A4}" srcOrd="0" destOrd="0" presId="urn:microsoft.com/office/officeart/2005/8/layout/orgChart1"/>
    <dgm:cxn modelId="{A917EB7D-5250-485B-8695-EDF2FFCD6969}" type="presOf" srcId="{3E521ADB-129C-4252-9F37-7C3094BE0C8D}" destId="{C8597A59-C746-4B9C-AAD1-132E99A2105E}" srcOrd="1" destOrd="0" presId="urn:microsoft.com/office/officeart/2005/8/layout/orgChart1"/>
    <dgm:cxn modelId="{024640D5-C41D-450A-9D96-3C8E03928287}" type="presOf" srcId="{63FBFACE-0069-42D5-8521-A203F38AFB2A}" destId="{9D1DC036-5D36-40C5-A524-17709997195D}" srcOrd="0" destOrd="0" presId="urn:microsoft.com/office/officeart/2005/8/layout/orgChart1"/>
    <dgm:cxn modelId="{FD269E41-6120-4073-80C5-C785CE021055}" srcId="{E56F32D3-C1E3-48D6-AEAE-398EC33BA028}" destId="{70EFAC69-BE8C-4486-A535-B14B82D74D44}" srcOrd="1" destOrd="0" parTransId="{40C5D610-C121-4089-8331-3E6B3FDB18EB}" sibTransId="{C2211E28-3366-40FA-BB85-88277F310133}"/>
    <dgm:cxn modelId="{D7BFDB80-DBEC-4216-956C-0A8A80C63E65}" type="presOf" srcId="{FB1FAFFB-4029-4430-8F73-33D377FB653B}" destId="{778BAF3F-3DF7-4034-A04C-ECF8F799B691}" srcOrd="1" destOrd="0" presId="urn:microsoft.com/office/officeart/2005/8/layout/orgChart1"/>
    <dgm:cxn modelId="{AE181996-08EF-4660-9E52-134FCFA6506C}" srcId="{27BCBAFF-6EED-4896-AC09-33AD0756F19E}" destId="{0B6D2583-BB11-47C2-9BB1-C7DCFCA83E24}" srcOrd="3" destOrd="0" parTransId="{63541641-17A3-41FA-B431-7B65DAA28924}" sibTransId="{12803F0B-A9F2-43DE-96EA-495614AF967C}"/>
    <dgm:cxn modelId="{64EF4254-7E1D-4299-8A4A-52F45B7CCD10}" type="presOf" srcId="{0F982B21-6D80-4268-8661-B57A097F449A}" destId="{F36B1016-7E66-4EE1-B51B-CA7CC68025B2}" srcOrd="0" destOrd="0" presId="urn:microsoft.com/office/officeart/2005/8/layout/orgChart1"/>
    <dgm:cxn modelId="{F3A803DC-F138-4624-9CB1-904E1F9865EF}" type="presOf" srcId="{D9EA302C-266E-43EA-BD75-946A74C34164}" destId="{62A74795-BD2C-421D-BBAF-FB4E1C67D054}" srcOrd="0" destOrd="0" presId="urn:microsoft.com/office/officeart/2005/8/layout/orgChart1"/>
    <dgm:cxn modelId="{F783F9CE-3C8C-43B6-B531-210BF284835C}" srcId="{3E521ADB-129C-4252-9F37-7C3094BE0C8D}" destId="{FB1FAFFB-4029-4430-8F73-33D377FB653B}" srcOrd="0" destOrd="0" parTransId="{3784A55A-AA70-4D68-B01D-413AC7BD42E0}" sibTransId="{82B0E6C7-7AD3-41FF-8183-ABA132B7A5B3}"/>
    <dgm:cxn modelId="{65E4CCDD-A685-4A12-9D43-9FBEF45B2649}" type="presOf" srcId="{FB1FAFFB-4029-4430-8F73-33D377FB653B}" destId="{EB6FE7BC-C328-4D44-A1F9-4DCB432EA9C2}" srcOrd="0" destOrd="0" presId="urn:microsoft.com/office/officeart/2005/8/layout/orgChart1"/>
    <dgm:cxn modelId="{A88A7E6D-5021-4D0F-86DA-AF3AF7D7FA62}" type="presOf" srcId="{D9EA302C-266E-43EA-BD75-946A74C34164}" destId="{ADCB532C-1B36-4272-9342-7228B499C661}" srcOrd="1" destOrd="0" presId="urn:microsoft.com/office/officeart/2005/8/layout/orgChart1"/>
    <dgm:cxn modelId="{6B34090A-63E3-4B28-A966-1F55F93BE274}" type="presOf" srcId="{018A1B5F-99E1-4E66-9DB8-81ED504E2574}" destId="{BF78D975-43B2-41E6-AA06-B7699AA4F9F5}" srcOrd="0" destOrd="0" presId="urn:microsoft.com/office/officeart/2005/8/layout/orgChart1"/>
    <dgm:cxn modelId="{4163D6CE-5C42-48AD-83B6-B5D9C3DF84FD}" type="presOf" srcId="{E56F32D3-C1E3-48D6-AEAE-398EC33BA028}" destId="{D5B3DF2D-CD39-4327-B3B7-623EE8854D5D}" srcOrd="0" destOrd="0" presId="urn:microsoft.com/office/officeart/2005/8/layout/orgChart1"/>
    <dgm:cxn modelId="{C6D8CA21-862E-42D0-B1EE-4980FC6BDBDB}" type="presOf" srcId="{B9AE7D05-8142-4D40-8DDC-6D6AF4F99563}" destId="{EB2BE8D8-4AB4-42C6-A81D-E9626DDC7B31}" srcOrd="1" destOrd="0" presId="urn:microsoft.com/office/officeart/2005/8/layout/orgChart1"/>
    <dgm:cxn modelId="{4CDA548B-0B64-458A-8311-C1C38812EE0E}" type="presOf" srcId="{413AD0C5-CB4E-4A65-BA41-134B4A989285}" destId="{6AC157CC-25FC-4691-8C48-1C33BBE06522}" srcOrd="0" destOrd="0" presId="urn:microsoft.com/office/officeart/2005/8/layout/orgChart1"/>
    <dgm:cxn modelId="{27040649-8E86-4512-B3B8-33EDFD4A06D8}" type="presOf" srcId="{63541641-17A3-41FA-B431-7B65DAA28924}" destId="{4E17D5DC-7299-41A8-805A-B94B2B968917}" srcOrd="0" destOrd="0" presId="urn:microsoft.com/office/officeart/2005/8/layout/orgChart1"/>
    <dgm:cxn modelId="{D22DAEC9-46F9-4A86-8E5B-A5B1D86481F9}" type="presOf" srcId="{70EFAC69-BE8C-4486-A535-B14B82D74D44}" destId="{0C4DCD79-3DF4-4DE3-830E-06B6D7AF0285}" srcOrd="0" destOrd="0" presId="urn:microsoft.com/office/officeart/2005/8/layout/orgChart1"/>
    <dgm:cxn modelId="{66284D08-80D8-42BD-BB2A-F83FC96CD0F7}" srcId="{70EFAC69-BE8C-4486-A535-B14B82D74D44}" destId="{D9EA302C-266E-43EA-BD75-946A74C34164}" srcOrd="0" destOrd="0" parTransId="{247AABC9-FBED-4897-BB8D-CFC7272BC42E}" sibTransId="{B57F0E10-9980-48A3-9AC9-57503224A8AB}"/>
    <dgm:cxn modelId="{1DE44D9B-1038-4480-9DF5-890A619DD807}" type="presParOf" srcId="{F36B1016-7E66-4EE1-B51B-CA7CC68025B2}" destId="{CFF433F1-C05C-4A8E-B406-39361B09F3D8}" srcOrd="0" destOrd="0" presId="urn:microsoft.com/office/officeart/2005/8/layout/orgChart1"/>
    <dgm:cxn modelId="{F8EDCB3C-6532-4543-9B18-3C49E597FF97}" type="presParOf" srcId="{CFF433F1-C05C-4A8E-B406-39361B09F3D8}" destId="{8727EC52-FC99-451C-BE49-6C3B83B96C4C}" srcOrd="0" destOrd="0" presId="urn:microsoft.com/office/officeart/2005/8/layout/orgChart1"/>
    <dgm:cxn modelId="{3088125F-D1D5-4B6D-8E5F-8075EC10AB7D}" type="presParOf" srcId="{8727EC52-FC99-451C-BE49-6C3B83B96C4C}" destId="{8C506296-282F-468A-B9F5-D113A0362FDC}" srcOrd="0" destOrd="0" presId="urn:microsoft.com/office/officeart/2005/8/layout/orgChart1"/>
    <dgm:cxn modelId="{22264E5C-74A2-40A5-B566-B2E208684678}" type="presParOf" srcId="{8727EC52-FC99-451C-BE49-6C3B83B96C4C}" destId="{0F2A66AF-01B6-48CA-9115-7995A7084DA4}" srcOrd="1" destOrd="0" presId="urn:microsoft.com/office/officeart/2005/8/layout/orgChart1"/>
    <dgm:cxn modelId="{BA679FF4-CB19-4FF3-82F6-C7E25DED19A1}" type="presParOf" srcId="{CFF433F1-C05C-4A8E-B406-39361B09F3D8}" destId="{32CEE310-73FD-4C3C-A3CE-C8E7137DFF76}" srcOrd="1" destOrd="0" presId="urn:microsoft.com/office/officeart/2005/8/layout/orgChart1"/>
    <dgm:cxn modelId="{B6569819-E7E6-459B-8DCE-03B7FB3266B1}" type="presParOf" srcId="{32CEE310-73FD-4C3C-A3CE-C8E7137DFF76}" destId="{6AC157CC-25FC-4691-8C48-1C33BBE06522}" srcOrd="0" destOrd="0" presId="urn:microsoft.com/office/officeart/2005/8/layout/orgChart1"/>
    <dgm:cxn modelId="{35B5C739-2DEF-4A38-B1EC-BCD8217FE0DB}" type="presParOf" srcId="{32CEE310-73FD-4C3C-A3CE-C8E7137DFF76}" destId="{79BE5A1F-93D7-46A3-8672-737F53B3FC61}" srcOrd="1" destOrd="0" presId="urn:microsoft.com/office/officeart/2005/8/layout/orgChart1"/>
    <dgm:cxn modelId="{814D4EAD-ED39-4C03-A1A4-E5ADF61BC98A}" type="presParOf" srcId="{79BE5A1F-93D7-46A3-8672-737F53B3FC61}" destId="{4A2022D0-42F6-4CE4-8D6A-DB2C04BA2465}" srcOrd="0" destOrd="0" presId="urn:microsoft.com/office/officeart/2005/8/layout/orgChart1"/>
    <dgm:cxn modelId="{5C251654-FAFB-440F-878A-BEE1554753DB}" type="presParOf" srcId="{4A2022D0-42F6-4CE4-8D6A-DB2C04BA2465}" destId="{45A6DB55-9A31-4130-A67B-7DD7207A38E8}" srcOrd="0" destOrd="0" presId="urn:microsoft.com/office/officeart/2005/8/layout/orgChart1"/>
    <dgm:cxn modelId="{87ADF2D2-9032-4E7D-8AC8-2604FF42AD85}" type="presParOf" srcId="{4A2022D0-42F6-4CE4-8D6A-DB2C04BA2465}" destId="{C8597A59-C746-4B9C-AAD1-132E99A2105E}" srcOrd="1" destOrd="0" presId="urn:microsoft.com/office/officeart/2005/8/layout/orgChart1"/>
    <dgm:cxn modelId="{22E9119C-D92C-4E10-B57F-40F3708011A7}" type="presParOf" srcId="{79BE5A1F-93D7-46A3-8672-737F53B3FC61}" destId="{8EF112BE-2297-4F43-901F-DD09B7AFBAB7}" srcOrd="1" destOrd="0" presId="urn:microsoft.com/office/officeart/2005/8/layout/orgChart1"/>
    <dgm:cxn modelId="{7B7B6C3D-D25D-42F2-AFD3-27029EB42C47}" type="presParOf" srcId="{8EF112BE-2297-4F43-901F-DD09B7AFBAB7}" destId="{B11FB4CC-5B36-4726-BE9A-1E9938CD1368}" srcOrd="0" destOrd="0" presId="urn:microsoft.com/office/officeart/2005/8/layout/orgChart1"/>
    <dgm:cxn modelId="{F4730FDE-26A1-428B-B09B-3494EF1ABB10}" type="presParOf" srcId="{8EF112BE-2297-4F43-901F-DD09B7AFBAB7}" destId="{6AACEF65-2684-4B98-AF39-50CE222AACB7}" srcOrd="1" destOrd="0" presId="urn:microsoft.com/office/officeart/2005/8/layout/orgChart1"/>
    <dgm:cxn modelId="{38AAA8CF-D8FE-4BE4-8EFF-EFAB865D33B3}" type="presParOf" srcId="{6AACEF65-2684-4B98-AF39-50CE222AACB7}" destId="{C5976930-192A-4D7C-A0A6-D81DE18DEB66}" srcOrd="0" destOrd="0" presId="urn:microsoft.com/office/officeart/2005/8/layout/orgChart1"/>
    <dgm:cxn modelId="{C4FDD69C-330E-42C0-B3FD-8E4815AF6316}" type="presParOf" srcId="{C5976930-192A-4D7C-A0A6-D81DE18DEB66}" destId="{EB6FE7BC-C328-4D44-A1F9-4DCB432EA9C2}" srcOrd="0" destOrd="0" presId="urn:microsoft.com/office/officeart/2005/8/layout/orgChart1"/>
    <dgm:cxn modelId="{9472DCBE-39D6-4573-81B8-8DEA7FF0B19B}" type="presParOf" srcId="{C5976930-192A-4D7C-A0A6-D81DE18DEB66}" destId="{778BAF3F-3DF7-4034-A04C-ECF8F799B691}" srcOrd="1" destOrd="0" presId="urn:microsoft.com/office/officeart/2005/8/layout/orgChart1"/>
    <dgm:cxn modelId="{F527ADD6-64F3-487B-A47C-4946C9F902B2}" type="presParOf" srcId="{6AACEF65-2684-4B98-AF39-50CE222AACB7}" destId="{BB34AA33-6491-4682-8F0B-8D1EC20A55D5}" srcOrd="1" destOrd="0" presId="urn:microsoft.com/office/officeart/2005/8/layout/orgChart1"/>
    <dgm:cxn modelId="{31783C94-FB21-414D-9837-C59B44C16C38}" type="presParOf" srcId="{6AACEF65-2684-4B98-AF39-50CE222AACB7}" destId="{025D8E61-AE5B-4799-BF9B-14BDC1155BFA}" srcOrd="2" destOrd="0" presId="urn:microsoft.com/office/officeart/2005/8/layout/orgChart1"/>
    <dgm:cxn modelId="{F9184787-708B-4A3D-A8FE-8F024799AFD8}" type="presParOf" srcId="{79BE5A1F-93D7-46A3-8672-737F53B3FC61}" destId="{EAC39C66-D66A-410A-99CC-BE198DBB590E}" srcOrd="2" destOrd="0" presId="urn:microsoft.com/office/officeart/2005/8/layout/orgChart1"/>
    <dgm:cxn modelId="{0B459950-B52B-42F6-B333-C5627F7930F8}" type="presParOf" srcId="{32CEE310-73FD-4C3C-A3CE-C8E7137DFF76}" destId="{DC27EA10-C63C-4035-A72F-FD6E1AD12D77}" srcOrd="2" destOrd="0" presId="urn:microsoft.com/office/officeart/2005/8/layout/orgChart1"/>
    <dgm:cxn modelId="{889897B2-6F08-4B69-BFA1-73CB010F0EE9}" type="presParOf" srcId="{32CEE310-73FD-4C3C-A3CE-C8E7137DFF76}" destId="{4FD8EA27-26DD-4141-91B9-0123A93B62E5}" srcOrd="3" destOrd="0" presId="urn:microsoft.com/office/officeart/2005/8/layout/orgChart1"/>
    <dgm:cxn modelId="{F08B79D9-7DEA-4205-9B09-FF42632811B4}" type="presParOf" srcId="{4FD8EA27-26DD-4141-91B9-0123A93B62E5}" destId="{CFC83112-B502-48C7-8A80-B24029105782}" srcOrd="0" destOrd="0" presId="urn:microsoft.com/office/officeart/2005/8/layout/orgChart1"/>
    <dgm:cxn modelId="{8BE81948-6D32-4B58-9D35-4B873990F966}" type="presParOf" srcId="{CFC83112-B502-48C7-8A80-B24029105782}" destId="{D5B3DF2D-CD39-4327-B3B7-623EE8854D5D}" srcOrd="0" destOrd="0" presId="urn:microsoft.com/office/officeart/2005/8/layout/orgChart1"/>
    <dgm:cxn modelId="{31B1AC75-B1C4-468F-9569-323F5E86302D}" type="presParOf" srcId="{CFC83112-B502-48C7-8A80-B24029105782}" destId="{5D3F0E4A-F28A-4EAC-9A77-520D1CA24F40}" srcOrd="1" destOrd="0" presId="urn:microsoft.com/office/officeart/2005/8/layout/orgChart1"/>
    <dgm:cxn modelId="{0EA84BFE-2573-481E-BFD0-70BA9AD1E640}" type="presParOf" srcId="{4FD8EA27-26DD-4141-91B9-0123A93B62E5}" destId="{D0B0E984-EBB7-4632-882B-46B78630694B}" srcOrd="1" destOrd="0" presId="urn:microsoft.com/office/officeart/2005/8/layout/orgChart1"/>
    <dgm:cxn modelId="{8E344DA5-1877-4699-AA73-63771459A1C6}" type="presParOf" srcId="{D0B0E984-EBB7-4632-882B-46B78630694B}" destId="{1ACEBAD0-89A1-4BB4-BCB1-C52EA70BDA40}" srcOrd="0" destOrd="0" presId="urn:microsoft.com/office/officeart/2005/8/layout/orgChart1"/>
    <dgm:cxn modelId="{D61CB1C0-AC17-4821-A839-ACF653CD83AD}" type="presParOf" srcId="{D0B0E984-EBB7-4632-882B-46B78630694B}" destId="{9548172D-6654-4A21-A96A-5F8BD86BEB1B}" srcOrd="1" destOrd="0" presId="urn:microsoft.com/office/officeart/2005/8/layout/orgChart1"/>
    <dgm:cxn modelId="{3B94FF4F-5A35-4399-B1C7-5FF1C6E156F3}" type="presParOf" srcId="{9548172D-6654-4A21-A96A-5F8BD86BEB1B}" destId="{967A02CE-BE73-434E-9211-ED2685ADD6D6}" srcOrd="0" destOrd="0" presId="urn:microsoft.com/office/officeart/2005/8/layout/orgChart1"/>
    <dgm:cxn modelId="{11CAF2FD-3890-4C24-862F-61078675DF16}" type="presParOf" srcId="{967A02CE-BE73-434E-9211-ED2685ADD6D6}" destId="{4F15253A-5C77-44A5-8724-E3CD3BE524A4}" srcOrd="0" destOrd="0" presId="urn:microsoft.com/office/officeart/2005/8/layout/orgChart1"/>
    <dgm:cxn modelId="{F32CA1FD-43E1-48FE-A4CB-B01D2EC3030D}" type="presParOf" srcId="{967A02CE-BE73-434E-9211-ED2685ADD6D6}" destId="{EB2BE8D8-4AB4-42C6-A81D-E9626DDC7B31}" srcOrd="1" destOrd="0" presId="urn:microsoft.com/office/officeart/2005/8/layout/orgChart1"/>
    <dgm:cxn modelId="{42439BB2-F802-4DD6-813E-6B323B9BA2DF}" type="presParOf" srcId="{9548172D-6654-4A21-A96A-5F8BD86BEB1B}" destId="{AAD5696A-40EB-48E2-9A68-1C9E8B02D81D}" srcOrd="1" destOrd="0" presId="urn:microsoft.com/office/officeart/2005/8/layout/orgChart1"/>
    <dgm:cxn modelId="{F60EF15B-3E34-470A-8801-20C7627BE4A8}" type="presParOf" srcId="{AAD5696A-40EB-48E2-9A68-1C9E8B02D81D}" destId="{83949E27-664E-4E8C-A639-07B5CEF6BCA6}" srcOrd="0" destOrd="0" presId="urn:microsoft.com/office/officeart/2005/8/layout/orgChart1"/>
    <dgm:cxn modelId="{D35B7C71-6979-4564-BCE8-B1075DD5250F}" type="presParOf" srcId="{AAD5696A-40EB-48E2-9A68-1C9E8B02D81D}" destId="{566E023B-BB0A-455F-BAA3-E1A47641239E}" srcOrd="1" destOrd="0" presId="urn:microsoft.com/office/officeart/2005/8/layout/orgChart1"/>
    <dgm:cxn modelId="{58AD4421-758E-4D95-BE9E-936607A0066E}" type="presParOf" srcId="{566E023B-BB0A-455F-BAA3-E1A47641239E}" destId="{64B10F36-08FC-4603-94BB-6C04E4014853}" srcOrd="0" destOrd="0" presId="urn:microsoft.com/office/officeart/2005/8/layout/orgChart1"/>
    <dgm:cxn modelId="{6920B1A1-B50F-46FC-A92B-181486714934}" type="presParOf" srcId="{64B10F36-08FC-4603-94BB-6C04E4014853}" destId="{BF78D975-43B2-41E6-AA06-B7699AA4F9F5}" srcOrd="0" destOrd="0" presId="urn:microsoft.com/office/officeart/2005/8/layout/orgChart1"/>
    <dgm:cxn modelId="{EE2F1D87-363A-4A14-94B9-3337FA8085EC}" type="presParOf" srcId="{64B10F36-08FC-4603-94BB-6C04E4014853}" destId="{D241D4B2-CB8A-40DD-86E4-B3342FE84029}" srcOrd="1" destOrd="0" presId="urn:microsoft.com/office/officeart/2005/8/layout/orgChart1"/>
    <dgm:cxn modelId="{DEC3CFF7-7F50-431F-9F1E-7D08DDC6EAA2}" type="presParOf" srcId="{566E023B-BB0A-455F-BAA3-E1A47641239E}" destId="{EBDB7C02-3F87-47FE-8463-3A8EE2E85DAF}" srcOrd="1" destOrd="0" presId="urn:microsoft.com/office/officeart/2005/8/layout/orgChart1"/>
    <dgm:cxn modelId="{4CB1959B-92F0-434C-838E-3BCD027D8AB4}" type="presParOf" srcId="{566E023B-BB0A-455F-BAA3-E1A47641239E}" destId="{75D94172-727C-43DF-B56A-2550E87B1F2B}" srcOrd="2" destOrd="0" presId="urn:microsoft.com/office/officeart/2005/8/layout/orgChart1"/>
    <dgm:cxn modelId="{EEE00C22-BFCA-4778-B6F2-B00DD0EEBB51}" type="presParOf" srcId="{9548172D-6654-4A21-A96A-5F8BD86BEB1B}" destId="{1B7697EC-FFCA-4B74-B539-E4298F889565}" srcOrd="2" destOrd="0" presId="urn:microsoft.com/office/officeart/2005/8/layout/orgChart1"/>
    <dgm:cxn modelId="{DB0494FB-7101-4A7F-8D08-93E15C22B871}" type="presParOf" srcId="{D0B0E984-EBB7-4632-882B-46B78630694B}" destId="{EB2058CE-59D1-4CF4-B4C1-38A1F167E1E2}" srcOrd="2" destOrd="0" presId="urn:microsoft.com/office/officeart/2005/8/layout/orgChart1"/>
    <dgm:cxn modelId="{32D07549-FFE3-48EE-A743-99C99C88A0EC}" type="presParOf" srcId="{D0B0E984-EBB7-4632-882B-46B78630694B}" destId="{A75B6673-9023-4143-BCFA-3A60B2C52087}" srcOrd="3" destOrd="0" presId="urn:microsoft.com/office/officeart/2005/8/layout/orgChart1"/>
    <dgm:cxn modelId="{ED93DB87-7DCF-4BC7-8DCF-EA22F51ED43B}" type="presParOf" srcId="{A75B6673-9023-4143-BCFA-3A60B2C52087}" destId="{BF701ACE-86E0-4EE6-A8B2-AF578F8742D4}" srcOrd="0" destOrd="0" presId="urn:microsoft.com/office/officeart/2005/8/layout/orgChart1"/>
    <dgm:cxn modelId="{F37BC575-F601-4DFE-8039-0AAA47B02FD2}" type="presParOf" srcId="{BF701ACE-86E0-4EE6-A8B2-AF578F8742D4}" destId="{0C4DCD79-3DF4-4DE3-830E-06B6D7AF0285}" srcOrd="0" destOrd="0" presId="urn:microsoft.com/office/officeart/2005/8/layout/orgChart1"/>
    <dgm:cxn modelId="{BBD2159D-473C-4129-BD02-A6E0239C12E3}" type="presParOf" srcId="{BF701ACE-86E0-4EE6-A8B2-AF578F8742D4}" destId="{16296F78-C876-4655-BA96-ECC0410DFD2C}" srcOrd="1" destOrd="0" presId="urn:microsoft.com/office/officeart/2005/8/layout/orgChart1"/>
    <dgm:cxn modelId="{BD665A59-89D1-4E16-8F70-30878063E51F}" type="presParOf" srcId="{A75B6673-9023-4143-BCFA-3A60B2C52087}" destId="{E69072B3-A60C-4079-B9AF-C0A5FB6FE82C}" srcOrd="1" destOrd="0" presId="urn:microsoft.com/office/officeart/2005/8/layout/orgChart1"/>
    <dgm:cxn modelId="{9E8231B0-8692-4BB9-9056-160E155416A8}" type="presParOf" srcId="{E69072B3-A60C-4079-B9AF-C0A5FB6FE82C}" destId="{8C51C24D-78E4-4538-876E-16EE0D6D4570}" srcOrd="0" destOrd="0" presId="urn:microsoft.com/office/officeart/2005/8/layout/orgChart1"/>
    <dgm:cxn modelId="{4F559204-6D9C-4E2B-8927-220E6FBD300E}" type="presParOf" srcId="{E69072B3-A60C-4079-B9AF-C0A5FB6FE82C}" destId="{DEA40F29-3C39-440B-B948-BCF5102C81E2}" srcOrd="1" destOrd="0" presId="urn:microsoft.com/office/officeart/2005/8/layout/orgChart1"/>
    <dgm:cxn modelId="{D0EB671B-91DF-4D35-BF7D-7425364EFB03}" type="presParOf" srcId="{DEA40F29-3C39-440B-B948-BCF5102C81E2}" destId="{DD313746-5472-475D-BB22-212075F63988}" srcOrd="0" destOrd="0" presId="urn:microsoft.com/office/officeart/2005/8/layout/orgChart1"/>
    <dgm:cxn modelId="{2CA3FAF2-471D-495F-AAE9-EA0043B54BA2}" type="presParOf" srcId="{DD313746-5472-475D-BB22-212075F63988}" destId="{62A74795-BD2C-421D-BBAF-FB4E1C67D054}" srcOrd="0" destOrd="0" presId="urn:microsoft.com/office/officeart/2005/8/layout/orgChart1"/>
    <dgm:cxn modelId="{B7477E54-1749-4612-B79C-EFDF45C09566}" type="presParOf" srcId="{DD313746-5472-475D-BB22-212075F63988}" destId="{ADCB532C-1B36-4272-9342-7228B499C661}" srcOrd="1" destOrd="0" presId="urn:microsoft.com/office/officeart/2005/8/layout/orgChart1"/>
    <dgm:cxn modelId="{A74C9042-4865-44A3-A66F-35CE5F647514}" type="presParOf" srcId="{DEA40F29-3C39-440B-B948-BCF5102C81E2}" destId="{FCC1125C-A46C-4E4A-9775-2211D5E04187}" srcOrd="1" destOrd="0" presId="urn:microsoft.com/office/officeart/2005/8/layout/orgChart1"/>
    <dgm:cxn modelId="{071BCA5B-07DC-48C8-83FC-227608BFDD9F}" type="presParOf" srcId="{DEA40F29-3C39-440B-B948-BCF5102C81E2}" destId="{C5F89682-9D84-4CE8-B49D-FC56714C4EAA}" srcOrd="2" destOrd="0" presId="urn:microsoft.com/office/officeart/2005/8/layout/orgChart1"/>
    <dgm:cxn modelId="{8A69795F-4C5F-410C-B447-627F0960D2F6}" type="presParOf" srcId="{A75B6673-9023-4143-BCFA-3A60B2C52087}" destId="{87CB735A-F205-44A2-B84B-1B09D2387501}" srcOrd="2" destOrd="0" presId="urn:microsoft.com/office/officeart/2005/8/layout/orgChart1"/>
    <dgm:cxn modelId="{25074419-9671-4B4F-ABFB-3F9690D7CCE1}" type="presParOf" srcId="{4FD8EA27-26DD-4141-91B9-0123A93B62E5}" destId="{CA5A3E0B-FE00-4F67-8A6B-2AAF5D95E979}" srcOrd="2" destOrd="0" presId="urn:microsoft.com/office/officeart/2005/8/layout/orgChart1"/>
    <dgm:cxn modelId="{42FE220E-94BA-41F6-B139-B4C368FE27F4}" type="presParOf" srcId="{CFF433F1-C05C-4A8E-B406-39361B09F3D8}" destId="{2C2541D6-9372-478D-91D8-8FB7536C5854}" srcOrd="2" destOrd="0" presId="urn:microsoft.com/office/officeart/2005/8/layout/orgChart1"/>
    <dgm:cxn modelId="{74AC209F-1F52-4052-8987-1361BF9EE877}" type="presParOf" srcId="{2C2541D6-9372-478D-91D8-8FB7536C5854}" destId="{9D1DC036-5D36-40C5-A524-17709997195D}" srcOrd="0" destOrd="0" presId="urn:microsoft.com/office/officeart/2005/8/layout/orgChart1"/>
    <dgm:cxn modelId="{A3B12C43-A95D-4BEF-B4B7-531A8B314605}" type="presParOf" srcId="{2C2541D6-9372-478D-91D8-8FB7536C5854}" destId="{8E63EA7F-192A-4F0F-B3BD-D19974075B64}" srcOrd="1" destOrd="0" presId="urn:microsoft.com/office/officeart/2005/8/layout/orgChart1"/>
    <dgm:cxn modelId="{3190C74A-8C2E-4A69-9653-D88E97969D11}" type="presParOf" srcId="{8E63EA7F-192A-4F0F-B3BD-D19974075B64}" destId="{3BCF37BE-869F-4547-A03C-C0B88A1B5C9D}" srcOrd="0" destOrd="0" presId="urn:microsoft.com/office/officeart/2005/8/layout/orgChart1"/>
    <dgm:cxn modelId="{1F6AA1D6-BA04-4A2F-A959-6B80329B771D}" type="presParOf" srcId="{3BCF37BE-869F-4547-A03C-C0B88A1B5C9D}" destId="{5022429C-7690-402F-94AB-B72E89DC10A9}" srcOrd="0" destOrd="0" presId="urn:microsoft.com/office/officeart/2005/8/layout/orgChart1"/>
    <dgm:cxn modelId="{0AA951C4-9122-4C7C-BE65-B2DD26355E05}" type="presParOf" srcId="{3BCF37BE-869F-4547-A03C-C0B88A1B5C9D}" destId="{49830034-028F-4275-B60A-E3C990DF7198}" srcOrd="1" destOrd="0" presId="urn:microsoft.com/office/officeart/2005/8/layout/orgChart1"/>
    <dgm:cxn modelId="{C0F75CEC-7339-436F-83D3-70C187C9BB6D}" type="presParOf" srcId="{8E63EA7F-192A-4F0F-B3BD-D19974075B64}" destId="{8B2F5D03-513E-45CF-9068-AB31A9559BD5}" srcOrd="1" destOrd="0" presId="urn:microsoft.com/office/officeart/2005/8/layout/orgChart1"/>
    <dgm:cxn modelId="{8A9AB855-63A9-4C1F-A5D9-C6C489922403}" type="presParOf" srcId="{8E63EA7F-192A-4F0F-B3BD-D19974075B64}" destId="{A0CB89A6-A2B7-4177-85FD-38B4EB5169A0}" srcOrd="2" destOrd="0" presId="urn:microsoft.com/office/officeart/2005/8/layout/orgChart1"/>
    <dgm:cxn modelId="{CABD2727-B900-4B4F-B624-C57DBDD17A34}" type="presParOf" srcId="{2C2541D6-9372-478D-91D8-8FB7536C5854}" destId="{4E17D5DC-7299-41A8-805A-B94B2B968917}" srcOrd="2" destOrd="0" presId="urn:microsoft.com/office/officeart/2005/8/layout/orgChart1"/>
    <dgm:cxn modelId="{34609042-024E-468D-93EB-021A8ADB872D}" type="presParOf" srcId="{2C2541D6-9372-478D-91D8-8FB7536C5854}" destId="{E65E3B2F-F949-4CE1-8B8D-B20888273BDE}" srcOrd="3" destOrd="0" presId="urn:microsoft.com/office/officeart/2005/8/layout/orgChart1"/>
    <dgm:cxn modelId="{F8C9192F-AB32-4D71-AAEB-A54607432A95}" type="presParOf" srcId="{E65E3B2F-F949-4CE1-8B8D-B20888273BDE}" destId="{2A2D9EC1-B3B3-468A-9C4C-655E5A68D67B}" srcOrd="0" destOrd="0" presId="urn:microsoft.com/office/officeart/2005/8/layout/orgChart1"/>
    <dgm:cxn modelId="{73736A85-E431-409B-AE6B-5C4491BBBCBC}" type="presParOf" srcId="{2A2D9EC1-B3B3-468A-9C4C-655E5A68D67B}" destId="{E86F26D5-FFB7-47AD-AACB-A5F0AEA46C9D}" srcOrd="0" destOrd="0" presId="urn:microsoft.com/office/officeart/2005/8/layout/orgChart1"/>
    <dgm:cxn modelId="{6D0DC1F1-72B1-4F8D-A50D-0E1360C0FA49}" type="presParOf" srcId="{2A2D9EC1-B3B3-468A-9C4C-655E5A68D67B}" destId="{8B35F059-967C-4CE2-BD5D-43CE903D42D1}" srcOrd="1" destOrd="0" presId="urn:microsoft.com/office/officeart/2005/8/layout/orgChart1"/>
    <dgm:cxn modelId="{F2C3649F-7AFE-44C9-8AF7-529CA25136AE}" type="presParOf" srcId="{E65E3B2F-F949-4CE1-8B8D-B20888273BDE}" destId="{6DB306CC-66A0-4C57-8482-FDC6CEA4F23B}" srcOrd="1" destOrd="0" presId="urn:microsoft.com/office/officeart/2005/8/layout/orgChart1"/>
    <dgm:cxn modelId="{96E782E9-D688-4456-BE6F-94F07C0147A7}" type="presParOf" srcId="{E65E3B2F-F949-4CE1-8B8D-B20888273BDE}" destId="{93AC7FD5-0937-4425-8AED-8F9A7D6D3D1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7D5DC-7299-41A8-805A-B94B2B968917}">
      <dsp:nvSpPr>
        <dsp:cNvPr id="0" name=""/>
        <dsp:cNvSpPr/>
      </dsp:nvSpPr>
      <dsp:spPr>
        <a:xfrm>
          <a:off x="3594108" y="741996"/>
          <a:ext cx="155746" cy="682315"/>
        </a:xfrm>
        <a:custGeom>
          <a:avLst/>
          <a:gdLst/>
          <a:ahLst/>
          <a:cxnLst/>
          <a:rect l="0" t="0" r="0" b="0"/>
          <a:pathLst>
            <a:path>
              <a:moveTo>
                <a:pt x="0" y="0"/>
              </a:moveTo>
              <a:lnTo>
                <a:pt x="0" y="682315"/>
              </a:lnTo>
              <a:lnTo>
                <a:pt x="155746" y="682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DC036-5D36-40C5-A524-17709997195D}">
      <dsp:nvSpPr>
        <dsp:cNvPr id="0" name=""/>
        <dsp:cNvSpPr/>
      </dsp:nvSpPr>
      <dsp:spPr>
        <a:xfrm>
          <a:off x="3438362" y="741996"/>
          <a:ext cx="155746" cy="682315"/>
        </a:xfrm>
        <a:custGeom>
          <a:avLst/>
          <a:gdLst/>
          <a:ahLst/>
          <a:cxnLst/>
          <a:rect l="0" t="0" r="0" b="0"/>
          <a:pathLst>
            <a:path>
              <a:moveTo>
                <a:pt x="155746" y="0"/>
              </a:moveTo>
              <a:lnTo>
                <a:pt x="155746" y="682315"/>
              </a:lnTo>
              <a:lnTo>
                <a:pt x="0" y="682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1C24D-78E4-4538-876E-16EE0D6D4570}">
      <dsp:nvSpPr>
        <dsp:cNvPr id="0" name=""/>
        <dsp:cNvSpPr/>
      </dsp:nvSpPr>
      <dsp:spPr>
        <a:xfrm>
          <a:off x="4795577" y="3901416"/>
          <a:ext cx="222494" cy="682315"/>
        </a:xfrm>
        <a:custGeom>
          <a:avLst/>
          <a:gdLst/>
          <a:ahLst/>
          <a:cxnLst/>
          <a:rect l="0" t="0" r="0" b="0"/>
          <a:pathLst>
            <a:path>
              <a:moveTo>
                <a:pt x="0" y="0"/>
              </a:moveTo>
              <a:lnTo>
                <a:pt x="0" y="682315"/>
              </a:lnTo>
              <a:lnTo>
                <a:pt x="222494" y="682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2058CE-59D1-4CF4-B4C1-38A1F167E1E2}">
      <dsp:nvSpPr>
        <dsp:cNvPr id="0" name=""/>
        <dsp:cNvSpPr/>
      </dsp:nvSpPr>
      <dsp:spPr>
        <a:xfrm>
          <a:off x="4491501" y="2848276"/>
          <a:ext cx="897393" cy="311492"/>
        </a:xfrm>
        <a:custGeom>
          <a:avLst/>
          <a:gdLst/>
          <a:ahLst/>
          <a:cxnLst/>
          <a:rect l="0" t="0" r="0" b="0"/>
          <a:pathLst>
            <a:path>
              <a:moveTo>
                <a:pt x="0" y="0"/>
              </a:moveTo>
              <a:lnTo>
                <a:pt x="0" y="155746"/>
              </a:lnTo>
              <a:lnTo>
                <a:pt x="897393" y="155746"/>
              </a:lnTo>
              <a:lnTo>
                <a:pt x="897393" y="3114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949E27-664E-4E8C-A639-07B5CEF6BCA6}">
      <dsp:nvSpPr>
        <dsp:cNvPr id="0" name=""/>
        <dsp:cNvSpPr/>
      </dsp:nvSpPr>
      <dsp:spPr>
        <a:xfrm>
          <a:off x="3000789" y="3901416"/>
          <a:ext cx="222494" cy="682315"/>
        </a:xfrm>
        <a:custGeom>
          <a:avLst/>
          <a:gdLst/>
          <a:ahLst/>
          <a:cxnLst/>
          <a:rect l="0" t="0" r="0" b="0"/>
          <a:pathLst>
            <a:path>
              <a:moveTo>
                <a:pt x="0" y="0"/>
              </a:moveTo>
              <a:lnTo>
                <a:pt x="0" y="682315"/>
              </a:lnTo>
              <a:lnTo>
                <a:pt x="222494" y="682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CEBAD0-89A1-4BB4-BCB1-C52EA70BDA40}">
      <dsp:nvSpPr>
        <dsp:cNvPr id="0" name=""/>
        <dsp:cNvSpPr/>
      </dsp:nvSpPr>
      <dsp:spPr>
        <a:xfrm>
          <a:off x="3594108" y="2848276"/>
          <a:ext cx="897393" cy="311492"/>
        </a:xfrm>
        <a:custGeom>
          <a:avLst/>
          <a:gdLst/>
          <a:ahLst/>
          <a:cxnLst/>
          <a:rect l="0" t="0" r="0" b="0"/>
          <a:pathLst>
            <a:path>
              <a:moveTo>
                <a:pt x="897393" y="0"/>
              </a:moveTo>
              <a:lnTo>
                <a:pt x="897393" y="155746"/>
              </a:lnTo>
              <a:lnTo>
                <a:pt x="0" y="155746"/>
              </a:lnTo>
              <a:lnTo>
                <a:pt x="0" y="3114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27EA10-C63C-4035-A72F-FD6E1AD12D77}">
      <dsp:nvSpPr>
        <dsp:cNvPr id="0" name=""/>
        <dsp:cNvSpPr/>
      </dsp:nvSpPr>
      <dsp:spPr>
        <a:xfrm>
          <a:off x="3594108" y="741996"/>
          <a:ext cx="897393" cy="1364631"/>
        </a:xfrm>
        <a:custGeom>
          <a:avLst/>
          <a:gdLst/>
          <a:ahLst/>
          <a:cxnLst/>
          <a:rect l="0" t="0" r="0" b="0"/>
          <a:pathLst>
            <a:path>
              <a:moveTo>
                <a:pt x="0" y="0"/>
              </a:moveTo>
              <a:lnTo>
                <a:pt x="0" y="1208885"/>
              </a:lnTo>
              <a:lnTo>
                <a:pt x="897393" y="1208885"/>
              </a:lnTo>
              <a:lnTo>
                <a:pt x="897393" y="13646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FB4CC-5B36-4726-BE9A-1E9938CD1368}">
      <dsp:nvSpPr>
        <dsp:cNvPr id="0" name=""/>
        <dsp:cNvSpPr/>
      </dsp:nvSpPr>
      <dsp:spPr>
        <a:xfrm>
          <a:off x="2540968" y="2848276"/>
          <a:ext cx="155746" cy="682315"/>
        </a:xfrm>
        <a:custGeom>
          <a:avLst/>
          <a:gdLst/>
          <a:ahLst/>
          <a:cxnLst/>
          <a:rect l="0" t="0" r="0" b="0"/>
          <a:pathLst>
            <a:path>
              <a:moveTo>
                <a:pt x="155746" y="0"/>
              </a:moveTo>
              <a:lnTo>
                <a:pt x="155746" y="682315"/>
              </a:lnTo>
              <a:lnTo>
                <a:pt x="0" y="682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157CC-25FC-4691-8C48-1C33BBE06522}">
      <dsp:nvSpPr>
        <dsp:cNvPr id="0" name=""/>
        <dsp:cNvSpPr/>
      </dsp:nvSpPr>
      <dsp:spPr>
        <a:xfrm>
          <a:off x="2696714" y="741996"/>
          <a:ext cx="897393" cy="1364631"/>
        </a:xfrm>
        <a:custGeom>
          <a:avLst/>
          <a:gdLst/>
          <a:ahLst/>
          <a:cxnLst/>
          <a:rect l="0" t="0" r="0" b="0"/>
          <a:pathLst>
            <a:path>
              <a:moveTo>
                <a:pt x="897393" y="0"/>
              </a:moveTo>
              <a:lnTo>
                <a:pt x="897393" y="1208885"/>
              </a:lnTo>
              <a:lnTo>
                <a:pt x="0" y="1208885"/>
              </a:lnTo>
              <a:lnTo>
                <a:pt x="0" y="13646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06296-282F-468A-B9F5-D113A0362FDC}">
      <dsp:nvSpPr>
        <dsp:cNvPr id="0" name=""/>
        <dsp:cNvSpPr/>
      </dsp:nvSpPr>
      <dsp:spPr>
        <a:xfrm>
          <a:off x="2852460" y="349"/>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UC patient hospitalized for exacerbation</a:t>
          </a:r>
        </a:p>
      </dsp:txBody>
      <dsp:txXfrm>
        <a:off x="2852460" y="349"/>
        <a:ext cx="1483295" cy="741647"/>
      </dsp:txXfrm>
    </dsp:sp>
    <dsp:sp modelId="{45A6DB55-9A31-4130-A67B-7DD7207A38E8}">
      <dsp:nvSpPr>
        <dsp:cNvPr id="0" name=""/>
        <dsp:cNvSpPr/>
      </dsp:nvSpPr>
      <dsp:spPr>
        <a:xfrm>
          <a:off x="1955066" y="2106628"/>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Negative for CMV</a:t>
          </a:r>
        </a:p>
      </dsp:txBody>
      <dsp:txXfrm>
        <a:off x="1955066" y="2106628"/>
        <a:ext cx="1483295" cy="741647"/>
      </dsp:txXfrm>
    </dsp:sp>
    <dsp:sp modelId="{EB6FE7BC-C328-4D44-A1F9-4DCB432EA9C2}">
      <dsp:nvSpPr>
        <dsp:cNvPr id="0" name=""/>
        <dsp:cNvSpPr/>
      </dsp:nvSpPr>
      <dsp:spPr>
        <a:xfrm>
          <a:off x="1057672" y="3159768"/>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Continue anti-inflammatory treatment</a:t>
          </a:r>
        </a:p>
      </dsp:txBody>
      <dsp:txXfrm>
        <a:off x="1057672" y="3159768"/>
        <a:ext cx="1483295" cy="741647"/>
      </dsp:txXfrm>
    </dsp:sp>
    <dsp:sp modelId="{D5B3DF2D-CD39-4327-B3B7-623EE8854D5D}">
      <dsp:nvSpPr>
        <dsp:cNvPr id="0" name=""/>
        <dsp:cNvSpPr/>
      </dsp:nvSpPr>
      <dsp:spPr>
        <a:xfrm>
          <a:off x="3749854" y="2106628"/>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IHC/CMV staining for CMV positive</a:t>
          </a:r>
        </a:p>
      </dsp:txBody>
      <dsp:txXfrm>
        <a:off x="3749854" y="2106628"/>
        <a:ext cx="1483295" cy="741647"/>
      </dsp:txXfrm>
    </dsp:sp>
    <dsp:sp modelId="{4F15253A-5C77-44A5-8724-E3CD3BE524A4}">
      <dsp:nvSpPr>
        <dsp:cNvPr id="0" name=""/>
        <dsp:cNvSpPr/>
      </dsp:nvSpPr>
      <dsp:spPr>
        <a:xfrm>
          <a:off x="2852460" y="3159768"/>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Improvement on anti-inflammatory treatment</a:t>
          </a:r>
        </a:p>
      </dsp:txBody>
      <dsp:txXfrm>
        <a:off x="2852460" y="3159768"/>
        <a:ext cx="1483295" cy="741647"/>
      </dsp:txXfrm>
    </dsp:sp>
    <dsp:sp modelId="{BF78D975-43B2-41E6-AA06-B7699AA4F9F5}">
      <dsp:nvSpPr>
        <dsp:cNvPr id="0" name=""/>
        <dsp:cNvSpPr/>
      </dsp:nvSpPr>
      <dsp:spPr>
        <a:xfrm>
          <a:off x="3223284" y="4212908"/>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Continue anti-inflammatory treatment</a:t>
          </a:r>
        </a:p>
        <a:p>
          <a:pPr lvl="0" algn="ctr" defTabSz="444500">
            <a:lnSpc>
              <a:spcPct val="90000"/>
            </a:lnSpc>
            <a:spcBef>
              <a:spcPct val="0"/>
            </a:spcBef>
            <a:spcAft>
              <a:spcPct val="35000"/>
            </a:spcAft>
          </a:pPr>
          <a:r>
            <a:rPr lang="en-CA" sz="1000" kern="1200" baseline="0">
              <a:latin typeface="Book Antiqua" pitchFamily="18" charset="0"/>
            </a:rPr>
            <a:t>Monitor closely</a:t>
          </a:r>
        </a:p>
      </dsp:txBody>
      <dsp:txXfrm>
        <a:off x="3223284" y="4212908"/>
        <a:ext cx="1483295" cy="741647"/>
      </dsp:txXfrm>
    </dsp:sp>
    <dsp:sp modelId="{0C4DCD79-3DF4-4DE3-830E-06B6D7AF0285}">
      <dsp:nvSpPr>
        <dsp:cNvPr id="0" name=""/>
        <dsp:cNvSpPr/>
      </dsp:nvSpPr>
      <dsp:spPr>
        <a:xfrm>
          <a:off x="4647247" y="3159768"/>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Failure to improve on anti-inflammatory treatment</a:t>
          </a:r>
        </a:p>
      </dsp:txBody>
      <dsp:txXfrm>
        <a:off x="4647247" y="3159768"/>
        <a:ext cx="1483295" cy="741647"/>
      </dsp:txXfrm>
    </dsp:sp>
    <dsp:sp modelId="{62A74795-BD2C-421D-BBAF-FB4E1C67D054}">
      <dsp:nvSpPr>
        <dsp:cNvPr id="0" name=""/>
        <dsp:cNvSpPr/>
      </dsp:nvSpPr>
      <dsp:spPr>
        <a:xfrm>
          <a:off x="5018071" y="4212908"/>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Initiate antiviral</a:t>
          </a:r>
          <a:r>
            <a:rPr lang="en-CA" sz="1000" kern="1200" baseline="30000">
              <a:latin typeface="Book Antiqua" pitchFamily="18" charset="0"/>
            </a:rPr>
            <a:t>1</a:t>
          </a:r>
        </a:p>
        <a:p>
          <a:pPr lvl="0" algn="ctr" defTabSz="444500">
            <a:lnSpc>
              <a:spcPct val="90000"/>
            </a:lnSpc>
            <a:spcBef>
              <a:spcPct val="0"/>
            </a:spcBef>
            <a:spcAft>
              <a:spcPct val="35000"/>
            </a:spcAft>
          </a:pPr>
          <a:endParaRPr lang="en-CA" sz="1000" kern="1200" baseline="0">
            <a:latin typeface="Book Antiqua" pitchFamily="18" charset="0"/>
          </a:endParaRPr>
        </a:p>
      </dsp:txBody>
      <dsp:txXfrm>
        <a:off x="5018071" y="4212908"/>
        <a:ext cx="1483295" cy="741647"/>
      </dsp:txXfrm>
    </dsp:sp>
    <dsp:sp modelId="{5022429C-7690-402F-94AB-B72E89DC10A9}">
      <dsp:nvSpPr>
        <dsp:cNvPr id="0" name=""/>
        <dsp:cNvSpPr/>
      </dsp:nvSpPr>
      <dsp:spPr>
        <a:xfrm>
          <a:off x="1955066" y="1053488"/>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Initiate anti-inflammatory treatment</a:t>
          </a:r>
        </a:p>
      </dsp:txBody>
      <dsp:txXfrm>
        <a:off x="1955066" y="1053488"/>
        <a:ext cx="1483295" cy="741647"/>
      </dsp:txXfrm>
    </dsp:sp>
    <dsp:sp modelId="{E86F26D5-FFB7-47AD-AACB-A5F0AEA46C9D}">
      <dsp:nvSpPr>
        <dsp:cNvPr id="0" name=""/>
        <dsp:cNvSpPr/>
      </dsp:nvSpPr>
      <dsp:spPr>
        <a:xfrm>
          <a:off x="3749854" y="1053488"/>
          <a:ext cx="1483295" cy="7416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baseline="0">
              <a:latin typeface="Book Antiqua" pitchFamily="18" charset="0"/>
            </a:rPr>
            <a:t>Flexible signoidoscopy/colonoscopy with HE+IHC staining for CMV</a:t>
          </a:r>
        </a:p>
      </dsp:txBody>
      <dsp:txXfrm>
        <a:off x="3749854" y="1053488"/>
        <a:ext cx="1483295" cy="7416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5924</Words>
  <Characters>33771</Characters>
  <Application>Microsoft Office Word</Application>
  <DocSecurity>0</DocSecurity>
  <Lines>281</Lines>
  <Paragraphs>79</Paragraphs>
  <ScaleCrop>false</ScaleCrop>
  <Company>Hewlett-Packard Company</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ukopylov</dc:creator>
  <cp:lastModifiedBy>LS Ma</cp:lastModifiedBy>
  <cp:revision>2</cp:revision>
  <dcterms:created xsi:type="dcterms:W3CDTF">2014-01-07T22:34:00Z</dcterms:created>
  <dcterms:modified xsi:type="dcterms:W3CDTF">2014-01-07T22:34:00Z</dcterms:modified>
</cp:coreProperties>
</file>